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2117725</wp:posOffset>
            </wp:positionH>
            <wp:positionV relativeFrom="paragraph">
              <wp:posOffset>-66040</wp:posOffset>
            </wp:positionV>
            <wp:extent cx="1469390" cy="1346200"/>
            <wp:effectExtent l="0" t="0" r="1651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469390" cy="1346200"/>
                    </a:xfrm>
                    <a:prstGeom prst="rect">
                      <a:avLst/>
                    </a:prstGeom>
                    <a:noFill/>
                    <a:ln>
                      <a:noFill/>
                    </a:ln>
                  </pic:spPr>
                </pic:pic>
              </a:graphicData>
            </a:graphic>
          </wp:anchor>
        </w:drawing>
      </w: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 xml:space="preserve"> </w:t>
      </w:r>
      <w:r>
        <w:rPr>
          <w:rFonts w:hint="eastAsia" w:ascii="仿宋" w:hAnsi="仿宋" w:eastAsia="仿宋" w:cs="仿宋"/>
          <w:b/>
          <w:bCs/>
          <w:sz w:val="44"/>
          <w:szCs w:val="44"/>
          <w:lang w:val="en-US" w:eastAsia="zh-CN"/>
        </w:rPr>
        <w:t>项目名称：</w:t>
      </w:r>
      <w:r>
        <w:rPr>
          <w:rFonts w:hint="eastAsia" w:ascii="仿宋" w:hAnsi="仿宋" w:eastAsia="仿宋" w:cs="仿宋"/>
          <w:b/>
          <w:bCs/>
          <w:sz w:val="44"/>
          <w:szCs w:val="44"/>
          <w:lang w:eastAsia="zh-CN"/>
        </w:rPr>
        <w:t>椒江区“平安家庭”家事纠纷化解“一类事”平台建设项目</w:t>
      </w:r>
    </w:p>
    <w:p>
      <w:pPr>
        <w:adjustRightInd/>
        <w:spacing w:line="360" w:lineRule="auto"/>
        <w:jc w:val="center"/>
        <w:rPr>
          <w:rFonts w:ascii="仿宋" w:hAnsi="仿宋" w:eastAsia="仿宋" w:cs="仿宋"/>
          <w:b/>
          <w:bCs/>
          <w:sz w:val="44"/>
          <w:szCs w:val="44"/>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 xml:space="preserve">招标文件 </w:t>
      </w:r>
    </w:p>
    <w:p>
      <w:pPr>
        <w:pStyle w:val="3"/>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招标</w:t>
      </w:r>
      <w:r>
        <w:rPr>
          <w:rFonts w:hint="eastAsia" w:ascii="仿宋" w:hAnsi="仿宋" w:eastAsia="仿宋" w:cs="仿宋"/>
          <w:sz w:val="30"/>
          <w:szCs w:val="30"/>
        </w:rPr>
        <w:t>编号:TZFD(2024)-</w:t>
      </w:r>
      <w:r>
        <w:rPr>
          <w:rFonts w:hint="eastAsia" w:ascii="仿宋" w:hAnsi="仿宋" w:eastAsia="仿宋" w:cs="仿宋"/>
          <w:sz w:val="30"/>
          <w:szCs w:val="30"/>
          <w:lang w:eastAsia="zh-CN"/>
        </w:rPr>
        <w:t>1081号</w:t>
      </w:r>
    </w:p>
    <w:p>
      <w:pPr>
        <w:spacing w:line="360" w:lineRule="auto"/>
        <w:ind w:left="-21" w:leftChars="-200" w:hanging="399" w:hangingChars="116"/>
        <w:jc w:val="center"/>
        <w:rPr>
          <w:rFonts w:hint="eastAsia" w:ascii="仿宋" w:hAnsi="仿宋" w:eastAsia="仿宋" w:cs="仿宋"/>
          <w:spacing w:val="12"/>
          <w:sz w:val="32"/>
          <w:szCs w:val="32"/>
        </w:rPr>
      </w:pPr>
    </w:p>
    <w:p>
      <w:pPr>
        <w:spacing w:line="360" w:lineRule="auto"/>
        <w:ind w:left="-21" w:leftChars="-200" w:hanging="399" w:hangingChars="116"/>
        <w:jc w:val="center"/>
        <w:rPr>
          <w:rFonts w:hint="eastAsia" w:ascii="仿宋" w:hAnsi="仿宋" w:eastAsia="仿宋" w:cs="仿宋"/>
          <w:sz w:val="32"/>
          <w:szCs w:val="32"/>
          <w:lang w:eastAsia="zh-CN"/>
        </w:rPr>
      </w:pPr>
      <w:r>
        <w:rPr>
          <w:rFonts w:hint="eastAsia" w:ascii="仿宋" w:hAnsi="仿宋" w:eastAsia="仿宋" w:cs="仿宋"/>
          <w:spacing w:val="12"/>
          <w:sz w:val="32"/>
          <w:szCs w:val="32"/>
        </w:rPr>
        <w:t>采购人：</w:t>
      </w:r>
      <w:r>
        <w:rPr>
          <w:rFonts w:hint="eastAsia" w:ascii="仿宋" w:hAnsi="仿宋" w:eastAsia="仿宋" w:cs="仿宋"/>
          <w:spacing w:val="12"/>
          <w:sz w:val="32"/>
          <w:szCs w:val="32"/>
          <w:lang w:eastAsia="zh-CN"/>
        </w:rPr>
        <w:t>台州市新府城科技传媒有限公司</w:t>
      </w:r>
    </w:p>
    <w:p>
      <w:pPr>
        <w:spacing w:line="360" w:lineRule="auto"/>
        <w:ind w:left="-49" w:leftChars="-200" w:hanging="371" w:hangingChars="116"/>
        <w:jc w:val="center"/>
        <w:rPr>
          <w:rFonts w:ascii="仿宋" w:hAnsi="仿宋" w:eastAsia="仿宋" w:cs="仿宋"/>
          <w:spacing w:val="12"/>
          <w:sz w:val="32"/>
          <w:szCs w:val="32"/>
        </w:rPr>
      </w:pPr>
      <w:r>
        <w:rPr>
          <w:rFonts w:hint="eastAsia" w:ascii="仿宋" w:hAnsi="仿宋" w:eastAsia="仿宋" w:cs="仿宋"/>
          <w:bCs/>
          <w:sz w:val="32"/>
          <w:szCs w:val="32"/>
        </w:rPr>
        <w:t>采购代理机构</w:t>
      </w:r>
      <w:r>
        <w:rPr>
          <w:rFonts w:hint="eastAsia" w:ascii="仿宋" w:hAnsi="仿宋" w:eastAsia="仿宋" w:cs="仿宋"/>
          <w:spacing w:val="12"/>
          <w:sz w:val="32"/>
          <w:szCs w:val="32"/>
        </w:rPr>
        <w:t>：台州锋鼎工程项目管理有限公司</w:t>
      </w:r>
    </w:p>
    <w:p>
      <w:pPr>
        <w:spacing w:line="360" w:lineRule="auto"/>
        <w:jc w:val="both"/>
        <w:rPr>
          <w:rFonts w:ascii="仿宋" w:hAnsi="仿宋" w:eastAsia="仿宋" w:cs="仿宋"/>
          <w:sz w:val="32"/>
          <w:szCs w:val="32"/>
        </w:rPr>
      </w:pPr>
    </w:p>
    <w:p>
      <w:pPr>
        <w:spacing w:line="360" w:lineRule="auto"/>
        <w:jc w:val="center"/>
        <w:rPr>
          <w:rFonts w:hint="eastAsia" w:ascii="仿宋" w:hAnsi="仿宋" w:eastAsia="仿宋" w:cs="仿宋"/>
          <w:bCs/>
          <w:sz w:val="32"/>
          <w:szCs w:val="32"/>
        </w:rPr>
        <w:sectPr>
          <w:headerReference r:id="rId4" w:type="first"/>
          <w:footerReference r:id="rId6" w:type="first"/>
          <w:headerReference r:id="rId3" w:type="default"/>
          <w:footerReference r:id="rId5" w:type="default"/>
          <w:pgSz w:w="11905" w:h="16838"/>
          <w:pgMar w:top="1440" w:right="1083" w:bottom="1440" w:left="1083" w:header="567" w:footer="567" w:gutter="0"/>
          <w:pgNumType w:fmt="decimal"/>
          <w:cols w:space="0" w:num="1"/>
          <w:titlePg/>
          <w:docGrid w:linePitch="312" w:charSpace="0"/>
        </w:sectPr>
      </w:pPr>
      <w:r>
        <w:rPr>
          <w:rFonts w:hint="eastAsia" w:ascii="仿宋" w:hAnsi="仿宋" w:eastAsia="仿宋" w:cs="仿宋"/>
          <w:bCs/>
          <w:sz w:val="32"/>
          <w:szCs w:val="32"/>
        </w:rPr>
        <w:t>二〇二四年十</w:t>
      </w:r>
      <w:r>
        <w:rPr>
          <w:rFonts w:hint="eastAsia" w:ascii="仿宋" w:hAnsi="仿宋" w:eastAsia="仿宋" w:cs="仿宋"/>
          <w:bCs/>
          <w:sz w:val="32"/>
          <w:szCs w:val="32"/>
          <w:lang w:val="en-US" w:eastAsia="zh-CN"/>
        </w:rPr>
        <w:t>一</w:t>
      </w:r>
      <w:r>
        <w:rPr>
          <w:rFonts w:hint="eastAsia" w:ascii="仿宋" w:hAnsi="仿宋" w:eastAsia="仿宋" w:cs="仿宋"/>
          <w:bCs/>
          <w:sz w:val="32"/>
          <w:szCs w:val="32"/>
        </w:rPr>
        <w:t>月</w:t>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sdt>
      <w:sdtPr>
        <w:rPr>
          <w:rFonts w:ascii="宋体" w:hAnsi="宋体"/>
        </w:rPr>
        <w:id w:val="147462832"/>
        <w15:color w:val="DBDBDB"/>
        <w:docPartObj>
          <w:docPartGallery w:val="Table of Contents"/>
          <w:docPartUnique/>
        </w:docPartObj>
      </w:sdtPr>
      <w:sdtEndPr>
        <w:rPr>
          <w:rFonts w:ascii="宋体" w:hAnsi="宋体"/>
        </w:rPr>
      </w:sdtEndPr>
      <w:sdtContent>
        <w:p>
          <w:pPr>
            <w:jc w:val="center"/>
          </w:pPr>
        </w:p>
        <w:p>
          <w:pPr>
            <w:pStyle w:val="969"/>
            <w:tabs>
              <w:tab w:val="right" w:leader="dot" w:pos="9739"/>
            </w:tabs>
            <w:spacing w:line="360" w:lineRule="auto"/>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r>
            <w:fldChar w:fldCharType="begin"/>
          </w:r>
          <w:r>
            <w:instrText xml:space="preserve"> HYPERLINK \l "_Toc24240" </w:instrText>
          </w:r>
          <w:r>
            <w:fldChar w:fldCharType="separate"/>
          </w:r>
          <w:r>
            <w:rPr>
              <w:rFonts w:hint="eastAsia" w:ascii="仿宋" w:hAnsi="仿宋" w:eastAsia="仿宋" w:cs="仿宋"/>
              <w:sz w:val="32"/>
              <w:szCs w:val="32"/>
            </w:rPr>
            <w:t>第一部分 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9"/>
            <w:tabs>
              <w:tab w:val="right" w:leader="dot" w:pos="9739"/>
            </w:tabs>
            <w:spacing w:line="360" w:lineRule="auto"/>
            <w:rPr>
              <w:rFonts w:ascii="仿宋" w:hAnsi="仿宋" w:eastAsia="仿宋" w:cs="仿宋"/>
              <w:sz w:val="32"/>
              <w:szCs w:val="32"/>
            </w:rPr>
          </w:pPr>
          <w:r>
            <w:fldChar w:fldCharType="begin"/>
          </w:r>
          <w:r>
            <w:instrText xml:space="preserve"> HYPERLINK \l "_Toc32713" </w:instrText>
          </w:r>
          <w:r>
            <w:fldChar w:fldCharType="separate"/>
          </w:r>
          <w:r>
            <w:rPr>
              <w:rFonts w:hint="eastAsia" w:ascii="仿宋" w:hAnsi="仿宋" w:eastAsia="仿宋" w:cs="仿宋"/>
              <w:sz w:val="32"/>
              <w:szCs w:val="32"/>
            </w:rPr>
            <w:t>第二部分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_Toc32713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9"/>
            <w:tabs>
              <w:tab w:val="right" w:leader="dot" w:pos="9739"/>
            </w:tabs>
            <w:spacing w:line="360" w:lineRule="auto"/>
            <w:rPr>
              <w:rFonts w:ascii="仿宋" w:hAnsi="仿宋" w:eastAsia="仿宋" w:cs="仿宋"/>
              <w:sz w:val="32"/>
              <w:szCs w:val="32"/>
            </w:rPr>
          </w:pPr>
          <w:r>
            <w:fldChar w:fldCharType="begin"/>
          </w:r>
          <w:r>
            <w:instrText xml:space="preserve"> HYPERLINK \l "_Toc29425" </w:instrText>
          </w:r>
          <w:r>
            <w:fldChar w:fldCharType="separate"/>
          </w:r>
          <w:r>
            <w:rPr>
              <w:rFonts w:hint="eastAsia" w:ascii="仿宋" w:hAnsi="仿宋" w:eastAsia="仿宋" w:cs="仿宋"/>
              <w:sz w:val="32"/>
              <w:szCs w:val="32"/>
            </w:rPr>
            <w:t>第三部分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_Toc29425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9"/>
            <w:tabs>
              <w:tab w:val="right" w:leader="dot" w:pos="9739"/>
            </w:tabs>
            <w:spacing w:line="360" w:lineRule="auto"/>
            <w:rPr>
              <w:rFonts w:ascii="仿宋" w:hAnsi="仿宋" w:eastAsia="仿宋" w:cs="仿宋"/>
              <w:sz w:val="32"/>
              <w:szCs w:val="32"/>
            </w:rPr>
          </w:pPr>
          <w:r>
            <w:fldChar w:fldCharType="begin"/>
          </w:r>
          <w:r>
            <w:instrText xml:space="preserve"> HYPERLINK \l "_Toc19373" </w:instrText>
          </w:r>
          <w:r>
            <w:fldChar w:fldCharType="separate"/>
          </w:r>
          <w:r>
            <w:rPr>
              <w:rFonts w:hint="eastAsia" w:ascii="仿宋" w:hAnsi="仿宋" w:eastAsia="仿宋" w:cs="仿宋"/>
              <w:bCs/>
              <w:kern w:val="44"/>
              <w:sz w:val="32"/>
              <w:szCs w:val="32"/>
            </w:rPr>
            <w:t>第四部分 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_Toc19373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9"/>
            <w:tabs>
              <w:tab w:val="right" w:leader="dot" w:pos="9739"/>
            </w:tabs>
            <w:spacing w:line="360" w:lineRule="auto"/>
            <w:rPr>
              <w:rFonts w:ascii="仿宋" w:hAnsi="仿宋" w:eastAsia="仿宋" w:cs="仿宋"/>
              <w:sz w:val="32"/>
              <w:szCs w:val="32"/>
            </w:rPr>
          </w:pPr>
          <w:r>
            <w:fldChar w:fldCharType="begin"/>
          </w:r>
          <w:r>
            <w:instrText xml:space="preserve"> HYPERLINK \l "_Toc16397" </w:instrText>
          </w:r>
          <w:r>
            <w:fldChar w:fldCharType="separate"/>
          </w:r>
          <w:r>
            <w:rPr>
              <w:rFonts w:hint="eastAsia" w:ascii="仿宋" w:hAnsi="仿宋" w:eastAsia="仿宋" w:cs="仿宋"/>
              <w:sz w:val="32"/>
              <w:szCs w:val="32"/>
            </w:rPr>
            <w:t>第五部分 拟签订的合同文本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_Toc16397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969"/>
            <w:tabs>
              <w:tab w:val="right" w:leader="dot" w:pos="9739"/>
            </w:tabs>
            <w:spacing w:line="360" w:lineRule="auto"/>
          </w:pPr>
          <w:r>
            <w:fldChar w:fldCharType="begin"/>
          </w:r>
          <w:r>
            <w:instrText xml:space="preserve"> HYPERLINK \l "_Toc4250" </w:instrText>
          </w:r>
          <w:r>
            <w:fldChar w:fldCharType="separate"/>
          </w:r>
          <w:r>
            <w:rPr>
              <w:rFonts w:hint="eastAsia" w:ascii="仿宋" w:hAnsi="仿宋" w:eastAsia="仿宋" w:cs="仿宋"/>
              <w:sz w:val="32"/>
              <w:szCs w:val="32"/>
            </w:rPr>
            <w:t>第六部分 应提交的有关格式范例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_Toc4250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sdtContent>
    </w:sdt>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bookmarkEnd w:id="1"/>
    <w:p>
      <w:pPr>
        <w:adjustRightInd/>
        <w:spacing w:line="360" w:lineRule="auto"/>
        <w:jc w:val="center"/>
        <w:outlineLvl w:val="0"/>
        <w:rPr>
          <w:rStyle w:val="283"/>
          <w:rFonts w:hint="eastAsia" w:ascii="仿宋" w:hAnsi="仿宋" w:eastAsia="仿宋" w:cs="仿宋"/>
        </w:rPr>
        <w:sectPr>
          <w:footerReference r:id="rId8" w:type="first"/>
          <w:footerReference r:id="rId7" w:type="default"/>
          <w:pgSz w:w="11905" w:h="16838"/>
          <w:pgMar w:top="1440" w:right="1083" w:bottom="1440" w:left="1083" w:header="567" w:footer="567" w:gutter="0"/>
          <w:pgNumType w:fmt="decimal"/>
          <w:cols w:space="0" w:num="1"/>
          <w:titlePg/>
          <w:docGrid w:linePitch="312" w:charSpace="0"/>
        </w:sectPr>
      </w:pPr>
      <w:bookmarkStart w:id="2" w:name="_Hlt74649545"/>
      <w:bookmarkEnd w:id="2"/>
      <w:bookmarkStart w:id="3" w:name="_Hlt74707423"/>
      <w:bookmarkEnd w:id="3"/>
      <w:bookmarkStart w:id="4" w:name="_Hlt74729822"/>
      <w:bookmarkEnd w:id="4"/>
      <w:bookmarkStart w:id="5" w:name="_Hlt74728647"/>
      <w:bookmarkEnd w:id="5"/>
      <w:bookmarkStart w:id="6" w:name="_Toc24240"/>
      <w:bookmarkStart w:id="7" w:name="第二部分"/>
      <w:bookmarkStart w:id="8" w:name="_Toc91899870"/>
      <w:bookmarkStart w:id="9" w:name="_Toc91899871"/>
    </w:p>
    <w:p>
      <w:pPr>
        <w:adjustRightInd/>
        <w:spacing w:line="360" w:lineRule="auto"/>
        <w:jc w:val="center"/>
        <w:outlineLvl w:val="0"/>
        <w:rPr>
          <w:rFonts w:ascii="仿宋" w:hAnsi="仿宋" w:eastAsia="仿宋" w:cs="仿宋"/>
          <w:b/>
          <w:sz w:val="36"/>
          <w:szCs w:val="20"/>
        </w:rPr>
      </w:pPr>
      <w:r>
        <w:rPr>
          <w:rStyle w:val="283"/>
          <w:rFonts w:hint="eastAsia" w:ascii="仿宋" w:hAnsi="仿宋" w:eastAsia="仿宋" w:cs="仿宋"/>
        </w:rPr>
        <w:t>第一部分 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u w:val="single"/>
          <w:lang w:eastAsia="zh-CN"/>
        </w:rPr>
        <w:t>椒江区“平安家庭”家事纠纷化解“一类事”平台建设项目</w:t>
      </w:r>
      <w:r>
        <w:rPr>
          <w:rFonts w:hint="eastAsia" w:ascii="仿宋" w:hAnsi="仿宋" w:eastAsia="仿宋" w:cs="仿宋"/>
          <w:sz w:val="24"/>
        </w:rPr>
        <w:t>招标项目的潜在投标人应在</w:t>
      </w:r>
      <w:r>
        <w:rPr>
          <w:rFonts w:hint="eastAsia" w:ascii="仿宋" w:hAnsi="仿宋" w:eastAsia="仿宋" w:cs="仿宋"/>
          <w:sz w:val="24"/>
          <w:lang w:eastAsia="zh-CN"/>
        </w:rPr>
        <w:t>乐采云平台</w:t>
      </w:r>
      <w:r>
        <w:rPr>
          <w:rFonts w:hint="eastAsia" w:ascii="仿宋" w:hAnsi="仿宋" w:eastAsia="仿宋" w:cs="仿宋"/>
          <w:sz w:val="24"/>
        </w:rPr>
        <w:t>（</w:t>
      </w:r>
      <w:r>
        <w:fldChar w:fldCharType="begin"/>
      </w:r>
      <w:r>
        <w:instrText xml:space="preserve"> HYPERLINK "https://www.zcygov.cn/）获取（下载）招标文件，并于202%20年%20月%20日%20点%20分00秒" </w:instrText>
      </w:r>
      <w:r>
        <w:fldChar w:fldCharType="separate"/>
      </w:r>
      <w:r>
        <w:rPr>
          <w:rStyle w:val="79"/>
          <w:rFonts w:hint="eastAsia" w:ascii="仿宋" w:hAnsi="仿宋" w:eastAsia="仿宋" w:cs="仿宋"/>
          <w:snapToGrid/>
          <w:color w:val="auto"/>
          <w:kern w:val="2"/>
          <w:sz w:val="24"/>
          <w:szCs w:val="24"/>
          <w:lang w:eastAsia="zh-CN"/>
        </w:rPr>
        <w:t>https://www.lecaiyun.com/）</w:t>
      </w:r>
      <w:r>
        <w:rPr>
          <w:rStyle w:val="79"/>
          <w:rFonts w:hint="eastAsia" w:ascii="仿宋" w:hAnsi="仿宋" w:eastAsia="仿宋" w:cs="仿宋"/>
          <w:snapToGrid/>
          <w:color w:val="auto"/>
          <w:kern w:val="2"/>
          <w:sz w:val="24"/>
          <w:szCs w:val="24"/>
        </w:rPr>
        <w:t>获取（下载）招标文件，并于2024年</w:t>
      </w:r>
      <w:r>
        <w:rPr>
          <w:rStyle w:val="79"/>
          <w:rFonts w:hint="eastAsia" w:ascii="仿宋" w:hAnsi="仿宋" w:eastAsia="仿宋" w:cs="仿宋"/>
          <w:snapToGrid/>
          <w:color w:val="auto"/>
          <w:kern w:val="2"/>
          <w:sz w:val="24"/>
          <w:szCs w:val="24"/>
          <w:lang w:val="en-US" w:eastAsia="zh-CN"/>
        </w:rPr>
        <w:t>12</w:t>
      </w:r>
      <w:r>
        <w:rPr>
          <w:rStyle w:val="79"/>
          <w:rFonts w:hint="eastAsia" w:ascii="仿宋" w:hAnsi="仿宋" w:eastAsia="仿宋" w:cs="仿宋"/>
          <w:snapToGrid/>
          <w:color w:val="auto"/>
          <w:kern w:val="2"/>
          <w:sz w:val="24"/>
          <w:szCs w:val="24"/>
        </w:rPr>
        <w:t>月</w:t>
      </w:r>
      <w:r>
        <w:rPr>
          <w:rStyle w:val="79"/>
          <w:rFonts w:hint="eastAsia" w:ascii="仿宋" w:hAnsi="仿宋" w:eastAsia="仿宋" w:cs="仿宋"/>
          <w:snapToGrid/>
          <w:color w:val="auto"/>
          <w:kern w:val="2"/>
          <w:sz w:val="24"/>
          <w:szCs w:val="24"/>
          <w:lang w:val="en-US" w:eastAsia="zh-CN"/>
        </w:rPr>
        <w:t>03</w:t>
      </w:r>
      <w:r>
        <w:rPr>
          <w:rStyle w:val="79"/>
          <w:rFonts w:hint="eastAsia" w:ascii="仿宋" w:hAnsi="仿宋" w:eastAsia="仿宋" w:cs="仿宋"/>
          <w:snapToGrid/>
          <w:color w:val="auto"/>
          <w:kern w:val="2"/>
          <w:sz w:val="24"/>
          <w:szCs w:val="24"/>
        </w:rPr>
        <w:t>日09</w:t>
      </w:r>
      <w:r>
        <w:rPr>
          <w:rStyle w:val="79"/>
          <w:rFonts w:hint="eastAsia" w:ascii="仿宋" w:hAnsi="仿宋" w:eastAsia="仿宋" w:cs="仿宋"/>
          <w:snapToGrid/>
          <w:color w:val="auto"/>
          <w:kern w:val="2"/>
          <w:sz w:val="24"/>
          <w:szCs w:val="24"/>
          <w:lang w:eastAsia="zh-CN"/>
        </w:rPr>
        <w:t>:</w:t>
      </w:r>
      <w:r>
        <w:rPr>
          <w:rStyle w:val="79"/>
          <w:rFonts w:hint="eastAsia" w:ascii="仿宋" w:hAnsi="仿宋" w:eastAsia="仿宋" w:cs="仿宋"/>
          <w:snapToGrid/>
          <w:color w:val="auto"/>
          <w:kern w:val="2"/>
          <w:sz w:val="24"/>
          <w:szCs w:val="24"/>
        </w:rPr>
        <w:t>00</w:t>
      </w:r>
      <w:r>
        <w:rPr>
          <w:rStyle w:val="79"/>
          <w:rFonts w:hint="eastAsia" w:ascii="仿宋" w:hAnsi="仿宋" w:eastAsia="仿宋" w:cs="仿宋"/>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rPr>
        <w:t>TZFD(2024)-</w:t>
      </w:r>
      <w:r>
        <w:rPr>
          <w:rFonts w:hint="eastAsia" w:ascii="仿宋" w:hAnsi="仿宋" w:eastAsia="仿宋" w:cs="仿宋"/>
          <w:sz w:val="24"/>
          <w:lang w:eastAsia="zh-CN"/>
        </w:rPr>
        <w:t>1081号</w:t>
      </w:r>
    </w:p>
    <w:p>
      <w:pPr>
        <w:spacing w:line="360" w:lineRule="auto"/>
        <w:ind w:firstLine="480"/>
        <w:rPr>
          <w:rFonts w:ascii="仿宋" w:hAnsi="仿宋" w:eastAsia="仿宋" w:cs="仿宋"/>
          <w:b/>
          <w:sz w:val="24"/>
        </w:rPr>
      </w:pPr>
      <w:r>
        <w:rPr>
          <w:rFonts w:hint="eastAsia" w:ascii="仿宋" w:hAnsi="仿宋" w:eastAsia="仿宋" w:cs="仿宋"/>
          <w:b/>
          <w:sz w:val="24"/>
        </w:rPr>
        <w:t>项目名称：</w:t>
      </w:r>
      <w:r>
        <w:rPr>
          <w:rFonts w:hint="eastAsia" w:ascii="仿宋" w:hAnsi="仿宋" w:eastAsia="仿宋" w:cs="仿宋"/>
          <w:sz w:val="24"/>
        </w:rPr>
        <w:t xml:space="preserve"> </w:t>
      </w:r>
      <w:r>
        <w:rPr>
          <w:rFonts w:hint="eastAsia" w:ascii="仿宋" w:hAnsi="仿宋" w:eastAsia="仿宋" w:cs="仿宋"/>
          <w:sz w:val="24"/>
          <w:lang w:eastAsia="zh-CN"/>
        </w:rPr>
        <w:t>椒江区“平安家庭”家事纠纷化解“一类事”平台建设项目</w:t>
      </w:r>
      <w:r>
        <w:rPr>
          <w:rFonts w:hint="eastAsia" w:ascii="仿宋" w:hAnsi="仿宋" w:eastAsia="仿宋" w:cs="仿宋"/>
          <w:sz w:val="24"/>
        </w:rPr>
        <w:t xml:space="preserve">   </w:t>
      </w:r>
      <w:r>
        <w:rPr>
          <w:rFonts w:hint="eastAsia" w:ascii="仿宋" w:hAnsi="仿宋" w:eastAsia="仿宋" w:cs="仿宋"/>
          <w:b/>
          <w:sz w:val="24"/>
        </w:rPr>
        <w:t xml:space="preserve"> </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预算金额（元）：</w:t>
      </w:r>
      <w:r>
        <w:rPr>
          <w:rFonts w:hint="eastAsia" w:ascii="仿宋" w:hAnsi="仿宋" w:eastAsia="仿宋" w:cs="仿宋"/>
          <w:sz w:val="24"/>
        </w:rPr>
        <w:t xml:space="preserve"> </w:t>
      </w:r>
      <w:r>
        <w:rPr>
          <w:rFonts w:hint="eastAsia" w:ascii="仿宋" w:hAnsi="仿宋" w:eastAsia="仿宋" w:cs="仿宋"/>
          <w:sz w:val="24"/>
          <w:lang w:val="en-US" w:eastAsia="zh-CN"/>
        </w:rPr>
        <w:t>450000</w:t>
      </w:r>
    </w:p>
    <w:p>
      <w:pPr>
        <w:spacing w:line="360" w:lineRule="auto"/>
        <w:ind w:firstLine="480"/>
        <w:rPr>
          <w:rFonts w:hint="default" w:ascii="仿宋" w:hAnsi="仿宋" w:eastAsia="仿宋" w:cs="仿宋"/>
          <w:sz w:val="24"/>
          <w:lang w:val="en-US" w:eastAsia="zh-CN"/>
        </w:rPr>
      </w:pPr>
      <w:r>
        <w:rPr>
          <w:rFonts w:hint="eastAsia" w:ascii="仿宋" w:hAnsi="仿宋" w:eastAsia="仿宋" w:cs="仿宋"/>
          <w:b/>
          <w:sz w:val="24"/>
        </w:rPr>
        <w:t>最高限价（元）：</w:t>
      </w:r>
      <w:r>
        <w:rPr>
          <w:rFonts w:hint="eastAsia" w:ascii="仿宋" w:hAnsi="仿宋" w:eastAsia="仿宋" w:cs="仿宋"/>
          <w:b/>
          <w:sz w:val="24"/>
          <w:lang w:val="en-US" w:eastAsia="zh-CN"/>
        </w:rPr>
        <w:t xml:space="preserve"> </w:t>
      </w:r>
      <w:r>
        <w:rPr>
          <w:rFonts w:hint="eastAsia" w:ascii="仿宋" w:hAnsi="仿宋" w:eastAsia="仿宋" w:cs="仿宋"/>
          <w:sz w:val="24"/>
          <w:lang w:val="en-US" w:eastAsia="zh-CN"/>
        </w:rPr>
        <w:t>450000</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p>
    <w:tbl>
      <w:tblPr>
        <w:tblStyle w:val="65"/>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19"/>
        <w:gridCol w:w="1427"/>
        <w:gridCol w:w="782"/>
        <w:gridCol w:w="782"/>
        <w:gridCol w:w="1783"/>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76"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标项号</w:t>
            </w:r>
          </w:p>
        </w:tc>
        <w:tc>
          <w:tcPr>
            <w:tcW w:w="2819"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项目名称</w:t>
            </w:r>
          </w:p>
        </w:tc>
        <w:tc>
          <w:tcPr>
            <w:tcW w:w="1427"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主要内容</w:t>
            </w:r>
          </w:p>
        </w:tc>
        <w:tc>
          <w:tcPr>
            <w:tcW w:w="782" w:type="dxa"/>
            <w:vAlign w:val="center"/>
          </w:tcPr>
          <w:p>
            <w:pPr>
              <w:tabs>
                <w:tab w:val="left" w:pos="8280"/>
              </w:tabs>
              <w:autoSpaceDE w:val="0"/>
              <w:autoSpaceDN w:val="0"/>
              <w:spacing w:line="360" w:lineRule="auto"/>
              <w:ind w:right="25" w:rightChars="0"/>
              <w:jc w:val="center"/>
              <w:rPr>
                <w:rFonts w:ascii="仿宋" w:hAnsi="仿宋" w:eastAsia="仿宋" w:cs="仿宋"/>
                <w:b/>
                <w:sz w:val="24"/>
              </w:rPr>
            </w:pPr>
            <w:r>
              <w:rPr>
                <w:rFonts w:hint="eastAsia" w:ascii="仿宋" w:hAnsi="仿宋" w:eastAsia="仿宋" w:cs="仿宋"/>
                <w:b/>
                <w:sz w:val="24"/>
              </w:rPr>
              <w:t>数量</w:t>
            </w:r>
          </w:p>
        </w:tc>
        <w:tc>
          <w:tcPr>
            <w:tcW w:w="782" w:type="dxa"/>
            <w:vAlign w:val="center"/>
          </w:tcPr>
          <w:p>
            <w:pPr>
              <w:tabs>
                <w:tab w:val="left" w:pos="8280"/>
              </w:tabs>
              <w:autoSpaceDE w:val="0"/>
              <w:autoSpaceDN w:val="0"/>
              <w:spacing w:line="360" w:lineRule="auto"/>
              <w:ind w:right="25" w:rightChars="0"/>
              <w:jc w:val="center"/>
              <w:rPr>
                <w:rFonts w:ascii="仿宋" w:hAnsi="仿宋" w:eastAsia="仿宋" w:cs="仿宋"/>
                <w:b/>
                <w:sz w:val="24"/>
              </w:rPr>
            </w:pPr>
            <w:r>
              <w:rPr>
                <w:rFonts w:hint="eastAsia" w:ascii="仿宋" w:hAnsi="仿宋" w:eastAsia="仿宋" w:cs="仿宋"/>
                <w:b/>
                <w:sz w:val="24"/>
              </w:rPr>
              <w:t>单位</w:t>
            </w:r>
          </w:p>
        </w:tc>
        <w:tc>
          <w:tcPr>
            <w:tcW w:w="1783"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最高限价</w:t>
            </w:r>
          </w:p>
        </w:tc>
        <w:tc>
          <w:tcPr>
            <w:tcW w:w="808" w:type="dxa"/>
            <w:vAlign w:val="center"/>
          </w:tcPr>
          <w:p>
            <w:pPr>
              <w:tabs>
                <w:tab w:val="left" w:pos="8280"/>
              </w:tabs>
              <w:autoSpaceDE w:val="0"/>
              <w:autoSpaceDN w:val="0"/>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776" w:type="dxa"/>
            <w:vAlign w:val="center"/>
          </w:tcPr>
          <w:p>
            <w:pPr>
              <w:tabs>
                <w:tab w:val="left" w:pos="8280"/>
              </w:tabs>
              <w:autoSpaceDE w:val="0"/>
              <w:autoSpaceDN w:val="0"/>
              <w:snapToGrid w:val="0"/>
              <w:spacing w:line="360" w:lineRule="auto"/>
              <w:jc w:val="center"/>
              <w:rPr>
                <w:rFonts w:ascii="仿宋" w:hAnsi="仿宋" w:eastAsia="仿宋" w:cs="仿宋"/>
                <w:szCs w:val="21"/>
              </w:rPr>
            </w:pPr>
            <w:r>
              <w:rPr>
                <w:rFonts w:hint="eastAsia" w:ascii="仿宋" w:hAnsi="仿宋" w:eastAsia="仿宋" w:cs="仿宋"/>
                <w:szCs w:val="21"/>
              </w:rPr>
              <w:t>二</w:t>
            </w:r>
          </w:p>
        </w:tc>
        <w:tc>
          <w:tcPr>
            <w:tcW w:w="2819" w:type="dxa"/>
            <w:vAlign w:val="center"/>
          </w:tcPr>
          <w:p>
            <w:pPr>
              <w:tabs>
                <w:tab w:val="left" w:pos="8280"/>
              </w:tabs>
              <w:autoSpaceDE w:val="0"/>
              <w:autoSpaceDN w:val="0"/>
              <w:spacing w:line="560" w:lineRule="atLeast"/>
              <w:ind w:right="25"/>
              <w:jc w:val="center"/>
              <w:rPr>
                <w:rFonts w:ascii="仿宋" w:hAnsi="仿宋" w:eastAsia="仿宋" w:cs="仿宋"/>
                <w:bCs/>
                <w:sz w:val="24"/>
              </w:rPr>
            </w:pPr>
            <w:r>
              <w:rPr>
                <w:rFonts w:hint="eastAsia" w:ascii="仿宋" w:hAnsi="仿宋" w:eastAsia="仿宋" w:cs="仿宋"/>
                <w:sz w:val="24"/>
              </w:rPr>
              <w:t>椒江区“平安家庭”家事纠纷化解“一类事”采购项目</w:t>
            </w:r>
          </w:p>
        </w:tc>
        <w:tc>
          <w:tcPr>
            <w:tcW w:w="1427" w:type="dxa"/>
            <w:vAlign w:val="center"/>
          </w:tcPr>
          <w:p>
            <w:pPr>
              <w:tabs>
                <w:tab w:val="left" w:pos="8280"/>
              </w:tabs>
              <w:autoSpaceDE w:val="0"/>
              <w:autoSpaceDN w:val="0"/>
              <w:snapToGrid w:val="0"/>
              <w:spacing w:line="360" w:lineRule="auto"/>
              <w:jc w:val="center"/>
              <w:rPr>
                <w:rFonts w:ascii="仿宋" w:hAnsi="仿宋" w:eastAsia="仿宋" w:cs="仿宋"/>
                <w:bCs/>
                <w:sz w:val="24"/>
              </w:rPr>
            </w:pPr>
            <w:r>
              <w:rPr>
                <w:rFonts w:hint="eastAsia" w:ascii="仿宋" w:hAnsi="仿宋" w:eastAsia="仿宋" w:cs="仿宋"/>
                <w:sz w:val="24"/>
              </w:rPr>
              <w:t>详见采购需求</w:t>
            </w:r>
          </w:p>
        </w:tc>
        <w:tc>
          <w:tcPr>
            <w:tcW w:w="782" w:type="dxa"/>
            <w:vAlign w:val="center"/>
          </w:tcPr>
          <w:p>
            <w:pPr>
              <w:tabs>
                <w:tab w:val="left" w:pos="8280"/>
              </w:tabs>
              <w:autoSpaceDE w:val="0"/>
              <w:autoSpaceDN w:val="0"/>
              <w:spacing w:line="360" w:lineRule="auto"/>
              <w:ind w:right="25" w:rightChars="0"/>
              <w:jc w:val="center"/>
              <w:rPr>
                <w:rFonts w:ascii="仿宋" w:hAnsi="仿宋" w:eastAsia="仿宋" w:cs="仿宋"/>
                <w:bCs/>
                <w:sz w:val="24"/>
              </w:rPr>
            </w:pPr>
            <w:r>
              <w:rPr>
                <w:rFonts w:hint="eastAsia" w:ascii="仿宋" w:hAnsi="仿宋" w:eastAsia="仿宋" w:cs="仿宋"/>
                <w:sz w:val="24"/>
              </w:rPr>
              <w:t>1</w:t>
            </w:r>
          </w:p>
        </w:tc>
        <w:tc>
          <w:tcPr>
            <w:tcW w:w="782" w:type="dxa"/>
            <w:vAlign w:val="center"/>
          </w:tcPr>
          <w:p>
            <w:pPr>
              <w:tabs>
                <w:tab w:val="left" w:pos="8280"/>
              </w:tabs>
              <w:autoSpaceDE w:val="0"/>
              <w:autoSpaceDN w:val="0"/>
              <w:spacing w:line="360" w:lineRule="auto"/>
              <w:ind w:right="25" w:rightChars="0"/>
              <w:jc w:val="center"/>
              <w:rPr>
                <w:rFonts w:ascii="仿宋" w:hAnsi="仿宋" w:eastAsia="仿宋" w:cs="仿宋"/>
                <w:bCs/>
                <w:sz w:val="24"/>
              </w:rPr>
            </w:pPr>
            <w:r>
              <w:rPr>
                <w:rFonts w:hint="eastAsia" w:ascii="仿宋" w:hAnsi="仿宋" w:eastAsia="仿宋" w:cs="仿宋"/>
                <w:sz w:val="24"/>
              </w:rPr>
              <w:t>项</w:t>
            </w:r>
          </w:p>
        </w:tc>
        <w:tc>
          <w:tcPr>
            <w:tcW w:w="1783" w:type="dxa"/>
            <w:vAlign w:val="center"/>
          </w:tcPr>
          <w:p>
            <w:pPr>
              <w:tabs>
                <w:tab w:val="left" w:pos="8280"/>
              </w:tabs>
              <w:autoSpaceDE w:val="0"/>
              <w:autoSpaceDN w:val="0"/>
              <w:snapToGrid w:val="0"/>
              <w:spacing w:line="360" w:lineRule="auto"/>
              <w:jc w:val="center"/>
              <w:rPr>
                <w:rFonts w:hint="default" w:ascii="仿宋" w:hAnsi="仿宋" w:eastAsia="仿宋" w:cs="仿宋"/>
                <w:bCs/>
                <w:sz w:val="24"/>
                <w:lang w:val="en-US"/>
              </w:rPr>
            </w:pPr>
            <w:r>
              <w:rPr>
                <w:rFonts w:hint="eastAsia" w:ascii="仿宋" w:hAnsi="仿宋" w:eastAsia="仿宋" w:cs="仿宋"/>
                <w:sz w:val="24"/>
                <w:lang w:val="en-US" w:eastAsia="zh-CN"/>
              </w:rPr>
              <w:t>450000元</w:t>
            </w:r>
          </w:p>
        </w:tc>
        <w:tc>
          <w:tcPr>
            <w:tcW w:w="808" w:type="dxa"/>
            <w:vAlign w:val="center"/>
          </w:tcPr>
          <w:p>
            <w:pPr>
              <w:snapToGrid w:val="0"/>
              <w:spacing w:line="360" w:lineRule="auto"/>
              <w:jc w:val="center"/>
              <w:rPr>
                <w:rFonts w:ascii="仿宋" w:hAnsi="仿宋" w:eastAsia="仿宋" w:cs="仿宋"/>
                <w:sz w:val="22"/>
                <w:szCs w:val="28"/>
                <w:highlight w:val="yellow"/>
              </w:rPr>
            </w:pPr>
          </w:p>
        </w:tc>
      </w:tr>
    </w:tbl>
    <w:p>
      <w:pPr>
        <w:pStyle w:val="15"/>
        <w:spacing w:line="360" w:lineRule="auto"/>
        <w:ind w:firstLine="480"/>
        <w:rPr>
          <w:rFonts w:ascii="仿宋" w:hAnsi="仿宋" w:eastAsia="仿宋" w:cs="仿宋"/>
          <w:bCs/>
          <w:snapToGrid/>
          <w:color w:val="auto"/>
          <w:kern w:val="2"/>
          <w:sz w:val="24"/>
          <w:szCs w:val="24"/>
        </w:rPr>
      </w:pP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snapToGrid/>
          <w:color w:val="auto"/>
          <w:kern w:val="2"/>
          <w:sz w:val="24"/>
          <w:szCs w:val="24"/>
        </w:rPr>
        <w:t>具体以招标文件采购需求为准，供应商可点击本公告下方“浏览采购文件”查看采购需求。</w:t>
      </w:r>
    </w:p>
    <w:p>
      <w:pPr>
        <w:pStyle w:val="131"/>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rPr>
        <w:t xml:space="preserve"> /</w:t>
      </w:r>
    </w:p>
    <w:p>
      <w:pPr>
        <w:pStyle w:val="15"/>
        <w:spacing w:line="360" w:lineRule="auto"/>
        <w:ind w:firstLine="480"/>
        <w:rPr>
          <w:rFonts w:ascii="仿宋" w:hAnsi="仿宋" w:eastAsia="仿宋" w:cs="仿宋"/>
          <w:b/>
          <w:color w:val="auto"/>
        </w:rPr>
      </w:pPr>
      <w:r>
        <w:rPr>
          <w:rFonts w:hint="eastAsia" w:ascii="仿宋" w:hAnsi="仿宋" w:eastAsia="仿宋" w:cs="仿宋"/>
          <w:b/>
          <w:color w:val="auto"/>
          <w:sz w:val="24"/>
        </w:rPr>
        <w:t>本项目是否接受联合体投标：否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lang w:val="en-US" w:eastAsia="zh-CN"/>
        </w:rPr>
      </w:pPr>
      <w:r>
        <w:rPr>
          <w:rFonts w:hint="eastAsia" w:ascii="仿宋" w:hAnsi="仿宋" w:eastAsia="仿宋" w:cs="仿宋"/>
          <w:snapToGrid w:val="0"/>
          <w:kern w:val="28"/>
          <w:sz w:val="24"/>
          <w:szCs w:val="20"/>
        </w:rPr>
        <w:t>1. 具有独立法人资格，且能提供本项目</w:t>
      </w:r>
      <w:r>
        <w:rPr>
          <w:rFonts w:hint="eastAsia" w:ascii="仿宋" w:hAnsi="仿宋" w:eastAsia="仿宋" w:cs="仿宋"/>
          <w:snapToGrid w:val="0"/>
          <w:kern w:val="28"/>
          <w:sz w:val="24"/>
          <w:szCs w:val="20"/>
          <w:lang w:eastAsia="zh-CN"/>
        </w:rPr>
        <w:t>服务</w:t>
      </w:r>
      <w:r>
        <w:rPr>
          <w:rFonts w:hint="eastAsia" w:ascii="仿宋" w:hAnsi="仿宋" w:eastAsia="仿宋" w:cs="仿宋"/>
          <w:snapToGrid w:val="0"/>
          <w:kern w:val="28"/>
          <w:sz w:val="24"/>
          <w:szCs w:val="20"/>
        </w:rPr>
        <w:t>的投标人</w:t>
      </w:r>
      <w:r>
        <w:rPr>
          <w:rFonts w:hint="eastAsia" w:ascii="仿宋" w:hAnsi="仿宋" w:eastAsia="仿宋" w:cs="仿宋"/>
          <w:snapToGrid w:val="0"/>
          <w:kern w:val="28"/>
          <w:sz w:val="24"/>
          <w:szCs w:val="20"/>
          <w:lang w:val="en-US" w:eastAsia="zh-CN"/>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s="仿宋"/>
          <w:snapToGrid w:val="0"/>
          <w:kern w:val="28"/>
          <w:sz w:val="24"/>
          <w:szCs w:val="20"/>
        </w:rPr>
        <w:t>；</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4.本项目不接受联合体投标</w:t>
      </w:r>
      <w:r>
        <w:rPr>
          <w:rFonts w:hint="eastAsia" w:ascii="仿宋" w:hAnsi="仿宋" w:eastAsia="仿宋" w:cs="仿宋"/>
          <w:sz w:val="24"/>
        </w:rPr>
        <w:t>。</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b/>
          <w:sz w:val="24"/>
          <w:lang w:val="en-US" w:eastAsia="zh-CN"/>
        </w:rPr>
        <w:t>/</w:t>
      </w:r>
      <w:r>
        <w:rPr>
          <w:rFonts w:hint="eastAsia" w:ascii="仿宋" w:hAnsi="仿宋" w:eastAsia="仿宋" w:cs="仿宋"/>
          <w:b/>
          <w:sz w:val="24"/>
        </w:rPr>
        <w:t>至提交</w:t>
      </w:r>
      <w:r>
        <w:rPr>
          <w:rFonts w:hint="eastAsia" w:ascii="仿宋" w:hAnsi="仿宋" w:eastAsia="仿宋" w:cs="仿宋"/>
          <w:b/>
          <w:sz w:val="24"/>
          <w:lang w:val="en-US" w:eastAsia="zh-CN"/>
        </w:rPr>
        <w:t>2024-12-27 16：30</w:t>
      </w:r>
      <w:r>
        <w:rPr>
          <w:rFonts w:hint="eastAsia" w:ascii="仿宋" w:hAnsi="仿宋" w:eastAsia="仿宋" w:cs="仿宋"/>
          <w:b/>
          <w:sz w:val="24"/>
        </w:rPr>
        <w:t>之前均可获取</w:t>
      </w:r>
      <w:r>
        <w:rPr>
          <w:rFonts w:hint="eastAsia" w:ascii="仿宋" w:hAnsi="仿宋" w:eastAsia="仿宋" w:cs="仿宋"/>
          <w:sz w:val="24"/>
        </w:rPr>
        <w:t>（北京时间，线上获取法定节假日均可，线下获取文件法定节假日除外）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乐采云平台</w:t>
      </w:r>
      <w:r>
        <w:rPr>
          <w:rFonts w:hint="eastAsia" w:ascii="仿宋" w:hAnsi="仿宋" w:eastAsia="仿宋" w:cs="仿宋"/>
          <w:sz w:val="24"/>
        </w:rPr>
        <w:t>（</w:t>
      </w:r>
      <w:r>
        <w:rPr>
          <w:rFonts w:hint="eastAsia" w:ascii="仿宋" w:hAnsi="仿宋" w:eastAsia="仿宋" w:cs="仿宋"/>
          <w:sz w:val="24"/>
          <w:lang w:eastAsia="zh-CN"/>
        </w:rPr>
        <w:t>https://www.lecaiyun.com/）</w:t>
      </w:r>
      <w:r>
        <w:rPr>
          <w:rFonts w:hint="eastAsia" w:ascii="仿宋" w:hAnsi="仿宋" w:eastAsia="仿宋" w:cs="仿宋"/>
          <w:sz w:val="24"/>
        </w:rPr>
        <w:t xml:space="preserve"> </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方式：</w:t>
      </w:r>
    </w:p>
    <w:p>
      <w:pPr>
        <w:spacing w:line="360" w:lineRule="auto"/>
        <w:ind w:firstLine="480" w:firstLineChars="200"/>
        <w:rPr>
          <w:rFonts w:ascii="仿宋" w:hAnsi="仿宋" w:eastAsia="仿宋" w:cs="仿宋"/>
          <w:sz w:val="24"/>
        </w:rPr>
      </w:pPr>
      <w:r>
        <w:rPr>
          <w:rFonts w:hint="eastAsia" w:ascii="仿宋" w:hAnsi="仿宋" w:eastAsia="仿宋" w:cs="仿宋"/>
          <w:b w:val="0"/>
          <w:bCs/>
          <w:sz w:val="24"/>
          <w:lang w:val="en-US" w:eastAsia="zh-CN"/>
        </w:rPr>
        <w:t>1.</w:t>
      </w:r>
      <w:r>
        <w:rPr>
          <w:rFonts w:hint="eastAsia" w:ascii="仿宋" w:hAnsi="仿宋" w:eastAsia="仿宋" w:cs="仿宋"/>
          <w:sz w:val="24"/>
        </w:rPr>
        <w:t>供应商登录</w:t>
      </w:r>
      <w:r>
        <w:rPr>
          <w:rFonts w:hint="eastAsia" w:ascii="仿宋" w:hAnsi="仿宋" w:eastAsia="仿宋" w:cs="仿宋"/>
          <w:sz w:val="24"/>
          <w:lang w:eastAsia="zh-CN"/>
        </w:rPr>
        <w:t>乐采云平台https://www.lecaiyun.com/</w:t>
      </w:r>
      <w:r>
        <w:rPr>
          <w:rFonts w:hint="eastAsia" w:ascii="仿宋" w:hAnsi="仿宋" w:eastAsia="仿宋" w:cs="仿宋"/>
          <w:sz w:val="24"/>
        </w:rPr>
        <w:t>/在线申请获取采购文件（在线申请获取招标文件，不提供纸制版招标文件；</w:t>
      </w:r>
      <w:r>
        <w:rPr>
          <w:rFonts w:hint="eastAsia" w:ascii="仿宋" w:hAnsi="仿宋" w:eastAsia="仿宋" w:cs="仿宋"/>
          <w:sz w:val="24"/>
          <w:lang w:eastAsia="zh-CN"/>
        </w:rPr>
        <w:t>投标人</w:t>
      </w:r>
      <w:r>
        <w:rPr>
          <w:rFonts w:hint="eastAsia" w:ascii="仿宋" w:hAnsi="仿宋" w:eastAsia="仿宋" w:cs="仿宋"/>
          <w:sz w:val="24"/>
        </w:rPr>
        <w:t xml:space="preserve">只有在“乐采云平台（https://www.lecaiyun.com/）”完成获取招标文件申请并下载了招标文件后才视作依法获取招标文件。通过公告下方“游客，浏览招标文件”下载的招标文件仅供浏览，不视作依法获取招标文件）。 </w:t>
      </w:r>
    </w:p>
    <w:p>
      <w:pPr>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 xml:space="preserve">获取招标文件时需提供以下资料（复印件加盖单位公章）：投标人营业执照、报名人身份证、法定代表人授权委托书及联系方式。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2024 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03</w:t>
      </w:r>
      <w:r>
        <w:rPr>
          <w:rFonts w:hint="eastAsia" w:ascii="仿宋" w:hAnsi="仿宋" w:eastAsia="仿宋" w:cs="仿宋"/>
          <w:sz w:val="24"/>
          <w:u w:val="single"/>
        </w:rPr>
        <w:t>日09</w:t>
      </w:r>
      <w:r>
        <w:rPr>
          <w:rFonts w:hint="eastAsia" w:ascii="仿宋" w:hAnsi="仿宋" w:eastAsia="仿宋" w:cs="仿宋"/>
          <w:sz w:val="24"/>
          <w:u w:val="single"/>
          <w:lang w:eastAsia="zh-CN"/>
        </w:rPr>
        <w:t>:</w:t>
      </w:r>
      <w:r>
        <w:rPr>
          <w:rFonts w:hint="eastAsia" w:ascii="仿宋" w:hAnsi="仿宋" w:eastAsia="仿宋" w:cs="仿宋"/>
          <w:sz w:val="24"/>
          <w:u w:val="single"/>
        </w:rPr>
        <w:t>00</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lang w:eastAsia="zh-CN"/>
        </w:rPr>
        <w:t>乐采云平台</w:t>
      </w:r>
      <w:r>
        <w:rPr>
          <w:rFonts w:hint="eastAsia" w:ascii="仿宋" w:hAnsi="仿宋" w:eastAsia="仿宋" w:cs="仿宋"/>
          <w:sz w:val="24"/>
        </w:rPr>
        <w:t>（</w:t>
      </w:r>
      <w:r>
        <w:rPr>
          <w:rFonts w:hint="eastAsia" w:ascii="仿宋" w:hAnsi="仿宋" w:eastAsia="仿宋" w:cs="仿宋"/>
          <w:sz w:val="24"/>
          <w:lang w:eastAsia="zh-CN"/>
        </w:rPr>
        <w:t>https://www.lecaiyun.com/）</w:t>
      </w:r>
      <w:r>
        <w:rPr>
          <w:rFonts w:hint="eastAsia" w:ascii="仿宋" w:hAnsi="仿宋" w:eastAsia="仿宋" w:cs="仿宋"/>
          <w:sz w:val="24"/>
        </w:rPr>
        <w:t xml:space="preserve"> </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开标时间：</w:t>
      </w:r>
      <w:r>
        <w:rPr>
          <w:rFonts w:hint="eastAsia" w:ascii="仿宋" w:hAnsi="仿宋" w:eastAsia="仿宋" w:cs="仿宋"/>
          <w:sz w:val="24"/>
          <w:u w:val="single"/>
        </w:rPr>
        <w:t>2024 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03</w:t>
      </w:r>
      <w:r>
        <w:rPr>
          <w:rFonts w:hint="eastAsia" w:ascii="仿宋" w:hAnsi="仿宋" w:eastAsia="仿宋" w:cs="仿宋"/>
          <w:sz w:val="24"/>
          <w:u w:val="single"/>
        </w:rPr>
        <w:t>日09</w:t>
      </w:r>
      <w:r>
        <w:rPr>
          <w:rFonts w:hint="eastAsia" w:ascii="仿宋" w:hAnsi="仿宋" w:eastAsia="仿宋" w:cs="仿宋"/>
          <w:sz w:val="24"/>
          <w:u w:val="single"/>
          <w:lang w:eastAsia="zh-CN"/>
        </w:rPr>
        <w:t>:</w:t>
      </w:r>
      <w:r>
        <w:rPr>
          <w:rFonts w:hint="eastAsia" w:ascii="仿宋" w:hAnsi="仿宋" w:eastAsia="仿宋" w:cs="仿宋"/>
          <w:sz w:val="24"/>
          <w:u w:val="single"/>
        </w:rPr>
        <w:t>00</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lang w:eastAsia="zh-CN"/>
        </w:rPr>
        <w:t>乐采云平台</w:t>
      </w:r>
      <w:r>
        <w:rPr>
          <w:rFonts w:hint="eastAsia" w:ascii="仿宋" w:hAnsi="仿宋" w:eastAsia="仿宋" w:cs="仿宋"/>
          <w:sz w:val="24"/>
        </w:rPr>
        <w:t>（</w:t>
      </w:r>
      <w:r>
        <w:rPr>
          <w:rFonts w:hint="eastAsia" w:ascii="仿宋" w:hAnsi="仿宋" w:eastAsia="仿宋" w:cs="仿宋"/>
          <w:sz w:val="24"/>
          <w:lang w:eastAsia="zh-CN"/>
        </w:rPr>
        <w:t>https://www.lecaiyun.com/）</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napToGrid w:val="0"/>
        <w:spacing w:line="360" w:lineRule="auto"/>
        <w:ind w:firstLine="420" w:firstLineChars="175"/>
        <w:outlineLvl w:val="1"/>
        <w:rPr>
          <w:rFonts w:hint="eastAsia" w:ascii="仿宋" w:hAnsi="仿宋" w:eastAsia="仿宋" w:cs="仿宋"/>
          <w:bCs/>
          <w:sz w:val="24"/>
        </w:rPr>
      </w:pPr>
      <w:r>
        <w:rPr>
          <w:rFonts w:hint="eastAsia" w:ascii="仿宋" w:hAnsi="仿宋" w:eastAsia="仿宋" w:cs="仿宋"/>
          <w:bCs/>
          <w:sz w:val="24"/>
        </w:rPr>
        <w:t>1、本项目所有公告发布网站：“乐采云”（https://sourcing-lcy.lecaiyun.com/）。</w:t>
      </w:r>
    </w:p>
    <w:p>
      <w:pPr>
        <w:snapToGrid w:val="0"/>
        <w:spacing w:line="360" w:lineRule="auto"/>
        <w:ind w:firstLine="420" w:firstLineChars="175"/>
        <w:outlineLvl w:val="1"/>
        <w:rPr>
          <w:rFonts w:hint="eastAsia" w:ascii="仿宋" w:hAnsi="仿宋" w:eastAsia="仿宋" w:cs="仿宋"/>
          <w:bCs/>
          <w:sz w:val="24"/>
        </w:rPr>
      </w:pPr>
      <w:r>
        <w:rPr>
          <w:rFonts w:hint="eastAsia" w:ascii="仿宋" w:hAnsi="仿宋" w:eastAsia="仿宋" w:cs="仿宋"/>
          <w:bCs/>
          <w:sz w:val="24"/>
        </w:rPr>
        <w:t>2、其他：本项目为非政府采购。</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名    称：</w:t>
      </w:r>
      <w:r>
        <w:rPr>
          <w:rFonts w:hint="eastAsia" w:ascii="仿宋" w:hAnsi="仿宋" w:eastAsia="仿宋" w:cs="仿宋"/>
          <w:sz w:val="24"/>
          <w:lang w:eastAsia="zh-CN"/>
        </w:rPr>
        <w:t>台州市新府城科技传媒有限公司</w:t>
      </w:r>
    </w:p>
    <w:p>
      <w:pPr>
        <w:spacing w:line="360" w:lineRule="auto"/>
        <w:rPr>
          <w:rFonts w:ascii="仿宋" w:hAnsi="仿宋" w:eastAsia="仿宋" w:cs="仿宋"/>
          <w:sz w:val="24"/>
        </w:rPr>
      </w:pPr>
      <w:r>
        <w:rPr>
          <w:rFonts w:hint="eastAsia" w:ascii="仿宋" w:hAnsi="仿宋" w:eastAsia="仿宋" w:cs="仿宋"/>
          <w:sz w:val="24"/>
        </w:rPr>
        <w:t xml:space="preserve">    地    址： 浙江省台州市椒江区工人东路293号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shd w:val="clear"/>
        </w:rPr>
        <w:t>蔡先生</w:t>
      </w:r>
    </w:p>
    <w:p>
      <w:pPr>
        <w:shd w:val="clear"/>
        <w:spacing w:line="360" w:lineRule="auto"/>
        <w:ind w:firstLine="480"/>
        <w:rPr>
          <w:rFonts w:ascii="仿宋" w:hAnsi="仿宋" w:eastAsia="仿宋" w:cs="仿宋"/>
          <w:sz w:val="24"/>
          <w:shd w:val="clear"/>
        </w:rPr>
      </w:pPr>
      <w:r>
        <w:rPr>
          <w:rFonts w:hint="eastAsia" w:ascii="仿宋" w:hAnsi="仿宋" w:eastAsia="仿宋" w:cs="仿宋"/>
          <w:sz w:val="24"/>
        </w:rPr>
        <w:t>项目联系方式（询问）：</w:t>
      </w:r>
      <w:r>
        <w:rPr>
          <w:rFonts w:hint="eastAsia" w:ascii="仿宋" w:hAnsi="仿宋" w:eastAsia="仿宋" w:cs="仿宋"/>
          <w:sz w:val="24"/>
          <w:shd w:val="clear"/>
        </w:rPr>
        <w:t xml:space="preserve"> 13429323179</w:t>
      </w:r>
    </w:p>
    <w:p>
      <w:pPr>
        <w:shd w:val="clear"/>
        <w:spacing w:line="360" w:lineRule="auto"/>
        <w:ind w:firstLine="480"/>
        <w:rPr>
          <w:rFonts w:hint="default" w:ascii="仿宋" w:hAnsi="仿宋" w:eastAsia="仿宋" w:cs="仿宋"/>
          <w:color w:val="FFFF00"/>
          <w:sz w:val="24"/>
          <w:shd w:val="clear" w:fill="FFFF00"/>
          <w:lang w:val="en-US"/>
        </w:rPr>
      </w:pPr>
      <w:r>
        <w:rPr>
          <w:rFonts w:hint="eastAsia" w:ascii="仿宋" w:hAnsi="仿宋" w:eastAsia="仿宋" w:cs="仿宋"/>
          <w:sz w:val="24"/>
        </w:rPr>
        <w:t>质疑联系人：</w:t>
      </w:r>
      <w:r>
        <w:rPr>
          <w:rFonts w:hint="eastAsia" w:ascii="仿宋" w:hAnsi="仿宋" w:eastAsia="仿宋" w:cs="仿宋"/>
          <w:sz w:val="24"/>
          <w:shd w:val="clear"/>
        </w:rPr>
        <w:t>杨先生</w:t>
      </w:r>
    </w:p>
    <w:p>
      <w:pPr>
        <w:spacing w:line="360" w:lineRule="auto"/>
        <w:ind w:firstLine="480"/>
        <w:rPr>
          <w:rFonts w:hint="default" w:ascii="仿宋" w:hAnsi="仿宋" w:eastAsia="仿宋" w:cs="仿宋"/>
          <w:sz w:val="24"/>
          <w:u w:val="single"/>
          <w:lang w:val="en-US" w:eastAsia="zh-CN"/>
        </w:rPr>
      </w:pPr>
      <w:r>
        <w:rPr>
          <w:rFonts w:hint="eastAsia" w:ascii="仿宋" w:hAnsi="仿宋" w:eastAsia="仿宋" w:cs="仿宋"/>
          <w:sz w:val="24"/>
        </w:rPr>
        <w:t xml:space="preserve">    质疑联系方式</w:t>
      </w:r>
      <w:r>
        <w:rPr>
          <w:rFonts w:hint="eastAsia" w:ascii="仿宋" w:hAnsi="仿宋" w:eastAsia="仿宋" w:cs="仿宋"/>
          <w:sz w:val="24"/>
          <w:shd w:val="clear"/>
        </w:rPr>
        <w:t>：18368883602</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2.采购代理机构信息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名 称：台州锋鼎工程项目管理有限公司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址：浙江省台州市椒江区华中大厦1单元1703室　</w:t>
      </w:r>
    </w:p>
    <w:p>
      <w:pPr>
        <w:snapToGrid w:val="0"/>
        <w:spacing w:line="360" w:lineRule="auto"/>
        <w:ind w:firstLine="480" w:firstLineChars="200"/>
        <w:rPr>
          <w:rFonts w:ascii="仿宋" w:hAnsi="仿宋" w:eastAsia="仿宋" w:cs="仿宋"/>
          <w:sz w:val="24"/>
        </w:rPr>
      </w:pPr>
      <w:bookmarkStart w:id="10" w:name="_Toc28359087"/>
      <w:bookmarkStart w:id="11" w:name="_Toc28359010"/>
      <w:r>
        <w:rPr>
          <w:rFonts w:hint="eastAsia" w:ascii="仿宋" w:hAnsi="仿宋" w:eastAsia="仿宋" w:cs="仿宋"/>
          <w:sz w:val="24"/>
        </w:rPr>
        <w:t>传  真：0576-88786369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项目联系人（询问）：蔡女士　   　　　　　　　　　　　</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项目联系方式（询问）： 15372111333</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质疑联系人： 陶女士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质疑联系方式：  0576-88228375　</w:t>
      </w:r>
    </w:p>
    <w:bookmarkEnd w:id="10"/>
    <w:bookmarkEnd w:id="11"/>
    <w:p>
      <w:pPr>
        <w:spacing w:line="360" w:lineRule="auto"/>
        <w:ind w:firstLine="480" w:firstLineChars="200"/>
        <w:rPr>
          <w:rFonts w:hint="eastAsia"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w:t>
      </w:r>
      <w:r>
        <w:rPr>
          <w:rFonts w:hint="eastAsia" w:ascii="仿宋" w:hAnsi="仿宋" w:eastAsia="仿宋" w:cs="仿宋"/>
          <w:sz w:val="24"/>
          <w:lang w:eastAsia="zh-CN"/>
        </w:rPr>
        <w:t>https://www.lecaiyun.com/）</w:t>
      </w:r>
      <w:r>
        <w:rPr>
          <w:rFonts w:hint="eastAsia" w:ascii="仿宋" w:hAnsi="仿宋" w:eastAsia="仿宋" w:cs="仿宋"/>
          <w:sz w:val="24"/>
        </w:rPr>
        <w:t>，点击右侧咨询小采，获取采小蜜智能服务管家帮助，或拨打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jc w:val="left"/>
        <w:rPr>
          <w:rFonts w:ascii="仿宋" w:hAnsi="仿宋" w:eastAsia="仿宋" w:cs="仿宋"/>
          <w:b/>
          <w:sz w:val="36"/>
          <w:szCs w:val="20"/>
        </w:rPr>
      </w:pPr>
      <w:r>
        <w:rPr>
          <w:rFonts w:hint="eastAsia" w:ascii="仿宋" w:hAnsi="仿宋" w:eastAsia="仿宋" w:cs="仿宋"/>
          <w:b/>
          <w:sz w:val="36"/>
          <w:szCs w:val="20"/>
        </w:rPr>
        <w:br w:type="page"/>
      </w:r>
    </w:p>
    <w:p>
      <w:pPr>
        <w:pStyle w:val="2"/>
        <w:spacing w:after="0" w:line="360" w:lineRule="auto"/>
        <w:ind w:left="431" w:hanging="431"/>
        <w:jc w:val="center"/>
        <w:rPr>
          <w:rFonts w:ascii="仿宋" w:hAnsi="仿宋" w:eastAsia="仿宋" w:cs="仿宋"/>
        </w:rPr>
      </w:pPr>
      <w:bookmarkStart w:id="12" w:name="_Toc32713"/>
      <w:r>
        <w:rPr>
          <w:rFonts w:hint="eastAsia" w:ascii="仿宋" w:hAnsi="仿宋" w:eastAsia="仿宋" w:cs="仿宋"/>
        </w:rPr>
        <w:t>第二部分</w:t>
      </w:r>
      <w:bookmarkEnd w:id="7"/>
      <w:r>
        <w:rPr>
          <w:rFonts w:hint="eastAsia" w:ascii="仿宋" w:hAnsi="仿宋" w:eastAsia="仿宋" w:cs="仿宋"/>
        </w:rPr>
        <w:t xml:space="preserve"> 投标人须知</w:t>
      </w:r>
      <w:bookmarkEnd w:id="8"/>
      <w:bookmarkEnd w:id="12"/>
    </w:p>
    <w:p>
      <w:pPr>
        <w:adjustRightInd/>
        <w:spacing w:line="360" w:lineRule="auto"/>
        <w:ind w:firstLine="3845" w:firstLineChars="1197"/>
        <w:outlineLvl w:val="0"/>
        <w:rPr>
          <w:rFonts w:ascii="仿宋" w:hAnsi="仿宋" w:eastAsia="仿宋" w:cs="仿宋"/>
          <w:b/>
          <w:sz w:val="32"/>
          <w:szCs w:val="20"/>
        </w:rPr>
      </w:pPr>
      <w:bookmarkStart w:id="13" w:name="_Toc1353"/>
      <w:r>
        <w:rPr>
          <w:rFonts w:hint="eastAsia" w:ascii="仿宋" w:hAnsi="仿宋" w:eastAsia="仿宋" w:cs="仿宋"/>
          <w:b/>
          <w:sz w:val="32"/>
          <w:szCs w:val="20"/>
        </w:rPr>
        <w:t>前附表</w:t>
      </w:r>
      <w:bookmarkEnd w:id="13"/>
    </w:p>
    <w:tbl>
      <w:tblPr>
        <w:tblStyle w:val="6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tcBorders>
              <w:tl2br w:val="nil"/>
              <w:tr2bl w:val="nil"/>
            </w:tcBorders>
            <w:vAlign w:val="center"/>
          </w:tcPr>
          <w:p>
            <w:pPr>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699" w:type="dxa"/>
            <w:tcBorders>
              <w:tl2br w:val="nil"/>
              <w:tr2bl w:val="nil"/>
            </w:tcBorders>
            <w:vAlign w:val="center"/>
          </w:tcPr>
          <w:p>
            <w:pPr>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6625" w:type="dxa"/>
            <w:tcBorders>
              <w:tl2br w:val="nil"/>
              <w:tr2bl w:val="nil"/>
            </w:tcBorders>
            <w:vAlign w:val="center"/>
          </w:tcPr>
          <w:p>
            <w:pPr>
              <w:spacing w:line="36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项目名称：</w:t>
            </w:r>
            <w:r>
              <w:rPr>
                <w:rFonts w:hint="eastAsia" w:ascii="仿宋" w:hAnsi="仿宋" w:eastAsia="仿宋" w:cs="仿宋"/>
                <w:sz w:val="24"/>
                <w:szCs w:val="24"/>
                <w:u w:val="single"/>
                <w:lang w:eastAsia="zh-CN"/>
              </w:rPr>
              <w:t>椒江区“平安家庭”家事纠纷化解“一类事”平台建设项目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99" w:type="dxa"/>
            <w:tcBorders>
              <w:tl2br w:val="nil"/>
              <w:tr2bl w:val="nil"/>
            </w:tcBorders>
            <w:vAlign w:val="center"/>
          </w:tcPr>
          <w:p>
            <w:pPr>
              <w:pStyle w:val="60"/>
              <w:tabs>
                <w:tab w:val="left" w:pos="6930"/>
              </w:tabs>
              <w:spacing w:before="0" w:beforeAutospacing="0" w:after="0" w:afterAutospacing="0"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投标文件形式、组成及制作</w:t>
            </w:r>
          </w:p>
          <w:p>
            <w:pPr>
              <w:pStyle w:val="60"/>
              <w:tabs>
                <w:tab w:val="left" w:pos="6930"/>
              </w:tabs>
              <w:spacing w:before="0" w:beforeAutospacing="0" w:after="0" w:afterAutospacing="0" w:line="360" w:lineRule="exact"/>
              <w:rPr>
                <w:rFonts w:hint="eastAsia" w:ascii="仿宋" w:hAnsi="仿宋" w:eastAsia="仿宋" w:cs="仿宋"/>
                <w:color w:val="auto"/>
                <w:sz w:val="24"/>
                <w:szCs w:val="24"/>
                <w:highlight w:val="none"/>
              </w:rPr>
            </w:pP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1.投标文件的形式：电子投标文件（包括“电子加密投标文件”和“备份投标文件”，在投标文件编制完成后同时生成）；</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1）“电子加密投标文件”是指通过“乐采云电子交易客户端”完成投标文件编制后生成并加密的数据电文形式的投标文件。</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2）“备份投标文件”是指与“电子加密投标文件”同时生成的数据电文形式的电子文件（备份标书），其他方式编制的“备份投标文件”视为无效“备份投标文件”。</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2.投标文件由资格文件、</w:t>
            </w:r>
            <w:r>
              <w:rPr>
                <w:rFonts w:hint="eastAsia" w:ascii="仿宋" w:hAnsi="仿宋" w:eastAsia="仿宋" w:cs="仿宋"/>
                <w:color w:val="auto"/>
                <w:kern w:val="2"/>
                <w:sz w:val="24"/>
                <w:szCs w:val="24"/>
                <w:highlight w:val="none"/>
                <w:lang w:val="en-US" w:eastAsia="zh-CN" w:bidi="ar-SA"/>
              </w:rPr>
              <w:t>商务技术文件、</w:t>
            </w:r>
            <w:r>
              <w:rPr>
                <w:rFonts w:hint="eastAsia" w:ascii="仿宋" w:hAnsi="仿宋" w:eastAsia="仿宋" w:cs="仿宋"/>
                <w:color w:val="auto"/>
                <w:kern w:val="2"/>
                <w:sz w:val="24"/>
                <w:szCs w:val="24"/>
                <w:highlight w:val="none"/>
                <w:lang w:val="zh-CN" w:eastAsia="zh-CN" w:bidi="ar-SA"/>
              </w:rPr>
              <w:t>报价文件组成；</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3.电子加密投标文件制作：应按乐采云平台供应商项目采购-电子招投标操作指南（网址：</w:t>
            </w:r>
            <w:r>
              <w:rPr>
                <w:rFonts w:hint="eastAsia" w:ascii="仿宋" w:hAnsi="仿宋" w:eastAsia="仿宋" w:cs="仿宋"/>
                <w:color w:val="auto"/>
                <w:kern w:val="2"/>
                <w:sz w:val="24"/>
                <w:szCs w:val="24"/>
                <w:highlight w:val="none"/>
                <w:lang w:val="zh-CN" w:eastAsia="zh-CN" w:bidi="ar-SA"/>
              </w:rPr>
              <w:fldChar w:fldCharType="begin"/>
            </w:r>
            <w:r>
              <w:rPr>
                <w:rFonts w:hint="eastAsia" w:ascii="仿宋" w:hAnsi="仿宋" w:eastAsia="仿宋" w:cs="仿宋"/>
                <w:color w:val="auto"/>
                <w:kern w:val="2"/>
                <w:sz w:val="24"/>
                <w:szCs w:val="24"/>
                <w:highlight w:val="none"/>
                <w:lang w:val="zh-CN" w:eastAsia="zh-CN" w:bidi="ar-SA"/>
              </w:rPr>
              <w:instrText xml:space="preserve"> HYPERLINK "https://help.zcy.gov.cn/web/site_2/2018/12-28/2573.html）及本采购文件要求制作" </w:instrText>
            </w:r>
            <w:r>
              <w:rPr>
                <w:rFonts w:hint="eastAsia" w:ascii="仿宋" w:hAnsi="仿宋" w:eastAsia="仿宋" w:cs="仿宋"/>
                <w:color w:val="auto"/>
                <w:kern w:val="2"/>
                <w:sz w:val="24"/>
                <w:szCs w:val="24"/>
                <w:highlight w:val="none"/>
                <w:lang w:val="zh-CN" w:eastAsia="zh-CN" w:bidi="ar-SA"/>
              </w:rPr>
              <w:fldChar w:fldCharType="separate"/>
            </w:r>
            <w:r>
              <w:rPr>
                <w:rFonts w:hint="eastAsia" w:ascii="仿宋" w:hAnsi="仿宋" w:eastAsia="仿宋" w:cs="仿宋"/>
                <w:color w:val="auto"/>
                <w:kern w:val="2"/>
                <w:sz w:val="24"/>
                <w:szCs w:val="24"/>
                <w:highlight w:val="none"/>
                <w:lang w:val="zh-CN" w:eastAsia="zh-CN" w:bidi="ar-SA"/>
              </w:rPr>
              <w:t>https://help.zcy.gov.cn/web/site_2/2018/12-28/2573.html）及本招标文件要求制作</w:t>
            </w:r>
            <w:r>
              <w:rPr>
                <w:rFonts w:hint="eastAsia" w:ascii="仿宋" w:hAnsi="仿宋" w:eastAsia="仿宋" w:cs="仿宋"/>
                <w:color w:val="auto"/>
                <w:kern w:val="2"/>
                <w:sz w:val="24"/>
                <w:szCs w:val="24"/>
                <w:highlight w:val="none"/>
                <w:lang w:val="zh-CN" w:eastAsia="zh-CN" w:bidi="ar-SA"/>
              </w:rPr>
              <w:fldChar w:fldCharType="end"/>
            </w:r>
            <w:r>
              <w:rPr>
                <w:rFonts w:hint="eastAsia" w:ascii="仿宋" w:hAnsi="仿宋" w:eastAsia="仿宋" w:cs="仿宋"/>
                <w:color w:val="auto"/>
                <w:kern w:val="2"/>
                <w:sz w:val="24"/>
                <w:szCs w:val="24"/>
                <w:highlight w:val="none"/>
                <w:lang w:val="zh-CN" w:eastAsia="zh-CN" w:bidi="ar-SA"/>
              </w:rPr>
              <w:t>、加密并递交。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99" w:type="dxa"/>
            <w:tcBorders>
              <w:tl2br w:val="nil"/>
              <w:tr2bl w:val="nil"/>
            </w:tcBorders>
            <w:vAlign w:val="center"/>
          </w:tcPr>
          <w:p>
            <w:pPr>
              <w:snapToGrid w:val="0"/>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投标文件递交截止时间（开标时间）及地点</w:t>
            </w: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1.“电子加密投标文件”递交：投标人应于提交投标文件截止时间前将“电子加密投标文件”上传至“乐采云平台”，逾期未上传的，视为撤回投标文件。</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fldChar w:fldCharType="begin"/>
            </w:r>
            <w:r>
              <w:rPr>
                <w:rFonts w:hint="eastAsia" w:ascii="仿宋" w:hAnsi="仿宋" w:eastAsia="仿宋" w:cs="仿宋"/>
                <w:color w:val="auto"/>
                <w:kern w:val="2"/>
                <w:sz w:val="24"/>
                <w:szCs w:val="24"/>
                <w:highlight w:val="none"/>
                <w:lang w:val="zh-CN" w:eastAsia="zh-CN" w:bidi="ar-SA"/>
              </w:rPr>
              <w:instrText xml:space="preserve"> HYPERLINK "mailto:2.备份投标文件在开标时间后15分钟内以电子邮件形式递交至采购代理机构邮箱（103874679@qq.com）。" </w:instrText>
            </w:r>
            <w:r>
              <w:rPr>
                <w:rFonts w:hint="eastAsia" w:ascii="仿宋" w:hAnsi="仿宋" w:eastAsia="仿宋" w:cs="仿宋"/>
                <w:color w:val="auto"/>
                <w:kern w:val="2"/>
                <w:sz w:val="24"/>
                <w:szCs w:val="24"/>
                <w:highlight w:val="none"/>
                <w:lang w:val="zh-CN" w:eastAsia="zh-CN" w:bidi="ar-SA"/>
              </w:rPr>
              <w:fldChar w:fldCharType="separate"/>
            </w:r>
            <w:r>
              <w:rPr>
                <w:rFonts w:hint="eastAsia" w:ascii="仿宋" w:hAnsi="仿宋" w:eastAsia="仿宋" w:cs="仿宋"/>
                <w:color w:val="auto"/>
                <w:kern w:val="2"/>
                <w:sz w:val="24"/>
                <w:szCs w:val="24"/>
                <w:highlight w:val="none"/>
                <w:lang w:val="zh-CN" w:eastAsia="zh-CN" w:bidi="ar-SA"/>
              </w:rPr>
              <w:t>2.“备份投标文件”递交：</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投标人在“乐采云平台”完成“电子加密投标文件”的上传递交后，还可以（以电子邮件的形式）在投标截止时间前发送</w:t>
            </w:r>
            <w:r>
              <w:rPr>
                <w:rFonts w:hint="eastAsia" w:ascii="仿宋" w:hAnsi="仿宋" w:eastAsia="仿宋" w:cs="仿宋"/>
                <w:b/>
                <w:bCs/>
                <w:color w:val="auto"/>
                <w:kern w:val="2"/>
                <w:sz w:val="24"/>
                <w:szCs w:val="24"/>
                <w:highlight w:val="none"/>
                <w:lang w:val="zh-CN" w:eastAsia="zh-CN" w:bidi="ar-SA"/>
              </w:rPr>
              <w:t>加密压缩文件</w:t>
            </w:r>
            <w:r>
              <w:rPr>
                <w:rFonts w:hint="eastAsia" w:ascii="仿宋" w:hAnsi="仿宋" w:eastAsia="仿宋" w:cs="仿宋"/>
                <w:color w:val="auto"/>
                <w:kern w:val="2"/>
                <w:sz w:val="24"/>
                <w:szCs w:val="24"/>
                <w:highlight w:val="none"/>
                <w:lang w:val="zh-CN" w:eastAsia="zh-CN" w:bidi="ar-SA"/>
              </w:rPr>
              <w:t>的“备份投标文件”（一份）；</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“备份投标文件”以压缩文件形式加密发送至采购代理机构邮箱，压缩文件命名为：投标项目编号和投标单位简称。接到在线解密通知后</w:t>
            </w:r>
            <w:r>
              <w:rPr>
                <w:rFonts w:hint="eastAsia" w:ascii="仿宋" w:hAnsi="仿宋" w:eastAsia="仿宋" w:cs="仿宋"/>
                <w:color w:val="auto"/>
                <w:kern w:val="2"/>
                <w:sz w:val="24"/>
                <w:szCs w:val="24"/>
                <w:highlight w:val="none"/>
                <w:lang w:val="en-US" w:eastAsia="zh-CN" w:bidi="ar-SA"/>
              </w:rPr>
              <w:t>30分钟</w:t>
            </w:r>
            <w:r>
              <w:rPr>
                <w:rFonts w:hint="eastAsia" w:ascii="仿宋" w:hAnsi="仿宋" w:eastAsia="仿宋" w:cs="仿宋"/>
                <w:color w:val="auto"/>
                <w:kern w:val="2"/>
                <w:sz w:val="24"/>
                <w:szCs w:val="24"/>
                <w:highlight w:val="none"/>
                <w:lang w:val="zh-CN" w:eastAsia="zh-CN" w:bidi="ar-SA"/>
              </w:rPr>
              <w:t>内发送压缩文件密码至采购代理机构邮箱（邮箱号码：</w:t>
            </w:r>
            <w:r>
              <w:rPr>
                <w:rFonts w:hint="eastAsia" w:ascii="仿宋" w:hAnsi="仿宋" w:eastAsia="仿宋" w:cs="仿宋"/>
                <w:color w:val="auto"/>
                <w:kern w:val="2"/>
                <w:sz w:val="24"/>
                <w:szCs w:val="24"/>
                <w:highlight w:val="none"/>
                <w:lang w:val="en-US" w:eastAsia="zh-CN" w:bidi="ar-SA"/>
              </w:rPr>
              <w:t>171001127@qq.com</w:t>
            </w:r>
            <w:r>
              <w:rPr>
                <w:rFonts w:hint="eastAsia" w:ascii="仿宋" w:hAnsi="仿宋" w:eastAsia="仿宋" w:cs="仿宋"/>
                <w:color w:val="auto"/>
                <w:kern w:val="2"/>
                <w:sz w:val="24"/>
                <w:szCs w:val="24"/>
                <w:highlight w:val="none"/>
                <w:lang w:val="zh-CN" w:eastAsia="zh-CN" w:bidi="ar-SA"/>
              </w:rPr>
              <w:t>）。</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通过“乐采云平台”成功上传递交的“电子加密投标文件”无法按时解密，投标供应商如按规定递交了“备份投标文件”的，以“备份投标文件”为依据（由采购代理机构按“乐采云平台”操作规范将“备份投标文件”上传至“乐采云平台”，上传成功后，“电子加密投标文件”自动失效），否则视为投标文件撤回。</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fldChar w:fldCharType="end"/>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zh-CN" w:eastAsia="zh-CN" w:bidi="ar-SA"/>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99" w:type="dxa"/>
            <w:tcBorders>
              <w:tl2br w:val="nil"/>
              <w:tr2bl w:val="nil"/>
            </w:tcBorders>
            <w:vAlign w:val="center"/>
          </w:tcPr>
          <w:p>
            <w:pPr>
              <w:pStyle w:val="60"/>
              <w:tabs>
                <w:tab w:val="left" w:pos="6930"/>
              </w:tabs>
              <w:spacing w:before="0" w:beforeAutospacing="0" w:after="0" w:afterAutospacing="0"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投标文件的修改（补充）和撤回</w:t>
            </w: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1.修改（补充）和撤回：</w:t>
            </w:r>
          </w:p>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投标截止时间前可以修改（补充）或撤回“电子加密投标文件”。补充或者修改“电子加密投标文件”的，应当先行撤回原文件，补充、修改后重新传输递交。</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zh-CN" w:eastAsia="zh-CN" w:bidi="ar-SA"/>
              </w:rPr>
              <w:t>投标截止时间前未完成传输递交的，视为撤回投标文件。</w:t>
            </w:r>
          </w:p>
          <w:p>
            <w:pPr>
              <w:pStyle w:val="60"/>
              <w:tabs>
                <w:tab w:val="left" w:pos="6930"/>
              </w:tabs>
              <w:spacing w:before="0" w:beforeAutospacing="0" w:after="0" w:afterAutospacing="0" w:line="360" w:lineRule="exac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投标截止时间后，投标人不得修改（补充）或撤回其投标文件。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99" w:type="dxa"/>
            <w:tcBorders>
              <w:tl2br w:val="nil"/>
              <w:tr2bl w:val="nil"/>
            </w:tcBorders>
            <w:vAlign w:val="center"/>
          </w:tcPr>
          <w:p>
            <w:pPr>
              <w:snapToGrid w:val="0"/>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投标文件、流</w:t>
            </w:r>
          </w:p>
          <w:p>
            <w:pPr>
              <w:snapToGrid w:val="0"/>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程文件签章</w:t>
            </w:r>
          </w:p>
          <w:p>
            <w:pPr>
              <w:snapToGrid w:val="0"/>
              <w:spacing w:line="360" w:lineRule="exact"/>
              <w:jc w:val="center"/>
              <w:rPr>
                <w:rFonts w:hint="eastAsia" w:ascii="仿宋" w:hAnsi="仿宋" w:eastAsia="仿宋" w:cs="仿宋"/>
                <w:color w:val="auto"/>
                <w:kern w:val="2"/>
                <w:sz w:val="24"/>
                <w:szCs w:val="24"/>
                <w:highlight w:val="none"/>
                <w:lang w:val="en-US" w:eastAsia="zh-CN" w:bidi="ar-SA"/>
              </w:rPr>
            </w:pPr>
          </w:p>
        </w:tc>
        <w:tc>
          <w:tcPr>
            <w:tcW w:w="6625" w:type="dxa"/>
            <w:tcBorders>
              <w:tl2br w:val="nil"/>
              <w:tr2bl w:val="nil"/>
            </w:tcBorders>
            <w:vAlign w:val="center"/>
          </w:tcPr>
          <w:p>
            <w:pPr>
              <w:pStyle w:val="60"/>
              <w:tabs>
                <w:tab w:val="left" w:pos="6930"/>
              </w:tabs>
              <w:spacing w:before="0" w:beforeAutospacing="0" w:after="0" w:afterAutospacing="0" w:line="360" w:lineRule="exac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电子投标文件必须有电子签章；开标后，相关信息记录确认、澄清说明、回复等内容，均需签字或盖章后上传；乐采云系统平台有新的操作流程的，按其规定。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投标上限价</w:t>
            </w:r>
          </w:p>
        </w:tc>
        <w:tc>
          <w:tcPr>
            <w:tcW w:w="6625" w:type="dxa"/>
            <w:tcBorders>
              <w:tl2br w:val="nil"/>
              <w:tr2bl w:val="nil"/>
            </w:tcBorders>
            <w:vAlign w:val="center"/>
          </w:tcPr>
          <w:p>
            <w:pPr>
              <w:pStyle w:val="60"/>
              <w:tabs>
                <w:tab w:val="left" w:pos="6930"/>
              </w:tabs>
              <w:spacing w:line="360" w:lineRule="exact"/>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en-US" w:eastAsia="zh-CN"/>
              </w:rPr>
              <w:t>450000</w:t>
            </w:r>
            <w:r>
              <w:rPr>
                <w:rFonts w:hint="eastAsia" w:ascii="仿宋" w:hAnsi="仿宋" w:eastAsia="仿宋" w:cs="仿宋"/>
                <w:color w:val="auto"/>
                <w:kern w:val="2"/>
                <w:sz w:val="24"/>
                <w:szCs w:val="24"/>
                <w:highlight w:val="none"/>
                <w:lang w:val="zh-CN"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1699"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sz w:val="24"/>
                <w:szCs w:val="24"/>
                <w:highlight w:val="none"/>
              </w:rPr>
              <w:t>投标保证金</w:t>
            </w:r>
          </w:p>
        </w:tc>
        <w:tc>
          <w:tcPr>
            <w:tcW w:w="6625" w:type="dxa"/>
            <w:tcBorders>
              <w:tl2br w:val="nil"/>
              <w:tr2bl w:val="nil"/>
            </w:tcBorders>
            <w:vAlign w:val="center"/>
          </w:tcPr>
          <w:p>
            <w:pPr>
              <w:pStyle w:val="60"/>
              <w:keepNext w:val="0"/>
              <w:keepLines w:val="0"/>
              <w:pageBreakBefore w:val="0"/>
              <w:tabs>
                <w:tab w:val="left" w:pos="6930"/>
              </w:tabs>
              <w:kinsoku/>
              <w:wordWrap/>
              <w:overflowPunct/>
              <w:topLinePunct w:val="0"/>
              <w:autoSpaceDE/>
              <w:autoSpaceDN/>
              <w:bidi w:val="0"/>
              <w:adjustRightInd/>
              <w:spacing w:before="0" w:beforeAutospacing="0" w:after="0" w:afterAutospacing="0" w:line="400" w:lineRule="exact"/>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6625" w:type="dxa"/>
            <w:tcBorders>
              <w:tl2br w:val="nil"/>
              <w:tr2bl w:val="nil"/>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组织（详细内容）</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w:t>
            </w:r>
          </w:p>
        </w:tc>
        <w:tc>
          <w:tcPr>
            <w:tcW w:w="6625" w:type="dxa"/>
            <w:tcBorders>
              <w:tl2br w:val="nil"/>
              <w:tr2bl w:val="nil"/>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提供，具体详见招标文件，中标人提供的样品将由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保管、封存并作为履约验收的参考</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w:t>
            </w:r>
          </w:p>
        </w:tc>
        <w:tc>
          <w:tcPr>
            <w:tcW w:w="6625"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A不组织。</w:t>
            </w:r>
          </w:p>
          <w:p>
            <w:pPr>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B组织。</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本项目要求提供演示，讲解由供应商事先录制讲演示视频（时间不超过</w:t>
            </w:r>
            <w:r>
              <w:rPr>
                <w:rFonts w:hint="eastAsia" w:ascii="仿宋" w:hAnsi="仿宋" w:eastAsia="仿宋" w:cs="仿宋"/>
                <w:sz w:val="24"/>
                <w:szCs w:val="24"/>
                <w:lang w:val="en-US" w:eastAsia="zh-CN"/>
              </w:rPr>
              <w:t>15</w:t>
            </w:r>
            <w:r>
              <w:rPr>
                <w:rFonts w:hint="eastAsia" w:ascii="仿宋" w:hAnsi="仿宋" w:eastAsia="仿宋" w:cs="仿宋"/>
                <w:sz w:val="24"/>
                <w:szCs w:val="24"/>
              </w:rPr>
              <w:t>分钟），以介质存储（U盘）并且密封包装（外包装上要求标注项目名称、项目编号、演示视频字样、供应商名称并加盖公章）后在响应文件提交截止时间前递交一份送到开标现场（可邮寄，发生泄露、遗失、损坏或延期送达等情况的，由供应商自行负责）。</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邮寄地址：浙江省椒江区华中大厦1单元1703室台州锋鼎工程项目管理有限公司</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联系人：蔡女士  联系电话：15372111333 </w:t>
            </w:r>
          </w:p>
          <w:p>
            <w:pPr>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截止时间：202</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 xml:space="preserve"> 年</w:t>
            </w: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月</w:t>
            </w:r>
            <w:r>
              <w:rPr>
                <w:rFonts w:hint="eastAsia" w:ascii="仿宋" w:hAnsi="仿宋" w:eastAsia="仿宋" w:cs="仿宋"/>
                <w:sz w:val="24"/>
                <w:szCs w:val="24"/>
                <w:lang w:val="en-US" w:eastAsia="zh-CN"/>
              </w:rPr>
              <w:t>02日</w:t>
            </w:r>
            <w:r>
              <w:rPr>
                <w:rFonts w:hint="eastAsia" w:ascii="仿宋" w:hAnsi="仿宋" w:eastAsia="仿宋" w:cs="仿宋"/>
                <w:sz w:val="24"/>
                <w:szCs w:val="24"/>
                <w:lang w:val="zh-CN"/>
              </w:rPr>
              <w:t xml:space="preserve"> </w:t>
            </w:r>
            <w:r>
              <w:rPr>
                <w:rFonts w:hint="eastAsia" w:ascii="仿宋" w:hAnsi="仿宋" w:eastAsia="仿宋" w:cs="仿宋"/>
                <w:sz w:val="24"/>
                <w:szCs w:val="24"/>
                <w:lang w:val="en-US" w:eastAsia="zh-CN"/>
              </w:rPr>
              <w:t>16</w:t>
            </w:r>
            <w:r>
              <w:rPr>
                <w:rFonts w:hint="eastAsia" w:ascii="仿宋" w:hAnsi="仿宋" w:eastAsia="仿宋" w:cs="仿宋"/>
                <w:sz w:val="24"/>
                <w:szCs w:val="24"/>
                <w:lang w:val="zh-CN"/>
              </w:rPr>
              <w:t>点</w:t>
            </w:r>
            <w:r>
              <w:rPr>
                <w:rFonts w:hint="eastAsia" w:ascii="仿宋" w:hAnsi="仿宋" w:eastAsia="仿宋" w:cs="仿宋"/>
                <w:sz w:val="24"/>
                <w:szCs w:val="24"/>
                <w:lang w:val="en-US" w:eastAsia="zh-CN"/>
              </w:rPr>
              <w:t>00</w:t>
            </w:r>
            <w:r>
              <w:rPr>
                <w:rFonts w:hint="eastAsia" w:ascii="仿宋" w:hAnsi="仿宋" w:eastAsia="仿宋" w:cs="仿宋"/>
                <w:sz w:val="24"/>
                <w:szCs w:val="24"/>
                <w:lang w:val="zh-CN"/>
              </w:rPr>
              <w:t>分整</w:t>
            </w:r>
            <w:bookmarkStart w:id="440" w:name="_GoBack"/>
            <w:bookmarkEnd w:id="440"/>
          </w:p>
          <w:p>
            <w:pPr>
              <w:spacing w:line="360" w:lineRule="exact"/>
              <w:rPr>
                <w:rFonts w:hint="eastAsia" w:ascii="仿宋" w:hAnsi="仿宋" w:eastAsia="仿宋" w:cs="仿宋"/>
                <w:color w:val="auto"/>
                <w:sz w:val="24"/>
                <w:szCs w:val="24"/>
                <w:highlight w:val="none"/>
              </w:rPr>
            </w:pPr>
            <w:r>
              <w:rPr>
                <w:rFonts w:hint="eastAsia" w:ascii="仿宋" w:hAnsi="仿宋" w:eastAsia="仿宋" w:cs="仿宋"/>
                <w:sz w:val="24"/>
                <w:szCs w:val="24"/>
              </w:rPr>
              <w:t>逾期送达或未密封将被拒收。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6625" w:type="dxa"/>
            <w:tcBorders>
              <w:tl2br w:val="nil"/>
              <w:tr2bl w:val="nil"/>
            </w:tcBorders>
            <w:vAlign w:val="center"/>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综合评分法</w:t>
            </w:r>
          </w:p>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最低评标法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w:t>
            </w:r>
          </w:p>
        </w:tc>
        <w:tc>
          <w:tcPr>
            <w:tcW w:w="6625" w:type="dxa"/>
            <w:tcBorders>
              <w:tl2br w:val="nil"/>
              <w:tr2bl w:val="nil"/>
            </w:tcBorders>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招标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5" w:type="dxa"/>
            <w:tcBorders>
              <w:tl2br w:val="nil"/>
              <w:tr2bl w:val="nil"/>
            </w:tcBorders>
            <w:vAlign w:val="center"/>
          </w:tcPr>
          <w:p>
            <w:pPr>
              <w:spacing w:line="36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699" w:type="dxa"/>
            <w:tcBorders>
              <w:tl2br w:val="nil"/>
              <w:tr2bl w:val="nil"/>
            </w:tcBorders>
            <w:vAlign w:val="center"/>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6625" w:type="dxa"/>
            <w:tcBorders>
              <w:tl2br w:val="nil"/>
              <w:tr2bl w:val="nil"/>
            </w:tcBorders>
            <w:vAlign w:val="center"/>
          </w:tcPr>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1.金额：中标价的5%。</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履约保证金的提交时间、形式：现金或见索即付银行保函或见索即付保险机构保证保险保单或见索即付融资担保公司保函，如不能办理工程保函采用现金的，中标人必须通过其基本账户转出的转帐、电汇或银行汇票方式解入招标人帐户。</w:t>
            </w:r>
          </w:p>
          <w:p>
            <w:pPr>
              <w:spacing w:line="240" w:lineRule="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3、履约保证金的退还：采用现金的，项目验收合格后无息退还；采用见索即付银行保函或见索即付保险机构保证保险保单或见索即付融资担保公司保函应保证履约担保在项目验收合格前持续有效。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5" w:type="dxa"/>
            <w:tcBorders>
              <w:tl2br w:val="nil"/>
              <w:tr2bl w:val="nil"/>
            </w:tcBorders>
            <w:vAlign w:val="center"/>
          </w:tcPr>
          <w:p>
            <w:pPr>
              <w:spacing w:line="36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w:t>
            </w:r>
          </w:p>
        </w:tc>
        <w:tc>
          <w:tcPr>
            <w:tcW w:w="1699"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解释权</w:t>
            </w:r>
          </w:p>
        </w:tc>
        <w:tc>
          <w:tcPr>
            <w:tcW w:w="6625" w:type="dxa"/>
            <w:tcBorders>
              <w:tl2br w:val="nil"/>
              <w:tr2bl w:val="nil"/>
            </w:tcBorders>
            <w:vAlign w:val="center"/>
          </w:tcPr>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1.构成本采购文件的各个组成文件应互为解释，互为说明；</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2.仅适用于招标投标阶段的约定，按招标公告、投标人须知、评标办法及评分标准、投标文件格式的先后顺序解释；</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3.同一文件中就同一事项的约定不一致的，以逻辑顺序在后者为准；</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4.同一文件不同版本之间有不一致的，以形成时间在后者为准；</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5.本采购文件涉及的时间均为“北京时间”；</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6.按本款前述约定仍不能形成结论的，由招标人和采购代理机构负责解释。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w:t>
            </w:r>
          </w:p>
        </w:tc>
        <w:tc>
          <w:tcPr>
            <w:tcW w:w="1699" w:type="dxa"/>
            <w:tcBorders>
              <w:tl2br w:val="nil"/>
              <w:tr2bl w:val="nil"/>
            </w:tcBorders>
            <w:vAlign w:val="center"/>
          </w:tcPr>
          <w:p>
            <w:pPr>
              <w:spacing w:line="3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注意事项</w:t>
            </w:r>
          </w:p>
        </w:tc>
        <w:tc>
          <w:tcPr>
            <w:tcW w:w="6625" w:type="dxa"/>
            <w:tcBorders>
              <w:tl2br w:val="nil"/>
              <w:tr2bl w:val="nil"/>
            </w:tcBorders>
            <w:vAlign w:val="center"/>
          </w:tcPr>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投标人应严格按照招标文件及补充文件的规定和要求编制投标文件。在编制投标文件过程中,应严格遵循实事求是、诚信投标的原则,如有偏离,应如实填写响应偏离。</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如果发现本招标文件中存在歧视性不公正条款或违法违规等内容时,请投标人在获取招标文件后,在采购文件的异议有效期内及时书面提出。</w:t>
            </w:r>
          </w:p>
          <w:p>
            <w:pPr>
              <w:pStyle w:val="35"/>
              <w:spacing w:line="360" w:lineRule="exact"/>
              <w:ind w:left="0"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采购结果公告期间,投标人不得通过非正当途径获取法律法规规定评标委员会(包括其他相关人员)应当保密的相关内容。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17</w:t>
            </w:r>
          </w:p>
        </w:tc>
        <w:tc>
          <w:tcPr>
            <w:tcW w:w="1699" w:type="dxa"/>
            <w:tcBorders>
              <w:tl2br w:val="nil"/>
              <w:tr2bl w:val="nil"/>
            </w:tcBorders>
            <w:vAlign w:val="center"/>
          </w:tcPr>
          <w:p>
            <w:pPr>
              <w:spacing w:line="360" w:lineRule="exact"/>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招标代理服务费</w:t>
            </w:r>
          </w:p>
        </w:tc>
        <w:tc>
          <w:tcPr>
            <w:tcW w:w="6625"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中标人在领取到中标通知书后5个工作日内支付给招标代理机构，各投标人应在投标报价中予以考虑。</w:t>
            </w:r>
          </w:p>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招标代理费参照中华人民共和国国家发展计划委员会（计价格[2002]1980号）招标代理服务收费管理暂行办法计取招标代理费打75折计取，招标代理费单个标项保底收费不足5000元的，按5000元记取；如中标人不及时缴纳招标服务费的，则采购人需要协助采购代理机构收取。</w:t>
            </w:r>
          </w:p>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2.收费账号：</w:t>
            </w:r>
          </w:p>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账户名称：台州锋鼎工程项目管理有限公司</w:t>
            </w:r>
          </w:p>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开户银行：中国工商银行股份有限公司台州分行</w:t>
            </w:r>
          </w:p>
          <w:p>
            <w:pPr>
              <w:keepNext w:val="0"/>
              <w:keepLines w:val="0"/>
              <w:pageBreakBefore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银行账号：1207 0212 0920 0306 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tcBorders>
              <w:tl2br w:val="nil"/>
              <w:tr2bl w:val="nil"/>
            </w:tcBorders>
            <w:vAlign w:val="center"/>
          </w:tcPr>
          <w:p>
            <w:pPr>
              <w:spacing w:line="36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18</w:t>
            </w:r>
          </w:p>
        </w:tc>
        <w:tc>
          <w:tcPr>
            <w:tcW w:w="1699" w:type="dxa"/>
            <w:tcBorders>
              <w:tl2br w:val="nil"/>
              <w:tr2bl w:val="nil"/>
            </w:tcBorders>
            <w:vAlign w:val="center"/>
          </w:tcPr>
          <w:p>
            <w:pPr>
              <w:autoSpaceDE w:val="0"/>
              <w:autoSpaceDN w:val="0"/>
              <w:spacing w:line="4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解释权</w:t>
            </w:r>
          </w:p>
        </w:tc>
        <w:tc>
          <w:tcPr>
            <w:tcW w:w="6625" w:type="dxa"/>
            <w:tcBorders>
              <w:tl2br w:val="nil"/>
              <w:tr2bl w:val="nil"/>
            </w:tcBorders>
            <w:vAlign w:val="center"/>
          </w:tcPr>
          <w:p>
            <w:pPr>
              <w:autoSpaceDE w:val="0"/>
              <w:autoSpaceDN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本招标文件解释权属于采购单位和台州锋鼎工程项目管理有限公司</w:t>
            </w:r>
          </w:p>
        </w:tc>
      </w:tr>
    </w:tbl>
    <w:p>
      <w:pPr>
        <w:adjustRightInd/>
        <w:spacing w:line="360" w:lineRule="auto"/>
        <w:ind w:firstLine="3845" w:firstLineChars="1197"/>
        <w:outlineLvl w:val="0"/>
        <w:rPr>
          <w:rFonts w:ascii="仿宋" w:hAnsi="仿宋" w:eastAsia="仿宋" w:cs="仿宋"/>
          <w:b/>
          <w:sz w:val="32"/>
          <w:szCs w:val="20"/>
        </w:rPr>
      </w:pPr>
    </w:p>
    <w:bookmarkEnd w:id="9"/>
    <w:p>
      <w:pPr>
        <w:rPr>
          <w:rFonts w:ascii="仿宋" w:hAnsi="仿宋" w:eastAsia="仿宋" w:cs="仿宋"/>
          <w:b/>
          <w:sz w:val="32"/>
          <w:szCs w:val="20"/>
        </w:rPr>
      </w:pPr>
      <w:bookmarkStart w:id="14" w:name="_Toc164416483"/>
      <w:bookmarkStart w:id="15" w:name="第三部分"/>
    </w:p>
    <w:p>
      <w:pPr>
        <w:adjustRightInd/>
        <w:spacing w:line="360" w:lineRule="auto"/>
        <w:ind w:firstLine="3845" w:firstLineChars="1197"/>
        <w:outlineLvl w:val="0"/>
        <w:rPr>
          <w:rFonts w:ascii="仿宋" w:hAnsi="仿宋" w:eastAsia="仿宋" w:cs="仿宋"/>
          <w:b/>
          <w:sz w:val="32"/>
          <w:szCs w:val="20"/>
        </w:rPr>
      </w:pPr>
      <w:bookmarkStart w:id="16" w:name="_Toc5676"/>
      <w:r>
        <w:rPr>
          <w:rFonts w:hint="eastAsia" w:ascii="仿宋" w:hAnsi="仿宋" w:eastAsia="仿宋" w:cs="仿宋"/>
          <w:b/>
          <w:sz w:val="32"/>
          <w:szCs w:val="20"/>
        </w:rPr>
        <w:t>一、总则</w:t>
      </w:r>
      <w:bookmarkEnd w:id="16"/>
    </w:p>
    <w:p>
      <w:pPr>
        <w:snapToGrid w:val="0"/>
        <w:spacing w:line="360" w:lineRule="auto"/>
        <w:ind w:firstLine="361" w:firstLineChars="150"/>
        <w:jc w:val="left"/>
        <w:outlineLvl w:val="1"/>
        <w:rPr>
          <w:rFonts w:ascii="仿宋" w:hAnsi="仿宋" w:eastAsia="仿宋" w:cs="仿宋"/>
          <w:b/>
          <w:sz w:val="24"/>
        </w:rPr>
      </w:pPr>
      <w:bookmarkStart w:id="17" w:name="_Hlt68073093"/>
      <w:bookmarkEnd w:id="17"/>
      <w:bookmarkStart w:id="18" w:name="_Hlt68403820"/>
      <w:bookmarkEnd w:id="18"/>
      <w:bookmarkStart w:id="19" w:name="_Hlt74707468"/>
      <w:bookmarkEnd w:id="19"/>
      <w:bookmarkStart w:id="20" w:name="_Hlt68072998"/>
      <w:bookmarkEnd w:id="20"/>
      <w:bookmarkStart w:id="21" w:name="_Hlt74730295"/>
      <w:bookmarkEnd w:id="21"/>
      <w:bookmarkStart w:id="22" w:name="_Hlt74714665"/>
      <w:bookmarkEnd w:id="22"/>
      <w:bookmarkStart w:id="23" w:name="_Hlt68057669"/>
      <w:bookmarkEnd w:id="23"/>
      <w:bookmarkStart w:id="24" w:name="_Hlt75236290"/>
      <w:bookmarkEnd w:id="24"/>
      <w:bookmarkStart w:id="25" w:name="_Hlt74729768"/>
      <w:bookmarkEnd w:id="25"/>
      <w:bookmarkStart w:id="26" w:name="_Hlt75236011"/>
      <w:bookmarkEnd w:id="26"/>
      <w:bookmarkStart w:id="27" w:name="_Hlt68072990"/>
      <w:bookmarkEnd w:id="27"/>
      <w:bookmarkStart w:id="28" w:name="_Hlt75236101"/>
      <w:bookmarkEnd w:id="28"/>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29" w:name="_Toc21962"/>
      <w:r>
        <w:rPr>
          <w:rFonts w:hint="eastAsia" w:ascii="仿宋" w:hAnsi="仿宋" w:eastAsia="仿宋" w:cs="仿宋"/>
          <w:b/>
          <w:sz w:val="24"/>
        </w:rPr>
        <w:t>2.定义</w:t>
      </w:r>
      <w:bookmarkEnd w:id="29"/>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w:t>
      </w:r>
      <w:r>
        <w:rPr>
          <w:rFonts w:hint="eastAsia" w:ascii="仿宋" w:hAnsi="仿宋" w:eastAsia="仿宋" w:cs="仿宋"/>
          <w:sz w:val="24"/>
          <w:lang w:eastAsia="zh-CN"/>
        </w:rPr>
        <w:t>https://www.lecaiyun.com/）</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30" w:name="_Toc31946"/>
      <w:r>
        <w:rPr>
          <w:rFonts w:hint="eastAsia" w:ascii="仿宋" w:hAnsi="仿宋" w:eastAsia="仿宋" w:cs="仿宋"/>
          <w:b/>
          <w:sz w:val="32"/>
          <w:szCs w:val="20"/>
        </w:rPr>
        <w:t>二、招标文件的构成、澄清、修改</w:t>
      </w:r>
      <w:bookmarkEnd w:id="30"/>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lang w:eastAsia="zh-CN"/>
        </w:rPr>
        <w:t>3</w:t>
      </w:r>
      <w:r>
        <w:rPr>
          <w:rFonts w:hint="eastAsia" w:ascii="仿宋" w:hAnsi="仿宋" w:eastAsia="仿宋" w:cs="仿宋"/>
          <w:sz w:val="24"/>
          <w:szCs w:val="24"/>
        </w:rPr>
        <w:t>.1.5拟签订的合同文本；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lang w:eastAsia="zh-CN"/>
        </w:rPr>
        <w:t>3</w:t>
      </w:r>
      <w:r>
        <w:rPr>
          <w:rFonts w:hint="eastAsia" w:ascii="仿宋" w:hAnsi="仿宋" w:eastAsia="仿宋" w:cs="仿宋"/>
          <w:sz w:val="24"/>
        </w:rPr>
        <w:t>.1.6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3</w:t>
      </w:r>
      <w:r>
        <w:rPr>
          <w:rFonts w:hint="eastAsia" w:ascii="仿宋" w:hAnsi="仿宋" w:eastAsia="仿宋" w:cs="仿宋"/>
          <w:sz w:val="24"/>
        </w:rPr>
        <w:t>.2与本项目有关的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4</w:t>
      </w:r>
      <w:r>
        <w:rPr>
          <w:rFonts w:hint="eastAsia" w:ascii="仿宋" w:hAnsi="仿宋" w:eastAsia="仿宋" w:cs="仿宋"/>
          <w:b/>
          <w:sz w:val="24"/>
          <w:szCs w:val="24"/>
        </w:rPr>
        <w:t>. 招标文件的澄清、修改</w:t>
      </w:r>
    </w:p>
    <w:p>
      <w:pPr>
        <w:pStyle w:val="34"/>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1、采购人可视采购具体情况对已发出的招标文件进行必要的澄清或者修改。澄清或者修改的内容可能影响投标文件编制的，采购人应当在投标截止时间至少15日前，在原公告发布媒体上发布澄清公告，澄清或者修改的内容为招标文件的组成部分；不足15日的，采购人应当顺延提交投标文件的截止时间。 </w:t>
      </w:r>
    </w:p>
    <w:p>
      <w:pPr>
        <w:pStyle w:val="34"/>
        <w:tabs>
          <w:tab w:val="left" w:pos="840"/>
        </w:tabs>
        <w:spacing w:line="312" w:lineRule="auto"/>
        <w:ind w:firstLine="638" w:firstLineChars="266"/>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6"/>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31" w:name="_Toc24620"/>
      <w:r>
        <w:rPr>
          <w:rFonts w:hint="eastAsia" w:ascii="仿宋" w:hAnsi="仿宋" w:eastAsia="仿宋" w:cs="仿宋"/>
          <w:b/>
          <w:sz w:val="30"/>
          <w:szCs w:val="20"/>
        </w:rPr>
        <w:t>三、投标</w:t>
      </w:r>
      <w:bookmarkEnd w:id="31"/>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lang w:val="en-US" w:eastAsia="zh-CN"/>
        </w:rPr>
        <w:t>7</w:t>
      </w:r>
      <w:r>
        <w:rPr>
          <w:rFonts w:hint="eastAsia" w:ascii="仿宋" w:hAnsi="仿宋" w:eastAsia="仿宋" w:cs="仿宋"/>
          <w:b/>
          <w:kern w:val="28"/>
          <w:sz w:val="24"/>
          <w:szCs w:val="24"/>
        </w:rPr>
        <w:t>.投标保证金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9</w:t>
      </w:r>
      <w:r>
        <w:rPr>
          <w:rFonts w:hint="eastAsia" w:ascii="仿宋" w:hAnsi="仿宋" w:eastAsia="仿宋" w:cs="仿宋"/>
          <w:b/>
          <w:sz w:val="24"/>
          <w:szCs w:val="24"/>
        </w:rPr>
        <w:t>. 投标文件的组成</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lang w:eastAsia="zh-CN"/>
        </w:rPr>
        <w:t>9</w:t>
      </w:r>
      <w:r>
        <w:rPr>
          <w:rFonts w:hint="eastAsia" w:ascii="仿宋" w:hAnsi="仿宋" w:eastAsia="仿宋" w:cs="仿宋"/>
          <w:b/>
          <w:bCs/>
          <w:sz w:val="24"/>
        </w:rPr>
        <w:t>.1资格文件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.1.1</w:t>
      </w:r>
      <w:r>
        <w:rPr>
          <w:rFonts w:hint="eastAsia" w:ascii="仿宋" w:hAnsi="仿宋" w:eastAsia="仿宋" w:cs="仿宋"/>
          <w:sz w:val="24"/>
          <w:lang w:val="zh-CN"/>
        </w:rPr>
        <w:t>投标声明书</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.1.2法人或者其他组织的营业执照等证明文件，自然人的身份证明；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.1.3需要说明的其他资料；</w:t>
      </w:r>
    </w:p>
    <w:p>
      <w:pPr>
        <w:snapToGrid w:val="0"/>
        <w:spacing w:line="360" w:lineRule="auto"/>
        <w:ind w:firstLine="482" w:firstLineChars="200"/>
        <w:rPr>
          <w:rFonts w:ascii="仿宋" w:hAnsi="仿宋" w:eastAsia="仿宋" w:cs="仿宋"/>
          <w:sz w:val="24"/>
          <w:lang w:val="zh-CN"/>
        </w:rPr>
      </w:pPr>
      <w:r>
        <w:rPr>
          <w:rFonts w:hint="eastAsia" w:ascii="仿宋" w:hAnsi="仿宋" w:eastAsia="仿宋" w:cs="仿宋"/>
          <w:b/>
          <w:bCs/>
          <w:sz w:val="24"/>
          <w:lang w:val="zh-CN"/>
        </w:rPr>
        <w:t>9.</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.2.1投标函；</w:t>
      </w:r>
      <w:r>
        <w:rPr>
          <w:rFonts w:hint="eastAsia" w:ascii="仿宋" w:hAnsi="仿宋" w:eastAsia="仿宋" w:cs="仿宋"/>
          <w:sz w:val="24"/>
          <w:lang w:val="zh-CN"/>
        </w:rPr>
        <w:t xml:space="preserve"> </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.2.2授权委托书或法定代表人（单位负责人、自然人本人）身份证明；</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.2.3供应商情况介绍；</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.2.4评标标准相应的商务技术资料</w:t>
      </w:r>
      <w:bookmarkStart w:id="32" w:name="_Toc20238"/>
      <w:r>
        <w:rPr>
          <w:rFonts w:hint="eastAsia" w:ascii="仿宋" w:hAnsi="仿宋" w:eastAsia="仿宋" w:cs="仿宋"/>
          <w:sz w:val="24"/>
        </w:rPr>
        <w:t>（根据评标办法提供）；</w:t>
      </w:r>
    </w:p>
    <w:p>
      <w:pPr>
        <w:snapToGrid w:val="0"/>
        <w:spacing w:line="360" w:lineRule="auto"/>
        <w:ind w:firstLine="1058" w:firstLineChars="441"/>
        <w:rPr>
          <w:rFonts w:asci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w:t>
      </w:r>
      <w:r>
        <w:rPr>
          <w:rFonts w:hint="eastAsia" w:ascii="仿宋" w:eastAsia="仿宋" w:cs="仿宋"/>
          <w:sz w:val="24"/>
        </w:rPr>
        <w:t>5</w:t>
      </w:r>
      <w:r>
        <w:rPr>
          <w:rFonts w:hint="eastAsia" w:ascii="仿宋" w:hAnsi="仿宋" w:eastAsia="仿宋" w:cs="仿宋"/>
          <w:sz w:val="24"/>
        </w:rPr>
        <w:t>投标标的清单；</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.2.6商务技术偏离表；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.2.7商务需求响应表；</w:t>
      </w:r>
    </w:p>
    <w:bookmarkEnd w:id="32"/>
    <w:p>
      <w:pPr>
        <w:pStyle w:val="3"/>
        <w:ind w:left="0" w:firstLine="1058" w:firstLineChars="441"/>
        <w:rPr>
          <w:rFonts w:ascii="仿宋" w:eastAsia="仿宋" w:cs="仿宋"/>
          <w:b w:val="0"/>
          <w:bCs w:val="0"/>
          <w:sz w:val="24"/>
          <w:szCs w:val="24"/>
        </w:rPr>
      </w:pPr>
      <w:bookmarkStart w:id="33" w:name="_Toc4291"/>
      <w:r>
        <w:rPr>
          <w:rFonts w:hint="eastAsia" w:ascii="仿宋" w:eastAsia="仿宋" w:cs="仿宋"/>
          <w:b w:val="0"/>
          <w:bCs w:val="0"/>
          <w:sz w:val="24"/>
          <w:szCs w:val="24"/>
          <w:lang w:val="en-US" w:eastAsia="zh-CN"/>
        </w:rPr>
        <w:t>9</w:t>
      </w:r>
      <w:r>
        <w:rPr>
          <w:rFonts w:hint="eastAsia" w:ascii="仿宋" w:eastAsia="仿宋" w:cs="仿宋"/>
          <w:b w:val="0"/>
          <w:bCs w:val="0"/>
          <w:sz w:val="24"/>
          <w:szCs w:val="24"/>
          <w:lang w:val="en-US"/>
        </w:rPr>
        <w:t>.2.8</w:t>
      </w:r>
      <w:bookmarkEnd w:id="33"/>
      <w:r>
        <w:rPr>
          <w:rFonts w:hint="eastAsia" w:ascii="仿宋" w:eastAsia="仿宋" w:cs="仿宋"/>
          <w:b w:val="0"/>
          <w:bCs w:val="0"/>
          <w:sz w:val="24"/>
          <w:szCs w:val="24"/>
          <w:lang w:eastAsia="zh-CN"/>
        </w:rPr>
        <w:t>诚信投标承诺书</w:t>
      </w:r>
      <w:r>
        <w:rPr>
          <w:rFonts w:hint="eastAsia" w:ascii="仿宋" w:eastAsia="仿宋" w:cs="仿宋"/>
          <w:sz w:val="24"/>
        </w:rPr>
        <w:t>。</w:t>
      </w:r>
    </w:p>
    <w:p>
      <w:pPr>
        <w:snapToGrid w:val="0"/>
        <w:spacing w:line="360" w:lineRule="auto"/>
        <w:ind w:firstLine="482" w:firstLineChars="200"/>
        <w:rPr>
          <w:rFonts w:ascii="仿宋" w:hAnsi="仿宋" w:eastAsia="仿宋" w:cs="仿宋"/>
          <w:sz w:val="24"/>
          <w:u w:val="single"/>
          <w:lang w:val="zh-CN"/>
        </w:rPr>
      </w:pPr>
      <w:r>
        <w:rPr>
          <w:rFonts w:hint="eastAsia" w:ascii="仿宋" w:hAnsi="仿宋" w:eastAsia="仿宋" w:cs="仿宋"/>
          <w:b/>
          <w:bCs/>
          <w:kern w:val="0"/>
          <w:sz w:val="24"/>
          <w:lang w:val="zh-CN"/>
        </w:rPr>
        <w:t>9.</w:t>
      </w:r>
      <w:r>
        <w:rPr>
          <w:rFonts w:hint="eastAsia" w:ascii="仿宋" w:hAnsi="仿宋" w:eastAsia="仿宋" w:cs="仿宋"/>
          <w:b/>
          <w:bCs/>
          <w:kern w:val="0"/>
          <w:sz w:val="24"/>
        </w:rPr>
        <w:t>3</w:t>
      </w:r>
      <w:r>
        <w:rPr>
          <w:rFonts w:hint="eastAsia" w:ascii="仿宋" w:hAnsi="仿宋" w:eastAsia="仿宋" w:cs="仿宋"/>
          <w:b/>
          <w:bCs/>
          <w:sz w:val="24"/>
        </w:rPr>
        <w:t>报价文件</w:t>
      </w:r>
      <w:r>
        <w:rPr>
          <w:rFonts w:hint="eastAsia" w:ascii="仿宋" w:hAnsi="仿宋" w:eastAsia="仿宋" w:cs="仿宋"/>
          <w:b/>
          <w:sz w:val="24"/>
        </w:rPr>
        <w:t>：</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.3.1开标一览表（报价表）；</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.3.2投标项目报价明细表（格式见附件）；</w:t>
      </w:r>
    </w:p>
    <w:p>
      <w:pPr>
        <w:snapToGrid w:val="0"/>
        <w:spacing w:line="360" w:lineRule="auto"/>
        <w:ind w:firstLine="1058" w:firstLineChars="441"/>
        <w:rPr>
          <w:rFonts w:ascii="仿宋" w:hAnsi="仿宋" w:eastAsia="仿宋" w:cs="仿宋"/>
          <w:sz w:val="24"/>
        </w:rPr>
      </w:pPr>
      <w:r>
        <w:rPr>
          <w:rFonts w:hint="eastAsia" w:ascii="仿宋" w:hAnsi="仿宋" w:eastAsia="仿宋" w:cs="仿宋"/>
          <w:sz w:val="24"/>
          <w:lang w:eastAsia="zh-CN"/>
        </w:rPr>
        <w:t>9</w:t>
      </w:r>
      <w:r>
        <w:rPr>
          <w:rFonts w:hint="eastAsia" w:ascii="仿宋" w:hAnsi="仿宋" w:eastAsia="仿宋" w:cs="仿宋"/>
          <w:sz w:val="24"/>
        </w:rPr>
        <w:t>.3.3投标人针对报价需要说明的其他文件和说明（格式自拟）。</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bookmarkStart w:id="34" w:name="_Toc21577"/>
      <w:r>
        <w:rPr>
          <w:rFonts w:hint="eastAsia" w:ascii="仿宋" w:hAnsi="仿宋" w:eastAsia="仿宋" w:cs="仿宋"/>
          <w:b/>
          <w:szCs w:val="24"/>
          <w:lang w:eastAsia="zh-CN"/>
        </w:rPr>
        <w:t>1</w:t>
      </w:r>
      <w:r>
        <w:rPr>
          <w:rFonts w:hint="eastAsia" w:ascii="仿宋" w:hAnsi="仿宋" w:eastAsia="仿宋" w:cs="仿宋"/>
          <w:b/>
          <w:szCs w:val="24"/>
          <w:lang w:val="en-US" w:eastAsia="zh-CN"/>
        </w:rPr>
        <w:t>0</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bookmarkEnd w:id="34"/>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.2投标人进行电子投标应安装客户端软件—“乐采云电子交易客户端”，并按照招标文件和电子交易平台的要求编制并加密投标文件。投标人未按规定加密的投标文件，电子交易平台将拒收并提示。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0</w:t>
      </w:r>
      <w:r>
        <w:rPr>
          <w:rFonts w:hint="eastAsia" w:ascii="仿宋" w:hAnsi="仿宋" w:eastAsia="仿宋" w:cs="仿宋"/>
          <w:kern w:val="0"/>
          <w:sz w:val="24"/>
          <w:lang w:val="zh-CN"/>
        </w:rPr>
        <w:t>.3使用“乐采云电子交易客户端”需要提前申领CA数字证书，申领流程请自行前往“浙江政府采购网-下载专区-电子交易客户端-CA驱动和申领流程”进行查阅。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w:t>
      </w:r>
      <w:r>
        <w:rPr>
          <w:rFonts w:hint="eastAsia" w:ascii="仿宋" w:hAnsi="仿宋" w:eastAsia="仿宋" w:cs="仿宋"/>
          <w:szCs w:val="24"/>
          <w:lang w:val="en-US" w:eastAsia="zh-CN"/>
        </w:rPr>
        <w:t>1</w:t>
      </w:r>
      <w:r>
        <w:rPr>
          <w:rFonts w:hint="eastAsia" w:ascii="仿宋" w:hAnsi="仿宋" w:eastAsia="仿宋" w:cs="仿宋"/>
          <w:szCs w:val="24"/>
        </w:rPr>
        <w:t>.1投标文件按照招标文件第六部分格式要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2</w:t>
      </w:r>
      <w:r>
        <w:rPr>
          <w:rFonts w:hint="eastAsia" w:ascii="仿宋" w:hAnsi="仿宋" w:eastAsia="仿宋" w:cs="仿宋"/>
          <w:b/>
          <w:szCs w:val="24"/>
        </w:rPr>
        <w:t>.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eastAsia="zh-CN"/>
        </w:rPr>
        <w:t>2</w:t>
      </w:r>
      <w:r>
        <w:rPr>
          <w:rFonts w:hint="eastAsia" w:ascii="仿宋" w:hAnsi="仿宋" w:eastAsia="仿宋" w:cs="仿宋"/>
          <w:szCs w:val="24"/>
        </w:rPr>
        <w:t>.3采购人、采购代理机构可以视情况延长投标文件提交的截止时间。在上述情况下，采购代理机构与投标人在投标截止期前的全部权利、责任和义务，将适用于延长至新的投标截止期。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3</w:t>
      </w:r>
      <w:r>
        <w:rPr>
          <w:rFonts w:hint="eastAsia" w:ascii="仿宋" w:hAnsi="仿宋" w:eastAsia="仿宋" w:cs="仿宋"/>
          <w:sz w:val="24"/>
          <w:szCs w:val="24"/>
        </w:rPr>
        <w:t>.1投标人在电子交易平台传输递交投标文件后，还可以在投标截止时间前直接提交或者以邮政快递方式递交备份投标文件1份，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.2备份投标文件须在“</w:t>
      </w:r>
      <w:r>
        <w:rPr>
          <w:rFonts w:hint="eastAsia" w:ascii="仿宋" w:hAnsi="仿宋" w:eastAsia="仿宋" w:cs="仿宋"/>
          <w:sz w:val="24"/>
          <w:szCs w:val="24"/>
          <w:lang w:eastAsia="zh-CN"/>
        </w:rPr>
        <w:t>乐采云</w:t>
      </w:r>
      <w:r>
        <w:rPr>
          <w:rFonts w:hint="eastAsia" w:ascii="仿宋" w:hAnsi="仿宋" w:eastAsia="仿宋" w:cs="仿宋"/>
          <w:sz w:val="24"/>
          <w:szCs w:val="24"/>
        </w:rPr>
        <w:t>投标客户端”制作生成，并储存在</w:t>
      </w:r>
      <w:r>
        <w:rPr>
          <w:rFonts w:hint="eastAsia" w:ascii="仿宋" w:hAnsi="仿宋" w:eastAsia="仿宋" w:cs="仿宋"/>
          <w:b/>
          <w:bCs/>
          <w:sz w:val="24"/>
          <w:szCs w:val="24"/>
        </w:rPr>
        <w:t>U</w:t>
      </w:r>
      <w:r>
        <w:rPr>
          <w:rFonts w:hint="eastAsia" w:ascii="仿宋" w:hAnsi="仿宋" w:eastAsia="仿宋" w:cs="仿宋"/>
          <w:sz w:val="24"/>
          <w:szCs w:val="24"/>
        </w:rPr>
        <w:t>盘或</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w:t>
      </w:r>
      <w:r>
        <w:rPr>
          <w:rFonts w:hint="eastAsia" w:ascii="仿宋" w:hAnsi="仿宋" w:eastAsia="仿宋" w:cs="仿宋"/>
          <w:sz w:val="24"/>
          <w:szCs w:val="24"/>
          <w:lang w:eastAsia="zh-CN"/>
        </w:rPr>
        <w:t>泄漏</w:t>
      </w:r>
      <w:r>
        <w:rPr>
          <w:rFonts w:hint="eastAsia" w:ascii="仿宋" w:hAnsi="仿宋" w:eastAsia="仿宋" w:cs="仿宋"/>
          <w:sz w:val="24"/>
          <w:szCs w:val="24"/>
        </w:rPr>
        <w:t>、遗失、损坏或延期送达等情况的，由投标人自行负责。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3</w:t>
      </w:r>
      <w:r>
        <w:rPr>
          <w:rFonts w:hint="eastAsia" w:ascii="仿宋" w:hAnsi="仿宋" w:eastAsia="仿宋" w:cs="仿宋"/>
          <w:b/>
          <w:sz w:val="24"/>
          <w:szCs w:val="24"/>
        </w:rPr>
        <w:t>.5投标人仅提交备份投标文件，未在电子交易平台传输递交投标文件的，投标无效。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4</w:t>
      </w:r>
      <w:r>
        <w:rPr>
          <w:rFonts w:hint="eastAsia" w:ascii="仿宋" w:hAnsi="仿宋" w:eastAsia="仿宋" w:cs="仿宋"/>
          <w:b/>
          <w:szCs w:val="24"/>
        </w:rPr>
        <w:t>.投标文件的无效处理</w:t>
      </w:r>
    </w:p>
    <w:p>
      <w:pPr>
        <w:pStyle w:val="1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w:t>
      </w:r>
      <w:r>
        <w:rPr>
          <w:rFonts w:hint="eastAsia" w:ascii="仿宋" w:hAnsi="仿宋" w:eastAsia="仿宋" w:cs="仿宋"/>
          <w:b/>
          <w:szCs w:val="24"/>
          <w:lang w:val="en-US" w:eastAsia="zh-CN"/>
        </w:rPr>
        <w:t>4</w:t>
      </w:r>
      <w:r>
        <w:rPr>
          <w:rFonts w:hint="eastAsia" w:ascii="仿宋" w:hAnsi="仿宋" w:eastAsia="仿宋" w:cs="仿宋"/>
          <w:b/>
          <w:szCs w:val="24"/>
        </w:rPr>
        <w:t>.投标有效期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w:t>
      </w:r>
      <w:r>
        <w:rPr>
          <w:rFonts w:hint="eastAsia" w:ascii="仿宋" w:hAnsi="仿宋" w:eastAsia="仿宋" w:cs="仿宋"/>
          <w:sz w:val="24"/>
          <w:szCs w:val="20"/>
          <w:lang w:val="en-US" w:eastAsia="zh-CN"/>
        </w:rPr>
        <w:t>4</w:t>
      </w:r>
      <w:r>
        <w:rPr>
          <w:rFonts w:hint="eastAsia" w:ascii="仿宋" w:hAnsi="仿宋" w:eastAsia="仿宋" w:cs="仿宋"/>
          <w:sz w:val="24"/>
          <w:szCs w:val="20"/>
        </w:rPr>
        <w:t>.1投标有效期为从提交投标文件的截止之日起90天。▲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sz w:val="32"/>
        </w:rPr>
      </w:pPr>
    </w:p>
    <w:p>
      <w:pPr>
        <w:pStyle w:val="13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5</w:t>
      </w:r>
      <w:r>
        <w:rPr>
          <w:rFonts w:hint="eastAsia" w:ascii="仿宋" w:hAnsi="仿宋" w:eastAsia="仿宋" w:cs="仿宋"/>
          <w:b/>
          <w:sz w:val="24"/>
          <w:szCs w:val="24"/>
        </w:rPr>
        <w:t>.开标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w:t>
      </w:r>
      <w:r>
        <w:rPr>
          <w:rFonts w:hint="eastAsia" w:ascii="仿宋" w:hAnsi="仿宋" w:eastAsia="仿宋" w:cs="仿宋"/>
          <w:sz w:val="24"/>
          <w:lang w:val="en-US" w:eastAsia="zh-CN"/>
        </w:rPr>
        <w:t>5</w:t>
      </w:r>
      <w:r>
        <w:rPr>
          <w:rFonts w:hint="eastAsia" w:ascii="仿宋" w:hAnsi="仿宋" w:eastAsia="仿宋" w:cs="仿宋"/>
          <w:sz w:val="24"/>
        </w:rPr>
        <w:t>.2开标时，电子交易平台按开标时间自动提取所有投标文件。采购代理机构依托电子交易平台发起开始解密指令，投标人按照平台提示和招标文件的规定在半小时内完成在线解密。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w:t>
      </w:r>
      <w:r>
        <w:rPr>
          <w:rFonts w:hint="eastAsia" w:ascii="仿宋" w:hAnsi="仿宋" w:eastAsia="仿宋" w:cs="仿宋"/>
          <w:sz w:val="24"/>
          <w:lang w:val="en-US" w:eastAsia="zh-CN"/>
        </w:rPr>
        <w:t>5</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w:t>
      </w:r>
      <w:r>
        <w:rPr>
          <w:rFonts w:hint="eastAsia" w:ascii="仿宋" w:hAnsi="仿宋" w:eastAsia="仿宋" w:cs="仿宋"/>
          <w:b/>
          <w:sz w:val="24"/>
          <w:szCs w:val="20"/>
          <w:lang w:eastAsia="zh-CN"/>
        </w:rPr>
        <w:t>16</w:t>
      </w:r>
      <w:r>
        <w:rPr>
          <w:rFonts w:hint="eastAsia" w:ascii="仿宋" w:hAnsi="仿宋" w:eastAsia="仿宋" w:cs="仿宋"/>
          <w:b/>
          <w:sz w:val="24"/>
          <w:szCs w:val="20"/>
        </w:rPr>
        <w:t>、资格审查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eastAsia="zh-CN"/>
        </w:rPr>
        <w:t>16</w:t>
      </w:r>
      <w:r>
        <w:rPr>
          <w:rFonts w:hint="eastAsia" w:ascii="仿宋" w:hAnsi="仿宋" w:eastAsia="仿宋" w:cs="仿宋"/>
          <w:kern w:val="0"/>
          <w:sz w:val="24"/>
        </w:rPr>
        <w:t>.1</w:t>
      </w:r>
      <w:r>
        <w:rPr>
          <w:rFonts w:hint="eastAsia" w:ascii="仿宋" w:hAnsi="仿宋" w:eastAsia="仿宋" w:cs="仿宋"/>
          <w:sz w:val="24"/>
        </w:rPr>
        <w:t>采购人或采购代理机构依据法律法规和招标文件的规定，对投标人的资格进行审查。</w:t>
      </w:r>
    </w:p>
    <w:p>
      <w:pPr>
        <w:pStyle w:val="131"/>
        <w:spacing w:before="0"/>
        <w:ind w:firstLine="480"/>
        <w:rPr>
          <w:rFonts w:ascii="仿宋" w:hAnsi="仿宋" w:eastAsia="仿宋" w:cs="仿宋"/>
        </w:rPr>
      </w:pPr>
      <w:r>
        <w:rPr>
          <w:rFonts w:hint="eastAsia" w:ascii="仿宋" w:hAnsi="仿宋" w:eastAsia="仿宋" w:cs="仿宋"/>
          <w:kern w:val="0"/>
          <w:szCs w:val="24"/>
          <w:lang w:eastAsia="zh-CN"/>
        </w:rPr>
        <w:t>16</w:t>
      </w:r>
      <w:r>
        <w:rPr>
          <w:rFonts w:hint="eastAsia" w:ascii="仿宋" w:hAnsi="仿宋" w:eastAsia="仿宋" w:cs="仿宋"/>
          <w:kern w:val="0"/>
          <w:szCs w:val="24"/>
        </w:rPr>
        <w:t>.2投标人未按照招标文件要求提供与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lang w:eastAsia="zh-CN"/>
        </w:rPr>
        <w:t>16</w:t>
      </w:r>
      <w:r>
        <w:rPr>
          <w:rFonts w:hint="eastAsia" w:ascii="仿宋" w:hAnsi="仿宋" w:eastAsia="仿宋" w:cs="仿宋"/>
          <w:kern w:val="0"/>
          <w:szCs w:val="24"/>
        </w:rPr>
        <w:t>.</w:t>
      </w:r>
      <w:r>
        <w:rPr>
          <w:rFonts w:hint="eastAsia" w:ascii="仿宋" w:hAnsi="仿宋" w:eastAsia="仿宋" w:cs="仿宋"/>
        </w:rPr>
        <w:t>3对未通过资格审查的投标人，采购人或采购代理机构告知其未通过的原因。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lang w:eastAsia="zh-CN"/>
        </w:rPr>
        <w:t>16</w:t>
      </w:r>
      <w:r>
        <w:rPr>
          <w:rFonts w:hint="eastAsia" w:ascii="仿宋" w:hAnsi="仿宋" w:eastAsia="仿宋" w:cs="仿宋"/>
          <w:kern w:val="0"/>
          <w:szCs w:val="24"/>
        </w:rPr>
        <w:t>.</w:t>
      </w:r>
      <w:r>
        <w:rPr>
          <w:rFonts w:hint="eastAsia" w:ascii="仿宋" w:hAnsi="仿宋" w:eastAsia="仿宋" w:cs="仿宋"/>
        </w:rPr>
        <w:t>4合格投标人不足3家的，不再评标。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lang w:eastAsia="zh-CN"/>
        </w:rPr>
        <w:t>17</w:t>
      </w:r>
      <w:r>
        <w:rPr>
          <w:rFonts w:hint="eastAsia" w:ascii="仿宋" w:hAnsi="仿宋" w:eastAsia="仿宋" w:cs="仿宋"/>
          <w:b/>
          <w:szCs w:val="24"/>
        </w:rPr>
        <w:t>、信用信息查询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lang w:eastAsia="zh-CN"/>
        </w:rPr>
        <w:t>17</w:t>
      </w:r>
      <w:r>
        <w:rPr>
          <w:rFonts w:hint="eastAsia" w:ascii="仿宋" w:hAnsi="仿宋" w:eastAsia="仿宋" w:cs="仿宋"/>
          <w:kern w:val="0"/>
          <w:szCs w:val="24"/>
        </w:rPr>
        <w:t>.1信用信息查询渠道及截止时间：采购代理机构将在资格审查时通过“信用中国”网站(www.creditchina.gov.cn)、中国政府采购网(www.ccgp.gov.cn)渠道查询投标人接受资格审查时的信用记录。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lang w:eastAsia="zh-CN"/>
        </w:rPr>
        <w:t>17</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lang w:eastAsia="zh-CN"/>
        </w:rPr>
        <w:t>17</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w:t>
      </w:r>
      <w:r>
        <w:rPr>
          <w:rFonts w:hint="eastAsia" w:ascii="仿宋" w:hAnsi="仿宋" w:eastAsia="仿宋" w:cs="仿宋"/>
          <w:kern w:val="0"/>
          <w:szCs w:val="24"/>
          <w:lang w:val="en-US" w:eastAsia="zh-CN"/>
        </w:rPr>
        <w:t>本次</w:t>
      </w:r>
      <w:r>
        <w:rPr>
          <w:rFonts w:hint="eastAsia" w:ascii="仿宋" w:hAnsi="仿宋" w:eastAsia="仿宋" w:cs="仿宋"/>
          <w:kern w:val="0"/>
          <w:szCs w:val="24"/>
        </w:rPr>
        <w:t>采购活动。</w:t>
      </w:r>
    </w:p>
    <w:p>
      <w:pPr>
        <w:pStyle w:val="131"/>
        <w:spacing w:before="0"/>
        <w:ind w:firstLine="480"/>
        <w:rPr>
          <w:rFonts w:ascii="仿宋" w:hAnsi="仿宋" w:eastAsia="仿宋" w:cs="仿宋"/>
        </w:rPr>
      </w:pPr>
      <w:r>
        <w:rPr>
          <w:rFonts w:hint="eastAsia" w:ascii="仿宋" w:hAnsi="仿宋" w:eastAsia="仿宋" w:cs="仿宋"/>
          <w:kern w:val="0"/>
          <w:szCs w:val="24"/>
          <w:lang w:eastAsia="zh-CN"/>
        </w:rPr>
        <w:t>17</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35" w:name="_Toc5303"/>
      <w:r>
        <w:rPr>
          <w:rFonts w:hint="eastAsia" w:ascii="仿宋" w:hAnsi="仿宋" w:eastAsia="仿宋" w:cs="仿宋"/>
          <w:b/>
          <w:sz w:val="36"/>
          <w:szCs w:val="36"/>
        </w:rPr>
        <w:t>五、评标</w:t>
      </w:r>
      <w:bookmarkEnd w:id="35"/>
    </w:p>
    <w:p>
      <w:pPr>
        <w:spacing w:line="360" w:lineRule="auto"/>
        <w:ind w:firstLine="482" w:firstLineChars="200"/>
        <w:rPr>
          <w:rFonts w:ascii="仿宋" w:hAnsi="仿宋" w:eastAsia="仿宋" w:cs="仿宋"/>
          <w:b/>
          <w:sz w:val="24"/>
        </w:rPr>
      </w:pPr>
      <w:bookmarkStart w:id="36" w:name="_Toc91899903"/>
      <w:r>
        <w:rPr>
          <w:rFonts w:hint="eastAsia" w:ascii="仿宋" w:hAnsi="仿宋" w:eastAsia="仿宋" w:cs="仿宋"/>
          <w:b/>
          <w:sz w:val="24"/>
          <w:lang w:val="en-US" w:eastAsia="zh-CN"/>
        </w:rPr>
        <w:t>18</w:t>
      </w:r>
      <w:r>
        <w:rPr>
          <w:rFonts w:hint="eastAsia" w:ascii="仿宋" w:hAnsi="仿宋" w:eastAsia="仿宋" w:cs="仿宋"/>
          <w:b/>
          <w:sz w:val="24"/>
        </w:rPr>
        <w:t>.</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bookmarkStart w:id="37" w:name="_Toc918"/>
      <w:r>
        <w:rPr>
          <w:rFonts w:hint="eastAsia" w:ascii="仿宋" w:hAnsi="仿宋" w:eastAsia="仿宋" w:cs="仿宋"/>
          <w:b/>
          <w:sz w:val="36"/>
          <w:szCs w:val="36"/>
        </w:rPr>
        <w:t>六、定 标</w:t>
      </w:r>
      <w:bookmarkEnd w:id="37"/>
    </w:p>
    <w:p>
      <w:pPr>
        <w:pStyle w:val="16"/>
        <w:spacing w:line="360" w:lineRule="auto"/>
        <w:ind w:left="479" w:hanging="479" w:hangingChars="199"/>
        <w:rPr>
          <w:rFonts w:ascii="仿宋" w:hAnsi="仿宋" w:eastAsia="仿宋" w:cs="仿宋"/>
          <w:b/>
        </w:rPr>
      </w:pPr>
      <w:r>
        <w:rPr>
          <w:rFonts w:hint="eastAsia" w:ascii="仿宋" w:hAnsi="仿宋" w:eastAsia="仿宋" w:cs="仿宋"/>
          <w:b/>
          <w:lang w:val="en-US" w:eastAsia="zh-CN"/>
        </w:rPr>
        <w:t>19</w:t>
      </w:r>
      <w:r>
        <w:rPr>
          <w:rFonts w:hint="eastAsia" w:ascii="仿宋" w:hAnsi="仿宋" w:eastAsia="仿宋" w:cs="仿宋"/>
          <w:b/>
        </w:rPr>
        <w:t>.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0</w:t>
      </w:r>
      <w:r>
        <w:rPr>
          <w:rFonts w:hint="eastAsia" w:ascii="仿宋" w:hAnsi="仿宋" w:eastAsia="仿宋" w:cs="仿宋"/>
          <w:b/>
          <w:szCs w:val="24"/>
        </w:rPr>
        <w:t>.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.1自中标人确定之日起2个工作日内，采购代理机构向中标人发出中标通知书，同时编制发布采购结果公</w:t>
      </w:r>
      <w:r>
        <w:rPr>
          <w:rFonts w:hint="eastAsia" w:ascii="仿宋" w:hAnsi="仿宋" w:eastAsia="仿宋" w:cs="仿宋"/>
          <w:sz w:val="24"/>
          <w:lang w:val="en-US" w:eastAsia="zh-CN"/>
        </w:rPr>
        <w:t>示，公示期不得少于3日（最后一日为工作日）</w:t>
      </w:r>
      <w:r>
        <w:rPr>
          <w:rFonts w:hint="eastAsia" w:ascii="仿宋" w:hAnsi="仿宋" w:eastAsia="仿宋" w:cs="仿宋"/>
          <w:sz w:val="24"/>
        </w:rPr>
        <w:t>。</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16"/>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1</w:t>
      </w:r>
      <w:r>
        <w:rPr>
          <w:rFonts w:hint="eastAsia" w:ascii="仿宋" w:hAnsi="仿宋" w:eastAsia="仿宋" w:cs="仿宋"/>
          <w:b/>
        </w:rPr>
        <w:t xml:space="preserve">. </w:t>
      </w:r>
      <w:r>
        <w:rPr>
          <w:rFonts w:hint="eastAsia" w:ascii="仿宋" w:hAnsi="仿宋" w:eastAsia="仿宋" w:cs="仿宋"/>
        </w:rPr>
        <w:t>合同主要条款详见第五部分拟签订的合同文本。</w:t>
      </w:r>
    </w:p>
    <w:p>
      <w:pPr>
        <w:pStyle w:val="16"/>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2</w:t>
      </w:r>
      <w:r>
        <w:rPr>
          <w:rFonts w:hint="eastAsia" w:ascii="仿宋" w:hAnsi="仿宋" w:eastAsia="仿宋" w:cs="仿宋"/>
          <w:b/>
        </w:rPr>
        <w:t>.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2</w:t>
      </w:r>
      <w:r>
        <w:rPr>
          <w:rFonts w:hint="eastAsia" w:ascii="仿宋" w:hAnsi="仿宋" w:eastAsia="仿宋" w:cs="仿宋"/>
          <w:sz w:val="24"/>
        </w:rPr>
        <w:t>.1</w:t>
      </w:r>
      <w:r>
        <w:rPr>
          <w:rFonts w:hint="eastAsia" w:ascii="仿宋" w:hAnsi="仿宋" w:eastAsia="仿宋" w:cs="仿宋"/>
          <w:kern w:val="0"/>
          <w:sz w:val="24"/>
        </w:rPr>
        <w:t xml:space="preserve"> 采购人与中标人应当在中标通知书发出之日起三十日内，按照招标文件确定的事项签订采购合同。</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lang w:val="en-US" w:eastAsia="zh-CN"/>
        </w:rPr>
        <w:t>2</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.4中标供应商拒绝与采购人签订合同的，采购人可以按照评审报告推荐的中标或者成交候选人名单排序，确定下一候选人为中标供应商，也可以重新开展采购活动。</w:t>
      </w:r>
    </w:p>
    <w:p>
      <w:pPr>
        <w:pStyle w:val="131"/>
        <w:snapToGrid w:val="0"/>
        <w:spacing w:before="0" w:after="12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.5采购合同由采购人与中标供应商根据招标文件、投标文件等内容通过政府采购电子交易平台在线签订，自动备案。</w:t>
      </w:r>
    </w:p>
    <w:p>
      <w:pPr>
        <w:pStyle w:val="16"/>
        <w:spacing w:line="360" w:lineRule="auto"/>
        <w:ind w:left="479" w:hanging="479" w:hangingChars="199"/>
        <w:rPr>
          <w:rFonts w:ascii="仿宋" w:hAnsi="仿宋" w:eastAsia="仿宋" w:cs="仿宋"/>
          <w:b/>
        </w:rPr>
      </w:pPr>
      <w:r>
        <w:rPr>
          <w:rFonts w:hint="eastAsia" w:ascii="仿宋" w:hAnsi="仿宋" w:eastAsia="仿宋" w:cs="仿宋"/>
          <w:b/>
        </w:rPr>
        <w:t>2</w:t>
      </w:r>
      <w:r>
        <w:rPr>
          <w:rFonts w:hint="eastAsia" w:ascii="仿宋" w:hAnsi="仿宋" w:eastAsia="仿宋" w:cs="仿宋"/>
          <w:b/>
          <w:lang w:val="en-US" w:eastAsia="zh-CN"/>
        </w:rPr>
        <w:t>3</w:t>
      </w:r>
      <w:r>
        <w:rPr>
          <w:rFonts w:hint="eastAsia" w:ascii="仿宋" w:hAnsi="仿宋" w:eastAsia="仿宋" w:cs="仿宋"/>
          <w:b/>
        </w:rPr>
        <w:t>. 履约保证金</w:t>
      </w:r>
    </w:p>
    <w:p>
      <w:pPr>
        <w:pStyle w:val="3"/>
        <w:ind w:left="438" w:leftChars="88" w:hanging="253" w:hangingChars="105"/>
        <w:rPr>
          <w:rFonts w:hint="eastAsia" w:ascii="仿宋" w:hAnsi="仿宋" w:eastAsia="仿宋" w:cs="仿宋"/>
          <w:sz w:val="24"/>
        </w:rPr>
      </w:pPr>
      <w:r>
        <w:rPr>
          <w:rFonts w:hint="eastAsia" w:ascii="仿宋" w:hAnsi="仿宋" w:eastAsia="仿宋" w:cs="仿宋"/>
          <w:sz w:val="24"/>
        </w:rPr>
        <w:t>履约担保金额为中标合同金额的5%</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lang w:val="en-US" w:eastAsia="zh-CN"/>
        </w:rPr>
        <w:t>4</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 xml:space="preserve">.1电子交易平台发生故障而无法登录访问的；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 xml:space="preserve">.4病毒发作导致不能进行正常操作的；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2</w:t>
      </w:r>
      <w:r>
        <w:rPr>
          <w:rFonts w:hint="eastAsia" w:ascii="仿宋" w:hAnsi="仿宋" w:eastAsia="仿宋" w:cs="仿宋"/>
          <w:lang w:val="en-US" w:eastAsia="zh-CN"/>
        </w:rPr>
        <w:t>5</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bookmarkEnd w:id="36"/>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6</w:t>
      </w:r>
      <w:r>
        <w:rPr>
          <w:rFonts w:hint="eastAsia" w:ascii="仿宋" w:hAnsi="仿宋" w:eastAsia="仿宋" w:cs="仿宋"/>
          <w:kern w:val="0"/>
          <w:sz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
        <w:spacing w:after="0" w:line="360" w:lineRule="auto"/>
        <w:ind w:left="431" w:hanging="431"/>
        <w:jc w:val="center"/>
        <w:rPr>
          <w:rFonts w:hint="eastAsia"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4"/>
      <w:bookmarkEnd w:id="15"/>
      <w:bookmarkStart w:id="38" w:name="_Toc29425"/>
      <w:bookmarkStart w:id="39" w:name="第四部分"/>
    </w:p>
    <w:p>
      <w:pPr>
        <w:rPr>
          <w:rFonts w:hint="eastAsia" w:ascii="仿宋" w:hAnsi="仿宋" w:eastAsia="仿宋" w:cs="仿宋"/>
          <w:kern w:val="0"/>
          <w:sz w:val="24"/>
        </w:rPr>
      </w:pPr>
      <w:r>
        <w:rPr>
          <w:rFonts w:hint="eastAsia" w:ascii="仿宋" w:hAnsi="仿宋" w:eastAsia="仿宋" w:cs="仿宋"/>
          <w:kern w:val="0"/>
          <w:sz w:val="24"/>
        </w:rPr>
        <w:br w:type="page"/>
      </w:r>
    </w:p>
    <w:p>
      <w:pPr>
        <w:pStyle w:val="2"/>
        <w:spacing w:after="0" w:line="360" w:lineRule="auto"/>
        <w:ind w:left="431" w:hanging="431"/>
        <w:jc w:val="center"/>
        <w:rPr>
          <w:rFonts w:ascii="仿宋" w:hAnsi="仿宋" w:eastAsia="仿宋" w:cs="仿宋"/>
        </w:rPr>
      </w:pPr>
      <w:r>
        <w:rPr>
          <w:rFonts w:hint="eastAsia" w:ascii="仿宋" w:hAnsi="仿宋" w:eastAsia="仿宋" w:cs="仿宋"/>
        </w:rPr>
        <w:t>第三部分   采购需求</w:t>
      </w:r>
      <w:bookmarkEnd w:id="38"/>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8"/>
          <w:szCs w:val="28"/>
        </w:rPr>
        <w:t>招标项目一览表</w:t>
      </w:r>
    </w:p>
    <w:p>
      <w:pPr>
        <w:numPr>
          <w:ilvl w:val="0"/>
          <w:numId w:val="3"/>
        </w:numPr>
        <w:tabs>
          <w:tab w:val="left" w:pos="0"/>
        </w:tabs>
        <w:spacing w:line="360" w:lineRule="auto"/>
        <w:outlineLvl w:val="1"/>
        <w:rPr>
          <w:rFonts w:hint="eastAsia" w:ascii="仿宋" w:hAnsi="仿宋" w:eastAsia="仿宋" w:cs="仿宋"/>
          <w:b/>
          <w:bCs/>
          <w:kern w:val="0"/>
          <w:sz w:val="24"/>
        </w:rPr>
      </w:pPr>
      <w:r>
        <w:rPr>
          <w:rFonts w:hint="eastAsia" w:ascii="仿宋" w:hAnsi="仿宋" w:eastAsia="仿宋" w:cs="仿宋"/>
          <w:b/>
          <w:bCs/>
          <w:kern w:val="0"/>
          <w:sz w:val="24"/>
        </w:rPr>
        <w:t>采购需求一览表</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723"/>
        <w:gridCol w:w="1560"/>
        <w:gridCol w:w="780"/>
        <w:gridCol w:w="780"/>
        <w:gridCol w:w="118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57"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标号</w:t>
            </w:r>
          </w:p>
        </w:tc>
        <w:tc>
          <w:tcPr>
            <w:tcW w:w="2723"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560"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简要技术要求</w:t>
            </w:r>
          </w:p>
        </w:tc>
        <w:tc>
          <w:tcPr>
            <w:tcW w:w="780"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780"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185"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预算</w:t>
            </w:r>
          </w:p>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（元）</w:t>
            </w:r>
          </w:p>
        </w:tc>
        <w:tc>
          <w:tcPr>
            <w:tcW w:w="1191" w:type="dxa"/>
            <w:vAlign w:val="center"/>
          </w:tcPr>
          <w:p>
            <w:pPr>
              <w:tabs>
                <w:tab w:val="left" w:pos="8280"/>
              </w:tabs>
              <w:autoSpaceDE w:val="0"/>
              <w:autoSpaceDN w:val="0"/>
              <w:ind w:right="23"/>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57" w:type="dxa"/>
            <w:vAlign w:val="center"/>
          </w:tcPr>
          <w:p>
            <w:pPr>
              <w:tabs>
                <w:tab w:val="left" w:pos="8280"/>
              </w:tabs>
              <w:autoSpaceDE w:val="0"/>
              <w:autoSpaceDN w:val="0"/>
              <w:ind w:right="23"/>
              <w:jc w:val="center"/>
              <w:rPr>
                <w:rFonts w:hint="eastAsia" w:ascii="仿宋" w:hAnsi="仿宋" w:eastAsia="仿宋" w:cs="仿宋"/>
                <w:sz w:val="24"/>
                <w:szCs w:val="24"/>
              </w:rPr>
            </w:pPr>
            <w:r>
              <w:rPr>
                <w:rFonts w:hint="eastAsia" w:ascii="仿宋" w:hAnsi="仿宋" w:eastAsia="仿宋" w:cs="仿宋"/>
                <w:sz w:val="24"/>
                <w:szCs w:val="24"/>
              </w:rPr>
              <w:t>1</w:t>
            </w:r>
          </w:p>
        </w:tc>
        <w:tc>
          <w:tcPr>
            <w:tcW w:w="2723" w:type="dxa"/>
            <w:vAlign w:val="center"/>
          </w:tcPr>
          <w:p>
            <w:pPr>
              <w:tabs>
                <w:tab w:val="left" w:pos="8280"/>
              </w:tabs>
              <w:autoSpaceDE w:val="0"/>
              <w:autoSpaceDN w:val="0"/>
              <w:ind w:right="23"/>
              <w:jc w:val="center"/>
              <w:rPr>
                <w:rFonts w:hint="eastAsia" w:ascii="仿宋" w:hAnsi="仿宋" w:eastAsia="仿宋" w:cs="仿宋"/>
                <w:sz w:val="24"/>
                <w:szCs w:val="24"/>
              </w:rPr>
            </w:pPr>
            <w:r>
              <w:rPr>
                <w:rFonts w:hint="eastAsia" w:ascii="仿宋" w:hAnsi="仿宋" w:eastAsia="仿宋" w:cs="仿宋"/>
                <w:sz w:val="24"/>
                <w:szCs w:val="24"/>
              </w:rPr>
              <w:t xml:space="preserve"> 椒江区“平安家庭”家事纠纷化解“一类事”</w:t>
            </w:r>
            <w:r>
              <w:rPr>
                <w:rFonts w:hint="eastAsia" w:ascii="仿宋" w:hAnsi="仿宋" w:eastAsia="仿宋" w:cs="仿宋"/>
                <w:sz w:val="24"/>
                <w:szCs w:val="24"/>
                <w:lang w:val="en-US" w:eastAsia="zh-CN"/>
              </w:rPr>
              <w:t>平台</w:t>
            </w:r>
            <w:r>
              <w:rPr>
                <w:rFonts w:hint="eastAsia" w:ascii="仿宋" w:hAnsi="仿宋" w:eastAsia="仿宋" w:cs="仿宋"/>
                <w:sz w:val="24"/>
                <w:szCs w:val="24"/>
              </w:rPr>
              <w:t>建设项目</w:t>
            </w:r>
          </w:p>
        </w:tc>
        <w:tc>
          <w:tcPr>
            <w:tcW w:w="1560" w:type="dxa"/>
            <w:vAlign w:val="center"/>
          </w:tcPr>
          <w:p>
            <w:pPr>
              <w:tabs>
                <w:tab w:val="left" w:pos="8280"/>
              </w:tabs>
              <w:autoSpaceDE w:val="0"/>
              <w:autoSpaceDN w:val="0"/>
              <w:ind w:right="23"/>
              <w:jc w:val="center"/>
              <w:rPr>
                <w:rFonts w:hint="eastAsia" w:ascii="仿宋" w:hAnsi="仿宋" w:eastAsia="仿宋" w:cs="仿宋"/>
                <w:sz w:val="24"/>
                <w:szCs w:val="24"/>
              </w:rPr>
            </w:pPr>
            <w:r>
              <w:rPr>
                <w:rFonts w:hint="eastAsia" w:ascii="仿宋" w:hAnsi="仿宋" w:eastAsia="仿宋" w:cs="仿宋"/>
                <w:sz w:val="24"/>
                <w:szCs w:val="24"/>
              </w:rPr>
              <w:t>详见招标文件</w:t>
            </w:r>
          </w:p>
        </w:tc>
        <w:tc>
          <w:tcPr>
            <w:tcW w:w="780" w:type="dxa"/>
            <w:vAlign w:val="center"/>
          </w:tcPr>
          <w:p>
            <w:pPr>
              <w:tabs>
                <w:tab w:val="left" w:pos="8280"/>
              </w:tabs>
              <w:autoSpaceDE w:val="0"/>
              <w:autoSpaceDN w:val="0"/>
              <w:ind w:right="23"/>
              <w:jc w:val="center"/>
              <w:rPr>
                <w:rFonts w:hint="eastAsia" w:ascii="仿宋" w:hAnsi="仿宋" w:eastAsia="仿宋" w:cs="仿宋"/>
                <w:sz w:val="24"/>
                <w:szCs w:val="24"/>
              </w:rPr>
            </w:pPr>
            <w:r>
              <w:rPr>
                <w:rFonts w:hint="eastAsia" w:ascii="仿宋" w:hAnsi="仿宋" w:eastAsia="仿宋" w:cs="仿宋"/>
                <w:sz w:val="24"/>
                <w:szCs w:val="24"/>
              </w:rPr>
              <w:t>1</w:t>
            </w:r>
          </w:p>
        </w:tc>
        <w:tc>
          <w:tcPr>
            <w:tcW w:w="780" w:type="dxa"/>
            <w:vAlign w:val="center"/>
          </w:tcPr>
          <w:p>
            <w:pPr>
              <w:tabs>
                <w:tab w:val="left" w:pos="8280"/>
              </w:tabs>
              <w:autoSpaceDE w:val="0"/>
              <w:autoSpaceDN w:val="0"/>
              <w:ind w:right="23"/>
              <w:rPr>
                <w:rFonts w:hint="eastAsia" w:ascii="仿宋" w:hAnsi="仿宋" w:eastAsia="仿宋" w:cs="仿宋"/>
                <w:sz w:val="24"/>
                <w:szCs w:val="24"/>
              </w:rPr>
            </w:pPr>
            <w:r>
              <w:rPr>
                <w:rFonts w:hint="eastAsia" w:ascii="仿宋" w:hAnsi="仿宋" w:eastAsia="仿宋" w:cs="仿宋"/>
                <w:sz w:val="24"/>
                <w:szCs w:val="24"/>
              </w:rPr>
              <w:t>项</w:t>
            </w:r>
          </w:p>
        </w:tc>
        <w:tc>
          <w:tcPr>
            <w:tcW w:w="1185" w:type="dxa"/>
            <w:vAlign w:val="center"/>
          </w:tcPr>
          <w:p>
            <w:pPr>
              <w:tabs>
                <w:tab w:val="left" w:pos="8280"/>
              </w:tabs>
              <w:autoSpaceDE w:val="0"/>
              <w:autoSpaceDN w:val="0"/>
              <w:ind w:right="23"/>
              <w:jc w:val="center"/>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450000</w:t>
            </w:r>
          </w:p>
        </w:tc>
        <w:tc>
          <w:tcPr>
            <w:tcW w:w="1191" w:type="dxa"/>
            <w:vAlign w:val="center"/>
          </w:tcPr>
          <w:p>
            <w:pPr>
              <w:tabs>
                <w:tab w:val="left" w:pos="8280"/>
              </w:tabs>
              <w:autoSpaceDE w:val="0"/>
              <w:autoSpaceDN w:val="0"/>
              <w:ind w:right="23"/>
              <w:jc w:val="center"/>
              <w:rPr>
                <w:rFonts w:hint="eastAsia" w:ascii="仿宋" w:hAnsi="仿宋" w:eastAsia="仿宋" w:cs="仿宋"/>
                <w:sz w:val="24"/>
                <w:szCs w:val="24"/>
              </w:rPr>
            </w:pPr>
          </w:p>
        </w:tc>
      </w:tr>
    </w:tbl>
    <w:p>
      <w:pPr>
        <w:tabs>
          <w:tab w:val="left" w:pos="0"/>
        </w:tabs>
        <w:spacing w:line="360" w:lineRule="auto"/>
        <w:ind w:left="420"/>
        <w:outlineLvl w:val="1"/>
        <w:rPr>
          <w:rFonts w:hint="eastAsia" w:ascii="宋体" w:hAnsi="宋体" w:cs="宋体"/>
          <w:b/>
          <w:bCs/>
          <w:color w:val="000000"/>
          <w:sz w:val="24"/>
        </w:rPr>
      </w:pPr>
    </w:p>
    <w:p>
      <w:pPr>
        <w:numPr>
          <w:ilvl w:val="0"/>
          <w:numId w:val="3"/>
        </w:numPr>
        <w:tabs>
          <w:tab w:val="left" w:pos="0"/>
        </w:tabs>
        <w:spacing w:line="360" w:lineRule="auto"/>
        <w:outlineLvl w:val="1"/>
        <w:rPr>
          <w:rFonts w:hint="eastAsia" w:ascii="仿宋" w:hAnsi="仿宋" w:eastAsia="仿宋" w:cs="仿宋"/>
          <w:b/>
          <w:bCs/>
          <w:kern w:val="0"/>
          <w:sz w:val="24"/>
        </w:rPr>
      </w:pPr>
      <w:r>
        <w:rPr>
          <w:rFonts w:hint="eastAsia" w:ascii="仿宋" w:hAnsi="仿宋" w:eastAsia="仿宋" w:cs="仿宋"/>
          <w:b/>
          <w:bCs/>
          <w:kern w:val="0"/>
          <w:sz w:val="24"/>
        </w:rPr>
        <w:t>项目概况</w:t>
      </w:r>
    </w:p>
    <w:p>
      <w:pPr>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一</w:t>
      </w: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rPr>
        <w:t>建设背景</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家庭是社会的细胞，家事纷争的解决，关乎社会和谐和文明进步。党的二十大报告提出，要在社会基层坚持和发展新时代“枫桥经验”，完善正确处理新形势下人民内部矛盾机制，及时把矛盾纠纷化解在基层、化解在萌芽状态。最高人民法院、司法部印发的《关于充分发挥人民调解基础性作用推进诉源治理的意见》提出，坚持以习近平新时代中国特色社会主义思想为指导，全面贯彻落实党的二十大精神，深入学习贯彻习近平法治思想，认真贯彻落实习近平总书记关于调解工作的重要指示精神，坚持党的领导，坚持以人民为中心，坚持和发展新时代“枫桥经验”，进一步加强人民调解工作，健全完善诉调对接工作机制，强化工作保障，推动源头预防、就地实质化解纠纷。</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浙江省高度重视基层矛盾化解问题，于《关于坚持和深化新时代“千万工程”全面打造乡村振兴浙江样板的实施意见》中提出要迭代完善乡村治理体系。健全党组织领导的自治、法治、德治、智治相融合的现代乡村治理体系，深化全国乡村治理体系建设试点示范、全国村级议事协商创新实验试点和党建引领乡村治理试点。坚持和发展新时代“枫桥经验”，开展家事矛盾纠纷化解综合服务“一类事”试点。多地在预防化解家事纠纷方面进行了有益探索和积极创新，坚持系统思维，集成化谋篇布局。构建家事“一类事”纵横交织、协同发力的组织架构，设立区家事“一类事”综合服务中心，以家事服务全量集成为出发点，集成婚恋情感、家庭财产纠纷、家庭暴力、未成年人保护、赡养扶养抚养、家庭教育、家庭心理等七类矛盾纠纷和婚姻辅导、家事信访、家事调解、法律咨询、心理疏导、法律援助、困难帮扶、家风培育等八大服务功能，打造家事服务便民直通车。</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以习近平新时代中国特色社会主义思想为指导，深入贯彻党中央关于基层社会治理现代化的重要指示精神，椒江区积极响应省委省政府关于推进新时代“千万工程”和乡村振兴战略的号召，以“平安家庭”建设为突破口，推动家事纠纷化解工作的创新与实践。随着经济社会的快速发展，各类家庭纠纷日益呈现出多样化、复杂化、多发化的趋势，尤其是婚姻家庭纠纷引发的“民转刑”案件频发，严重影响了社会稳定与和谐，也对营商环境优化构成了挑战。</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为破解当前家事纠纷化解中存在的“数据不贯通、处置不高效、联动不顺畅”等难题，椒江区积极落实《坚持和发展新时代“千万工程” 全面打造乡村振兴浙江样板实施意见》及《关于开展家事纠纷化解“一类事”综合服务试点工作的指导意见》，明确将椒江区作为家事纠纷化解“一类事”综合服务试点地区。本项目旨在通过党建引领，依托数字化改革手段，构建基层社会治理体系中的“家字型”底座，以家庭为基本单元，推动家事纠纷化解工作的精准化、高效化和多元化发展。</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项目旨在打造一个群众服务端与部门治理端相结合的家事纠纷化解服务体系，落实“家事类矛盾纠纷不出家”的工作机制，通过构建多跨协同工作体系，实现家事纠纷化解的全过程信息化管理。通过项目的实施，预期能够显著提升家事纠纷的处置效率，降低社会潜在矛盾纠纷，提高群众满意度和社会安定程度，为椒江区乃至全省、全国的基层社会治理现代化建设提供可复制、可推广的经验与模式。</w:t>
      </w:r>
    </w:p>
    <w:p>
      <w:pPr>
        <w:pStyle w:val="15"/>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建设目标</w:t>
      </w:r>
    </w:p>
    <w:p>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项目以党建引领为核心，聚焦家事纠纷的预防与化解，通过数字化手段构建全方位、多层次的家事矛盾纠纷化解体系，促进家庭和谐稳定，为构建平安椒江奠定坚实基础。本项目坚持问题导向，聚焦破解“数据不贯通、处置不高效、联动不顺畅”三大家事纠纷化解老大难问题，推动婚姻家庭纠纷预防化解向高效化、精准化、多元化转变，构建基层社会治理体系“家字型”底座，通过打造一个群众服务端、部门治理端，建立家事纠纷化解“一类事“服务全链条，全面筑牢“平安家庭”基本单元，实现“民转刑、刑转命”案件明显下降，群众满意率显著提高，为全省乃至全国提供可复制可推广的椒江经验。</w:t>
      </w:r>
    </w:p>
    <w:p>
      <w:pPr>
        <w:rPr>
          <w:rFonts w:hint="eastAsia" w:ascii="仿宋" w:hAnsi="仿宋" w:eastAsia="仿宋" w:cs="仿宋"/>
          <w:b/>
          <w:bCs/>
          <w:color w:val="000000"/>
          <w:kern w:val="0"/>
          <w:sz w:val="24"/>
          <w:lang w:eastAsia="zh-CN"/>
        </w:rPr>
      </w:pPr>
      <w:r>
        <w:rPr>
          <w:rFonts w:hint="eastAsia" w:ascii="仿宋" w:hAnsi="仿宋" w:eastAsia="仿宋" w:cs="仿宋"/>
          <w:b/>
          <w:bCs/>
          <w:color w:val="000000"/>
          <w:kern w:val="0"/>
          <w:sz w:val="24"/>
          <w:lang w:eastAsia="zh-CN"/>
        </w:rPr>
        <w:br w:type="page"/>
      </w:r>
    </w:p>
    <w:p>
      <w:pPr>
        <w:numPr>
          <w:ilvl w:val="0"/>
          <w:numId w:val="4"/>
        </w:numPr>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项目采购清单</w:t>
      </w:r>
    </w:p>
    <w:tbl>
      <w:tblPr>
        <w:tblStyle w:val="6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305"/>
        <w:gridCol w:w="1455"/>
        <w:gridCol w:w="1575"/>
        <w:gridCol w:w="4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编号</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系统</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一级功能</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二级功能</w:t>
            </w:r>
          </w:p>
        </w:tc>
        <w:tc>
          <w:tcPr>
            <w:tcW w:w="2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浙里办家事调解小程序</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登录</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游客方式</w:t>
            </w:r>
          </w:p>
        </w:tc>
        <w:tc>
          <w:tcPr>
            <w:tcW w:w="24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提供多种登录功能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手机号登录</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授权登录</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上架浙里办</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集成上架浙里办</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将开发的应用程序集成到浙江省政务服务统一平台“浙里办”中，在“浙里办”中可通过搜索相应的应用名访问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婚姻辅导</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婚姻咨询热线电话</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用户可在浙里办点击直接拨打12388热线电话。支持在浙里办页面中添加一个拨号按钮或链接，并设置相关的文字或图像提示用户拨打婚姻咨询热线电话。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线上婚姻咨询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支持用户在移动端中与客服或其他相关人员进行文字、语音或视频交流，进行咨询、解决问题等操作。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咨询专家查看</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支持用户以列表的方式浏览专家库，并点击进入专家详情介绍，同时支持用户直接选择咨询专家。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集成“浙有姻缘”</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集成浙里办的“浙有姻缘”功能，使得用户可以快速访问。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婚姻学院</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浏览课程库</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支持用户浏览系统中的课程库，并点击查看每个课程的具体信息，包括课程名称、课时安排和课程简介等内容。系统对课程进行分类，支持用户进行课程的筛选，支持用户选择要学习的课程，并加入个人课程中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在线学习并记录课程</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用户可以在线学习课程。在课程学习页面，用户可以查看课程的视频、文字资料、作业等相关信息。同时，可以在下方评论去进行留言，与其他学员进行交流和讨论。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线下活动发布</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支持管理员发布相应的活动。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线下活动报名</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支持用户查看所有可以预约参加的活动列表，包括未开始和已开始的活动，支持用户查看活动详细信息。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参与者可以在线报名参加线下活动，选择活动与时间段，之后填写个人信息并提交后台进行审核。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信访接待</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我要咨询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为用户提供咨询内容收集页面，支持用户输入个人信息及咨询内容，并点击提交。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我要建议</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输入个人信息及建议内容，点击提交。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我要反映</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输入个人信息及反映内容，点击提交。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集成“民呼我为”</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集成浙里办“民呼我为”功能，使得用户可以快速访问。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法律服务</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法律条文及解读</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对法律条文进行相应的解读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以案释法</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根据案例解释相应的法律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法律咨询热线</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点击直接拨打法律咨询热线电话。于浙里办添加拨打电话的按钮或链接，并设置相关的文字或图像提示用户拨打法律咨询热线电话。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法律问题线上咨询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和当值法律专家在平台中直接在线交流。用户可以与客服或其他相关人员进行文字、语音或视频交流，进行咨询、解决问题等操作。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线下法律咨询预约</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浏览法律专家库、查看专家介绍、选择专家;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申请法律援助</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填写个人信息、因何事申请法律援助，选择文字、图片、视频等多种方式进行提交，支持将法律援助申请设为私密，不对外公开，保护个人隐私。同时该页面提供其他联系方式，如电话、邮箱等，满足用户不同的沟通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集成“法律情景咨询”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集成浙里办“法律情景咨询”功能，使得用户可以快速访问。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集成“公共法律服务”</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集成浙里办“公共法律服务”功能，使得用户可以快速访问。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心理疏导</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心理咨询热线电话</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点击直接拨打心理咨询热线电话。添加一个拨号按钮或链接，并设置相关的文字或图像提示用户拨打心理咨询热线电话。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心理问题线上咨询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用户可以和当值心理专家在平台中直接通过文字、语音或视频交流，进行咨询、解决问题等操作。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线下心理问题咨询预约</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用户可以在平台预约相关专家，进行咨询、解决问题等操作。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29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集成"浙里心晴"</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集成浙里办“浙里心晴”功能，使得用户可以快速访问。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今日心情打卡</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可以进行打卡。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困难救助</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困难救助</w:t>
            </w:r>
          </w:p>
        </w:tc>
        <w:tc>
          <w:tcPr>
            <w:tcW w:w="24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需要填写相关个人信息及原因，在线提交困难救助申请。包括个人基本信息、个人情况、申请困难救助的原因等等。用户可以选择文字、图片、视频等多种方式进行提交，可以选择将问题或建议设为私密，保护个人隐私。提供其他困难救助申请的联系方式，如电话、邮箱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申请困难救助</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就业帮扶</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提供就业帮扶功能，支持用户在线查看申请困难救助的结果和关键环节信息。如果用户对于得到的答复还存在疑惑，可以进行追加提问或建议，同时也能对已解决的问题进行反馈和评价。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集成"浙里救"</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集成浙里办“浙里救”功能，使得用户可以快速访问。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AI数字人</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在线咨询问答</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如果当前时间较晚，没有专家在线当值，则AI接管咨询答复，根据设置的一些关键词进行问题回复。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在线咨询</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短信通知</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针对网上用户的咨询，工作人员可以进行快速回复，也可以发给相关问题专家进行解答回复。咨询回复后，用户可以在系统中收到系统消息，点击消息可以直接到我的咨询页面。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咨询回复</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专家移动端快速回答咨询</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咨询答复通常是在用户向企业或机构提出咨询问题时，由客服人员或自动化系统提供的回复。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调解室预约</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调解室列表展示</w:t>
            </w:r>
          </w:p>
        </w:tc>
        <w:tc>
          <w:tcPr>
            <w:tcW w:w="24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支持管理员录入调解室基本信息，对信息进行编辑，包括调解室地址、联系电话、可预约时间段等等。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39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调解室详情</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调解室在线预约</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汇集用户对调解室的预约信息，支持管理员对预约信息进行操作，查看每个调解室的历史预约记录。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心理测评</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测评试卷展示</w:t>
            </w:r>
          </w:p>
        </w:tc>
        <w:tc>
          <w:tcPr>
            <w:tcW w:w="24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在线进行心理测试、心理训练。查看自己的测试评价及心理训练的结果。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在线回答问题测试</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查看测试结果</w:t>
            </w:r>
          </w:p>
        </w:tc>
        <w:tc>
          <w:tcPr>
            <w:tcW w:w="24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个人信息维护</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用户可以维护和管理个人信息，包括手机号、姓名、身份证号码等信息。编辑自己的个人资料，包括姓名、性别、出生日期、学历、工作经历等。支持上传个人照片，并对照片进行编辑和处理。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我的课程</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学习记录查询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用户可以查询自己学习过的课程和观看过的课件记录。记录包括课程名称、学习时间、学习进度、观看课件的时长和次数等。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课程分类管理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按照课程分类进行管理，例如婚姻家庭、法律知识、心理辅导等。用户可以根据自己的需求进行添加、修改和删除分类。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49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课件下载与分享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用户可以下载自己观看过的课件，以便后续复习和学习。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学习统计与分析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对用户的学习记录进行统计和分析，例如学习时长、学习频率、学习效果等。用户可以查看分析结果了解自己的学习情况和不足之处。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我的投诉</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咨询建议列表展示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列出用户在咨询过程中获得的建议和意见，包括建议内容、建议来源、建议时间等信息。用户可以查看每条建议的详细信息，例如建议内容、建议来源等。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建议详情查看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用户可以查看每条建议的详细信息，包括建议内容、建议来源、建议时间等。用户还可以查看与建议相关的聊天记录和讨论内容。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建议分类管理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按照建议来源或主题进行分类管理，例如职业规划、心理咨询、家庭教育等。用户可以根据自己的需求进行添加、修改和删除分类。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59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建议评价反馈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我的建议</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用户可以对自己获得的咨询建议进行评价和反馈，包括建议质量、实施效果等。评价和反馈结果可以作为咨询师改进建议质量的参考依据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我的反馈</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活动评价与反馈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用户可以对自己参与的活动进行评价和反馈，包括活动组织、活动效果、建议意见等。评价和反馈结果可以作为活动组织者改进活动的参考依据。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我的信访</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信访详情展示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我的家事调解</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案件详情展示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列出用户在家事纠纷中的所有案件，包括案件编号、当事人信息、案件类型、处理状态等信息。用户可查看每个案件的详细信息，例如案件简介、案件进展等。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进展情况跟踪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实时更新用户在家事纠纷案件中的进展情况，例如法院判决、执行情况等。用户可以随时了解案件的进展情况和处理结果。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相关文件查看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69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用户可以查看案件的相关文件，例如起诉书、答辩状、证据材料等。用户还可以对相关文件进行下载和打印。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我的法律援助</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法律援助列表展示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列出用户申请的法律援助案件，包括案件编号、申请时间、状态等信息。用户可以查看每个案件的详细信息，例如案件简介、法律援助申请内容等。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证据上传与管理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用户可以上传和管理自己的相关证据材料，例如身份证明、相关文件等。用户还可以对已上传的证据进行删除和查看。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状态跟踪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实时更新用户申请的法律援助案件的状态，例如已受理、审核中、已批准等。用户可以随时了解案件的进展情况和处理结果。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我的困难救助</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困难救助列表展示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列出用户申请的困难救助记录，包括申请时间、救助类型、申请状态等信息。用户可以查看每个困难救助申请的详细信息，包括申请时间、救助类型、申请状态、申请理由、相关证明材料等。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困难救助状态跟踪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79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实时更新用户申请的困难救助状态，例如已受理、审核中、批准通过、拒绝等。用户可以随时了解申请的进展情况和处理结果。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我的心理测评</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展示我参加的心理测试和心理训练，可以点击回溯测试结果。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我的线下预约</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活动列表展示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列出用户参与的所有活动，包括活动名称、活动类型、活动时间、活动状态等信息。用户可以查看活动的详细信息，例如活动介绍、活动流程等。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用户可以查看自己参与的活动的详细信息，包括活动名称、活动类型、活动时间、活动地点、参与人数、活动内容等。用户还可以查看自己和其他参与者在活动中的互动记录和讨论内容。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活动进度跟踪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实时更新用户参与的活动的进度，例如已完成任务、未完成任务、任务状态等。用户可以随时了解自己在活动中的进度和表现。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活动评价与反馈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用户可以对自己参与的活动进行评价和反馈，包括活动组织、活动效果、建议意见等。评价和反馈结果可以作为活动组织者改进活动的参考依据。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89</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小程序后台管理</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婚姻辅导管理</w:t>
            </w: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浙里办应用链接管理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管理该项目浙里办应用中的链接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家事调解管理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汇集用户提交的所有家事案件，支持管理员以列表的形式查看，对其进行增加、删除、修改、查询、分类等操作，同时支持管理员进行案件详情查看。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当用户点击受理或拒绝按钮时，需要将操作结果保存到数据库中，并将纠纷状态更新为已受理或已拒绝。同时可以发送通知给相关用户，告知他们纠纷的处理结果。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事纠纷进行分类确定、初步流转分发。基于浙江省社会矛盾纠纷调处化解协同应用系统（以下简称省矛调系统）进入属地流转处置，由省矛调系统直接处置或流转到基层智治综合应用平台（以下简称基综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可以对提交的家事纠纷列表进行数据统计和分析，例如统计提交纠纷的平均处理时间、最常见的纠纷类型等。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调解成功，案件归档。对案件信息、案件调解过程、案件调解结果等全流程案件信息进行梳理归纳，文件归档。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事件类型管理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专家库管理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系统应提供界面或工具，允许管理员或用户手动录入或更新专家的信息。同时，为确保信息的准确性，还可以设置校验机制，对录入的信息进行校验。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专家库管理应支持按关键词、专业领域、地理位置等条件进行搜索和查询。用户可以根据自己的需求，快速找到符合条件的专家，了解他们的详细信息。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为了更好地管理和使用专家资源，可以对专家进行分类和标签化。分类可以按照专业领域、地区等进行划分，标签则可以用来描述专家的特点、技能等。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99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根据用户的咨询需求和专家的特点，系统可以自动或半自动地推荐和匹配合适的专家。这可以帮助用户更快地找到能够解决问题的人，提高咨询效率。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当有新的咨询需求或项目时，系统可以自动或手动地向合适的专家发送通知或邀请函。可以通过短信方式进行通知，以便专家及时了解情况并参与咨询活动。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显示所有专家的值班日期，支持后台管理员对线上咨询专家的值班周期进行增删改查等操作。可以浏览各个专家的被预约情况，管理员可对预约进行变动。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线下咨询预约管理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通过要求用户填写属地信息，系统能够智能匹配离用户最近或用户指定的咨询地点；允许用户根据自身日程安排，在可选的咨询日期和时间段内自由选择调解室和咨询时间段；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婚姻学院课程库管理</w:t>
            </w:r>
          </w:p>
        </w:tc>
        <w:tc>
          <w:tcPr>
            <w:tcW w:w="24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每门课程应展示详尽的信息，包括但不限于课程名称、简介、授课教师、开课时间等信息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活动发布管理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管理员可以在线发布活动信息，设置活动时间和最大参与人数及活动信息等；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活动参与管理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为用户提供便捷的参与途径，允许用户选择自己感兴趣或希望参加的线下活动，并直接在线上完成报名流程。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调解力量管理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对椒江区所有的调解室进行管理；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调解室预约记录</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查看所有用户的预约管理记录；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调解人员管理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对椒江区所有的调解人员进行管理；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109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家事信访管理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咨询回复</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在线回复咨询问题；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建议答复</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在线大幅建议意见；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反映管理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在线进行问题反馈；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法律援助管理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以案释法管理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设置典型案例，用案例来说法；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线下咨询预约管理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管理所有用户线下咨询预约记录，根据当前日期、时间自动区分已经历史预约和未开始的咨询预约记录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法律问题咨询答复</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针对网上用户的法律问题咨询，工作人员可以进行快速回复，也可以发给相关问题专家进行解答回复。咨询回复后，用户可以在系统中收到系统消息，点击消息可以直接到我的咨询页面。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心理疏导管理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线下咨询预约管理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管理所有用户线下咨询预约记录，根据当前日期、时间自动区分已经历史预约和未开始的咨询预约记录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心理问题咨询答复</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针对网上用户的心理问题咨询，工作人员可以进行快速回复，也可以发给相关问题专家进行解答回复。咨询回复后，用户可以在系统中收到系统消息，点击消息可以直接到我的咨询页面。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心理训练题目管理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设置心理训练题目，针对一个心理训练。可以设置一个或多个信息训练题目；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118</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系统管理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应用管理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系统由多个应用模块组成，可以管理多个模块。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119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用户管理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主要用于管理用户信息。包括账号，名称，绑定手机号等。平台支持获取登录移动端小程序群众的用户信息，主要包含微信账号，微信名，微信绑定手机号等信息，点击微信管理模块可对以上信息进行查看且支持根据微信账号，微信名，手机号进行模糊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角色管理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角色管理模块中可以进行角色的新增、修改、删除、查看等操作，用以维护每个辖区下的角色信息。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权限管理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系统中，不同的人员除了有不同部门属性外，还有职务、权限等的不同。这样根据这些不同的权限，本系统中设计了角色的概念，通过在不同的人身上设立角色的属性。可以方便的界定不同人员的各种组合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部门管理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部门管理用于维护用户所属单位的组织结构，按实际组织结构来划分，并维护到数据库中，目的是对机构、用户进行统一管理。每个用户都属于某个特定的机构。部门管理包括部门名称、部门编码、部门顺序等。组织编码是运行过程中进行部门识别的唯一标准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系统字典</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维护系统中数据字典类型各项数据，包括系统字典和业务字典定义。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业务字典</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维护系统中数据字典类型各项数据，包括系统字典和业务字典定义。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系统配置</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Style w:val="331"/>
                <w:lang w:val="en-US" w:eastAsia="zh-CN" w:bidi="ar"/>
              </w:rPr>
              <w:t>系统权限管理基于RBAC模型设计，为系统全局的应用和数据提供授权与鉴权功能。用户可以根据系统角色体系，进行权限配置管理，控制角色访问的功能和资源。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126</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驾驶舱</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全区驾驶舱</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浙里办统计板块</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驾驶舱设计浙里办小程序的信息展示板块包括课程数、学习人数等等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活动统计板块</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对活动进行展示，报名人数、参加人数等信息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专家风采和调解员风采</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展示椒江区所有在线专家和调解员；点击可以查看详情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129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纠纷类型饼图统计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对纠纷事件类型进行统计；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分镇街化解统计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对事件进行分镇街统计；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部门协同统计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对多部门协同和两部门协同的事件进行统计；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调解室上图</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地图展示椒江区所有的调解室点位，点击可以查看调解室详情；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重点家庭画像</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对重点家庭进行画像展示；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协同流程图</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展示整个业务的协同流程图；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走访统计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展示走访统计数据及百分比，点击可以打开二级页面；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典型案例分析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展示后台设置的典型案例，打开可以查看详情。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评价调解时长</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计算每个矛盾件的调解时长；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二级页面</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所有板块的二级页面</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每个板块都有二级页面，展示该板块内容的列表页面；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139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详情页面</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所有板块的详情页面</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每个板块的记录都可以查看详情页面；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分镇街驾驶舱</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所有街道的驾驶舱分舱</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点击驾驶舱中间的地图区域，展示所有镇街的驾驶舱分仓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联合走访（浙政钉）</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增加妇联主席角色</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在协同系统增加妇联主席角色</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设置妇联主席角色；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妇联主席同网格员协同</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妇联主席可以向网格员发起协同任务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由妇联主席发起协同任务，进行联合走访；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网格员可以邀请妇联主席发起协同任务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由网格员发起协同任务，进行联合走访；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妇联主席入库</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把妇联主席名单导入系统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结合收集来的各村妇联主席excel文件，导入到数据库中；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账号批量建立</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给妇联主席批量开始协同账号</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结合收集来的各村妇联主席excel文件，导入到数据库中；批量建立账号。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网格互评</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网格员和妇联主席相互评价</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执行完联合走访任务后，网格员和妇联主席相互进行评价；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147</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联合走访（系统管理）</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人员管理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妇联主席信息管理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对椒江区所有妇联主席的人员信息进行管理；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人员同组织绑定</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设置每个村的妇联主席</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结合收集来的各村妇联主席excel文件，导入到数据库中；和组织进行绑定。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149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联合走访任务管理</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展示联合走访任务列表</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展示所有的联合走访任务，分页显示；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150</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联合走访任务详情</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展示联合走访任务详情</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点击联合走访任务列表的任意一条，查看联合走访任务详情；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151</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数据基座</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平安家庭数据基座</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总揽</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首页导航页面，针对数据基座功能操作进行导引；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数据中心</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所有事件汇集到数据中心；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nlp基础模型-实体提取</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训练nlp实体提取模型；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实体提取模型训练</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使用nlp技术对事件进行实体提取；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nlp基础模型-分类预测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使用nlp技术对事件进行重新分类；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156</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分类预测模型训练</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训练事件重分类业务模型；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157</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业务模型一人多事</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训练一人多事业务模型；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158</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全量计算数据中心数据</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利用模型对全量数据进行分类、实体提取的计算；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159</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增量计算数据中心数据</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利用模型对增量数据进行分类、实体提取的计算；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160</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重点家庭画像</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易发生家暴家庭画像</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施暴者画像</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对家暴家庭的施暴者进行画像；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161</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受害者画像</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对家暴家庭的受害者进行画像；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162</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易发生家暴家庭分析</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家庭类型分析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对家暴家庭的类型进行分析展示；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163</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施暴受害者关系分析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对家暴家庭受害者进行分析展示；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164</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家暴形式分析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对家暴事件的形式进行分析展示；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165</w:t>
            </w: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iCs w:val="0"/>
                <w:color w:val="000000"/>
                <w:sz w:val="24"/>
                <w:szCs w:val="24"/>
                <w:u w:val="none"/>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处置结果分析</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对家暴事件的处置结果进行分析展示；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166</w:t>
            </w:r>
          </w:p>
        </w:tc>
        <w:tc>
          <w:tcPr>
            <w:tcW w:w="21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与台州市政法委141平台对接▲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与台州市基层治理综合平台（141平台）进行对接。将浙里办群众反映的问题推送给141平台，并获得141平台的办理环节信息进行展示。</w:t>
            </w:r>
          </w:p>
        </w:tc>
      </w:tr>
    </w:tbl>
    <w:p>
      <w:pPr>
        <w:numPr>
          <w:ilvl w:val="0"/>
          <w:numId w:val="0"/>
        </w:numPr>
        <w:spacing w:line="360" w:lineRule="auto"/>
        <w:rPr>
          <w:rFonts w:hint="eastAsia" w:ascii="仿宋" w:hAnsi="仿宋" w:eastAsia="仿宋" w:cs="仿宋"/>
          <w:b/>
          <w:bCs/>
          <w:color w:val="000000"/>
          <w:kern w:val="0"/>
          <w:sz w:val="24"/>
        </w:rPr>
      </w:pPr>
    </w:p>
    <w:p>
      <w:pPr>
        <w:numPr>
          <w:ilvl w:val="0"/>
          <w:numId w:val="0"/>
        </w:numPr>
        <w:tabs>
          <w:tab w:val="left" w:pos="8280"/>
        </w:tabs>
        <w:autoSpaceDE w:val="0"/>
        <w:autoSpaceDN w:val="0"/>
        <w:spacing w:line="360" w:lineRule="auto"/>
        <w:outlineLvl w:val="0"/>
        <w:rPr>
          <w:rFonts w:hint="eastAsia" w:ascii="仿宋" w:hAnsi="仿宋" w:eastAsia="仿宋" w:cs="仿宋"/>
          <w:b/>
          <w:bCs/>
          <w:color w:val="000000"/>
          <w:sz w:val="24"/>
          <w:lang w:val="en-US" w:eastAsia="zh-CN"/>
        </w:rPr>
      </w:pPr>
      <w:bookmarkStart w:id="40" w:name="_Toc83914439"/>
      <w:bookmarkStart w:id="41" w:name="_Toc103241515"/>
    </w:p>
    <w:p>
      <w:pPr>
        <w:numPr>
          <w:ilvl w:val="0"/>
          <w:numId w:val="0"/>
        </w:numPr>
        <w:tabs>
          <w:tab w:val="left" w:pos="8280"/>
        </w:tabs>
        <w:autoSpaceDE w:val="0"/>
        <w:autoSpaceDN w:val="0"/>
        <w:spacing w:line="360" w:lineRule="auto"/>
        <w:ind w:left="210" w:leftChars="0"/>
        <w:outlineLvl w:val="0"/>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三、其他要求：</w:t>
      </w:r>
    </w:p>
    <w:p>
      <w:pPr>
        <w:numPr>
          <w:ilvl w:val="0"/>
          <w:numId w:val="5"/>
        </w:numPr>
        <w:tabs>
          <w:tab w:val="left" w:pos="8280"/>
        </w:tabs>
        <w:autoSpaceDE w:val="0"/>
        <w:autoSpaceDN w:val="0"/>
        <w:spacing w:line="360" w:lineRule="auto"/>
        <w:ind w:firstLine="0"/>
        <w:outlineLvl w:val="0"/>
        <w:rPr>
          <w:rFonts w:hint="eastAsia" w:ascii="仿宋" w:hAnsi="仿宋" w:eastAsia="仿宋" w:cs="仿宋"/>
          <w:b/>
          <w:bCs/>
          <w:color w:val="000000"/>
          <w:sz w:val="24"/>
        </w:rPr>
      </w:pPr>
      <w:r>
        <w:rPr>
          <w:rFonts w:hint="eastAsia" w:ascii="仿宋" w:hAnsi="仿宋" w:eastAsia="仿宋" w:cs="仿宋"/>
          <w:b/>
          <w:bCs/>
          <w:color w:val="000000"/>
          <w:sz w:val="24"/>
        </w:rPr>
        <w:t>软件版权要求</w:t>
      </w:r>
      <w:bookmarkEnd w:id="40"/>
      <w:bookmarkEnd w:id="41"/>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w:t>
      </w:r>
      <w:r>
        <w:rPr>
          <w:rFonts w:hint="eastAsia" w:ascii="仿宋" w:hAnsi="仿宋" w:eastAsia="仿宋" w:cs="仿宋"/>
          <w:sz w:val="24"/>
        </w:rPr>
        <w:t xml:space="preserve"> </w:t>
      </w:r>
      <w:r>
        <w:rPr>
          <w:rFonts w:hint="eastAsia" w:ascii="仿宋" w:hAnsi="仿宋" w:eastAsia="仿宋" w:cs="仿宋"/>
          <w:color w:val="000000"/>
          <w:sz w:val="24"/>
          <w:lang w:bidi="ar"/>
        </w:rPr>
        <w:t>本项目所采购的软件产品。中标供应商须保证采购人及其采购人对中标供应商所提供的软件产品享有合法的知识产权。中标供应商就本项目所使用软件产品，保证其合法性。</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2.中标供应商须保证采购人及其采购人单位在使用过程中不受到第三方关于侵犯专利权等知识产权的指控。任何第三方如果提出指控，中标供应商须与第三方交涉并承担可能发生的一切法律责任和费用。</w:t>
      </w:r>
    </w:p>
    <w:p>
      <w:pPr>
        <w:spacing w:line="360" w:lineRule="auto"/>
        <w:ind w:firstLine="482" w:firstLineChars="200"/>
        <w:rPr>
          <w:rFonts w:hint="eastAsia" w:ascii="仿宋" w:hAnsi="仿宋" w:eastAsia="仿宋" w:cs="仿宋"/>
          <w:b/>
          <w:bCs/>
          <w:color w:val="000000"/>
          <w:sz w:val="24"/>
          <w:lang w:bidi="ar"/>
        </w:rPr>
      </w:pPr>
      <w:r>
        <w:rPr>
          <w:rFonts w:hint="eastAsia" w:ascii="仿宋" w:hAnsi="仿宋" w:eastAsia="仿宋" w:cs="仿宋"/>
          <w:b/>
          <w:bCs/>
          <w:color w:val="000000"/>
          <w:sz w:val="24"/>
          <w:lang w:bidi="ar"/>
        </w:rPr>
        <w:t>3.本项目中定制开发软件涉及的源代码（含服务期内的后续升级版本）必须遵循相关标准和规范，终验结束后源代码提交给采购人。</w:t>
      </w:r>
    </w:p>
    <w:p>
      <w:pPr>
        <w:spacing w:line="360" w:lineRule="auto"/>
        <w:ind w:firstLine="482" w:firstLineChars="200"/>
        <w:rPr>
          <w:rFonts w:hint="eastAsia" w:ascii="仿宋" w:hAnsi="仿宋" w:eastAsia="仿宋" w:cs="仿宋"/>
          <w:b/>
          <w:bCs/>
          <w:color w:val="000000"/>
          <w:sz w:val="24"/>
          <w:lang w:bidi="ar"/>
        </w:rPr>
      </w:pPr>
      <w:r>
        <w:rPr>
          <w:rFonts w:hint="eastAsia" w:ascii="仿宋" w:hAnsi="仿宋" w:eastAsia="仿宋" w:cs="仿宋"/>
          <w:b/>
          <w:bCs/>
          <w:color w:val="000000"/>
          <w:sz w:val="24"/>
          <w:lang w:bidi="ar"/>
        </w:rPr>
        <w:t>4.中标供应商在项目定制化开发过程中取得的专利、软件著作权归采购人所有。</w:t>
      </w:r>
    </w:p>
    <w:p>
      <w:pPr>
        <w:numPr>
          <w:ilvl w:val="0"/>
          <w:numId w:val="5"/>
        </w:numPr>
        <w:tabs>
          <w:tab w:val="left" w:pos="8280"/>
        </w:tabs>
        <w:autoSpaceDE w:val="0"/>
        <w:autoSpaceDN w:val="0"/>
        <w:spacing w:line="360" w:lineRule="auto"/>
        <w:ind w:firstLine="0"/>
        <w:outlineLvl w:val="0"/>
        <w:rPr>
          <w:rFonts w:hint="eastAsia" w:ascii="仿宋" w:hAnsi="仿宋" w:eastAsia="仿宋" w:cs="仿宋"/>
          <w:b/>
          <w:bCs/>
          <w:color w:val="000000"/>
          <w:sz w:val="24"/>
        </w:rPr>
      </w:pPr>
      <w:bookmarkStart w:id="42" w:name="_Toc103241516"/>
      <w:r>
        <w:rPr>
          <w:rFonts w:hint="eastAsia" w:ascii="仿宋" w:hAnsi="仿宋" w:eastAsia="仿宋" w:cs="仿宋"/>
          <w:b/>
          <w:bCs/>
          <w:color w:val="000000"/>
          <w:sz w:val="24"/>
        </w:rPr>
        <w:t>测试及验收要求</w:t>
      </w:r>
      <w:bookmarkEnd w:id="42"/>
    </w:p>
    <w:p>
      <w:pPr>
        <w:pStyle w:val="973"/>
        <w:ind w:left="576" w:hanging="576"/>
        <w:rPr>
          <w:rFonts w:hint="eastAsia" w:ascii="仿宋" w:hAnsi="仿宋" w:eastAsia="仿宋" w:cs="仿宋"/>
          <w:sz w:val="24"/>
          <w:szCs w:val="24"/>
        </w:rPr>
      </w:pPr>
      <w:r>
        <w:rPr>
          <w:rFonts w:hint="eastAsia" w:ascii="仿宋" w:hAnsi="仿宋" w:eastAsia="仿宋" w:cs="仿宋"/>
          <w:sz w:val="24"/>
          <w:szCs w:val="24"/>
        </w:rPr>
        <w:t>1.系统压力测试</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1）在项目实施过程中，中标人应首先拟出一个测试方案，具体到每一个测试步骤，与采购方讨论通过后，方可按计划进行测试。</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2）应详细制定各类测试方案，包括单元模块测试方案、整体测试方案、系统集成测试方案等。</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3）系统测试应与技术规范一致，测试范围以相应技术规范为基础，测试指标应以技术规范及认可的答复为标准，中标人应提供测试条件并包含测试费用。</w:t>
      </w:r>
    </w:p>
    <w:p>
      <w:pPr>
        <w:spacing w:line="360" w:lineRule="auto"/>
        <w:ind w:firstLine="482" w:firstLineChars="200"/>
        <w:rPr>
          <w:rFonts w:hint="eastAsia" w:ascii="仿宋" w:hAnsi="仿宋" w:eastAsia="仿宋" w:cs="仿宋"/>
          <w:b/>
          <w:bCs/>
          <w:color w:val="000000"/>
          <w:sz w:val="24"/>
          <w:lang w:bidi="ar"/>
        </w:rPr>
      </w:pPr>
      <w:r>
        <w:rPr>
          <w:rFonts w:hint="eastAsia" w:ascii="仿宋" w:hAnsi="仿宋" w:eastAsia="仿宋" w:cs="仿宋"/>
          <w:b/>
          <w:bCs/>
          <w:color w:val="000000"/>
          <w:sz w:val="24"/>
          <w:lang w:bidi="ar"/>
        </w:rPr>
        <w:t>4）成交供应商须在项目建设开发过程中，严格按照采购人要求，在规定时间内完成《椒江区新建项目IRS达标验收要求》，如因成交供应商的原因导致任务延期或无法完成的，将扣除项目中标合同中约定的5%履约保证金，项目验收不予通过。</w:t>
      </w:r>
    </w:p>
    <w:p>
      <w:pPr>
        <w:pStyle w:val="63"/>
        <w:ind w:firstLine="210"/>
        <w:rPr>
          <w:rFonts w:hint="eastAsia" w:ascii="仿宋" w:hAnsi="仿宋" w:eastAsia="仿宋" w:cs="仿宋"/>
          <w:szCs w:val="24"/>
          <w:lang w:bidi="ar"/>
        </w:rPr>
      </w:pPr>
    </w:p>
    <w:p>
      <w:pPr>
        <w:pStyle w:val="973"/>
        <w:ind w:left="576" w:hanging="576"/>
        <w:rPr>
          <w:rFonts w:hint="eastAsia" w:ascii="仿宋" w:hAnsi="仿宋" w:eastAsia="仿宋" w:cs="仿宋"/>
          <w:sz w:val="24"/>
          <w:szCs w:val="24"/>
        </w:rPr>
      </w:pPr>
      <w:r>
        <w:rPr>
          <w:rFonts w:hint="eastAsia" w:ascii="仿宋" w:hAnsi="仿宋" w:eastAsia="仿宋" w:cs="仿宋"/>
          <w:sz w:val="24"/>
          <w:szCs w:val="24"/>
        </w:rPr>
        <w:t>2.验收要求</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1）按照国家相关质量标准、技术规范要求、合同规定的验收标准及招、投标文件的要求，招标方组织相关部门、人员进行验收。</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2）项目试运行正常，系统所有问题均已经解决后，由中标人提出竣工验收申请，招标方组织竣工验收。</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3）中标人将所有项目文档完整移交招标方，包括但不限于：项目需求规格说明书；项目技术方案、设计说明书；项目实施方案、实施计划；系统的测试报告；软件培训资料；系统安装维护手册；软件使用操作手册等。</w:t>
      </w:r>
    </w:p>
    <w:p>
      <w:pPr>
        <w:numPr>
          <w:ilvl w:val="0"/>
          <w:numId w:val="5"/>
        </w:numPr>
        <w:tabs>
          <w:tab w:val="left" w:pos="8280"/>
        </w:tabs>
        <w:autoSpaceDE w:val="0"/>
        <w:autoSpaceDN w:val="0"/>
        <w:spacing w:line="360" w:lineRule="auto"/>
        <w:ind w:firstLine="0"/>
        <w:outlineLvl w:val="0"/>
        <w:rPr>
          <w:rFonts w:hint="eastAsia" w:ascii="仿宋" w:hAnsi="仿宋" w:eastAsia="仿宋" w:cs="仿宋"/>
          <w:b/>
          <w:bCs/>
          <w:color w:val="000000"/>
          <w:sz w:val="24"/>
        </w:rPr>
      </w:pPr>
      <w:bookmarkStart w:id="43" w:name="_Toc103241517"/>
      <w:bookmarkStart w:id="44" w:name="_Toc83914440"/>
      <w:r>
        <w:rPr>
          <w:rFonts w:hint="eastAsia" w:ascii="仿宋" w:hAnsi="仿宋" w:eastAsia="仿宋" w:cs="仿宋"/>
          <w:b/>
          <w:bCs/>
          <w:color w:val="000000"/>
          <w:sz w:val="24"/>
        </w:rPr>
        <w:t>安全保密要求</w:t>
      </w:r>
      <w:bookmarkEnd w:id="43"/>
      <w:bookmarkEnd w:id="44"/>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中标供应商对在工作过程中接触到的招标人的任何资料、文件、数据(无论是书面的还是电子的)，以及对为招标人服务形成的任何交付物，负有为招标人保密的责任。未经招标人书面同意，中标供应商不得以任何方式向任何第三方提供或透露。</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2、招标人向中标供应商提供的任何资料、文件和信息，在中标供应商服务结束后，中标供应商均应及时归还招标人，电子文档的应从自己的电脑等存储设备上予永久删除。</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3、中标供应商需要与招标人签订保密协议，同时，中标供应商项目实施人员需要签订单独的保密协议。</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4、中标供应商人员违反上述保密规定事项，中标供应商应承担相应法律责任。</w:t>
      </w:r>
    </w:p>
    <w:p>
      <w:pPr>
        <w:numPr>
          <w:ilvl w:val="0"/>
          <w:numId w:val="5"/>
        </w:numPr>
        <w:tabs>
          <w:tab w:val="left" w:pos="8280"/>
        </w:tabs>
        <w:autoSpaceDE w:val="0"/>
        <w:autoSpaceDN w:val="0"/>
        <w:spacing w:line="360" w:lineRule="auto"/>
        <w:ind w:firstLine="0"/>
        <w:outlineLvl w:val="0"/>
        <w:rPr>
          <w:rFonts w:hint="eastAsia" w:ascii="仿宋" w:hAnsi="仿宋" w:eastAsia="仿宋" w:cs="仿宋"/>
          <w:b/>
          <w:bCs/>
          <w:color w:val="000000"/>
          <w:sz w:val="24"/>
        </w:rPr>
      </w:pPr>
      <w:bookmarkStart w:id="45" w:name="_Toc103241518"/>
      <w:r>
        <w:rPr>
          <w:rFonts w:hint="eastAsia" w:ascii="仿宋" w:hAnsi="仿宋" w:eastAsia="仿宋" w:cs="仿宋"/>
          <w:b/>
          <w:bCs/>
          <w:color w:val="000000"/>
          <w:sz w:val="24"/>
        </w:rPr>
        <w:t>违约要求</w:t>
      </w:r>
      <w:bookmarkEnd w:id="45"/>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1、供应商所交服务技术参数功能不符合合同要求、存在明显缺陷，采购人有权拒收。</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供货商不能如期完成本项目整体建设等服务要求并交付使用的，供应商需承担采购方的所有损失。延期在10天（含）内按照每超过一天按照合同总价的千分之一进行计算，不足一天的按一天计算；延期超过10天，中标供应商除需按照合同总价的5%支付赔偿金外，同时按照每超过一天按照合同总价的千分之一进行计算，不足一天的按一天计算，直至合同履行完成。</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3、因乙方系统产生的一切损失，甲方保留追究责任。</w:t>
      </w:r>
    </w:p>
    <w:p>
      <w:pPr>
        <w:numPr>
          <w:ilvl w:val="0"/>
          <w:numId w:val="5"/>
        </w:numPr>
        <w:tabs>
          <w:tab w:val="left" w:pos="8280"/>
        </w:tabs>
        <w:autoSpaceDE w:val="0"/>
        <w:autoSpaceDN w:val="0"/>
        <w:spacing w:line="360" w:lineRule="auto"/>
        <w:ind w:firstLine="0"/>
        <w:outlineLvl w:val="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商务</w:t>
      </w:r>
      <w:r>
        <w:rPr>
          <w:rFonts w:hint="eastAsia" w:ascii="仿宋" w:hAnsi="仿宋" w:eastAsia="仿宋" w:cs="仿宋"/>
          <w:b/>
          <w:bCs/>
          <w:color w:val="000000"/>
          <w:sz w:val="24"/>
        </w:rPr>
        <w:t>要求：</w:t>
      </w:r>
    </w:p>
    <w:p>
      <w:pPr>
        <w:pStyle w:val="973"/>
        <w:ind w:left="576" w:hanging="576"/>
        <w:rPr>
          <w:rFonts w:hint="eastAsia" w:ascii="仿宋" w:hAnsi="仿宋" w:eastAsia="仿宋" w:cs="仿宋"/>
          <w:sz w:val="24"/>
          <w:szCs w:val="24"/>
        </w:rPr>
      </w:pPr>
      <w:bookmarkStart w:id="46" w:name="_Toc103241512"/>
      <w:r>
        <w:rPr>
          <w:rFonts w:hint="eastAsia" w:ascii="仿宋" w:hAnsi="仿宋" w:eastAsia="仿宋" w:cs="仿宋"/>
          <w:sz w:val="24"/>
          <w:szCs w:val="24"/>
        </w:rPr>
        <w:t>1.项目付款方式</w:t>
      </w:r>
      <w:bookmarkEnd w:id="46"/>
    </w:p>
    <w:p>
      <w:pPr>
        <w:spacing w:line="300" w:lineRule="auto"/>
        <w:ind w:firstLine="0" w:firstLineChars="0"/>
        <w:jc w:val="left"/>
        <w:rPr>
          <w:rFonts w:hint="eastAsia" w:ascii="仿宋" w:hAnsi="仿宋" w:eastAsia="仿宋" w:cs="仿宋"/>
          <w:snapToGrid w:val="0"/>
          <w:color w:val="auto"/>
          <w:kern w:val="0"/>
          <w:sz w:val="24"/>
          <w:lang w:bidi="ar-SA"/>
        </w:rPr>
      </w:pPr>
      <w:r>
        <w:rPr>
          <w:rFonts w:hint="eastAsia" w:ascii="仿宋" w:hAnsi="仿宋" w:eastAsia="仿宋" w:cs="仿宋"/>
          <w:color w:val="000000"/>
          <w:sz w:val="24"/>
          <w:lang w:bidi="ar"/>
        </w:rPr>
        <w:t>合同签订后，在15个工作日内向中标单位支付合同总价的30%；初验合格整体试运行正常后一个月内支付合同金额的40%，试运行满三个月终验合格后一个月内支付合同总价的30%。发票应随付款进度及时提供，</w:t>
      </w:r>
      <w:r>
        <w:rPr>
          <w:rFonts w:hint="eastAsia" w:ascii="仿宋" w:hAnsi="仿宋" w:eastAsia="仿宋" w:cs="仿宋"/>
          <w:snapToGrid w:val="0"/>
          <w:kern w:val="0"/>
          <w:sz w:val="24"/>
        </w:rPr>
        <w:t>甲方收到发票后进行付款，若乙方未能及时提供发票，则甲方的付款时间相应顺延</w:t>
      </w:r>
      <w:r>
        <w:rPr>
          <w:rFonts w:hint="eastAsia" w:ascii="仿宋" w:hAnsi="仿宋" w:eastAsia="仿宋" w:cs="仿宋"/>
          <w:color w:val="000000"/>
          <w:sz w:val="24"/>
          <w:lang w:bidi="ar"/>
        </w:rPr>
        <w:t>。</w:t>
      </w:r>
    </w:p>
    <w:p>
      <w:pPr>
        <w:pStyle w:val="973"/>
        <w:ind w:left="576" w:hanging="576"/>
        <w:rPr>
          <w:rFonts w:hint="eastAsia" w:ascii="仿宋" w:hAnsi="仿宋" w:eastAsia="仿宋" w:cs="仿宋"/>
          <w:sz w:val="24"/>
          <w:szCs w:val="24"/>
        </w:rPr>
      </w:pPr>
      <w:bookmarkStart w:id="47" w:name="_Toc103241513"/>
      <w:r>
        <w:rPr>
          <w:rFonts w:hint="eastAsia" w:ascii="仿宋" w:hAnsi="仿宋" w:eastAsia="仿宋" w:cs="仿宋"/>
          <w:sz w:val="24"/>
          <w:szCs w:val="24"/>
        </w:rPr>
        <w:t>2.项目建设进度及人员要求</w:t>
      </w:r>
      <w:bookmarkEnd w:id="47"/>
    </w:p>
    <w:p>
      <w:pPr>
        <w:pStyle w:val="974"/>
        <w:numPr>
          <w:ilvl w:val="0"/>
          <w:numId w:val="0"/>
        </w:numPr>
        <w:ind w:left="720" w:hanging="720"/>
        <w:rPr>
          <w:rFonts w:hint="eastAsia" w:ascii="仿宋" w:hAnsi="仿宋" w:eastAsia="仿宋" w:cs="仿宋"/>
          <w:szCs w:val="24"/>
        </w:rPr>
      </w:pPr>
      <w:r>
        <w:rPr>
          <w:rFonts w:hint="eastAsia" w:ascii="仿宋" w:hAnsi="仿宋" w:eastAsia="仿宋" w:cs="仿宋"/>
          <w:szCs w:val="24"/>
        </w:rPr>
        <w:t>2.1项目服务期进度要求</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合同签订后6个月内完成系统开发、部署上线，提交试运行；稳定试运行不少于3个月后，提交项目验收、系统正式运行。</w:t>
      </w:r>
    </w:p>
    <w:p>
      <w:pPr>
        <w:pStyle w:val="974"/>
        <w:numPr>
          <w:ilvl w:val="0"/>
          <w:numId w:val="0"/>
        </w:numPr>
        <w:ind w:left="720" w:hanging="720"/>
        <w:rPr>
          <w:rFonts w:hint="eastAsia" w:ascii="仿宋" w:hAnsi="仿宋" w:eastAsia="仿宋" w:cs="仿宋"/>
          <w:szCs w:val="24"/>
        </w:rPr>
      </w:pPr>
      <w:r>
        <w:rPr>
          <w:rFonts w:hint="eastAsia" w:ascii="仿宋" w:hAnsi="仿宋" w:eastAsia="仿宋" w:cs="仿宋"/>
          <w:szCs w:val="24"/>
        </w:rPr>
        <w:t>2.2人员要求</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人员配置应科学、合理、有效，应充分保证人员的数量和质量。项目实施全过程中，应包含项目经理、技术负责人、项目开发实施人员、项目测试人员等。</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应在不同阶段配置足够的人员实施项目，在应用软件开发及试运行阶段，项目团队应配备足够保质保量按期完成本项目的开发人员。</w:t>
      </w:r>
    </w:p>
    <w:p>
      <w:pPr>
        <w:pStyle w:val="973"/>
        <w:ind w:left="576" w:hanging="576"/>
        <w:rPr>
          <w:rFonts w:hint="eastAsia" w:ascii="仿宋" w:hAnsi="仿宋" w:eastAsia="仿宋" w:cs="仿宋"/>
          <w:sz w:val="24"/>
          <w:szCs w:val="24"/>
        </w:rPr>
      </w:pPr>
      <w:bookmarkStart w:id="48" w:name="_Toc103241514"/>
      <w:r>
        <w:rPr>
          <w:rFonts w:hint="eastAsia" w:ascii="仿宋" w:hAnsi="仿宋" w:eastAsia="仿宋" w:cs="仿宋"/>
          <w:sz w:val="24"/>
          <w:szCs w:val="24"/>
        </w:rPr>
        <w:t>3.售后服务及培训要求</w:t>
      </w:r>
      <w:bookmarkEnd w:id="48"/>
    </w:p>
    <w:p>
      <w:pPr>
        <w:pStyle w:val="974"/>
        <w:numPr>
          <w:ilvl w:val="0"/>
          <w:numId w:val="0"/>
        </w:numPr>
        <w:ind w:left="720" w:hanging="720"/>
        <w:rPr>
          <w:rFonts w:hint="eastAsia" w:ascii="仿宋" w:hAnsi="仿宋" w:eastAsia="仿宋" w:cs="仿宋"/>
          <w:szCs w:val="24"/>
        </w:rPr>
      </w:pPr>
      <w:r>
        <w:rPr>
          <w:rFonts w:hint="eastAsia" w:ascii="仿宋" w:hAnsi="仿宋" w:eastAsia="仿宋" w:cs="仿宋"/>
          <w:szCs w:val="24"/>
        </w:rPr>
        <w:t>3.1项目服务期要求</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自验收合格之日起免费配合提供三年平台相关维护升级服务。</w:t>
      </w:r>
    </w:p>
    <w:p>
      <w:pPr>
        <w:pStyle w:val="974"/>
        <w:numPr>
          <w:ilvl w:val="0"/>
          <w:numId w:val="0"/>
        </w:numPr>
        <w:ind w:left="720" w:hanging="720"/>
        <w:rPr>
          <w:rFonts w:hint="eastAsia" w:ascii="仿宋" w:hAnsi="仿宋" w:eastAsia="仿宋" w:cs="仿宋"/>
          <w:szCs w:val="24"/>
        </w:rPr>
      </w:pPr>
      <w:r>
        <w:rPr>
          <w:rFonts w:hint="eastAsia" w:ascii="仿宋" w:hAnsi="仿宋" w:eastAsia="仿宋" w:cs="仿宋"/>
          <w:szCs w:val="24"/>
        </w:rPr>
        <w:t>3.2服务内容</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（1）服务期满后的售后服务，采购方将根据需要，经双方协商后，签订相关售后服务合同。</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2）服务期自项目正式验收合格之日开始计算。由于本项目的特殊性（必须满足业务7*24小时不间断工作），服务期内，在接到系统故障通知后，中标供应商必须在15分钟内响应。对于影响平台系统正常运行的严重故障，中标供应商工程师及其它相关技术人员必须在接到故障通知后2小时内赶到现场，查找原因，提出解决方案，并工作直至故障修妥完全恢复正常服务为止，一般要求保证系统在4小时之内修复，并需要提供确保承诺实现的措施。</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3）中标供应商须做出无推诿承诺。即中标供应商应提供特殊措施，无论由于哪一方产生的问题而使系统发生不正常情况时，并在得到采购人通知后，立即派工程师到场，全力协助系统集成商和其他成交供应商，使系统尽快恢复正常。</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（4）系统服务期内故障时间总时长不得超过5天，如达不到要求，每超过一天，质保期相应延长10天。服务期内因系统本身缺陷造成各种故障应由中标供应商免费技术服务和维修。</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（5）服务期内提供同版本软件免费客户化修改与免费升级服务。并为用户后续提供长期的技术支持。</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（6）知识产权乙方应保证提供服务过程中不会侵犯任何第三方的知识产权。乙方应保证甲方在软件使用过程中，免受第三方提出的侵权起诉。如发生此类纠纷，由乙方承担一切责任并负责解决。</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（7）本项目采购系统及运行过程中必备的组成部分所有权归甲方所有，对不能确定部分，由双方协商确定。</w:t>
      </w:r>
    </w:p>
    <w:p>
      <w:pPr>
        <w:pStyle w:val="974"/>
        <w:numPr>
          <w:ilvl w:val="0"/>
          <w:numId w:val="0"/>
        </w:numPr>
        <w:ind w:left="720" w:hanging="720"/>
        <w:rPr>
          <w:rFonts w:hint="eastAsia" w:ascii="仿宋" w:hAnsi="仿宋" w:eastAsia="仿宋" w:cs="仿宋"/>
          <w:szCs w:val="24"/>
        </w:rPr>
      </w:pPr>
      <w:r>
        <w:rPr>
          <w:rFonts w:hint="eastAsia" w:ascii="仿宋" w:hAnsi="仿宋" w:eastAsia="仿宋" w:cs="仿宋"/>
          <w:szCs w:val="24"/>
        </w:rPr>
        <w:t>3.3培训要求</w:t>
      </w:r>
    </w:p>
    <w:p>
      <w:pPr>
        <w:spacing w:line="360" w:lineRule="auto"/>
        <w:ind w:firstLine="480" w:firstLineChars="200"/>
        <w:rPr>
          <w:rFonts w:hint="eastAsia" w:ascii="仿宋" w:hAnsi="仿宋" w:eastAsia="仿宋" w:cs="仿宋"/>
          <w:color w:val="000000"/>
          <w:sz w:val="24"/>
          <w:lang w:bidi="ar"/>
        </w:rPr>
      </w:pPr>
      <w:r>
        <w:rPr>
          <w:rFonts w:hint="eastAsia" w:ascii="仿宋" w:hAnsi="仿宋" w:eastAsia="仿宋" w:cs="仿宋"/>
          <w:color w:val="000000"/>
          <w:sz w:val="24"/>
          <w:lang w:bidi="ar"/>
        </w:rPr>
        <w:t>中标人须提供现场培训服务（相关费用已包含在本次预算内，投标人自行组价），培训场地由采购方提供，投标人按照采购方需求，负责在采购方指定的场地提供系统操作、运维管理的培训。中标人须按照系统中的角色需要，有序组织对系统维护管理人员、业务管理人员和业务经办人员等进行不同层次的培训。</w:t>
      </w:r>
    </w:p>
    <w:p>
      <w:pPr>
        <w:rPr>
          <w:rFonts w:hint="eastAsia" w:ascii="仿宋" w:hAnsi="仿宋" w:eastAsia="仿宋" w:cs="仿宋"/>
          <w:b/>
          <w:sz w:val="36"/>
          <w:szCs w:val="36"/>
        </w:rPr>
      </w:pPr>
    </w:p>
    <w:p>
      <w:pPr>
        <w:spacing w:line="360" w:lineRule="auto"/>
        <w:ind w:firstLine="480" w:firstLineChars="200"/>
        <w:rPr>
          <w:rFonts w:ascii="仿宋" w:hAnsi="仿宋" w:eastAsia="仿宋" w:cs="仿宋"/>
          <w:snapToGrid w:val="0"/>
          <w:sz w:val="24"/>
        </w:rPr>
      </w:pPr>
    </w:p>
    <w:p>
      <w:pPr>
        <w:rPr>
          <w:rFonts w:ascii="仿宋" w:hAnsi="仿宋" w:eastAsia="仿宋" w:cs="仿宋"/>
          <w:snapToGrid w:val="0"/>
          <w:sz w:val="24"/>
        </w:rPr>
      </w:pPr>
      <w:r>
        <w:rPr>
          <w:rFonts w:hint="eastAsia" w:ascii="仿宋" w:hAnsi="仿宋" w:eastAsia="仿宋" w:cs="仿宋"/>
          <w:snapToGrid w:val="0"/>
          <w:sz w:val="24"/>
        </w:rPr>
        <w:br w:type="page"/>
      </w:r>
    </w:p>
    <w:p>
      <w:pPr>
        <w:spacing w:line="360" w:lineRule="auto"/>
        <w:jc w:val="center"/>
        <w:outlineLvl w:val="0"/>
        <w:rPr>
          <w:rFonts w:ascii="仿宋" w:hAnsi="仿宋" w:eastAsia="仿宋" w:cs="仿宋"/>
          <w:b/>
          <w:sz w:val="36"/>
          <w:szCs w:val="36"/>
        </w:rPr>
      </w:pPr>
      <w:bookmarkStart w:id="49" w:name="_Toc19373"/>
      <w:r>
        <w:rPr>
          <w:rFonts w:hint="eastAsia" w:ascii="仿宋" w:hAnsi="仿宋" w:eastAsia="仿宋" w:cs="仿宋"/>
          <w:b/>
          <w:bCs/>
          <w:kern w:val="44"/>
          <w:sz w:val="44"/>
          <w:szCs w:val="44"/>
        </w:rPr>
        <w:t xml:space="preserve">第四部分   </w:t>
      </w:r>
      <w:bookmarkStart w:id="50" w:name="_Toc184308043"/>
      <w:bookmarkEnd w:id="50"/>
      <w:bookmarkStart w:id="51" w:name="_Toc184310284"/>
      <w:bookmarkEnd w:id="51"/>
      <w:bookmarkStart w:id="52" w:name="_Toc184308063"/>
      <w:bookmarkEnd w:id="52"/>
      <w:bookmarkStart w:id="53" w:name="_Toc184310337"/>
      <w:bookmarkEnd w:id="53"/>
      <w:bookmarkStart w:id="54" w:name="_Toc184310327"/>
      <w:bookmarkEnd w:id="54"/>
      <w:bookmarkStart w:id="55" w:name="_Toc184314448"/>
      <w:bookmarkEnd w:id="55"/>
      <w:bookmarkStart w:id="56" w:name="_Toc184312127"/>
      <w:bookmarkEnd w:id="56"/>
      <w:bookmarkStart w:id="57" w:name="_Toc184312095"/>
      <w:bookmarkEnd w:id="57"/>
      <w:bookmarkStart w:id="58" w:name="_Toc184310298"/>
      <w:bookmarkEnd w:id="58"/>
      <w:bookmarkStart w:id="59" w:name="_Toc184310303"/>
      <w:bookmarkEnd w:id="59"/>
      <w:bookmarkStart w:id="60" w:name="_Toc184312087"/>
      <w:bookmarkEnd w:id="60"/>
      <w:bookmarkStart w:id="61" w:name="_Toc184308073"/>
      <w:bookmarkEnd w:id="61"/>
      <w:bookmarkStart w:id="62" w:name="_Toc184310319"/>
      <w:bookmarkEnd w:id="62"/>
      <w:bookmarkStart w:id="63" w:name="_Toc184308061"/>
      <w:bookmarkEnd w:id="63"/>
      <w:bookmarkStart w:id="64" w:name="_Toc184312074"/>
      <w:bookmarkEnd w:id="64"/>
      <w:bookmarkStart w:id="65" w:name="_Toc184314429"/>
      <w:bookmarkEnd w:id="65"/>
      <w:bookmarkStart w:id="66" w:name="_Toc184314412"/>
      <w:bookmarkEnd w:id="66"/>
      <w:bookmarkStart w:id="67" w:name="_Toc184310286"/>
      <w:bookmarkEnd w:id="67"/>
      <w:bookmarkStart w:id="68" w:name="_Toc184314441"/>
      <w:bookmarkEnd w:id="68"/>
      <w:bookmarkStart w:id="69" w:name="_Toc184310313"/>
      <w:bookmarkEnd w:id="69"/>
      <w:bookmarkStart w:id="70" w:name="_Toc184313274"/>
      <w:bookmarkEnd w:id="70"/>
      <w:bookmarkStart w:id="71" w:name="_Toc184310301"/>
      <w:bookmarkEnd w:id="71"/>
      <w:bookmarkStart w:id="72" w:name="_Toc184314460"/>
      <w:bookmarkEnd w:id="72"/>
      <w:bookmarkStart w:id="73" w:name="_Toc184308104"/>
      <w:bookmarkEnd w:id="73"/>
      <w:bookmarkStart w:id="74" w:name="_Toc184312080"/>
      <w:bookmarkEnd w:id="74"/>
      <w:bookmarkStart w:id="75" w:name="_Toc184310340"/>
      <w:bookmarkEnd w:id="75"/>
      <w:bookmarkStart w:id="76" w:name="_Toc184308106"/>
      <w:bookmarkEnd w:id="76"/>
      <w:bookmarkStart w:id="77" w:name="_Toc184310317"/>
      <w:bookmarkEnd w:id="77"/>
      <w:bookmarkStart w:id="78" w:name="_Toc184310331"/>
      <w:bookmarkEnd w:id="78"/>
      <w:bookmarkStart w:id="79" w:name="_Toc184312103"/>
      <w:bookmarkEnd w:id="79"/>
      <w:bookmarkStart w:id="80" w:name="_Toc184314444"/>
      <w:bookmarkEnd w:id="80"/>
      <w:bookmarkStart w:id="81" w:name="_Toc184308103"/>
      <w:bookmarkEnd w:id="81"/>
      <w:bookmarkStart w:id="82" w:name="_Toc184312082"/>
      <w:bookmarkEnd w:id="82"/>
      <w:bookmarkStart w:id="83" w:name="_Toc184310282"/>
      <w:bookmarkEnd w:id="83"/>
      <w:bookmarkStart w:id="84" w:name="_Toc184314463"/>
      <w:bookmarkEnd w:id="84"/>
      <w:bookmarkStart w:id="85" w:name="_Toc184312129"/>
      <w:bookmarkEnd w:id="85"/>
      <w:bookmarkStart w:id="86" w:name="_Toc184310336"/>
      <w:bookmarkEnd w:id="86"/>
      <w:bookmarkStart w:id="87" w:name="_Toc184314422"/>
      <w:bookmarkEnd w:id="87"/>
      <w:bookmarkStart w:id="88" w:name="_Toc184312132"/>
      <w:bookmarkEnd w:id="88"/>
      <w:bookmarkStart w:id="89" w:name="_Toc184310290"/>
      <w:bookmarkEnd w:id="89"/>
      <w:bookmarkStart w:id="90" w:name="_Toc184312088"/>
      <w:bookmarkEnd w:id="90"/>
      <w:bookmarkStart w:id="91" w:name="_Toc184312108"/>
      <w:bookmarkEnd w:id="91"/>
      <w:bookmarkStart w:id="92" w:name="_Toc184312139"/>
      <w:bookmarkEnd w:id="92"/>
      <w:bookmarkStart w:id="93" w:name="_Toc184313295"/>
      <w:bookmarkEnd w:id="93"/>
      <w:bookmarkStart w:id="94" w:name="_Toc184310273"/>
      <w:bookmarkEnd w:id="94"/>
      <w:bookmarkStart w:id="95" w:name="_Toc184313293"/>
      <w:bookmarkEnd w:id="95"/>
      <w:bookmarkStart w:id="96" w:name="_Toc184312115"/>
      <w:bookmarkEnd w:id="96"/>
      <w:bookmarkStart w:id="97" w:name="_Toc184308086"/>
      <w:bookmarkEnd w:id="97"/>
      <w:bookmarkStart w:id="98" w:name="_Toc184313269"/>
      <w:bookmarkEnd w:id="98"/>
      <w:bookmarkStart w:id="99" w:name="_Toc184313262"/>
      <w:bookmarkEnd w:id="99"/>
      <w:bookmarkStart w:id="100" w:name="_Toc184310324"/>
      <w:bookmarkEnd w:id="100"/>
      <w:bookmarkStart w:id="101" w:name="_Toc184310283"/>
      <w:bookmarkEnd w:id="101"/>
      <w:bookmarkStart w:id="102" w:name="_Toc184314455"/>
      <w:bookmarkEnd w:id="102"/>
      <w:bookmarkStart w:id="103" w:name="_Toc184314476"/>
      <w:bookmarkEnd w:id="103"/>
      <w:bookmarkStart w:id="104" w:name="_Toc184314443"/>
      <w:bookmarkEnd w:id="104"/>
      <w:bookmarkStart w:id="105" w:name="_Toc184308052"/>
      <w:bookmarkEnd w:id="105"/>
      <w:bookmarkStart w:id="106" w:name="_Toc184314478"/>
      <w:bookmarkEnd w:id="106"/>
      <w:bookmarkStart w:id="107" w:name="_Toc184314442"/>
      <w:bookmarkEnd w:id="107"/>
      <w:bookmarkStart w:id="108" w:name="_Toc184310292"/>
      <w:bookmarkEnd w:id="108"/>
      <w:bookmarkStart w:id="109" w:name="_Toc184314458"/>
      <w:bookmarkEnd w:id="109"/>
      <w:bookmarkStart w:id="110" w:name="_Toc184312133"/>
      <w:bookmarkEnd w:id="110"/>
      <w:bookmarkStart w:id="111" w:name="_Toc184314454"/>
      <w:bookmarkEnd w:id="111"/>
      <w:bookmarkStart w:id="112" w:name="_Toc184312072"/>
      <w:bookmarkEnd w:id="112"/>
      <w:bookmarkStart w:id="113" w:name="_Toc184312069"/>
      <w:bookmarkEnd w:id="113"/>
      <w:bookmarkStart w:id="114" w:name="_Toc184308084"/>
      <w:bookmarkEnd w:id="114"/>
      <w:bookmarkStart w:id="115" w:name="_Toc184310300"/>
      <w:bookmarkEnd w:id="115"/>
      <w:bookmarkStart w:id="116" w:name="_Toc184310296"/>
      <w:bookmarkEnd w:id="116"/>
      <w:bookmarkStart w:id="117" w:name="_Toc184313271"/>
      <w:bookmarkEnd w:id="117"/>
      <w:bookmarkStart w:id="118" w:name="_Toc184314457"/>
      <w:bookmarkEnd w:id="118"/>
      <w:bookmarkStart w:id="119" w:name="_Toc184310299"/>
      <w:bookmarkEnd w:id="119"/>
      <w:bookmarkStart w:id="120" w:name="_Toc184308082"/>
      <w:bookmarkEnd w:id="120"/>
      <w:bookmarkStart w:id="121" w:name="_Toc184310311"/>
      <w:bookmarkEnd w:id="121"/>
      <w:bookmarkStart w:id="122" w:name="_Toc184313302"/>
      <w:bookmarkEnd w:id="122"/>
      <w:bookmarkStart w:id="123" w:name="_Toc184314452"/>
      <w:bookmarkEnd w:id="123"/>
      <w:bookmarkStart w:id="124" w:name="_Toc184314434"/>
      <w:bookmarkEnd w:id="124"/>
      <w:bookmarkStart w:id="125" w:name="_Toc184314423"/>
      <w:bookmarkEnd w:id="125"/>
      <w:bookmarkStart w:id="126" w:name="_Toc184308074"/>
      <w:bookmarkEnd w:id="126"/>
      <w:bookmarkStart w:id="127" w:name="_Toc184312070"/>
      <w:bookmarkEnd w:id="127"/>
      <w:bookmarkStart w:id="128" w:name="_Toc184313257"/>
      <w:bookmarkEnd w:id="128"/>
      <w:bookmarkStart w:id="129" w:name="_Toc184312086"/>
      <w:bookmarkEnd w:id="129"/>
      <w:bookmarkStart w:id="130" w:name="_Toc184313266"/>
      <w:bookmarkEnd w:id="130"/>
      <w:bookmarkStart w:id="131" w:name="_Toc184310325"/>
      <w:bookmarkEnd w:id="131"/>
      <w:bookmarkStart w:id="132" w:name="_Toc184313259"/>
      <w:bookmarkEnd w:id="132"/>
      <w:bookmarkStart w:id="133" w:name="_Toc184308108"/>
      <w:bookmarkEnd w:id="133"/>
      <w:bookmarkStart w:id="134" w:name="_Toc184308057"/>
      <w:bookmarkEnd w:id="134"/>
      <w:bookmarkStart w:id="135" w:name="_Toc184314411"/>
      <w:bookmarkEnd w:id="135"/>
      <w:bookmarkStart w:id="136" w:name="_Toc184313254"/>
      <w:bookmarkEnd w:id="136"/>
      <w:bookmarkStart w:id="137" w:name="_Toc184310332"/>
      <w:bookmarkEnd w:id="137"/>
      <w:bookmarkStart w:id="138" w:name="_Toc184313239"/>
      <w:bookmarkEnd w:id="138"/>
      <w:bookmarkStart w:id="139" w:name="_Toc184308041"/>
      <w:bookmarkEnd w:id="139"/>
      <w:bookmarkStart w:id="140" w:name="_Toc184312096"/>
      <w:bookmarkEnd w:id="140"/>
      <w:bookmarkStart w:id="141" w:name="_Toc184312078"/>
      <w:bookmarkEnd w:id="141"/>
      <w:bookmarkStart w:id="142" w:name="_Toc184314424"/>
      <w:bookmarkEnd w:id="142"/>
      <w:bookmarkStart w:id="143" w:name="_Toc184313273"/>
      <w:bookmarkEnd w:id="143"/>
      <w:bookmarkStart w:id="144" w:name="_Toc184312136"/>
      <w:bookmarkEnd w:id="144"/>
      <w:bookmarkStart w:id="145" w:name="_Toc184312134"/>
      <w:bookmarkEnd w:id="145"/>
      <w:bookmarkStart w:id="146" w:name="_Toc184313240"/>
      <w:bookmarkEnd w:id="146"/>
      <w:bookmarkStart w:id="147" w:name="_Toc184312107"/>
      <w:bookmarkEnd w:id="147"/>
      <w:bookmarkStart w:id="148" w:name="_Toc184314438"/>
      <w:bookmarkEnd w:id="148"/>
      <w:bookmarkStart w:id="149" w:name="_Toc184312131"/>
      <w:bookmarkEnd w:id="149"/>
      <w:bookmarkStart w:id="150" w:name="_Toc184314471"/>
      <w:bookmarkEnd w:id="150"/>
      <w:bookmarkStart w:id="151" w:name="_Toc184313275"/>
      <w:bookmarkEnd w:id="151"/>
      <w:bookmarkStart w:id="152" w:name="_Toc184310310"/>
      <w:bookmarkEnd w:id="152"/>
      <w:bookmarkStart w:id="153" w:name="_Toc184314470"/>
      <w:bookmarkEnd w:id="153"/>
      <w:bookmarkStart w:id="154" w:name="_Toc184312104"/>
      <w:bookmarkEnd w:id="154"/>
      <w:bookmarkStart w:id="155" w:name="_Toc184308095"/>
      <w:bookmarkEnd w:id="155"/>
      <w:bookmarkStart w:id="156" w:name="_Toc184312109"/>
      <w:bookmarkEnd w:id="156"/>
      <w:bookmarkStart w:id="157" w:name="_Toc184308096"/>
      <w:bookmarkEnd w:id="157"/>
      <w:bookmarkStart w:id="158" w:name="_Toc184314437"/>
      <w:bookmarkEnd w:id="158"/>
      <w:bookmarkStart w:id="159" w:name="_Toc184308046"/>
      <w:bookmarkEnd w:id="159"/>
      <w:bookmarkStart w:id="160" w:name="_Toc184314466"/>
      <w:bookmarkEnd w:id="160"/>
      <w:bookmarkStart w:id="161" w:name="_Toc184313270"/>
      <w:bookmarkEnd w:id="161"/>
      <w:bookmarkStart w:id="162" w:name="_Toc184313277"/>
      <w:bookmarkEnd w:id="162"/>
      <w:bookmarkStart w:id="163" w:name="_Toc184310320"/>
      <w:bookmarkEnd w:id="163"/>
      <w:bookmarkStart w:id="164" w:name="_Toc184314439"/>
      <w:bookmarkEnd w:id="164"/>
      <w:bookmarkStart w:id="165" w:name="_Toc184313272"/>
      <w:bookmarkEnd w:id="165"/>
      <w:bookmarkStart w:id="166" w:name="_Toc184313242"/>
      <w:bookmarkEnd w:id="166"/>
      <w:bookmarkStart w:id="167" w:name="_Toc184308072"/>
      <w:bookmarkEnd w:id="167"/>
      <w:bookmarkStart w:id="168" w:name="_Toc184313303"/>
      <w:bookmarkEnd w:id="168"/>
      <w:bookmarkStart w:id="169" w:name="_Toc184310330"/>
      <w:bookmarkEnd w:id="169"/>
      <w:bookmarkStart w:id="170" w:name="_Toc184310295"/>
      <w:bookmarkEnd w:id="170"/>
      <w:bookmarkStart w:id="171" w:name="_Toc184313248"/>
      <w:bookmarkEnd w:id="171"/>
      <w:bookmarkStart w:id="172" w:name="_Toc184308087"/>
      <w:bookmarkEnd w:id="172"/>
      <w:bookmarkStart w:id="173" w:name="_Toc184314415"/>
      <w:bookmarkEnd w:id="173"/>
      <w:bookmarkStart w:id="174" w:name="_Toc184313244"/>
      <w:bookmarkEnd w:id="174"/>
      <w:bookmarkStart w:id="175" w:name="_Toc184313276"/>
      <w:bookmarkEnd w:id="175"/>
      <w:bookmarkStart w:id="176" w:name="_Toc184312135"/>
      <w:bookmarkEnd w:id="176"/>
      <w:bookmarkStart w:id="177" w:name="_Toc184313292"/>
      <w:bookmarkEnd w:id="177"/>
      <w:bookmarkStart w:id="178" w:name="_Toc184308090"/>
      <w:bookmarkEnd w:id="178"/>
      <w:bookmarkStart w:id="179" w:name="_Toc184312111"/>
      <w:bookmarkEnd w:id="179"/>
      <w:bookmarkStart w:id="180" w:name="_Toc184312125"/>
      <w:bookmarkEnd w:id="180"/>
      <w:bookmarkStart w:id="181" w:name="_Toc184310281"/>
      <w:bookmarkEnd w:id="181"/>
      <w:bookmarkStart w:id="182" w:name="_Toc184312085"/>
      <w:bookmarkEnd w:id="182"/>
      <w:bookmarkStart w:id="183" w:name="_Toc184310287"/>
      <w:bookmarkEnd w:id="183"/>
      <w:bookmarkStart w:id="184" w:name="_Toc184308056"/>
      <w:bookmarkEnd w:id="184"/>
      <w:bookmarkStart w:id="185" w:name="_Toc184314464"/>
      <w:bookmarkEnd w:id="185"/>
      <w:bookmarkStart w:id="186" w:name="_Toc184312099"/>
      <w:bookmarkEnd w:id="186"/>
      <w:bookmarkStart w:id="187" w:name="_Toc184308038"/>
      <w:bookmarkEnd w:id="187"/>
      <w:bookmarkStart w:id="188" w:name="_Toc184312110"/>
      <w:bookmarkEnd w:id="188"/>
      <w:bookmarkStart w:id="189" w:name="_Toc184312089"/>
      <w:bookmarkEnd w:id="189"/>
      <w:bookmarkStart w:id="190" w:name="_Toc184310289"/>
      <w:bookmarkEnd w:id="190"/>
      <w:bookmarkStart w:id="191" w:name="_Toc184314475"/>
      <w:bookmarkEnd w:id="191"/>
      <w:bookmarkStart w:id="192" w:name="_Toc184314481"/>
      <w:bookmarkEnd w:id="192"/>
      <w:bookmarkStart w:id="193" w:name="_Toc184308064"/>
      <w:bookmarkEnd w:id="193"/>
      <w:bookmarkStart w:id="194" w:name="_Toc184312090"/>
      <w:bookmarkEnd w:id="194"/>
      <w:bookmarkStart w:id="195" w:name="_Toc184313299"/>
      <w:bookmarkEnd w:id="195"/>
      <w:bookmarkStart w:id="196" w:name="_Toc184313301"/>
      <w:bookmarkEnd w:id="196"/>
      <w:bookmarkStart w:id="197" w:name="_Toc184310272"/>
      <w:bookmarkEnd w:id="197"/>
      <w:bookmarkStart w:id="198" w:name="_Toc184313255"/>
      <w:bookmarkEnd w:id="198"/>
      <w:bookmarkStart w:id="199" w:name="_Toc184313296"/>
      <w:bookmarkEnd w:id="199"/>
      <w:bookmarkStart w:id="200" w:name="_Toc184310294"/>
      <w:bookmarkEnd w:id="200"/>
      <w:bookmarkStart w:id="201" w:name="_Toc184308048"/>
      <w:bookmarkEnd w:id="201"/>
      <w:bookmarkStart w:id="202" w:name="_Toc184308054"/>
      <w:bookmarkEnd w:id="202"/>
      <w:bookmarkStart w:id="203" w:name="_Toc184312077"/>
      <w:bookmarkEnd w:id="203"/>
      <w:bookmarkStart w:id="204" w:name="_Toc184310326"/>
      <w:bookmarkEnd w:id="204"/>
      <w:bookmarkStart w:id="205" w:name="_Toc184314419"/>
      <w:bookmarkEnd w:id="205"/>
      <w:bookmarkStart w:id="206" w:name="_Toc184312093"/>
      <w:bookmarkEnd w:id="206"/>
      <w:bookmarkStart w:id="207" w:name="_Toc184308069"/>
      <w:bookmarkEnd w:id="207"/>
      <w:bookmarkStart w:id="208" w:name="_Toc184308107"/>
      <w:bookmarkEnd w:id="208"/>
      <w:bookmarkStart w:id="209" w:name="_Toc184314436"/>
      <w:bookmarkEnd w:id="209"/>
      <w:bookmarkStart w:id="210" w:name="_Toc184310333"/>
      <w:bookmarkEnd w:id="210"/>
      <w:bookmarkStart w:id="211" w:name="_Toc184314473"/>
      <w:bookmarkEnd w:id="211"/>
      <w:bookmarkStart w:id="212" w:name="_Toc184313306"/>
      <w:bookmarkEnd w:id="212"/>
      <w:bookmarkStart w:id="213" w:name="_Toc184312084"/>
      <w:bookmarkEnd w:id="213"/>
      <w:bookmarkStart w:id="214" w:name="_Toc184314413"/>
      <w:bookmarkEnd w:id="214"/>
      <w:bookmarkStart w:id="215" w:name="_Toc184314461"/>
      <w:bookmarkEnd w:id="215"/>
      <w:bookmarkStart w:id="216" w:name="_Toc184313251"/>
      <w:bookmarkEnd w:id="216"/>
      <w:bookmarkStart w:id="217" w:name="_Toc184308044"/>
      <w:bookmarkEnd w:id="217"/>
      <w:bookmarkStart w:id="218" w:name="_Toc184313294"/>
      <w:bookmarkEnd w:id="218"/>
      <w:bookmarkStart w:id="219" w:name="_Toc184314410"/>
      <w:bookmarkEnd w:id="219"/>
      <w:bookmarkStart w:id="220" w:name="_Toc184308080"/>
      <w:bookmarkEnd w:id="220"/>
      <w:bookmarkStart w:id="221" w:name="_Toc184310334"/>
      <w:bookmarkEnd w:id="221"/>
      <w:bookmarkStart w:id="222" w:name="_Toc184312076"/>
      <w:bookmarkEnd w:id="222"/>
      <w:bookmarkStart w:id="223" w:name="_Toc184310279"/>
      <w:bookmarkEnd w:id="223"/>
      <w:bookmarkStart w:id="224" w:name="_Toc184313253"/>
      <w:bookmarkEnd w:id="224"/>
      <w:bookmarkStart w:id="225" w:name="_Toc184308047"/>
      <w:bookmarkEnd w:id="225"/>
      <w:bookmarkStart w:id="226" w:name="_Toc184313247"/>
      <w:bookmarkEnd w:id="226"/>
      <w:bookmarkStart w:id="227" w:name="_Toc184314421"/>
      <w:bookmarkEnd w:id="227"/>
      <w:bookmarkStart w:id="228" w:name="_Toc184308100"/>
      <w:bookmarkEnd w:id="228"/>
      <w:bookmarkStart w:id="229" w:name="_Toc184313307"/>
      <w:bookmarkEnd w:id="229"/>
      <w:bookmarkStart w:id="230" w:name="_Toc184314462"/>
      <w:bookmarkEnd w:id="230"/>
      <w:bookmarkStart w:id="231" w:name="_Toc184310339"/>
      <w:bookmarkEnd w:id="231"/>
      <w:bookmarkStart w:id="232" w:name="_Toc184314426"/>
      <w:bookmarkEnd w:id="232"/>
      <w:bookmarkStart w:id="233" w:name="_Toc184312094"/>
      <w:bookmarkEnd w:id="233"/>
      <w:bookmarkStart w:id="234" w:name="_Toc184313261"/>
      <w:bookmarkEnd w:id="234"/>
      <w:bookmarkStart w:id="235" w:name="_Toc184312122"/>
      <w:bookmarkEnd w:id="235"/>
      <w:bookmarkStart w:id="236" w:name="_Toc184310309"/>
      <w:bookmarkEnd w:id="236"/>
      <w:bookmarkStart w:id="237" w:name="_Toc184314427"/>
      <w:bookmarkEnd w:id="237"/>
      <w:bookmarkStart w:id="238" w:name="_Toc184308055"/>
      <w:bookmarkEnd w:id="238"/>
      <w:bookmarkStart w:id="239" w:name="_Toc184310285"/>
      <w:bookmarkEnd w:id="239"/>
      <w:bookmarkStart w:id="240" w:name="_Toc184314480"/>
      <w:bookmarkEnd w:id="240"/>
      <w:bookmarkStart w:id="241" w:name="_Toc184308078"/>
      <w:bookmarkEnd w:id="241"/>
      <w:bookmarkStart w:id="242" w:name="_Toc184314449"/>
      <w:bookmarkEnd w:id="242"/>
      <w:bookmarkStart w:id="243" w:name="_Toc184308097"/>
      <w:bookmarkEnd w:id="243"/>
      <w:bookmarkStart w:id="244" w:name="_Toc184313245"/>
      <w:bookmarkEnd w:id="244"/>
      <w:bookmarkStart w:id="245" w:name="_Toc184313256"/>
      <w:bookmarkEnd w:id="245"/>
      <w:bookmarkStart w:id="246" w:name="_Toc184308049"/>
      <w:bookmarkEnd w:id="246"/>
      <w:bookmarkStart w:id="247" w:name="_Toc184312098"/>
      <w:bookmarkEnd w:id="247"/>
      <w:bookmarkStart w:id="248" w:name="_Toc184313264"/>
      <w:bookmarkEnd w:id="248"/>
      <w:bookmarkStart w:id="249" w:name="_Toc184310321"/>
      <w:bookmarkEnd w:id="249"/>
      <w:bookmarkStart w:id="250" w:name="_Toc184308040"/>
      <w:bookmarkEnd w:id="250"/>
      <w:bookmarkStart w:id="251" w:name="_Toc184313291"/>
      <w:bookmarkEnd w:id="251"/>
      <w:bookmarkStart w:id="252" w:name="_Toc184314428"/>
      <w:bookmarkEnd w:id="252"/>
      <w:bookmarkStart w:id="253" w:name="_Toc184308065"/>
      <w:bookmarkEnd w:id="253"/>
      <w:bookmarkStart w:id="254" w:name="_Toc184313309"/>
      <w:bookmarkEnd w:id="254"/>
      <w:bookmarkStart w:id="255" w:name="_Toc184312119"/>
      <w:bookmarkEnd w:id="255"/>
      <w:bookmarkStart w:id="256" w:name="_Toc184314420"/>
      <w:bookmarkEnd w:id="256"/>
      <w:bookmarkStart w:id="257" w:name="_Toc184310322"/>
      <w:bookmarkEnd w:id="257"/>
      <w:bookmarkStart w:id="258" w:name="_Toc184310288"/>
      <w:bookmarkEnd w:id="258"/>
      <w:bookmarkStart w:id="259" w:name="_Toc184312113"/>
      <w:bookmarkEnd w:id="259"/>
      <w:bookmarkStart w:id="260" w:name="_Toc184310314"/>
      <w:bookmarkEnd w:id="260"/>
      <w:bookmarkStart w:id="261" w:name="_Toc184312067"/>
      <w:bookmarkEnd w:id="261"/>
      <w:bookmarkStart w:id="262" w:name="_Toc184313252"/>
      <w:bookmarkEnd w:id="262"/>
      <w:bookmarkStart w:id="263" w:name="_Toc184314456"/>
      <w:bookmarkEnd w:id="263"/>
      <w:bookmarkStart w:id="264" w:name="_Toc184313267"/>
      <w:bookmarkEnd w:id="264"/>
      <w:bookmarkStart w:id="265" w:name="_Toc184308092"/>
      <w:bookmarkEnd w:id="265"/>
      <w:bookmarkStart w:id="266" w:name="_Toc184310278"/>
      <w:bookmarkEnd w:id="266"/>
      <w:bookmarkStart w:id="267" w:name="_Toc184313304"/>
      <w:bookmarkEnd w:id="267"/>
      <w:bookmarkStart w:id="268" w:name="_Toc184310302"/>
      <w:bookmarkEnd w:id="268"/>
      <w:bookmarkStart w:id="269" w:name="_Toc184308076"/>
      <w:bookmarkEnd w:id="269"/>
      <w:bookmarkStart w:id="270" w:name="_Toc184310335"/>
      <w:bookmarkEnd w:id="270"/>
      <w:bookmarkStart w:id="271" w:name="_Toc184313238"/>
      <w:bookmarkEnd w:id="271"/>
      <w:bookmarkStart w:id="272" w:name="_Toc184312105"/>
      <w:bookmarkEnd w:id="272"/>
      <w:bookmarkStart w:id="273" w:name="_Toc184312083"/>
      <w:bookmarkEnd w:id="273"/>
      <w:bookmarkStart w:id="274" w:name="_Toc184312073"/>
      <w:bookmarkEnd w:id="274"/>
      <w:bookmarkStart w:id="275" w:name="_Toc184308102"/>
      <w:bookmarkEnd w:id="275"/>
      <w:bookmarkStart w:id="276" w:name="_Toc184308066"/>
      <w:bookmarkEnd w:id="276"/>
      <w:bookmarkStart w:id="277" w:name="_Toc184314482"/>
      <w:bookmarkEnd w:id="277"/>
      <w:bookmarkStart w:id="278" w:name="_Toc184310344"/>
      <w:bookmarkEnd w:id="278"/>
      <w:bookmarkStart w:id="279" w:name="_Toc184310315"/>
      <w:bookmarkEnd w:id="279"/>
      <w:bookmarkStart w:id="280" w:name="_Toc184308079"/>
      <w:bookmarkEnd w:id="280"/>
      <w:bookmarkStart w:id="281" w:name="_Toc184314468"/>
      <w:bookmarkEnd w:id="281"/>
      <w:bookmarkStart w:id="282" w:name="_Toc184308037"/>
      <w:bookmarkEnd w:id="282"/>
      <w:bookmarkStart w:id="283" w:name="_Toc184310293"/>
      <w:bookmarkEnd w:id="283"/>
      <w:bookmarkStart w:id="284" w:name="_Toc184314467"/>
      <w:bookmarkEnd w:id="284"/>
      <w:bookmarkStart w:id="285" w:name="_Toc184310342"/>
      <w:bookmarkEnd w:id="285"/>
      <w:bookmarkStart w:id="286" w:name="_Toc184313249"/>
      <w:bookmarkEnd w:id="286"/>
      <w:bookmarkStart w:id="287" w:name="_Toc184313250"/>
      <w:bookmarkEnd w:id="287"/>
      <w:bookmarkStart w:id="288" w:name="_Toc184308088"/>
      <w:bookmarkEnd w:id="288"/>
      <w:bookmarkStart w:id="289" w:name="_Toc184310323"/>
      <w:bookmarkEnd w:id="289"/>
      <w:bookmarkStart w:id="290" w:name="_Toc184314435"/>
      <w:bookmarkEnd w:id="290"/>
      <w:bookmarkStart w:id="291" w:name="_Toc184313300"/>
      <w:bookmarkEnd w:id="291"/>
      <w:bookmarkStart w:id="292" w:name="_Toc184313297"/>
      <w:bookmarkEnd w:id="292"/>
      <w:bookmarkStart w:id="293" w:name="_Toc184312121"/>
      <w:bookmarkEnd w:id="293"/>
      <w:bookmarkStart w:id="294" w:name="_Toc184312100"/>
      <w:bookmarkEnd w:id="294"/>
      <w:bookmarkStart w:id="295" w:name="_Toc184313268"/>
      <w:bookmarkEnd w:id="295"/>
      <w:bookmarkStart w:id="296" w:name="_Toc184308089"/>
      <w:bookmarkEnd w:id="296"/>
      <w:bookmarkStart w:id="297" w:name="_Toc184310297"/>
      <w:bookmarkEnd w:id="297"/>
      <w:bookmarkStart w:id="298" w:name="_Toc184312128"/>
      <w:bookmarkEnd w:id="298"/>
      <w:bookmarkStart w:id="299" w:name="_Toc184314469"/>
      <w:bookmarkEnd w:id="299"/>
      <w:bookmarkStart w:id="300" w:name="_Toc184312137"/>
      <w:bookmarkEnd w:id="300"/>
      <w:bookmarkStart w:id="301" w:name="_Toc184314477"/>
      <w:bookmarkEnd w:id="301"/>
      <w:bookmarkStart w:id="302" w:name="_Toc184312123"/>
      <w:bookmarkEnd w:id="302"/>
      <w:bookmarkStart w:id="303" w:name="_Toc184314465"/>
      <w:bookmarkEnd w:id="303"/>
      <w:bookmarkStart w:id="304" w:name="_Toc184312079"/>
      <w:bookmarkEnd w:id="304"/>
      <w:bookmarkStart w:id="305" w:name="_Toc184313288"/>
      <w:bookmarkEnd w:id="305"/>
      <w:bookmarkStart w:id="306" w:name="_Toc184310308"/>
      <w:bookmarkEnd w:id="306"/>
      <w:bookmarkStart w:id="307" w:name="_Toc184313310"/>
      <w:bookmarkEnd w:id="307"/>
      <w:bookmarkStart w:id="308" w:name="_Toc184314446"/>
      <w:bookmarkEnd w:id="308"/>
      <w:bookmarkStart w:id="309" w:name="_Toc184308083"/>
      <w:bookmarkEnd w:id="309"/>
      <w:bookmarkStart w:id="310" w:name="_Toc184313289"/>
      <w:bookmarkEnd w:id="310"/>
      <w:bookmarkStart w:id="311" w:name="_Toc184312097"/>
      <w:bookmarkEnd w:id="311"/>
      <w:bookmarkStart w:id="312" w:name="_Toc184313308"/>
      <w:bookmarkEnd w:id="312"/>
      <w:bookmarkStart w:id="313" w:name="_Toc184308070"/>
      <w:bookmarkEnd w:id="313"/>
      <w:bookmarkStart w:id="314" w:name="_Toc184312102"/>
      <w:bookmarkEnd w:id="314"/>
      <w:bookmarkStart w:id="315" w:name="_Toc184310291"/>
      <w:bookmarkEnd w:id="315"/>
      <w:bookmarkStart w:id="316" w:name="_Toc184310280"/>
      <w:bookmarkEnd w:id="316"/>
      <w:bookmarkStart w:id="317" w:name="_Toc184313258"/>
      <w:bookmarkEnd w:id="317"/>
      <w:bookmarkStart w:id="318" w:name="_Toc184308075"/>
      <w:bookmarkEnd w:id="318"/>
      <w:bookmarkStart w:id="319" w:name="_Toc184310304"/>
      <w:bookmarkEnd w:id="319"/>
      <w:bookmarkStart w:id="320" w:name="_Toc184313298"/>
      <w:bookmarkEnd w:id="320"/>
      <w:bookmarkStart w:id="321" w:name="_Toc184314459"/>
      <w:bookmarkEnd w:id="321"/>
      <w:bookmarkStart w:id="322" w:name="_Toc184314445"/>
      <w:bookmarkEnd w:id="322"/>
      <w:bookmarkStart w:id="323" w:name="_Toc184308077"/>
      <w:bookmarkEnd w:id="323"/>
      <w:bookmarkStart w:id="324" w:name="_Toc184308036"/>
      <w:bookmarkEnd w:id="324"/>
      <w:bookmarkStart w:id="325" w:name="_Toc184310275"/>
      <w:bookmarkEnd w:id="325"/>
      <w:bookmarkStart w:id="326" w:name="_Toc184310276"/>
      <w:bookmarkEnd w:id="326"/>
      <w:bookmarkStart w:id="327" w:name="_Toc184310306"/>
      <w:bookmarkEnd w:id="327"/>
      <w:bookmarkStart w:id="328" w:name="_Toc184310328"/>
      <w:bookmarkEnd w:id="328"/>
      <w:bookmarkStart w:id="329" w:name="_Toc184310329"/>
      <w:bookmarkEnd w:id="329"/>
      <w:bookmarkStart w:id="330" w:name="_Toc184313290"/>
      <w:bookmarkEnd w:id="330"/>
      <w:bookmarkStart w:id="331" w:name="_Toc184308099"/>
      <w:bookmarkEnd w:id="331"/>
      <w:bookmarkStart w:id="332" w:name="_Toc184314433"/>
      <w:bookmarkEnd w:id="332"/>
      <w:bookmarkStart w:id="333" w:name="_Toc184314450"/>
      <w:bookmarkEnd w:id="333"/>
      <w:bookmarkStart w:id="334" w:name="_Toc184313263"/>
      <w:bookmarkEnd w:id="334"/>
      <w:bookmarkStart w:id="335" w:name="_Toc184312101"/>
      <w:bookmarkEnd w:id="335"/>
      <w:bookmarkStart w:id="336" w:name="_Toc184308051"/>
      <w:bookmarkEnd w:id="336"/>
      <w:bookmarkStart w:id="337" w:name="_Toc184312092"/>
      <w:bookmarkEnd w:id="337"/>
      <w:bookmarkStart w:id="338" w:name="_Toc184312091"/>
      <w:bookmarkEnd w:id="338"/>
      <w:bookmarkStart w:id="339" w:name="_Toc184313284"/>
      <w:bookmarkEnd w:id="339"/>
      <w:bookmarkStart w:id="340" w:name="_Toc184312068"/>
      <w:bookmarkEnd w:id="340"/>
      <w:bookmarkStart w:id="341" w:name="_Toc184314430"/>
      <w:bookmarkEnd w:id="341"/>
      <w:bookmarkStart w:id="342" w:name="_Toc184308059"/>
      <w:bookmarkEnd w:id="342"/>
      <w:bookmarkStart w:id="343" w:name="_Toc184308039"/>
      <w:bookmarkEnd w:id="343"/>
      <w:bookmarkStart w:id="344" w:name="_Toc184312075"/>
      <w:bookmarkEnd w:id="344"/>
      <w:bookmarkStart w:id="345" w:name="_Toc184308101"/>
      <w:bookmarkEnd w:id="345"/>
      <w:bookmarkStart w:id="346" w:name="_Toc184313243"/>
      <w:bookmarkEnd w:id="346"/>
      <w:bookmarkStart w:id="347" w:name="_Toc184313279"/>
      <w:bookmarkEnd w:id="347"/>
      <w:bookmarkStart w:id="348" w:name="_Toc184310307"/>
      <w:bookmarkEnd w:id="348"/>
      <w:bookmarkStart w:id="349" w:name="_Toc184314472"/>
      <w:bookmarkEnd w:id="349"/>
      <w:bookmarkStart w:id="350" w:name="_Toc184308053"/>
      <w:bookmarkEnd w:id="350"/>
      <w:bookmarkStart w:id="351" w:name="_Toc184310277"/>
      <w:bookmarkEnd w:id="351"/>
      <w:bookmarkStart w:id="352" w:name="_Toc184314416"/>
      <w:bookmarkEnd w:id="352"/>
      <w:bookmarkStart w:id="353" w:name="_Toc184310274"/>
      <w:bookmarkEnd w:id="353"/>
      <w:bookmarkStart w:id="354" w:name="_Toc184308058"/>
      <w:bookmarkEnd w:id="354"/>
      <w:bookmarkStart w:id="355" w:name="_Toc184312138"/>
      <w:bookmarkEnd w:id="355"/>
      <w:bookmarkStart w:id="356" w:name="_Toc184313285"/>
      <w:bookmarkEnd w:id="356"/>
      <w:bookmarkStart w:id="357" w:name="_Toc184308067"/>
      <w:bookmarkEnd w:id="357"/>
      <w:bookmarkStart w:id="358" w:name="_Toc184310312"/>
      <w:bookmarkEnd w:id="358"/>
      <w:bookmarkStart w:id="359" w:name="_Toc184308098"/>
      <w:bookmarkEnd w:id="359"/>
      <w:bookmarkStart w:id="360" w:name="_Toc184314418"/>
      <w:bookmarkEnd w:id="360"/>
      <w:bookmarkStart w:id="361" w:name="_Toc184314440"/>
      <w:bookmarkEnd w:id="361"/>
      <w:bookmarkStart w:id="362" w:name="_Toc184308094"/>
      <w:bookmarkEnd w:id="362"/>
      <w:bookmarkStart w:id="363" w:name="_Toc184313286"/>
      <w:bookmarkEnd w:id="363"/>
      <w:bookmarkStart w:id="364" w:name="_Toc184310341"/>
      <w:bookmarkEnd w:id="364"/>
      <w:bookmarkStart w:id="365" w:name="_Toc184308093"/>
      <w:bookmarkEnd w:id="365"/>
      <w:bookmarkStart w:id="366" w:name="_Toc184308062"/>
      <w:bookmarkEnd w:id="366"/>
      <w:bookmarkStart w:id="367" w:name="_Toc184313305"/>
      <w:bookmarkEnd w:id="367"/>
      <w:bookmarkStart w:id="368" w:name="_Toc184314447"/>
      <w:bookmarkEnd w:id="368"/>
      <w:bookmarkStart w:id="369" w:name="_Toc184313283"/>
      <w:bookmarkEnd w:id="369"/>
      <w:bookmarkStart w:id="370" w:name="_Toc184312130"/>
      <w:bookmarkEnd w:id="370"/>
      <w:bookmarkStart w:id="371" w:name="_Toc184310305"/>
      <w:bookmarkEnd w:id="371"/>
      <w:bookmarkStart w:id="372" w:name="_Toc184312117"/>
      <w:bookmarkEnd w:id="372"/>
      <w:bookmarkStart w:id="373" w:name="_Toc184312081"/>
      <w:bookmarkEnd w:id="373"/>
      <w:bookmarkStart w:id="374" w:name="_Toc184314414"/>
      <w:bookmarkEnd w:id="374"/>
      <w:bookmarkStart w:id="375" w:name="_Toc184313265"/>
      <w:bookmarkEnd w:id="375"/>
      <w:bookmarkStart w:id="376" w:name="_Toc184314425"/>
      <w:bookmarkEnd w:id="376"/>
      <w:bookmarkStart w:id="377" w:name="_Toc184308081"/>
      <w:bookmarkEnd w:id="377"/>
      <w:bookmarkStart w:id="378" w:name="_Toc184313278"/>
      <w:bookmarkEnd w:id="378"/>
      <w:bookmarkStart w:id="379" w:name="_Toc184314431"/>
      <w:bookmarkEnd w:id="379"/>
      <w:bookmarkStart w:id="380" w:name="_Toc184310338"/>
      <w:bookmarkEnd w:id="380"/>
      <w:bookmarkStart w:id="381" w:name="_Toc184313280"/>
      <w:bookmarkEnd w:id="381"/>
      <w:bookmarkStart w:id="382" w:name="_Toc184308071"/>
      <w:bookmarkEnd w:id="382"/>
      <w:bookmarkStart w:id="383" w:name="_Toc184313246"/>
      <w:bookmarkEnd w:id="383"/>
      <w:bookmarkStart w:id="384" w:name="_Toc184312112"/>
      <w:bookmarkEnd w:id="384"/>
      <w:bookmarkStart w:id="385" w:name="_Toc184312118"/>
      <w:bookmarkEnd w:id="385"/>
      <w:bookmarkStart w:id="386" w:name="_Toc184308050"/>
      <w:bookmarkEnd w:id="386"/>
      <w:bookmarkStart w:id="387" w:name="_Toc184314451"/>
      <w:bookmarkEnd w:id="387"/>
      <w:bookmarkStart w:id="388" w:name="_Toc184312071"/>
      <w:bookmarkEnd w:id="388"/>
      <w:bookmarkStart w:id="389" w:name="_Toc184310316"/>
      <w:bookmarkEnd w:id="389"/>
      <w:bookmarkStart w:id="390" w:name="_Toc184314479"/>
      <w:bookmarkEnd w:id="390"/>
      <w:bookmarkStart w:id="391" w:name="_Toc184308060"/>
      <w:bookmarkEnd w:id="391"/>
      <w:bookmarkStart w:id="392" w:name="_Toc184313287"/>
      <w:bookmarkEnd w:id="392"/>
      <w:bookmarkStart w:id="393" w:name="_Toc184308105"/>
      <w:bookmarkEnd w:id="393"/>
      <w:bookmarkStart w:id="394" w:name="_Toc184308068"/>
      <w:bookmarkEnd w:id="394"/>
      <w:bookmarkStart w:id="395" w:name="_Toc184312106"/>
      <w:bookmarkEnd w:id="395"/>
      <w:bookmarkStart w:id="396" w:name="_Toc184314474"/>
      <w:bookmarkEnd w:id="396"/>
      <w:bookmarkStart w:id="397" w:name="_Toc184313260"/>
      <w:bookmarkEnd w:id="397"/>
      <w:bookmarkStart w:id="398" w:name="_Toc184313241"/>
      <w:bookmarkEnd w:id="398"/>
      <w:bookmarkStart w:id="399" w:name="_Toc184312124"/>
      <w:bookmarkEnd w:id="399"/>
      <w:bookmarkStart w:id="400" w:name="_Toc184312114"/>
      <w:bookmarkEnd w:id="400"/>
      <w:bookmarkStart w:id="401" w:name="_Toc184314432"/>
      <w:bookmarkEnd w:id="401"/>
      <w:bookmarkStart w:id="402" w:name="_Toc184308091"/>
      <w:bookmarkEnd w:id="402"/>
      <w:bookmarkStart w:id="403" w:name="_Toc184312116"/>
      <w:bookmarkEnd w:id="403"/>
      <w:bookmarkStart w:id="404" w:name="_Toc184312120"/>
      <w:bookmarkEnd w:id="404"/>
      <w:bookmarkStart w:id="405" w:name="_Toc184308085"/>
      <w:bookmarkEnd w:id="405"/>
      <w:bookmarkStart w:id="406" w:name="_Toc184314417"/>
      <w:bookmarkEnd w:id="406"/>
      <w:bookmarkStart w:id="407" w:name="_Toc184310318"/>
      <w:bookmarkEnd w:id="407"/>
      <w:bookmarkStart w:id="408" w:name="_Toc184314453"/>
      <w:bookmarkEnd w:id="408"/>
      <w:bookmarkStart w:id="409" w:name="_Toc184310343"/>
      <w:bookmarkEnd w:id="409"/>
      <w:bookmarkStart w:id="410" w:name="_Toc184312126"/>
      <w:bookmarkEnd w:id="410"/>
      <w:bookmarkStart w:id="411" w:name="_Toc184308042"/>
      <w:bookmarkEnd w:id="411"/>
      <w:bookmarkStart w:id="412" w:name="_Toc184308045"/>
      <w:bookmarkEnd w:id="412"/>
      <w:bookmarkStart w:id="413" w:name="_Toc184313281"/>
      <w:bookmarkEnd w:id="413"/>
      <w:bookmarkStart w:id="414" w:name="_Toc184313282"/>
      <w:bookmarkEnd w:id="414"/>
      <w:r>
        <w:rPr>
          <w:rFonts w:hint="eastAsia" w:ascii="仿宋" w:hAnsi="仿宋" w:eastAsia="仿宋" w:cs="仿宋"/>
          <w:b/>
          <w:bCs/>
          <w:kern w:val="44"/>
          <w:sz w:val="44"/>
          <w:szCs w:val="44"/>
        </w:rPr>
        <w:t>评标办法</w:t>
      </w:r>
      <w:bookmarkEnd w:id="4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5"/>
        <w:tblW w:w="4991" w:type="pct"/>
        <w:tblInd w:w="0" w:type="dxa"/>
        <w:tblLayout w:type="autofit"/>
        <w:tblCellMar>
          <w:top w:w="0" w:type="dxa"/>
          <w:left w:w="108" w:type="dxa"/>
          <w:bottom w:w="0" w:type="dxa"/>
          <w:right w:w="108" w:type="dxa"/>
        </w:tblCellMar>
      </w:tblPr>
      <w:tblGrid>
        <w:gridCol w:w="757"/>
        <w:gridCol w:w="1525"/>
        <w:gridCol w:w="6727"/>
        <w:gridCol w:w="928"/>
      </w:tblGrid>
      <w:tr>
        <w:tblPrEx>
          <w:tblCellMar>
            <w:top w:w="0" w:type="dxa"/>
            <w:left w:w="108" w:type="dxa"/>
            <w:bottom w:w="0" w:type="dxa"/>
            <w:right w:w="108" w:type="dxa"/>
          </w:tblCellMar>
        </w:tblPrEx>
        <w:trPr>
          <w:trHeight w:val="540"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7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评分因素</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评分细则</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分值（分）</w:t>
            </w:r>
          </w:p>
        </w:tc>
      </w:tr>
      <w:tr>
        <w:tblPrEx>
          <w:tblCellMar>
            <w:top w:w="0" w:type="dxa"/>
            <w:left w:w="108" w:type="dxa"/>
            <w:bottom w:w="0" w:type="dxa"/>
            <w:right w:w="108" w:type="dxa"/>
          </w:tblCellMar>
        </w:tblPrEx>
        <w:trPr>
          <w:trHeight w:val="810"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7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供应商实力</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1.投标人具有ISO90001质量管理体系得2分；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2.投标人具有IS020000信息技术服务体系得2分</w:t>
            </w:r>
            <w:r>
              <w:rPr>
                <w:rFonts w:hint="eastAsia" w:ascii="仿宋" w:hAnsi="仿宋" w:eastAsia="仿宋" w:cs="仿宋"/>
                <w:color w:val="000000"/>
                <w:kern w:val="0"/>
                <w:szCs w:val="21"/>
                <w:lang w:eastAsia="zh-CN" w:bidi="ar"/>
              </w:rPr>
              <w:t>。</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4</w:t>
            </w:r>
            <w:r>
              <w:rPr>
                <w:rFonts w:hint="eastAsia" w:ascii="仿宋" w:hAnsi="仿宋" w:eastAsia="仿宋" w:cs="仿宋"/>
                <w:color w:val="000000"/>
                <w:kern w:val="0"/>
                <w:szCs w:val="21"/>
                <w:lang w:val="en-US" w:eastAsia="zh-CN" w:bidi="ar"/>
              </w:rPr>
              <w:t>分</w:t>
            </w:r>
          </w:p>
        </w:tc>
      </w:tr>
      <w:tr>
        <w:tblPrEx>
          <w:tblCellMar>
            <w:top w:w="0" w:type="dxa"/>
            <w:left w:w="108" w:type="dxa"/>
            <w:bottom w:w="0" w:type="dxa"/>
            <w:right w:w="108" w:type="dxa"/>
          </w:tblCellMar>
        </w:tblPrEx>
        <w:trPr>
          <w:trHeight w:val="810"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7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类似项目业绩</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提供20</w:t>
            </w:r>
            <w:r>
              <w:rPr>
                <w:rFonts w:hint="eastAsia" w:ascii="仿宋" w:hAnsi="仿宋" w:eastAsia="仿宋" w:cs="仿宋"/>
                <w:color w:val="000000"/>
                <w:kern w:val="0"/>
                <w:szCs w:val="21"/>
                <w:lang w:val="en-US" w:eastAsia="zh-CN" w:bidi="ar"/>
              </w:rPr>
              <w:t>21</w:t>
            </w:r>
            <w:r>
              <w:rPr>
                <w:rFonts w:hint="eastAsia" w:ascii="仿宋" w:hAnsi="仿宋" w:eastAsia="仿宋" w:cs="仿宋"/>
                <w:color w:val="000000"/>
                <w:kern w:val="0"/>
                <w:szCs w:val="21"/>
                <w:lang w:bidi="ar"/>
              </w:rPr>
              <w:t>年1</w:t>
            </w:r>
            <w:r>
              <w:rPr>
                <w:rFonts w:hint="eastAsia" w:ascii="仿宋" w:hAnsi="仿宋" w:eastAsia="仿宋" w:cs="仿宋"/>
                <w:color w:val="000000"/>
                <w:kern w:val="0"/>
                <w:szCs w:val="21"/>
                <w:lang w:val="en-US" w:eastAsia="zh-CN" w:bidi="ar"/>
              </w:rPr>
              <w:t>2</w:t>
            </w:r>
            <w:r>
              <w:rPr>
                <w:rFonts w:hint="eastAsia" w:ascii="仿宋" w:hAnsi="仿宋" w:eastAsia="仿宋" w:cs="仿宋"/>
                <w:color w:val="000000"/>
                <w:kern w:val="0"/>
                <w:szCs w:val="21"/>
                <w:lang w:bidi="ar"/>
              </w:rPr>
              <w:t>月1日至今（以合同签订时间为准）类似软件开发项目业绩，每个1分，最高得2分，提供原件合同清晰扫描件，否则不得分。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bidi="ar"/>
              </w:rPr>
              <w:t>2</w:t>
            </w:r>
            <w:r>
              <w:rPr>
                <w:rFonts w:hint="eastAsia" w:ascii="仿宋" w:hAnsi="仿宋" w:eastAsia="仿宋" w:cs="仿宋"/>
                <w:color w:val="000000"/>
                <w:kern w:val="0"/>
                <w:szCs w:val="21"/>
                <w:lang w:val="en-US" w:eastAsia="zh-CN" w:bidi="ar"/>
              </w:rPr>
              <w:t>分</w:t>
            </w:r>
          </w:p>
        </w:tc>
      </w:tr>
      <w:tr>
        <w:tblPrEx>
          <w:tblCellMar>
            <w:top w:w="0" w:type="dxa"/>
            <w:left w:w="108" w:type="dxa"/>
            <w:bottom w:w="0" w:type="dxa"/>
            <w:right w:w="108" w:type="dxa"/>
          </w:tblCellMar>
        </w:tblPrEx>
        <w:trPr>
          <w:trHeight w:val="810"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7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项目人员设备配置</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1、拟派项目负责人需具有系统分析师、系统架构设计师、信息系统项目管理师、软件设计师证书的，每具备一个证书得1分，最高不超过1分；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2、投标人为本项目提供的团队成员软件设计师、网络工程师、系统集成项目管理工程师的每本证书得1分，最高2分；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 xml:space="preserve">（注：需提供人员连续 </w:t>
            </w:r>
            <w:r>
              <w:rPr>
                <w:rFonts w:hint="eastAsia" w:ascii="仿宋" w:hAnsi="仿宋" w:eastAsia="仿宋" w:cs="仿宋"/>
                <w:color w:val="000000"/>
                <w:kern w:val="0"/>
                <w:szCs w:val="21"/>
                <w:lang w:val="en-US" w:eastAsia="zh-CN" w:bidi="ar"/>
              </w:rPr>
              <w:t>3</w:t>
            </w:r>
            <w:r>
              <w:rPr>
                <w:rFonts w:hint="eastAsia" w:ascii="仿宋" w:hAnsi="仿宋" w:eastAsia="仿宋" w:cs="仿宋"/>
                <w:color w:val="000000"/>
                <w:kern w:val="0"/>
                <w:szCs w:val="21"/>
                <w:lang w:bidi="ar"/>
              </w:rPr>
              <w:t xml:space="preserve"> 个月在投标人单位开具的社保证明、认证证书的扫描件或复印件，无相对应的证书或社保提供不得分，以上人员证书重复使用不得分）。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val="en-US" w:eastAsia="zh-CN" w:bidi="ar"/>
              </w:rPr>
            </w:pPr>
            <w:r>
              <w:rPr>
                <w:rFonts w:hint="default" w:ascii="仿宋" w:hAnsi="仿宋" w:eastAsia="仿宋" w:cs="仿宋"/>
                <w:color w:val="000000"/>
                <w:kern w:val="0"/>
                <w:szCs w:val="21"/>
                <w:lang w:val="en-US" w:bidi="ar"/>
              </w:rPr>
              <w:t>3</w:t>
            </w:r>
            <w:r>
              <w:rPr>
                <w:rFonts w:hint="eastAsia" w:ascii="仿宋" w:hAnsi="仿宋" w:eastAsia="仿宋" w:cs="仿宋"/>
                <w:color w:val="000000"/>
                <w:kern w:val="0"/>
                <w:szCs w:val="21"/>
                <w:lang w:val="en-US" w:eastAsia="zh-CN" w:bidi="ar"/>
              </w:rPr>
              <w:t>分</w:t>
            </w:r>
          </w:p>
        </w:tc>
      </w:tr>
      <w:tr>
        <w:tblPrEx>
          <w:tblCellMar>
            <w:top w:w="0" w:type="dxa"/>
            <w:left w:w="108" w:type="dxa"/>
            <w:bottom w:w="0" w:type="dxa"/>
            <w:right w:w="108" w:type="dxa"/>
          </w:tblCellMar>
        </w:tblPrEx>
        <w:trPr>
          <w:trHeight w:val="810"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p>
        </w:tc>
        <w:tc>
          <w:tcPr>
            <w:tcW w:w="7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技术性能</w:t>
            </w:r>
            <w:r>
              <w:rPr>
                <w:rFonts w:hint="eastAsia" w:ascii="仿宋" w:hAnsi="仿宋" w:eastAsia="仿宋" w:cs="仿宋"/>
                <w:b w:val="0"/>
                <w:bCs/>
                <w:color w:val="000000" w:themeColor="text1"/>
                <w:sz w:val="21"/>
                <w:szCs w:val="21"/>
                <w:highlight w:val="none"/>
                <w14:textFill>
                  <w14:solidFill>
                    <w14:schemeClr w14:val="tx1"/>
                  </w14:solidFill>
                </w14:textFill>
              </w:rPr>
              <w:t>响应程度</w:t>
            </w:r>
          </w:p>
        </w:tc>
        <w:tc>
          <w:tcPr>
            <w:tcW w:w="3384" w:type="pct"/>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kern w:val="2"/>
                <w:sz w:val="21"/>
                <w:szCs w:val="21"/>
                <w:u w:color="000000"/>
                <w:lang w:val="en-US" w:eastAsia="zh-CN" w:bidi="ar-SA"/>
              </w:rPr>
            </w:pPr>
            <w:r>
              <w:rPr>
                <w:rFonts w:hint="eastAsia" w:ascii="仿宋" w:hAnsi="仿宋" w:eastAsia="仿宋" w:cs="仿宋"/>
                <w:color w:val="000000"/>
                <w:kern w:val="2"/>
                <w:sz w:val="21"/>
                <w:szCs w:val="21"/>
                <w:u w:color="000000"/>
                <w:lang w:val="en-US" w:eastAsia="zh-CN" w:bidi="ar-SA"/>
              </w:rPr>
              <w:t>投标供应商须对应招标文件“第四部分招标需求逐条逐项做出投标响应。根据所投产品性能优越性和响应偏离情况进行打分。技术指标中带“★”为核心指标，不满足或负偏离1项扣1分；扣完为止。</w:t>
            </w:r>
          </w:p>
          <w:p>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2"/>
                <w:sz w:val="21"/>
                <w:szCs w:val="21"/>
                <w:u w:color="000000"/>
                <w:lang w:val="en-US" w:eastAsia="zh-CN" w:bidi="ar-SA"/>
              </w:rPr>
              <w:t>注：技术参数中要求提供证明文件的，投标文件中必须按要求提供，否则视为技术参数负偏离。</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10分</w:t>
            </w:r>
          </w:p>
        </w:tc>
      </w:tr>
      <w:tr>
        <w:tblPrEx>
          <w:tblCellMar>
            <w:top w:w="0" w:type="dxa"/>
            <w:left w:w="108" w:type="dxa"/>
            <w:bottom w:w="0" w:type="dxa"/>
            <w:right w:w="108" w:type="dxa"/>
          </w:tblCellMar>
        </w:tblPrEx>
        <w:trPr>
          <w:trHeight w:val="810" w:hRule="atLeast"/>
        </w:trPr>
        <w:tc>
          <w:tcPr>
            <w:tcW w:w="381"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p>
        </w:tc>
        <w:tc>
          <w:tcPr>
            <w:tcW w:w="766" w:type="pct"/>
            <w:vMerge w:val="restart"/>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技术方案</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val="zh-CN" w:bidi="ar"/>
              </w:rPr>
            </w:pPr>
            <w:r>
              <w:rPr>
                <w:rFonts w:hint="eastAsia" w:ascii="仿宋" w:hAnsi="仿宋" w:eastAsia="仿宋" w:cs="仿宋"/>
                <w:color w:val="000000"/>
                <w:kern w:val="0"/>
                <w:szCs w:val="21"/>
                <w:lang w:bidi="ar"/>
              </w:rPr>
              <w:t>重点、难点分析及解决方案</w:t>
            </w:r>
            <w:r>
              <w:rPr>
                <w:rFonts w:hint="eastAsia" w:ascii="仿宋" w:hAnsi="仿宋" w:eastAsia="仿宋" w:cs="仿宋"/>
                <w:color w:val="000000"/>
                <w:kern w:val="0"/>
                <w:szCs w:val="21"/>
                <w:lang w:val="zh-CN" w:bidi="ar"/>
              </w:rPr>
              <w:t>：根据投标人对</w:t>
            </w:r>
            <w:r>
              <w:rPr>
                <w:rFonts w:hint="eastAsia" w:ascii="仿宋" w:hAnsi="仿宋" w:eastAsia="仿宋" w:cs="仿宋"/>
                <w:color w:val="000000"/>
                <w:kern w:val="0"/>
                <w:szCs w:val="21"/>
                <w:lang w:bidi="ar"/>
              </w:rPr>
              <w:t>家事纠纷化解“一类事”服务</w:t>
            </w:r>
            <w:r>
              <w:rPr>
                <w:rFonts w:hint="eastAsia" w:ascii="仿宋" w:hAnsi="仿宋" w:eastAsia="仿宋" w:cs="仿宋"/>
                <w:color w:val="000000"/>
                <w:kern w:val="0"/>
                <w:szCs w:val="21"/>
                <w:lang w:val="zh-CN" w:bidi="ar"/>
              </w:rPr>
              <w:t>需求描述，按项目任务要求，深入理解和阐述项目背景、现状、建设目标等项目需求，分析本项目重点、难点，并对此提出的解决对策是否具有全面性、针对性、可操作性进行打分。</w:t>
            </w:r>
          </w:p>
          <w:p>
            <w:pPr>
              <w:adjustRightInd w:val="0"/>
              <w:snapToGrid w:val="0"/>
              <w:spacing w:line="320" w:lineRule="exact"/>
              <w:rPr>
                <w:rFonts w:ascii="仿宋" w:hAnsi="仿宋" w:eastAsia="仿宋" w:cs="仿宋"/>
                <w:sz w:val="21"/>
                <w:szCs w:val="21"/>
                <w:lang w:val="zh-CN"/>
              </w:rPr>
            </w:pPr>
            <w:r>
              <w:rPr>
                <w:rFonts w:hint="eastAsia" w:ascii="仿宋" w:hAnsi="仿宋" w:eastAsia="仿宋" w:cs="仿宋"/>
                <w:sz w:val="21"/>
                <w:szCs w:val="21"/>
                <w:lang w:val="zh-CN"/>
              </w:rPr>
              <w:t>重点和难点问题认识清晰、准确，解决方案科学合理、有效全面且具有针对性的得</w:t>
            </w:r>
            <w:r>
              <w:rPr>
                <w:rFonts w:hint="eastAsia" w:ascii="仿宋" w:hAnsi="仿宋" w:eastAsia="仿宋" w:cs="仿宋"/>
                <w:sz w:val="21"/>
                <w:szCs w:val="21"/>
                <w:lang w:val="en-US" w:eastAsia="zh-CN" w:bidi="ar-SA"/>
              </w:rPr>
              <w:t>4.1-6</w:t>
            </w:r>
            <w:r>
              <w:rPr>
                <w:rFonts w:hint="eastAsia" w:ascii="仿宋" w:hAnsi="仿宋" w:eastAsia="仿宋" w:cs="仿宋"/>
                <w:sz w:val="21"/>
                <w:szCs w:val="21"/>
                <w:lang w:val="zh-CN"/>
              </w:rPr>
              <w:t>分；</w:t>
            </w:r>
          </w:p>
          <w:p>
            <w:pPr>
              <w:adjustRightInd w:val="0"/>
              <w:snapToGrid w:val="0"/>
              <w:spacing w:line="320" w:lineRule="exact"/>
              <w:rPr>
                <w:rFonts w:ascii="仿宋" w:hAnsi="仿宋" w:eastAsia="仿宋" w:cs="仿宋"/>
                <w:sz w:val="21"/>
                <w:szCs w:val="21"/>
                <w:lang w:val="zh-CN"/>
              </w:rPr>
            </w:pPr>
            <w:r>
              <w:rPr>
                <w:rFonts w:hint="eastAsia" w:ascii="仿宋" w:hAnsi="仿宋" w:eastAsia="仿宋" w:cs="仿宋"/>
                <w:sz w:val="21"/>
                <w:szCs w:val="21"/>
                <w:lang w:val="zh-CN"/>
              </w:rPr>
              <w:t>重点和难点问题认识</w:t>
            </w:r>
            <w:r>
              <w:rPr>
                <w:rFonts w:hint="eastAsia" w:ascii="仿宋" w:hAnsi="仿宋" w:eastAsia="仿宋" w:cs="仿宋"/>
                <w:sz w:val="21"/>
                <w:szCs w:val="21"/>
              </w:rPr>
              <w:t>较为</w:t>
            </w:r>
            <w:r>
              <w:rPr>
                <w:rFonts w:hint="eastAsia" w:ascii="仿宋" w:hAnsi="仿宋" w:eastAsia="仿宋" w:cs="仿宋"/>
                <w:sz w:val="21"/>
                <w:szCs w:val="21"/>
                <w:lang w:val="zh-CN"/>
              </w:rPr>
              <w:t>准确，解决方案基本合理、缺乏针对性的得</w:t>
            </w:r>
            <w:r>
              <w:rPr>
                <w:rFonts w:hint="eastAsia" w:ascii="仿宋" w:hAnsi="仿宋" w:eastAsia="仿宋" w:cs="仿宋"/>
                <w:sz w:val="21"/>
                <w:szCs w:val="21"/>
                <w:lang w:val="en-US" w:eastAsia="zh-CN" w:bidi="ar-SA"/>
              </w:rPr>
              <w:t>2.1-4</w:t>
            </w:r>
            <w:r>
              <w:rPr>
                <w:rFonts w:hint="eastAsia" w:ascii="仿宋" w:hAnsi="仿宋" w:eastAsia="仿宋" w:cs="仿宋"/>
                <w:sz w:val="21"/>
                <w:szCs w:val="21"/>
                <w:lang w:val="zh-CN"/>
              </w:rPr>
              <w:t>分；</w:t>
            </w:r>
          </w:p>
          <w:p>
            <w:pPr>
              <w:adjustRightInd w:val="0"/>
              <w:snapToGrid w:val="0"/>
              <w:spacing w:line="320" w:lineRule="exact"/>
              <w:rPr>
                <w:rFonts w:ascii="仿宋" w:hAnsi="仿宋" w:eastAsia="仿宋" w:cs="仿宋"/>
                <w:sz w:val="21"/>
                <w:szCs w:val="21"/>
                <w:lang w:val="zh-CN"/>
              </w:rPr>
            </w:pPr>
            <w:r>
              <w:rPr>
                <w:rFonts w:hint="eastAsia" w:ascii="仿宋" w:hAnsi="仿宋" w:eastAsia="仿宋" w:cs="仿宋"/>
                <w:sz w:val="21"/>
                <w:szCs w:val="21"/>
                <w:lang w:val="zh-CN"/>
              </w:rPr>
              <w:t>重点和难点问题认识片面，解决方案阐述简单，缺乏合理性的得</w:t>
            </w:r>
            <w:r>
              <w:rPr>
                <w:rFonts w:hint="eastAsia" w:ascii="仿宋" w:hAnsi="仿宋" w:eastAsia="仿宋" w:cs="仿宋"/>
                <w:sz w:val="21"/>
                <w:szCs w:val="21"/>
                <w:lang w:val="en-US" w:eastAsia="zh-CN" w:bidi="ar-SA"/>
              </w:rPr>
              <w:t>0.5-2</w:t>
            </w:r>
            <w:r>
              <w:rPr>
                <w:rFonts w:hint="eastAsia" w:ascii="仿宋" w:hAnsi="仿宋" w:eastAsia="仿宋" w:cs="仿宋"/>
                <w:sz w:val="21"/>
                <w:szCs w:val="21"/>
                <w:lang w:val="zh-CN"/>
              </w:rPr>
              <w:t>分；</w:t>
            </w:r>
          </w:p>
          <w:p>
            <w:pPr>
              <w:widowControl/>
              <w:jc w:val="left"/>
              <w:textAlignment w:val="center"/>
              <w:rPr>
                <w:rFonts w:hint="default" w:ascii="仿宋" w:hAnsi="仿宋" w:eastAsia="仿宋" w:cs="仿宋"/>
                <w:color w:val="000000"/>
                <w:kern w:val="0"/>
                <w:szCs w:val="21"/>
                <w:lang w:val="en-US" w:eastAsia="zh-CN" w:bidi="ar"/>
              </w:rPr>
            </w:pPr>
            <w:r>
              <w:rPr>
                <w:rFonts w:hint="eastAsia" w:ascii="仿宋" w:hAnsi="仿宋" w:eastAsia="仿宋" w:cs="仿宋"/>
                <w:sz w:val="21"/>
                <w:szCs w:val="21"/>
                <w:lang w:val="zh-CN"/>
              </w:rPr>
              <w:t>未提及此项不得分。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6分</w:t>
            </w:r>
          </w:p>
        </w:tc>
      </w:tr>
      <w:tr>
        <w:tblPrEx>
          <w:tblCellMar>
            <w:top w:w="0" w:type="dxa"/>
            <w:left w:w="108" w:type="dxa"/>
            <w:bottom w:w="0" w:type="dxa"/>
            <w:right w:w="108" w:type="dxa"/>
          </w:tblCellMar>
        </w:tblPrEx>
        <w:trPr>
          <w:trHeight w:val="10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根据投标人提供的技术方案的科学性、与采购方实际需求的匹配程度和可扩展性，数据迁移方案等进行打分。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①思路清晰，内容重点突出、需求分析针对性强的得4.1-6分；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②思路基本清晰，内容基本完整，基本符合用户需求的得2.1-4分；</w:t>
            </w:r>
          </w:p>
          <w:p>
            <w:pPr>
              <w:keepNext w:val="0"/>
              <w:keepLines w:val="0"/>
              <w:widowControl/>
              <w:suppressLineNumbers w:val="0"/>
              <w:spacing w:before="0" w:beforeAutospacing="0" w:after="0" w:afterAutospacing="0"/>
              <w:ind w:left="0" w:right="0"/>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③思路不清晰，内容简单粗糙的得0.5-2分；</w:t>
            </w:r>
          </w:p>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sz w:val="21"/>
                <w:szCs w:val="21"/>
                <w:highlight w:val="none"/>
                <w:lang w:val="en-US" w:eastAsia="zh-CN"/>
              </w:rPr>
              <w:t>未提及此项不得分。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6分</w:t>
            </w:r>
          </w:p>
        </w:tc>
      </w:tr>
      <w:tr>
        <w:tblPrEx>
          <w:tblCellMar>
            <w:top w:w="0" w:type="dxa"/>
            <w:left w:w="108" w:type="dxa"/>
            <w:bottom w:w="0" w:type="dxa"/>
            <w:right w:w="108" w:type="dxa"/>
          </w:tblCellMar>
        </w:tblPrEx>
        <w:trPr>
          <w:trHeight w:val="10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要求投标人对家事纠纷化解“一类事”中所需数据源有充分的调研和阐述，对多部门协同处理家事流程有充分调研。有详细的针对本项目的业务数据量测算过程，包括数据信息项、数据资源项表。方案全面、可行性强得</w:t>
            </w:r>
            <w:r>
              <w:rPr>
                <w:rFonts w:hint="eastAsia" w:ascii="仿宋" w:hAnsi="仿宋" w:eastAsia="仿宋" w:cs="仿宋"/>
                <w:sz w:val="21"/>
                <w:szCs w:val="21"/>
                <w:lang w:val="en-US" w:eastAsia="zh-CN" w:bidi="ar-SA"/>
              </w:rPr>
              <w:t>4.1-5</w:t>
            </w:r>
            <w:r>
              <w:rPr>
                <w:rFonts w:hint="eastAsia" w:ascii="仿宋" w:hAnsi="仿宋" w:eastAsia="仿宋" w:cs="仿宋"/>
                <w:color w:val="000000"/>
                <w:kern w:val="0"/>
                <w:szCs w:val="21"/>
                <w:lang w:bidi="ar"/>
              </w:rPr>
              <w:t>分，次之得</w:t>
            </w:r>
            <w:r>
              <w:rPr>
                <w:rFonts w:hint="eastAsia" w:ascii="仿宋" w:hAnsi="仿宋" w:eastAsia="仿宋" w:cs="仿宋"/>
                <w:sz w:val="21"/>
                <w:szCs w:val="21"/>
                <w:lang w:val="en-US" w:eastAsia="zh-CN" w:bidi="ar-SA"/>
              </w:rPr>
              <w:t>2.1-4</w:t>
            </w:r>
            <w:r>
              <w:rPr>
                <w:rFonts w:hint="eastAsia" w:ascii="仿宋" w:hAnsi="仿宋" w:eastAsia="仿宋" w:cs="仿宋"/>
                <w:color w:val="000000"/>
                <w:kern w:val="0"/>
                <w:szCs w:val="21"/>
                <w:lang w:bidi="ar"/>
              </w:rPr>
              <w:t>分，一般得</w:t>
            </w:r>
            <w:r>
              <w:rPr>
                <w:rFonts w:hint="eastAsia" w:ascii="仿宋" w:hAnsi="仿宋" w:eastAsia="仿宋" w:cs="仿宋"/>
                <w:sz w:val="21"/>
                <w:szCs w:val="21"/>
                <w:lang w:val="en-US" w:eastAsia="zh-CN" w:bidi="ar-SA"/>
              </w:rPr>
              <w:t>0.5-2</w:t>
            </w:r>
            <w:r>
              <w:rPr>
                <w:rFonts w:hint="eastAsia" w:ascii="仿宋" w:hAnsi="仿宋" w:eastAsia="仿宋" w:cs="仿宋"/>
                <w:color w:val="000000"/>
                <w:kern w:val="0"/>
                <w:szCs w:val="21"/>
                <w:lang w:bidi="ar"/>
              </w:rPr>
              <w:t>分，</w:t>
            </w:r>
            <w:r>
              <w:rPr>
                <w:rFonts w:hint="eastAsia" w:ascii="仿宋" w:hAnsi="仿宋" w:eastAsia="仿宋" w:cs="仿宋"/>
                <w:color w:val="000000"/>
                <w:sz w:val="21"/>
                <w:szCs w:val="21"/>
                <w:highlight w:val="none"/>
                <w:lang w:val="en-US" w:eastAsia="zh-CN"/>
              </w:rPr>
              <w:t>未提及此项不得分。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5分</w:t>
            </w:r>
          </w:p>
        </w:tc>
      </w:tr>
      <w:tr>
        <w:tblPrEx>
          <w:tblCellMar>
            <w:top w:w="0" w:type="dxa"/>
            <w:left w:w="108" w:type="dxa"/>
            <w:bottom w:w="0" w:type="dxa"/>
            <w:right w:w="108" w:type="dxa"/>
          </w:tblCellMar>
        </w:tblPrEx>
        <w:trPr>
          <w:trHeight w:val="135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结合国家及省市级相关政策要求，按照本项目的建设目标，提供完整的系统设计方案。要求投标人提供完整的系统设计方案，包括系统整体逻辑架构图、网络架构图、业务流程图以及功能设计，根据方案的合理性、可靠性打分。方案全面、可行强得</w:t>
            </w:r>
            <w:r>
              <w:rPr>
                <w:rFonts w:hint="eastAsia" w:ascii="仿宋" w:hAnsi="仿宋" w:eastAsia="仿宋" w:cs="仿宋"/>
                <w:sz w:val="21"/>
                <w:szCs w:val="21"/>
                <w:lang w:val="en-US" w:eastAsia="zh-CN" w:bidi="ar-SA"/>
              </w:rPr>
              <w:t>4.1-5</w:t>
            </w:r>
            <w:r>
              <w:rPr>
                <w:rFonts w:hint="eastAsia" w:ascii="仿宋" w:hAnsi="仿宋" w:eastAsia="仿宋" w:cs="仿宋"/>
                <w:color w:val="000000"/>
                <w:kern w:val="0"/>
                <w:szCs w:val="21"/>
                <w:lang w:bidi="ar"/>
              </w:rPr>
              <w:t>分，次之得</w:t>
            </w:r>
            <w:r>
              <w:rPr>
                <w:rFonts w:hint="eastAsia" w:ascii="仿宋" w:hAnsi="仿宋" w:eastAsia="仿宋" w:cs="仿宋"/>
                <w:sz w:val="21"/>
                <w:szCs w:val="21"/>
                <w:lang w:val="en-US" w:eastAsia="zh-CN" w:bidi="ar-SA"/>
              </w:rPr>
              <w:t>2.1-4</w:t>
            </w:r>
            <w:r>
              <w:rPr>
                <w:rFonts w:hint="eastAsia" w:ascii="仿宋" w:hAnsi="仿宋" w:eastAsia="仿宋" w:cs="仿宋"/>
                <w:color w:val="000000"/>
                <w:kern w:val="0"/>
                <w:szCs w:val="21"/>
                <w:lang w:bidi="ar"/>
              </w:rPr>
              <w:t>分，一般得</w:t>
            </w:r>
            <w:r>
              <w:rPr>
                <w:rFonts w:hint="eastAsia" w:ascii="仿宋" w:hAnsi="仿宋" w:eastAsia="仿宋" w:cs="仿宋"/>
                <w:sz w:val="21"/>
                <w:szCs w:val="21"/>
                <w:lang w:val="en-US" w:eastAsia="zh-CN" w:bidi="ar-SA"/>
              </w:rPr>
              <w:t>0.5-2</w:t>
            </w:r>
            <w:r>
              <w:rPr>
                <w:rFonts w:hint="eastAsia" w:ascii="仿宋" w:hAnsi="仿宋" w:eastAsia="仿宋" w:cs="仿宋"/>
                <w:color w:val="000000"/>
                <w:kern w:val="0"/>
                <w:szCs w:val="21"/>
                <w:lang w:bidi="ar"/>
              </w:rPr>
              <w:t>分，</w:t>
            </w:r>
            <w:r>
              <w:rPr>
                <w:rFonts w:hint="eastAsia" w:ascii="仿宋" w:hAnsi="仿宋" w:eastAsia="仿宋" w:cs="仿宋"/>
                <w:color w:val="000000"/>
                <w:sz w:val="21"/>
                <w:szCs w:val="21"/>
                <w:highlight w:val="none"/>
                <w:lang w:val="en-US" w:eastAsia="zh-CN"/>
              </w:rPr>
              <w:t>未提及此项不得分。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lang w:val="en-US" w:eastAsia="zh-CN" w:bidi="ar"/>
              </w:rPr>
              <w:t>5分</w:t>
            </w:r>
          </w:p>
        </w:tc>
      </w:tr>
      <w:tr>
        <w:tblPrEx>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7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组织实施方案</w:t>
            </w:r>
          </w:p>
        </w:tc>
        <w:tc>
          <w:tcPr>
            <w:tcW w:w="3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根据投标人通过本项目招标需求制定实施方案，包括项目团队数量、质量保证措施、测试与验收计划、进度保证措施等内容进行评分。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实施方案内容详尽、可行的得</w:t>
            </w:r>
            <w:r>
              <w:rPr>
                <w:rFonts w:hint="eastAsia" w:ascii="仿宋" w:hAnsi="仿宋" w:eastAsia="仿宋" w:cs="仿宋"/>
                <w:sz w:val="21"/>
                <w:szCs w:val="21"/>
                <w:lang w:val="en-US" w:eastAsia="zh-CN" w:bidi="ar-SA"/>
              </w:rPr>
              <w:t>4.1-5</w:t>
            </w:r>
            <w:r>
              <w:rPr>
                <w:rFonts w:hint="eastAsia" w:ascii="仿宋" w:hAnsi="仿宋" w:eastAsia="仿宋" w:cs="仿宋"/>
                <w:color w:val="000000"/>
                <w:kern w:val="0"/>
                <w:szCs w:val="21"/>
                <w:lang w:bidi="ar"/>
              </w:rPr>
              <w:t>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实施方案内容不够完善、有缺陷的得</w:t>
            </w:r>
            <w:r>
              <w:rPr>
                <w:rFonts w:hint="eastAsia" w:ascii="仿宋" w:hAnsi="仿宋" w:eastAsia="仿宋" w:cs="仿宋"/>
                <w:sz w:val="21"/>
                <w:szCs w:val="21"/>
                <w:lang w:val="en-US" w:eastAsia="zh-CN" w:bidi="ar-SA"/>
              </w:rPr>
              <w:t>2.1-4</w:t>
            </w:r>
            <w:r>
              <w:rPr>
                <w:rFonts w:hint="eastAsia" w:ascii="仿宋" w:hAnsi="仿宋" w:eastAsia="仿宋" w:cs="仿宋"/>
                <w:color w:val="000000"/>
                <w:kern w:val="0"/>
                <w:szCs w:val="21"/>
                <w:lang w:bidi="ar"/>
              </w:rPr>
              <w:t>分；</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与本项目的实际情况有偏差，或敷衍的，得</w:t>
            </w:r>
            <w:r>
              <w:rPr>
                <w:rFonts w:hint="eastAsia" w:ascii="仿宋" w:hAnsi="仿宋" w:eastAsia="仿宋" w:cs="仿宋"/>
                <w:sz w:val="21"/>
                <w:szCs w:val="21"/>
                <w:lang w:val="en-US" w:eastAsia="zh-CN" w:bidi="ar-SA"/>
              </w:rPr>
              <w:t>0.5-2</w:t>
            </w:r>
            <w:r>
              <w:rPr>
                <w:rFonts w:hint="eastAsia" w:ascii="仿宋" w:hAnsi="仿宋" w:eastAsia="仿宋" w:cs="仿宋"/>
                <w:color w:val="000000"/>
                <w:kern w:val="0"/>
                <w:szCs w:val="21"/>
                <w:lang w:bidi="ar"/>
              </w:rPr>
              <w:t>分；</w:t>
            </w:r>
          </w:p>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sz w:val="21"/>
                <w:szCs w:val="21"/>
                <w:highlight w:val="none"/>
                <w:lang w:val="en-US" w:eastAsia="zh-CN"/>
              </w:rPr>
              <w:t>未提及此项不得分。</w:t>
            </w:r>
            <w:r>
              <w:rPr>
                <w:rFonts w:hint="eastAsia" w:ascii="仿宋" w:hAnsi="仿宋" w:eastAsia="仿宋" w:cs="仿宋"/>
                <w:color w:val="000000"/>
                <w:kern w:val="0"/>
                <w:szCs w:val="21"/>
                <w:lang w:bidi="ar"/>
              </w:rPr>
              <w:t>。</w:t>
            </w:r>
          </w:p>
        </w:tc>
        <w:tc>
          <w:tcPr>
            <w:tcW w:w="46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bidi="ar"/>
              </w:rPr>
              <w:t>5分</w:t>
            </w: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Cs w:val="21"/>
                <w:lang w:bidi="ar"/>
              </w:rPr>
            </w:pPr>
          </w:p>
        </w:tc>
        <w:tc>
          <w:tcPr>
            <w:tcW w:w="766" w:type="pct"/>
            <w:tcBorders>
              <w:top w:val="single" w:color="000000" w:sz="4" w:space="0"/>
              <w:left w:val="single" w:color="000000" w:sz="4" w:space="0"/>
              <w:bottom w:val="single" w:color="000000" w:sz="4" w:space="0"/>
              <w:right w:val="single" w:color="000000" w:sz="4" w:space="0"/>
            </w:tcBorders>
            <w:vAlign w:val="center"/>
          </w:tcPr>
          <w:p>
            <w:pPr>
              <w:jc w:val="center"/>
              <w:outlineLvl w:val="0"/>
              <w:rPr>
                <w:rFonts w:hint="default" w:ascii="仿宋" w:hAnsi="仿宋" w:eastAsia="仿宋" w:cs="仿宋"/>
                <w:color w:val="000000"/>
                <w:kern w:val="0"/>
                <w:szCs w:val="21"/>
                <w:lang w:val="en-US" w:eastAsia="zh-CN" w:bidi="ar"/>
              </w:rPr>
            </w:pPr>
            <w:r>
              <w:rPr>
                <w:rFonts w:hint="default" w:ascii="仿宋" w:hAnsi="仿宋" w:eastAsia="仿宋" w:cs="仿宋"/>
                <w:color w:val="000000"/>
                <w:kern w:val="0"/>
                <w:szCs w:val="21"/>
                <w:lang w:val="en-US" w:eastAsia="zh-CN" w:bidi="ar"/>
              </w:rPr>
              <w:t>验收实施方案</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根据投标人针对本项目制定的验收实施方案（包括验收计划、验收不合格后的应对措施）进行综合评审</w:t>
            </w:r>
          </w:p>
          <w:p>
            <w:pPr>
              <w:widowControl/>
              <w:jc w:val="left"/>
              <w:textAlignment w:val="center"/>
              <w:rPr>
                <w:rFonts w:hint="eastAsia"/>
                <w:sz w:val="19"/>
              </w:rPr>
            </w:pPr>
            <w:r>
              <w:rPr>
                <w:rFonts w:hint="eastAsia" w:ascii="仿宋" w:hAnsi="仿宋" w:eastAsia="仿宋" w:cs="仿宋"/>
                <w:color w:val="000000"/>
                <w:kern w:val="0"/>
                <w:szCs w:val="21"/>
                <w:lang w:bidi="ar"/>
              </w:rPr>
              <w:t>投标人的验收实施方案优于采购需求的，得3分；能满足采购需求的，得1分；不能满足的不得分。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kern w:val="0"/>
                <w:szCs w:val="21"/>
                <w:highlight w:val="yellow"/>
                <w:lang w:val="en-US" w:eastAsia="zh-CN" w:bidi="ar"/>
              </w:rPr>
            </w:pPr>
            <w:r>
              <w:rPr>
                <w:rFonts w:hint="eastAsia" w:ascii="仿宋" w:hAnsi="仿宋" w:eastAsia="仿宋" w:cs="仿宋"/>
                <w:color w:val="000000"/>
                <w:kern w:val="0"/>
                <w:szCs w:val="21"/>
                <w:highlight w:val="yellow"/>
                <w:lang w:val="en-US" w:eastAsia="zh-CN" w:bidi="ar"/>
              </w:rPr>
              <w:t>3分</w:t>
            </w:r>
          </w:p>
        </w:tc>
      </w:tr>
      <w:tr>
        <w:tblPrEx>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7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售后服务保障</w:t>
            </w:r>
          </w:p>
        </w:tc>
        <w:tc>
          <w:tcPr>
            <w:tcW w:w="3384" w:type="pct"/>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售后服务方案情况：包括售后服务的承诺情况以及服务承诺落实的保障措施，维护期内外的后续技术支持和维护能力情况等进行打分。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服务方案全面、后续技术保障措施合理有效的得</w:t>
            </w:r>
            <w:r>
              <w:rPr>
                <w:rFonts w:hint="eastAsia" w:ascii="仿宋" w:hAnsi="仿宋" w:eastAsia="仿宋" w:cs="仿宋"/>
                <w:sz w:val="21"/>
                <w:szCs w:val="21"/>
                <w:lang w:val="en-US" w:eastAsia="zh-CN" w:bidi="ar-SA"/>
              </w:rPr>
              <w:t>4.1-5</w:t>
            </w:r>
            <w:r>
              <w:rPr>
                <w:rFonts w:hint="eastAsia" w:ascii="仿宋" w:hAnsi="仿宋" w:eastAsia="仿宋" w:cs="仿宋"/>
                <w:color w:val="000000"/>
                <w:sz w:val="21"/>
                <w:szCs w:val="21"/>
                <w:highlight w:val="none"/>
                <w:lang w:val="en-US" w:eastAsia="zh-CN"/>
              </w:rPr>
              <w:t>分；</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服务方案阐述较详尽，后续技术保障措施有欠缺的得</w:t>
            </w:r>
            <w:r>
              <w:rPr>
                <w:rFonts w:hint="eastAsia" w:ascii="仿宋" w:hAnsi="仿宋" w:eastAsia="仿宋" w:cs="仿宋"/>
                <w:sz w:val="21"/>
                <w:szCs w:val="21"/>
                <w:lang w:val="en-US" w:eastAsia="zh-CN" w:bidi="ar-SA"/>
              </w:rPr>
              <w:t>2.1-4</w:t>
            </w:r>
            <w:r>
              <w:rPr>
                <w:rFonts w:hint="eastAsia" w:ascii="仿宋" w:hAnsi="仿宋" w:eastAsia="仿宋" w:cs="仿宋"/>
                <w:color w:val="000000"/>
                <w:sz w:val="21"/>
                <w:szCs w:val="21"/>
                <w:highlight w:val="none"/>
                <w:lang w:val="en-US" w:eastAsia="zh-CN"/>
              </w:rPr>
              <w:t>，</w:t>
            </w:r>
          </w:p>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服务方案阐述简单，后续保障欠缺较差的得</w:t>
            </w:r>
            <w:r>
              <w:rPr>
                <w:rFonts w:hint="eastAsia" w:ascii="仿宋" w:hAnsi="仿宋" w:eastAsia="仿宋" w:cs="仿宋"/>
                <w:sz w:val="21"/>
                <w:szCs w:val="21"/>
                <w:lang w:val="en-US" w:eastAsia="zh-CN" w:bidi="ar-SA"/>
              </w:rPr>
              <w:t>0.5-2分</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000000"/>
                <w:szCs w:val="21"/>
              </w:rPr>
            </w:pPr>
            <w:r>
              <w:rPr>
                <w:rFonts w:hint="eastAsia" w:ascii="仿宋" w:hAnsi="仿宋" w:eastAsia="仿宋" w:cs="仿宋"/>
                <w:color w:val="000000"/>
                <w:sz w:val="21"/>
                <w:szCs w:val="21"/>
                <w:highlight w:val="none"/>
                <w:lang w:val="en-US" w:eastAsia="zh-CN"/>
              </w:rPr>
              <w:t>未提及此项不得分。</w:t>
            </w:r>
          </w:p>
        </w:tc>
        <w:tc>
          <w:tcPr>
            <w:tcW w:w="467" w:type="pct"/>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Cs w:val="21"/>
              </w:rPr>
            </w:pPr>
            <w:r>
              <w:rPr>
                <w:rFonts w:hint="eastAsia" w:ascii="仿宋" w:hAnsi="仿宋" w:eastAsia="仿宋" w:cs="仿宋"/>
                <w:color w:val="000000"/>
                <w:kern w:val="0"/>
                <w:sz w:val="21"/>
                <w:szCs w:val="21"/>
                <w:highlight w:val="none"/>
                <w:lang w:val="en-US" w:eastAsia="zh-CN" w:bidi="ar"/>
              </w:rPr>
              <w:t>5分</w:t>
            </w: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售后服务响应速度能否满足采购人快速响应要求：</w:t>
            </w:r>
          </w:p>
          <w:p>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000000"/>
                <w:szCs w:val="21"/>
              </w:rPr>
            </w:pPr>
            <w:r>
              <w:rPr>
                <w:rFonts w:hint="eastAsia" w:ascii="仿宋" w:hAnsi="仿宋" w:eastAsia="仿宋" w:cs="仿宋"/>
                <w:color w:val="000000"/>
                <w:sz w:val="21"/>
                <w:szCs w:val="21"/>
                <w:highlight w:val="none"/>
                <w:lang w:val="en-US" w:eastAsia="zh-CN"/>
              </w:rPr>
              <w:t>售后服务人员能在1小时内到达采购人现场得3分；售后服务人员能在2小时内到达采购人现场得1分；其他情况、未提供或不满足：0分 （提供承诺书）</w:t>
            </w:r>
          </w:p>
        </w:tc>
        <w:tc>
          <w:tcPr>
            <w:tcW w:w="467" w:type="pct"/>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szCs w:val="21"/>
              </w:rPr>
            </w:pPr>
            <w:r>
              <w:rPr>
                <w:rFonts w:hint="eastAsia" w:ascii="仿宋" w:hAnsi="仿宋" w:eastAsia="仿宋" w:cs="仿宋"/>
                <w:color w:val="000000"/>
                <w:sz w:val="21"/>
                <w:szCs w:val="21"/>
                <w:highlight w:val="none"/>
                <w:lang w:val="en-US" w:eastAsia="zh-CN"/>
              </w:rPr>
              <w:t>3分</w:t>
            </w:r>
          </w:p>
        </w:tc>
      </w:tr>
      <w:tr>
        <w:tblPrEx>
          <w:tblCellMar>
            <w:top w:w="0" w:type="dxa"/>
            <w:left w:w="108" w:type="dxa"/>
            <w:bottom w:w="0" w:type="dxa"/>
            <w:right w:w="108" w:type="dxa"/>
          </w:tblCellMar>
        </w:tblPrEx>
        <w:trPr>
          <w:trHeight w:val="312"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312" w:hRule="atLeast"/>
        </w:trPr>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7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培训方案</w:t>
            </w:r>
          </w:p>
        </w:tc>
        <w:tc>
          <w:tcPr>
            <w:tcW w:w="3384" w:type="pct"/>
            <w:vMerge w:val="restart"/>
            <w:tcBorders>
              <w:top w:val="single" w:color="000000" w:sz="4" w:space="0"/>
              <w:left w:val="single" w:color="000000" w:sz="4" w:space="0"/>
              <w:bottom w:val="single" w:color="000000" w:sz="4" w:space="0"/>
              <w:right w:val="single" w:color="000000" w:sz="4" w:space="0"/>
            </w:tcBorders>
            <w:vAlign w:val="center"/>
          </w:tcPr>
          <w:p>
            <w:pPr>
              <w:tabs>
                <w:tab w:val="left" w:pos="2061"/>
              </w:tabs>
              <w:spacing w:line="320" w:lineRule="exact"/>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根据投标人提供的培训方案进行综合评价。包括培训目标、培训对象、培训内容、培训师资、培训课程及时间安排、培训组织方式、培训环境、培训保障和培训规范文档。</w:t>
            </w:r>
            <w:r>
              <w:rPr>
                <w:rFonts w:hint="eastAsia" w:ascii="仿宋" w:hAnsi="仿宋" w:eastAsia="仿宋" w:cs="仿宋"/>
                <w:sz w:val="21"/>
                <w:szCs w:val="21"/>
                <w:shd w:val="clear" w:color="auto" w:fill="FFFFFF"/>
              </w:rPr>
              <w:br w:type="textWrapping"/>
            </w:r>
            <w:r>
              <w:rPr>
                <w:rFonts w:hint="eastAsia" w:ascii="仿宋" w:hAnsi="仿宋" w:eastAsia="仿宋" w:cs="仿宋"/>
                <w:sz w:val="21"/>
                <w:szCs w:val="21"/>
                <w:shd w:val="clear" w:color="auto" w:fill="FFFFFF"/>
              </w:rPr>
              <w:t>①项目培训方案全面、合理、可行性高、针对性强的得</w:t>
            </w:r>
            <w:r>
              <w:rPr>
                <w:rFonts w:hint="eastAsia" w:ascii="仿宋" w:hAnsi="仿宋" w:eastAsia="仿宋" w:cs="仿宋"/>
                <w:sz w:val="21"/>
                <w:szCs w:val="21"/>
                <w:shd w:val="clear" w:color="auto" w:fill="FFFFFF"/>
                <w:lang w:val="en-US" w:eastAsia="zh-CN"/>
              </w:rPr>
              <w:t>3</w:t>
            </w:r>
            <w:r>
              <w:rPr>
                <w:rFonts w:hint="eastAsia" w:ascii="仿宋" w:hAnsi="仿宋" w:eastAsia="仿宋" w:cs="仿宋"/>
                <w:sz w:val="21"/>
                <w:szCs w:val="21"/>
                <w:shd w:val="clear" w:color="auto" w:fill="FFFFFF"/>
              </w:rPr>
              <w:t>分；</w:t>
            </w:r>
            <w:r>
              <w:rPr>
                <w:rFonts w:hint="eastAsia" w:ascii="仿宋" w:hAnsi="仿宋" w:eastAsia="仿宋" w:cs="仿宋"/>
                <w:sz w:val="21"/>
                <w:szCs w:val="21"/>
                <w:shd w:val="clear" w:color="auto" w:fill="FFFFFF"/>
              </w:rPr>
              <w:br w:type="textWrapping"/>
            </w:r>
            <w:r>
              <w:rPr>
                <w:rFonts w:hint="eastAsia" w:ascii="仿宋" w:hAnsi="仿宋" w:eastAsia="仿宋" w:cs="仿宋"/>
                <w:sz w:val="21"/>
                <w:szCs w:val="21"/>
                <w:shd w:val="clear" w:color="auto" w:fill="FFFFFF"/>
              </w:rPr>
              <w:t>②项目培训方案较合理得</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分；</w:t>
            </w:r>
            <w:r>
              <w:rPr>
                <w:rFonts w:hint="eastAsia" w:ascii="仿宋" w:hAnsi="仿宋" w:eastAsia="仿宋" w:cs="仿宋"/>
                <w:sz w:val="21"/>
                <w:szCs w:val="21"/>
                <w:shd w:val="clear" w:color="auto" w:fill="FFFFFF"/>
              </w:rPr>
              <w:br w:type="textWrapping"/>
            </w:r>
            <w:r>
              <w:rPr>
                <w:rFonts w:hint="eastAsia" w:ascii="仿宋" w:hAnsi="仿宋" w:eastAsia="仿宋" w:cs="仿宋"/>
                <w:sz w:val="21"/>
                <w:szCs w:val="21"/>
                <w:shd w:val="clear" w:color="auto" w:fill="FFFFFF"/>
              </w:rPr>
              <w:t>③项目，培训方案一般</w:t>
            </w:r>
            <w:r>
              <w:rPr>
                <w:rFonts w:hint="eastAsia" w:ascii="仿宋" w:hAnsi="仿宋" w:eastAsia="仿宋" w:cs="仿宋"/>
                <w:sz w:val="21"/>
                <w:szCs w:val="21"/>
                <w:shd w:val="clear" w:color="auto" w:fill="FFFFFF"/>
                <w:lang w:val="en-US" w:eastAsia="zh-CN"/>
              </w:rPr>
              <w:t>1</w:t>
            </w:r>
            <w:r>
              <w:rPr>
                <w:rFonts w:hint="eastAsia" w:ascii="仿宋" w:hAnsi="仿宋" w:eastAsia="仿宋" w:cs="仿宋"/>
                <w:sz w:val="21"/>
                <w:szCs w:val="21"/>
                <w:shd w:val="clear" w:color="auto" w:fill="FFFFFF"/>
              </w:rPr>
              <w:t>分。</w:t>
            </w:r>
          </w:p>
          <w:p>
            <w:pPr>
              <w:widowControl/>
              <w:jc w:val="left"/>
              <w:textAlignment w:val="center"/>
              <w:rPr>
                <w:rFonts w:hint="eastAsia" w:ascii="仿宋" w:hAnsi="仿宋" w:eastAsia="仿宋" w:cs="仿宋"/>
                <w:color w:val="000000"/>
                <w:szCs w:val="21"/>
              </w:rPr>
            </w:pPr>
            <w:r>
              <w:rPr>
                <w:rFonts w:hint="eastAsia" w:ascii="仿宋" w:hAnsi="仿宋" w:eastAsia="仿宋" w:cs="仿宋"/>
                <w:sz w:val="21"/>
                <w:szCs w:val="21"/>
              </w:rPr>
              <w:t>④</w:t>
            </w:r>
            <w:r>
              <w:rPr>
                <w:rFonts w:hint="eastAsia" w:ascii="仿宋" w:hAnsi="仿宋" w:eastAsia="仿宋" w:cs="仿宋"/>
                <w:sz w:val="21"/>
                <w:szCs w:val="21"/>
                <w:lang w:val="zh-CN"/>
              </w:rPr>
              <w:t>未提及此项不得分。</w:t>
            </w:r>
            <w:r>
              <w:rPr>
                <w:rFonts w:hint="eastAsia" w:ascii="仿宋" w:hAnsi="仿宋" w:eastAsia="仿宋" w:cs="仿宋"/>
                <w:color w:val="000000"/>
                <w:kern w:val="0"/>
                <w:szCs w:val="21"/>
                <w:lang w:bidi="ar"/>
              </w:rPr>
              <w:t xml:space="preserve"> </w:t>
            </w:r>
          </w:p>
        </w:tc>
        <w:tc>
          <w:tcPr>
            <w:tcW w:w="46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bidi="ar"/>
              </w:rPr>
              <w:t>3</w:t>
            </w:r>
            <w:r>
              <w:rPr>
                <w:rFonts w:hint="eastAsia" w:ascii="仿宋" w:hAnsi="仿宋" w:eastAsia="仿宋" w:cs="仿宋"/>
                <w:color w:val="000000"/>
                <w:kern w:val="0"/>
                <w:szCs w:val="21"/>
                <w:lang w:val="en-US" w:eastAsia="zh-CN" w:bidi="ar"/>
              </w:rPr>
              <w:t>分</w:t>
            </w:r>
          </w:p>
        </w:tc>
      </w:tr>
      <w:tr>
        <w:tblPrEx>
          <w:tblCellMar>
            <w:top w:w="0" w:type="dxa"/>
            <w:left w:w="108" w:type="dxa"/>
            <w:bottom w:w="0" w:type="dxa"/>
            <w:right w:w="108" w:type="dxa"/>
          </w:tblCellMar>
        </w:tblPrEx>
        <w:trPr>
          <w:trHeight w:val="6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仿宋"/>
                <w:color w:val="000000"/>
                <w:szCs w:val="21"/>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76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系统演示（仅以PPT或图片形式讲解的最高分不超过10分）</w:t>
            </w: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针对本项目系统功能点进行演示，详细功能如下：</w:t>
            </w:r>
          </w:p>
        </w:tc>
        <w:tc>
          <w:tcPr>
            <w:tcW w:w="46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1、家事纠纷化解“一类事”驾驶舱功能演示：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81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(1)椒江区驾驶总舱演示：支持页面以椒江区家事数据为基础，细化七种家事纠纷类型，对事件数据、协同部门、纠纷化解资源数据、联合走访等结果数据进行分析与展示。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(2)各个镇街驾驶分舱演示：支持页面展示椒江区各个镇街的家事纠纷、调解结果、调解资源等数据。</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(3)平均调解时长演示：支持页面展示每次各类家事纠纷类型的平均调解时长</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(4)展示业务总体流程合理性：驾驶舱需要以家事调解为主干，从事前、事中、事后三个角度出发，能够体现出业务总体流程合理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演示内容根据每一项进行打分，每满足一项得1分，不满足该项的不得分，共4分。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2、纠纷化解全链条功能演示：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0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专家在线咨询、回复功能：支持将用户的问题自动分配给在线专家进行解答。专家可以通过系统提供的聊天窗口或视频通话功能，与用户进行实时沟通，了解问题的具体情况并给出相应的建议。解答可以是文字、语音或视频形式，根据用户的需求和偏好进行选择。</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(2)AI机器人在线24小时值守，在线回复功能：支持AI机器人接管用户问题，进行咨询在线答复，根据设置的关键词进行问题回复。</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0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心理在线测试功能：支持系统设置不同目的的心理训练题目，让用户解答。根据用户的解答情况，给出一个贴合的心理训练评价结果。允许用户在线进行心理测试、心理训练，查看自己的测试评价及心理训练的结果。</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演示内容根据每一项进行打分，(1)、(3)项每满足一项得1分，第(2)项满足得2分，不满足该项的不得分，共4分。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3、联合走访功能演示：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(1)支持用户基于浙政钉和PC端开展联合行动，发起联合行动任务</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(2)扫码签到功能：支持网格员到达指定地点，使用浙政钉进行扫码签到，记录实际到达时间。</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135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上传材料功能：支持网格员整理走访记录，包括文字总结、问题清单、解决方案建议等。选取具有代表性的现场照片，如走访场景、交流瞬间等，与文字内容一并通过浙政钉和PC端上传至系统。后台可汇总浙政钉端的所有任务走访阶段产生的材料，对其进行编辑操作、导出和下载等。</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演示内容根据每一项进行打分，(1)、(3)项每满足一项得1分，第(2)项满足得2分，不满足该项的不得分，共4分。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4、平安家庭数据模型功能演示：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(1)在线演示NLP实体提取模型</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(2)在线演示NLP分类提取模型</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(3)在线演示一人多事业务模型</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(4)在线演示一地多事模型</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7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演示内容根据每一项进行打分，每满足一项得1分，不满足该项的不得分，共4分。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5、重点家庭画像功能演示：</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(1)重点家庭画像功能：系统可选择一类重点家庭进行当事人画像，支持从多角度、多维度方式对重点家庭的各方面进行画像</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(2)重点家庭分析：支持对重点家庭类型进行多维度数据分析，对重点家庭的纠纷产生原因进行分析</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(3)处置结果分析：支持对重点家庭事件的处置结果进行全过程跟踪与分析</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540" w:hRule="atLeast"/>
        </w:trPr>
        <w:tc>
          <w:tcPr>
            <w:tcW w:w="38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76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c>
          <w:tcPr>
            <w:tcW w:w="3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b/>
                <w:bCs/>
                <w:color w:val="000000"/>
                <w:szCs w:val="21"/>
              </w:rPr>
            </w:pPr>
            <w:r>
              <w:rPr>
                <w:rFonts w:hint="eastAsia" w:ascii="仿宋" w:hAnsi="仿宋" w:eastAsia="仿宋" w:cs="仿宋"/>
                <w:b/>
                <w:bCs/>
                <w:color w:val="000000"/>
                <w:kern w:val="0"/>
                <w:szCs w:val="21"/>
                <w:lang w:bidi="ar"/>
              </w:rPr>
              <w:t>演示内容根据每一项进行打分，(2)、(3)项每满足一项得1分，第(1)项满足得2分，不满足该项的不得分，共4分。</w:t>
            </w: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trHeight w:val="280" w:hRule="atLeast"/>
        </w:trPr>
        <w:tc>
          <w:tcPr>
            <w:tcW w:w="114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szCs w:val="21"/>
              </w:rPr>
            </w:pPr>
            <w:r>
              <w:rPr>
                <w:rFonts w:hint="eastAsia" w:ascii="仿宋" w:hAnsi="仿宋" w:eastAsia="仿宋" w:cs="仿宋"/>
                <w:szCs w:val="21"/>
              </w:rPr>
              <w:t>价格分（20分）</w:t>
            </w:r>
          </w:p>
        </w:tc>
        <w:tc>
          <w:tcPr>
            <w:tcW w:w="3384" w:type="pct"/>
            <w:tcBorders>
              <w:top w:val="single" w:color="000000" w:sz="4" w:space="0"/>
              <w:left w:val="single" w:color="000000" w:sz="4" w:space="0"/>
              <w:bottom w:val="single" w:color="000000" w:sz="4" w:space="0"/>
              <w:right w:val="single" w:color="000000" w:sz="4" w:space="0"/>
            </w:tcBorders>
            <w:vAlign w:val="center"/>
          </w:tcPr>
          <w:p>
            <w:pPr>
              <w:jc w:val="left"/>
              <w:outlineLvl w:val="0"/>
              <w:rPr>
                <w:rFonts w:hint="eastAsia"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有效投标报价的最低价作为评标基准价，其最低报价为满分；按［投标报价得分=（评标基准价/投标报价）*20］的计算公式计算。</w:t>
            </w:r>
          </w:p>
          <w:p>
            <w:pPr>
              <w:jc w:val="left"/>
              <w:outlineLvl w:val="0"/>
              <w:rPr>
                <w:rFonts w:hint="eastAsia" w:ascii="仿宋" w:hAnsi="仿宋" w:eastAsia="仿宋" w:cs="仿宋"/>
                <w:szCs w:val="21"/>
              </w:rPr>
            </w:pPr>
            <w:r>
              <w:rPr>
                <w:rFonts w:hint="eastAsia" w:ascii="仿宋" w:hAnsi="仿宋" w:eastAsia="仿宋" w:cs="仿宋"/>
                <w:szCs w:val="21"/>
              </w:rPr>
              <w:t>评标过程中，不得去掉报价中的最高报价和最低报价。</w:t>
            </w:r>
          </w:p>
          <w:p>
            <w:pPr>
              <w:jc w:val="left"/>
              <w:outlineLvl w:val="0"/>
              <w:rPr>
                <w:rFonts w:hint="eastAsia" w:ascii="仿宋" w:hAnsi="仿宋" w:eastAsia="仿宋" w:cs="仿宋"/>
                <w:b/>
                <w:bCs/>
                <w:color w:val="000000"/>
                <w:szCs w:val="21"/>
              </w:rPr>
            </w:pPr>
            <w:r>
              <w:rPr>
                <w:rFonts w:hint="eastAsia" w:ascii="仿宋" w:hAnsi="仿宋" w:eastAsia="仿宋" w:cs="仿宋"/>
                <w:szCs w:val="21"/>
              </w:rPr>
              <w:t>因落实政府采购政策需要进行价格调整的，以调整后的价格计算评标基准价和投标报价。</w:t>
            </w:r>
          </w:p>
        </w:tc>
        <w:tc>
          <w:tcPr>
            <w:tcW w:w="467" w:type="pct"/>
            <w:tcBorders>
              <w:top w:val="single" w:color="000000" w:sz="4" w:space="0"/>
              <w:left w:val="single" w:color="000000" w:sz="4" w:space="0"/>
              <w:bottom w:val="single" w:color="000000" w:sz="4" w:space="0"/>
              <w:right w:val="single" w:color="000000" w:sz="4" w:space="0"/>
            </w:tcBorders>
            <w:vAlign w:val="center"/>
          </w:tcPr>
          <w:p>
            <w:pPr>
              <w:jc w:val="center"/>
              <w:outlineLvl w:val="0"/>
              <w:rPr>
                <w:rFonts w:hint="eastAsia" w:ascii="仿宋" w:hAnsi="仿宋" w:eastAsia="仿宋" w:cs="仿宋"/>
                <w:b/>
                <w:bCs/>
                <w:color w:val="000000"/>
                <w:kern w:val="0"/>
                <w:szCs w:val="21"/>
                <w:lang w:bidi="ar"/>
              </w:rPr>
            </w:pPr>
            <w:r>
              <w:rPr>
                <w:rFonts w:hint="eastAsia" w:ascii="仿宋" w:hAnsi="仿宋" w:eastAsia="仿宋" w:cs="仿宋"/>
                <w:szCs w:val="21"/>
              </w:rPr>
              <w:t>20</w:t>
            </w:r>
          </w:p>
        </w:tc>
      </w:tr>
      <w:tr>
        <w:tblPrEx>
          <w:tblCellMar>
            <w:top w:w="0" w:type="dxa"/>
            <w:left w:w="108" w:type="dxa"/>
            <w:bottom w:w="0" w:type="dxa"/>
            <w:right w:w="108" w:type="dxa"/>
          </w:tblCellMar>
        </w:tblPrEx>
        <w:trPr>
          <w:trHeight w:val="280" w:hRule="atLeast"/>
        </w:trPr>
        <w:tc>
          <w:tcPr>
            <w:tcW w:w="4532"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总分</w:t>
            </w:r>
          </w:p>
        </w:tc>
        <w:tc>
          <w:tcPr>
            <w:tcW w:w="4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100分</w:t>
            </w:r>
          </w:p>
        </w:tc>
      </w:tr>
    </w:tbl>
    <w:p>
      <w:pPr>
        <w:snapToGrid w:val="0"/>
        <w:spacing w:line="360" w:lineRule="auto"/>
        <w:rPr>
          <w:rFonts w:ascii="仿宋" w:hAnsi="仿宋" w:eastAsia="仿宋" w:cs="仿宋"/>
          <w:sz w:val="20"/>
          <w:szCs w:val="20"/>
          <w:shd w:val="clear" w:color="auto" w:fill="FFFFFF"/>
        </w:rPr>
      </w:pPr>
    </w:p>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snapToGrid w:val="0"/>
        <w:spacing w:line="360" w:lineRule="auto"/>
        <w:ind w:firstLine="482" w:firstLineChars="200"/>
        <w:rPr>
          <w:rFonts w:ascii="仿宋" w:hAnsi="仿宋" w:eastAsia="仿宋" w:cs="仿宋"/>
          <w:sz w:val="24"/>
        </w:rPr>
      </w:pPr>
      <w:r>
        <w:rPr>
          <w:rFonts w:hint="eastAsia" w:ascii="仿宋" w:hAnsi="仿宋" w:eastAsia="仿宋" w:cs="仿宋"/>
          <w:b/>
          <w:kern w:val="0"/>
          <w:sz w:val="24"/>
        </w:rPr>
        <w:t>1.本项目采用综合评分法。</w:t>
      </w:r>
      <w:r>
        <w:rPr>
          <w:rFonts w:hint="eastAsia" w:ascii="仿宋" w:hAnsi="仿宋" w:eastAsia="仿宋" w:cs="仿宋"/>
          <w:sz w:val="24"/>
        </w:rPr>
        <w:t>本次评标采用综合评分法，总分为100分，其中价格分20分；商务资信、技术分80分。投标人评标综合得分=价格分+商务资信、技术分。</w:t>
      </w:r>
      <w:r>
        <w:rPr>
          <w:rFonts w:ascii="仿宋" w:hAnsi="仿宋" w:eastAsia="仿宋" w:cs="宋体"/>
          <w:color w:val="000000"/>
          <w:sz w:val="24"/>
          <w:szCs w:val="21"/>
        </w:rPr>
        <w:t>评分过程中采用四舍五入法，并保留小数2位。</w:t>
      </w:r>
    </w:p>
    <w:p>
      <w:pPr>
        <w:snapToGrid w:val="0"/>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bookmarkStart w:id="415" w:name="_Toc18960"/>
      <w:r>
        <w:rPr>
          <w:rFonts w:hint="eastAsia" w:ascii="仿宋" w:hAnsi="仿宋" w:eastAsia="仿宋" w:cs="仿宋"/>
          <w:b/>
          <w:sz w:val="36"/>
          <w:szCs w:val="36"/>
        </w:rPr>
        <w:t>三、评标程序</w:t>
      </w:r>
      <w:bookmarkEnd w:id="415"/>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3.4.1.5</w:t>
      </w:r>
      <w:r>
        <w:rPr>
          <w:rFonts w:hint="eastAsia" w:ascii="仿宋" w:hAnsi="仿宋" w:eastAsia="仿宋" w:cs="仿宋"/>
          <w:kern w:val="0"/>
          <w:szCs w:val="24"/>
          <w:lang w:eastAsia="zh-CN"/>
        </w:rPr>
        <w:t>乐采云</w:t>
      </w:r>
      <w:r>
        <w:rPr>
          <w:rFonts w:hint="eastAsia" w:ascii="仿宋" w:hAnsi="仿宋" w:eastAsia="仿宋" w:cs="仿宋"/>
          <w:kern w:val="0"/>
          <w:szCs w:val="24"/>
        </w:rPr>
        <w:t>客户端填写的报价与以pdf格式上传文件中的报价不一致的，应以pdf格式上传文件中的报价为准。</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3.4.1.6同时出现两种以上不一致的，按照3.4.1规定的顺序修正。</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400" w:lineRule="exact"/>
        <w:ind w:firstLine="482" w:firstLineChars="200"/>
        <w:rPr>
          <w:rFonts w:hint="eastAsia" w:ascii="仿宋" w:hAnsi="仿宋" w:eastAsia="仿宋" w:cs="仿宋"/>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采用综合评分法的，中标候选人的排名次序按投标人总得分从高到低顺序排列，即总得分最高者为第一中标候选人，次高的为第二中标候选人，以此类推。</w:t>
      </w:r>
      <w:r>
        <w:rPr>
          <w:rFonts w:hint="eastAsia" w:ascii="仿宋" w:hAnsi="仿宋" w:eastAsia="仿宋" w:cs="仿宋"/>
          <w:sz w:val="24"/>
        </w:rPr>
        <w:t>如出现总得分相同的，按以下优先顺序确定中标候选人推荐次序：</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（一）资信技术标得分高者；</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（二）投标报价低者；</w:t>
      </w:r>
    </w:p>
    <w:p>
      <w:pPr>
        <w:spacing w:line="400" w:lineRule="exact"/>
        <w:ind w:firstLine="480" w:firstLineChars="200"/>
        <w:rPr>
          <w:rFonts w:ascii="仿宋" w:hAnsi="仿宋" w:eastAsia="仿宋" w:cs="仿宋"/>
          <w:kern w:val="0"/>
          <w:sz w:val="24"/>
        </w:rPr>
      </w:pPr>
      <w:r>
        <w:rPr>
          <w:rFonts w:hint="eastAsia" w:ascii="仿宋" w:hAnsi="仿宋" w:eastAsia="仿宋" w:cs="仿宋"/>
          <w:sz w:val="24"/>
        </w:rPr>
        <w:t>（三）抽签确定。</w:t>
      </w:r>
    </w:p>
    <w:p>
      <w:pPr>
        <w:pStyle w:val="972"/>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说明：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招标文件规定的方式确定一个投标供应商获得中标人推荐资格，招标文件未规定的采取随机抽取方式确定，其他同品牌投标供应商不作为中标候选人。</w:t>
      </w:r>
    </w:p>
    <w:p>
      <w:pPr>
        <w:pStyle w:val="972"/>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多家代理商或经销商参加投标，如其中两家或两家以上供应商存在分级代理或代销关系，且提供的是其所代理品牌产品的，评审时，按上述规定确定其中一家为有效供应商。</w:t>
      </w:r>
    </w:p>
    <w:p>
      <w:pPr>
        <w:pStyle w:val="972"/>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同一家原生产厂商授权多家代理商参加投标的，评审时，按上述规定确定其中一家为有效供应商。</w:t>
      </w:r>
    </w:p>
    <w:p>
      <w:pPr>
        <w:pStyle w:val="972"/>
        <w:spacing w:line="440" w:lineRule="exact"/>
        <w:ind w:firstLine="480" w:firstLineChars="200"/>
        <w:rPr>
          <w:rFonts w:ascii="仿宋" w:hAnsi="仿宋" w:eastAsia="仿宋" w:cs="仿宋"/>
          <w:b/>
          <w:kern w:val="0"/>
          <w:sz w:val="24"/>
        </w:rPr>
      </w:pPr>
      <w:r>
        <w:rPr>
          <w:rFonts w:hint="eastAsia" w:ascii="仿宋" w:hAnsi="仿宋" w:eastAsia="仿宋" w:cs="仿宋"/>
          <w:kern w:val="0"/>
          <w:sz w:val="24"/>
        </w:rPr>
        <w:t>非单一产品采购项目，多家投标供应商提供的核心产品品牌相同的，按上述规定处理。</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3"/>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
        <w:ind w:left="218" w:leftChars="104" w:firstLine="208"/>
      </w:pPr>
      <w:r>
        <w:rPr>
          <w:rFonts w:hint="eastAsia" w:ascii="仿宋" w:eastAsia="仿宋" w:cs="仿宋"/>
          <w:b w:val="0"/>
          <w:bCs w:val="0"/>
          <w:kern w:val="0"/>
          <w:sz w:val="24"/>
          <w:szCs w:val="24"/>
          <w:lang w:val="en-US"/>
        </w:rPr>
        <w:t>4.2.15在资格证明文件或商务技术文件中出现投标报价的，或者报价文件中报价的服务跟商务技术文件中的投标服务出现重大偏差的。</w:t>
      </w:r>
    </w:p>
    <w:p>
      <w:pPr>
        <w:pStyle w:val="1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1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1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1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1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1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16"/>
        <w:snapToGrid w:val="0"/>
        <w:spacing w:line="360" w:lineRule="auto"/>
        <w:ind w:firstLine="590" w:firstLineChars="245"/>
        <w:rPr>
          <w:rFonts w:hint="eastAsia" w:ascii="仿宋" w:hAnsi="仿宋" w:eastAsia="仿宋" w:cs="仿宋"/>
          <w:b/>
          <w:bCs/>
          <w:kern w:val="44"/>
          <w:sz w:val="44"/>
          <w:szCs w:val="44"/>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bookmarkEnd w:id="39"/>
    <w:p>
      <w:pPr>
        <w:spacing w:line="360" w:lineRule="auto"/>
        <w:jc w:val="center"/>
        <w:outlineLvl w:val="0"/>
        <w:rPr>
          <w:rFonts w:hint="eastAsia" w:ascii="仿宋" w:hAnsi="仿宋" w:eastAsia="仿宋" w:cs="仿宋"/>
          <w:b/>
          <w:bCs/>
          <w:kern w:val="44"/>
          <w:sz w:val="44"/>
          <w:szCs w:val="44"/>
        </w:rPr>
      </w:pPr>
      <w:bookmarkStart w:id="416" w:name="_Toc16397"/>
      <w:bookmarkStart w:id="417" w:name="第五部分"/>
      <w:bookmarkStart w:id="418" w:name="_Toc86217003"/>
      <w:r>
        <w:rPr>
          <w:rFonts w:hint="eastAsia" w:ascii="仿宋" w:hAnsi="仿宋" w:eastAsia="仿宋" w:cs="仿宋"/>
          <w:b/>
          <w:bCs/>
          <w:kern w:val="44"/>
          <w:sz w:val="44"/>
          <w:szCs w:val="44"/>
        </w:rPr>
        <w:t>第五部分 拟签订的合同文本</w:t>
      </w:r>
      <w:bookmarkEnd w:id="416"/>
    </w:p>
    <w:p>
      <w:pPr>
        <w:pStyle w:val="2"/>
        <w:spacing w:before="120" w:after="120" w:line="400" w:lineRule="exact"/>
        <w:ind w:left="0" w:firstLine="0"/>
        <w:jc w:val="center"/>
        <w:rPr>
          <w:rFonts w:hint="eastAsia" w:ascii="仿宋" w:hAnsi="仿宋" w:eastAsia="仿宋" w:cs="仿宋"/>
          <w:b w:val="0"/>
          <w:sz w:val="32"/>
        </w:rPr>
      </w:pPr>
      <w:bookmarkStart w:id="419" w:name="_Toc450805637"/>
      <w:bookmarkStart w:id="420" w:name="_Toc4250"/>
      <w:r>
        <w:rPr>
          <w:rFonts w:hint="eastAsia" w:ascii="仿宋" w:hAnsi="仿宋" w:eastAsia="仿宋" w:cs="仿宋"/>
          <w:b w:val="0"/>
          <w:sz w:val="32"/>
        </w:rPr>
        <w:t>合同条款及格式</w:t>
      </w:r>
      <w:bookmarkEnd w:id="419"/>
    </w:p>
    <w:p>
      <w:pPr>
        <w:spacing w:line="400" w:lineRule="exact"/>
        <w:ind w:firstLine="3300" w:firstLineChars="11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第一部分  协议书</w:t>
      </w:r>
    </w:p>
    <w:p>
      <w:pPr>
        <w:spacing w:line="400" w:lineRule="exact"/>
        <w:rPr>
          <w:rFonts w:hint="eastAsia" w:ascii="仿宋" w:hAnsi="仿宋" w:eastAsia="仿宋" w:cs="仿宋"/>
          <w:color w:val="000000"/>
          <w:sz w:val="24"/>
        </w:rPr>
      </w:pP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项目名称：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甲方：（买方）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乙方：（卖方）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甲、乙双方根据台州锋鼎工程项目管理有限公司关于</w:t>
      </w:r>
      <w:r>
        <w:rPr>
          <w:rFonts w:hint="eastAsia" w:ascii="仿宋" w:hAnsi="仿宋" w:eastAsia="仿宋" w:cs="仿宋"/>
          <w:snapToGrid w:val="0"/>
          <w:kern w:val="0"/>
          <w:sz w:val="24"/>
          <w:u w:val="single"/>
        </w:rPr>
        <w:t xml:space="preserve">          项</w:t>
      </w:r>
      <w:r>
        <w:rPr>
          <w:rFonts w:hint="eastAsia" w:ascii="仿宋" w:hAnsi="仿宋" w:eastAsia="仿宋" w:cs="仿宋"/>
          <w:snapToGrid w:val="0"/>
          <w:kern w:val="0"/>
          <w:sz w:val="24"/>
        </w:rPr>
        <w:t>目公开招标采购的结果，依照《中华人民共和国民法典》等相关法律规定,特签署本合同。</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一、合同内容</w:t>
      </w:r>
    </w:p>
    <w:p>
      <w:pPr>
        <w:widowControl/>
        <w:shd w:val="clear" w:color="auto" w:fill="FFFFFF"/>
        <w:spacing w:after="150" w:line="36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kern w:val="0"/>
          <w:sz w:val="24"/>
        </w:rPr>
        <w:t>（具体见项目需求）</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二、合同金额</w:t>
      </w:r>
    </w:p>
    <w:p>
      <w:pPr>
        <w:spacing w:line="300" w:lineRule="auto"/>
        <w:ind w:left="0" w:leftChars="0" w:firstLine="638" w:firstLineChars="266"/>
        <w:jc w:val="left"/>
        <w:rPr>
          <w:rFonts w:hint="eastAsia" w:ascii="仿宋" w:hAnsi="仿宋" w:eastAsia="仿宋" w:cs="仿宋"/>
          <w:sz w:val="24"/>
        </w:rPr>
      </w:pPr>
      <w:r>
        <w:rPr>
          <w:rFonts w:hint="eastAsia" w:ascii="仿宋" w:hAnsi="仿宋" w:eastAsia="仿宋" w:cs="仿宋"/>
          <w:snapToGrid w:val="0"/>
          <w:kern w:val="0"/>
          <w:sz w:val="24"/>
        </w:rPr>
        <w:t>本合同金额为¥：</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元（小写），大写 </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三、技术资料</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乙方应按招标文件规定的时间向甲方提供有关技术资料。</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四、知识产权</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第一条知识产权的归属</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在按照甲方要求开发此软件期间，因履行义务或者主要利用甲方的物质技术条件所产生的智力开发成果的知识产权及源代码（含服务期内的后续升级版本）归甲方所有，包括但不限于国内外申请专利的权利，商标和标识设计，科技论文及其他作品的著作权，商业秘密的权利，商品名称和商标的专用权，甲方在其业务范围内可充分自有的利用这些专利，版权，商标，商业秘密进行生产、经营或者向第三方转让。乙方应依据甲方的要求，提供一切必要的信息和采取必要的行动以协助甲方取得和行使有关的知识产权的权利，包括但不仅限于申请、注册、登记、保护等。</w:t>
      </w:r>
    </w:p>
    <w:p>
      <w:pPr>
        <w:pStyle w:val="15"/>
        <w:ind w:left="0" w:leftChars="0" w:firstLine="638" w:firstLineChars="266"/>
        <w:rPr>
          <w:rFonts w:hint="eastAsia" w:ascii="仿宋" w:hAnsi="仿宋" w:eastAsia="仿宋" w:cs="仿宋"/>
          <w:sz w:val="24"/>
          <w:szCs w:val="24"/>
        </w:rPr>
      </w:pPr>
      <w:r>
        <w:rPr>
          <w:rFonts w:hint="eastAsia" w:ascii="仿宋" w:hAnsi="仿宋" w:eastAsia="仿宋" w:cs="仿宋"/>
          <w:sz w:val="24"/>
          <w:szCs w:val="24"/>
        </w:rPr>
        <w:t>乙方须保证甲方在使用过程中不受到第三方关于侵犯专利权等知识产权的指控。任何第三方如果提出指控，乙方须与第三方交涉并承担可能发生的一切法律责任和费用。</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第二条商业秘密的保护</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1.乙方应遵守甲方制定的各项保密规章制度，对乙方履行合同义务及乙方人员履行职务掌握甲方要求保守的商业秘密均不得以任何方式向他人透露或为其他目的而使用。</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乙方除非得到甲方的批准，不得将在本合同履行过程中掌握的技术资料、相关文件泄露给其他人，并应将接触到所有记载甲方商业秘密的文件文档、记录、笔迹、数据、程序清单、提纲、模型、软磁盘及其他媒介形式的资料如数交回甲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第三条原有知识产权及相关义务的说明与保证</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1.乙方在此之前已经拥有的各项专利、非专利技术、著作权、商标权、商业秘密及其他知识产权，应向甲方进行说明（不透露商业秘密的实质内容)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2.乙方签署本协议不会违反乙方对前雇主（客户）的任何竞业禁止义务，乙方应确保甲方不会因此而发生任何诉讼。甲方若因乙方违反本条规定而产生的任何法律责任由乙方承担。</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五、产权担保</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乙方保证所交付的服务的所有权完全属于乙方且无任何抵押、查封等产权瑕疵。</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六、履约保证金</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乙方交纳</w:t>
      </w:r>
      <w:r>
        <w:rPr>
          <w:rFonts w:hint="eastAsia" w:ascii="仿宋" w:hAnsi="仿宋" w:eastAsia="仿宋" w:cs="仿宋"/>
          <w:snapToGrid w:val="0"/>
          <w:kern w:val="0"/>
          <w:sz w:val="24"/>
          <w:u w:val="single"/>
        </w:rPr>
        <w:t xml:space="preserve">中标合同金额的5%  </w:t>
      </w:r>
      <w:r>
        <w:rPr>
          <w:rFonts w:hint="eastAsia" w:ascii="仿宋" w:hAnsi="仿宋" w:eastAsia="仿宋" w:cs="仿宋"/>
          <w:snapToGrid w:val="0"/>
          <w:kern w:val="0"/>
          <w:sz w:val="24"/>
        </w:rPr>
        <w:t xml:space="preserve">作为本合同的履约保证金。 </w:t>
      </w:r>
      <w:r>
        <w:rPr>
          <w:rFonts w:hint="eastAsia" w:ascii="仿宋" w:hAnsi="仿宋" w:eastAsia="仿宋" w:cs="仿宋"/>
          <w:snapToGrid w:val="0"/>
          <w:kern w:val="0"/>
          <w:sz w:val="24"/>
          <w:lang w:val="zh-CN"/>
        </w:rPr>
        <w:t>签订合同后 3 个工作日内由中标人交入采购人帐户，履约保证金在项目质保期满且无违约扣除情况后无息退还。</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七、转包或分包</w:t>
      </w:r>
    </w:p>
    <w:p>
      <w:pPr>
        <w:spacing w:line="300" w:lineRule="auto"/>
        <w:ind w:left="0" w:leftChars="0" w:firstLine="638" w:firstLineChars="266"/>
        <w:jc w:val="left"/>
        <w:rPr>
          <w:rFonts w:hint="eastAsia" w:ascii="仿宋" w:hAnsi="仿宋" w:eastAsia="仿宋" w:cs="仿宋"/>
          <w:sz w:val="24"/>
        </w:rPr>
      </w:pPr>
      <w:r>
        <w:rPr>
          <w:rFonts w:hint="eastAsia" w:ascii="仿宋" w:hAnsi="仿宋" w:eastAsia="仿宋" w:cs="仿宋"/>
          <w:snapToGrid w:val="0"/>
          <w:kern w:val="0"/>
          <w:sz w:val="24"/>
        </w:rPr>
        <w:t>1.</w:t>
      </w:r>
      <w:r>
        <w:rPr>
          <w:rFonts w:hint="eastAsia" w:ascii="仿宋" w:hAnsi="仿宋" w:eastAsia="仿宋" w:cs="仿宋"/>
          <w:sz w:val="24"/>
        </w:rPr>
        <w:t>除非得到甲方的书面同意，乙方不得将本合同范围内的项目全部或部分分包给他人供应；</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2.如有转让和未经甲方同意的分包行为，甲方有权解除合同，并追究乙方的违约责任，乙方应退还全部已收取的款项。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八、质保期和质保金</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质保期</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年，自甲方验收合格的次日起算。</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质保金</w:t>
      </w:r>
      <w:r>
        <w:rPr>
          <w:rFonts w:hint="eastAsia" w:ascii="仿宋" w:hAnsi="仿宋" w:eastAsia="仿宋" w:cs="仿宋"/>
          <w:snapToGrid w:val="0"/>
          <w:kern w:val="0"/>
          <w:sz w:val="24"/>
          <w:u w:val="single"/>
        </w:rPr>
        <w:t xml:space="preserve">      无      </w:t>
      </w:r>
      <w:r>
        <w:rPr>
          <w:rFonts w:hint="eastAsia" w:ascii="仿宋" w:hAnsi="仿宋" w:eastAsia="仿宋" w:cs="仿宋"/>
          <w:snapToGrid w:val="0"/>
          <w:kern w:val="0"/>
          <w:sz w:val="24"/>
        </w:rPr>
        <w:t>元，若乙方未按本合同的约定履行质保期的相关义务，则甲方有权直接扣除履约保证金。</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九、合同履行工期、履行方式及履行地点</w:t>
      </w:r>
    </w:p>
    <w:p>
      <w:pPr>
        <w:spacing w:line="36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履行工期：</w:t>
      </w:r>
      <w:r>
        <w:rPr>
          <w:rFonts w:hint="eastAsia" w:ascii="仿宋" w:hAnsi="仿宋" w:eastAsia="仿宋" w:cs="仿宋"/>
          <w:color w:val="000000"/>
          <w:sz w:val="24"/>
          <w:lang w:bidi="ar"/>
        </w:rPr>
        <w:t>合同签订后6个月内完成系统开发、部署上线，提交试运行；稳定试运行不少于3个月后，提交项目验收、系统正式运行。</w:t>
      </w:r>
    </w:p>
    <w:p>
      <w:pPr>
        <w:spacing w:line="300" w:lineRule="auto"/>
        <w:ind w:left="0" w:leftChars="0" w:firstLine="638" w:firstLineChars="266"/>
        <w:jc w:val="left"/>
        <w:rPr>
          <w:rFonts w:hint="default" w:ascii="仿宋" w:hAnsi="仿宋" w:eastAsia="仿宋" w:cs="仿宋"/>
          <w:snapToGrid w:val="0"/>
          <w:kern w:val="0"/>
          <w:sz w:val="24"/>
          <w:u w:val="single"/>
          <w:lang w:val="en-US" w:eastAsia="zh-CN"/>
        </w:rPr>
      </w:pPr>
      <w:r>
        <w:rPr>
          <w:rFonts w:hint="eastAsia" w:ascii="仿宋" w:hAnsi="仿宋" w:eastAsia="仿宋" w:cs="仿宋"/>
          <w:snapToGrid w:val="0"/>
          <w:kern w:val="0"/>
          <w:sz w:val="24"/>
        </w:rPr>
        <w:t>2. 履行方式：</w:t>
      </w:r>
      <w:r>
        <w:rPr>
          <w:rFonts w:hint="eastAsia" w:ascii="仿宋" w:hAnsi="仿宋" w:eastAsia="仿宋" w:cs="仿宋"/>
          <w:snapToGrid w:val="0"/>
          <w:kern w:val="0"/>
          <w:sz w:val="24"/>
          <w:u w:val="single"/>
          <w:lang w:val="en-US" w:eastAsia="zh-CN"/>
        </w:rPr>
        <w:t xml:space="preserve">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3. 履行地点：招标人指定地点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十、款项支付</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付款方式：合同签订后，在15个工作日内向中标单位支付合同总价的30%；初验合格整体试运行正常后一个月内支付合同金额的40%，试运行满三个月终验合格后一个月内支付合同总价的30%。发票应随付款进度及时提供，甲方收到发票后进行付款，若乙方未能及时提供发票，则甲方的付款时间相应顺延。</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十一、税费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本合同履行中相关的一切税费均由乙方负担。</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十二、质量保证及售后服务</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乙方应按招标文件规定向甲方提供服务。</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乙方提供的服务成果在质保期内因本身问题发生故障，乙方应负责免费维护。对达不到技术要求者，根据实际情况，经双方协商，可按以下办法处理：</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⑴更换：由乙方承担所发生的全部费用。</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⑵贬值处理：由甲乙双方合议定价。</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⑶退还处理：乙方应退还甲方支付的合同款，同时应承担该服务成果的直接费用（运输、保险、检验、货款利息及银行手续费等）。</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3. 如在使用过程中发生质量问题，乙方在接到甲方通知后在</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小时内到达甲方现场。</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4. 在质保期内，乙方应对服务成果出现的质量及安全问题负责处理解决并承担一切费用。</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十三、调试和验收</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甲方对乙方提交的服务依据招标文件上的技术规格要求和国家有关质量标准进行现场初步验收，符合招标文件技术要求的，给予签收，初步验收不合格的不予签收。服务成果到位后，乙方以书面方式申请甲方组织验收，甲方需在五个工作日内验收。</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乙方交付服务前应对产品作出全面检查和对验收文件进行整理，并列出清单，作为甲方验收和使用的技术条件依据，检验的结果应随服务成果交甲方。</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3. 甲方对乙方提供的服务在使用前进行调试时，乙方需负责集成并培训甲方的使用操作人员，并协助甲方调试，直到符合技术要求，甲方才做最终验收。</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4. 对技术复杂的服务，甲方应请国家认可的专业检测机构参与初步验收及最终验收，并由其出具质量检测报告。</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5. 验收时,乙方必须在现场，验收完毕出具验收结果报告；验收费用由乙方负责。</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十四、违约责任</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甲方无正当理由拒收服务成果的，甲方向乙方偿付拒收货款总值的百分之五违约金。</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甲方无故逾期验收和办理款项支付手续的,甲方应按逾期付款总额每日万分之五向乙方支付违约金。</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3. 乙方逾期交付服务成果的，乙方应按逾期交货总额每日千分之六向甲方支付违约金，由甲方从待付款项中扣除。逾期超过约定日期10个工作日不能交付成果的，甲方可解除本合同。乙方因逾期交付成果或因其他违约行为导致甲方解除合同的，乙方应向甲方支付合同总值5%的违约金，如造成甲方损失超过违约金的，超出部分由乙方继续承担赔偿责任。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4. 乙方所交的服务质量不符合合同规定及招标文件规定标准的，甲方有权拒收该服务，乙方愿意更换服务但逾期交付的，按乙方逾期交付处理。乙方拒绝更换服务的，甲方可单方面解除合同，乙方应承担违约责任。</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5.乙方服务成果无法正常运转，或达不到招标文件标准及合同要求的，由乙方负全部责任，甲方有权解除合同并追究乙方违约责任。</w:t>
      </w:r>
    </w:p>
    <w:p>
      <w:pPr>
        <w:pStyle w:val="16"/>
        <w:ind w:left="0" w:leftChars="0" w:firstLine="638" w:firstLineChars="266"/>
        <w:rPr>
          <w:rFonts w:hint="eastAsia" w:ascii="仿宋" w:hAnsi="仿宋" w:eastAsia="仿宋" w:cs="仿宋"/>
          <w:snapToGrid w:val="0"/>
          <w:kern w:val="0"/>
        </w:rPr>
      </w:pPr>
      <w:r>
        <w:rPr>
          <w:rFonts w:hint="eastAsia" w:ascii="仿宋" w:hAnsi="仿宋" w:eastAsia="仿宋" w:cs="仿宋"/>
          <w:snapToGrid w:val="0"/>
          <w:kern w:val="0"/>
        </w:rPr>
        <w:t>6.除本合同另有约定外，任何一方未按本合同的约定履行，即视为违约，守约方有权要求违约方就违约行为对守约方造成的实际损失（包括但不限于守约方为主张权利所支付的诉讼费、律师费）进行赔偿。</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十五、不可抗力事件处理</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在合同有效期内，任何一方因不可抗力事件导致不能履行合同，则合同履行期可延长，其延长期与不可抗力影响期相同。</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不可抗力事件发生后，应立即通知对方，并寄送有关权威机构出具的证明。</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3. 不可抗力事件延续120天以上，双方应友好协商，确定是否继续履行合同。</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十六、诉讼</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双方在履行合同中所发生的一切争议，应通过协商解决。如协商不成，可向甲方所在地人民法院起诉。</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十七、合同生效及其它</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1. 合同经双方法定代表人或授权代表签字并加盖单位公章后生效。</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2. 本合同未尽事宜，遵照《中华人民共和国民法典》有关条文执行。</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3. 本合同正本一式二份，甲、乙双方各执一份。副本根据需要另行提供,正副本具有同等法律效力。</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甲方：                                   乙方：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地址：                                   地址：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法定（授权）代表人：                     法定（授权）代表人：</w:t>
      </w:r>
    </w:p>
    <w:p>
      <w:pPr>
        <w:spacing w:line="360" w:lineRule="exact"/>
        <w:ind w:left="0" w:leftChars="0" w:firstLine="638" w:firstLineChars="266"/>
        <w:jc w:val="both"/>
        <w:rPr>
          <w:rFonts w:hint="eastAsia" w:ascii="仿宋" w:hAnsi="仿宋" w:eastAsia="仿宋" w:cs="仿宋"/>
          <w:snapToGrid w:val="0"/>
          <w:kern w:val="0"/>
          <w:sz w:val="24"/>
        </w:rPr>
      </w:pPr>
      <w:r>
        <w:rPr>
          <w:rFonts w:hint="eastAsia" w:ascii="仿宋" w:hAnsi="仿宋" w:eastAsia="仿宋" w:cs="仿宋"/>
          <w:snapToGrid w:val="0"/>
          <w:kern w:val="0"/>
          <w:sz w:val="24"/>
        </w:rPr>
        <w:t xml:space="preserve">签字日期：      年  月  日               签字日期：      年  月  日 </w:t>
      </w:r>
    </w:p>
    <w:p>
      <w:pPr>
        <w:spacing w:line="360" w:lineRule="exact"/>
        <w:jc w:val="center"/>
        <w:rPr>
          <w:rFonts w:hint="eastAsia" w:ascii="仿宋" w:hAnsi="仿宋" w:eastAsia="仿宋" w:cs="仿宋"/>
          <w:snapToGrid w:val="0"/>
          <w:kern w:val="0"/>
          <w:szCs w:val="21"/>
        </w:rPr>
      </w:pPr>
    </w:p>
    <w:p>
      <w:pPr>
        <w:spacing w:line="360" w:lineRule="exact"/>
        <w:jc w:val="center"/>
        <w:rPr>
          <w:rFonts w:hint="eastAsia" w:ascii="仿宋" w:hAnsi="仿宋" w:eastAsia="仿宋" w:cs="仿宋"/>
          <w:snapToGrid w:val="0"/>
          <w:kern w:val="0"/>
          <w:szCs w:val="21"/>
        </w:rPr>
      </w:pPr>
    </w:p>
    <w:p>
      <w:pPr>
        <w:spacing w:line="360" w:lineRule="exact"/>
        <w:jc w:val="center"/>
        <w:rPr>
          <w:rFonts w:hint="eastAsia" w:ascii="仿宋" w:hAnsi="仿宋" w:eastAsia="仿宋" w:cs="仿宋"/>
          <w:snapToGrid w:val="0"/>
          <w:kern w:val="0"/>
          <w:szCs w:val="21"/>
        </w:rPr>
      </w:pPr>
    </w:p>
    <w:p>
      <w:pPr>
        <w:rPr>
          <w:rFonts w:hint="eastAsia" w:ascii="仿宋" w:hAnsi="仿宋" w:eastAsia="仿宋" w:cs="仿宋"/>
          <w:color w:val="000000"/>
          <w:sz w:val="30"/>
          <w:szCs w:val="30"/>
        </w:rPr>
      </w:pPr>
      <w:r>
        <w:rPr>
          <w:rFonts w:hint="eastAsia" w:ascii="仿宋" w:hAnsi="仿宋" w:eastAsia="仿宋" w:cs="仿宋"/>
          <w:color w:val="000000"/>
          <w:sz w:val="30"/>
          <w:szCs w:val="30"/>
        </w:rPr>
        <w:br w:type="page"/>
      </w:r>
    </w:p>
    <w:p>
      <w:pPr>
        <w:spacing w:line="36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第二部分   廉政协议书</w:t>
      </w:r>
    </w:p>
    <w:p>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项目地址：</w:t>
      </w:r>
      <w:r>
        <w:rPr>
          <w:rFonts w:hint="eastAsia" w:ascii="仿宋" w:hAnsi="仿宋" w:eastAsia="仿宋" w:cs="仿宋"/>
          <w:color w:val="000000"/>
          <w:sz w:val="24"/>
          <w:u w:val="single"/>
        </w:rPr>
        <w:t xml:space="preserve">                                  </w:t>
      </w:r>
    </w:p>
    <w:p>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snapToGrid w:val="0"/>
          <w:kern w:val="0"/>
          <w:sz w:val="24"/>
        </w:rPr>
        <w:t>甲方</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snapToGrid w:val="0"/>
          <w:kern w:val="0"/>
          <w:sz w:val="24"/>
        </w:rPr>
        <w:t>乙方</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第一条 双方的责任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（一）应严格遵守国家关于市场准入、项目招标投标、工程建设、施工安装和市场活动等有关法律、法规，相关政策，以及廉政建设的各项规定。</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（二）严格执行建设工程项目承发包合同文件，自觉按合同办事。</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（三）业务活动必须坚持公开、公平、公正、诚信、透明的原则（除法律法规另有规定者外），不得为获取不正当的利益，损害国家、集体和对方利益，不得违反工程建设管理、施工安装的规章制度。</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第二条 </w:t>
      </w:r>
      <w:r>
        <w:rPr>
          <w:rFonts w:hint="eastAsia" w:ascii="仿宋" w:hAnsi="仿宋" w:eastAsia="仿宋" w:cs="仿宋"/>
          <w:color w:val="000000"/>
          <w:sz w:val="24"/>
          <w:lang w:eastAsia="zh-CN"/>
        </w:rPr>
        <w:t>甲方</w:t>
      </w:r>
      <w:r>
        <w:rPr>
          <w:rFonts w:hint="eastAsia" w:ascii="仿宋" w:hAnsi="仿宋" w:eastAsia="仿宋" w:cs="仿宋"/>
          <w:color w:val="000000"/>
          <w:sz w:val="24"/>
        </w:rPr>
        <w:t>的责任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甲方</w:t>
      </w:r>
      <w:r>
        <w:rPr>
          <w:rFonts w:hint="eastAsia" w:ascii="仿宋" w:hAnsi="仿宋" w:eastAsia="仿宋" w:cs="仿宋"/>
          <w:color w:val="000000"/>
          <w:sz w:val="24"/>
        </w:rPr>
        <w:t>的领导和从事该建设工程项目的工作人员，在工程建设的事前、事中、事后应遵守以下规定：</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（一）不准向</w:t>
      </w:r>
      <w:r>
        <w:rPr>
          <w:rFonts w:hint="eastAsia" w:ascii="仿宋" w:hAnsi="仿宋" w:eastAsia="仿宋" w:cs="仿宋"/>
          <w:color w:val="000000"/>
          <w:sz w:val="24"/>
          <w:lang w:eastAsia="zh-CN"/>
        </w:rPr>
        <w:t>乙方</w:t>
      </w:r>
      <w:r>
        <w:rPr>
          <w:rFonts w:hint="eastAsia" w:ascii="仿宋" w:hAnsi="仿宋" w:eastAsia="仿宋" w:cs="仿宋"/>
          <w:color w:val="000000"/>
          <w:sz w:val="24"/>
        </w:rPr>
        <w:t>和相关单位索要或接受回扣、礼金、有价证券、贵重物品和好处费、感谢费等。</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（二）不准在</w:t>
      </w:r>
      <w:r>
        <w:rPr>
          <w:rFonts w:hint="eastAsia" w:ascii="仿宋" w:hAnsi="仿宋" w:eastAsia="仿宋" w:cs="仿宋"/>
          <w:color w:val="000000"/>
          <w:sz w:val="24"/>
          <w:lang w:eastAsia="zh-CN"/>
        </w:rPr>
        <w:t>乙方</w:t>
      </w:r>
      <w:r>
        <w:rPr>
          <w:rFonts w:hint="eastAsia" w:ascii="仿宋" w:hAnsi="仿宋" w:eastAsia="仿宋" w:cs="仿宋"/>
          <w:color w:val="000000"/>
          <w:sz w:val="24"/>
        </w:rPr>
        <w:t>和相关单位报销任何应由</w:t>
      </w:r>
      <w:r>
        <w:rPr>
          <w:rFonts w:hint="eastAsia" w:ascii="仿宋" w:hAnsi="仿宋" w:eastAsia="仿宋" w:cs="仿宋"/>
          <w:color w:val="000000"/>
          <w:sz w:val="24"/>
          <w:lang w:eastAsia="zh-CN"/>
        </w:rPr>
        <w:t>甲方</w:t>
      </w:r>
      <w:r>
        <w:rPr>
          <w:rFonts w:hint="eastAsia" w:ascii="仿宋" w:hAnsi="仿宋" w:eastAsia="仿宋" w:cs="仿宋"/>
          <w:color w:val="000000"/>
          <w:sz w:val="24"/>
        </w:rPr>
        <w:t>或个人支付的费用。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（三）不准要求、暗示和接受</w:t>
      </w:r>
      <w:r>
        <w:rPr>
          <w:rFonts w:hint="eastAsia" w:ascii="仿宋" w:hAnsi="仿宋" w:eastAsia="仿宋" w:cs="仿宋"/>
          <w:color w:val="000000"/>
          <w:sz w:val="24"/>
          <w:lang w:eastAsia="zh-CN"/>
        </w:rPr>
        <w:t>乙方</w:t>
      </w:r>
      <w:r>
        <w:rPr>
          <w:rFonts w:hint="eastAsia" w:ascii="仿宋" w:hAnsi="仿宋" w:eastAsia="仿宋" w:cs="仿宋"/>
          <w:color w:val="000000"/>
          <w:sz w:val="24"/>
        </w:rPr>
        <w:t>和相关单位为个人装修住房、婚丧嫁娶、配偶子女的工作安排以及出国（境）、旅游等提供方便。</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（四）不准参加有可能影响公正执行公务的</w:t>
      </w:r>
      <w:r>
        <w:rPr>
          <w:rFonts w:hint="eastAsia" w:ascii="仿宋" w:hAnsi="仿宋" w:eastAsia="仿宋" w:cs="仿宋"/>
          <w:color w:val="000000"/>
          <w:sz w:val="24"/>
          <w:lang w:eastAsia="zh-CN"/>
        </w:rPr>
        <w:t>乙方</w:t>
      </w:r>
      <w:r>
        <w:rPr>
          <w:rFonts w:hint="eastAsia" w:ascii="仿宋" w:hAnsi="仿宋" w:eastAsia="仿宋" w:cs="仿宋"/>
          <w:color w:val="000000"/>
          <w:sz w:val="24"/>
        </w:rPr>
        <w:t>和相关单位的宴请和健身、娱乐等活动。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（五）不准向</w:t>
      </w:r>
      <w:r>
        <w:rPr>
          <w:rFonts w:hint="eastAsia" w:ascii="仿宋" w:hAnsi="仿宋" w:eastAsia="仿宋" w:cs="仿宋"/>
          <w:color w:val="000000"/>
          <w:sz w:val="24"/>
          <w:lang w:eastAsia="zh-CN"/>
        </w:rPr>
        <w:t>乙方</w:t>
      </w:r>
      <w:r>
        <w:rPr>
          <w:rFonts w:hint="eastAsia" w:ascii="仿宋" w:hAnsi="仿宋" w:eastAsia="仿宋" w:cs="仿宋"/>
          <w:color w:val="000000"/>
          <w:sz w:val="24"/>
        </w:rPr>
        <w:t>介绍或为配偶、子女、亲属参与同</w:t>
      </w:r>
      <w:r>
        <w:rPr>
          <w:rFonts w:hint="eastAsia" w:ascii="仿宋" w:hAnsi="仿宋" w:eastAsia="仿宋" w:cs="仿宋"/>
          <w:color w:val="000000"/>
          <w:sz w:val="24"/>
          <w:lang w:eastAsia="zh-CN"/>
        </w:rPr>
        <w:t>甲方</w:t>
      </w:r>
      <w:r>
        <w:rPr>
          <w:rFonts w:hint="eastAsia" w:ascii="仿宋" w:hAnsi="仿宋" w:eastAsia="仿宋" w:cs="仿宋"/>
          <w:color w:val="000000"/>
          <w:sz w:val="24"/>
        </w:rPr>
        <w:t>项目工程合同有关的设备、材料、工程分包、劳务等经济活动。不得以任何理由向</w:t>
      </w:r>
      <w:r>
        <w:rPr>
          <w:rFonts w:hint="eastAsia" w:ascii="仿宋" w:hAnsi="仿宋" w:eastAsia="仿宋" w:cs="仿宋"/>
          <w:color w:val="000000"/>
          <w:sz w:val="24"/>
          <w:lang w:eastAsia="zh-CN"/>
        </w:rPr>
        <w:t>乙方</w:t>
      </w:r>
      <w:r>
        <w:rPr>
          <w:rFonts w:hint="eastAsia" w:ascii="仿宋" w:hAnsi="仿宋" w:eastAsia="仿宋" w:cs="仿宋"/>
          <w:color w:val="000000"/>
          <w:sz w:val="24"/>
        </w:rPr>
        <w:t>和相关单位推荐分包单位和要求</w:t>
      </w:r>
      <w:r>
        <w:rPr>
          <w:rFonts w:hint="eastAsia" w:ascii="仿宋" w:hAnsi="仿宋" w:eastAsia="仿宋" w:cs="仿宋"/>
          <w:color w:val="000000"/>
          <w:sz w:val="24"/>
          <w:lang w:eastAsia="zh-CN"/>
        </w:rPr>
        <w:t>乙方</w:t>
      </w:r>
      <w:r>
        <w:rPr>
          <w:rFonts w:hint="eastAsia" w:ascii="仿宋" w:hAnsi="仿宋" w:eastAsia="仿宋" w:cs="仿宋"/>
          <w:color w:val="000000"/>
          <w:sz w:val="24"/>
        </w:rPr>
        <w:t>购买项目工程合同规定以外的材料、设备等。</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第三条 </w:t>
      </w:r>
      <w:r>
        <w:rPr>
          <w:rFonts w:hint="eastAsia" w:ascii="仿宋" w:hAnsi="仿宋" w:eastAsia="仿宋" w:cs="仿宋"/>
          <w:color w:val="000000"/>
          <w:sz w:val="24"/>
          <w:lang w:eastAsia="zh-CN"/>
        </w:rPr>
        <w:t>乙方</w:t>
      </w:r>
      <w:r>
        <w:rPr>
          <w:rFonts w:hint="eastAsia" w:ascii="仿宋" w:hAnsi="仿宋" w:eastAsia="仿宋" w:cs="仿宋"/>
          <w:color w:val="000000"/>
          <w:sz w:val="24"/>
        </w:rPr>
        <w:t>的责任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应与</w:t>
      </w:r>
      <w:r>
        <w:rPr>
          <w:rFonts w:hint="eastAsia" w:ascii="仿宋" w:hAnsi="仿宋" w:eastAsia="仿宋" w:cs="仿宋"/>
          <w:color w:val="000000"/>
          <w:sz w:val="24"/>
          <w:lang w:eastAsia="zh-CN"/>
        </w:rPr>
        <w:t>甲方</w:t>
      </w:r>
      <w:r>
        <w:rPr>
          <w:rFonts w:hint="eastAsia" w:ascii="仿宋" w:hAnsi="仿宋" w:eastAsia="仿宋" w:cs="仿宋"/>
          <w:color w:val="000000"/>
          <w:sz w:val="24"/>
        </w:rPr>
        <w:t>保持正常的业务交往，按照有关法律法规和程序开展业务工作，严格执行工程建设的有关方针、政策，尤其是有关建筑施工安装的强制性标准和规范，并遵守以下规定：</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（一）不准以任何理由向</w:t>
      </w:r>
      <w:r>
        <w:rPr>
          <w:rFonts w:hint="eastAsia" w:ascii="仿宋" w:hAnsi="仿宋" w:eastAsia="仿宋" w:cs="仿宋"/>
          <w:color w:val="000000"/>
          <w:sz w:val="24"/>
          <w:lang w:eastAsia="zh-CN"/>
        </w:rPr>
        <w:t>甲方</w:t>
      </w:r>
      <w:r>
        <w:rPr>
          <w:rFonts w:hint="eastAsia" w:ascii="仿宋" w:hAnsi="仿宋" w:eastAsia="仿宋" w:cs="仿宋"/>
          <w:color w:val="000000"/>
          <w:sz w:val="24"/>
        </w:rPr>
        <w:t>、相关单位及其工作人员索要、接受或赠送礼金、有价证券、贵重物品和回扣、好处费、感谢费等。</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（二）不准以任何理由为</w:t>
      </w:r>
      <w:r>
        <w:rPr>
          <w:rFonts w:hint="eastAsia" w:ascii="仿宋" w:hAnsi="仿宋" w:eastAsia="仿宋" w:cs="仿宋"/>
          <w:color w:val="000000"/>
          <w:sz w:val="24"/>
          <w:lang w:eastAsia="zh-CN"/>
        </w:rPr>
        <w:t>甲方</w:t>
      </w:r>
      <w:r>
        <w:rPr>
          <w:rFonts w:hint="eastAsia" w:ascii="仿宋" w:hAnsi="仿宋" w:eastAsia="仿宋" w:cs="仿宋"/>
          <w:color w:val="000000"/>
          <w:sz w:val="24"/>
        </w:rPr>
        <w:t>和相关单位报销应由对方或个人支付的费用。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（三）不准接受或暗示为</w:t>
      </w:r>
      <w:r>
        <w:rPr>
          <w:rFonts w:hint="eastAsia" w:ascii="仿宋" w:hAnsi="仿宋" w:eastAsia="仿宋" w:cs="仿宋"/>
          <w:color w:val="000000"/>
          <w:sz w:val="24"/>
          <w:lang w:eastAsia="zh-CN"/>
        </w:rPr>
        <w:t>甲方</w:t>
      </w:r>
      <w:r>
        <w:rPr>
          <w:rFonts w:hint="eastAsia" w:ascii="仿宋" w:hAnsi="仿宋" w:eastAsia="仿宋" w:cs="仿宋"/>
          <w:color w:val="000000"/>
          <w:sz w:val="24"/>
        </w:rPr>
        <w:t>、相关单位或个人装修住房、婚丧嫁娶、配偶子女的工作安排以及出国（境）、旅游等提供方便。</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（四）不准以任何理由为</w:t>
      </w:r>
      <w:r>
        <w:rPr>
          <w:rFonts w:hint="eastAsia" w:ascii="仿宋" w:hAnsi="仿宋" w:eastAsia="仿宋" w:cs="仿宋"/>
          <w:color w:val="000000"/>
          <w:sz w:val="24"/>
          <w:lang w:eastAsia="zh-CN"/>
        </w:rPr>
        <w:t>甲方</w:t>
      </w:r>
      <w:r>
        <w:rPr>
          <w:rFonts w:hint="eastAsia" w:ascii="仿宋" w:hAnsi="仿宋" w:eastAsia="仿宋" w:cs="仿宋"/>
          <w:color w:val="000000"/>
          <w:sz w:val="24"/>
        </w:rPr>
        <w:t>、相关单位或个人组织有可能影响公正执行公务的宴请、健身、娱乐等活动。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第四条 违约责任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w:t>
      </w:r>
      <w:r>
        <w:rPr>
          <w:rFonts w:hint="eastAsia" w:ascii="仿宋" w:hAnsi="仿宋" w:eastAsia="仿宋" w:cs="仿宋"/>
          <w:color w:val="000000"/>
          <w:sz w:val="24"/>
          <w:lang w:eastAsia="zh-CN"/>
        </w:rPr>
        <w:t>甲方</w:t>
      </w:r>
      <w:r>
        <w:rPr>
          <w:rFonts w:hint="eastAsia" w:ascii="仿宋" w:hAnsi="仿宋" w:eastAsia="仿宋" w:cs="仿宋"/>
          <w:color w:val="000000"/>
          <w:sz w:val="24"/>
        </w:rPr>
        <w:t>工作人员有违反本责任书第一、二条责任行为的，按照管理权限，依据有关法律法规和规定给予党纪、政纪处分或组织处理；涉嫌犯罪的，移交司法机关追究刑事责任。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w:t>
      </w:r>
      <w:r>
        <w:rPr>
          <w:rFonts w:hint="eastAsia" w:ascii="仿宋" w:hAnsi="仿宋" w:eastAsia="仿宋" w:cs="仿宋"/>
          <w:color w:val="000000"/>
          <w:sz w:val="24"/>
          <w:lang w:eastAsia="zh-CN"/>
        </w:rPr>
        <w:t>乙方</w:t>
      </w:r>
      <w:r>
        <w:rPr>
          <w:rFonts w:hint="eastAsia" w:ascii="仿宋" w:hAnsi="仿宋" w:eastAsia="仿宋" w:cs="仿宋"/>
          <w:color w:val="000000"/>
          <w:sz w:val="24"/>
        </w:rPr>
        <w:t>工作人员有违反本责任书第一、三条责任行为的，按照管理权限，依据有关法律法规和规定给予党纪、政纪处分或组织处理；涉嫌犯罪的，移交司法机关追究刑事责任；给</w:t>
      </w:r>
      <w:r>
        <w:rPr>
          <w:rFonts w:hint="eastAsia" w:ascii="仿宋" w:hAnsi="仿宋" w:eastAsia="仿宋" w:cs="仿宋"/>
          <w:color w:val="000000"/>
          <w:sz w:val="24"/>
          <w:lang w:eastAsia="zh-CN"/>
        </w:rPr>
        <w:t>甲方</w:t>
      </w:r>
      <w:r>
        <w:rPr>
          <w:rFonts w:hint="eastAsia" w:ascii="仿宋" w:hAnsi="仿宋" w:eastAsia="仿宋" w:cs="仿宋"/>
          <w:color w:val="000000"/>
          <w:sz w:val="24"/>
        </w:rPr>
        <w:t>单位造成经济损失的，应予以赔偿。</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第五条 本责任书作为工程合同的附件，与工程合同具有同等法律效力。经双方签署后立即生效。</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第六条 本责任书的有效期为双方签署之日起至该项目竣工验收合格时止。</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第七条 本责任书份数同合同份数一致。</w:t>
      </w:r>
    </w:p>
    <w:p>
      <w:pPr>
        <w:spacing w:line="400" w:lineRule="exact"/>
        <w:ind w:firstLine="480" w:firstLineChars="200"/>
        <w:rPr>
          <w:rFonts w:hint="eastAsia" w:ascii="仿宋" w:hAnsi="仿宋" w:eastAsia="仿宋" w:cs="仿宋"/>
          <w:color w:val="000000"/>
          <w:sz w:val="24"/>
        </w:rPr>
      </w:pP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甲方：                                   乙方：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地址：                                   地址： </w:t>
      </w:r>
    </w:p>
    <w:p>
      <w:pPr>
        <w:spacing w:line="300" w:lineRule="auto"/>
        <w:ind w:left="0" w:leftChars="0" w:firstLine="638" w:firstLineChars="266"/>
        <w:jc w:val="left"/>
        <w:rPr>
          <w:rFonts w:hint="eastAsia" w:ascii="仿宋" w:hAnsi="仿宋" w:eastAsia="仿宋" w:cs="仿宋"/>
          <w:snapToGrid w:val="0"/>
          <w:kern w:val="0"/>
          <w:sz w:val="24"/>
        </w:rPr>
      </w:pPr>
      <w:r>
        <w:rPr>
          <w:rFonts w:hint="eastAsia" w:ascii="仿宋" w:hAnsi="仿宋" w:eastAsia="仿宋" w:cs="仿宋"/>
          <w:snapToGrid w:val="0"/>
          <w:kern w:val="0"/>
          <w:sz w:val="24"/>
        </w:rPr>
        <w:t>法定（授权）代表人：                     法定（授权）代表人：</w:t>
      </w:r>
    </w:p>
    <w:p>
      <w:pPr>
        <w:spacing w:line="360" w:lineRule="exact"/>
        <w:ind w:left="0" w:leftChars="0" w:firstLine="638" w:firstLineChars="266"/>
        <w:jc w:val="both"/>
        <w:rPr>
          <w:rFonts w:hint="eastAsia" w:ascii="仿宋" w:hAnsi="仿宋" w:eastAsia="仿宋" w:cs="仿宋"/>
          <w:snapToGrid w:val="0"/>
          <w:kern w:val="0"/>
          <w:sz w:val="24"/>
        </w:rPr>
      </w:pPr>
      <w:r>
        <w:rPr>
          <w:rFonts w:hint="eastAsia" w:ascii="仿宋" w:hAnsi="仿宋" w:eastAsia="仿宋" w:cs="仿宋"/>
          <w:snapToGrid w:val="0"/>
          <w:kern w:val="0"/>
          <w:sz w:val="24"/>
        </w:rPr>
        <w:t xml:space="preserve">签字日期：      年  月  日               签字日期：      年  月  日 </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p>
    <w:p>
      <w:pPr>
        <w:spacing w:line="400" w:lineRule="exact"/>
        <w:ind w:firstLine="480" w:firstLineChars="200"/>
        <w:rPr>
          <w:rFonts w:hint="eastAsia" w:ascii="仿宋" w:hAnsi="仿宋" w:eastAsia="仿宋" w:cs="仿宋"/>
          <w:color w:val="000000"/>
          <w:sz w:val="24"/>
        </w:rPr>
      </w:pP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年  　月　  日</w:t>
      </w:r>
    </w:p>
    <w:p>
      <w:pPr>
        <w:rPr>
          <w:rFonts w:hint="eastAsia" w:ascii="宋体" w:hAnsi="宋体" w:cs="宋体"/>
          <w:color w:val="000000"/>
          <w:sz w:val="24"/>
        </w:rPr>
      </w:pPr>
      <w:r>
        <w:rPr>
          <w:rFonts w:hint="eastAsia" w:ascii="宋体" w:hAnsi="宋体" w:cs="宋体"/>
          <w:color w:val="000000"/>
          <w:sz w:val="24"/>
        </w:rPr>
        <w:br w:type="page"/>
      </w:r>
    </w:p>
    <w:p>
      <w:pPr>
        <w:pStyle w:val="2"/>
        <w:spacing w:after="0" w:line="360" w:lineRule="auto"/>
        <w:ind w:left="431" w:hanging="431"/>
        <w:jc w:val="center"/>
        <w:rPr>
          <w:rFonts w:ascii="仿宋" w:hAnsi="仿宋" w:eastAsia="仿宋" w:cs="仿宋"/>
        </w:rPr>
      </w:pPr>
      <w:r>
        <w:rPr>
          <w:rFonts w:hint="eastAsia" w:ascii="仿宋" w:hAnsi="仿宋" w:eastAsia="仿宋" w:cs="仿宋"/>
        </w:rPr>
        <w:t>第六部分</w:t>
      </w:r>
      <w:bookmarkEnd w:id="417"/>
      <w:r>
        <w:rPr>
          <w:rFonts w:hint="eastAsia" w:ascii="仿宋" w:hAnsi="仿宋" w:eastAsia="仿宋" w:cs="仿宋"/>
        </w:rPr>
        <w:t xml:space="preserve"> </w:t>
      </w:r>
      <w:bookmarkEnd w:id="418"/>
      <w:r>
        <w:rPr>
          <w:rFonts w:hint="eastAsia" w:ascii="仿宋" w:hAnsi="仿宋" w:eastAsia="仿宋" w:cs="仿宋"/>
        </w:rPr>
        <w:t>应提交的有关格式范例</w:t>
      </w:r>
      <w:bookmarkEnd w:id="420"/>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bookmarkStart w:id="421" w:name="_Toc32728"/>
      <w:r>
        <w:rPr>
          <w:rFonts w:hint="eastAsia" w:ascii="仿宋" w:hAnsi="仿宋" w:eastAsia="仿宋" w:cs="仿宋"/>
          <w:b/>
          <w:kern w:val="0"/>
          <w:sz w:val="36"/>
          <w:szCs w:val="36"/>
        </w:rPr>
        <w:t>资格文件部分</w:t>
      </w:r>
      <w:bookmarkEnd w:id="421"/>
    </w:p>
    <w:p>
      <w:pPr>
        <w:spacing w:line="360" w:lineRule="auto"/>
        <w:jc w:val="center"/>
        <w:outlineLvl w:val="0"/>
        <w:rPr>
          <w:rFonts w:ascii="仿宋" w:hAnsi="仿宋" w:eastAsia="仿宋" w:cs="仿宋"/>
          <w:b/>
          <w:kern w:val="0"/>
          <w:sz w:val="36"/>
          <w:szCs w:val="36"/>
        </w:rPr>
      </w:pPr>
      <w:bookmarkStart w:id="422" w:name="_Toc26140"/>
      <w:r>
        <w:rPr>
          <w:rFonts w:hint="eastAsia" w:ascii="仿宋" w:hAnsi="仿宋" w:eastAsia="仿宋" w:cs="仿宋"/>
          <w:b/>
          <w:kern w:val="0"/>
          <w:sz w:val="36"/>
          <w:szCs w:val="36"/>
        </w:rPr>
        <w:t>目录</w:t>
      </w:r>
      <w:bookmarkEnd w:id="422"/>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投标声明书</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rPr>
        <w:t>法人或者其他组织的营业执照等证明文件，自然人的身份证明…（页码）</w:t>
      </w:r>
    </w:p>
    <w:p>
      <w:pPr>
        <w:snapToGrid w:val="0"/>
        <w:spacing w:line="360" w:lineRule="auto"/>
        <w:rPr>
          <w:rFonts w:ascii="仿宋" w:hAnsi="仿宋" w:eastAsia="仿宋" w:cs="仿宋"/>
          <w:sz w:val="24"/>
        </w:rPr>
      </w:pPr>
      <w:r>
        <w:rPr>
          <w:rFonts w:hint="eastAsia" w:ascii="仿宋" w:hAnsi="仿宋" w:eastAsia="仿宋" w:cs="仿宋"/>
          <w:sz w:val="24"/>
        </w:rPr>
        <w:t>（3）需要说明的其他资料…………………………………………………（页码）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w:t>
      </w:r>
      <w:bookmarkStart w:id="423" w:name="_Toc17337"/>
      <w:r>
        <w:rPr>
          <w:rFonts w:hint="eastAsia" w:ascii="仿宋" w:hAnsi="仿宋" w:eastAsia="仿宋" w:cs="仿宋"/>
          <w:b/>
          <w:kern w:val="0"/>
          <w:sz w:val="32"/>
          <w:szCs w:val="32"/>
          <w:lang w:val="zh-CN"/>
        </w:rPr>
        <w:t>投标声明书</w:t>
      </w:r>
      <w:bookmarkEnd w:id="423"/>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（投标人名称）系中华人民共和国合法企业，（经营地址）。</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我（ 姓名 ）系（ 投标人名称 ）的法定代表人，我公司自愿参加贵方组织的</w:t>
      </w:r>
      <w:r>
        <w:rPr>
          <w:rFonts w:hint="eastAsia" w:ascii="仿宋" w:hAnsi="仿宋" w:eastAsia="仿宋" w:cs="仿宋"/>
          <w:sz w:val="24"/>
          <w:u w:val="single"/>
          <w:lang w:val="zh-CN" w:eastAsia="zh-CN"/>
        </w:rPr>
        <w:t>椒江区“平安家庭”家事纠纷化解“一类事”平台建设项目</w:t>
      </w:r>
      <w:r>
        <w:rPr>
          <w:rFonts w:hint="eastAsia" w:ascii="仿宋" w:hAnsi="仿宋" w:eastAsia="仿宋" w:cs="仿宋"/>
          <w:sz w:val="24"/>
          <w:lang w:val="zh-CN"/>
        </w:rPr>
        <w:t>的投标，为此，我公司就本次投标有关事项郑重声明如下：</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1、我公司具有良好的商业信誉和健全的财务会计制度；</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2、我公司具有依法缴纳税收和社会保障资金的良好记录；</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我公司截止投标时间近三年以来，在经营活动中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4、我公司截止投标响应截止时间前，未被“信用中国”（www.creditchina.gov.cn）、“中国政府采购网”（www.ccgp.gov.cn）列入失信被执行人、重大税收违法失信主体、政府采购严重违法失信行为记录名单。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5、我公司在参与投标前已详细审查了招标文件和所有相关资料，我方完全明白并认为此招标文件没有倾向性，也没有存在排斥潜在投标人的内容，我方同意招标文件的相关条款。</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6、我公司不是招标人的附属机构；在获知本项目采购信息后，与招标人聘请的为此项目提供咨询服务的公司及其附属机构没有任何联系。</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7、我公司保证，招标人在中华人民共和国境内使用我公司投标货物、资料、技术、服务或其任何一部分时，享有不受限制的无偿使用权，如有第三方向招标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8、我公司严格履行采购合同，不降低合同约定的产品质量和服务，不擅自变更、中止、终止合同，或拒绝履行合同义务；</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9、以上事项如有虚假或隐瞒，我公司愿意承担一切后果，并不再寻求任何旨在减轻或免除法律责任的辩解。</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10、我公司承诺单位负责人为同一人或者存在控股、管理关系的不同单位，不参加同一标段投标。</w:t>
      </w:r>
    </w:p>
    <w:p>
      <w:pPr>
        <w:snapToGrid w:val="0"/>
        <w:spacing w:line="360" w:lineRule="auto"/>
        <w:ind w:firstLine="480" w:firstLineChars="200"/>
        <w:rPr>
          <w:rFonts w:ascii="仿宋" w:hAnsi="仿宋" w:eastAsia="仿宋" w:cs="仿宋"/>
          <w:sz w:val="24"/>
          <w:lang w:val="zh-CN"/>
        </w:rPr>
      </w:pPr>
      <w:bookmarkStart w:id="424" w:name="_Toc9086"/>
      <w:r>
        <w:rPr>
          <w:rFonts w:hint="eastAsia" w:ascii="仿宋" w:hAnsi="仿宋" w:eastAsia="仿宋" w:cs="仿宋"/>
          <w:sz w:val="24"/>
          <w:lang w:val="zh-CN" w:eastAsia="zh-CN"/>
        </w:rPr>
        <w:t>11</w:t>
      </w:r>
      <w:r>
        <w:rPr>
          <w:rFonts w:hint="eastAsia" w:ascii="仿宋" w:hAnsi="仿宋" w:eastAsia="仿宋" w:cs="仿宋"/>
          <w:sz w:val="24"/>
          <w:lang w:val="zh-CN"/>
        </w:rPr>
        <w:t>、我公司不属于公益一类事业单位。</w:t>
      </w:r>
      <w:bookmarkEnd w:id="424"/>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二、法人或者其他组织的营业执照等证明文件，自然人的身份证明</w:t>
      </w:r>
    </w:p>
    <w:p>
      <w:pPr>
        <w:snapToGrid w:val="0"/>
        <w:spacing w:line="360" w:lineRule="auto"/>
        <w:ind w:right="48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、需要说明的其他资料</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bookmarkStart w:id="425" w:name="_Toc21317"/>
      <w:r>
        <w:rPr>
          <w:rFonts w:hint="eastAsia" w:ascii="仿宋" w:hAnsi="仿宋" w:eastAsia="仿宋" w:cs="仿宋"/>
          <w:b/>
          <w:kern w:val="0"/>
          <w:sz w:val="28"/>
          <w:szCs w:val="28"/>
        </w:rPr>
        <w:t>目录</w:t>
      </w:r>
      <w:bookmarkEnd w:id="425"/>
    </w:p>
    <w:p>
      <w:pPr>
        <w:numPr>
          <w:ilvl w:val="0"/>
          <w:numId w:val="6"/>
        </w:numPr>
        <w:snapToGrid w:val="0"/>
        <w:spacing w:line="360" w:lineRule="auto"/>
        <w:ind w:left="479" w:leftChars="228"/>
        <w:rPr>
          <w:rFonts w:ascii="仿宋" w:hAnsi="仿宋" w:eastAsia="仿宋" w:cs="仿宋"/>
          <w:sz w:val="24"/>
        </w:rPr>
      </w:pPr>
      <w:r>
        <w:rPr>
          <w:rFonts w:hint="eastAsia" w:ascii="仿宋" w:hAnsi="仿宋" w:eastAsia="仿宋" w:cs="仿宋"/>
          <w:sz w:val="24"/>
        </w:rPr>
        <w:t>投标函……………………………………………………………………………（页码）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（3）供应商情况介绍…………………………………………………………………（页码）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（6）商务技术偏离表…………………………………………………………………（页码）</w:t>
      </w:r>
    </w:p>
    <w:p>
      <w:pPr>
        <w:snapToGrid w:val="0"/>
        <w:spacing w:line="360" w:lineRule="auto"/>
        <w:ind w:left="479" w:leftChars="228"/>
        <w:rPr>
          <w:rFonts w:ascii="仿宋" w:hAnsi="仿宋" w:eastAsia="仿宋" w:cs="仿宋"/>
          <w:sz w:val="24"/>
          <w:lang w:val="zh-CN"/>
        </w:rPr>
      </w:pPr>
      <w:r>
        <w:rPr>
          <w:rFonts w:hint="eastAsia" w:ascii="仿宋" w:hAnsi="仿宋" w:eastAsia="仿宋" w:cs="仿宋"/>
          <w:sz w:val="24"/>
        </w:rPr>
        <w:t>（7）商务需求响应表…………………………………………………………………（页码）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zh-CN"/>
        </w:rPr>
        <w:t>诚信投标承诺书</w:t>
      </w:r>
      <w:r>
        <w:rPr>
          <w:rFonts w:hint="eastAsia" w:ascii="仿宋" w:hAnsi="仿宋" w:eastAsia="仿宋" w:cs="仿宋"/>
          <w:sz w:val="24"/>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bookmarkStart w:id="426" w:name="_Toc14362"/>
      <w:r>
        <w:rPr>
          <w:rFonts w:hint="eastAsia" w:ascii="仿宋" w:hAnsi="仿宋" w:eastAsia="仿宋" w:cs="仿宋"/>
          <w:b/>
          <w:kern w:val="0"/>
          <w:sz w:val="32"/>
          <w:szCs w:val="32"/>
        </w:rPr>
        <w:t>一、投标</w:t>
      </w:r>
      <w:r>
        <w:rPr>
          <w:rFonts w:hint="eastAsia" w:ascii="仿宋" w:hAnsi="仿宋" w:eastAsia="仿宋" w:cs="仿宋"/>
          <w:b/>
          <w:sz w:val="32"/>
          <w:szCs w:val="32"/>
        </w:rPr>
        <w:t>函</w:t>
      </w:r>
      <w:bookmarkEnd w:id="426"/>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我方参加你方组织的 </w:t>
      </w:r>
      <w:r>
        <w:rPr>
          <w:rFonts w:hint="eastAsia" w:ascii="仿宋" w:hAnsi="仿宋" w:eastAsia="仿宋" w:cs="仿宋"/>
          <w:sz w:val="24"/>
          <w:lang w:eastAsia="zh-CN"/>
        </w:rPr>
        <w:t>椒江区“平安家庭”家事纠纷化解“一类事”平台建设项目</w:t>
      </w:r>
      <w:r>
        <w:rPr>
          <w:rFonts w:hint="eastAsia" w:ascii="仿宋" w:hAnsi="仿宋" w:eastAsia="仿宋" w:cs="仿宋"/>
          <w:sz w:val="24"/>
        </w:rPr>
        <w:t>【招标编号：TZFD(2024)-</w:t>
      </w:r>
      <w:r>
        <w:rPr>
          <w:rFonts w:hint="eastAsia" w:ascii="仿宋" w:hAnsi="仿宋" w:eastAsia="仿宋" w:cs="仿宋"/>
          <w:sz w:val="24"/>
          <w:lang w:eastAsia="zh-CN"/>
        </w:rPr>
        <w:t>1081号</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zh-CN"/>
        </w:rPr>
        <w:t>投标声明书</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2.1.2法人或者其他组织的营业执照等证明文件，自然人的身份证明；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2.1.3需要说明的其他资料</w:t>
      </w:r>
      <w:r>
        <w:rPr>
          <w:rFonts w:hint="eastAsia" w:ascii="仿宋" w:hAnsi="仿宋" w:eastAsia="仿宋" w:cs="仿宋"/>
          <w:sz w:val="24"/>
          <w:lang w:eastAsia="zh-CN"/>
        </w:rPr>
        <w:t>（</w:t>
      </w:r>
      <w:r>
        <w:rPr>
          <w:rFonts w:hint="eastAsia" w:ascii="仿宋" w:hAnsi="仿宋" w:eastAsia="仿宋" w:cs="仿宋"/>
          <w:sz w:val="24"/>
        </w:rPr>
        <w:t>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2.2.3供应商情况介绍；</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2.2.7商务需求响应表；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2.2.8</w:t>
      </w:r>
      <w:r>
        <w:rPr>
          <w:rFonts w:hint="eastAsia" w:ascii="仿宋" w:hAnsi="仿宋" w:eastAsia="仿宋" w:cs="仿宋"/>
          <w:sz w:val="24"/>
          <w:lang w:val="zh-CN"/>
        </w:rPr>
        <w:t>诚信投标承诺书；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2.3.2投标项目报价明细表；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2.3.3投标人针对报价需要说明的其他文件和说明（格式自拟）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1058" w:firstLineChars="441"/>
        <w:rPr>
          <w:rFonts w:ascii="仿宋" w:hAnsi="仿宋" w:eastAsia="仿宋" w:cs="仿宋"/>
          <w:kern w:val="0"/>
          <w:sz w:val="24"/>
          <w:u w:val="single"/>
        </w:rPr>
      </w:pPr>
      <w:r>
        <w:rPr>
          <w:rFonts w:hint="eastAsia" w:ascii="仿宋" w:hAnsi="仿宋" w:eastAsia="仿宋" w:cs="仿宋"/>
          <w:sz w:val="24"/>
          <w:lang w:val="zh-CN"/>
        </w:rPr>
        <w:t>日期：</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我单位全权委托</w:t>
      </w:r>
      <w:r>
        <w:rPr>
          <w:rFonts w:hint="eastAsia" w:ascii="仿宋" w:hAnsi="仿宋" w:eastAsia="仿宋" w:cs="仿宋"/>
          <w:kern w:val="0"/>
          <w:sz w:val="24"/>
          <w:u w:val="single"/>
          <w:lang w:eastAsia="zh-CN"/>
        </w:rPr>
        <w:t>：</w:t>
      </w:r>
      <w:r>
        <w:rPr>
          <w:rFonts w:hint="eastAsia" w:ascii="仿宋" w:hAnsi="仿宋" w:eastAsia="仿宋" w:cs="仿宋"/>
          <w:kern w:val="0"/>
          <w:sz w:val="24"/>
          <w:u w:val="single"/>
        </w:rPr>
        <w:t xml:space="preserve">       （身份证号：              ）</w:t>
      </w:r>
      <w:r>
        <w:rPr>
          <w:rFonts w:hint="eastAsia" w:ascii="仿宋" w:hAnsi="仿宋" w:eastAsia="仿宋" w:cs="仿宋"/>
          <w:kern w:val="0"/>
          <w:sz w:val="24"/>
        </w:rPr>
        <w:t>作为我单位合法代理人，参加           （</w:t>
      </w:r>
      <w:r>
        <w:rPr>
          <w:rFonts w:hint="eastAsia" w:ascii="仿宋" w:hAnsi="仿宋" w:eastAsia="仿宋" w:cs="仿宋"/>
          <w:kern w:val="0"/>
          <w:sz w:val="24"/>
          <w:u w:val="single"/>
          <w:lang w:val="en-US" w:eastAsia="zh-CN"/>
        </w:rPr>
        <w:t>椒江区“平安家庭”家事纠纷化解“一类事”平台建设项目</w:t>
      </w:r>
      <w:r>
        <w:rPr>
          <w:rFonts w:hint="eastAsia" w:ascii="仿宋" w:hAnsi="仿宋" w:eastAsia="仿宋" w:cs="仿宋"/>
          <w:kern w:val="0"/>
          <w:sz w:val="24"/>
        </w:rPr>
        <w:t>）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firstLineChars="200"/>
        <w:rPr>
          <w:rFonts w:ascii="仿宋" w:hAnsi="仿宋" w:eastAsia="仿宋" w:cs="仿宋"/>
          <w:sz w:val="24"/>
          <w:lang w:val="zh-CN"/>
        </w:rPr>
      </w:pP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投标人（盖章或电子章）：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日期</w:t>
      </w:r>
      <w:r>
        <w:rPr>
          <w:rFonts w:hint="eastAsia" w:ascii="仿宋" w:hAnsi="仿宋" w:eastAsia="仿宋" w:cs="仿宋"/>
          <w:sz w:val="24"/>
        </w:rPr>
        <w:t>：</w:t>
      </w:r>
    </w:p>
    <w:p>
      <w:pPr>
        <w:snapToGrid w:val="0"/>
        <w:spacing w:line="360" w:lineRule="auto"/>
        <w:rPr>
          <w:rFonts w:ascii="仿宋" w:hAnsi="仿宋" w:eastAsia="仿宋" w:cs="仿宋"/>
          <w:kern w:val="0"/>
          <w:sz w:val="24"/>
          <w:lang w:val="zh-CN"/>
        </w:rPr>
      </w:pPr>
    </w:p>
    <w:p>
      <w:pPr>
        <w:autoSpaceDE w:val="0"/>
        <w:autoSpaceDN w:val="0"/>
        <w:spacing w:line="360" w:lineRule="auto"/>
        <w:jc w:val="center"/>
        <w:rPr>
          <w:rFonts w:ascii="仿宋" w:hAnsi="仿宋" w:eastAsia="仿宋" w:cs="仿宋"/>
          <w:b/>
          <w:kern w:val="0"/>
          <w:sz w:val="32"/>
          <w:szCs w:val="32"/>
          <w:lang w:val="zh-CN"/>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jc w:val="left"/>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footerReference r:id="rId10" w:type="first"/>
          <w:footerReference r:id="rId9" w:type="default"/>
          <w:pgSz w:w="11905" w:h="16838"/>
          <w:pgMar w:top="1440" w:right="1083" w:bottom="1440" w:left="1083" w:header="567" w:footer="567" w:gutter="0"/>
          <w:pgNumType w:fmt="decimal" w:start="1"/>
          <w:cols w:space="0" w:num="1"/>
          <w:docGrid w:linePitch="312" w:charSpace="0"/>
        </w:sectPr>
      </w:pPr>
    </w:p>
    <w:p>
      <w:pPr>
        <w:widowControl/>
        <w:spacing w:line="360" w:lineRule="auto"/>
        <w:ind w:firstLine="161" w:firstLineChars="50"/>
        <w:jc w:val="center"/>
        <w:rPr>
          <w:rFonts w:ascii="仿宋" w:hAnsi="仿宋" w:eastAsia="仿宋" w:cs="仿宋"/>
          <w:sz w:val="24"/>
        </w:rPr>
      </w:pPr>
      <w:r>
        <w:rPr>
          <w:rFonts w:hint="eastAsia" w:ascii="仿宋" w:hAnsi="仿宋" w:eastAsia="仿宋" w:cs="仿宋"/>
          <w:b/>
          <w:kern w:val="0"/>
          <w:sz w:val="32"/>
          <w:szCs w:val="32"/>
        </w:rPr>
        <w:t>三、供应商情况表</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见附件</w:t>
      </w:r>
    </w:p>
    <w:p>
      <w:pPr>
        <w:jc w:val="center"/>
        <w:rPr>
          <w:rFonts w:ascii="仿宋" w:hAnsi="仿宋" w:eastAsia="仿宋" w:cs="仿宋"/>
        </w:rPr>
      </w:pPr>
      <w:r>
        <w:rPr>
          <w:rFonts w:hint="eastAsia" w:ascii="仿宋" w:hAnsi="仿宋" w:eastAsia="仿宋" w:cs="仿宋"/>
          <w:b/>
          <w:kern w:val="0"/>
          <w:sz w:val="32"/>
          <w:szCs w:val="32"/>
        </w:rPr>
        <w:t>四、评标标准相应的商务技术资料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14"/>
        <w:gridCol w:w="1650"/>
        <w:gridCol w:w="228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b/>
          <w:bCs/>
          <w:sz w:val="32"/>
          <w:szCs w:val="32"/>
        </w:rPr>
        <w:br w:type="page"/>
      </w:r>
    </w:p>
    <w:p>
      <w:pPr>
        <w:widowControl/>
        <w:adjustRightInd/>
        <w:jc w:val="center"/>
        <w:rPr>
          <w:rFonts w:ascii="仿宋" w:hAnsi="仿宋" w:eastAsia="仿宋" w:cs="仿宋"/>
          <w:b/>
          <w:sz w:val="18"/>
          <w:szCs w:val="18"/>
        </w:rPr>
      </w:pPr>
      <w:r>
        <w:rPr>
          <w:rFonts w:hint="eastAsia" w:ascii="仿宋" w:hAnsi="仿宋" w:eastAsia="仿宋" w:cs="仿宋"/>
          <w:b/>
          <w:bCs/>
          <w:sz w:val="32"/>
          <w:szCs w:val="32"/>
        </w:rPr>
        <w:t>七</w:t>
      </w:r>
      <w:r>
        <w:rPr>
          <w:rFonts w:hint="eastAsia" w:ascii="仿宋" w:hAnsi="仿宋" w:eastAsia="仿宋" w:cs="仿宋"/>
          <w:b/>
          <w:kern w:val="0"/>
          <w:sz w:val="32"/>
          <w:szCs w:val="32"/>
        </w:rPr>
        <w:t>、</w:t>
      </w:r>
      <w:bookmarkStart w:id="427" w:name="_Toc21582_WPSOffice_Level1"/>
      <w:bookmarkStart w:id="428" w:name="_Toc3068_WPSOffice_Level1"/>
      <w:r>
        <w:rPr>
          <w:rFonts w:hint="eastAsia" w:ascii="仿宋" w:hAnsi="仿宋" w:eastAsia="仿宋" w:cs="仿宋"/>
          <w:b/>
          <w:sz w:val="32"/>
          <w:szCs w:val="32"/>
        </w:rPr>
        <w:t>商务需求响应表</w:t>
      </w:r>
      <w:bookmarkEnd w:id="427"/>
      <w:bookmarkEnd w:id="428"/>
    </w:p>
    <w:tbl>
      <w:tblPr>
        <w:tblStyle w:val="65"/>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序号</w:t>
            </w:r>
          </w:p>
        </w:tc>
        <w:tc>
          <w:tcPr>
            <w:tcW w:w="2587" w:type="dxa"/>
            <w:tcMar>
              <w:top w:w="57" w:type="dxa"/>
              <w:left w:w="108" w:type="dxa"/>
              <w:bottom w:w="0" w:type="dxa"/>
              <w:right w:w="108" w:type="dxa"/>
            </w:tcMar>
            <w:vAlign w:val="center"/>
          </w:tcPr>
          <w:p>
            <w:pPr>
              <w:rPr>
                <w:rFonts w:ascii="仿宋" w:hAnsi="仿宋" w:eastAsia="仿宋" w:cs="仿宋"/>
                <w:b/>
                <w:sz w:val="24"/>
              </w:rPr>
            </w:pPr>
            <w:r>
              <w:rPr>
                <w:rFonts w:hint="eastAsia" w:ascii="仿宋" w:hAnsi="仿宋" w:eastAsia="仿宋" w:cs="仿宋"/>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仿宋" w:hAnsi="仿宋" w:eastAsia="仿宋" w:cs="仿宋"/>
                <w:b/>
                <w:sz w:val="24"/>
              </w:rPr>
            </w:pPr>
            <w:r>
              <w:rPr>
                <w:rFonts w:hint="eastAsia" w:ascii="仿宋" w:hAnsi="仿宋" w:eastAsia="仿宋" w:cs="仿宋"/>
                <w:b/>
                <w:sz w:val="24"/>
              </w:rPr>
              <w:t>招标需求</w:t>
            </w:r>
          </w:p>
        </w:tc>
        <w:tc>
          <w:tcPr>
            <w:tcW w:w="1365" w:type="dxa"/>
            <w:tcMar>
              <w:top w:w="57" w:type="dxa"/>
              <w:left w:w="108" w:type="dxa"/>
              <w:bottom w:w="0" w:type="dxa"/>
              <w:right w:w="108" w:type="dxa"/>
            </w:tcMar>
            <w:vAlign w:val="center"/>
          </w:tcPr>
          <w:p>
            <w:pPr>
              <w:ind w:left="152"/>
              <w:rPr>
                <w:rFonts w:ascii="仿宋" w:hAnsi="仿宋" w:eastAsia="仿宋" w:cs="仿宋"/>
                <w:b/>
                <w:sz w:val="24"/>
              </w:rPr>
            </w:pPr>
            <w:r>
              <w:rPr>
                <w:rFonts w:hint="eastAsia" w:ascii="仿宋" w:hAnsi="仿宋" w:eastAsia="仿宋" w:cs="仿宋"/>
                <w:b/>
                <w:sz w:val="24"/>
              </w:rPr>
              <w:t>是否响应</w:t>
            </w:r>
          </w:p>
        </w:tc>
        <w:tc>
          <w:tcPr>
            <w:tcW w:w="2633" w:type="dxa"/>
            <w:tcMar>
              <w:top w:w="57" w:type="dxa"/>
              <w:left w:w="108" w:type="dxa"/>
              <w:bottom w:w="0" w:type="dxa"/>
              <w:right w:w="108" w:type="dxa"/>
            </w:tcMar>
            <w:vAlign w:val="center"/>
          </w:tcPr>
          <w:p>
            <w:pPr>
              <w:jc w:val="center"/>
              <w:rPr>
                <w:rFonts w:ascii="仿宋" w:hAnsi="仿宋" w:eastAsia="仿宋" w:cs="仿宋"/>
                <w:b/>
                <w:sz w:val="24"/>
              </w:rPr>
            </w:pPr>
            <w:r>
              <w:rPr>
                <w:rFonts w:hint="eastAsia" w:ascii="仿宋" w:hAnsi="仿宋" w:eastAsia="仿宋" w:cs="仿宋"/>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售后服务保障要求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备品备件及耗材等要求</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质保期</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r>
              <w:rPr>
                <w:rFonts w:hint="eastAsia" w:ascii="仿宋" w:hAnsi="仿宋" w:eastAsia="仿宋" w:cs="仿宋"/>
                <w:sz w:val="24"/>
              </w:rPr>
              <w:t>……</w:t>
            </w: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仿宋" w:hAnsi="仿宋" w:eastAsia="仿宋" w:cs="仿宋"/>
                <w:sz w:val="24"/>
              </w:rPr>
            </w:pPr>
          </w:p>
        </w:tc>
        <w:tc>
          <w:tcPr>
            <w:tcW w:w="2587" w:type="dxa"/>
            <w:tcMar>
              <w:top w:w="57" w:type="dxa"/>
              <w:left w:w="108" w:type="dxa"/>
              <w:bottom w:w="0" w:type="dxa"/>
              <w:right w:w="108" w:type="dxa"/>
            </w:tcMar>
          </w:tcPr>
          <w:p>
            <w:pPr>
              <w:snapToGrid w:val="0"/>
              <w:rPr>
                <w:rFonts w:ascii="仿宋" w:hAnsi="仿宋" w:eastAsia="仿宋" w:cs="仿宋"/>
                <w:sz w:val="24"/>
              </w:rPr>
            </w:pPr>
          </w:p>
        </w:tc>
        <w:tc>
          <w:tcPr>
            <w:tcW w:w="1785" w:type="dxa"/>
            <w:tcMar>
              <w:top w:w="57" w:type="dxa"/>
              <w:left w:w="108" w:type="dxa"/>
              <w:bottom w:w="0" w:type="dxa"/>
              <w:right w:w="108" w:type="dxa"/>
            </w:tcMar>
            <w:vAlign w:val="center"/>
          </w:tcPr>
          <w:p>
            <w:pPr>
              <w:rPr>
                <w:rFonts w:ascii="仿宋" w:hAnsi="仿宋" w:eastAsia="仿宋" w:cs="仿宋"/>
                <w:sz w:val="24"/>
              </w:rPr>
            </w:pPr>
          </w:p>
        </w:tc>
        <w:tc>
          <w:tcPr>
            <w:tcW w:w="1365" w:type="dxa"/>
            <w:tcMar>
              <w:top w:w="57" w:type="dxa"/>
              <w:left w:w="108" w:type="dxa"/>
              <w:bottom w:w="0" w:type="dxa"/>
              <w:right w:w="108" w:type="dxa"/>
            </w:tcMar>
            <w:vAlign w:val="center"/>
          </w:tcPr>
          <w:p>
            <w:pPr>
              <w:rPr>
                <w:rFonts w:ascii="仿宋" w:hAnsi="仿宋" w:eastAsia="仿宋" w:cs="仿宋"/>
                <w:sz w:val="24"/>
              </w:rPr>
            </w:pPr>
          </w:p>
        </w:tc>
        <w:tc>
          <w:tcPr>
            <w:tcW w:w="2633" w:type="dxa"/>
            <w:tcMar>
              <w:top w:w="57" w:type="dxa"/>
              <w:left w:w="108" w:type="dxa"/>
              <w:bottom w:w="0" w:type="dxa"/>
              <w:right w:w="108" w:type="dxa"/>
            </w:tcMar>
            <w:vAlign w:val="center"/>
          </w:tcPr>
          <w:p>
            <w:pPr>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ind w:left="0" w:leftChars="0" w:firstLine="0" w:firstLineChars="0"/>
        <w:jc w:val="center"/>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诚信投标承诺书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本人以企业法定代表人的身份郑重承诺：</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一、将遵循公开、公平、公正和诚实信用的原则参加</w:t>
      </w:r>
      <w:r>
        <w:rPr>
          <w:rFonts w:hint="eastAsia" w:ascii="仿宋" w:hAnsi="仿宋" w:eastAsia="仿宋" w:cs="仿宋"/>
          <w:kern w:val="0"/>
          <w:sz w:val="24"/>
          <w:lang w:val="zh-CN" w:eastAsia="zh-CN"/>
        </w:rPr>
        <w:t xml:space="preserve">               </w:t>
      </w:r>
      <w:r>
        <w:rPr>
          <w:rFonts w:hint="eastAsia" w:ascii="仿宋" w:hAnsi="仿宋" w:eastAsia="仿宋" w:cs="仿宋"/>
          <w:kern w:val="0"/>
          <w:sz w:val="24"/>
          <w:lang w:val="zh-CN"/>
        </w:rPr>
        <w:t>（工程项目名称）的投标；</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二、所提供的一切材料都是真实、有效、合法的；</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三、不与其他投标人相互串通投标报价，不排挤其他投标人的公平竞争，不损害招标人或其他投标人的合法权益；</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四、不与招标人或招标代理机构串通投标，损害国家利益、社会公共利益或者他人的合法权益；</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五、不向招标人或者评标委员会成员行贿以牟取中标；</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六、不以他人名义投标或者以其他方式弄虚作假，骗取中标。</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七、本公司</w:t>
      </w:r>
      <w:r>
        <w:rPr>
          <w:rFonts w:hint="eastAsia" w:ascii="仿宋" w:hAnsi="仿宋" w:eastAsia="仿宋" w:cs="仿宋"/>
          <w:kern w:val="0"/>
          <w:sz w:val="24"/>
          <w:lang w:val="zh-CN" w:eastAsia="zh-CN"/>
        </w:rPr>
        <w:t>和总监理工程师</w:t>
      </w:r>
      <w:r>
        <w:rPr>
          <w:rFonts w:hint="eastAsia" w:ascii="仿宋" w:hAnsi="仿宋" w:eastAsia="仿宋" w:cs="仿宋"/>
          <w:kern w:val="0"/>
          <w:sz w:val="24"/>
          <w:lang w:val="zh-CN"/>
        </w:rPr>
        <w:t>的投标资格</w:t>
      </w:r>
      <w:r>
        <w:rPr>
          <w:rFonts w:hint="eastAsia" w:ascii="仿宋" w:hAnsi="仿宋" w:eastAsia="仿宋" w:cs="仿宋"/>
          <w:kern w:val="0"/>
          <w:sz w:val="24"/>
          <w:lang w:val="zh-CN" w:eastAsia="zh-CN"/>
        </w:rPr>
        <w:t>均符合</w:t>
      </w:r>
      <w:r>
        <w:rPr>
          <w:rFonts w:hint="eastAsia" w:ascii="仿宋" w:hAnsi="仿宋" w:eastAsia="仿宋" w:cs="仿宋"/>
          <w:kern w:val="0"/>
          <w:sz w:val="24"/>
          <w:lang w:val="zh-CN"/>
        </w:rPr>
        <w:t>招标文件</w:t>
      </w:r>
      <w:r>
        <w:rPr>
          <w:rFonts w:hint="eastAsia" w:ascii="仿宋" w:hAnsi="仿宋" w:eastAsia="仿宋" w:cs="仿宋"/>
          <w:kern w:val="0"/>
          <w:sz w:val="24"/>
          <w:lang w:val="zh-CN" w:eastAsia="zh-CN"/>
        </w:rPr>
        <w:t>规定</w:t>
      </w:r>
      <w:r>
        <w:rPr>
          <w:rFonts w:hint="eastAsia" w:ascii="仿宋" w:hAnsi="仿宋" w:eastAsia="仿宋" w:cs="仿宋"/>
          <w:kern w:val="0"/>
          <w:sz w:val="24"/>
          <w:lang w:val="zh-CN"/>
        </w:rPr>
        <w:t>，</w:t>
      </w:r>
      <w:r>
        <w:rPr>
          <w:rFonts w:hint="eastAsia" w:ascii="仿宋" w:hAnsi="仿宋" w:eastAsia="仿宋" w:cs="仿宋"/>
          <w:kern w:val="0"/>
          <w:sz w:val="24"/>
          <w:lang w:val="zh-CN" w:eastAsia="zh-CN"/>
        </w:rPr>
        <w:t>确实无误</w:t>
      </w:r>
      <w:r>
        <w:rPr>
          <w:rFonts w:hint="eastAsia" w:ascii="仿宋" w:hAnsi="仿宋" w:eastAsia="仿宋" w:cs="仿宋"/>
          <w:kern w:val="0"/>
          <w:sz w:val="24"/>
          <w:lang w:val="zh-CN"/>
        </w:rPr>
        <w:t>。</w:t>
      </w:r>
    </w:p>
    <w:p>
      <w:pPr>
        <w:autoSpaceDE w:val="0"/>
        <w:autoSpaceDN w:val="0"/>
        <w:spacing w:line="360" w:lineRule="auto"/>
        <w:ind w:left="0" w:leftChars="0" w:firstLine="417" w:firstLineChars="174"/>
        <w:jc w:val="left"/>
        <w:rPr>
          <w:rFonts w:hint="eastAsia" w:ascii="仿宋" w:hAnsi="仿宋" w:eastAsia="仿宋" w:cs="仿宋"/>
          <w:kern w:val="0"/>
          <w:sz w:val="24"/>
          <w:lang w:val="zh-CN"/>
        </w:rPr>
      </w:pPr>
      <w:r>
        <w:rPr>
          <w:rFonts w:hint="eastAsia" w:ascii="仿宋" w:hAnsi="仿宋" w:eastAsia="仿宋" w:cs="仿宋"/>
          <w:kern w:val="0"/>
          <w:sz w:val="24"/>
          <w:lang w:val="zh-CN"/>
        </w:rPr>
        <w:t>本公司若有违反本承诺内容的行为，愿意承担法律责任，并愿意接受招投标行政监督部门的任何处理。如已中标的，自动放弃中标资格；给招标人造成损失的，依法承担赔偿责任。</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jc w:val="left"/>
        <w:rPr>
          <w:rFonts w:ascii="仿宋" w:hAnsi="仿宋" w:eastAsia="仿宋" w:cs="仿宋"/>
          <w:kern w:val="0"/>
          <w:sz w:val="24"/>
          <w:lang w:val="zh-CN"/>
        </w:rPr>
      </w:pPr>
      <w:r>
        <w:rPr>
          <w:rFonts w:hint="eastAsia" w:ascii="仿宋" w:hAnsi="仿宋" w:eastAsia="仿宋" w:cs="仿宋"/>
          <w:sz w:val="24"/>
          <w:lang w:val="zh-CN"/>
        </w:rPr>
        <w:t>日期：</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2" w:type="first"/>
          <w:footerReference r:id="rId14" w:type="first"/>
          <w:headerReference r:id="rId11" w:type="default"/>
          <w:footerReference r:id="rId13" w:type="default"/>
          <w:pgSz w:w="11905" w:h="16838"/>
          <w:pgMar w:top="1440" w:right="1083" w:bottom="1440" w:left="1083" w:header="567" w:footer="567" w:gutter="0"/>
          <w:pgNumType w:fmt="decimal"/>
          <w:cols w:space="0" w:num="1"/>
          <w:titlePg/>
          <w:docGrid w:linePitch="312" w:charSpace="0"/>
        </w:sectPr>
      </w:pPr>
    </w:p>
    <w:p>
      <w:pPr>
        <w:spacing w:line="360" w:lineRule="auto"/>
        <w:jc w:val="center"/>
        <w:outlineLvl w:val="0"/>
        <w:rPr>
          <w:rFonts w:ascii="仿宋" w:hAnsi="仿宋" w:eastAsia="仿宋" w:cs="仿宋"/>
          <w:b/>
          <w:kern w:val="0"/>
          <w:sz w:val="36"/>
          <w:szCs w:val="36"/>
        </w:rPr>
      </w:pPr>
      <w:bookmarkStart w:id="429" w:name="_Toc8220"/>
      <w:r>
        <w:rPr>
          <w:rFonts w:hint="eastAsia" w:ascii="仿宋" w:hAnsi="仿宋" w:eastAsia="仿宋" w:cs="仿宋"/>
          <w:b/>
          <w:kern w:val="0"/>
          <w:sz w:val="36"/>
          <w:szCs w:val="36"/>
        </w:rPr>
        <w:t>报价文件部分</w:t>
      </w:r>
      <w:bookmarkEnd w:id="429"/>
    </w:p>
    <w:p>
      <w:pPr>
        <w:spacing w:line="360" w:lineRule="auto"/>
        <w:jc w:val="center"/>
        <w:outlineLvl w:val="0"/>
        <w:rPr>
          <w:rFonts w:ascii="仿宋" w:hAnsi="仿宋" w:eastAsia="仿宋" w:cs="仿宋"/>
          <w:b/>
          <w:kern w:val="0"/>
          <w:sz w:val="36"/>
          <w:szCs w:val="36"/>
        </w:rPr>
      </w:pPr>
      <w:bookmarkStart w:id="430" w:name="_Toc4678"/>
      <w:r>
        <w:rPr>
          <w:rFonts w:hint="eastAsia" w:ascii="仿宋" w:hAnsi="仿宋" w:eastAsia="仿宋" w:cs="仿宋"/>
          <w:b/>
          <w:kern w:val="0"/>
          <w:sz w:val="36"/>
          <w:szCs w:val="36"/>
        </w:rPr>
        <w:t>目录</w:t>
      </w:r>
      <w:bookmarkEnd w:id="430"/>
    </w:p>
    <w:p>
      <w:pPr>
        <w:spacing w:line="360" w:lineRule="auto"/>
        <w:jc w:val="center"/>
        <w:rPr>
          <w:rFonts w:ascii="仿宋" w:hAnsi="仿宋" w:eastAsia="仿宋" w:cs="仿宋"/>
          <w:b/>
          <w:kern w:val="0"/>
          <w:sz w:val="36"/>
          <w:szCs w:val="36"/>
        </w:rPr>
      </w:pP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投标项目报价明细表…………………………………………………………（页码）</w:t>
      </w:r>
    </w:p>
    <w:p>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投标人针对报价需要说明的其他文件和说明………………………………（页码）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6" w:type="first"/>
          <w:footerReference r:id="rId18" w:type="first"/>
          <w:headerReference r:id="rId15" w:type="default"/>
          <w:footerReference r:id="rId17" w:type="default"/>
          <w:pgSz w:w="11905" w:h="16838"/>
          <w:pgMar w:top="1440" w:right="1083" w:bottom="1440" w:left="1083" w:header="567" w:footer="567" w:gutter="0"/>
          <w:pgNumType w:fmt="decimal"/>
          <w:cols w:space="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bookmarkStart w:id="431" w:name="_Toc13350"/>
      <w:r>
        <w:rPr>
          <w:rFonts w:hint="eastAsia" w:ascii="仿宋" w:hAnsi="仿宋" w:eastAsia="仿宋" w:cs="仿宋"/>
          <w:kern w:val="2"/>
          <w:sz w:val="32"/>
          <w:szCs w:val="32"/>
        </w:rPr>
        <w:t>一、开标一览表（报价表）</w:t>
      </w:r>
      <w:bookmarkEnd w:id="431"/>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 xml:space="preserve"> </w:t>
      </w:r>
      <w:r>
        <w:rPr>
          <w:rFonts w:hint="eastAsia" w:ascii="仿宋" w:hAnsi="仿宋" w:eastAsia="仿宋" w:cs="仿宋"/>
          <w:sz w:val="24"/>
          <w:lang w:eastAsia="zh-CN"/>
        </w:rPr>
        <w:t>椒江区“平安家庭”家事纠纷化解“一类事”平台建设项目</w:t>
      </w:r>
      <w:r>
        <w:rPr>
          <w:rFonts w:hint="eastAsia" w:ascii="仿宋" w:hAnsi="仿宋" w:eastAsia="仿宋" w:cs="仿宋"/>
          <w:kern w:val="0"/>
          <w:sz w:val="24"/>
          <w:lang w:val="zh-CN"/>
        </w:rPr>
        <w:t>【招标编号：</w:t>
      </w:r>
      <w:r>
        <w:rPr>
          <w:rFonts w:hint="eastAsia" w:ascii="仿宋" w:hAnsi="仿宋" w:eastAsia="仿宋" w:cs="仿宋"/>
          <w:sz w:val="24"/>
        </w:rPr>
        <w:t>TZFD(2024)-</w:t>
      </w:r>
      <w:r>
        <w:rPr>
          <w:rFonts w:hint="eastAsia" w:ascii="仿宋" w:hAnsi="仿宋" w:eastAsia="仿宋" w:cs="仿宋"/>
          <w:sz w:val="24"/>
          <w:lang w:eastAsia="zh-CN"/>
        </w:rPr>
        <w:t>1081号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开标一览表（报价表）(标项：</w:t>
      </w:r>
      <w:r>
        <w:rPr>
          <w:rFonts w:hint="eastAsia" w:ascii="仿宋" w:hAnsi="仿宋" w:eastAsia="仿宋" w:cs="仿宋"/>
          <w:b/>
          <w:kern w:val="0"/>
          <w:sz w:val="24"/>
        </w:rPr>
        <w:t xml:space="preserve">    </w:t>
      </w:r>
      <w:r>
        <w:rPr>
          <w:rFonts w:hint="eastAsia" w:ascii="仿宋" w:hAnsi="仿宋" w:eastAsia="仿宋" w:cs="仿宋"/>
          <w:b/>
          <w:kern w:val="0"/>
          <w:sz w:val="24"/>
          <w:lang w:val="zh-CN"/>
        </w:rPr>
        <w:t>)</w:t>
      </w:r>
    </w:p>
    <w:tbl>
      <w:tblPr>
        <w:tblStyle w:val="6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723"/>
        <w:gridCol w:w="492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序号</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采购内容</w:t>
            </w:r>
          </w:p>
        </w:tc>
        <w:tc>
          <w:tcPr>
            <w:tcW w:w="49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b/>
                <w:sz w:val="24"/>
              </w:rPr>
              <w:t>金   额</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r>
              <w:rPr>
                <w:rFonts w:hint="eastAsia" w:ascii="仿宋" w:hAnsi="仿宋" w:eastAsia="仿宋" w:cs="仿宋"/>
              </w:rPr>
              <w:t>1</w:t>
            </w:r>
          </w:p>
        </w:tc>
        <w:tc>
          <w:tcPr>
            <w:tcW w:w="272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lang w:eastAsia="zh-CN"/>
              </w:rPr>
            </w:pPr>
            <w:r>
              <w:rPr>
                <w:rFonts w:hint="eastAsia" w:ascii="仿宋" w:hAnsi="仿宋" w:eastAsia="仿宋" w:cs="仿宋"/>
                <w:sz w:val="24"/>
              </w:rPr>
              <w:t xml:space="preserve"> </w:t>
            </w:r>
            <w:r>
              <w:rPr>
                <w:rFonts w:hint="eastAsia" w:ascii="仿宋" w:hAnsi="仿宋" w:eastAsia="仿宋" w:cs="仿宋"/>
                <w:sz w:val="24"/>
                <w:lang w:eastAsia="zh-CN"/>
              </w:rPr>
              <w:t>椒江区“平安家庭”家事纠纷化解“一类事”平台建设项目</w:t>
            </w:r>
          </w:p>
        </w:tc>
        <w:tc>
          <w:tcPr>
            <w:tcW w:w="49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sz w:val="24"/>
              </w:rPr>
            </w:pPr>
            <w:r>
              <w:rPr>
                <w:rFonts w:hint="eastAsia" w:ascii="仿宋" w:hAnsi="仿宋" w:eastAsia="仿宋"/>
                <w:sz w:val="24"/>
              </w:rPr>
              <w:t>大写：人民币______________________元整</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小写：¥__________________________元</w:t>
            </w:r>
          </w:p>
          <w:p>
            <w:pPr>
              <w:spacing w:line="380" w:lineRule="exact"/>
              <w:jc w:val="center"/>
              <w:rPr>
                <w:rFonts w:ascii="仿宋" w:hAnsi="仿宋" w:eastAsia="仿宋" w:cs="仿宋"/>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rPr>
            </w:pPr>
          </w:p>
        </w:tc>
      </w:tr>
    </w:tbl>
    <w:p>
      <w:pPr>
        <w:spacing w:line="360" w:lineRule="auto"/>
        <w:jc w:val="center"/>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638" w:firstLineChars="266"/>
        <w:jc w:val="left"/>
        <w:rPr>
          <w:rFonts w:ascii="仿宋" w:hAnsi="仿宋" w:eastAsia="仿宋" w:cs="仿宋"/>
          <w:kern w:val="0"/>
          <w:sz w:val="24"/>
          <w:lang w:val="zh-CN"/>
        </w:rPr>
      </w:pPr>
      <w:r>
        <w:rPr>
          <w:rFonts w:hint="eastAsia" w:ascii="仿宋" w:hAnsi="仿宋" w:eastAsia="仿宋" w:cs="仿宋"/>
          <w:sz w:val="24"/>
          <w:lang w:val="zh-CN"/>
        </w:rPr>
        <w:t>日期：</w:t>
      </w:r>
    </w:p>
    <w:p>
      <w:pP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before="240" w:beforeLines="100" w:after="240" w:afterLines="100" w:line="360" w:lineRule="auto"/>
        <w:ind w:right="105" w:rightChars="50"/>
        <w:jc w:val="center"/>
        <w:rPr>
          <w:rFonts w:ascii="仿宋" w:hAnsi="仿宋" w:eastAsia="仿宋" w:cs="仿宋"/>
          <w:b/>
          <w:bCs/>
          <w:sz w:val="32"/>
          <w:szCs w:val="32"/>
        </w:rPr>
      </w:pPr>
      <w:r>
        <w:rPr>
          <w:rFonts w:hint="eastAsia" w:ascii="仿宋" w:hAnsi="仿宋" w:eastAsia="仿宋" w:cs="仿宋"/>
          <w:b/>
          <w:bCs/>
          <w:sz w:val="32"/>
          <w:szCs w:val="32"/>
        </w:rPr>
        <w:t>投标项目报价明细表</w:t>
      </w:r>
    </w:p>
    <w:p>
      <w:pPr>
        <w:jc w:val="left"/>
        <w:rPr>
          <w:rFonts w:ascii="仿宋" w:hAnsi="仿宋" w:eastAsia="仿宋" w:cs="仿宋"/>
          <w:b/>
          <w:sz w:val="24"/>
        </w:rPr>
      </w:pPr>
      <w:r>
        <w:rPr>
          <w:rFonts w:hint="eastAsia" w:ascii="仿宋" w:hAnsi="仿宋" w:eastAsia="仿宋" w:cs="仿宋"/>
          <w:b/>
          <w:sz w:val="24"/>
        </w:rPr>
        <w:t>项目名称：</w:t>
      </w:r>
    </w:p>
    <w:p>
      <w:pPr>
        <w:snapToGrid w:val="0"/>
        <w:spacing w:line="360" w:lineRule="auto"/>
        <w:ind w:right="105" w:rightChars="50"/>
        <w:jc w:val="left"/>
        <w:rPr>
          <w:rFonts w:ascii="仿宋" w:hAnsi="仿宋" w:eastAsia="仿宋" w:cs="仿宋"/>
          <w:b/>
          <w:bCs/>
          <w:szCs w:val="21"/>
        </w:rPr>
      </w:pPr>
      <w:r>
        <w:rPr>
          <w:rFonts w:hint="eastAsia" w:ascii="仿宋" w:hAnsi="仿宋" w:eastAsia="仿宋" w:cs="仿宋"/>
          <w:b/>
          <w:sz w:val="24"/>
        </w:rPr>
        <w:t>项目编号</w:t>
      </w:r>
    </w:p>
    <w:tbl>
      <w:tblPr>
        <w:tblStyle w:val="65"/>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921" w:type="dxa"/>
            <w:tcMar>
              <w:top w:w="57"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z w:val="24"/>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仿宋" w:hAnsi="仿宋" w:eastAsia="仿宋" w:cs="仿宋"/>
                <w:b/>
                <w:sz w:val="24"/>
              </w:rPr>
            </w:pPr>
            <w:r>
              <w:rPr>
                <w:rFonts w:hint="eastAsia" w:ascii="仿宋" w:hAnsi="仿宋" w:eastAsia="仿宋" w:cs="仿宋"/>
                <w:b/>
                <w:sz w:val="24"/>
              </w:rPr>
              <w:t>数量</w:t>
            </w:r>
          </w:p>
        </w:tc>
        <w:tc>
          <w:tcPr>
            <w:tcW w:w="2101"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473"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小计</w:t>
            </w:r>
          </w:p>
        </w:tc>
        <w:tc>
          <w:tcPr>
            <w:tcW w:w="1266" w:type="dxa"/>
            <w:tcMar>
              <w:top w:w="57" w:type="dxa"/>
              <w:left w:w="108" w:type="dxa"/>
              <w:bottom w:w="0" w:type="dxa"/>
              <w:right w:w="108" w:type="dxa"/>
            </w:tcMar>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811"/>
              <w:spacing w:line="360" w:lineRule="auto"/>
              <w:jc w:val="center"/>
              <w:rPr>
                <w:rFonts w:ascii="仿宋" w:hAnsi="仿宋" w:eastAsia="仿宋" w:cs="仿宋"/>
                <w:szCs w:val="24"/>
              </w:rPr>
            </w:pPr>
            <w:r>
              <w:rPr>
                <w:rFonts w:hint="eastAsia" w:ascii="仿宋" w:hAnsi="仿宋" w:eastAsia="仿宋" w:cs="仿宋"/>
                <w:szCs w:val="24"/>
              </w:rPr>
              <w:t>1</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811"/>
              <w:spacing w:line="360" w:lineRule="auto"/>
              <w:jc w:val="center"/>
              <w:rPr>
                <w:rFonts w:ascii="仿宋" w:hAnsi="仿宋" w:eastAsia="仿宋" w:cs="仿宋"/>
                <w:szCs w:val="24"/>
              </w:rPr>
            </w:pPr>
            <w:r>
              <w:rPr>
                <w:rFonts w:hint="eastAsia" w:ascii="仿宋" w:hAnsi="仿宋" w:eastAsia="仿宋" w:cs="仿宋"/>
                <w:szCs w:val="24"/>
              </w:rPr>
              <w:t>2</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w:t>
            </w:r>
          </w:p>
        </w:tc>
        <w:tc>
          <w:tcPr>
            <w:tcW w:w="192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05"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2101"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473" w:type="dxa"/>
            <w:tcMar>
              <w:top w:w="57" w:type="dxa"/>
              <w:left w:w="108" w:type="dxa"/>
              <w:bottom w:w="0" w:type="dxa"/>
              <w:right w:w="108" w:type="dxa"/>
            </w:tcMar>
            <w:vAlign w:val="center"/>
          </w:tcPr>
          <w:p>
            <w:pPr>
              <w:spacing w:line="360" w:lineRule="auto"/>
              <w:rPr>
                <w:rFonts w:ascii="仿宋" w:hAnsi="仿宋" w:eastAsia="仿宋" w:cs="仿宋"/>
                <w:sz w:val="24"/>
              </w:rPr>
            </w:pPr>
          </w:p>
        </w:tc>
        <w:tc>
          <w:tcPr>
            <w:tcW w:w="1266" w:type="dxa"/>
            <w:tcMar>
              <w:top w:w="57" w:type="dxa"/>
              <w:left w:w="108" w:type="dxa"/>
              <w:bottom w:w="0" w:type="dxa"/>
              <w:right w:w="108" w:type="dxa"/>
            </w:tcMar>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合计人民币：大写                              小写</w:t>
            </w:r>
          </w:p>
        </w:tc>
      </w:tr>
    </w:tbl>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b/>
          <w:bCs/>
          <w:szCs w:val="21"/>
        </w:rPr>
      </w:pPr>
    </w:p>
    <w:p>
      <w:pPr>
        <w:snapToGrid w:val="0"/>
        <w:spacing w:line="360" w:lineRule="auto"/>
        <w:ind w:right="105" w:rightChars="50"/>
        <w:jc w:val="left"/>
        <w:rPr>
          <w:rFonts w:ascii="仿宋" w:hAnsi="仿宋" w:eastAsia="仿宋" w:cs="仿宋"/>
          <w:szCs w:val="21"/>
        </w:rPr>
      </w:pPr>
    </w:p>
    <w:p>
      <w:pPr>
        <w:snapToGrid w:val="0"/>
        <w:spacing w:line="360" w:lineRule="auto"/>
        <w:ind w:right="105" w:rightChars="50" w:firstLine="420" w:firstLineChars="200"/>
        <w:jc w:val="left"/>
        <w:rPr>
          <w:rFonts w:ascii="仿宋" w:hAnsi="仿宋" w:eastAsia="仿宋" w:cs="仿宋"/>
          <w:szCs w:val="21"/>
        </w:rPr>
      </w:pPr>
      <w:r>
        <w:rPr>
          <w:rFonts w:hint="eastAsia" w:ascii="仿宋" w:hAnsi="仿宋" w:eastAsia="仿宋" w:cs="仿宋"/>
          <w:szCs w:val="21"/>
        </w:rPr>
        <w:t>注：此表中，总价应和开标一览表的投标总价相一致。</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1058" w:firstLineChars="441"/>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1058" w:firstLineChars="441"/>
        <w:jc w:val="left"/>
        <w:rPr>
          <w:rFonts w:ascii="仿宋" w:hAnsi="仿宋" w:eastAsia="仿宋" w:cs="仿宋"/>
          <w:kern w:val="0"/>
          <w:sz w:val="24"/>
          <w:lang w:val="zh-CN"/>
        </w:rPr>
      </w:pPr>
      <w:r>
        <w:rPr>
          <w:rFonts w:hint="eastAsia" w:ascii="仿宋" w:hAnsi="仿宋" w:eastAsia="仿宋" w:cs="仿宋"/>
          <w:sz w:val="24"/>
          <w:lang w:val="zh-CN"/>
        </w:rPr>
        <w:t>日期：</w:t>
      </w: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1905" w:h="16838"/>
          <w:pgMar w:top="1440" w:right="1083" w:bottom="1440" w:left="1083" w:header="567" w:footer="567" w:gutter="0"/>
          <w:pgNumType w:fmt="decimal"/>
          <w:cols w:space="0" w:num="1"/>
          <w:titlePg/>
          <w:docGrid w:linePitch="312" w:charSpace="0"/>
        </w:sect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keepNext w:val="0"/>
        <w:keepLines w:val="0"/>
        <w:pageBreakBefore/>
        <w:widowControl/>
        <w:spacing w:before="100" w:beforeAutospacing="1" w:after="100" w:afterAutospacing="1" w:line="360" w:lineRule="auto"/>
        <w:rPr>
          <w:rFonts w:ascii="仿宋" w:eastAsia="仿宋" w:cs="仿宋"/>
          <w:kern w:val="0"/>
        </w:rPr>
      </w:pPr>
      <w:r>
        <w:rPr>
          <w:rFonts w:hint="eastAsia" w:ascii="仿宋" w:hAnsi="仿宋" w:eastAsia="仿宋" w:cs="仿宋"/>
          <w:b/>
          <w:spacing w:val="6"/>
          <w:sz w:val="32"/>
          <w:szCs w:val="32"/>
        </w:rPr>
        <w:t>附件1：</w:t>
      </w:r>
    </w:p>
    <w:p>
      <w:pPr>
        <w:pStyle w:val="3"/>
        <w:jc w:val="center"/>
        <w:rPr>
          <w:rFonts w:ascii="仿宋" w:eastAsia="仿宋" w:cs="仿宋"/>
          <w:kern w:val="0"/>
        </w:rPr>
      </w:pPr>
      <w:r>
        <w:rPr>
          <w:rFonts w:hint="eastAsia" w:ascii="仿宋" w:eastAsia="仿宋" w:cs="仿宋"/>
          <w:kern w:val="0"/>
        </w:rPr>
        <w:t>供应商基本情况表</w:t>
      </w:r>
      <w:r>
        <w:rPr>
          <w:rFonts w:hint="eastAsia" w:ascii="仿宋" w:hAnsi="仿宋" w:eastAsia="仿宋" w:cs="仿宋"/>
          <w:b/>
          <w:bCs/>
          <w:kern w:val="0"/>
          <w:sz w:val="32"/>
          <w:szCs w:val="32"/>
          <w:lang w:val="zh-CN" w:eastAsia="zh-CN" w:bidi="ar-SA"/>
        </w:rPr>
        <w:t>（</w:t>
      </w:r>
      <w:r>
        <w:rPr>
          <w:rFonts w:hint="eastAsia" w:ascii="仿宋" w:hAnsi="仿宋" w:eastAsia="仿宋" w:cs="仿宋"/>
          <w:b/>
          <w:bCs/>
          <w:kern w:val="0"/>
          <w:sz w:val="32"/>
          <w:szCs w:val="32"/>
          <w:lang w:val="en-US" w:eastAsia="zh-CN" w:bidi="ar-SA"/>
        </w:rPr>
        <w:t>参考</w:t>
      </w:r>
      <w:r>
        <w:rPr>
          <w:rFonts w:hint="eastAsia" w:ascii="仿宋" w:hAnsi="仿宋" w:eastAsia="仿宋" w:cs="仿宋"/>
          <w:b/>
          <w:bCs/>
          <w:kern w:val="0"/>
          <w:sz w:val="32"/>
          <w:szCs w:val="32"/>
          <w:lang w:val="zh-CN" w:eastAsia="zh-CN" w:bidi="ar-SA"/>
        </w:rPr>
        <w:t>）</w:t>
      </w:r>
    </w:p>
    <w:tbl>
      <w:tblPr>
        <w:tblStyle w:val="65"/>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企业名称</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法人代表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地址</w:t>
            </w:r>
          </w:p>
        </w:tc>
        <w:tc>
          <w:tcPr>
            <w:tcW w:w="4818" w:type="dxa"/>
            <w:gridSpan w:val="6"/>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企业性质</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rPr>
            </w:pPr>
            <w:r>
              <w:rPr>
                <w:rFonts w:hint="eastAsia" w:ascii="仿宋" w:hAnsi="仿宋" w:eastAsia="仿宋" w:cs="仿宋"/>
              </w:rPr>
              <w:t>股东姓名</w:t>
            </w:r>
          </w:p>
        </w:tc>
        <w:tc>
          <w:tcPr>
            <w:tcW w:w="774" w:type="dxa"/>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股权结构（%）</w:t>
            </w:r>
          </w:p>
        </w:tc>
        <w:tc>
          <w:tcPr>
            <w:tcW w:w="2601" w:type="dxa"/>
            <w:gridSpan w:val="4"/>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股东关系</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联系人姓名</w:t>
            </w:r>
          </w:p>
        </w:tc>
        <w:tc>
          <w:tcPr>
            <w:tcW w:w="774" w:type="dxa"/>
            <w:vMerge w:val="restart"/>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固定电话</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restart"/>
            <w:vAlign w:val="center"/>
          </w:tcPr>
          <w:p>
            <w:pPr>
              <w:spacing w:line="420" w:lineRule="exact"/>
              <w:jc w:val="center"/>
              <w:rPr>
                <w:rFonts w:ascii="仿宋" w:hAnsi="仿宋" w:eastAsia="仿宋" w:cs="仿宋"/>
              </w:rPr>
            </w:pPr>
            <w:r>
              <w:rPr>
                <w:rFonts w:hint="eastAsia" w:ascii="仿宋" w:hAnsi="仿宋" w:eastAsia="仿宋" w:cs="仿宋"/>
              </w:rPr>
              <w:t>传真</w:t>
            </w:r>
          </w:p>
        </w:tc>
        <w:tc>
          <w:tcPr>
            <w:tcW w:w="2439" w:type="dxa"/>
            <w:gridSpan w:val="4"/>
            <w:vMerge w:val="restart"/>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Merge w:val="continue"/>
            <w:vAlign w:val="center"/>
          </w:tcPr>
          <w:p>
            <w:pPr>
              <w:spacing w:line="420" w:lineRule="exact"/>
              <w:jc w:val="center"/>
              <w:rPr>
                <w:rFonts w:ascii="仿宋" w:hAnsi="仿宋" w:eastAsia="仿宋" w:cs="仿宋"/>
              </w:rPr>
            </w:pPr>
          </w:p>
        </w:tc>
        <w:tc>
          <w:tcPr>
            <w:tcW w:w="1443" w:type="dxa"/>
            <w:vAlign w:val="center"/>
          </w:tcPr>
          <w:p>
            <w:pPr>
              <w:spacing w:line="420" w:lineRule="exact"/>
              <w:jc w:val="center"/>
              <w:rPr>
                <w:rFonts w:ascii="仿宋" w:hAnsi="仿宋" w:eastAsia="仿宋" w:cs="仿宋"/>
              </w:rPr>
            </w:pPr>
            <w:r>
              <w:rPr>
                <w:rFonts w:hint="eastAsia" w:ascii="仿宋" w:hAnsi="仿宋" w:eastAsia="仿宋" w:cs="仿宋"/>
              </w:rPr>
              <w:t>手机</w:t>
            </w:r>
          </w:p>
        </w:tc>
        <w:tc>
          <w:tcPr>
            <w:tcW w:w="2601" w:type="dxa"/>
            <w:gridSpan w:val="4"/>
            <w:vAlign w:val="center"/>
          </w:tcPr>
          <w:p>
            <w:pPr>
              <w:spacing w:line="420" w:lineRule="exact"/>
              <w:jc w:val="center"/>
              <w:rPr>
                <w:rFonts w:ascii="仿宋" w:hAnsi="仿宋" w:eastAsia="仿宋" w:cs="仿宋"/>
              </w:rPr>
            </w:pPr>
          </w:p>
        </w:tc>
        <w:tc>
          <w:tcPr>
            <w:tcW w:w="2037" w:type="dxa"/>
            <w:gridSpan w:val="2"/>
            <w:vMerge w:val="continue"/>
            <w:vAlign w:val="center"/>
          </w:tcPr>
          <w:p>
            <w:pPr>
              <w:spacing w:line="420" w:lineRule="exact"/>
              <w:jc w:val="center"/>
              <w:rPr>
                <w:rFonts w:ascii="仿宋" w:hAnsi="仿宋" w:eastAsia="仿宋" w:cs="仿宋"/>
              </w:rPr>
            </w:pPr>
          </w:p>
        </w:tc>
        <w:tc>
          <w:tcPr>
            <w:tcW w:w="2439" w:type="dxa"/>
            <w:gridSpan w:val="4"/>
            <w:vMerge w:val="continue"/>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 xml:space="preserve">1. </w:t>
            </w:r>
          </w:p>
          <w:p>
            <w:pPr>
              <w:spacing w:line="420" w:lineRule="exact"/>
              <w:jc w:val="center"/>
              <w:rPr>
                <w:rFonts w:ascii="仿宋" w:hAnsi="仿宋" w:eastAsia="仿宋" w:cs="仿宋"/>
              </w:rPr>
            </w:pPr>
            <w:r>
              <w:rPr>
                <w:rFonts w:hint="eastAsia" w:ascii="仿宋" w:hAnsi="仿宋" w:eastAsia="仿宋" w:cs="仿宋"/>
              </w:rPr>
              <w:t>企</w:t>
            </w:r>
          </w:p>
          <w:p>
            <w:pPr>
              <w:spacing w:line="420" w:lineRule="exact"/>
              <w:jc w:val="center"/>
              <w:rPr>
                <w:rFonts w:ascii="仿宋" w:hAnsi="仿宋" w:eastAsia="仿宋" w:cs="仿宋"/>
              </w:rPr>
            </w:pPr>
            <w:r>
              <w:rPr>
                <w:rFonts w:hint="eastAsia" w:ascii="仿宋" w:hAnsi="仿宋" w:eastAsia="仿宋" w:cs="仿宋"/>
              </w:rPr>
              <w:t>业</w:t>
            </w:r>
          </w:p>
          <w:p>
            <w:pPr>
              <w:spacing w:line="420" w:lineRule="exact"/>
              <w:jc w:val="center"/>
              <w:rPr>
                <w:rFonts w:ascii="仿宋" w:hAnsi="仿宋" w:eastAsia="仿宋" w:cs="仿宋"/>
              </w:rPr>
            </w:pPr>
            <w:r>
              <w:rPr>
                <w:rFonts w:hint="eastAsia" w:ascii="仿宋" w:hAnsi="仿宋" w:eastAsia="仿宋" w:cs="仿宋"/>
              </w:rPr>
              <w:t>概</w:t>
            </w:r>
          </w:p>
          <w:p>
            <w:pPr>
              <w:spacing w:line="420" w:lineRule="exact"/>
              <w:jc w:val="center"/>
              <w:rPr>
                <w:rFonts w:ascii="仿宋" w:hAnsi="仿宋" w:eastAsia="仿宋" w:cs="仿宋"/>
              </w:rPr>
            </w:pPr>
            <w:r>
              <w:rPr>
                <w:rFonts w:hint="eastAsia" w:ascii="仿宋" w:hAnsi="仿宋" w:eastAsia="仿宋" w:cs="仿宋"/>
              </w:rPr>
              <w:t>况</w:t>
            </w: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职工</w:t>
            </w:r>
          </w:p>
          <w:p>
            <w:pPr>
              <w:spacing w:line="420" w:lineRule="exact"/>
              <w:jc w:val="center"/>
              <w:rPr>
                <w:rFonts w:ascii="仿宋" w:hAnsi="仿宋" w:eastAsia="仿宋" w:cs="仿宋"/>
              </w:rPr>
            </w:pPr>
            <w:r>
              <w:rPr>
                <w:rFonts w:hint="eastAsia" w:ascii="仿宋" w:hAnsi="仿宋" w:eastAsia="仿宋" w:cs="仿宋"/>
              </w:rPr>
              <w:t>人数</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具备大专以上学历人数</w:t>
            </w:r>
          </w:p>
        </w:tc>
        <w:tc>
          <w:tcPr>
            <w:tcW w:w="1302" w:type="dxa"/>
            <w:gridSpan w:val="2"/>
            <w:vAlign w:val="center"/>
          </w:tcPr>
          <w:p>
            <w:pPr>
              <w:spacing w:line="420" w:lineRule="exact"/>
              <w:jc w:val="center"/>
              <w:rPr>
                <w:rFonts w:ascii="仿宋" w:hAnsi="仿宋" w:eastAsia="仿宋" w:cs="仿宋"/>
              </w:rPr>
            </w:pP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国家授予技术职称人数</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占地</w:t>
            </w:r>
          </w:p>
          <w:p>
            <w:pPr>
              <w:spacing w:line="420" w:lineRule="exact"/>
              <w:jc w:val="center"/>
              <w:rPr>
                <w:rFonts w:ascii="仿宋" w:hAnsi="仿宋" w:eastAsia="仿宋" w:cs="仿宋"/>
              </w:rPr>
            </w:pPr>
            <w:r>
              <w:rPr>
                <w:rFonts w:hint="eastAsia" w:ascii="仿宋" w:hAnsi="仿宋" w:eastAsia="仿宋" w:cs="仿宋"/>
              </w:rPr>
              <w:t>面积</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建筑面积</w:t>
            </w:r>
          </w:p>
        </w:tc>
        <w:tc>
          <w:tcPr>
            <w:tcW w:w="1302" w:type="dxa"/>
            <w:gridSpan w:val="2"/>
            <w:vAlign w:val="center"/>
          </w:tcPr>
          <w:p>
            <w:pPr>
              <w:spacing w:line="420" w:lineRule="exact"/>
              <w:jc w:val="center"/>
              <w:rPr>
                <w:rFonts w:ascii="仿宋" w:hAnsi="仿宋" w:eastAsia="仿宋" w:cs="仿宋"/>
              </w:rPr>
            </w:pPr>
            <w:r>
              <w:rPr>
                <w:rFonts w:hint="eastAsia" w:ascii="仿宋" w:hAnsi="仿宋" w:eastAsia="仿宋" w:cs="仿宋"/>
              </w:rPr>
              <w:t>平方米□自有□租赁</w:t>
            </w:r>
          </w:p>
        </w:tc>
        <w:tc>
          <w:tcPr>
            <w:tcW w:w="2037" w:type="dxa"/>
            <w:gridSpan w:val="2"/>
            <w:vAlign w:val="center"/>
          </w:tcPr>
          <w:p>
            <w:pPr>
              <w:spacing w:line="420" w:lineRule="exact"/>
              <w:jc w:val="center"/>
              <w:rPr>
                <w:rFonts w:ascii="仿宋" w:hAnsi="仿宋" w:eastAsia="仿宋" w:cs="仿宋"/>
              </w:rPr>
            </w:pPr>
            <w:r>
              <w:rPr>
                <w:rFonts w:hint="eastAsia" w:ascii="仿宋" w:hAnsi="仿宋" w:eastAsia="仿宋" w:cs="仿宋"/>
              </w:rPr>
              <w:t>生产经营场所及场所的设施与设备</w:t>
            </w:r>
          </w:p>
        </w:tc>
        <w:tc>
          <w:tcPr>
            <w:tcW w:w="2439" w:type="dxa"/>
            <w:gridSpan w:val="4"/>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注册</w:t>
            </w:r>
          </w:p>
          <w:p>
            <w:pPr>
              <w:spacing w:line="420" w:lineRule="exact"/>
              <w:jc w:val="center"/>
              <w:rPr>
                <w:rFonts w:ascii="仿宋" w:hAnsi="仿宋" w:eastAsia="仿宋" w:cs="仿宋"/>
              </w:rPr>
            </w:pPr>
            <w:r>
              <w:rPr>
                <w:rFonts w:hint="eastAsia" w:ascii="仿宋" w:hAnsi="仿宋" w:eastAsia="仿宋" w:cs="仿宋"/>
              </w:rPr>
              <w:t>资金</w:t>
            </w:r>
          </w:p>
        </w:tc>
        <w:tc>
          <w:tcPr>
            <w:tcW w:w="1443" w:type="dxa"/>
            <w:vAlign w:val="center"/>
          </w:tcPr>
          <w:p>
            <w:pPr>
              <w:spacing w:line="420" w:lineRule="exact"/>
              <w:jc w:val="center"/>
              <w:rPr>
                <w:rFonts w:ascii="仿宋" w:hAnsi="仿宋" w:eastAsia="仿宋" w:cs="仿宋"/>
              </w:rPr>
            </w:pPr>
          </w:p>
        </w:tc>
        <w:tc>
          <w:tcPr>
            <w:tcW w:w="1299" w:type="dxa"/>
            <w:gridSpan w:val="2"/>
            <w:vAlign w:val="center"/>
          </w:tcPr>
          <w:p>
            <w:pPr>
              <w:spacing w:line="420" w:lineRule="exact"/>
              <w:jc w:val="center"/>
              <w:rPr>
                <w:rFonts w:ascii="仿宋" w:hAnsi="仿宋" w:eastAsia="仿宋" w:cs="仿宋"/>
              </w:rPr>
            </w:pPr>
            <w:r>
              <w:rPr>
                <w:rFonts w:hint="eastAsia" w:ascii="仿宋" w:hAnsi="仿宋" w:eastAsia="仿宋" w:cs="仿宋"/>
              </w:rPr>
              <w:t>注册发证机关</w:t>
            </w:r>
          </w:p>
        </w:tc>
        <w:tc>
          <w:tcPr>
            <w:tcW w:w="3339" w:type="dxa"/>
            <w:gridSpan w:val="4"/>
            <w:vAlign w:val="center"/>
          </w:tcPr>
          <w:p>
            <w:pPr>
              <w:spacing w:line="420" w:lineRule="exact"/>
              <w:jc w:val="center"/>
              <w:rPr>
                <w:rFonts w:ascii="仿宋" w:hAnsi="仿宋" w:eastAsia="仿宋" w:cs="仿宋"/>
              </w:rPr>
            </w:pPr>
          </w:p>
        </w:tc>
        <w:tc>
          <w:tcPr>
            <w:tcW w:w="850" w:type="dxa"/>
            <w:gridSpan w:val="2"/>
            <w:vAlign w:val="center"/>
          </w:tcPr>
          <w:p>
            <w:pPr>
              <w:spacing w:line="420" w:lineRule="exact"/>
              <w:jc w:val="center"/>
              <w:rPr>
                <w:rFonts w:ascii="仿宋" w:hAnsi="仿宋" w:eastAsia="仿宋" w:cs="仿宋"/>
              </w:rPr>
            </w:pPr>
            <w:r>
              <w:rPr>
                <w:rFonts w:hint="eastAsia" w:ascii="仿宋" w:hAnsi="仿宋" w:eastAsia="仿宋" w:cs="仿宋"/>
              </w:rPr>
              <w:t>公司成立时间</w:t>
            </w:r>
          </w:p>
        </w:tc>
        <w:tc>
          <w:tcPr>
            <w:tcW w:w="1589" w:type="dxa"/>
            <w:gridSpan w:val="2"/>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774" w:type="dxa"/>
            <w:vAlign w:val="center"/>
          </w:tcPr>
          <w:p>
            <w:pPr>
              <w:spacing w:line="420" w:lineRule="exact"/>
              <w:jc w:val="center"/>
              <w:rPr>
                <w:rFonts w:ascii="仿宋" w:hAnsi="仿宋" w:eastAsia="仿宋" w:cs="仿宋"/>
              </w:rPr>
            </w:pPr>
            <w:r>
              <w:rPr>
                <w:rFonts w:hint="eastAsia" w:ascii="仿宋" w:hAnsi="仿宋" w:eastAsia="仿宋" w:cs="仿宋"/>
              </w:rPr>
              <w:t>核准经营范围</w:t>
            </w:r>
          </w:p>
        </w:tc>
        <w:tc>
          <w:tcPr>
            <w:tcW w:w="8520" w:type="dxa"/>
            <w:gridSpan w:val="11"/>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9294" w:type="dxa"/>
            <w:gridSpan w:val="12"/>
            <w:vAlign w:val="center"/>
          </w:tcPr>
          <w:p>
            <w:pPr>
              <w:spacing w:line="420" w:lineRule="exact"/>
              <w:rPr>
                <w:rFonts w:ascii="仿宋" w:hAnsi="仿宋" w:eastAsia="仿宋" w:cs="仿宋"/>
              </w:rPr>
            </w:pPr>
            <w:r>
              <w:rPr>
                <w:rFonts w:hint="eastAsia" w:ascii="仿宋" w:hAnsi="仿宋" w:eastAsia="仿宋" w:cs="仿宋"/>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rPr>
            </w:pPr>
            <w:r>
              <w:rPr>
                <w:rFonts w:hint="eastAsia" w:ascii="仿宋" w:hAnsi="仿宋" w:eastAsia="仿宋" w:cs="仿宋"/>
              </w:rPr>
              <w:t>2.企业有关资质获证情况</w:t>
            </w:r>
          </w:p>
        </w:tc>
        <w:tc>
          <w:tcPr>
            <w:tcW w:w="2690" w:type="dxa"/>
            <w:gridSpan w:val="3"/>
            <w:vMerge w:val="restart"/>
            <w:vAlign w:val="center"/>
          </w:tcPr>
          <w:p>
            <w:pPr>
              <w:spacing w:line="420" w:lineRule="exact"/>
              <w:jc w:val="center"/>
              <w:rPr>
                <w:rFonts w:ascii="仿宋" w:hAnsi="仿宋" w:eastAsia="仿宋" w:cs="仿宋"/>
              </w:rPr>
            </w:pPr>
            <w:r>
              <w:rPr>
                <w:rFonts w:hint="eastAsia" w:ascii="仿宋" w:hAnsi="仿宋" w:eastAsia="仿宋" w:cs="仿宋"/>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rPr>
            </w:pPr>
            <w:r>
              <w:rPr>
                <w:rFonts w:hint="eastAsia" w:ascii="仿宋" w:hAnsi="仿宋" w:eastAsia="仿宋" w:cs="仿宋"/>
              </w:rPr>
              <w:t>产品名称</w:t>
            </w:r>
          </w:p>
        </w:tc>
        <w:tc>
          <w:tcPr>
            <w:tcW w:w="1443" w:type="dxa"/>
            <w:gridSpan w:val="2"/>
            <w:vAlign w:val="center"/>
          </w:tcPr>
          <w:p>
            <w:pPr>
              <w:spacing w:line="420" w:lineRule="exact"/>
              <w:jc w:val="center"/>
              <w:rPr>
                <w:rFonts w:ascii="仿宋" w:hAnsi="仿宋" w:eastAsia="仿宋" w:cs="仿宋"/>
              </w:rPr>
            </w:pPr>
            <w:r>
              <w:rPr>
                <w:rFonts w:hint="eastAsia" w:ascii="仿宋" w:hAnsi="仿宋" w:eastAsia="仿宋" w:cs="仿宋"/>
              </w:rPr>
              <w:t>发证机关</w:t>
            </w:r>
          </w:p>
        </w:tc>
        <w:tc>
          <w:tcPr>
            <w:tcW w:w="1202" w:type="dxa"/>
            <w:gridSpan w:val="2"/>
            <w:vAlign w:val="center"/>
          </w:tcPr>
          <w:p>
            <w:pPr>
              <w:spacing w:line="420" w:lineRule="exact"/>
              <w:jc w:val="center"/>
              <w:rPr>
                <w:rFonts w:ascii="仿宋" w:hAnsi="仿宋" w:eastAsia="仿宋" w:cs="仿宋"/>
              </w:rPr>
            </w:pPr>
            <w:r>
              <w:rPr>
                <w:rFonts w:hint="eastAsia" w:ascii="仿宋" w:hAnsi="仿宋" w:eastAsia="仿宋" w:cs="仿宋"/>
              </w:rPr>
              <w:t>编号</w:t>
            </w:r>
          </w:p>
        </w:tc>
        <w:tc>
          <w:tcPr>
            <w:tcW w:w="819" w:type="dxa"/>
            <w:gridSpan w:val="2"/>
            <w:vAlign w:val="center"/>
          </w:tcPr>
          <w:p>
            <w:pPr>
              <w:spacing w:line="420" w:lineRule="exact"/>
              <w:jc w:val="center"/>
              <w:rPr>
                <w:rFonts w:ascii="仿宋" w:hAnsi="仿宋" w:eastAsia="仿宋" w:cs="仿宋"/>
              </w:rPr>
            </w:pPr>
            <w:r>
              <w:rPr>
                <w:rFonts w:hint="eastAsia" w:ascii="仿宋" w:hAnsi="仿宋" w:eastAsia="仿宋" w:cs="仿宋"/>
              </w:rPr>
              <w:t>发证时间</w:t>
            </w:r>
          </w:p>
        </w:tc>
        <w:tc>
          <w:tcPr>
            <w:tcW w:w="1446" w:type="dxa"/>
            <w:vAlign w:val="center"/>
          </w:tcPr>
          <w:p>
            <w:pPr>
              <w:spacing w:line="420" w:lineRule="exact"/>
              <w:jc w:val="center"/>
              <w:rPr>
                <w:rFonts w:ascii="仿宋" w:hAnsi="仿宋" w:eastAsia="仿宋" w:cs="仿宋"/>
              </w:rPr>
            </w:pPr>
            <w:r>
              <w:rPr>
                <w:rFonts w:hint="eastAsia" w:ascii="仿宋" w:hAnsi="仿宋" w:eastAsia="仿宋" w:cs="仿宋"/>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Merge w:val="continue"/>
            <w:vAlign w:val="center"/>
          </w:tcPr>
          <w:p>
            <w:pPr>
              <w:spacing w:line="420" w:lineRule="exact"/>
              <w:jc w:val="center"/>
              <w:rPr>
                <w:rFonts w:ascii="仿宋" w:hAnsi="仿宋" w:eastAsia="仿宋" w:cs="仿宋"/>
              </w:rPr>
            </w:pPr>
          </w:p>
        </w:tc>
        <w:tc>
          <w:tcPr>
            <w:tcW w:w="1694" w:type="dxa"/>
            <w:gridSpan w:val="2"/>
            <w:vAlign w:val="center"/>
          </w:tcPr>
          <w:p>
            <w:pPr>
              <w:spacing w:line="420" w:lineRule="exact"/>
              <w:jc w:val="center"/>
              <w:rPr>
                <w:rFonts w:ascii="仿宋" w:hAnsi="仿宋" w:eastAsia="仿宋" w:cs="仿宋"/>
              </w:rPr>
            </w:pPr>
          </w:p>
        </w:tc>
        <w:tc>
          <w:tcPr>
            <w:tcW w:w="1443" w:type="dxa"/>
            <w:gridSpan w:val="2"/>
            <w:vAlign w:val="center"/>
          </w:tcPr>
          <w:p>
            <w:pPr>
              <w:spacing w:line="420" w:lineRule="exact"/>
              <w:jc w:val="center"/>
              <w:rPr>
                <w:rFonts w:ascii="仿宋" w:hAnsi="仿宋" w:eastAsia="仿宋" w:cs="仿宋"/>
              </w:rPr>
            </w:pPr>
          </w:p>
        </w:tc>
        <w:tc>
          <w:tcPr>
            <w:tcW w:w="1202" w:type="dxa"/>
            <w:gridSpan w:val="2"/>
            <w:vAlign w:val="center"/>
          </w:tcPr>
          <w:p>
            <w:pPr>
              <w:spacing w:line="420" w:lineRule="exact"/>
              <w:jc w:val="center"/>
              <w:rPr>
                <w:rFonts w:ascii="仿宋" w:hAnsi="仿宋" w:eastAsia="仿宋" w:cs="仿宋"/>
              </w:rPr>
            </w:pPr>
          </w:p>
        </w:tc>
        <w:tc>
          <w:tcPr>
            <w:tcW w:w="2265" w:type="dxa"/>
            <w:gridSpan w:val="3"/>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企业通过质量体系、环保体系、计量等认证情况</w:t>
            </w:r>
          </w:p>
        </w:tc>
        <w:tc>
          <w:tcPr>
            <w:tcW w:w="6604" w:type="dxa"/>
            <w:gridSpan w:val="9"/>
            <w:vAlign w:val="center"/>
          </w:tcPr>
          <w:p>
            <w:pPr>
              <w:spacing w:line="4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rPr>
            </w:pPr>
          </w:p>
        </w:tc>
        <w:tc>
          <w:tcPr>
            <w:tcW w:w="2690" w:type="dxa"/>
            <w:gridSpan w:val="3"/>
            <w:vAlign w:val="center"/>
          </w:tcPr>
          <w:p>
            <w:pPr>
              <w:spacing w:line="420" w:lineRule="exact"/>
              <w:jc w:val="center"/>
              <w:rPr>
                <w:rFonts w:ascii="仿宋" w:hAnsi="仿宋" w:eastAsia="仿宋" w:cs="仿宋"/>
              </w:rPr>
            </w:pPr>
            <w:r>
              <w:rPr>
                <w:rFonts w:hint="eastAsia" w:ascii="仿宋" w:hAnsi="仿宋" w:eastAsia="仿宋" w:cs="仿宋"/>
              </w:rPr>
              <w:t>企业获得专利情况</w:t>
            </w:r>
          </w:p>
        </w:tc>
        <w:tc>
          <w:tcPr>
            <w:tcW w:w="6604" w:type="dxa"/>
            <w:gridSpan w:val="9"/>
            <w:vAlign w:val="center"/>
          </w:tcPr>
          <w:p>
            <w:pPr>
              <w:spacing w:line="420" w:lineRule="exact"/>
              <w:jc w:val="center"/>
              <w:rPr>
                <w:rFonts w:ascii="仿宋" w:hAnsi="仿宋" w:eastAsia="仿宋" w:cs="仿宋"/>
              </w:rPr>
            </w:pPr>
          </w:p>
        </w:tc>
      </w:tr>
    </w:tbl>
    <w:p>
      <w:pPr>
        <w:rPr>
          <w:rFonts w:ascii="仿宋" w:hAnsi="仿宋" w:eastAsia="仿宋" w:cs="仿宋"/>
          <w:b/>
        </w:rPr>
      </w:pPr>
      <w:r>
        <w:rPr>
          <w:rFonts w:hint="eastAsia" w:ascii="仿宋" w:hAnsi="仿宋" w:eastAsia="仿宋" w:cs="仿宋"/>
          <w:b/>
        </w:rPr>
        <w:t>要求：</w:t>
      </w:r>
    </w:p>
    <w:p>
      <w:pPr>
        <w:spacing w:line="400" w:lineRule="exact"/>
        <w:rPr>
          <w:rFonts w:ascii="仿宋" w:hAnsi="仿宋" w:eastAsia="仿宋" w:cs="仿宋"/>
        </w:rPr>
      </w:pPr>
      <w:r>
        <w:rPr>
          <w:rFonts w:hint="eastAsia" w:ascii="仿宋" w:hAnsi="仿宋" w:eastAsia="仿宋" w:cs="仿宋"/>
        </w:rPr>
        <w:t>1.姓名栏必须将所有股东都统计在内，若非股份公司此行（第三行）无需填写；</w:t>
      </w:r>
    </w:p>
    <w:p>
      <w:pPr>
        <w:rPr>
          <w:rFonts w:ascii="仿宋" w:hAnsi="仿宋" w:eastAsia="仿宋" w:cs="仿宋"/>
          <w:b/>
          <w:sz w:val="32"/>
          <w:szCs w:val="32"/>
        </w:rPr>
      </w:pP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638" w:firstLineChars="266"/>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638" w:firstLineChars="266"/>
        <w:rPr>
          <w:rFonts w:ascii="仿宋" w:hAnsi="仿宋" w:eastAsia="仿宋" w:cs="仿宋"/>
          <w:b/>
          <w:sz w:val="32"/>
          <w:szCs w:val="32"/>
        </w:rPr>
      </w:pPr>
      <w:r>
        <w:rPr>
          <w:rFonts w:hint="eastAsia" w:ascii="仿宋" w:hAnsi="仿宋" w:eastAsia="仿宋" w:cs="仿宋"/>
          <w:sz w:val="24"/>
          <w:lang w:val="zh-CN"/>
        </w:rPr>
        <w:t>日期：</w:t>
      </w: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rPr>
          <w:rFonts w:hint="eastAsia" w:ascii="仿宋" w:hAnsi="仿宋" w:eastAsia="仿宋" w:cs="仿宋"/>
          <w:b/>
          <w:spacing w:val="6"/>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p>
    <w:p>
      <w:pPr>
        <w:pStyle w:val="967"/>
        <w:spacing w:line="360" w:lineRule="auto"/>
        <w:jc w:val="center"/>
        <w:rPr>
          <w:rFonts w:ascii="仿宋" w:hAnsi="仿宋" w:eastAsia="仿宋" w:cs="仿宋"/>
          <w:b/>
          <w:sz w:val="32"/>
          <w:szCs w:val="32"/>
        </w:rPr>
      </w:pPr>
      <w:r>
        <w:rPr>
          <w:rFonts w:hint="eastAsia" w:ascii="仿宋" w:hAnsi="仿宋" w:eastAsia="仿宋" w:cs="仿宋"/>
          <w:b/>
          <w:sz w:val="32"/>
          <w:szCs w:val="32"/>
        </w:rPr>
        <w:t>投标人类似项目业绩一览表</w:t>
      </w: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合同</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金额</w:t>
            </w:r>
          </w:p>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sz w:val="24"/>
              </w:rPr>
            </w:pPr>
          </w:p>
        </w:tc>
      </w:tr>
    </w:tbl>
    <w:p>
      <w:pPr>
        <w:pStyle w:val="967"/>
        <w:spacing w:line="360" w:lineRule="auto"/>
        <w:jc w:val="center"/>
        <w:rPr>
          <w:rFonts w:ascii="仿宋" w:hAnsi="仿宋" w:eastAsia="仿宋" w:cs="仿宋"/>
          <w:b/>
          <w:sz w:val="32"/>
          <w:szCs w:val="32"/>
        </w:rPr>
      </w:pPr>
    </w:p>
    <w:p>
      <w:pPr>
        <w:autoSpaceDE w:val="0"/>
        <w:autoSpaceDN w:val="0"/>
        <w:spacing w:before="120" w:beforeLines="50" w:line="360" w:lineRule="auto"/>
        <w:rPr>
          <w:rFonts w:ascii="仿宋" w:hAnsi="仿宋" w:eastAsia="仿宋" w:cs="仿宋"/>
          <w:b/>
          <w:szCs w:val="21"/>
        </w:rPr>
      </w:pPr>
      <w:r>
        <w:rPr>
          <w:rFonts w:hint="eastAsia" w:ascii="仿宋" w:hAnsi="仿宋" w:eastAsia="仿宋" w:cs="仿宋"/>
          <w:b/>
          <w:szCs w:val="21"/>
        </w:rPr>
        <w:t>要求：</w:t>
      </w:r>
    </w:p>
    <w:p>
      <w:pPr>
        <w:autoSpaceDE w:val="0"/>
        <w:autoSpaceDN w:val="0"/>
        <w:spacing w:before="120" w:beforeLines="50" w:line="360" w:lineRule="auto"/>
        <w:ind w:firstLine="424" w:firstLineChars="202"/>
        <w:rPr>
          <w:rFonts w:ascii="仿宋" w:hAnsi="仿宋" w:eastAsia="仿宋" w:cs="仿宋"/>
          <w:b/>
          <w:szCs w:val="21"/>
        </w:rPr>
      </w:pPr>
      <w:r>
        <w:rPr>
          <w:rFonts w:hint="eastAsia" w:ascii="仿宋" w:hAnsi="仿宋" w:eastAsia="仿宋" w:cs="仿宋"/>
          <w:szCs w:val="21"/>
        </w:rPr>
        <w:t>1.业绩证明应提供证明材料。</w:t>
      </w:r>
    </w:p>
    <w:p>
      <w:pPr>
        <w:spacing w:line="360" w:lineRule="auto"/>
        <w:ind w:firstLine="424" w:firstLineChars="202"/>
        <w:jc w:val="left"/>
        <w:rPr>
          <w:rFonts w:ascii="仿宋" w:hAnsi="仿宋" w:eastAsia="仿宋" w:cs="仿宋"/>
          <w:szCs w:val="21"/>
        </w:rPr>
      </w:pPr>
      <w:r>
        <w:rPr>
          <w:rFonts w:hint="eastAsia" w:ascii="仿宋" w:hAnsi="仿宋" w:eastAsia="仿宋" w:cs="仿宋"/>
          <w:szCs w:val="21"/>
        </w:rPr>
        <w:t>2.投标人可按此表格式复制。</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32"/>
          <w:szCs w:val="32"/>
        </w:rPr>
      </w:pPr>
      <w:r>
        <w:rPr>
          <w:rFonts w:hint="eastAsia" w:ascii="仿宋" w:hAnsi="仿宋" w:eastAsia="仿宋" w:cs="仿宋"/>
          <w:sz w:val="24"/>
          <w:lang w:val="zh-CN"/>
        </w:rPr>
        <w:t>日期：</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pStyle w:val="3"/>
        <w:rPr>
          <w:rFonts w:hint="eastAsia" w:ascii="仿宋" w:eastAsia="仿宋" w:cs="仿宋"/>
          <w:lang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3</w:t>
      </w:r>
    </w:p>
    <w:p>
      <w:pPr>
        <w:pStyle w:val="968"/>
        <w:spacing w:line="360" w:lineRule="auto"/>
        <w:jc w:val="center"/>
        <w:rPr>
          <w:rFonts w:ascii="仿宋" w:hAnsi="仿宋" w:eastAsia="仿宋" w:cs="仿宋"/>
          <w:b/>
          <w:sz w:val="32"/>
          <w:szCs w:val="32"/>
        </w:rPr>
      </w:pPr>
      <w:bookmarkStart w:id="432" w:name="_Toc11030_WPSOffice_Level1"/>
      <w:bookmarkStart w:id="433" w:name="_Toc17604_WPSOffice_Level1"/>
      <w:r>
        <w:rPr>
          <w:rFonts w:hint="eastAsia" w:ascii="仿宋" w:hAnsi="仿宋" w:eastAsia="仿宋" w:cs="仿宋"/>
          <w:b/>
          <w:sz w:val="32"/>
          <w:szCs w:val="32"/>
        </w:rPr>
        <w:t>证书一览表</w:t>
      </w:r>
      <w:bookmarkEnd w:id="432"/>
      <w:bookmarkEnd w:id="433"/>
    </w:p>
    <w:p>
      <w:pPr>
        <w:pStyle w:val="968"/>
        <w:spacing w:line="360" w:lineRule="auto"/>
        <w:jc w:val="center"/>
        <w:rPr>
          <w:rFonts w:ascii="仿宋" w:hAnsi="仿宋" w:eastAsia="仿宋" w:cs="仿宋"/>
          <w:b/>
          <w:sz w:val="32"/>
          <w:szCs w:val="32"/>
        </w:rPr>
      </w:pPr>
    </w:p>
    <w:tbl>
      <w:tblPr>
        <w:tblStyle w:val="65"/>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968"/>
              <w:jc w:val="center"/>
              <w:rPr>
                <w:rFonts w:ascii="仿宋" w:hAnsi="仿宋" w:eastAsia="仿宋" w:cs="仿宋"/>
                <w:b/>
                <w:bCs/>
                <w:szCs w:val="21"/>
              </w:rPr>
            </w:pPr>
            <w:r>
              <w:rPr>
                <w:rFonts w:hint="eastAsia" w:ascii="仿宋" w:hAnsi="仿宋" w:eastAsia="仿宋" w:cs="仿宋"/>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968"/>
              <w:jc w:val="center"/>
              <w:rPr>
                <w:rFonts w:ascii="仿宋" w:hAnsi="仿宋" w:eastAsia="仿宋" w:cs="仿宋"/>
                <w:b/>
                <w:bCs/>
                <w:szCs w:val="21"/>
              </w:rPr>
            </w:pPr>
            <w:r>
              <w:rPr>
                <w:rFonts w:hint="eastAsia" w:ascii="仿宋" w:hAnsi="仿宋" w:eastAsia="仿宋" w:cs="仿宋"/>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968"/>
              <w:jc w:val="center"/>
              <w:rPr>
                <w:rFonts w:ascii="仿宋" w:hAnsi="仿宋" w:eastAsia="仿宋" w:cs="仿宋"/>
                <w:b/>
                <w:bCs/>
                <w:szCs w:val="21"/>
              </w:rPr>
            </w:pPr>
            <w:r>
              <w:rPr>
                <w:rFonts w:hint="eastAsia" w:ascii="仿宋" w:hAnsi="仿宋" w:eastAsia="仿宋" w:cs="仿宋"/>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968"/>
              <w:jc w:val="center"/>
              <w:rPr>
                <w:rFonts w:ascii="仿宋" w:hAnsi="仿宋" w:eastAsia="仿宋" w:cs="仿宋"/>
                <w:b/>
                <w:bCs/>
                <w:szCs w:val="21"/>
              </w:rPr>
            </w:pPr>
            <w:r>
              <w:rPr>
                <w:rFonts w:hint="eastAsia" w:ascii="仿宋" w:hAnsi="仿宋" w:eastAsia="仿宋" w:cs="仿宋"/>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Borders>
              <w:top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Borders>
              <w:top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58" w:type="dxa"/>
            <w:tcBorders>
              <w:bottom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260" w:type="dxa"/>
            <w:tcBorders>
              <w:bottom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968"/>
              <w:spacing w:line="360" w:lineRule="auto"/>
              <w:jc w:val="center"/>
              <w:rPr>
                <w:rFonts w:ascii="仿宋" w:hAnsi="仿宋" w:eastAsia="仿宋" w:cs="仿宋"/>
                <w:szCs w:val="21"/>
              </w:rPr>
            </w:pPr>
          </w:p>
        </w:tc>
      </w:tr>
    </w:tbl>
    <w:p>
      <w:pPr>
        <w:pStyle w:val="968"/>
        <w:tabs>
          <w:tab w:val="left" w:pos="1050"/>
        </w:tabs>
        <w:spacing w:line="360" w:lineRule="auto"/>
        <w:rPr>
          <w:rFonts w:ascii="仿宋" w:hAnsi="仿宋" w:eastAsia="仿宋" w:cs="仿宋"/>
          <w:szCs w:val="21"/>
        </w:rPr>
      </w:pPr>
      <w:r>
        <w:rPr>
          <w:rFonts w:hint="eastAsia" w:ascii="仿宋" w:hAnsi="仿宋" w:eastAsia="仿宋" w:cs="仿宋"/>
          <w:b/>
          <w:szCs w:val="21"/>
        </w:rPr>
        <w:t>要求：</w:t>
      </w:r>
    </w:p>
    <w:p>
      <w:pPr>
        <w:pStyle w:val="968"/>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1.填写投标人获得资质、认证或企业信誉证书。</w:t>
      </w:r>
    </w:p>
    <w:p>
      <w:pPr>
        <w:pStyle w:val="968"/>
        <w:tabs>
          <w:tab w:val="left" w:pos="1050"/>
        </w:tabs>
        <w:spacing w:line="360" w:lineRule="auto"/>
        <w:ind w:firstLine="420" w:firstLineChars="200"/>
        <w:rPr>
          <w:rFonts w:ascii="仿宋" w:hAnsi="仿宋" w:eastAsia="仿宋" w:cs="仿宋"/>
          <w:szCs w:val="21"/>
        </w:rPr>
      </w:pPr>
      <w:r>
        <w:rPr>
          <w:rFonts w:hint="eastAsia" w:ascii="仿宋" w:hAnsi="仿宋" w:eastAsia="仿宋" w:cs="仿宋"/>
          <w:szCs w:val="21"/>
        </w:rPr>
        <w:t>2.附所列证书或其他证明材料。</w:t>
      </w:r>
    </w:p>
    <w:p>
      <w:pPr>
        <w:spacing w:line="360" w:lineRule="auto"/>
        <w:jc w:val="center"/>
        <w:rPr>
          <w:rFonts w:ascii="仿宋" w:hAnsi="仿宋" w:eastAsia="仿宋" w:cs="仿宋"/>
          <w:b/>
          <w:sz w:val="32"/>
          <w:szCs w:val="32"/>
        </w:rPr>
      </w:pPr>
    </w:p>
    <w:p>
      <w:pPr>
        <w:pStyle w:val="64"/>
        <w:ind w:firstLine="420"/>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bCs/>
          <w:sz w:val="24"/>
        </w:rPr>
      </w:pPr>
      <w:r>
        <w:rPr>
          <w:rFonts w:hint="eastAsia" w:ascii="仿宋" w:hAnsi="仿宋" w:eastAsia="仿宋" w:cs="仿宋"/>
          <w:sz w:val="24"/>
          <w:lang w:val="zh-CN"/>
        </w:rPr>
        <w:t>日期：</w:t>
      </w:r>
      <w:r>
        <w:rPr>
          <w:rFonts w:hint="eastAsia" w:ascii="仿宋" w:hAnsi="仿宋" w:eastAsia="仿宋" w:cs="仿宋"/>
          <w:bCs/>
          <w:sz w:val="24"/>
        </w:rPr>
        <w:br w:type="page"/>
      </w:r>
    </w:p>
    <w:p>
      <w:pPr>
        <w:pStyle w:val="3"/>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4</w:t>
      </w:r>
    </w:p>
    <w:p>
      <w:pPr>
        <w:spacing w:before="120" w:beforeLines="50" w:after="120" w:afterLines="50" w:line="360" w:lineRule="auto"/>
        <w:ind w:right="-10"/>
        <w:jc w:val="center"/>
        <w:rPr>
          <w:rFonts w:ascii="仿宋" w:hAnsi="仿宋" w:eastAsia="仿宋" w:cs="仿宋"/>
          <w:b/>
          <w:bCs/>
          <w:sz w:val="32"/>
          <w:szCs w:val="32"/>
        </w:rPr>
      </w:pPr>
      <w:bookmarkStart w:id="434" w:name="_Toc12710_WPSOffice_Level1"/>
      <w:bookmarkStart w:id="435" w:name="_Toc23055_WPSOffice_Level1"/>
      <w:r>
        <w:rPr>
          <w:rFonts w:hint="eastAsia" w:ascii="仿宋" w:hAnsi="仿宋" w:eastAsia="仿宋" w:cs="仿宋"/>
          <w:b/>
          <w:bCs/>
          <w:sz w:val="32"/>
          <w:szCs w:val="32"/>
        </w:rPr>
        <w:t>项目负责人资格情况表</w:t>
      </w:r>
      <w:bookmarkEnd w:id="434"/>
      <w:bookmarkEnd w:id="435"/>
    </w:p>
    <w:tbl>
      <w:tblPr>
        <w:tblStyle w:val="65"/>
        <w:tblW w:w="931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205"/>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32" w:type="dxa"/>
            <w:tcBorders>
              <w:top w:val="single" w:color="auto" w:sz="12"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姓名</w:t>
            </w:r>
          </w:p>
        </w:tc>
        <w:tc>
          <w:tcPr>
            <w:tcW w:w="3205" w:type="dxa"/>
            <w:tcBorders>
              <w:top w:val="single" w:color="auto" w:sz="12"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tcBorders>
              <w:top w:val="single" w:color="auto" w:sz="12"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性别</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rPr>
            </w:pPr>
            <w:r>
              <w:rPr>
                <w:rFonts w:hint="eastAsia" w:ascii="仿宋" w:hAnsi="仿宋" w:eastAsia="仿宋" w:cs="仿宋"/>
              </w:rPr>
              <w:t>注：业绩证明应提供旁证材料</w:t>
            </w:r>
          </w:p>
          <w:p>
            <w:pPr>
              <w:autoSpaceDE w:val="0"/>
              <w:autoSpaceDN w:val="0"/>
              <w:snapToGrid w:val="0"/>
              <w:spacing w:line="360" w:lineRule="auto"/>
              <w:jc w:val="center"/>
              <w:rPr>
                <w:rFonts w:ascii="仿宋" w:hAnsi="仿宋" w:eastAsia="仿宋" w:cs="仿宋"/>
                <w:lang w:val="zh-CN"/>
              </w:rPr>
            </w:pPr>
            <w:r>
              <w:rPr>
                <w:rFonts w:hint="eastAsia" w:ascii="仿宋" w:hAnsi="仿宋" w:eastAsia="仿宋" w:cs="仿宋"/>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年龄</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职称</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毕业时间</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学校专业</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联系电话</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132" w:type="dxa"/>
            <w:tcBorders>
              <w:top w:val="single" w:color="auto" w:sz="4" w:space="0"/>
              <w:left w:val="single" w:color="auto" w:sz="12"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rPr>
              <w:t>最近一年工作状况</w:t>
            </w:r>
          </w:p>
        </w:tc>
        <w:tc>
          <w:tcPr>
            <w:tcW w:w="320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rPr>
                <w:rFonts w:ascii="仿宋" w:hAnsi="仿宋" w:eastAsia="仿宋" w:cs="仿宋"/>
                <w:lang w:val="zh-CN"/>
              </w:rPr>
            </w:pPr>
          </w:p>
        </w:tc>
        <w:tc>
          <w:tcPr>
            <w:tcW w:w="398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snapToGrid w:val="0"/>
              <w:spacing w:line="360" w:lineRule="auto"/>
              <w:jc w:val="center"/>
              <w:rPr>
                <w:rFonts w:ascii="仿宋" w:hAnsi="仿宋" w:eastAsia="仿宋" w:cs="仿宋"/>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32"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b/>
                <w:bCs/>
                <w:lang w:val="zh-CN"/>
              </w:rPr>
            </w:pPr>
            <w:r>
              <w:rPr>
                <w:rFonts w:hint="eastAsia" w:ascii="仿宋" w:hAnsi="仿宋" w:eastAsia="仿宋" w:cs="仿宋"/>
                <w:b/>
                <w:bCs/>
                <w:lang w:val="zh-CN"/>
              </w:rPr>
              <w:t>拟在本项目中担任主要工作</w:t>
            </w:r>
          </w:p>
        </w:tc>
        <w:tc>
          <w:tcPr>
            <w:tcW w:w="7186"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snapToGrid w:val="0"/>
              <w:spacing w:line="360" w:lineRule="auto"/>
              <w:jc w:val="center"/>
              <w:rPr>
                <w:rFonts w:ascii="仿宋" w:hAnsi="仿宋" w:eastAsia="仿宋" w:cs="仿宋"/>
                <w:lang w:val="zh-CN"/>
              </w:rPr>
            </w:pPr>
          </w:p>
        </w:tc>
      </w:tr>
    </w:tbl>
    <w:p>
      <w:pPr>
        <w:pStyle w:val="15"/>
        <w:rPr>
          <w:rFonts w:ascii="仿宋" w:hAnsi="仿宋" w:eastAsia="仿宋" w:cs="仿宋"/>
          <w:color w:val="auto"/>
        </w:rPr>
      </w:pPr>
    </w:p>
    <w:p>
      <w:pPr>
        <w:snapToGrid w:val="0"/>
        <w:spacing w:line="360" w:lineRule="auto"/>
        <w:ind w:firstLine="420" w:firstLineChars="175"/>
        <w:jc w:val="left"/>
        <w:rPr>
          <w:rFonts w:ascii="仿宋" w:hAnsi="仿宋" w:eastAsia="仿宋" w:cs="仿宋"/>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3"/>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5</w:t>
      </w:r>
    </w:p>
    <w:p>
      <w:pPr>
        <w:pStyle w:val="15"/>
        <w:rPr>
          <w:rFonts w:ascii="仿宋" w:hAnsi="仿宋" w:eastAsia="仿宋" w:cs="仿宋"/>
          <w:color w:val="auto"/>
        </w:rPr>
      </w:pPr>
    </w:p>
    <w:p>
      <w:pPr>
        <w:snapToGrid w:val="0"/>
        <w:spacing w:line="360" w:lineRule="auto"/>
        <w:ind w:right="480"/>
        <w:jc w:val="center"/>
        <w:outlineLvl w:val="2"/>
        <w:rPr>
          <w:rFonts w:ascii="仿宋" w:hAnsi="仿宋" w:eastAsia="仿宋" w:cs="仿宋"/>
          <w:b/>
          <w:kern w:val="0"/>
          <w:sz w:val="32"/>
          <w:szCs w:val="32"/>
        </w:rPr>
      </w:pPr>
      <w:r>
        <w:rPr>
          <w:rFonts w:hint="eastAsia" w:ascii="仿宋" w:hAnsi="仿宋" w:eastAsia="仿宋" w:cs="仿宋"/>
          <w:b/>
          <w:kern w:val="0"/>
          <w:sz w:val="32"/>
          <w:szCs w:val="32"/>
        </w:rPr>
        <w:t>项目组成员、售后人员一览表</w:t>
      </w:r>
    </w:p>
    <w:p>
      <w:pPr>
        <w:jc w:val="center"/>
        <w:rPr>
          <w:rFonts w:ascii="仿宋" w:hAnsi="仿宋" w:eastAsia="仿宋" w:cs="仿宋"/>
          <w:sz w:val="28"/>
          <w:szCs w:val="28"/>
        </w:rPr>
      </w:pPr>
      <w:r>
        <w:rPr>
          <w:rFonts w:hint="eastAsia" w:ascii="仿宋" w:hAnsi="仿宋" w:eastAsia="仿宋" w:cs="仿宋"/>
          <w:sz w:val="28"/>
          <w:szCs w:val="28"/>
        </w:rPr>
        <w:t>（主要从业人员及其技术资格）</w:t>
      </w:r>
    </w:p>
    <w:tbl>
      <w:tblPr>
        <w:tblStyle w:val="65"/>
        <w:tblW w:w="0" w:type="auto"/>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rPr>
            </w:pPr>
            <w:r>
              <w:rPr>
                <w:rFonts w:hint="eastAsia" w:ascii="仿宋" w:hAnsi="仿宋" w:eastAsia="仿宋" w:cs="仿宋"/>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rPr>
            </w:pPr>
          </w:p>
        </w:tc>
      </w:tr>
    </w:tbl>
    <w:p>
      <w:pPr>
        <w:spacing w:before="100" w:beforeAutospacing="1"/>
        <w:rPr>
          <w:rFonts w:ascii="仿宋" w:hAnsi="仿宋" w:eastAsia="仿宋" w:cs="仿宋"/>
          <w:b/>
        </w:rPr>
      </w:pPr>
      <w:r>
        <w:rPr>
          <w:rFonts w:hint="eastAsia" w:ascii="仿宋" w:hAnsi="仿宋" w:eastAsia="仿宋" w:cs="仿宋"/>
          <w:b/>
        </w:rPr>
        <w:t>要求：</w:t>
      </w:r>
    </w:p>
    <w:p>
      <w:pPr>
        <w:ind w:firstLine="420" w:firstLineChars="200"/>
        <w:rPr>
          <w:rFonts w:ascii="仿宋" w:hAnsi="仿宋" w:eastAsia="仿宋" w:cs="仿宋"/>
        </w:rPr>
      </w:pPr>
      <w:r>
        <w:rPr>
          <w:rFonts w:hint="eastAsia" w:ascii="仿宋" w:hAnsi="仿宋" w:eastAsia="仿宋" w:cs="仿宋"/>
        </w:rPr>
        <w:t>1.在填写时，如本表格不适合投标单位的实际情况，可根据本表格式自行划表填写。</w:t>
      </w:r>
    </w:p>
    <w:p>
      <w:pPr>
        <w:ind w:firstLine="420" w:firstLineChars="200"/>
        <w:rPr>
          <w:rFonts w:ascii="仿宋" w:hAnsi="仿宋" w:eastAsia="仿宋" w:cs="仿宋"/>
        </w:rPr>
      </w:pPr>
      <w:r>
        <w:rPr>
          <w:rFonts w:hint="eastAsia" w:ascii="仿宋" w:hAnsi="仿宋" w:eastAsia="仿宋" w:cs="仿宋"/>
        </w:rPr>
        <w:t>2.</w:t>
      </w:r>
      <w:r>
        <w:rPr>
          <w:rFonts w:hint="eastAsia" w:ascii="仿宋" w:hAnsi="仿宋" w:eastAsia="仿宋" w:cs="仿宋"/>
          <w:b/>
        </w:rPr>
        <w:t>需附人员学历证书、专业证书、职称证书、投标人为其缴纳的社保证明等相关证明材料扫描件。</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ind w:firstLine="420" w:firstLineChars="175"/>
        <w:rPr>
          <w:rFonts w:ascii="仿宋" w:hAnsi="仿宋" w:eastAsia="仿宋" w:cs="仿宋"/>
        </w:rPr>
      </w:pPr>
      <w:r>
        <w:rPr>
          <w:rFonts w:hint="eastAsia" w:ascii="仿宋" w:hAnsi="仿宋" w:eastAsia="仿宋" w:cs="仿宋"/>
          <w:sz w:val="24"/>
          <w:lang w:val="zh-CN"/>
        </w:rPr>
        <w:t>日期：</w:t>
      </w:r>
      <w:r>
        <w:rPr>
          <w:rFonts w:hint="eastAsia" w:ascii="仿宋" w:hAnsi="仿宋" w:eastAsia="仿宋" w:cs="仿宋"/>
        </w:rPr>
        <w:br w:type="page"/>
      </w:r>
    </w:p>
    <w:p>
      <w:pPr>
        <w:pStyle w:val="3"/>
        <w:rPr>
          <w:rFonts w:hint="eastAsia" w:ascii="仿宋" w:eastAsia="仿宋" w:cs="仿宋"/>
          <w:bCs w:val="0"/>
          <w:spacing w:val="6"/>
          <w:lang w:val="en-US" w:eastAsia="zh-CN"/>
        </w:rPr>
      </w:pPr>
      <w:r>
        <w:rPr>
          <w:rFonts w:hint="eastAsia" w:ascii="仿宋" w:eastAsia="仿宋" w:cs="仿宋"/>
          <w:bCs w:val="0"/>
          <w:spacing w:val="6"/>
          <w:lang w:val="en-US"/>
        </w:rPr>
        <w:t>附件</w:t>
      </w:r>
      <w:r>
        <w:rPr>
          <w:rFonts w:hint="eastAsia" w:ascii="仿宋" w:eastAsia="仿宋" w:cs="仿宋"/>
          <w:bCs w:val="0"/>
          <w:spacing w:val="6"/>
          <w:lang w:val="en-US" w:eastAsia="zh-CN"/>
        </w:rPr>
        <w:t>6</w:t>
      </w:r>
    </w:p>
    <w:p>
      <w:pPr>
        <w:spacing w:line="360" w:lineRule="exact"/>
        <w:jc w:val="center"/>
        <w:rPr>
          <w:rFonts w:ascii="仿宋" w:hAnsi="仿宋" w:eastAsia="仿宋" w:cs="仿宋"/>
          <w:b/>
          <w:sz w:val="32"/>
          <w:szCs w:val="32"/>
        </w:rPr>
      </w:pPr>
      <w:r>
        <w:rPr>
          <w:rFonts w:hint="eastAsia" w:ascii="仿宋" w:hAnsi="仿宋" w:eastAsia="仿宋" w:cs="仿宋"/>
          <w:b/>
          <w:kern w:val="0"/>
          <w:sz w:val="32"/>
          <w:szCs w:val="32"/>
        </w:rPr>
        <w:t>针对本项目拟投入设备及工具一览表</w:t>
      </w:r>
    </w:p>
    <w:p>
      <w:pPr>
        <w:pStyle w:val="15"/>
        <w:ind w:left="-357" w:leftChars="-170" w:firstLine="0"/>
        <w:rPr>
          <w:rFonts w:ascii="仿宋" w:hAnsi="仿宋" w:eastAsia="仿宋" w:cs="仿宋"/>
          <w:color w:val="auto"/>
        </w:rPr>
      </w:pPr>
    </w:p>
    <w:tbl>
      <w:tblPr>
        <w:tblStyle w:val="65"/>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2394"/>
        <w:gridCol w:w="1349"/>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79" w:type="dxa"/>
            <w:vAlign w:val="center"/>
          </w:tcPr>
          <w:p>
            <w:pPr>
              <w:jc w:val="center"/>
              <w:rPr>
                <w:rFonts w:ascii="仿宋" w:hAnsi="仿宋" w:eastAsia="仿宋" w:cs="仿宋"/>
                <w:b/>
                <w:sz w:val="24"/>
              </w:rPr>
            </w:pPr>
            <w:r>
              <w:rPr>
                <w:rFonts w:hint="eastAsia" w:ascii="仿宋" w:hAnsi="仿宋" w:eastAsia="仿宋" w:cs="仿宋"/>
                <w:b/>
                <w:sz w:val="24"/>
              </w:rPr>
              <w:t>设备或工具名称</w:t>
            </w:r>
          </w:p>
        </w:tc>
        <w:tc>
          <w:tcPr>
            <w:tcW w:w="2394" w:type="dxa"/>
            <w:vAlign w:val="center"/>
          </w:tcPr>
          <w:p>
            <w:pPr>
              <w:jc w:val="center"/>
              <w:rPr>
                <w:rFonts w:ascii="仿宋" w:hAnsi="仿宋" w:eastAsia="仿宋" w:cs="仿宋"/>
                <w:b/>
                <w:sz w:val="24"/>
              </w:rPr>
            </w:pPr>
            <w:r>
              <w:rPr>
                <w:rFonts w:hint="eastAsia" w:ascii="仿宋" w:hAnsi="仿宋" w:eastAsia="仿宋" w:cs="仿宋"/>
                <w:b/>
                <w:sz w:val="24"/>
              </w:rPr>
              <w:t>品牌规格型号</w:t>
            </w:r>
          </w:p>
        </w:tc>
        <w:tc>
          <w:tcPr>
            <w:tcW w:w="1349" w:type="dxa"/>
            <w:vAlign w:val="center"/>
          </w:tcPr>
          <w:p>
            <w:pPr>
              <w:jc w:val="center"/>
              <w:rPr>
                <w:rFonts w:ascii="仿宋" w:hAnsi="仿宋" w:eastAsia="仿宋" w:cs="仿宋"/>
                <w:b/>
                <w:sz w:val="24"/>
              </w:rPr>
            </w:pPr>
            <w:r>
              <w:rPr>
                <w:rFonts w:hint="eastAsia" w:ascii="仿宋" w:hAnsi="仿宋" w:eastAsia="仿宋" w:cs="仿宋_GB2312"/>
                <w:b/>
                <w:sz w:val="24"/>
              </w:rPr>
              <w:t>规格配置详细说明</w:t>
            </w:r>
          </w:p>
        </w:tc>
        <w:tc>
          <w:tcPr>
            <w:tcW w:w="1349" w:type="dxa"/>
            <w:vAlign w:val="center"/>
          </w:tcPr>
          <w:p>
            <w:pPr>
              <w:jc w:val="center"/>
              <w:rPr>
                <w:rFonts w:ascii="仿宋" w:hAnsi="仿宋" w:eastAsia="仿宋" w:cs="仿宋"/>
                <w:b/>
                <w:sz w:val="24"/>
              </w:rPr>
            </w:pPr>
            <w:r>
              <w:rPr>
                <w:rFonts w:hint="eastAsia" w:ascii="仿宋" w:hAnsi="仿宋" w:eastAsia="仿宋" w:cs="仿宋"/>
                <w:b/>
                <w:sz w:val="24"/>
              </w:rPr>
              <w:t>数量</w:t>
            </w:r>
          </w:p>
        </w:tc>
        <w:tc>
          <w:tcPr>
            <w:tcW w:w="1350" w:type="dxa"/>
            <w:vAlign w:val="center"/>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979" w:type="dxa"/>
            <w:vAlign w:val="center"/>
          </w:tcPr>
          <w:p>
            <w:pPr>
              <w:ind w:firstLine="592"/>
              <w:jc w:val="center"/>
              <w:rPr>
                <w:rFonts w:ascii="仿宋" w:hAnsi="仿宋" w:eastAsia="仿宋" w:cs="仿宋"/>
                <w:sz w:val="22"/>
                <w:szCs w:val="22"/>
              </w:rPr>
            </w:pPr>
          </w:p>
        </w:tc>
        <w:tc>
          <w:tcPr>
            <w:tcW w:w="2394"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49" w:type="dxa"/>
            <w:vAlign w:val="center"/>
          </w:tcPr>
          <w:p>
            <w:pPr>
              <w:ind w:firstLine="592"/>
              <w:jc w:val="center"/>
              <w:rPr>
                <w:rFonts w:ascii="仿宋" w:hAnsi="仿宋" w:eastAsia="仿宋" w:cs="仿宋"/>
                <w:sz w:val="22"/>
                <w:szCs w:val="22"/>
              </w:rPr>
            </w:pPr>
          </w:p>
        </w:tc>
        <w:tc>
          <w:tcPr>
            <w:tcW w:w="1350" w:type="dxa"/>
            <w:vAlign w:val="center"/>
          </w:tcPr>
          <w:p>
            <w:pPr>
              <w:ind w:firstLine="592"/>
              <w:jc w:val="center"/>
              <w:rPr>
                <w:rFonts w:ascii="仿宋" w:hAnsi="仿宋" w:eastAsia="仿宋" w:cs="仿宋"/>
                <w:sz w:val="22"/>
                <w:szCs w:val="22"/>
              </w:rPr>
            </w:pPr>
          </w:p>
        </w:tc>
      </w:tr>
    </w:tbl>
    <w:p>
      <w:pPr>
        <w:autoSpaceDE w:val="0"/>
        <w:autoSpaceDN w:val="0"/>
        <w:spacing w:line="360" w:lineRule="auto"/>
        <w:rPr>
          <w:rFonts w:ascii="仿宋" w:hAnsi="仿宋" w:eastAsia="仿宋" w:cs="仿宋_GB2312"/>
          <w:b/>
          <w:sz w:val="24"/>
        </w:rPr>
      </w:pPr>
      <w:r>
        <w:rPr>
          <w:rFonts w:hint="eastAsia" w:ascii="仿宋" w:hAnsi="仿宋" w:eastAsia="仿宋" w:cs="仿宋_GB2312"/>
          <w:b/>
          <w:kern w:val="0"/>
          <w:sz w:val="24"/>
        </w:rPr>
        <w:t>注：1.</w:t>
      </w:r>
      <w:r>
        <w:rPr>
          <w:rFonts w:hint="eastAsia" w:ascii="仿宋" w:hAnsi="仿宋" w:eastAsia="仿宋" w:cs="仿宋_GB2312"/>
          <w:b/>
          <w:sz w:val="24"/>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 w:hAnsi="仿宋" w:eastAsia="仿宋"/>
          <w:b/>
          <w:spacing w:val="6"/>
          <w:sz w:val="24"/>
        </w:rPr>
      </w:pPr>
      <w:r>
        <w:rPr>
          <w:rFonts w:hint="eastAsia" w:ascii="仿宋" w:hAnsi="仿宋" w:eastAsia="仿宋"/>
          <w:b/>
          <w:spacing w:val="6"/>
          <w:sz w:val="24"/>
        </w:rPr>
        <w:t>2.</w:t>
      </w:r>
      <w:r>
        <w:rPr>
          <w:rFonts w:hint="eastAsia" w:ascii="仿宋" w:hAnsi="仿宋" w:eastAsia="仿宋" w:cs="仿宋_GB2312"/>
          <w:b/>
          <w:sz w:val="24"/>
        </w:rPr>
        <w:t xml:space="preserve"> 本项目如需采购政府强制采购的节能产品的或投标人提供的产品是环境标志产品，投标人须提供节能产品、环境标志产品认证证书复印件。</w:t>
      </w:r>
    </w:p>
    <w:p>
      <w:pPr>
        <w:spacing w:line="460" w:lineRule="atLeast"/>
        <w:ind w:firstLine="1019" w:firstLineChars="392"/>
        <w:rPr>
          <w:rFonts w:ascii="仿宋" w:hAnsi="仿宋" w:eastAsia="仿宋" w:cs="仿宋"/>
          <w:spacing w:val="20"/>
          <w:sz w:val="22"/>
          <w:szCs w:val="22"/>
        </w:rPr>
      </w:pPr>
    </w:p>
    <w:p>
      <w:pPr>
        <w:rPr>
          <w:rFonts w:ascii="仿宋" w:hAnsi="仿宋" w:eastAsia="仿宋" w:cs="仿宋"/>
        </w:rPr>
      </w:pP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法定代表人（负责人）或其授权委托人（签名或印章或电子章）：</w:t>
      </w:r>
    </w:p>
    <w:p>
      <w:pPr>
        <w:snapToGrid w:val="0"/>
        <w:spacing w:line="360" w:lineRule="auto"/>
        <w:ind w:firstLine="420" w:firstLineChars="175"/>
        <w:jc w:val="left"/>
        <w:rPr>
          <w:rFonts w:ascii="仿宋" w:hAnsi="仿宋" w:eastAsia="仿宋" w:cs="仿宋"/>
          <w:sz w:val="24"/>
          <w:lang w:val="zh-CN"/>
        </w:rPr>
      </w:pPr>
      <w:r>
        <w:rPr>
          <w:rFonts w:hint="eastAsia" w:ascii="仿宋" w:hAnsi="仿宋" w:eastAsia="仿宋" w:cs="仿宋"/>
          <w:sz w:val="24"/>
          <w:lang w:val="zh-CN"/>
        </w:rPr>
        <w:t>投标人（盖章或电子章）：</w:t>
      </w:r>
    </w:p>
    <w:p>
      <w:pPr>
        <w:spacing w:line="360" w:lineRule="auto"/>
        <w:ind w:firstLine="420" w:firstLineChars="175"/>
        <w:rPr>
          <w:rFonts w:ascii="仿宋" w:hAnsi="仿宋" w:eastAsia="仿宋" w:cs="仿宋"/>
          <w:b/>
          <w:sz w:val="24"/>
        </w:rPr>
      </w:pPr>
      <w:r>
        <w:rPr>
          <w:rFonts w:hint="eastAsia" w:ascii="仿宋" w:hAnsi="仿宋" w:eastAsia="仿宋" w:cs="仿宋"/>
          <w:sz w:val="24"/>
          <w:lang w:val="zh-CN"/>
        </w:rPr>
        <w:t>日期：</w:t>
      </w:r>
    </w:p>
    <w:sectPr>
      <w:headerReference r:id="rId20" w:type="first"/>
      <w:footerReference r:id="rId22" w:type="first"/>
      <w:headerReference r:id="rId19" w:type="default"/>
      <w:footerReference r:id="rId21" w:type="default"/>
      <w:pgSz w:w="11905" w:h="16838"/>
      <w:pgMar w:top="1440" w:right="1083" w:bottom="1440" w:left="1083" w:header="567"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6" w:name="_Toc131845147"/>
                          <w:bookmarkStart w:id="437" w:name="_Toc36110187"/>
                          <w:bookmarkStart w:id="438" w:name="_Toc91899912"/>
                          <w:bookmarkStart w:id="439" w:name="_Toc164085800"/>
                          <w:r>
                            <w:rPr>
                              <w:rFonts w:hint="eastAsia" w:ascii="仿宋_GB2312" w:eastAsia="仿宋_GB2312"/>
                              <w:kern w:val="0"/>
                              <w:szCs w:val="21"/>
                            </w:rPr>
                            <w:t xml:space="preserve"> 页</w:t>
                          </w:r>
                          <w:bookmarkEnd w:id="436"/>
                          <w:bookmarkEnd w:id="437"/>
                          <w:bookmarkEnd w:id="438"/>
                          <w:bookmarkEnd w:id="439"/>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6" w:name="_Toc131845147"/>
                    <w:bookmarkStart w:id="437" w:name="_Toc36110187"/>
                    <w:bookmarkStart w:id="438" w:name="_Toc91899912"/>
                    <w:bookmarkStart w:id="439" w:name="_Toc164085800"/>
                    <w:r>
                      <w:rPr>
                        <w:rFonts w:hint="eastAsia" w:ascii="仿宋_GB2312" w:eastAsia="仿宋_GB2312"/>
                        <w:kern w:val="0"/>
                        <w:szCs w:val="21"/>
                      </w:rPr>
                      <w:t xml:space="preserve"> 页</w:t>
                    </w:r>
                    <w:bookmarkEnd w:id="436"/>
                    <w:bookmarkEnd w:id="437"/>
                    <w:bookmarkEnd w:id="438"/>
                    <w:bookmarkEnd w:id="439"/>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1"/>
                      <w:jc w:val="both"/>
                    </w:pP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jc w:val="both"/>
                    </w:pP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4929"/>
        <w:tab w:val="left" w:pos="6592"/>
      </w:tabs>
      <w:jc w:val="left"/>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jc w:val="both"/>
                    </w:pP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 w:hAnsi="仿宋" w:eastAsia="仿宋" w:cs="仿宋"/>
      </w:rPr>
    </w:pPr>
    <w:r>
      <w:rPr>
        <w:rFonts w:hint="eastAsia"/>
      </w:rPr>
      <w:t xml:space="preserve"> </w:t>
    </w:r>
    <w:r>
      <w:drawing>
        <wp:anchor distT="0" distB="0" distL="114300" distR="114300" simplePos="0" relativeHeight="251670528" behindDoc="0" locked="0" layoutInCell="1" allowOverlap="1">
          <wp:simplePos x="0" y="0"/>
          <wp:positionH relativeFrom="column">
            <wp:posOffset>57150</wp:posOffset>
          </wp:positionH>
          <wp:positionV relativeFrom="paragraph">
            <wp:posOffset>0</wp:posOffset>
          </wp:positionV>
          <wp:extent cx="545465" cy="432435"/>
          <wp:effectExtent l="0" t="0" r="6985" b="571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anchor>
      </w:drawing>
    </w:r>
    <w:r>
      <w:t></w:t>
    </w:r>
    <w:r>
      <w:rPr>
        <w:rFonts w:hint="eastAsia" w:ascii="仿宋" w:hAnsi="仿宋" w:eastAsia="仿宋" w:cs="仿宋"/>
      </w:rPr>
      <w:t xml:space="preserve">                                  </w:t>
    </w:r>
  </w:p>
  <w:p>
    <w:pPr>
      <w:pStyle w:val="42"/>
      <w:jc w:val="right"/>
      <w:rPr>
        <w:rFonts w:ascii="仿宋_GB2312" w:eastAsia="仿宋_GB2312"/>
        <w:b/>
        <w:i/>
        <w:sz w:val="18"/>
        <w:u w:val="single"/>
      </w:rPr>
    </w:pPr>
    <w:r>
      <w:rPr>
        <w:rFonts w:hint="eastAsia" w:ascii="仿宋" w:hAnsi="仿宋" w:eastAsia="仿宋" w:cs="仿宋"/>
      </w:rPr>
      <w:t xml:space="preserve">  </w:t>
    </w:r>
    <w:r>
      <w:rPr>
        <w:rFonts w:hint="eastAsia" w:ascii="仿宋" w:hAnsi="仿宋" w:eastAsia="仿宋" w:cs="仿宋"/>
        <w:lang w:eastAsia="zh-CN"/>
      </w:rPr>
      <w:t>椒江区“平安家庭”家事纠纷化解“一类事”平台建设项目</w:t>
    </w:r>
    <w:r>
      <w:rPr>
        <w:rFonts w:hint="eastAsia" w:ascii="仿宋" w:hAnsi="仿宋" w:eastAsia="仿宋" w:cs="仿宋"/>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ascii="仿宋" w:hAnsi="仿宋" w:eastAsia="仿宋" w:cs="仿宋"/>
        <w:lang w:eastAsia="zh-CN"/>
      </w:rPr>
    </w:pPr>
    <w:r>
      <w:t></w:t>
    </w:r>
    <w:r>
      <w:rPr>
        <w:rFonts w:hint="eastAsia" w:ascii="仿宋" w:hAnsi="仿宋" w:eastAsia="仿宋" w:cs="仿宋"/>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pPr>
    <w:r>
      <w:drawing>
        <wp:inline distT="0" distB="0" distL="114300" distR="114300">
          <wp:extent cx="545465" cy="432435"/>
          <wp:effectExtent l="0" t="0" r="698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eastAsia="zh-CN"/>
      </w:rPr>
      <w:t>椒江区“平安家庭”家事纠纷化解“一类事”平台建设项目</w:t>
    </w:r>
    <w:r>
      <w:rPr>
        <w:rFonts w:hint="eastAsia" w:ascii="仿宋" w:hAnsi="仿宋" w:eastAsia="仿宋" w:cs="仿宋"/>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rPr>
        <w:rFonts w:hint="eastAsia"/>
        <w:lang w:eastAsia="zh-CN"/>
      </w:rPr>
      <w:t>椒江区“平安家庭”家事纠纷化解“一类事”平台建设项目</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b/>
        <w:i/>
        <w:u w:val="single"/>
      </w:rPr>
    </w:pPr>
    <w:r>
      <w:rPr>
        <w:rFonts w:hint="eastAsia"/>
      </w:rPr>
      <w:t xml:space="preserve">                                   </w:t>
    </w:r>
    <w:r>
      <w:rPr>
        <w:rFonts w:hint="eastAsia"/>
        <w:lang w:eastAsia="zh-CN"/>
      </w:rPr>
      <w:t>椒江区“平安家庭”家事纠纷化解“一类事”平台建设项目</w:t>
    </w:r>
    <w:r>
      <w:rPr>
        <w:rFonts w:hint="eastAsia"/>
      </w:rPr>
      <w:t>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eastAsia="zh-CN"/>
      </w:rPr>
      <w:t>椒江区“平安家庭”家事纠纷化解“一类事”平台建设项目</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ascii="仿宋_GB2312"/>
        <w:b/>
        <w:i/>
        <w:iCs/>
        <w:u w:val="single"/>
      </w:rPr>
    </w:pPr>
    <w:r>
      <w:drawing>
        <wp:inline distT="0" distB="0" distL="114300" distR="114300">
          <wp:extent cx="545465" cy="432435"/>
          <wp:effectExtent l="0" t="0" r="698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545465" cy="432435"/>
                  </a:xfrm>
                  <a:prstGeom prst="rect">
                    <a:avLst/>
                  </a:prstGeom>
                  <a:noFill/>
                  <a:ln>
                    <a:noFill/>
                  </a:ln>
                </pic:spPr>
              </pic:pic>
            </a:graphicData>
          </a:graphic>
        </wp:inline>
      </w:drawing>
    </w:r>
    <w:r>
      <w:t></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椒江区“平安家庭”家事纠纷化解“一类事”平台建设项目</w:t>
    </w:r>
    <w:r>
      <w:rPr>
        <w:rFonts w:hint="eastAsia" w:ascii="仿宋" w:hAnsi="仿宋" w:eastAsia="仿宋" w:cs="仿宋"/>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rPr>
        <w:rFonts w:hint="eastAsia"/>
        <w:lang w:eastAsia="zh-CN"/>
      </w:rPr>
      <w:t>椒江区“平安家庭”家事纠纷化解“一类事”平台建设项目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487A"/>
    <w:multiLevelType w:val="singleLevel"/>
    <w:tmpl w:val="B8AA487A"/>
    <w:lvl w:ilvl="0" w:tentative="0">
      <w:start w:val="1"/>
      <w:numFmt w:val="decimal"/>
      <w:suff w:val="nothing"/>
      <w:lvlText w:val="（%1）"/>
      <w:lvlJc w:val="left"/>
    </w:lvl>
  </w:abstractNum>
  <w:abstractNum w:abstractNumId="1">
    <w:nsid w:val="CBFC46E1"/>
    <w:multiLevelType w:val="singleLevel"/>
    <w:tmpl w:val="CBFC46E1"/>
    <w:lvl w:ilvl="0" w:tentative="0">
      <w:start w:val="1"/>
      <w:numFmt w:val="chineseCounting"/>
      <w:suff w:val="nothing"/>
      <w:lvlText w:val="%1、"/>
      <w:lvlJc w:val="left"/>
      <w:pPr>
        <w:ind w:left="0" w:firstLine="420"/>
      </w:pPr>
      <w:rPr>
        <w:rFonts w:hint="eastAsia"/>
      </w:rPr>
    </w:lvl>
  </w:abstractNum>
  <w:abstractNum w:abstractNumId="2">
    <w:nsid w:val="29F6A3B0"/>
    <w:multiLevelType w:val="singleLevel"/>
    <w:tmpl w:val="29F6A3B0"/>
    <w:lvl w:ilvl="0" w:tentative="0">
      <w:start w:val="1"/>
      <w:numFmt w:val="decimal"/>
      <w:lvlText w:val="(%1)"/>
      <w:lvlJc w:val="left"/>
      <w:pPr>
        <w:ind w:left="425" w:hanging="425"/>
      </w:pPr>
      <w:rPr>
        <w:rFonts w:hint="default"/>
      </w:rPr>
    </w:lvl>
  </w:abstractNum>
  <w:abstractNum w:abstractNumId="3">
    <w:nsid w:val="3C519E40"/>
    <w:multiLevelType w:val="singleLevel"/>
    <w:tmpl w:val="3C519E40"/>
    <w:lvl w:ilvl="0" w:tentative="0">
      <w:start w:val="1"/>
      <w:numFmt w:val="chineseCounting"/>
      <w:suff w:val="nothing"/>
      <w:lvlText w:val="（%1）"/>
      <w:lvlJc w:val="left"/>
      <w:pPr>
        <w:ind w:left="210" w:firstLine="420"/>
      </w:pPr>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7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A303F85"/>
    <w:multiLevelType w:val="multilevel"/>
    <w:tmpl w:val="5A303F85"/>
    <w:lvl w:ilvl="0" w:tentative="0">
      <w:start w:val="1"/>
      <w:numFmt w:val="decimal"/>
      <w:lvlText w:val="%1"/>
      <w:lvlJc w:val="left"/>
      <w:pPr>
        <w:ind w:left="432" w:hanging="432"/>
      </w:pPr>
    </w:lvl>
    <w:lvl w:ilvl="1" w:tentative="0">
      <w:start w:val="1"/>
      <w:numFmt w:val="decimal"/>
      <w:lvlText w:val="%1.%2"/>
      <w:lvlJc w:val="left"/>
      <w:pPr>
        <w:ind w:left="786" w:hanging="576"/>
      </w:pPr>
    </w:lvl>
    <w:lvl w:ilvl="2" w:tentative="0">
      <w:start w:val="1"/>
      <w:numFmt w:val="bullet"/>
      <w:pStyle w:val="974"/>
      <w:lvlText w:val=""/>
      <w:lvlJc w:val="left"/>
      <w:pPr>
        <w:ind w:left="720" w:hanging="720"/>
      </w:pPr>
      <w:rPr>
        <w:rFonts w:hint="default" w:ascii="Wingdings" w:hAnsi="Wingding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7255EF2D"/>
    <w:multiLevelType w:val="singleLevel"/>
    <w:tmpl w:val="7255EF2D"/>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BiNTRhNDBkZDEzYjI4MmJiNjIwNDUxM2NlMTIifQ=="/>
    <w:docVar w:name="KSO_WPS_MARK_KEY" w:val="85d063e0-a317-485e-95a4-4658c959303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0F38"/>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F6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20"/>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C7FDA"/>
    <w:rsid w:val="00FD10B3"/>
    <w:rsid w:val="00FD11C3"/>
    <w:rsid w:val="00FD154E"/>
    <w:rsid w:val="00FD24D7"/>
    <w:rsid w:val="00FD29CE"/>
    <w:rsid w:val="00FD3AE2"/>
    <w:rsid w:val="00FD3E41"/>
    <w:rsid w:val="00FD3EFA"/>
    <w:rsid w:val="00FD4462"/>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970A8"/>
    <w:rsid w:val="025F0711"/>
    <w:rsid w:val="026B2E25"/>
    <w:rsid w:val="02824D4D"/>
    <w:rsid w:val="02DC4B10"/>
    <w:rsid w:val="02DD76CE"/>
    <w:rsid w:val="02F36323"/>
    <w:rsid w:val="02F5619C"/>
    <w:rsid w:val="0326446A"/>
    <w:rsid w:val="032D5555"/>
    <w:rsid w:val="03394FBF"/>
    <w:rsid w:val="036634D2"/>
    <w:rsid w:val="03DD35E4"/>
    <w:rsid w:val="04076900"/>
    <w:rsid w:val="041A5A3B"/>
    <w:rsid w:val="042311BA"/>
    <w:rsid w:val="042B157A"/>
    <w:rsid w:val="043A4897"/>
    <w:rsid w:val="048F763B"/>
    <w:rsid w:val="049F330E"/>
    <w:rsid w:val="04AA775C"/>
    <w:rsid w:val="04AF1889"/>
    <w:rsid w:val="04F66F48"/>
    <w:rsid w:val="05251E14"/>
    <w:rsid w:val="05634C4A"/>
    <w:rsid w:val="05822BFD"/>
    <w:rsid w:val="05A16594"/>
    <w:rsid w:val="05A7762D"/>
    <w:rsid w:val="05B420B4"/>
    <w:rsid w:val="05B7579B"/>
    <w:rsid w:val="060E5941"/>
    <w:rsid w:val="06110FAF"/>
    <w:rsid w:val="06475B39"/>
    <w:rsid w:val="06493CA7"/>
    <w:rsid w:val="065A6178"/>
    <w:rsid w:val="065B3401"/>
    <w:rsid w:val="066F1CF3"/>
    <w:rsid w:val="06930BB8"/>
    <w:rsid w:val="07245D42"/>
    <w:rsid w:val="07264C62"/>
    <w:rsid w:val="0779354C"/>
    <w:rsid w:val="07DD1966"/>
    <w:rsid w:val="08061376"/>
    <w:rsid w:val="08452D77"/>
    <w:rsid w:val="086401F8"/>
    <w:rsid w:val="08751CAA"/>
    <w:rsid w:val="087E4C40"/>
    <w:rsid w:val="08A871D0"/>
    <w:rsid w:val="08C8068D"/>
    <w:rsid w:val="08D66AD6"/>
    <w:rsid w:val="08DA33A3"/>
    <w:rsid w:val="08E80F13"/>
    <w:rsid w:val="09033BE6"/>
    <w:rsid w:val="09335624"/>
    <w:rsid w:val="0944690F"/>
    <w:rsid w:val="09535675"/>
    <w:rsid w:val="095F057D"/>
    <w:rsid w:val="09642282"/>
    <w:rsid w:val="09733572"/>
    <w:rsid w:val="09772C16"/>
    <w:rsid w:val="098353B5"/>
    <w:rsid w:val="09A92330"/>
    <w:rsid w:val="09B06B87"/>
    <w:rsid w:val="09C13146"/>
    <w:rsid w:val="09E04166"/>
    <w:rsid w:val="09F5216B"/>
    <w:rsid w:val="0A1C0718"/>
    <w:rsid w:val="0A3E7710"/>
    <w:rsid w:val="0A5B7E63"/>
    <w:rsid w:val="0AA374A5"/>
    <w:rsid w:val="0AAB7649"/>
    <w:rsid w:val="0ABC5606"/>
    <w:rsid w:val="0B30404E"/>
    <w:rsid w:val="0B4C6C14"/>
    <w:rsid w:val="0B547599"/>
    <w:rsid w:val="0B631A88"/>
    <w:rsid w:val="0B683D45"/>
    <w:rsid w:val="0B7F3F11"/>
    <w:rsid w:val="0B884417"/>
    <w:rsid w:val="0B893C8C"/>
    <w:rsid w:val="0BF6188C"/>
    <w:rsid w:val="0BF73C91"/>
    <w:rsid w:val="0BFC1ACA"/>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4C1BB0"/>
    <w:rsid w:val="0F515DF7"/>
    <w:rsid w:val="0F596BA8"/>
    <w:rsid w:val="0F6248D2"/>
    <w:rsid w:val="0F693536"/>
    <w:rsid w:val="0F7B0511"/>
    <w:rsid w:val="0F7B76D9"/>
    <w:rsid w:val="0F816ACD"/>
    <w:rsid w:val="0F9832DB"/>
    <w:rsid w:val="0FBF3FD2"/>
    <w:rsid w:val="0FBF7FF3"/>
    <w:rsid w:val="0FD785B0"/>
    <w:rsid w:val="0FDF5097"/>
    <w:rsid w:val="10646583"/>
    <w:rsid w:val="107D4B15"/>
    <w:rsid w:val="108A3C80"/>
    <w:rsid w:val="10BF7A79"/>
    <w:rsid w:val="10C26171"/>
    <w:rsid w:val="10F33360"/>
    <w:rsid w:val="10FC16EA"/>
    <w:rsid w:val="110F1D40"/>
    <w:rsid w:val="11266F33"/>
    <w:rsid w:val="11446774"/>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FC545F"/>
    <w:rsid w:val="141008D8"/>
    <w:rsid w:val="14125FE6"/>
    <w:rsid w:val="146D271E"/>
    <w:rsid w:val="14982588"/>
    <w:rsid w:val="149A5AD9"/>
    <w:rsid w:val="14A7619D"/>
    <w:rsid w:val="150536C3"/>
    <w:rsid w:val="150C1963"/>
    <w:rsid w:val="151447A0"/>
    <w:rsid w:val="154A6454"/>
    <w:rsid w:val="15762120"/>
    <w:rsid w:val="15F26D36"/>
    <w:rsid w:val="16A8729C"/>
    <w:rsid w:val="16B33777"/>
    <w:rsid w:val="16BC70A7"/>
    <w:rsid w:val="16C6339E"/>
    <w:rsid w:val="16FD91C4"/>
    <w:rsid w:val="172F2D79"/>
    <w:rsid w:val="17557BEF"/>
    <w:rsid w:val="17AD9684"/>
    <w:rsid w:val="17D349C1"/>
    <w:rsid w:val="17ED3588"/>
    <w:rsid w:val="17FCDE8F"/>
    <w:rsid w:val="1830729E"/>
    <w:rsid w:val="1870062C"/>
    <w:rsid w:val="18817102"/>
    <w:rsid w:val="18830A15"/>
    <w:rsid w:val="18852B28"/>
    <w:rsid w:val="188B5321"/>
    <w:rsid w:val="192B6757"/>
    <w:rsid w:val="19932372"/>
    <w:rsid w:val="19A20DD5"/>
    <w:rsid w:val="19AE03F1"/>
    <w:rsid w:val="1A071A03"/>
    <w:rsid w:val="1A1F16AE"/>
    <w:rsid w:val="1A3B5C77"/>
    <w:rsid w:val="1A78B5E0"/>
    <w:rsid w:val="1A984BAD"/>
    <w:rsid w:val="1AB8220E"/>
    <w:rsid w:val="1ADF6770"/>
    <w:rsid w:val="1AE4166C"/>
    <w:rsid w:val="1AF06CFB"/>
    <w:rsid w:val="1AF11B8D"/>
    <w:rsid w:val="1B11359C"/>
    <w:rsid w:val="1B277CDA"/>
    <w:rsid w:val="1B2A271F"/>
    <w:rsid w:val="1B461516"/>
    <w:rsid w:val="1B530544"/>
    <w:rsid w:val="1B713184"/>
    <w:rsid w:val="1BA209CF"/>
    <w:rsid w:val="1BB4777D"/>
    <w:rsid w:val="1BD75AB8"/>
    <w:rsid w:val="1C0459C2"/>
    <w:rsid w:val="1C1B3B4A"/>
    <w:rsid w:val="1C88086E"/>
    <w:rsid w:val="1D266CE1"/>
    <w:rsid w:val="1D3963AF"/>
    <w:rsid w:val="1D6A673C"/>
    <w:rsid w:val="1D7F3115"/>
    <w:rsid w:val="1D9247AE"/>
    <w:rsid w:val="1DB567EC"/>
    <w:rsid w:val="1DF51A98"/>
    <w:rsid w:val="1DF6E6B9"/>
    <w:rsid w:val="1E3D060F"/>
    <w:rsid w:val="1E3F7D2E"/>
    <w:rsid w:val="1E4134E4"/>
    <w:rsid w:val="1E5062B3"/>
    <w:rsid w:val="1E523514"/>
    <w:rsid w:val="1E714A66"/>
    <w:rsid w:val="1E802593"/>
    <w:rsid w:val="1E8B6156"/>
    <w:rsid w:val="1EA703CC"/>
    <w:rsid w:val="1EB7330C"/>
    <w:rsid w:val="1EF83F1D"/>
    <w:rsid w:val="1F0A0FF3"/>
    <w:rsid w:val="1F5771FF"/>
    <w:rsid w:val="1F5FB1BD"/>
    <w:rsid w:val="1FBE11F2"/>
    <w:rsid w:val="1FD52DD5"/>
    <w:rsid w:val="1FD77914"/>
    <w:rsid w:val="1FE868A9"/>
    <w:rsid w:val="20034907"/>
    <w:rsid w:val="20173E4B"/>
    <w:rsid w:val="204E48BC"/>
    <w:rsid w:val="208921B3"/>
    <w:rsid w:val="20973DEB"/>
    <w:rsid w:val="20B26522"/>
    <w:rsid w:val="20B44310"/>
    <w:rsid w:val="211116EB"/>
    <w:rsid w:val="216133FC"/>
    <w:rsid w:val="21C726D9"/>
    <w:rsid w:val="21D56769"/>
    <w:rsid w:val="21E52EF3"/>
    <w:rsid w:val="21FB5D7B"/>
    <w:rsid w:val="22015E94"/>
    <w:rsid w:val="220B1C3D"/>
    <w:rsid w:val="221D1D20"/>
    <w:rsid w:val="22334A87"/>
    <w:rsid w:val="22721D38"/>
    <w:rsid w:val="2289203C"/>
    <w:rsid w:val="22BE6801"/>
    <w:rsid w:val="230D2B83"/>
    <w:rsid w:val="233500BF"/>
    <w:rsid w:val="23377FF7"/>
    <w:rsid w:val="236B425F"/>
    <w:rsid w:val="23836192"/>
    <w:rsid w:val="23901F29"/>
    <w:rsid w:val="239C0061"/>
    <w:rsid w:val="23B908A4"/>
    <w:rsid w:val="23E3EA33"/>
    <w:rsid w:val="23E95BEF"/>
    <w:rsid w:val="23FD0064"/>
    <w:rsid w:val="245375B0"/>
    <w:rsid w:val="24642C0A"/>
    <w:rsid w:val="24B22173"/>
    <w:rsid w:val="24B95AD9"/>
    <w:rsid w:val="24BE24DA"/>
    <w:rsid w:val="24CF5825"/>
    <w:rsid w:val="24D663E6"/>
    <w:rsid w:val="24D77F2B"/>
    <w:rsid w:val="258B00E2"/>
    <w:rsid w:val="25A917A6"/>
    <w:rsid w:val="25BE27CC"/>
    <w:rsid w:val="25D014C9"/>
    <w:rsid w:val="25E77763"/>
    <w:rsid w:val="25F74A5C"/>
    <w:rsid w:val="2628662C"/>
    <w:rsid w:val="262D45DE"/>
    <w:rsid w:val="26871DC8"/>
    <w:rsid w:val="26A163C2"/>
    <w:rsid w:val="26A53EF9"/>
    <w:rsid w:val="26A94201"/>
    <w:rsid w:val="26AC274F"/>
    <w:rsid w:val="27044A29"/>
    <w:rsid w:val="271D34C8"/>
    <w:rsid w:val="276142BF"/>
    <w:rsid w:val="27783712"/>
    <w:rsid w:val="27907362"/>
    <w:rsid w:val="27EF55BB"/>
    <w:rsid w:val="28333E1D"/>
    <w:rsid w:val="28376AC0"/>
    <w:rsid w:val="28454BD6"/>
    <w:rsid w:val="28455253"/>
    <w:rsid w:val="28551971"/>
    <w:rsid w:val="285B1C53"/>
    <w:rsid w:val="289F7086"/>
    <w:rsid w:val="28C32028"/>
    <w:rsid w:val="28CC490F"/>
    <w:rsid w:val="28DE40AA"/>
    <w:rsid w:val="29345E77"/>
    <w:rsid w:val="294C65AD"/>
    <w:rsid w:val="29806583"/>
    <w:rsid w:val="298B3C4C"/>
    <w:rsid w:val="29AB28E4"/>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6F0331"/>
    <w:rsid w:val="2CE82D6F"/>
    <w:rsid w:val="2D343236"/>
    <w:rsid w:val="2DD15014"/>
    <w:rsid w:val="2DD77427"/>
    <w:rsid w:val="2DEFFD58"/>
    <w:rsid w:val="2DF72DE4"/>
    <w:rsid w:val="2E0220AF"/>
    <w:rsid w:val="2E4B082A"/>
    <w:rsid w:val="2E5D4E86"/>
    <w:rsid w:val="2E5D790B"/>
    <w:rsid w:val="2E7F828E"/>
    <w:rsid w:val="2E9A3C18"/>
    <w:rsid w:val="2EBB0FEE"/>
    <w:rsid w:val="2EC63002"/>
    <w:rsid w:val="2F0A6B38"/>
    <w:rsid w:val="2F946CCB"/>
    <w:rsid w:val="2FD25781"/>
    <w:rsid w:val="2FDC34A8"/>
    <w:rsid w:val="2FDC745C"/>
    <w:rsid w:val="2FEFA0D7"/>
    <w:rsid w:val="2FFB4A82"/>
    <w:rsid w:val="2FFD7934"/>
    <w:rsid w:val="2FFFEAB7"/>
    <w:rsid w:val="30733ACD"/>
    <w:rsid w:val="308C3862"/>
    <w:rsid w:val="309379D8"/>
    <w:rsid w:val="30A270F7"/>
    <w:rsid w:val="30DF1478"/>
    <w:rsid w:val="30EC586F"/>
    <w:rsid w:val="314550B7"/>
    <w:rsid w:val="319C6071"/>
    <w:rsid w:val="31AC537E"/>
    <w:rsid w:val="31E3679B"/>
    <w:rsid w:val="31E732FD"/>
    <w:rsid w:val="32517576"/>
    <w:rsid w:val="32523F5D"/>
    <w:rsid w:val="32534937"/>
    <w:rsid w:val="32BE5C2C"/>
    <w:rsid w:val="32FB6478"/>
    <w:rsid w:val="32FC8965"/>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F4D66"/>
    <w:rsid w:val="354D7158"/>
    <w:rsid w:val="3563CCAF"/>
    <w:rsid w:val="358D5588"/>
    <w:rsid w:val="35FB390D"/>
    <w:rsid w:val="363A3B40"/>
    <w:rsid w:val="365302AE"/>
    <w:rsid w:val="36607A0A"/>
    <w:rsid w:val="366D84D3"/>
    <w:rsid w:val="366E227C"/>
    <w:rsid w:val="366F2E0D"/>
    <w:rsid w:val="367B6A5C"/>
    <w:rsid w:val="36A74ADA"/>
    <w:rsid w:val="36AD60D5"/>
    <w:rsid w:val="36B224F9"/>
    <w:rsid w:val="36EC0CC9"/>
    <w:rsid w:val="373F410B"/>
    <w:rsid w:val="376B777D"/>
    <w:rsid w:val="37BFA1E3"/>
    <w:rsid w:val="37D97454"/>
    <w:rsid w:val="37E71AB5"/>
    <w:rsid w:val="37EE7094"/>
    <w:rsid w:val="3821593A"/>
    <w:rsid w:val="38296C89"/>
    <w:rsid w:val="383002EB"/>
    <w:rsid w:val="38586797"/>
    <w:rsid w:val="38B053B9"/>
    <w:rsid w:val="38B379C3"/>
    <w:rsid w:val="38BC0149"/>
    <w:rsid w:val="38D87D1C"/>
    <w:rsid w:val="3903322F"/>
    <w:rsid w:val="39636459"/>
    <w:rsid w:val="396B7F6C"/>
    <w:rsid w:val="39B417A9"/>
    <w:rsid w:val="39FC5695"/>
    <w:rsid w:val="3A006D8E"/>
    <w:rsid w:val="3A3651E5"/>
    <w:rsid w:val="3A58698B"/>
    <w:rsid w:val="3A744481"/>
    <w:rsid w:val="3A8C7BEF"/>
    <w:rsid w:val="3A906246"/>
    <w:rsid w:val="3ABF5F1C"/>
    <w:rsid w:val="3AFFB1CA"/>
    <w:rsid w:val="3B2349B7"/>
    <w:rsid w:val="3B616CFF"/>
    <w:rsid w:val="3B6259F6"/>
    <w:rsid w:val="3B776A55"/>
    <w:rsid w:val="3B7B4C24"/>
    <w:rsid w:val="3B976654"/>
    <w:rsid w:val="3BBF0DC9"/>
    <w:rsid w:val="3BC01EFC"/>
    <w:rsid w:val="3BCA786A"/>
    <w:rsid w:val="3BCE15C7"/>
    <w:rsid w:val="3BD31E2F"/>
    <w:rsid w:val="3BF15831"/>
    <w:rsid w:val="3C105946"/>
    <w:rsid w:val="3C447FE2"/>
    <w:rsid w:val="3C471448"/>
    <w:rsid w:val="3C5F759A"/>
    <w:rsid w:val="3C6C525A"/>
    <w:rsid w:val="3CCE23CB"/>
    <w:rsid w:val="3CD17D17"/>
    <w:rsid w:val="3CFFC4D0"/>
    <w:rsid w:val="3D3C7F39"/>
    <w:rsid w:val="3D3F6F8E"/>
    <w:rsid w:val="3D440F09"/>
    <w:rsid w:val="3D4504A0"/>
    <w:rsid w:val="3D8734BB"/>
    <w:rsid w:val="3D9A11D4"/>
    <w:rsid w:val="3DA16D89"/>
    <w:rsid w:val="3DA364BE"/>
    <w:rsid w:val="3DBD6462"/>
    <w:rsid w:val="3DE041CB"/>
    <w:rsid w:val="3DEF61EA"/>
    <w:rsid w:val="3E0D48F6"/>
    <w:rsid w:val="3E1868B4"/>
    <w:rsid w:val="3E377251"/>
    <w:rsid w:val="3E42664B"/>
    <w:rsid w:val="3E5A7334"/>
    <w:rsid w:val="3E7B5C15"/>
    <w:rsid w:val="3E7B5D6B"/>
    <w:rsid w:val="3E7D3A1A"/>
    <w:rsid w:val="3E843E66"/>
    <w:rsid w:val="3E8F51FE"/>
    <w:rsid w:val="3E926F87"/>
    <w:rsid w:val="3E9A59DE"/>
    <w:rsid w:val="3EAF4836"/>
    <w:rsid w:val="3EBE2464"/>
    <w:rsid w:val="3EC33DFA"/>
    <w:rsid w:val="3F060E16"/>
    <w:rsid w:val="3F1D1096"/>
    <w:rsid w:val="3F2F0234"/>
    <w:rsid w:val="3F5BE587"/>
    <w:rsid w:val="3F6363FE"/>
    <w:rsid w:val="3F756B8F"/>
    <w:rsid w:val="3F95482B"/>
    <w:rsid w:val="3FAF1333"/>
    <w:rsid w:val="3FAFFBE1"/>
    <w:rsid w:val="3FB3D12A"/>
    <w:rsid w:val="3FBEAECE"/>
    <w:rsid w:val="3FBF4209"/>
    <w:rsid w:val="3FBFA498"/>
    <w:rsid w:val="3FDAC8DA"/>
    <w:rsid w:val="3FE58F67"/>
    <w:rsid w:val="3FFFC828"/>
    <w:rsid w:val="4019356B"/>
    <w:rsid w:val="40592157"/>
    <w:rsid w:val="406E1CAE"/>
    <w:rsid w:val="40A0133A"/>
    <w:rsid w:val="40C31A53"/>
    <w:rsid w:val="40FF545D"/>
    <w:rsid w:val="410067C8"/>
    <w:rsid w:val="41596145"/>
    <w:rsid w:val="418F0D2A"/>
    <w:rsid w:val="41CB451D"/>
    <w:rsid w:val="41D01505"/>
    <w:rsid w:val="41E54AA0"/>
    <w:rsid w:val="41F93A10"/>
    <w:rsid w:val="42474939"/>
    <w:rsid w:val="424C3C57"/>
    <w:rsid w:val="42613FF3"/>
    <w:rsid w:val="42660D96"/>
    <w:rsid w:val="428667D2"/>
    <w:rsid w:val="42945AB4"/>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0387D"/>
    <w:rsid w:val="451B225C"/>
    <w:rsid w:val="452410C9"/>
    <w:rsid w:val="45317DFB"/>
    <w:rsid w:val="456D3CE4"/>
    <w:rsid w:val="4579042C"/>
    <w:rsid w:val="457F0571"/>
    <w:rsid w:val="45851176"/>
    <w:rsid w:val="459F66FE"/>
    <w:rsid w:val="45C63B94"/>
    <w:rsid w:val="460E7DA5"/>
    <w:rsid w:val="463D5101"/>
    <w:rsid w:val="46422483"/>
    <w:rsid w:val="4659254A"/>
    <w:rsid w:val="465B0637"/>
    <w:rsid w:val="465E3F0D"/>
    <w:rsid w:val="466A16E6"/>
    <w:rsid w:val="46893F2B"/>
    <w:rsid w:val="46C4686E"/>
    <w:rsid w:val="47390ABC"/>
    <w:rsid w:val="47571378"/>
    <w:rsid w:val="477B778F"/>
    <w:rsid w:val="477D0B90"/>
    <w:rsid w:val="478203EC"/>
    <w:rsid w:val="47B025FA"/>
    <w:rsid w:val="47FDA4D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B23"/>
    <w:rsid w:val="49F6167F"/>
    <w:rsid w:val="4A064FA0"/>
    <w:rsid w:val="4A16615C"/>
    <w:rsid w:val="4A4424D7"/>
    <w:rsid w:val="4AB82D0F"/>
    <w:rsid w:val="4AC34A81"/>
    <w:rsid w:val="4AEB7664"/>
    <w:rsid w:val="4AFAAC67"/>
    <w:rsid w:val="4AFD7C19"/>
    <w:rsid w:val="4B0567D1"/>
    <w:rsid w:val="4B236AAE"/>
    <w:rsid w:val="4B707271"/>
    <w:rsid w:val="4B9739F7"/>
    <w:rsid w:val="4BDF193C"/>
    <w:rsid w:val="4BEE2503"/>
    <w:rsid w:val="4C1A3999"/>
    <w:rsid w:val="4C245A30"/>
    <w:rsid w:val="4CB6685F"/>
    <w:rsid w:val="4CC367FE"/>
    <w:rsid w:val="4D077F3C"/>
    <w:rsid w:val="4D123355"/>
    <w:rsid w:val="4D2A3B31"/>
    <w:rsid w:val="4D312C52"/>
    <w:rsid w:val="4D83582C"/>
    <w:rsid w:val="4D905305"/>
    <w:rsid w:val="4D964A72"/>
    <w:rsid w:val="4D9C1254"/>
    <w:rsid w:val="4E3B1782"/>
    <w:rsid w:val="4E793892"/>
    <w:rsid w:val="4E800872"/>
    <w:rsid w:val="4EC569ED"/>
    <w:rsid w:val="4ED50EA1"/>
    <w:rsid w:val="4ED82682"/>
    <w:rsid w:val="4EEC050C"/>
    <w:rsid w:val="4F104EC3"/>
    <w:rsid w:val="4F47354A"/>
    <w:rsid w:val="4F911C54"/>
    <w:rsid w:val="4FD712A8"/>
    <w:rsid w:val="4FE625E0"/>
    <w:rsid w:val="4FF32690"/>
    <w:rsid w:val="4FF5A971"/>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A74D0"/>
    <w:rsid w:val="520B36A2"/>
    <w:rsid w:val="52196B0F"/>
    <w:rsid w:val="522E4CC3"/>
    <w:rsid w:val="5244713B"/>
    <w:rsid w:val="52615633"/>
    <w:rsid w:val="526F4DE4"/>
    <w:rsid w:val="52977FD4"/>
    <w:rsid w:val="52A25790"/>
    <w:rsid w:val="52A96B6F"/>
    <w:rsid w:val="52B45975"/>
    <w:rsid w:val="52D94AA4"/>
    <w:rsid w:val="52DDA2AC"/>
    <w:rsid w:val="52EA3A62"/>
    <w:rsid w:val="52F50BB8"/>
    <w:rsid w:val="53097272"/>
    <w:rsid w:val="53544462"/>
    <w:rsid w:val="5397158E"/>
    <w:rsid w:val="54013861"/>
    <w:rsid w:val="54487265"/>
    <w:rsid w:val="544D6070"/>
    <w:rsid w:val="54605E1E"/>
    <w:rsid w:val="54B3506A"/>
    <w:rsid w:val="54CA0D16"/>
    <w:rsid w:val="54DD4057"/>
    <w:rsid w:val="54E54F02"/>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161A9"/>
    <w:rsid w:val="57032A2C"/>
    <w:rsid w:val="570F5219"/>
    <w:rsid w:val="5728153D"/>
    <w:rsid w:val="575D12B5"/>
    <w:rsid w:val="57610A87"/>
    <w:rsid w:val="577B1140"/>
    <w:rsid w:val="577B7F21"/>
    <w:rsid w:val="577F181B"/>
    <w:rsid w:val="57921984"/>
    <w:rsid w:val="579737F0"/>
    <w:rsid w:val="57AB7B30"/>
    <w:rsid w:val="57AF5251"/>
    <w:rsid w:val="57B26373"/>
    <w:rsid w:val="57B63F04"/>
    <w:rsid w:val="57C57C38"/>
    <w:rsid w:val="57CD20C2"/>
    <w:rsid w:val="57D45866"/>
    <w:rsid w:val="57D675AB"/>
    <w:rsid w:val="57D83D31"/>
    <w:rsid w:val="57D95FDD"/>
    <w:rsid w:val="57EBA8ED"/>
    <w:rsid w:val="57EEAB76"/>
    <w:rsid w:val="57FDC240"/>
    <w:rsid w:val="588FDA93"/>
    <w:rsid w:val="58917D2F"/>
    <w:rsid w:val="5894085C"/>
    <w:rsid w:val="58AE4F0C"/>
    <w:rsid w:val="58B85899"/>
    <w:rsid w:val="58E363A9"/>
    <w:rsid w:val="595E1678"/>
    <w:rsid w:val="59677E53"/>
    <w:rsid w:val="596D5BD4"/>
    <w:rsid w:val="597E3DD8"/>
    <w:rsid w:val="597FFE61"/>
    <w:rsid w:val="59F80043"/>
    <w:rsid w:val="5A09252F"/>
    <w:rsid w:val="5A0B2778"/>
    <w:rsid w:val="5A2A7C7B"/>
    <w:rsid w:val="5A3E2560"/>
    <w:rsid w:val="5A4732C2"/>
    <w:rsid w:val="5A5D3B6E"/>
    <w:rsid w:val="5A637A76"/>
    <w:rsid w:val="5A6D33BA"/>
    <w:rsid w:val="5A792B1F"/>
    <w:rsid w:val="5A874767"/>
    <w:rsid w:val="5AA85BE2"/>
    <w:rsid w:val="5AA996B1"/>
    <w:rsid w:val="5AAD6F28"/>
    <w:rsid w:val="5AD3266C"/>
    <w:rsid w:val="5AD63A24"/>
    <w:rsid w:val="5B2E1A1D"/>
    <w:rsid w:val="5B843A1C"/>
    <w:rsid w:val="5B873E3F"/>
    <w:rsid w:val="5BB11BD4"/>
    <w:rsid w:val="5BE32E09"/>
    <w:rsid w:val="5C02690E"/>
    <w:rsid w:val="5C196DA7"/>
    <w:rsid w:val="5C2A048C"/>
    <w:rsid w:val="5C80234E"/>
    <w:rsid w:val="5C8A680C"/>
    <w:rsid w:val="5CFD2D29"/>
    <w:rsid w:val="5CFFA33F"/>
    <w:rsid w:val="5D0C4701"/>
    <w:rsid w:val="5D0F0395"/>
    <w:rsid w:val="5D1909AC"/>
    <w:rsid w:val="5D221076"/>
    <w:rsid w:val="5D397964"/>
    <w:rsid w:val="5D399DB5"/>
    <w:rsid w:val="5D5A391C"/>
    <w:rsid w:val="5D5F10C0"/>
    <w:rsid w:val="5D7DE627"/>
    <w:rsid w:val="5D891B7B"/>
    <w:rsid w:val="5DAD38EE"/>
    <w:rsid w:val="5E006862"/>
    <w:rsid w:val="5E0207B9"/>
    <w:rsid w:val="5E1834A1"/>
    <w:rsid w:val="5E1A118B"/>
    <w:rsid w:val="5E261785"/>
    <w:rsid w:val="5E3C05F1"/>
    <w:rsid w:val="5E4A7017"/>
    <w:rsid w:val="5E552BBA"/>
    <w:rsid w:val="5E611C10"/>
    <w:rsid w:val="5E6D098A"/>
    <w:rsid w:val="5E7A0F3F"/>
    <w:rsid w:val="5EDA7670"/>
    <w:rsid w:val="5EDF067E"/>
    <w:rsid w:val="5EFC1BD5"/>
    <w:rsid w:val="5EFC7377"/>
    <w:rsid w:val="5F06174D"/>
    <w:rsid w:val="5F3A3602"/>
    <w:rsid w:val="5F45733B"/>
    <w:rsid w:val="5F6277C6"/>
    <w:rsid w:val="5F6D0B1D"/>
    <w:rsid w:val="5F73687B"/>
    <w:rsid w:val="5F7F7504"/>
    <w:rsid w:val="5F8D0B82"/>
    <w:rsid w:val="5F8F57DA"/>
    <w:rsid w:val="5FAF8761"/>
    <w:rsid w:val="5FB5D4D0"/>
    <w:rsid w:val="5FBD1091"/>
    <w:rsid w:val="5FBEAF7D"/>
    <w:rsid w:val="5FCC5339"/>
    <w:rsid w:val="5FDFD0E3"/>
    <w:rsid w:val="5FE34A5B"/>
    <w:rsid w:val="5FE7DF4F"/>
    <w:rsid w:val="5FF544F3"/>
    <w:rsid w:val="5FFD30D1"/>
    <w:rsid w:val="5FFE1E36"/>
    <w:rsid w:val="5FFFF597"/>
    <w:rsid w:val="60232584"/>
    <w:rsid w:val="607330CE"/>
    <w:rsid w:val="60825176"/>
    <w:rsid w:val="609F2AC4"/>
    <w:rsid w:val="60FA2EE8"/>
    <w:rsid w:val="61054A27"/>
    <w:rsid w:val="610A52BC"/>
    <w:rsid w:val="611D2366"/>
    <w:rsid w:val="61421856"/>
    <w:rsid w:val="615227C4"/>
    <w:rsid w:val="61654E3F"/>
    <w:rsid w:val="6182292A"/>
    <w:rsid w:val="618F0071"/>
    <w:rsid w:val="619F7F92"/>
    <w:rsid w:val="61F94C26"/>
    <w:rsid w:val="62000E56"/>
    <w:rsid w:val="6217062D"/>
    <w:rsid w:val="624F3E49"/>
    <w:rsid w:val="62632286"/>
    <w:rsid w:val="62885958"/>
    <w:rsid w:val="62DD447A"/>
    <w:rsid w:val="62F40B65"/>
    <w:rsid w:val="62FC2CFE"/>
    <w:rsid w:val="63024505"/>
    <w:rsid w:val="632E0D88"/>
    <w:rsid w:val="635600A5"/>
    <w:rsid w:val="635B1DB5"/>
    <w:rsid w:val="63711FED"/>
    <w:rsid w:val="63880DDC"/>
    <w:rsid w:val="638D750D"/>
    <w:rsid w:val="63AC6CC0"/>
    <w:rsid w:val="64055776"/>
    <w:rsid w:val="64240056"/>
    <w:rsid w:val="643E143A"/>
    <w:rsid w:val="64491666"/>
    <w:rsid w:val="648B6EEF"/>
    <w:rsid w:val="64C158BF"/>
    <w:rsid w:val="64CE2EAA"/>
    <w:rsid w:val="64E8140A"/>
    <w:rsid w:val="653C3090"/>
    <w:rsid w:val="65854376"/>
    <w:rsid w:val="658767BE"/>
    <w:rsid w:val="65892531"/>
    <w:rsid w:val="65F84064"/>
    <w:rsid w:val="66195831"/>
    <w:rsid w:val="662E75B1"/>
    <w:rsid w:val="66342C2E"/>
    <w:rsid w:val="663E784C"/>
    <w:rsid w:val="668B6A45"/>
    <w:rsid w:val="66FCB37F"/>
    <w:rsid w:val="67011F07"/>
    <w:rsid w:val="672F3F24"/>
    <w:rsid w:val="673E055F"/>
    <w:rsid w:val="67551CE3"/>
    <w:rsid w:val="67565EEF"/>
    <w:rsid w:val="676BCCC2"/>
    <w:rsid w:val="676EF948"/>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57456"/>
    <w:rsid w:val="691664E5"/>
    <w:rsid w:val="693E15D3"/>
    <w:rsid w:val="69627681"/>
    <w:rsid w:val="6977531D"/>
    <w:rsid w:val="69CC2BFF"/>
    <w:rsid w:val="69FD55B8"/>
    <w:rsid w:val="6A0B1C62"/>
    <w:rsid w:val="6A2406C8"/>
    <w:rsid w:val="6AB02CA6"/>
    <w:rsid w:val="6ADE0BD1"/>
    <w:rsid w:val="6AE96859"/>
    <w:rsid w:val="6AE991DA"/>
    <w:rsid w:val="6B147746"/>
    <w:rsid w:val="6B24787C"/>
    <w:rsid w:val="6B573233"/>
    <w:rsid w:val="6B5B6274"/>
    <w:rsid w:val="6B935D53"/>
    <w:rsid w:val="6BEF72ED"/>
    <w:rsid w:val="6C17459F"/>
    <w:rsid w:val="6C196F71"/>
    <w:rsid w:val="6C213775"/>
    <w:rsid w:val="6C226FCB"/>
    <w:rsid w:val="6C31226F"/>
    <w:rsid w:val="6C552F0B"/>
    <w:rsid w:val="6C631946"/>
    <w:rsid w:val="6C7DEDAE"/>
    <w:rsid w:val="6C8C67B7"/>
    <w:rsid w:val="6C9D744C"/>
    <w:rsid w:val="6D167928"/>
    <w:rsid w:val="6D26299B"/>
    <w:rsid w:val="6D4772EC"/>
    <w:rsid w:val="6D593A86"/>
    <w:rsid w:val="6D8FB567"/>
    <w:rsid w:val="6D9078AF"/>
    <w:rsid w:val="6DAA3FEF"/>
    <w:rsid w:val="6DB5FC52"/>
    <w:rsid w:val="6DC0172B"/>
    <w:rsid w:val="6DC9133C"/>
    <w:rsid w:val="6DCB690C"/>
    <w:rsid w:val="6DD41A5B"/>
    <w:rsid w:val="6DDD2BD2"/>
    <w:rsid w:val="6DF43C2E"/>
    <w:rsid w:val="6DF51CA3"/>
    <w:rsid w:val="6E8335BD"/>
    <w:rsid w:val="6E8E12EF"/>
    <w:rsid w:val="6E972936"/>
    <w:rsid w:val="6ED446C5"/>
    <w:rsid w:val="6F2A7D94"/>
    <w:rsid w:val="6F722C2B"/>
    <w:rsid w:val="6F7BFEBF"/>
    <w:rsid w:val="6F7FDD25"/>
    <w:rsid w:val="6F8331F1"/>
    <w:rsid w:val="6FAE1A09"/>
    <w:rsid w:val="6FCFF6EE"/>
    <w:rsid w:val="6FD75BF8"/>
    <w:rsid w:val="6FF7BF88"/>
    <w:rsid w:val="6FFFC41B"/>
    <w:rsid w:val="707723D0"/>
    <w:rsid w:val="70F5661B"/>
    <w:rsid w:val="71360107"/>
    <w:rsid w:val="713B688E"/>
    <w:rsid w:val="71414EAF"/>
    <w:rsid w:val="71C27930"/>
    <w:rsid w:val="71D43752"/>
    <w:rsid w:val="71F1796A"/>
    <w:rsid w:val="72154626"/>
    <w:rsid w:val="72262B5D"/>
    <w:rsid w:val="72283FF7"/>
    <w:rsid w:val="722E7212"/>
    <w:rsid w:val="723A0474"/>
    <w:rsid w:val="723E0290"/>
    <w:rsid w:val="725923E4"/>
    <w:rsid w:val="72864BF7"/>
    <w:rsid w:val="729023FC"/>
    <w:rsid w:val="72BD382B"/>
    <w:rsid w:val="73B4CBC5"/>
    <w:rsid w:val="73C0646E"/>
    <w:rsid w:val="73DF9EA6"/>
    <w:rsid w:val="73F9BA3C"/>
    <w:rsid w:val="73FFAFFE"/>
    <w:rsid w:val="742222F5"/>
    <w:rsid w:val="7426121D"/>
    <w:rsid w:val="74476126"/>
    <w:rsid w:val="74706664"/>
    <w:rsid w:val="747F3682"/>
    <w:rsid w:val="749358FC"/>
    <w:rsid w:val="749C4185"/>
    <w:rsid w:val="75067759"/>
    <w:rsid w:val="75131D5F"/>
    <w:rsid w:val="752E6DCD"/>
    <w:rsid w:val="7551380D"/>
    <w:rsid w:val="755DD9C8"/>
    <w:rsid w:val="75600BE5"/>
    <w:rsid w:val="7564475C"/>
    <w:rsid w:val="7583797F"/>
    <w:rsid w:val="75934C88"/>
    <w:rsid w:val="75D155C0"/>
    <w:rsid w:val="75D20F1D"/>
    <w:rsid w:val="75DA2C18"/>
    <w:rsid w:val="75E6BF1A"/>
    <w:rsid w:val="75F54412"/>
    <w:rsid w:val="760320FA"/>
    <w:rsid w:val="761D08E0"/>
    <w:rsid w:val="761E37AB"/>
    <w:rsid w:val="765D347C"/>
    <w:rsid w:val="76826699"/>
    <w:rsid w:val="76A17DC2"/>
    <w:rsid w:val="76C87133"/>
    <w:rsid w:val="76CD08D5"/>
    <w:rsid w:val="76DB4B92"/>
    <w:rsid w:val="76E870A0"/>
    <w:rsid w:val="76FD013A"/>
    <w:rsid w:val="77052AA4"/>
    <w:rsid w:val="77136511"/>
    <w:rsid w:val="77195F11"/>
    <w:rsid w:val="772F7A6D"/>
    <w:rsid w:val="77340A39"/>
    <w:rsid w:val="77351FD0"/>
    <w:rsid w:val="77472422"/>
    <w:rsid w:val="77747DE8"/>
    <w:rsid w:val="777F31F2"/>
    <w:rsid w:val="77977C02"/>
    <w:rsid w:val="77B98E34"/>
    <w:rsid w:val="77D1700D"/>
    <w:rsid w:val="77EC04CC"/>
    <w:rsid w:val="77ED3EA9"/>
    <w:rsid w:val="77F9DC0C"/>
    <w:rsid w:val="78775729"/>
    <w:rsid w:val="787E1A12"/>
    <w:rsid w:val="78A42DB0"/>
    <w:rsid w:val="78A656AB"/>
    <w:rsid w:val="78B2245C"/>
    <w:rsid w:val="78E172CC"/>
    <w:rsid w:val="78EA1D1F"/>
    <w:rsid w:val="7904172F"/>
    <w:rsid w:val="790F7E27"/>
    <w:rsid w:val="792A231A"/>
    <w:rsid w:val="79316829"/>
    <w:rsid w:val="795C9013"/>
    <w:rsid w:val="797E66A9"/>
    <w:rsid w:val="798518A4"/>
    <w:rsid w:val="798B3323"/>
    <w:rsid w:val="79A97383"/>
    <w:rsid w:val="79BF2DA3"/>
    <w:rsid w:val="79E27E8B"/>
    <w:rsid w:val="79F850CE"/>
    <w:rsid w:val="79FD443C"/>
    <w:rsid w:val="79FFCC90"/>
    <w:rsid w:val="7A1D1975"/>
    <w:rsid w:val="7A3E5150"/>
    <w:rsid w:val="7A4670D6"/>
    <w:rsid w:val="7A534B63"/>
    <w:rsid w:val="7A615382"/>
    <w:rsid w:val="7A67303B"/>
    <w:rsid w:val="7AAB1D04"/>
    <w:rsid w:val="7ABA4368"/>
    <w:rsid w:val="7ABF1BA0"/>
    <w:rsid w:val="7AD05746"/>
    <w:rsid w:val="7AF5B874"/>
    <w:rsid w:val="7B257FFD"/>
    <w:rsid w:val="7B273D20"/>
    <w:rsid w:val="7B343476"/>
    <w:rsid w:val="7B5A2978"/>
    <w:rsid w:val="7B5A7E4C"/>
    <w:rsid w:val="7B667AF9"/>
    <w:rsid w:val="7B7468F8"/>
    <w:rsid w:val="7B7D2864"/>
    <w:rsid w:val="7BEE0103"/>
    <w:rsid w:val="7BFD0AFE"/>
    <w:rsid w:val="7C0A0FE4"/>
    <w:rsid w:val="7C254906"/>
    <w:rsid w:val="7C590818"/>
    <w:rsid w:val="7C6BDFDE"/>
    <w:rsid w:val="7C7C10F6"/>
    <w:rsid w:val="7C853BEA"/>
    <w:rsid w:val="7C865C6D"/>
    <w:rsid w:val="7C881368"/>
    <w:rsid w:val="7C971DB1"/>
    <w:rsid w:val="7CB3CA24"/>
    <w:rsid w:val="7CBBBA2C"/>
    <w:rsid w:val="7CE27788"/>
    <w:rsid w:val="7D0C32F1"/>
    <w:rsid w:val="7D0F408D"/>
    <w:rsid w:val="7D491C6C"/>
    <w:rsid w:val="7D5429C0"/>
    <w:rsid w:val="7D6E6D43"/>
    <w:rsid w:val="7D776A81"/>
    <w:rsid w:val="7D7B37B7"/>
    <w:rsid w:val="7D7B735E"/>
    <w:rsid w:val="7D7F0FE5"/>
    <w:rsid w:val="7D7F6752"/>
    <w:rsid w:val="7D942602"/>
    <w:rsid w:val="7D9A5601"/>
    <w:rsid w:val="7DA414A6"/>
    <w:rsid w:val="7DB57A34"/>
    <w:rsid w:val="7DB770A1"/>
    <w:rsid w:val="7DBB0C14"/>
    <w:rsid w:val="7DD9BE2F"/>
    <w:rsid w:val="7DDFA941"/>
    <w:rsid w:val="7DE60973"/>
    <w:rsid w:val="7DED22FE"/>
    <w:rsid w:val="7DEF0916"/>
    <w:rsid w:val="7DFB0D50"/>
    <w:rsid w:val="7DFB294D"/>
    <w:rsid w:val="7E1E5218"/>
    <w:rsid w:val="7E9A4E1F"/>
    <w:rsid w:val="7EA7723A"/>
    <w:rsid w:val="7EBFF678"/>
    <w:rsid w:val="7ED7FCA2"/>
    <w:rsid w:val="7EEB2592"/>
    <w:rsid w:val="7EF15B8A"/>
    <w:rsid w:val="7EF56FBB"/>
    <w:rsid w:val="7EFF539D"/>
    <w:rsid w:val="7EFF8F19"/>
    <w:rsid w:val="7EFFBBAA"/>
    <w:rsid w:val="7F0768EB"/>
    <w:rsid w:val="7F0EABDA"/>
    <w:rsid w:val="7F143BEC"/>
    <w:rsid w:val="7F2E0F53"/>
    <w:rsid w:val="7F345907"/>
    <w:rsid w:val="7F3F64C2"/>
    <w:rsid w:val="7F47945A"/>
    <w:rsid w:val="7F5FFE11"/>
    <w:rsid w:val="7F715AF2"/>
    <w:rsid w:val="7F7BCF83"/>
    <w:rsid w:val="7F7C8458"/>
    <w:rsid w:val="7F7F6E53"/>
    <w:rsid w:val="7F8395BC"/>
    <w:rsid w:val="7F886E69"/>
    <w:rsid w:val="7FA76E41"/>
    <w:rsid w:val="7FA7D4F4"/>
    <w:rsid w:val="7FABE39A"/>
    <w:rsid w:val="7FBF57FD"/>
    <w:rsid w:val="7FCFA827"/>
    <w:rsid w:val="7FDAE6A0"/>
    <w:rsid w:val="7FDFCCE8"/>
    <w:rsid w:val="7FE495B3"/>
    <w:rsid w:val="7FE5BC80"/>
    <w:rsid w:val="7FE7A7FF"/>
    <w:rsid w:val="7FEAB85E"/>
    <w:rsid w:val="7FEEB36B"/>
    <w:rsid w:val="7FEF8249"/>
    <w:rsid w:val="7FF3D969"/>
    <w:rsid w:val="7FF3E17D"/>
    <w:rsid w:val="7FF5F1EE"/>
    <w:rsid w:val="7FF6D1DC"/>
    <w:rsid w:val="7FFACEDB"/>
    <w:rsid w:val="7FFBFD87"/>
    <w:rsid w:val="7FFCC40F"/>
    <w:rsid w:val="7FFD9C6C"/>
    <w:rsid w:val="7FFEF7D4"/>
    <w:rsid w:val="7FFF2690"/>
    <w:rsid w:val="8DFD4C1F"/>
    <w:rsid w:val="8FF01517"/>
    <w:rsid w:val="8FFD3A23"/>
    <w:rsid w:val="98FC0279"/>
    <w:rsid w:val="9D5FD814"/>
    <w:rsid w:val="9DFFDF29"/>
    <w:rsid w:val="9F33DE01"/>
    <w:rsid w:val="A34B20D4"/>
    <w:rsid w:val="A5EF6749"/>
    <w:rsid w:val="ACC2FDC8"/>
    <w:rsid w:val="AF4A515E"/>
    <w:rsid w:val="AFF52979"/>
    <w:rsid w:val="AFFA76EE"/>
    <w:rsid w:val="AFFDBFA2"/>
    <w:rsid w:val="AFFF2E75"/>
    <w:rsid w:val="B2DF85C3"/>
    <w:rsid w:val="B5F98311"/>
    <w:rsid w:val="B64B66F7"/>
    <w:rsid w:val="B663380E"/>
    <w:rsid w:val="B77743E5"/>
    <w:rsid w:val="B7BE9540"/>
    <w:rsid w:val="B7FFEFC8"/>
    <w:rsid w:val="B89DEB0E"/>
    <w:rsid w:val="B9733BF5"/>
    <w:rsid w:val="B9DE7D6C"/>
    <w:rsid w:val="BA3FD024"/>
    <w:rsid w:val="BABBDAD9"/>
    <w:rsid w:val="BAC6D445"/>
    <w:rsid w:val="BACB3A78"/>
    <w:rsid w:val="BB7FA927"/>
    <w:rsid w:val="BBF6A220"/>
    <w:rsid w:val="BBFD9B39"/>
    <w:rsid w:val="BCADE5D4"/>
    <w:rsid w:val="BD7F9A8C"/>
    <w:rsid w:val="BD87AE55"/>
    <w:rsid w:val="BDCE2D6D"/>
    <w:rsid w:val="BDE381C2"/>
    <w:rsid w:val="BDF521A0"/>
    <w:rsid w:val="BDFE5737"/>
    <w:rsid w:val="BDFFAA00"/>
    <w:rsid w:val="BEAD4475"/>
    <w:rsid w:val="BEADE250"/>
    <w:rsid w:val="BEFF125D"/>
    <w:rsid w:val="BF3F174A"/>
    <w:rsid w:val="BF3F7A84"/>
    <w:rsid w:val="BF57A4F1"/>
    <w:rsid w:val="BF60F05B"/>
    <w:rsid w:val="BFDF33EE"/>
    <w:rsid w:val="BFED6418"/>
    <w:rsid w:val="BFFAED11"/>
    <w:rsid w:val="BFFE533E"/>
    <w:rsid w:val="BFFFB869"/>
    <w:rsid w:val="C1EEE403"/>
    <w:rsid w:val="C2B68538"/>
    <w:rsid w:val="CB137B40"/>
    <w:rsid w:val="CBFD7C6B"/>
    <w:rsid w:val="CDAF842D"/>
    <w:rsid w:val="CDFF1FB9"/>
    <w:rsid w:val="CEABA5EB"/>
    <w:rsid w:val="CF375FB5"/>
    <w:rsid w:val="CF3F2859"/>
    <w:rsid w:val="CFF7F2B4"/>
    <w:rsid w:val="CFFD5B5F"/>
    <w:rsid w:val="D39D4B60"/>
    <w:rsid w:val="D54C7880"/>
    <w:rsid w:val="D57F39B2"/>
    <w:rsid w:val="D5FEC042"/>
    <w:rsid w:val="D75F12FA"/>
    <w:rsid w:val="D76FC41B"/>
    <w:rsid w:val="D7FBDFFD"/>
    <w:rsid w:val="D96B1C14"/>
    <w:rsid w:val="DACF62F4"/>
    <w:rsid w:val="DAFF9EC1"/>
    <w:rsid w:val="DB2BA0B5"/>
    <w:rsid w:val="DBCBA9D6"/>
    <w:rsid w:val="DBFB36F6"/>
    <w:rsid w:val="DCDF2801"/>
    <w:rsid w:val="DD7B3ADC"/>
    <w:rsid w:val="DDAE0B40"/>
    <w:rsid w:val="DDD95495"/>
    <w:rsid w:val="DDF3D600"/>
    <w:rsid w:val="DEFE41C9"/>
    <w:rsid w:val="DF3E50AC"/>
    <w:rsid w:val="DF4B1A26"/>
    <w:rsid w:val="DF5F76D5"/>
    <w:rsid w:val="DF8EB52B"/>
    <w:rsid w:val="DFB94E37"/>
    <w:rsid w:val="DFDE6F86"/>
    <w:rsid w:val="DFDF72D1"/>
    <w:rsid w:val="DFEFFCF3"/>
    <w:rsid w:val="DFFBCBA3"/>
    <w:rsid w:val="E37AA12A"/>
    <w:rsid w:val="E5F7D018"/>
    <w:rsid w:val="E6CCC3F9"/>
    <w:rsid w:val="E6FC3F50"/>
    <w:rsid w:val="E7DB96AC"/>
    <w:rsid w:val="E7FB7737"/>
    <w:rsid w:val="E7FE46BC"/>
    <w:rsid w:val="EAF6B7BD"/>
    <w:rsid w:val="EAF7CFBF"/>
    <w:rsid w:val="EB2C2ED9"/>
    <w:rsid w:val="EB6FE4FC"/>
    <w:rsid w:val="EBBC70B0"/>
    <w:rsid w:val="EC5621D9"/>
    <w:rsid w:val="ED6F8209"/>
    <w:rsid w:val="EDDA94A6"/>
    <w:rsid w:val="EDF2F12D"/>
    <w:rsid w:val="EEF59D1A"/>
    <w:rsid w:val="EEFBA463"/>
    <w:rsid w:val="EF5FAC0D"/>
    <w:rsid w:val="EF77EA9C"/>
    <w:rsid w:val="EF9148A0"/>
    <w:rsid w:val="EF979B8D"/>
    <w:rsid w:val="EFCB1F25"/>
    <w:rsid w:val="EFDD263B"/>
    <w:rsid w:val="EFDDFF2A"/>
    <w:rsid w:val="EFEF8FEF"/>
    <w:rsid w:val="EFF7A898"/>
    <w:rsid w:val="EFFF1E39"/>
    <w:rsid w:val="F34B47A8"/>
    <w:rsid w:val="F3BBEE31"/>
    <w:rsid w:val="F3DF4D58"/>
    <w:rsid w:val="F3FBC488"/>
    <w:rsid w:val="F57CC8BC"/>
    <w:rsid w:val="F5BD3ED8"/>
    <w:rsid w:val="F5F31944"/>
    <w:rsid w:val="F5FA680A"/>
    <w:rsid w:val="F5FFD31F"/>
    <w:rsid w:val="F6773872"/>
    <w:rsid w:val="F6E0E694"/>
    <w:rsid w:val="F734F53B"/>
    <w:rsid w:val="F7379863"/>
    <w:rsid w:val="F79F47C7"/>
    <w:rsid w:val="F7AF8228"/>
    <w:rsid w:val="F7B66FD5"/>
    <w:rsid w:val="F7BF7321"/>
    <w:rsid w:val="F7BFFCD9"/>
    <w:rsid w:val="F7FBFDE6"/>
    <w:rsid w:val="F7FD6CA3"/>
    <w:rsid w:val="F87ECB2F"/>
    <w:rsid w:val="F8BFB747"/>
    <w:rsid w:val="F9DB340A"/>
    <w:rsid w:val="FAFF98F1"/>
    <w:rsid w:val="FB7F80E2"/>
    <w:rsid w:val="FB9F2BEF"/>
    <w:rsid w:val="FBDD50C8"/>
    <w:rsid w:val="FBEF7859"/>
    <w:rsid w:val="FBFBFE5D"/>
    <w:rsid w:val="FBFF7AC0"/>
    <w:rsid w:val="FC3BAC7F"/>
    <w:rsid w:val="FCA33DDA"/>
    <w:rsid w:val="FCF5F10C"/>
    <w:rsid w:val="FCFF7FCC"/>
    <w:rsid w:val="FD7E0A2C"/>
    <w:rsid w:val="FDA3BC63"/>
    <w:rsid w:val="FDBBFD98"/>
    <w:rsid w:val="FDDD583D"/>
    <w:rsid w:val="FDFB0734"/>
    <w:rsid w:val="FE3F2573"/>
    <w:rsid w:val="FE3FAA96"/>
    <w:rsid w:val="FE97CE6B"/>
    <w:rsid w:val="FEAEF402"/>
    <w:rsid w:val="FEBF1A5C"/>
    <w:rsid w:val="FEDEA9A0"/>
    <w:rsid w:val="FEEF8CE2"/>
    <w:rsid w:val="FEEFB028"/>
    <w:rsid w:val="FEF71052"/>
    <w:rsid w:val="FEF7E8AA"/>
    <w:rsid w:val="FEFF3FAD"/>
    <w:rsid w:val="FF3E565E"/>
    <w:rsid w:val="FF4FCD8A"/>
    <w:rsid w:val="FF5D462A"/>
    <w:rsid w:val="FF7CD985"/>
    <w:rsid w:val="FF7EA60C"/>
    <w:rsid w:val="FF7EEA79"/>
    <w:rsid w:val="FF996092"/>
    <w:rsid w:val="FF9F1215"/>
    <w:rsid w:val="FFB5D6E3"/>
    <w:rsid w:val="FFB7D6B6"/>
    <w:rsid w:val="FFBB884C"/>
    <w:rsid w:val="FFBFB58D"/>
    <w:rsid w:val="FFCB9AFE"/>
    <w:rsid w:val="FFCC9D9F"/>
    <w:rsid w:val="FFE138B8"/>
    <w:rsid w:val="FFE8794B"/>
    <w:rsid w:val="FFEF14F4"/>
    <w:rsid w:val="FFEF68B2"/>
    <w:rsid w:val="FFEFC0E3"/>
    <w:rsid w:val="FFEFE80F"/>
    <w:rsid w:val="FFF54C2D"/>
    <w:rsid w:val="FFF589C8"/>
    <w:rsid w:val="FFF66B99"/>
    <w:rsid w:val="FFF7113A"/>
    <w:rsid w:val="FFFEBEFA"/>
    <w:rsid w:val="FFFF42E2"/>
    <w:rsid w:val="FFFF5211"/>
    <w:rsid w:val="FFFF8C7D"/>
    <w:rsid w:val="FFFFE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5"/>
    <w:qFormat/>
    <w:uiPriority w:val="0"/>
    <w:pPr>
      <w:spacing w:line="480" w:lineRule="exact"/>
      <w:ind w:firstLine="480" w:firstLineChars="200"/>
    </w:pPr>
    <w:rPr>
      <w:rFonts w:ascii="宋体" w:hAnsi="宋体"/>
      <w:sz w:val="24"/>
    </w:rPr>
  </w:style>
  <w:style w:type="paragraph" w:styleId="17">
    <w:name w:val="envelope return"/>
    <w:basedOn w:val="1"/>
    <w:qFormat/>
    <w:uiPriority w:val="0"/>
    <w:pPr>
      <w:snapToGrid w:val="0"/>
    </w:pPr>
    <w:rPr>
      <w:rFonts w:ascii="Arial" w:hAnsi="Arial"/>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Closing"/>
    <w:basedOn w:val="1"/>
    <w:semiHidden/>
    <w:qFormat/>
    <w:uiPriority w:val="0"/>
    <w:pPr>
      <w:ind w:left="4320"/>
    </w:pPr>
    <w:rPr>
      <w:kern w:val="1"/>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5"/>
    <w:qFormat/>
    <w:uiPriority w:val="0"/>
    <w:rPr>
      <w:rFonts w:ascii="宋体" w:hAnsi="Courier New" w:cs="Arial"/>
      <w:snapToGrid w:val="0"/>
      <w:szCs w:val="21"/>
    </w:r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able of figures"/>
    <w:basedOn w:val="1"/>
    <w:next w:val="1"/>
    <w:qFormat/>
    <w:uiPriority w:val="0"/>
    <w:pPr>
      <w:ind w:left="200" w:leftChars="200" w:hanging="200" w:hangingChars="200"/>
    </w:p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w:basedOn w:val="26"/>
    <w:next w:val="1"/>
    <w:link w:val="321"/>
    <w:qFormat/>
    <w:uiPriority w:val="0"/>
    <w:pPr>
      <w:ind w:firstLine="420"/>
    </w:pPr>
    <w:rPr>
      <w:rFonts w:hAnsi="Calibri" w:cs="Times New Roman"/>
      <w:snapToGrid/>
      <w:szCs w:val="20"/>
    </w:rPr>
  </w:style>
  <w:style w:type="paragraph" w:styleId="64">
    <w:name w:val="Body Text First Indent 2"/>
    <w:basedOn w:val="16"/>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1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2"/>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basedOn w:val="72"/>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66">
    <w:name w:val="DAS正文"/>
    <w:basedOn w:val="1"/>
    <w:qFormat/>
    <w:uiPriority w:val="0"/>
    <w:pPr>
      <w:spacing w:line="360" w:lineRule="auto"/>
      <w:ind w:right="181" w:firstLine="480" w:firstLineChars="200"/>
    </w:pPr>
    <w:rPr>
      <w:rFonts w:ascii="Verdana" w:hAnsi="Verdana"/>
    </w:rPr>
  </w:style>
  <w:style w:type="paragraph" w:customStyle="1" w:styleId="9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WPSOffice手动目录 1"/>
    <w:qFormat/>
    <w:uiPriority w:val="0"/>
    <w:rPr>
      <w:rFonts w:ascii="Times New Roman" w:hAnsi="Times New Roman" w:eastAsia="宋体" w:cs="Times New Roman"/>
      <w:lang w:val="en-US" w:eastAsia="zh-CN" w:bidi="ar-SA"/>
    </w:rPr>
  </w:style>
  <w:style w:type="paragraph" w:customStyle="1" w:styleId="970">
    <w:name w:val="列出段落6"/>
    <w:basedOn w:val="1"/>
    <w:unhideWhenUsed/>
    <w:qFormat/>
    <w:uiPriority w:val="99"/>
    <w:pPr>
      <w:ind w:firstLine="420" w:firstLineChars="200"/>
    </w:pPr>
  </w:style>
  <w:style w:type="paragraph" w:customStyle="1" w:styleId="971">
    <w:name w:val="标题 5（有编号）（绿盟科技）"/>
    <w:basedOn w:val="1"/>
    <w:next w:val="16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72">
    <w:name w:val="纯文本3"/>
    <w:basedOn w:val="1"/>
    <w:qFormat/>
    <w:uiPriority w:val="0"/>
    <w:rPr>
      <w:rFonts w:ascii="宋体" w:hAnsi="Courier New" w:eastAsia="楷体_GB2312"/>
      <w:sz w:val="28"/>
    </w:rPr>
  </w:style>
  <w:style w:type="paragraph" w:customStyle="1" w:styleId="973">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szCs w:val="20"/>
    </w:rPr>
  </w:style>
  <w:style w:type="paragraph" w:customStyle="1" w:styleId="974">
    <w:name w:val="样式 标题 3 + (中文) 黑体 小四 非加粗 段前: 7.8 磅 段后: 0 磅 行距: 固定值 20 磅"/>
    <w:basedOn w:val="4"/>
    <w:qFormat/>
    <w:uiPriority w:val="0"/>
    <w:pPr>
      <w:numPr>
        <w:ilvl w:val="2"/>
        <w:numId w:val="2"/>
      </w:num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34417</Words>
  <Characters>36186</Characters>
  <Lines>250</Lines>
  <Paragraphs>70</Paragraphs>
  <TotalTime>3</TotalTime>
  <ScaleCrop>false</ScaleCrop>
  <LinksUpToDate>false</LinksUpToDate>
  <CharactersWithSpaces>37416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睡不醒</cp:lastModifiedBy>
  <cp:lastPrinted>2021-12-30T19:06:00Z</cp:lastPrinted>
  <dcterms:modified xsi:type="dcterms:W3CDTF">2024-12-12T03:30:43Z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5A88ED42A2EA4689B195A2E6D049818A</vt:lpwstr>
  </property>
</Properties>
</file>