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D8A6F">
      <w:pPr>
        <w:spacing w:line="360" w:lineRule="auto"/>
        <w:jc w:val="center"/>
        <w:rPr>
          <w:rFonts w:hint="eastAsia" w:ascii="宋体" w:hAnsi="宋体" w:eastAsia="宋体" w:cs="宋体"/>
          <w:b/>
          <w:color w:val="auto"/>
          <w:sz w:val="24"/>
          <w:lang w:eastAsia="zh-CN"/>
        </w:rPr>
      </w:pPr>
    </w:p>
    <w:p w14:paraId="0F754C10">
      <w:pPr>
        <w:pStyle w:val="2"/>
        <w:rPr>
          <w:rFonts w:hint="eastAsia"/>
          <w:lang w:eastAsia="zh-CN"/>
        </w:rPr>
      </w:pPr>
    </w:p>
    <w:p w14:paraId="3955D7D1">
      <w:pPr>
        <w:adjustRightInd/>
        <w:spacing w:line="360" w:lineRule="auto"/>
        <w:jc w:val="center"/>
        <w:rPr>
          <w:rFonts w:hint="eastAsia" w:ascii="宋体" w:hAnsi="宋体" w:eastAsia="宋体" w:cs="宋体"/>
          <w:color w:val="auto"/>
          <w:sz w:val="48"/>
          <w:szCs w:val="48"/>
          <w:lang w:eastAsia="zh-CN"/>
        </w:rPr>
      </w:pPr>
      <w:r>
        <w:rPr>
          <w:rFonts w:hint="eastAsia" w:ascii="宋体" w:hAnsi="宋体" w:eastAsia="宋体" w:cs="宋体"/>
          <w:sz w:val="48"/>
          <w:szCs w:val="48"/>
        </w:rPr>
        <w:t>杭州市规划和自然资源局萧山分局2025-2026年度采购类招标代理预选供应商</w:t>
      </w:r>
    </w:p>
    <w:p w14:paraId="231EBCD0">
      <w:pPr>
        <w:adjustRightInd/>
        <w:spacing w:line="360" w:lineRule="auto"/>
        <w:jc w:val="center"/>
        <w:rPr>
          <w:rFonts w:hint="eastAsia" w:ascii="宋体" w:hAnsi="宋体" w:cs="宋体"/>
          <w:color w:val="auto"/>
          <w:sz w:val="48"/>
          <w:szCs w:val="48"/>
          <w:lang w:eastAsia="zh-CN"/>
        </w:rPr>
      </w:pPr>
    </w:p>
    <w:p w14:paraId="1E1CA010">
      <w:pPr>
        <w:adjustRightInd/>
        <w:spacing w:line="360" w:lineRule="auto"/>
        <w:jc w:val="center"/>
        <w:rPr>
          <w:rFonts w:hint="eastAsia" w:ascii="宋体" w:hAnsi="宋体" w:cs="宋体"/>
          <w:color w:val="auto"/>
          <w:sz w:val="48"/>
          <w:szCs w:val="48"/>
          <w:lang w:eastAsia="zh-CN"/>
        </w:rPr>
      </w:pPr>
    </w:p>
    <w:p w14:paraId="283426B0">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交易文件</w:t>
      </w:r>
      <w:r>
        <w:rPr>
          <w:rFonts w:hint="eastAsia" w:ascii="宋体" w:hAnsi="宋体" w:cs="宋体"/>
          <w:color w:val="auto"/>
          <w:sz w:val="48"/>
          <w:szCs w:val="48"/>
        </w:rPr>
        <w:t xml:space="preserve"> </w:t>
      </w:r>
    </w:p>
    <w:p w14:paraId="3A16CFFB">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w:t>
      </w:r>
      <w:r>
        <w:rPr>
          <w:rFonts w:hint="eastAsia" w:ascii="宋体" w:hAnsi="宋体" w:cs="宋体"/>
          <w:b/>
          <w:color w:val="auto"/>
          <w:sz w:val="44"/>
          <w:szCs w:val="44"/>
          <w:lang w:val="en-US" w:eastAsia="zh-CN"/>
        </w:rPr>
        <w:t>交易</w:t>
      </w:r>
      <w:r>
        <w:rPr>
          <w:rFonts w:hint="eastAsia" w:ascii="宋体" w:hAnsi="宋体" w:cs="宋体"/>
          <w:b/>
          <w:color w:val="auto"/>
          <w:sz w:val="44"/>
          <w:szCs w:val="44"/>
        </w:rPr>
        <w:t>标）</w:t>
      </w:r>
    </w:p>
    <w:p w14:paraId="65B63CF0">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ZJXS20250201</w:t>
      </w:r>
    </w:p>
    <w:p w14:paraId="46E6E0CD">
      <w:pPr>
        <w:spacing w:line="360" w:lineRule="auto"/>
        <w:jc w:val="both"/>
        <w:rPr>
          <w:rFonts w:ascii="宋体" w:hAnsi="宋体" w:cs="宋体"/>
          <w:b/>
          <w:color w:val="auto"/>
          <w:sz w:val="44"/>
          <w:szCs w:val="44"/>
        </w:rPr>
      </w:pPr>
      <w:r>
        <w:rPr>
          <w:rFonts w:hint="eastAsia" w:ascii="宋体" w:hAnsi="宋体" w:cs="宋体"/>
          <w:b/>
          <w:color w:val="auto"/>
          <w:sz w:val="44"/>
          <w:szCs w:val="44"/>
        </w:rPr>
        <w:t xml:space="preserve"> </w:t>
      </w:r>
    </w:p>
    <w:p w14:paraId="71558A14">
      <w:pPr>
        <w:spacing w:line="360" w:lineRule="auto"/>
        <w:jc w:val="center"/>
        <w:rPr>
          <w:rFonts w:ascii="宋体" w:hAnsi="宋体" w:cs="宋体"/>
          <w:b/>
          <w:color w:val="auto"/>
          <w:sz w:val="44"/>
          <w:szCs w:val="44"/>
        </w:rPr>
      </w:pPr>
    </w:p>
    <w:p w14:paraId="183FED69">
      <w:pPr>
        <w:spacing w:line="360" w:lineRule="auto"/>
        <w:jc w:val="both"/>
        <w:rPr>
          <w:rFonts w:ascii="宋体" w:hAnsi="宋体" w:cs="宋体"/>
          <w:color w:val="auto"/>
          <w:sz w:val="24"/>
        </w:rPr>
      </w:pPr>
    </w:p>
    <w:p w14:paraId="46E36623">
      <w:pPr>
        <w:snapToGrid w:val="0"/>
        <w:spacing w:line="360" w:lineRule="auto"/>
        <w:jc w:val="both"/>
        <w:rPr>
          <w:rFonts w:hint="eastAsia" w:ascii="宋体" w:hAnsi="宋体" w:cs="宋体"/>
          <w:color w:val="auto"/>
          <w:sz w:val="32"/>
          <w:szCs w:val="32"/>
        </w:rPr>
      </w:pPr>
    </w:p>
    <w:p w14:paraId="76C0D6BF">
      <w:pPr>
        <w:snapToGrid w:val="0"/>
        <w:spacing w:line="360" w:lineRule="auto"/>
        <w:jc w:val="both"/>
        <w:rPr>
          <w:rFonts w:hint="eastAsia" w:ascii="宋体" w:hAnsi="宋体" w:cs="宋体"/>
          <w:color w:val="auto"/>
          <w:sz w:val="32"/>
          <w:szCs w:val="32"/>
        </w:rPr>
      </w:pPr>
    </w:p>
    <w:p w14:paraId="54802B26">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杭州市规划和自然资源局萧山分局</w:t>
      </w:r>
    </w:p>
    <w:p w14:paraId="3F71015A">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浙江萧审建设管理咨询有限公司</w:t>
      </w:r>
    </w:p>
    <w:p w14:paraId="7F85B63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02</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18</w:t>
      </w:r>
      <w:r>
        <w:rPr>
          <w:rFonts w:hint="eastAsia" w:ascii="宋体" w:hAnsi="宋体" w:cs="宋体"/>
          <w:bCs/>
          <w:color w:val="auto"/>
          <w:sz w:val="32"/>
          <w:szCs w:val="32"/>
        </w:rPr>
        <w:t>日</w:t>
      </w:r>
      <w:bookmarkStart w:id="412" w:name="_GoBack"/>
      <w:bookmarkEnd w:id="412"/>
    </w:p>
    <w:p w14:paraId="0F7D8BDC">
      <w:pPr>
        <w:jc w:val="center"/>
        <w:rPr>
          <w:color w:val="auto"/>
        </w:rPr>
      </w:pPr>
    </w:p>
    <w:p w14:paraId="7A76C9F7">
      <w:pPr>
        <w:spacing w:line="360" w:lineRule="auto"/>
        <w:jc w:val="center"/>
        <w:rPr>
          <w:rFonts w:hint="eastAsia" w:ascii="宋体" w:hAnsi="宋体" w:cs="宋体"/>
          <w:b/>
          <w:color w:val="auto"/>
          <w:sz w:val="48"/>
          <w:szCs w:val="48"/>
        </w:rPr>
      </w:pPr>
      <w:bookmarkStart w:id="0" w:name="_Hlt67893495"/>
      <w:bookmarkEnd w:id="0"/>
    </w:p>
    <w:p w14:paraId="177E8760">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6A70C724">
      <w:pPr>
        <w:spacing w:line="360" w:lineRule="auto"/>
        <w:rPr>
          <w:rFonts w:ascii="宋体" w:hAnsi="宋体" w:cs="宋体"/>
          <w:color w:val="auto"/>
          <w:sz w:val="32"/>
          <w:szCs w:val="32"/>
        </w:rPr>
      </w:pPr>
    </w:p>
    <w:p w14:paraId="1F224378">
      <w:pPr>
        <w:spacing w:line="360" w:lineRule="auto"/>
        <w:rPr>
          <w:rFonts w:ascii="宋体" w:hAnsi="宋体" w:cs="宋体"/>
          <w:color w:val="auto"/>
          <w:sz w:val="32"/>
          <w:szCs w:val="32"/>
        </w:rPr>
      </w:pPr>
    </w:p>
    <w:p w14:paraId="6532A7B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 xml:space="preserve">第一部分      </w:t>
      </w:r>
      <w:r>
        <w:rPr>
          <w:rFonts w:hint="eastAsia" w:ascii="宋体" w:hAnsi="宋体" w:cs="宋体"/>
          <w:color w:val="auto"/>
          <w:sz w:val="32"/>
          <w:szCs w:val="32"/>
          <w:lang w:eastAsia="zh-CN"/>
        </w:rPr>
        <w:t>交易</w:t>
      </w:r>
      <w:r>
        <w:rPr>
          <w:rFonts w:hint="eastAsia" w:ascii="宋体" w:hAnsi="宋体" w:cs="宋体"/>
          <w:color w:val="auto"/>
          <w:sz w:val="32"/>
          <w:szCs w:val="32"/>
        </w:rPr>
        <w:t>公告</w:t>
      </w:r>
    </w:p>
    <w:p w14:paraId="360916A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 xml:space="preserve">第二部分      </w:t>
      </w:r>
      <w:r>
        <w:rPr>
          <w:rFonts w:hint="eastAsia" w:ascii="宋体" w:hAnsi="宋体" w:cs="宋体"/>
          <w:color w:val="auto"/>
          <w:sz w:val="32"/>
          <w:szCs w:val="32"/>
          <w:lang w:val="en-US" w:eastAsia="zh-CN"/>
        </w:rPr>
        <w:t>供应商</w:t>
      </w:r>
      <w:r>
        <w:rPr>
          <w:rFonts w:hint="eastAsia" w:ascii="宋体" w:hAnsi="宋体" w:cs="宋体"/>
          <w:color w:val="auto"/>
          <w:sz w:val="32"/>
          <w:szCs w:val="32"/>
        </w:rPr>
        <w:t>须知</w:t>
      </w:r>
    </w:p>
    <w:p w14:paraId="2ECC2B2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517081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41EACD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应提交的有关格式范例</w:t>
      </w:r>
    </w:p>
    <w:p w14:paraId="2D51AC9C">
      <w:pPr>
        <w:spacing w:line="360" w:lineRule="auto"/>
        <w:ind w:firstLine="549" w:firstLineChars="229"/>
        <w:rPr>
          <w:rFonts w:ascii="宋体" w:hAnsi="宋体" w:cs="宋体"/>
          <w:color w:val="auto"/>
          <w:sz w:val="24"/>
        </w:rPr>
      </w:pPr>
      <w:bookmarkStart w:id="1" w:name="_Hlt91233176"/>
      <w:bookmarkEnd w:id="1"/>
      <w:bookmarkStart w:id="2" w:name="_Toc91899869"/>
    </w:p>
    <w:p w14:paraId="5EB601A9">
      <w:pPr>
        <w:spacing w:line="360" w:lineRule="auto"/>
        <w:ind w:firstLine="549" w:firstLineChars="229"/>
        <w:rPr>
          <w:rFonts w:ascii="宋体" w:hAnsi="宋体" w:cs="宋体"/>
          <w:color w:val="auto"/>
          <w:sz w:val="24"/>
        </w:rPr>
      </w:pPr>
    </w:p>
    <w:p w14:paraId="3DD4FAB7">
      <w:pPr>
        <w:spacing w:line="360" w:lineRule="auto"/>
        <w:ind w:firstLine="549" w:firstLineChars="229"/>
        <w:rPr>
          <w:rFonts w:ascii="宋体" w:hAnsi="宋体" w:cs="宋体"/>
          <w:color w:val="auto"/>
          <w:sz w:val="24"/>
        </w:rPr>
      </w:pPr>
    </w:p>
    <w:p w14:paraId="34B571EB">
      <w:pPr>
        <w:spacing w:line="360" w:lineRule="auto"/>
        <w:ind w:firstLine="549" w:firstLineChars="229"/>
        <w:rPr>
          <w:rFonts w:ascii="宋体" w:hAnsi="宋体" w:cs="宋体"/>
          <w:color w:val="auto"/>
          <w:sz w:val="24"/>
        </w:rPr>
      </w:pPr>
    </w:p>
    <w:p w14:paraId="6B0957C6">
      <w:pPr>
        <w:spacing w:line="360" w:lineRule="auto"/>
        <w:ind w:firstLine="549" w:firstLineChars="229"/>
        <w:rPr>
          <w:rFonts w:ascii="宋体" w:hAnsi="宋体" w:cs="宋体"/>
          <w:color w:val="auto"/>
          <w:sz w:val="24"/>
        </w:rPr>
      </w:pPr>
    </w:p>
    <w:p w14:paraId="2155D506">
      <w:pPr>
        <w:spacing w:line="360" w:lineRule="auto"/>
        <w:ind w:firstLine="549" w:firstLineChars="229"/>
        <w:rPr>
          <w:rFonts w:ascii="宋体" w:hAnsi="宋体" w:cs="宋体"/>
          <w:color w:val="auto"/>
          <w:sz w:val="24"/>
        </w:rPr>
      </w:pPr>
    </w:p>
    <w:p w14:paraId="77957A82">
      <w:pPr>
        <w:spacing w:line="360" w:lineRule="auto"/>
        <w:ind w:firstLine="549" w:firstLineChars="229"/>
        <w:rPr>
          <w:rFonts w:ascii="宋体" w:hAnsi="宋体" w:cs="宋体"/>
          <w:color w:val="auto"/>
          <w:sz w:val="24"/>
        </w:rPr>
      </w:pPr>
    </w:p>
    <w:p w14:paraId="622F1199">
      <w:pPr>
        <w:spacing w:line="360" w:lineRule="auto"/>
        <w:ind w:firstLine="549" w:firstLineChars="229"/>
        <w:rPr>
          <w:rFonts w:ascii="宋体" w:hAnsi="宋体" w:cs="宋体"/>
          <w:color w:val="auto"/>
          <w:sz w:val="24"/>
        </w:rPr>
      </w:pPr>
    </w:p>
    <w:p w14:paraId="09278DEA">
      <w:pPr>
        <w:spacing w:line="360" w:lineRule="auto"/>
        <w:ind w:firstLine="549" w:firstLineChars="229"/>
        <w:rPr>
          <w:rFonts w:ascii="宋体" w:hAnsi="宋体" w:cs="宋体"/>
          <w:color w:val="auto"/>
          <w:sz w:val="24"/>
        </w:rPr>
      </w:pPr>
    </w:p>
    <w:p w14:paraId="4750106D">
      <w:pPr>
        <w:spacing w:line="360" w:lineRule="auto"/>
        <w:ind w:firstLine="549" w:firstLineChars="229"/>
        <w:rPr>
          <w:rFonts w:ascii="宋体" w:hAnsi="宋体" w:cs="宋体"/>
          <w:color w:val="auto"/>
          <w:sz w:val="24"/>
        </w:rPr>
      </w:pPr>
    </w:p>
    <w:p w14:paraId="4BAAC74A">
      <w:pPr>
        <w:spacing w:line="360" w:lineRule="auto"/>
        <w:ind w:firstLine="549" w:firstLineChars="229"/>
        <w:rPr>
          <w:rFonts w:ascii="宋体" w:hAnsi="宋体" w:cs="宋体"/>
          <w:color w:val="auto"/>
          <w:sz w:val="24"/>
        </w:rPr>
      </w:pPr>
    </w:p>
    <w:p w14:paraId="105498D2">
      <w:pPr>
        <w:spacing w:line="360" w:lineRule="auto"/>
        <w:ind w:firstLine="549" w:firstLineChars="229"/>
        <w:rPr>
          <w:rFonts w:ascii="宋体" w:hAnsi="宋体" w:cs="宋体"/>
          <w:color w:val="auto"/>
          <w:sz w:val="24"/>
        </w:rPr>
      </w:pPr>
    </w:p>
    <w:p w14:paraId="71EDFA4C">
      <w:pPr>
        <w:spacing w:line="360" w:lineRule="auto"/>
        <w:ind w:firstLine="549" w:firstLineChars="229"/>
        <w:rPr>
          <w:rFonts w:ascii="宋体" w:hAnsi="宋体" w:cs="宋体"/>
          <w:color w:val="auto"/>
          <w:sz w:val="24"/>
        </w:rPr>
      </w:pPr>
    </w:p>
    <w:p w14:paraId="43CE9A04">
      <w:pPr>
        <w:spacing w:line="360" w:lineRule="auto"/>
        <w:rPr>
          <w:rFonts w:ascii="宋体" w:hAnsi="宋体" w:cs="宋体"/>
          <w:color w:val="auto"/>
          <w:sz w:val="24"/>
        </w:rPr>
      </w:pPr>
    </w:p>
    <w:p w14:paraId="458B2B9D">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 xml:space="preserve">第一部分 </w:t>
      </w:r>
      <w:r>
        <w:rPr>
          <w:rFonts w:hint="eastAsia" w:ascii="宋体" w:hAnsi="宋体" w:cs="宋体"/>
          <w:b/>
          <w:color w:val="auto"/>
          <w:sz w:val="36"/>
          <w:szCs w:val="20"/>
          <w:lang w:eastAsia="zh-CN"/>
        </w:rPr>
        <w:t>交易</w:t>
      </w:r>
      <w:r>
        <w:rPr>
          <w:rFonts w:hint="eastAsia" w:ascii="宋体" w:hAnsi="宋体" w:cs="宋体"/>
          <w:b/>
          <w:color w:val="auto"/>
          <w:sz w:val="36"/>
          <w:szCs w:val="20"/>
        </w:rPr>
        <w:t>公告</w:t>
      </w:r>
    </w:p>
    <w:p w14:paraId="6147311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7B6217F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杭州市规划和自然资源局萧山分局2025-2026年度采购类招标代理预选供应商</w:t>
      </w:r>
      <w:r>
        <w:rPr>
          <w:rFonts w:hint="eastAsia" w:ascii="宋体" w:hAnsi="宋体" w:cs="宋体"/>
          <w:color w:val="auto"/>
          <w:sz w:val="24"/>
          <w:lang w:eastAsia="zh-CN"/>
        </w:rPr>
        <w:t>交易</w:t>
      </w:r>
      <w:r>
        <w:rPr>
          <w:rFonts w:hint="eastAsia" w:ascii="宋体" w:hAnsi="宋体" w:cs="宋体"/>
          <w:color w:val="auto"/>
          <w:sz w:val="24"/>
        </w:rPr>
        <w:t>项目的潜在</w:t>
      </w:r>
      <w:r>
        <w:rPr>
          <w:rFonts w:hint="eastAsia" w:ascii="宋体" w:hAnsi="宋体" w:cs="宋体"/>
          <w:color w:val="auto"/>
          <w:sz w:val="24"/>
          <w:lang w:val="en-US" w:eastAsia="zh-CN"/>
        </w:rPr>
        <w:t>供应商</w:t>
      </w:r>
      <w:r>
        <w:rPr>
          <w:rFonts w:hint="eastAsia" w:ascii="宋体" w:hAnsi="宋体" w:cs="宋体"/>
          <w:color w:val="auto"/>
          <w:sz w:val="24"/>
        </w:rPr>
        <w:t>应在乐采云平台（https://www.lecaiyun.com/）</w:t>
      </w:r>
      <w:r>
        <w:rPr>
          <w:color w:val="auto"/>
        </w:rPr>
        <w:fldChar w:fldCharType="begin"/>
      </w:r>
      <w:r>
        <w:rPr>
          <w:color w:val="auto"/>
        </w:rPr>
        <w:instrText xml:space="preserve"> HYPERLINK "https://www.zcygov.cn/）获取（下载）招标文件，并于2023年%20月%20日%20点%20分00秒" </w:instrText>
      </w:r>
      <w:r>
        <w:rPr>
          <w:color w:val="auto"/>
        </w:rPr>
        <w:fldChar w:fldCharType="separate"/>
      </w:r>
      <w:r>
        <w:rPr>
          <w:rStyle w:val="77"/>
          <w:rFonts w:hint="eastAsia" w:ascii="宋体" w:hAnsi="宋体" w:eastAsia="宋体" w:cs="宋体"/>
          <w:snapToGrid/>
          <w:color w:val="auto"/>
          <w:kern w:val="2"/>
          <w:sz w:val="24"/>
          <w:szCs w:val="24"/>
        </w:rPr>
        <w:t>获取（下载）</w:t>
      </w:r>
      <w:r>
        <w:rPr>
          <w:rFonts w:hint="eastAsia" w:ascii="宋体" w:hAnsi="宋体" w:cs="宋体"/>
          <w:color w:val="auto"/>
          <w:sz w:val="24"/>
          <w:lang w:eastAsia="zh-CN"/>
        </w:rPr>
        <w:t>交易文件，</w:t>
      </w:r>
      <w:r>
        <w:rPr>
          <w:rStyle w:val="77"/>
          <w:rFonts w:hint="eastAsia" w:ascii="宋体" w:hAnsi="宋体" w:eastAsia="宋体" w:cs="宋体"/>
          <w:snapToGrid/>
          <w:color w:val="auto"/>
          <w:kern w:val="2"/>
          <w:sz w:val="24"/>
          <w:szCs w:val="24"/>
        </w:rPr>
        <w:t>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02</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27</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cs="宋体"/>
          <w:bCs/>
          <w:snapToGrid/>
          <w:color w:val="auto"/>
          <w:kern w:val="2"/>
          <w:sz w:val="24"/>
          <w:szCs w:val="24"/>
          <w:lang w:val="en-US" w:eastAsia="zh-CN"/>
        </w:rPr>
        <w:t>00</w:t>
      </w:r>
      <w:r>
        <w:rPr>
          <w:rStyle w:val="77"/>
          <w:rFonts w:hint="eastAsia" w:ascii="宋体" w:hAnsi="宋体" w:eastAsia="宋体" w:cs="宋体"/>
          <w:bCs/>
          <w:snapToGrid/>
          <w:color w:val="auto"/>
          <w:kern w:val="2"/>
          <w:sz w:val="24"/>
          <w:szCs w:val="24"/>
        </w:rPr>
        <w:t>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w:t>
      </w:r>
      <w:r>
        <w:rPr>
          <w:rFonts w:hint="eastAsia" w:ascii="宋体" w:hAnsi="宋体" w:cs="宋体"/>
          <w:color w:val="auto"/>
          <w:sz w:val="24"/>
          <w:lang w:eastAsia="zh-CN"/>
        </w:rPr>
        <w:t>响应文件</w:t>
      </w:r>
      <w:r>
        <w:rPr>
          <w:rFonts w:hint="eastAsia" w:ascii="宋体" w:hAnsi="宋体" w:cs="宋体"/>
          <w:color w:val="auto"/>
          <w:sz w:val="24"/>
        </w:rPr>
        <w:t>。</w:t>
      </w:r>
    </w:p>
    <w:p w14:paraId="74F3B308">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0449B8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ZJXS20250201</w:t>
      </w:r>
    </w:p>
    <w:p w14:paraId="16F2FFCB">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u w:val="none"/>
          <w:lang w:eastAsia="zh-CN"/>
        </w:rPr>
        <w:t>杭州市规划和自然资源局萧山分局2025-2026年度采购类招标代理预选供应商</w:t>
      </w:r>
    </w:p>
    <w:p w14:paraId="0789DC5C">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w:t>
      </w:r>
      <w:r>
        <w:rPr>
          <w:rFonts w:hint="eastAsia" w:ascii="宋体" w:hAnsi="宋体" w:cs="宋体"/>
          <w:b/>
          <w:color w:val="auto"/>
          <w:sz w:val="24"/>
          <w:highlight w:val="none"/>
        </w:rPr>
        <w:t>预算金额（元）：</w:t>
      </w:r>
      <w:r>
        <w:rPr>
          <w:rFonts w:hint="eastAsia" w:ascii="宋体" w:hAnsi="宋体" w:eastAsia="宋体" w:cs="宋体"/>
          <w:color w:val="auto"/>
          <w:sz w:val="24"/>
          <w:szCs w:val="28"/>
          <w:highlight w:val="none"/>
          <w:lang w:val="en-US" w:eastAsia="zh-CN"/>
        </w:rPr>
        <w:t>年度累计服务费</w:t>
      </w:r>
      <w:r>
        <w:rPr>
          <w:rFonts w:hint="eastAsia" w:ascii="宋体" w:hAnsi="宋体" w:cs="宋体"/>
          <w:color w:val="auto"/>
          <w:sz w:val="24"/>
          <w:szCs w:val="28"/>
          <w:highlight w:val="none"/>
          <w:lang w:val="en-US" w:eastAsia="zh-CN"/>
        </w:rPr>
        <w:t>约3</w:t>
      </w:r>
      <w:r>
        <w:rPr>
          <w:rFonts w:hint="eastAsia" w:ascii="宋体" w:hAnsi="宋体" w:eastAsia="宋体" w:cs="宋体"/>
          <w:color w:val="auto"/>
          <w:sz w:val="24"/>
          <w:szCs w:val="28"/>
          <w:highlight w:val="none"/>
          <w:lang w:val="en-US" w:eastAsia="zh-CN"/>
        </w:rPr>
        <w:t>0万元</w:t>
      </w:r>
    </w:p>
    <w:p w14:paraId="5DA4CE9B">
      <w:pPr>
        <w:pStyle w:val="2"/>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u w:val="none"/>
          <w:lang w:eastAsia="zh-CN"/>
        </w:rPr>
        <w:t>杭州市规划和自然资源局萧山分局</w:t>
      </w:r>
      <w:r>
        <w:rPr>
          <w:rFonts w:hint="eastAsia" w:hAnsi="宋体" w:cs="宋体"/>
          <w:bCs/>
          <w:snapToGrid/>
          <w:color w:val="auto"/>
          <w:kern w:val="2"/>
          <w:sz w:val="24"/>
          <w:szCs w:val="24"/>
        </w:rPr>
        <w:t>202</w:t>
      </w:r>
      <w:r>
        <w:rPr>
          <w:rFonts w:hint="eastAsia" w:hAnsi="宋体" w:cs="宋体"/>
          <w:bCs/>
          <w:snapToGrid/>
          <w:color w:val="auto"/>
          <w:kern w:val="2"/>
          <w:sz w:val="24"/>
          <w:szCs w:val="24"/>
          <w:lang w:val="en-US" w:eastAsia="zh-CN"/>
        </w:rPr>
        <w:t>5</w:t>
      </w:r>
      <w:r>
        <w:rPr>
          <w:rFonts w:hint="eastAsia" w:hAnsi="宋体" w:cs="宋体"/>
          <w:bCs/>
          <w:snapToGrid/>
          <w:color w:val="auto"/>
          <w:kern w:val="2"/>
          <w:sz w:val="24"/>
          <w:szCs w:val="24"/>
        </w:rPr>
        <w:t>年度</w:t>
      </w:r>
      <w:r>
        <w:rPr>
          <w:rFonts w:hint="eastAsia" w:hAnsi="宋体" w:cs="宋体"/>
          <w:bCs/>
          <w:snapToGrid/>
          <w:color w:val="auto"/>
          <w:kern w:val="2"/>
          <w:sz w:val="24"/>
          <w:szCs w:val="24"/>
          <w:lang w:val="en-US" w:eastAsia="zh-CN"/>
        </w:rPr>
        <w:t>采购类</w:t>
      </w:r>
      <w:r>
        <w:rPr>
          <w:rFonts w:hint="eastAsia" w:hAnsi="宋体" w:cs="宋体"/>
          <w:bCs/>
          <w:snapToGrid/>
          <w:color w:val="auto"/>
          <w:kern w:val="2"/>
          <w:sz w:val="24"/>
          <w:szCs w:val="24"/>
        </w:rPr>
        <w:t>招标代理服务</w:t>
      </w:r>
      <w:r>
        <w:rPr>
          <w:rFonts w:hint="eastAsia" w:asciiTheme="minorEastAsia" w:hAnsiTheme="minorEastAsia" w:eastAsiaTheme="minorEastAsia"/>
          <w:snapToGrid/>
          <w:color w:val="auto"/>
          <w:kern w:val="2"/>
          <w:sz w:val="24"/>
          <w:szCs w:val="24"/>
        </w:rPr>
        <w:t>。具体以</w:t>
      </w:r>
      <w:r>
        <w:rPr>
          <w:rFonts w:hint="eastAsia" w:asciiTheme="minorEastAsia" w:hAnsiTheme="minorEastAsia" w:eastAsiaTheme="minorEastAsia"/>
          <w:snapToGrid/>
          <w:color w:val="auto"/>
          <w:kern w:val="2"/>
          <w:sz w:val="24"/>
          <w:szCs w:val="24"/>
          <w:lang w:val="en-US" w:eastAsia="zh-CN"/>
        </w:rPr>
        <w:t>交易</w:t>
      </w:r>
      <w:r>
        <w:rPr>
          <w:rFonts w:hint="eastAsia" w:asciiTheme="minorEastAsia" w:hAnsiTheme="minorEastAsia" w:eastAsiaTheme="minorEastAsia"/>
          <w:snapToGrid/>
          <w:color w:val="auto"/>
          <w:kern w:val="2"/>
          <w:sz w:val="24"/>
          <w:szCs w:val="24"/>
        </w:rPr>
        <w:t>文件第三部分采购需求为准，供应商可点击本公告下方“浏览采购文件”查看采购需求。</w:t>
      </w:r>
    </w:p>
    <w:p w14:paraId="4F9FDDF0">
      <w:pPr>
        <w:pStyle w:val="130"/>
        <w:keepNext w:val="0"/>
        <w:keepLines w:val="0"/>
        <w:pageBreakBefore w:val="0"/>
        <w:kinsoku/>
        <w:wordWrap/>
        <w:overflowPunct/>
        <w:topLinePunct w:val="0"/>
        <w:autoSpaceDE/>
        <w:autoSpaceDN/>
        <w:bidi w:val="0"/>
        <w:adjustRightInd w:val="0"/>
        <w:spacing w:line="360" w:lineRule="auto"/>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2年，</w:t>
      </w:r>
      <w:r>
        <w:rPr>
          <w:rStyle w:val="966"/>
          <w:rFonts w:hint="eastAsia" w:ascii="宋体" w:hAnsi="宋体"/>
          <w:b/>
          <w:bCs w:val="0"/>
          <w:i w:val="0"/>
          <w:caps w:val="0"/>
          <w:color w:val="auto"/>
          <w:spacing w:val="0"/>
          <w:w w:val="100"/>
          <w:kern w:val="2"/>
          <w:sz w:val="24"/>
          <w:szCs w:val="28"/>
          <w:highlight w:val="none"/>
          <w:lang w:val="en-US" w:eastAsia="zh-CN" w:bidi="ar-SA"/>
        </w:rPr>
        <w:t>具体起止时间以合同签订为准</w:t>
      </w:r>
      <w:r>
        <w:rPr>
          <w:rFonts w:hint="eastAsia" w:ascii="宋体" w:hAnsi="宋体" w:cs="宋体"/>
          <w:b/>
          <w:bCs w:val="0"/>
          <w:color w:val="auto"/>
        </w:rPr>
        <w:t>。</w:t>
      </w:r>
    </w:p>
    <w:p w14:paraId="65A324C6">
      <w:pPr>
        <w:pStyle w:val="2"/>
        <w:keepNext w:val="0"/>
        <w:keepLines w:val="0"/>
        <w:pageBreakBefore w:val="0"/>
        <w:kinsoku/>
        <w:wordWrap/>
        <w:overflowPunct/>
        <w:topLinePunct w:val="0"/>
        <w:autoSpaceDE/>
        <w:autoSpaceDN/>
        <w:bidi w:val="0"/>
        <w:adjustRightInd w:val="0"/>
        <w:spacing w:line="360" w:lineRule="auto"/>
        <w:ind w:firstLine="480"/>
        <w:rPr>
          <w:rFonts w:hAnsi="宋体" w:cs="宋体"/>
          <w:b/>
          <w:color w:val="auto"/>
        </w:rPr>
      </w:pPr>
      <w:r>
        <w:rPr>
          <w:rFonts w:hint="eastAsia" w:hAnsi="宋体" w:cs="宋体"/>
          <w:b/>
          <w:color w:val="auto"/>
          <w:sz w:val="24"/>
        </w:rPr>
        <w:t>本项目接受联合体</w:t>
      </w:r>
      <w:r>
        <w:rPr>
          <w:rFonts w:hint="eastAsia" w:hAnsi="宋体" w:cs="宋体"/>
          <w:b/>
          <w:color w:val="auto"/>
          <w:sz w:val="24"/>
          <w:lang w:eastAsia="zh-CN"/>
        </w:rPr>
        <w:t>响应</w:t>
      </w:r>
      <w:r>
        <w:rPr>
          <w:rFonts w:hint="eastAsia" w:hAnsi="宋体" w:cs="宋体"/>
          <w:b/>
          <w:color w:val="auto"/>
          <w:sz w:val="24"/>
        </w:rPr>
        <w:t>：</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hint="eastAsia" w:ascii="MS Gothic" w:hAnsi="MS Gothic" w:eastAsia="MS Gothic"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1D3BA924">
      <w:pPr>
        <w:keepNext w:val="0"/>
        <w:keepLines w:val="0"/>
        <w:pageBreakBefore w:val="0"/>
        <w:kinsoku/>
        <w:wordWrap/>
        <w:overflowPunct/>
        <w:topLinePunct w:val="0"/>
        <w:autoSpaceDE/>
        <w:autoSpaceDN/>
        <w:bidi w:val="0"/>
        <w:adjustRightInd w:val="0"/>
        <w:spacing w:line="360" w:lineRule="auto"/>
        <w:rPr>
          <w:rFonts w:ascii="宋体" w:hAnsi="宋体" w:cs="宋体"/>
          <w:b/>
          <w:color w:val="auto"/>
          <w:sz w:val="24"/>
        </w:rPr>
      </w:pPr>
      <w:r>
        <w:rPr>
          <w:rFonts w:hint="eastAsia" w:ascii="宋体" w:hAnsi="宋体" w:cs="宋体"/>
          <w:b/>
          <w:color w:val="auto"/>
          <w:sz w:val="24"/>
        </w:rPr>
        <w:t>二、申请人的资格要求：</w:t>
      </w:r>
    </w:p>
    <w:p w14:paraId="6F605D5D">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315" w:leftChars="-150" w:right="-306" w:firstLine="628" w:firstLineChars="262"/>
        <w:jc w:val="both"/>
        <w:textAlignment w:val="baseline"/>
        <w:rPr>
          <w:rStyle w:val="966"/>
          <w:rFonts w:ascii="宋体"/>
          <w:b w:val="0"/>
          <w:i w:val="0"/>
          <w:caps w:val="0"/>
          <w:color w:val="auto"/>
          <w:spacing w:val="0"/>
          <w:w w:val="100"/>
          <w:kern w:val="2"/>
          <w:sz w:val="24"/>
          <w:szCs w:val="24"/>
          <w:highlight w:val="none"/>
          <w:lang w:val="en-US" w:eastAsia="zh-CN" w:bidi="ar-SA"/>
        </w:rPr>
      </w:pPr>
      <w:r>
        <w:rPr>
          <w:rStyle w:val="966"/>
          <w:rFonts w:ascii="宋体" w:hAnsi="宋体"/>
          <w:b w:val="0"/>
          <w:i w:val="0"/>
          <w:caps w:val="0"/>
          <w:color w:val="auto"/>
          <w:spacing w:val="0"/>
          <w:w w:val="100"/>
          <w:kern w:val="2"/>
          <w:sz w:val="24"/>
          <w:szCs w:val="24"/>
          <w:highlight w:val="none"/>
          <w:lang w:val="en-US" w:eastAsia="zh-CN" w:bidi="ar-SA"/>
        </w:rPr>
        <w:t>1、具有独立承担民事责任的能力；</w:t>
      </w:r>
    </w:p>
    <w:p w14:paraId="3E7DE5D9">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315" w:leftChars="-150" w:right="-306" w:firstLine="628" w:firstLineChars="262"/>
        <w:jc w:val="both"/>
        <w:textAlignment w:val="baseline"/>
        <w:rPr>
          <w:rStyle w:val="966"/>
          <w:rFonts w:ascii="宋体"/>
          <w:b w:val="0"/>
          <w:i w:val="0"/>
          <w:caps w:val="0"/>
          <w:color w:val="auto"/>
          <w:spacing w:val="0"/>
          <w:w w:val="100"/>
          <w:kern w:val="2"/>
          <w:sz w:val="24"/>
          <w:szCs w:val="24"/>
          <w:highlight w:val="none"/>
          <w:lang w:val="en-US" w:eastAsia="zh-CN" w:bidi="ar-SA"/>
        </w:rPr>
      </w:pPr>
      <w:r>
        <w:rPr>
          <w:rStyle w:val="966"/>
          <w:rFonts w:ascii="宋体" w:hAnsi="宋体"/>
          <w:b w:val="0"/>
          <w:i w:val="0"/>
          <w:caps w:val="0"/>
          <w:color w:val="auto"/>
          <w:spacing w:val="0"/>
          <w:w w:val="100"/>
          <w:kern w:val="2"/>
          <w:sz w:val="24"/>
          <w:szCs w:val="24"/>
          <w:highlight w:val="none"/>
          <w:lang w:val="en-US" w:eastAsia="zh-CN" w:bidi="ar-SA"/>
        </w:rPr>
        <w:t>2、具有良好的商业信誉和健全的财务会计制度；</w:t>
      </w:r>
    </w:p>
    <w:p w14:paraId="73F74525">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315" w:leftChars="-150" w:right="-306" w:firstLine="628" w:firstLineChars="262"/>
        <w:jc w:val="both"/>
        <w:textAlignment w:val="baseline"/>
        <w:rPr>
          <w:rStyle w:val="966"/>
          <w:rFonts w:ascii="宋体"/>
          <w:b w:val="0"/>
          <w:i w:val="0"/>
          <w:caps w:val="0"/>
          <w:color w:val="auto"/>
          <w:spacing w:val="0"/>
          <w:w w:val="100"/>
          <w:kern w:val="2"/>
          <w:sz w:val="24"/>
          <w:szCs w:val="24"/>
          <w:highlight w:val="none"/>
          <w:lang w:val="en-US" w:eastAsia="zh-CN" w:bidi="ar-SA"/>
        </w:rPr>
      </w:pPr>
      <w:r>
        <w:rPr>
          <w:rStyle w:val="966"/>
          <w:rFonts w:ascii="宋体" w:hAnsi="宋体"/>
          <w:b w:val="0"/>
          <w:i w:val="0"/>
          <w:caps w:val="0"/>
          <w:color w:val="auto"/>
          <w:spacing w:val="0"/>
          <w:w w:val="100"/>
          <w:kern w:val="2"/>
          <w:sz w:val="24"/>
          <w:szCs w:val="24"/>
          <w:highlight w:val="none"/>
          <w:lang w:val="en-US" w:eastAsia="zh-CN" w:bidi="ar-SA"/>
        </w:rPr>
        <w:t>3、具有履行合同所必需的设备和专业技术能力；</w:t>
      </w:r>
    </w:p>
    <w:p w14:paraId="4B23E530">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315" w:leftChars="-150" w:right="-306" w:firstLine="628" w:firstLineChars="262"/>
        <w:jc w:val="both"/>
        <w:textAlignment w:val="baseline"/>
        <w:rPr>
          <w:rStyle w:val="966"/>
          <w:rFonts w:ascii="宋体"/>
          <w:b w:val="0"/>
          <w:i w:val="0"/>
          <w:caps w:val="0"/>
          <w:color w:val="auto"/>
          <w:spacing w:val="0"/>
          <w:w w:val="100"/>
          <w:kern w:val="2"/>
          <w:sz w:val="24"/>
          <w:szCs w:val="24"/>
          <w:highlight w:val="none"/>
          <w:lang w:val="en-US" w:eastAsia="zh-CN" w:bidi="ar-SA"/>
        </w:rPr>
      </w:pPr>
      <w:r>
        <w:rPr>
          <w:rStyle w:val="966"/>
          <w:rFonts w:ascii="宋体" w:hAnsi="宋体"/>
          <w:b w:val="0"/>
          <w:i w:val="0"/>
          <w:caps w:val="0"/>
          <w:color w:val="auto"/>
          <w:spacing w:val="0"/>
          <w:w w:val="100"/>
          <w:kern w:val="2"/>
          <w:sz w:val="24"/>
          <w:szCs w:val="24"/>
          <w:highlight w:val="none"/>
          <w:lang w:val="en-US" w:eastAsia="zh-CN" w:bidi="ar-SA"/>
        </w:rPr>
        <w:t>4、有依法缴纳税收和社会保障资金的良好记录；</w:t>
      </w:r>
    </w:p>
    <w:p w14:paraId="4C925217">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315" w:leftChars="-150" w:right="-306" w:firstLine="628" w:firstLineChars="262"/>
        <w:jc w:val="both"/>
        <w:textAlignment w:val="baseline"/>
        <w:rPr>
          <w:rStyle w:val="966"/>
          <w:rFonts w:ascii="宋体"/>
          <w:b w:val="0"/>
          <w:i w:val="0"/>
          <w:caps w:val="0"/>
          <w:color w:val="auto"/>
          <w:spacing w:val="0"/>
          <w:w w:val="100"/>
          <w:kern w:val="2"/>
          <w:sz w:val="24"/>
          <w:szCs w:val="24"/>
          <w:highlight w:val="none"/>
          <w:lang w:val="en-US" w:eastAsia="zh-CN" w:bidi="ar-SA"/>
        </w:rPr>
      </w:pPr>
      <w:r>
        <w:rPr>
          <w:rStyle w:val="966"/>
          <w:rFonts w:ascii="宋体" w:hAnsi="宋体"/>
          <w:b w:val="0"/>
          <w:i w:val="0"/>
          <w:caps w:val="0"/>
          <w:color w:val="auto"/>
          <w:spacing w:val="0"/>
          <w:w w:val="100"/>
          <w:kern w:val="2"/>
          <w:sz w:val="24"/>
          <w:szCs w:val="24"/>
          <w:highlight w:val="none"/>
          <w:lang w:val="en-US" w:eastAsia="zh-CN" w:bidi="ar-SA"/>
        </w:rPr>
        <w:t>5、参加交易活动前</w:t>
      </w:r>
      <w:r>
        <w:rPr>
          <w:rStyle w:val="966"/>
          <w:rFonts w:hint="eastAsia" w:ascii="宋体" w:hAnsi="宋体"/>
          <w:b w:val="0"/>
          <w:i w:val="0"/>
          <w:caps w:val="0"/>
          <w:color w:val="auto"/>
          <w:spacing w:val="0"/>
          <w:w w:val="100"/>
          <w:kern w:val="2"/>
          <w:sz w:val="24"/>
          <w:szCs w:val="24"/>
          <w:highlight w:val="none"/>
          <w:lang w:val="en-US" w:eastAsia="zh-CN" w:bidi="ar-SA"/>
        </w:rPr>
        <w:t>两年</w:t>
      </w:r>
      <w:r>
        <w:rPr>
          <w:rStyle w:val="966"/>
          <w:rFonts w:ascii="宋体" w:hAnsi="宋体"/>
          <w:b w:val="0"/>
          <w:i w:val="0"/>
          <w:caps w:val="0"/>
          <w:color w:val="auto"/>
          <w:spacing w:val="0"/>
          <w:w w:val="100"/>
          <w:kern w:val="2"/>
          <w:sz w:val="24"/>
          <w:szCs w:val="24"/>
          <w:highlight w:val="none"/>
          <w:lang w:val="en-US" w:eastAsia="zh-CN" w:bidi="ar-SA"/>
        </w:rPr>
        <w:t>内，在经营活动中没有重大违法记录；</w:t>
      </w:r>
    </w:p>
    <w:p w14:paraId="2ECA1BF3">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315" w:leftChars="-150" w:right="-306" w:firstLine="628" w:firstLineChars="262"/>
        <w:jc w:val="both"/>
        <w:textAlignment w:val="baseline"/>
        <w:rPr>
          <w:rStyle w:val="966"/>
          <w:rFonts w:ascii="宋体" w:hAnsi="宋体" w:eastAsia="宋体"/>
          <w:b w:val="0"/>
          <w:i w:val="0"/>
          <w:caps w:val="0"/>
          <w:color w:val="auto"/>
          <w:spacing w:val="0"/>
          <w:w w:val="100"/>
          <w:kern w:val="2"/>
          <w:sz w:val="24"/>
          <w:szCs w:val="24"/>
          <w:highlight w:val="none"/>
          <w:lang w:val="en-US" w:eastAsia="zh-CN" w:bidi="ar-SA"/>
        </w:rPr>
      </w:pPr>
      <w:r>
        <w:rPr>
          <w:rStyle w:val="966"/>
          <w:rFonts w:ascii="宋体" w:hAnsi="宋体"/>
          <w:b w:val="0"/>
          <w:i w:val="0"/>
          <w:caps w:val="0"/>
          <w:color w:val="auto"/>
          <w:spacing w:val="0"/>
          <w:w w:val="100"/>
          <w:kern w:val="2"/>
          <w:sz w:val="24"/>
          <w:szCs w:val="24"/>
          <w:highlight w:val="none"/>
          <w:lang w:val="en-US" w:eastAsia="zh-CN" w:bidi="ar-SA"/>
        </w:rPr>
        <w:t>6、法律、</w:t>
      </w:r>
      <w:r>
        <w:rPr>
          <w:rStyle w:val="966"/>
          <w:rFonts w:ascii="宋体" w:hAnsi="宋体" w:eastAsia="宋体"/>
          <w:b w:val="0"/>
          <w:i w:val="0"/>
          <w:caps w:val="0"/>
          <w:color w:val="auto"/>
          <w:spacing w:val="0"/>
          <w:w w:val="100"/>
          <w:kern w:val="2"/>
          <w:sz w:val="24"/>
          <w:szCs w:val="24"/>
          <w:highlight w:val="none"/>
          <w:lang w:val="en-US" w:eastAsia="zh-CN" w:bidi="ar-SA"/>
        </w:rPr>
        <w:t>行政法规规定的其他条件；</w:t>
      </w:r>
    </w:p>
    <w:p w14:paraId="299F59DD">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315" w:leftChars="-150" w:right="-306" w:firstLine="628" w:firstLineChars="262"/>
        <w:jc w:val="both"/>
        <w:textAlignment w:val="baseline"/>
        <w:rPr>
          <w:rStyle w:val="966"/>
          <w:rFonts w:ascii="宋体" w:hAnsi="宋体"/>
          <w:b w:val="0"/>
          <w:i w:val="0"/>
          <w:caps w:val="0"/>
          <w:color w:val="auto"/>
          <w:spacing w:val="0"/>
          <w:w w:val="100"/>
          <w:kern w:val="2"/>
          <w:sz w:val="24"/>
          <w:szCs w:val="24"/>
          <w:highlight w:val="none"/>
          <w:lang w:val="en-US" w:eastAsia="zh-CN" w:bidi="ar-SA"/>
        </w:rPr>
      </w:pPr>
      <w:r>
        <w:rPr>
          <w:rStyle w:val="966"/>
          <w:rFonts w:hint="eastAsia" w:ascii="宋体" w:hAnsi="宋体"/>
          <w:b w:val="0"/>
          <w:i w:val="0"/>
          <w:caps w:val="0"/>
          <w:color w:val="auto"/>
          <w:spacing w:val="0"/>
          <w:w w:val="100"/>
          <w:kern w:val="2"/>
          <w:sz w:val="24"/>
          <w:szCs w:val="24"/>
          <w:highlight w:val="none"/>
          <w:lang w:val="en-US" w:eastAsia="zh-CN" w:bidi="ar-SA"/>
        </w:rPr>
        <w:t>7、未被“信用中国”（www.creditchina.gov.cn)、中国政府采购网（www.ccgp.gov.cn）列入失信被执行人、重大税收违法案件当事人名单、政府采购严重违法失信行为记录名单；</w:t>
      </w:r>
    </w:p>
    <w:p w14:paraId="33C2E290">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315" w:leftChars="-150" w:right="-306" w:firstLine="628" w:firstLineChars="262"/>
        <w:jc w:val="both"/>
        <w:textAlignment w:val="baseline"/>
        <w:rPr>
          <w:rStyle w:val="966"/>
          <w:rFonts w:hint="eastAsia" w:ascii="宋体" w:hAnsi="宋体" w:eastAsia="宋体"/>
          <w:b w:val="0"/>
          <w:i w:val="0"/>
          <w:caps w:val="0"/>
          <w:color w:val="auto"/>
          <w:spacing w:val="0"/>
          <w:w w:val="100"/>
          <w:kern w:val="2"/>
          <w:sz w:val="24"/>
          <w:szCs w:val="24"/>
          <w:highlight w:val="none"/>
          <w:lang w:val="en-US" w:eastAsia="zh-CN" w:bidi="ar-SA"/>
        </w:rPr>
      </w:pPr>
      <w:r>
        <w:rPr>
          <w:rStyle w:val="966"/>
          <w:rFonts w:hint="eastAsia" w:ascii="宋体" w:hAnsi="宋体"/>
          <w:b w:val="0"/>
          <w:i w:val="0"/>
          <w:caps w:val="0"/>
          <w:color w:val="auto"/>
          <w:spacing w:val="0"/>
          <w:w w:val="100"/>
          <w:kern w:val="2"/>
          <w:sz w:val="24"/>
          <w:szCs w:val="24"/>
          <w:highlight w:val="none"/>
          <w:lang w:val="en-US" w:eastAsia="zh-CN" w:bidi="ar-SA"/>
        </w:rPr>
        <w:t>8</w:t>
      </w:r>
      <w:r>
        <w:rPr>
          <w:rStyle w:val="966"/>
          <w:rFonts w:ascii="宋体" w:hAnsi="宋体"/>
          <w:b w:val="0"/>
          <w:i w:val="0"/>
          <w:caps w:val="0"/>
          <w:color w:val="auto"/>
          <w:spacing w:val="0"/>
          <w:w w:val="100"/>
          <w:kern w:val="2"/>
          <w:sz w:val="24"/>
          <w:szCs w:val="24"/>
          <w:highlight w:val="none"/>
          <w:lang w:val="en-US" w:eastAsia="zh-CN" w:bidi="ar-SA"/>
        </w:rPr>
        <w:t>、特</w:t>
      </w:r>
      <w:r>
        <w:rPr>
          <w:rStyle w:val="966"/>
          <w:rFonts w:hint="eastAsia" w:ascii="宋体" w:hAnsi="宋体" w:eastAsia="宋体"/>
          <w:b w:val="0"/>
          <w:i w:val="0"/>
          <w:caps w:val="0"/>
          <w:color w:val="auto"/>
          <w:spacing w:val="0"/>
          <w:w w:val="100"/>
          <w:kern w:val="2"/>
          <w:sz w:val="24"/>
          <w:szCs w:val="24"/>
          <w:highlight w:val="none"/>
          <w:lang w:val="en-US" w:eastAsia="zh-CN" w:bidi="ar-SA"/>
        </w:rPr>
        <w:t>定资格：</w:t>
      </w:r>
    </w:p>
    <w:p w14:paraId="4159C2A4">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306" w:firstLine="240" w:firstLineChars="100"/>
        <w:jc w:val="both"/>
        <w:textAlignment w:val="baseline"/>
        <w:rPr>
          <w:rStyle w:val="966"/>
          <w:rFonts w:hint="eastAsia" w:ascii="宋体" w:hAnsi="宋体" w:eastAsia="宋体"/>
          <w:b w:val="0"/>
          <w:i w:val="0"/>
          <w:caps w:val="0"/>
          <w:color w:val="auto"/>
          <w:spacing w:val="0"/>
          <w:w w:val="100"/>
          <w:kern w:val="2"/>
          <w:sz w:val="24"/>
          <w:szCs w:val="24"/>
          <w:highlight w:val="none"/>
          <w:lang w:val="en-US" w:eastAsia="zh-CN" w:bidi="ar-SA"/>
        </w:rPr>
      </w:pPr>
      <w:r>
        <w:rPr>
          <w:rStyle w:val="966"/>
          <w:rFonts w:hint="eastAsia" w:ascii="宋体" w:hAnsi="宋体" w:eastAsia="宋体"/>
          <w:b w:val="0"/>
          <w:i w:val="0"/>
          <w:caps w:val="0"/>
          <w:color w:val="auto"/>
          <w:spacing w:val="0"/>
          <w:w w:val="100"/>
          <w:kern w:val="2"/>
          <w:sz w:val="24"/>
          <w:szCs w:val="24"/>
          <w:highlight w:val="none"/>
          <w:lang w:val="en-US" w:eastAsia="zh-CN" w:bidi="ar-SA"/>
        </w:rPr>
        <w:t>企业资质：</w:t>
      </w:r>
      <w:r>
        <w:rPr>
          <w:rStyle w:val="966"/>
          <w:rFonts w:hint="eastAsia" w:ascii="宋体" w:hAnsi="宋体" w:eastAsia="宋体" w:cs="宋体"/>
          <w:b w:val="0"/>
          <w:i w:val="0"/>
          <w:caps w:val="0"/>
          <w:color w:val="auto"/>
          <w:spacing w:val="0"/>
          <w:w w:val="100"/>
          <w:kern w:val="2"/>
          <w:sz w:val="24"/>
          <w:szCs w:val="24"/>
          <w:highlight w:val="none"/>
          <w:lang w:val="en-US" w:eastAsia="zh-CN" w:bidi="ar-SA"/>
        </w:rPr>
        <w:t>营业执照经营范围内具有招标代理的独立法人企业</w:t>
      </w:r>
      <w:r>
        <w:rPr>
          <w:rFonts w:hint="eastAsia" w:ascii="宋体" w:hAnsi="宋体" w:eastAsia="宋体" w:cs="宋体"/>
          <w:snapToGrid w:val="0"/>
          <w:color w:val="000000"/>
          <w:kern w:val="28"/>
          <w:sz w:val="24"/>
          <w:szCs w:val="20"/>
          <w:lang w:val="en-US" w:eastAsia="zh-CN" w:bidi="ar-SA"/>
        </w:rPr>
        <w:t>且在浙江省政府采购网上备案</w:t>
      </w:r>
      <w:r>
        <w:rPr>
          <w:rStyle w:val="966"/>
          <w:rFonts w:hint="eastAsia" w:ascii="宋体" w:hAnsi="宋体" w:eastAsia="宋体" w:cs="宋体"/>
          <w:b w:val="0"/>
          <w:i w:val="0"/>
          <w:caps w:val="0"/>
          <w:color w:val="auto"/>
          <w:spacing w:val="0"/>
          <w:w w:val="100"/>
          <w:kern w:val="2"/>
          <w:sz w:val="24"/>
          <w:szCs w:val="24"/>
          <w:highlight w:val="none"/>
          <w:lang w:val="en-US" w:eastAsia="zh-CN" w:bidi="ar-SA"/>
        </w:rPr>
        <w:t>；</w:t>
      </w:r>
    </w:p>
    <w:p w14:paraId="20DF5217">
      <w:pPr>
        <w:keepNext w:val="0"/>
        <w:keepLines w:val="0"/>
        <w:pageBreakBefore w:val="0"/>
        <w:kinsoku/>
        <w:wordWrap/>
        <w:overflowPunct/>
        <w:topLinePunct w:val="0"/>
        <w:autoSpaceDE/>
        <w:autoSpaceDN/>
        <w:bidi w:val="0"/>
        <w:adjustRightInd w:val="0"/>
        <w:spacing w:line="360" w:lineRule="auto"/>
        <w:rPr>
          <w:rFonts w:ascii="宋体" w:hAnsi="宋体" w:cs="宋体"/>
          <w:b/>
          <w:color w:val="auto"/>
          <w:sz w:val="24"/>
        </w:rPr>
      </w:pPr>
      <w:r>
        <w:rPr>
          <w:rFonts w:hint="eastAsia" w:ascii="宋体" w:hAnsi="宋体" w:cs="宋体"/>
          <w:b/>
          <w:color w:val="auto"/>
          <w:sz w:val="24"/>
        </w:rPr>
        <w:t>三、获取</w:t>
      </w:r>
      <w:r>
        <w:rPr>
          <w:rFonts w:hint="eastAsia" w:ascii="宋体" w:hAnsi="宋体" w:cs="宋体"/>
          <w:b/>
          <w:color w:val="auto"/>
          <w:sz w:val="24"/>
          <w:lang w:eastAsia="zh-CN"/>
        </w:rPr>
        <w:t>交易文件</w:t>
      </w:r>
      <w:r>
        <w:rPr>
          <w:rFonts w:hint="eastAsia" w:ascii="宋体" w:hAnsi="宋体" w:cs="宋体"/>
          <w:b/>
          <w:color w:val="auto"/>
          <w:sz w:val="24"/>
        </w:rPr>
        <w:t xml:space="preserve"> </w:t>
      </w:r>
    </w:p>
    <w:p w14:paraId="44DE7AF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1F33E44">
      <w:pPr>
        <w:snapToGrid w:val="0"/>
        <w:spacing w:before="0" w:beforeAutospacing="0" w:after="0" w:afterAutospacing="0" w:line="440" w:lineRule="exact"/>
        <w:ind w:firstLine="482" w:firstLineChars="200"/>
        <w:jc w:val="both"/>
        <w:textAlignment w:val="baseline"/>
        <w:rPr>
          <w:rStyle w:val="966"/>
          <w:rFonts w:ascii="宋体" w:hAnsi="宋体"/>
          <w:b w:val="0"/>
          <w:i w:val="0"/>
          <w:caps w:val="0"/>
          <w:color w:val="auto"/>
          <w:spacing w:val="0"/>
          <w:w w:val="100"/>
          <w:kern w:val="2"/>
          <w:sz w:val="24"/>
          <w:szCs w:val="24"/>
          <w:highlight w:val="none"/>
          <w:lang w:val="en-US" w:eastAsia="zh-CN" w:bidi="ar-SA"/>
        </w:rPr>
      </w:pPr>
      <w:r>
        <w:rPr>
          <w:rStyle w:val="966"/>
          <w:rFonts w:ascii="宋体" w:hAnsi="宋体"/>
          <w:b/>
          <w:i w:val="0"/>
          <w:caps w:val="0"/>
          <w:color w:val="auto"/>
          <w:spacing w:val="0"/>
          <w:w w:val="100"/>
          <w:kern w:val="2"/>
          <w:sz w:val="24"/>
          <w:szCs w:val="24"/>
          <w:highlight w:val="none"/>
          <w:lang w:val="en-US" w:eastAsia="zh-CN" w:bidi="ar-SA"/>
        </w:rPr>
        <w:t>地点（网址）：</w:t>
      </w:r>
      <w:r>
        <w:rPr>
          <w:rStyle w:val="966"/>
          <w:rFonts w:hint="eastAsia" w:ascii="宋体" w:hAnsi="宋体"/>
          <w:b w:val="0"/>
          <w:i w:val="0"/>
          <w:caps w:val="0"/>
          <w:color w:val="auto"/>
          <w:spacing w:val="0"/>
          <w:w w:val="100"/>
          <w:kern w:val="2"/>
          <w:sz w:val="24"/>
          <w:szCs w:val="24"/>
          <w:highlight w:val="none"/>
          <w:lang w:val="en-US" w:eastAsia="zh-CN" w:bidi="ar-SA"/>
        </w:rPr>
        <w:t>乐</w:t>
      </w:r>
      <w:r>
        <w:rPr>
          <w:rStyle w:val="966"/>
          <w:rFonts w:ascii="宋体" w:hAnsi="宋体"/>
          <w:b w:val="0"/>
          <w:i w:val="0"/>
          <w:caps w:val="0"/>
          <w:color w:val="auto"/>
          <w:spacing w:val="0"/>
          <w:w w:val="100"/>
          <w:kern w:val="2"/>
          <w:sz w:val="24"/>
          <w:szCs w:val="24"/>
          <w:highlight w:val="none"/>
          <w:lang w:val="en-US" w:eastAsia="zh-CN" w:bidi="ar-SA"/>
        </w:rPr>
        <w:t>采云平台（</w:t>
      </w:r>
      <w:r>
        <w:rPr>
          <w:rStyle w:val="966"/>
          <w:rFonts w:ascii="宋体" w:hAnsi="宋体" w:eastAsia="宋体"/>
          <w:b w:val="0"/>
          <w:bCs w:val="0"/>
          <w:i w:val="0"/>
          <w:iCs w:val="0"/>
          <w:caps w:val="0"/>
          <w:color w:val="auto"/>
          <w:spacing w:val="0"/>
          <w:w w:val="100"/>
          <w:kern w:val="2"/>
          <w:sz w:val="24"/>
          <w:szCs w:val="24"/>
          <w:highlight w:val="none"/>
          <w:lang w:val="en-US" w:eastAsia="zh-CN" w:bidi="ar-SA"/>
        </w:rPr>
        <w:t>https://www.lecaiyun.com/</w:t>
      </w:r>
      <w:r>
        <w:rPr>
          <w:rStyle w:val="966"/>
          <w:rFonts w:ascii="宋体" w:hAnsi="宋体"/>
          <w:b w:val="0"/>
          <w:i w:val="0"/>
          <w:caps w:val="0"/>
          <w:color w:val="auto"/>
          <w:spacing w:val="0"/>
          <w:w w:val="100"/>
          <w:kern w:val="2"/>
          <w:sz w:val="24"/>
          <w:szCs w:val="24"/>
          <w:highlight w:val="none"/>
          <w:lang w:val="en-US" w:eastAsia="zh-CN" w:bidi="ar-SA"/>
        </w:rPr>
        <w:t xml:space="preserve">） </w:t>
      </w:r>
    </w:p>
    <w:p w14:paraId="1A003B0E">
      <w:pPr>
        <w:snapToGrid w:val="0"/>
        <w:spacing w:before="0" w:beforeAutospacing="0" w:after="0" w:afterAutospacing="0" w:line="440" w:lineRule="exact"/>
        <w:ind w:firstLine="482" w:firstLineChars="200"/>
        <w:jc w:val="both"/>
        <w:textAlignment w:val="baseline"/>
        <w:rPr>
          <w:rStyle w:val="966"/>
          <w:rFonts w:ascii="宋体" w:hAnsi="宋体"/>
          <w:b w:val="0"/>
          <w:i w:val="0"/>
          <w:caps w:val="0"/>
          <w:color w:val="auto"/>
          <w:spacing w:val="0"/>
          <w:w w:val="100"/>
          <w:kern w:val="2"/>
          <w:sz w:val="24"/>
          <w:szCs w:val="24"/>
          <w:highlight w:val="none"/>
          <w:lang w:val="en-US" w:eastAsia="zh-CN" w:bidi="ar-SA"/>
        </w:rPr>
      </w:pPr>
      <w:r>
        <w:rPr>
          <w:rStyle w:val="966"/>
          <w:rFonts w:ascii="宋体" w:hAnsi="宋体"/>
          <w:b/>
          <w:i w:val="0"/>
          <w:caps w:val="0"/>
          <w:color w:val="auto"/>
          <w:spacing w:val="0"/>
          <w:w w:val="100"/>
          <w:kern w:val="2"/>
          <w:sz w:val="24"/>
          <w:szCs w:val="24"/>
          <w:highlight w:val="none"/>
          <w:lang w:val="en-US" w:eastAsia="zh-CN" w:bidi="ar-SA"/>
        </w:rPr>
        <w:t>方式：</w:t>
      </w:r>
      <w:r>
        <w:rPr>
          <w:rStyle w:val="966"/>
          <w:rFonts w:ascii="宋体" w:hAnsi="宋体"/>
          <w:b w:val="0"/>
          <w:i w:val="0"/>
          <w:caps w:val="0"/>
          <w:color w:val="auto"/>
          <w:spacing w:val="0"/>
          <w:w w:val="100"/>
          <w:kern w:val="2"/>
          <w:sz w:val="24"/>
          <w:szCs w:val="24"/>
          <w:highlight w:val="none"/>
          <w:lang w:val="en-US" w:eastAsia="zh-CN" w:bidi="ar-SA"/>
        </w:rPr>
        <w:t>供应商登录</w:t>
      </w:r>
      <w:r>
        <w:rPr>
          <w:rStyle w:val="966"/>
          <w:rFonts w:hint="eastAsia" w:ascii="宋体" w:hAnsi="宋体"/>
          <w:b w:val="0"/>
          <w:i w:val="0"/>
          <w:caps w:val="0"/>
          <w:color w:val="auto"/>
          <w:spacing w:val="0"/>
          <w:w w:val="100"/>
          <w:kern w:val="2"/>
          <w:sz w:val="24"/>
          <w:szCs w:val="24"/>
          <w:highlight w:val="none"/>
          <w:lang w:val="en-US" w:eastAsia="zh-CN" w:bidi="ar-SA"/>
        </w:rPr>
        <w:t>乐</w:t>
      </w:r>
      <w:r>
        <w:rPr>
          <w:rStyle w:val="966"/>
          <w:rFonts w:ascii="宋体" w:hAnsi="宋体"/>
          <w:b w:val="0"/>
          <w:i w:val="0"/>
          <w:caps w:val="0"/>
          <w:color w:val="auto"/>
          <w:spacing w:val="0"/>
          <w:w w:val="100"/>
          <w:kern w:val="2"/>
          <w:sz w:val="24"/>
          <w:szCs w:val="24"/>
          <w:highlight w:val="none"/>
          <w:lang w:val="en-US" w:eastAsia="zh-CN" w:bidi="ar-SA"/>
        </w:rPr>
        <w:t>采云平台</w:t>
      </w:r>
      <w:r>
        <w:rPr>
          <w:rStyle w:val="966"/>
          <w:rFonts w:ascii="宋体" w:hAnsi="宋体" w:eastAsia="宋体"/>
          <w:b w:val="0"/>
          <w:bCs w:val="0"/>
          <w:i w:val="0"/>
          <w:iCs w:val="0"/>
          <w:caps w:val="0"/>
          <w:color w:val="auto"/>
          <w:spacing w:val="0"/>
          <w:w w:val="100"/>
          <w:kern w:val="2"/>
          <w:sz w:val="24"/>
          <w:szCs w:val="24"/>
          <w:highlight w:val="none"/>
          <w:lang w:val="en-US" w:eastAsia="zh-CN" w:bidi="ar-SA"/>
        </w:rPr>
        <w:t>https://www.lecaiyun.com/</w:t>
      </w:r>
      <w:r>
        <w:rPr>
          <w:rStyle w:val="966"/>
          <w:rFonts w:ascii="宋体" w:hAnsi="宋体"/>
          <w:b w:val="0"/>
          <w:i w:val="0"/>
          <w:caps w:val="0"/>
          <w:color w:val="auto"/>
          <w:spacing w:val="0"/>
          <w:w w:val="100"/>
          <w:kern w:val="2"/>
          <w:sz w:val="24"/>
          <w:szCs w:val="24"/>
          <w:highlight w:val="none"/>
          <w:lang w:val="en-US" w:eastAsia="zh-CN" w:bidi="ar-SA"/>
        </w:rPr>
        <w:t xml:space="preserve">在线申请获取采购文件（进入“项目采购”应用，在获取采购文件菜单中选择项目，申请获取采购文件）。 </w:t>
      </w:r>
    </w:p>
    <w:p w14:paraId="239BA278">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A901513">
      <w:pPr>
        <w:spacing w:line="360" w:lineRule="auto"/>
        <w:rPr>
          <w:rFonts w:ascii="宋体" w:hAnsi="宋体" w:cs="宋体"/>
          <w:b/>
          <w:color w:val="auto"/>
          <w:sz w:val="24"/>
        </w:rPr>
      </w:pPr>
      <w:r>
        <w:rPr>
          <w:rFonts w:hint="eastAsia" w:ascii="宋体" w:hAnsi="宋体" w:cs="宋体"/>
          <w:b/>
          <w:color w:val="auto"/>
          <w:sz w:val="24"/>
        </w:rPr>
        <w:t>四、提交</w:t>
      </w:r>
      <w:r>
        <w:rPr>
          <w:rFonts w:hint="eastAsia" w:ascii="宋体" w:hAnsi="宋体" w:cs="宋体"/>
          <w:b/>
          <w:color w:val="auto"/>
          <w:sz w:val="24"/>
          <w:lang w:eastAsia="zh-CN"/>
        </w:rPr>
        <w:t>响应文件</w:t>
      </w:r>
      <w:r>
        <w:rPr>
          <w:rFonts w:hint="eastAsia" w:ascii="宋体" w:hAnsi="宋体" w:cs="宋体"/>
          <w:b/>
          <w:color w:val="auto"/>
          <w:sz w:val="24"/>
        </w:rPr>
        <w:t>截止时间、开标时间和地点</w:t>
      </w:r>
    </w:p>
    <w:p w14:paraId="140B1D15">
      <w:pPr>
        <w:spacing w:line="360" w:lineRule="auto"/>
        <w:ind w:firstLine="482" w:firstLineChars="200"/>
        <w:rPr>
          <w:rFonts w:ascii="宋体" w:hAnsi="宋体" w:cs="宋体"/>
          <w:color w:val="auto"/>
          <w:sz w:val="24"/>
        </w:rPr>
      </w:pPr>
      <w:r>
        <w:rPr>
          <w:rFonts w:hint="eastAsia" w:ascii="宋体" w:hAnsi="宋体" w:cs="宋体"/>
          <w:b/>
          <w:color w:val="auto"/>
          <w:sz w:val="24"/>
        </w:rPr>
        <w:t>提交</w:t>
      </w:r>
      <w:r>
        <w:rPr>
          <w:rFonts w:hint="eastAsia" w:ascii="宋体" w:hAnsi="宋体" w:cs="宋体"/>
          <w:b/>
          <w:color w:val="auto"/>
          <w:sz w:val="24"/>
          <w:lang w:eastAsia="zh-CN"/>
        </w:rPr>
        <w:t>响应文件</w:t>
      </w: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5E6F1A1B">
      <w:pPr>
        <w:spacing w:line="360" w:lineRule="auto"/>
        <w:ind w:firstLine="482" w:firstLineChars="200"/>
        <w:rPr>
          <w:rFonts w:ascii="宋体" w:hAnsi="宋体" w:cs="宋体"/>
          <w:b/>
          <w:color w:val="auto"/>
          <w:sz w:val="24"/>
        </w:rPr>
      </w:pPr>
      <w:r>
        <w:rPr>
          <w:rFonts w:hint="eastAsia" w:ascii="宋体" w:hAnsi="宋体" w:cs="宋体"/>
          <w:b/>
          <w:color w:val="auto"/>
          <w:sz w:val="24"/>
          <w:lang w:eastAsia="zh-CN"/>
        </w:rPr>
        <w:t>响应</w:t>
      </w:r>
      <w:r>
        <w:rPr>
          <w:rFonts w:hint="eastAsia" w:ascii="宋体" w:hAnsi="宋体" w:cs="宋体"/>
          <w:b/>
          <w:color w:val="auto"/>
          <w:sz w:val="24"/>
        </w:rPr>
        <w:t>地点（网址）：</w:t>
      </w:r>
      <w:r>
        <w:rPr>
          <w:rFonts w:hint="eastAsia" w:ascii="宋体" w:hAnsi="宋体" w:cs="宋体"/>
          <w:color w:val="auto"/>
          <w:sz w:val="24"/>
          <w:lang w:eastAsia="zh-CN"/>
        </w:rPr>
        <w:t>乐采云平台（https://www.lecaiyun.com/）</w:t>
      </w:r>
      <w:r>
        <w:rPr>
          <w:rFonts w:hint="eastAsia" w:ascii="宋体" w:hAnsi="宋体" w:cs="宋体"/>
          <w:color w:val="auto"/>
          <w:sz w:val="24"/>
        </w:rPr>
        <w:t xml:space="preserve"> </w:t>
      </w:r>
    </w:p>
    <w:p w14:paraId="7721D122">
      <w:pPr>
        <w:spacing w:line="360" w:lineRule="auto"/>
        <w:ind w:firstLine="482" w:firstLineChars="200"/>
        <w:rPr>
          <w:rFonts w:ascii="宋体" w:hAnsi="宋体" w:cs="宋体"/>
          <w:bCs/>
          <w:color w:val="auto"/>
          <w:sz w:val="24"/>
          <w:u w:val="single"/>
        </w:rPr>
      </w:pPr>
      <w:r>
        <w:rPr>
          <w:rFonts w:hint="eastAsia" w:ascii="宋体" w:hAnsi="宋体" w:cs="宋体"/>
          <w:b/>
          <w:color w:val="auto"/>
          <w:sz w:val="24"/>
          <w:lang w:val="en-US" w:eastAsia="zh-CN"/>
        </w:rPr>
        <w:t>交易</w:t>
      </w:r>
      <w:r>
        <w:rPr>
          <w:rFonts w:hint="eastAsia" w:ascii="宋体" w:hAnsi="宋体" w:cs="宋体"/>
          <w:b/>
          <w:color w:val="auto"/>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70D3B8ED">
      <w:pPr>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lang w:val="en-US" w:eastAsia="zh-CN"/>
        </w:rPr>
        <w:t>交易</w:t>
      </w:r>
      <w:r>
        <w:rPr>
          <w:rFonts w:hint="eastAsia" w:ascii="宋体" w:hAnsi="宋体" w:cs="宋体"/>
          <w:b/>
          <w:color w:val="auto"/>
          <w:sz w:val="24"/>
        </w:rPr>
        <w:t>地点（网址）：</w:t>
      </w:r>
      <w:r>
        <w:rPr>
          <w:rFonts w:hint="eastAsia" w:ascii="宋体" w:hAnsi="宋体" w:cs="宋体"/>
          <w:color w:val="auto"/>
          <w:sz w:val="24"/>
          <w:lang w:eastAsia="zh-CN"/>
        </w:rPr>
        <w:t>乐采云平台（https://www.lecaiyun.com/）</w:t>
      </w:r>
    </w:p>
    <w:p w14:paraId="476B764C">
      <w:pPr>
        <w:spacing w:line="360" w:lineRule="auto"/>
        <w:rPr>
          <w:rFonts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、其他补充事宜</w:t>
      </w:r>
    </w:p>
    <w:p w14:paraId="5C966F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使自己的权益受到损害的，可以自获取</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6248F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招投标</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）”进行招投标活动，不接受纸质响应文件；②</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准备：注册账号--点击“商家入驻”，进行供应商资料填写；申领CA数字证书---申领流程详见“</w:t>
      </w:r>
      <w:r>
        <w:rPr>
          <w:rStyle w:val="966"/>
          <w:rFonts w:ascii="宋体" w:hAnsi="宋体"/>
          <w:b w:val="0"/>
          <w:i w:val="0"/>
          <w:caps w:val="0"/>
          <w:color w:val="auto"/>
          <w:spacing w:val="0"/>
          <w:w w:val="100"/>
          <w:kern w:val="2"/>
          <w:sz w:val="24"/>
          <w:szCs w:val="24"/>
          <w:highlight w:val="none"/>
          <w:lang w:val="en-US" w:eastAsia="zh-CN" w:bidi="ar-SA"/>
        </w:rPr>
        <w:t>浙江政府采购网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Style w:val="966"/>
          <w:rFonts w:ascii="宋体" w:hAnsi="宋体"/>
          <w:b w:val="0"/>
          <w:i w:val="0"/>
          <w:caps w:val="0"/>
          <w:color w:val="auto"/>
          <w:spacing w:val="0"/>
          <w:w w:val="100"/>
          <w:kern w:val="2"/>
          <w:sz w:val="24"/>
          <w:szCs w:val="24"/>
          <w:highlight w:val="none"/>
          <w:lang w:val="en-US" w:eastAsia="zh-CN" w:bidi="ar-SA"/>
        </w:rPr>
        <w:t>浙江政府采购网</w:t>
      </w:r>
      <w:r>
        <w:rPr>
          <w:rFonts w:hint="eastAsia" w:ascii="宋体" w:hAnsi="宋体" w:eastAsia="宋体" w:cs="宋体"/>
          <w:color w:val="auto"/>
          <w:sz w:val="24"/>
          <w:highlight w:val="none"/>
        </w:rPr>
        <w:t>-下载专区-电子交易客户端”进行下载并安装；③</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菜单中选择项目，获取</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的响应人进行投标活动； ⑥对未按上述方式获取</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的响应人对该文件提出的异议，交易发起人或代理机构将不予处理；⑦不提供</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“服务中心-帮助文档-项目采购-操作流程-电子招投标-项目电子交易管理操作指南-供应商”。</w:t>
      </w:r>
    </w:p>
    <w:p w14:paraId="4A83AB01">
      <w:pPr>
        <w:spacing w:line="360" w:lineRule="auto"/>
        <w:rPr>
          <w:rFonts w:ascii="宋体" w:hAnsi="宋体" w:cs="宋体"/>
          <w:b/>
          <w:color w:val="auto"/>
          <w:sz w:val="24"/>
        </w:rPr>
      </w:pPr>
      <w:r>
        <w:rPr>
          <w:rFonts w:hint="eastAsia" w:ascii="宋体" w:hAnsi="宋体" w:cs="宋体"/>
          <w:b/>
          <w:color w:val="auto"/>
          <w:sz w:val="24"/>
          <w:lang w:val="en-US" w:eastAsia="zh-CN"/>
        </w:rPr>
        <w:t>六</w:t>
      </w:r>
      <w:r>
        <w:rPr>
          <w:rFonts w:hint="eastAsia" w:ascii="宋体" w:hAnsi="宋体" w:cs="宋体"/>
          <w:b/>
          <w:color w:val="auto"/>
          <w:sz w:val="24"/>
        </w:rPr>
        <w:t>、对本次采购提出询问、质疑、投诉，请按以下方式联系</w:t>
      </w:r>
    </w:p>
    <w:p w14:paraId="62E9F5F7">
      <w:pPr>
        <w:spacing w:line="360" w:lineRule="auto"/>
        <w:rPr>
          <w:rFonts w:ascii="宋体" w:hAnsi="宋体" w:cs="宋体"/>
          <w:color w:val="auto"/>
          <w:sz w:val="24"/>
        </w:rPr>
      </w:pPr>
      <w:r>
        <w:rPr>
          <w:rFonts w:hint="eastAsia" w:ascii="宋体" w:hAnsi="宋体" w:cs="宋体"/>
          <w:color w:val="auto"/>
          <w:sz w:val="24"/>
        </w:rPr>
        <w:t xml:space="preserve">    1.</w:t>
      </w:r>
      <w:r>
        <w:rPr>
          <w:rFonts w:hint="eastAsia" w:ascii="宋体" w:hAnsi="宋体" w:cs="宋体"/>
          <w:color w:val="auto"/>
          <w:sz w:val="24"/>
          <w:lang w:val="en-US" w:eastAsia="zh-CN"/>
        </w:rPr>
        <w:t>交易发起人</w:t>
      </w:r>
      <w:r>
        <w:rPr>
          <w:rFonts w:hint="eastAsia" w:ascii="宋体" w:hAnsi="宋体" w:cs="宋体"/>
          <w:color w:val="auto"/>
          <w:sz w:val="24"/>
        </w:rPr>
        <w:t>信息</w:t>
      </w:r>
    </w:p>
    <w:p w14:paraId="597BFE7E">
      <w:pPr>
        <w:spacing w:line="360" w:lineRule="auto"/>
        <w:rPr>
          <w:rFonts w:ascii="宋体" w:hAnsi="宋体" w:cs="宋体"/>
          <w:color w:val="auto"/>
          <w:sz w:val="24"/>
        </w:rPr>
      </w:pPr>
      <w:r>
        <w:rPr>
          <w:rFonts w:hint="eastAsia" w:ascii="宋体" w:hAnsi="宋体" w:cs="宋体"/>
          <w:color w:val="auto"/>
          <w:sz w:val="24"/>
        </w:rPr>
        <w:t xml:space="preserve">    名称：</w:t>
      </w:r>
      <w:r>
        <w:rPr>
          <w:rFonts w:hint="eastAsia" w:ascii="宋体" w:hAnsi="宋体" w:cs="宋体"/>
          <w:color w:val="auto"/>
          <w:sz w:val="24"/>
          <w:lang w:eastAsia="zh-CN"/>
        </w:rPr>
        <w:t>杭州市规划和自然资源局萧山分局</w:t>
      </w:r>
      <w:r>
        <w:rPr>
          <w:rFonts w:hint="eastAsia" w:ascii="宋体" w:hAnsi="宋体" w:cs="宋体"/>
          <w:color w:val="auto"/>
          <w:sz w:val="24"/>
        </w:rPr>
        <w:t xml:space="preserve"> </w:t>
      </w:r>
    </w:p>
    <w:p w14:paraId="50001840">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地址：</w:t>
      </w:r>
      <w:r>
        <w:rPr>
          <w:rFonts w:hint="eastAsia" w:ascii="宋体" w:hAnsi="宋体" w:cs="宋体"/>
          <w:color w:val="auto"/>
          <w:sz w:val="24"/>
          <w:highlight w:val="none"/>
          <w:lang w:val="en-US" w:eastAsia="zh-CN"/>
        </w:rPr>
        <w:t>萧山区育才北路508号</w:t>
      </w:r>
    </w:p>
    <w:p w14:paraId="2C6BB1E6">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陶先生</w:t>
      </w:r>
    </w:p>
    <w:p w14:paraId="2017EE9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0571-82727021</w:t>
      </w:r>
    </w:p>
    <w:p w14:paraId="4B1BA1D2">
      <w:pPr>
        <w:spacing w:line="360" w:lineRule="auto"/>
        <w:rPr>
          <w:rFonts w:ascii="宋体" w:hAnsi="宋体" w:cs="宋体"/>
          <w:color w:val="auto"/>
          <w:sz w:val="24"/>
        </w:rPr>
      </w:pPr>
      <w:r>
        <w:rPr>
          <w:rFonts w:hint="eastAsia" w:ascii="宋体" w:hAnsi="宋体" w:cs="宋体"/>
          <w:color w:val="auto"/>
          <w:sz w:val="24"/>
        </w:rPr>
        <w:t xml:space="preserve">    2.</w:t>
      </w:r>
      <w:r>
        <w:rPr>
          <w:rFonts w:hint="eastAsia" w:ascii="宋体" w:hAnsi="宋体" w:cs="宋体"/>
          <w:color w:val="auto"/>
          <w:sz w:val="24"/>
          <w:lang w:eastAsia="zh-CN"/>
        </w:rPr>
        <w:t>代理机构</w:t>
      </w:r>
      <w:r>
        <w:rPr>
          <w:rFonts w:hint="eastAsia" w:ascii="宋体" w:hAnsi="宋体" w:cs="宋体"/>
          <w:color w:val="auto"/>
          <w:sz w:val="24"/>
        </w:rPr>
        <w:t xml:space="preserve">信息            </w:t>
      </w:r>
    </w:p>
    <w:p w14:paraId="183E81CF">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名 称：</w:t>
      </w:r>
      <w:r>
        <w:rPr>
          <w:rFonts w:hint="eastAsia" w:ascii="宋体" w:hAnsi="宋体" w:cs="宋体"/>
          <w:color w:val="auto"/>
          <w:sz w:val="24"/>
          <w:szCs w:val="28"/>
          <w:highlight w:val="none"/>
          <w:lang w:eastAsia="zh-CN"/>
        </w:rPr>
        <w:t>浙江萧审建设管理咨询有限公司</w:t>
      </w:r>
    </w:p>
    <w:p w14:paraId="16DEF1A8">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地址：</w:t>
      </w:r>
      <w:r>
        <w:rPr>
          <w:rFonts w:hint="eastAsia" w:ascii="宋体" w:hAnsi="宋体" w:cs="宋体"/>
          <w:color w:val="auto"/>
          <w:sz w:val="24"/>
          <w:szCs w:val="28"/>
          <w:highlight w:val="none"/>
          <w:lang w:eastAsia="zh-CN"/>
        </w:rPr>
        <w:t>杭州市萧山区金城路560号心意广场2幢10楼</w:t>
      </w:r>
    </w:p>
    <w:p w14:paraId="384E5FEA">
      <w:pPr>
        <w:spacing w:line="360" w:lineRule="auto"/>
        <w:ind w:firstLine="480"/>
        <w:rPr>
          <w:rFonts w:hint="eastAsia" w:ascii="宋体" w:hAnsi="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徐工</w:t>
      </w:r>
    </w:p>
    <w:p w14:paraId="388F8E17">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w:t>
      </w:r>
      <w:r>
        <w:rPr>
          <w:rFonts w:hint="eastAsia" w:ascii="宋体" w:hAnsi="宋体" w:cs="宋体"/>
          <w:color w:val="auto"/>
          <w:sz w:val="24"/>
          <w:lang w:val="en-US" w:eastAsia="zh-CN"/>
        </w:rPr>
        <w:t>15968806810</w:t>
      </w:r>
    </w:p>
    <w:p w14:paraId="59B7D4E1">
      <w:pPr>
        <w:spacing w:line="360" w:lineRule="auto"/>
        <w:ind w:firstLine="480"/>
        <w:rPr>
          <w:rFonts w:ascii="宋体" w:hAnsi="宋体" w:cs="宋体"/>
          <w:color w:val="auto"/>
          <w:sz w:val="24"/>
        </w:rPr>
      </w:pPr>
    </w:p>
    <w:p w14:paraId="53BB1A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服务热线95763获取热线服务帮助。</w:t>
      </w:r>
    </w:p>
    <w:p w14:paraId="22EAF4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F6FEBF0">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5CB8E262">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w:t>
      </w:r>
      <w:r>
        <w:rPr>
          <w:rFonts w:hint="eastAsia" w:ascii="宋体" w:hAnsi="宋体" w:cs="宋体"/>
          <w:b/>
          <w:color w:val="auto"/>
          <w:sz w:val="36"/>
          <w:szCs w:val="20"/>
          <w:lang w:eastAsia="zh-CN"/>
        </w:rPr>
        <w:t>供应商</w:t>
      </w:r>
      <w:r>
        <w:rPr>
          <w:rFonts w:hint="eastAsia" w:ascii="宋体" w:hAnsi="宋体" w:cs="宋体"/>
          <w:b/>
          <w:color w:val="auto"/>
          <w:sz w:val="36"/>
          <w:szCs w:val="20"/>
        </w:rPr>
        <w:t>须知</w:t>
      </w:r>
      <w:bookmarkEnd w:id="9"/>
    </w:p>
    <w:p w14:paraId="1B1CDC9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697" w:type="dxa"/>
        <w:tblInd w:w="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29"/>
        <w:gridCol w:w="1968"/>
        <w:gridCol w:w="6100"/>
      </w:tblGrid>
      <w:tr w14:paraId="5E0E1D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66"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14:paraId="1E35E9A6">
            <w:pPr>
              <w:snapToGrid w:val="0"/>
              <w:spacing w:before="0" w:beforeAutospacing="0" w:after="0" w:afterAutospacing="0" w:line="36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序号</w:t>
            </w:r>
          </w:p>
        </w:tc>
        <w:tc>
          <w:tcPr>
            <w:tcW w:w="1968" w:type="dxa"/>
            <w:tcBorders>
              <w:top w:val="single" w:color="000000" w:sz="8" w:space="0"/>
              <w:left w:val="single" w:color="000000" w:sz="4" w:space="0"/>
              <w:bottom w:val="single" w:color="000000" w:sz="8" w:space="0"/>
              <w:right w:val="single" w:color="000000" w:sz="8" w:space="0"/>
            </w:tcBorders>
            <w:vAlign w:val="center"/>
          </w:tcPr>
          <w:p w14:paraId="4FEFE20F">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事项</w:t>
            </w:r>
          </w:p>
        </w:tc>
        <w:tc>
          <w:tcPr>
            <w:tcW w:w="6100" w:type="dxa"/>
            <w:tcBorders>
              <w:top w:val="single" w:color="000000" w:sz="8" w:space="0"/>
              <w:left w:val="single" w:color="000000" w:sz="2" w:space="0"/>
              <w:bottom w:val="single" w:color="000000" w:sz="8" w:space="0"/>
              <w:right w:val="single" w:color="000000" w:sz="8" w:space="0"/>
            </w:tcBorders>
            <w:vAlign w:val="center"/>
          </w:tcPr>
          <w:p w14:paraId="32CA7B1A">
            <w:pPr>
              <w:snapToGrid w:val="0"/>
              <w:spacing w:before="0" w:beforeAutospacing="0" w:after="0" w:afterAutospacing="0" w:line="36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本项目的特别规定</w:t>
            </w:r>
          </w:p>
        </w:tc>
      </w:tr>
      <w:tr w14:paraId="0EA98A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1"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14:paraId="78BA386D">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p>
          <w:p w14:paraId="15BFED19">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1</w:t>
            </w:r>
          </w:p>
        </w:tc>
        <w:tc>
          <w:tcPr>
            <w:tcW w:w="1968" w:type="dxa"/>
            <w:tcBorders>
              <w:top w:val="single" w:color="000000" w:sz="8" w:space="0"/>
              <w:left w:val="single" w:color="000000" w:sz="4" w:space="0"/>
              <w:bottom w:val="single" w:color="000000" w:sz="8" w:space="0"/>
              <w:right w:val="single" w:color="000000" w:sz="8" w:space="0"/>
            </w:tcBorders>
            <w:vAlign w:val="center"/>
          </w:tcPr>
          <w:p w14:paraId="16C8EE0B">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项目属性</w:t>
            </w:r>
          </w:p>
        </w:tc>
        <w:tc>
          <w:tcPr>
            <w:tcW w:w="6100" w:type="dxa"/>
            <w:tcBorders>
              <w:top w:val="single" w:color="000000" w:sz="8" w:space="0"/>
              <w:left w:val="single" w:color="000000" w:sz="2" w:space="0"/>
              <w:bottom w:val="single" w:color="000000" w:sz="8" w:space="0"/>
              <w:right w:val="single" w:color="000000" w:sz="8" w:space="0"/>
            </w:tcBorders>
            <w:vAlign w:val="center"/>
          </w:tcPr>
          <w:p w14:paraId="75B7E0CA">
            <w:pPr>
              <w:snapToGrid w:val="0"/>
              <w:spacing w:before="0" w:beforeAutospacing="0" w:after="0" w:afterAutospacing="0" w:line="360" w:lineRule="auto"/>
              <w:jc w:val="both"/>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0"/>
                <w:sz w:val="24"/>
                <w:szCs w:val="24"/>
                <w:highlight w:val="none"/>
                <w:lang w:val="en-US" w:eastAsia="zh-CN" w:bidi="ar-SA"/>
              </w:rPr>
              <w:t>(</w:t>
            </w:r>
            <w:r>
              <w:rPr>
                <w:rStyle w:val="966"/>
                <w:rFonts w:hint="eastAsia" w:ascii="宋体" w:hAnsi="宋体" w:eastAsia="宋体" w:cs="宋体"/>
                <w:b/>
                <w:i w:val="0"/>
                <w:caps w:val="0"/>
                <w:color w:val="auto"/>
                <w:spacing w:val="0"/>
                <w:w w:val="100"/>
                <w:kern w:val="2"/>
                <w:sz w:val="24"/>
                <w:szCs w:val="24"/>
                <w:highlight w:val="none"/>
                <w:lang w:val="en-US" w:eastAsia="zh-CN" w:bidi="ar-SA"/>
              </w:rPr>
              <w:t xml:space="preserve">√ </w:t>
            </w:r>
            <w:r>
              <w:rPr>
                <w:rStyle w:val="966"/>
                <w:rFonts w:hint="eastAsia" w:ascii="宋体" w:hAnsi="宋体" w:eastAsia="宋体" w:cs="宋体"/>
                <w:b w:val="0"/>
                <w:i w:val="0"/>
                <w:caps w:val="0"/>
                <w:color w:val="auto"/>
                <w:spacing w:val="0"/>
                <w:w w:val="100"/>
                <w:kern w:val="0"/>
                <w:sz w:val="24"/>
                <w:szCs w:val="24"/>
                <w:highlight w:val="none"/>
                <w:lang w:val="en-US" w:eastAsia="zh-CN" w:bidi="ar-SA"/>
              </w:rPr>
              <w:t>)B</w:t>
            </w:r>
            <w:r>
              <w:rPr>
                <w:rStyle w:val="966"/>
                <w:rFonts w:hint="eastAsia" w:ascii="宋体" w:hAnsi="宋体" w:eastAsia="宋体" w:cs="宋体"/>
                <w:b w:val="0"/>
                <w:i w:val="0"/>
                <w:caps w:val="0"/>
                <w:color w:val="auto"/>
                <w:spacing w:val="0"/>
                <w:w w:val="100"/>
                <w:kern w:val="2"/>
                <w:sz w:val="24"/>
                <w:szCs w:val="24"/>
                <w:highlight w:val="none"/>
                <w:lang w:val="en-US" w:eastAsia="zh-CN" w:bidi="ar-SA"/>
              </w:rPr>
              <w:t>服务类。</w:t>
            </w:r>
          </w:p>
        </w:tc>
      </w:tr>
      <w:tr w14:paraId="472EA7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05"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14:paraId="34B466B7">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p>
          <w:p w14:paraId="25387749">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2</w:t>
            </w:r>
          </w:p>
        </w:tc>
        <w:tc>
          <w:tcPr>
            <w:tcW w:w="1968" w:type="dxa"/>
            <w:tcBorders>
              <w:top w:val="single" w:color="000000" w:sz="8" w:space="0"/>
              <w:left w:val="single" w:color="000000" w:sz="4" w:space="0"/>
              <w:bottom w:val="single" w:color="000000" w:sz="8" w:space="0"/>
              <w:right w:val="single" w:color="000000" w:sz="8" w:space="0"/>
            </w:tcBorders>
            <w:vAlign w:val="center"/>
          </w:tcPr>
          <w:p w14:paraId="5CF4CBD4">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采购标的对应的中小企业划分标准所属行业</w:t>
            </w:r>
          </w:p>
        </w:tc>
        <w:tc>
          <w:tcPr>
            <w:tcW w:w="6100" w:type="dxa"/>
            <w:tcBorders>
              <w:top w:val="single" w:color="000000" w:sz="8" w:space="0"/>
              <w:left w:val="single" w:color="000000" w:sz="2" w:space="0"/>
              <w:bottom w:val="single" w:color="000000" w:sz="8" w:space="0"/>
              <w:right w:val="single" w:color="000000" w:sz="8" w:space="0"/>
            </w:tcBorders>
            <w:vAlign w:val="center"/>
          </w:tcPr>
          <w:p w14:paraId="77FA67C8">
            <w:pPr>
              <w:snapToGrid w:val="0"/>
              <w:spacing w:before="0" w:beforeAutospacing="0" w:after="0" w:afterAutospacing="0" w:line="360" w:lineRule="auto"/>
              <w:jc w:val="left"/>
              <w:textAlignment w:val="baseline"/>
              <w:rPr>
                <w:rStyle w:val="966"/>
                <w:rFonts w:hint="eastAsia" w:ascii="宋体" w:hAnsi="宋体" w:eastAsia="宋体" w:cs="宋体"/>
                <w:b w:val="0"/>
                <w:i w:val="0"/>
                <w:caps w:val="0"/>
                <w:color w:val="auto"/>
                <w:spacing w:val="0"/>
                <w:w w:val="100"/>
                <w:kern w:val="0"/>
                <w:sz w:val="24"/>
                <w:szCs w:val="24"/>
                <w:highlight w:val="none"/>
                <w:lang w:val="en-US" w:eastAsia="zh-CN" w:bidi="ar-SA"/>
              </w:rPr>
            </w:pPr>
            <w:r>
              <w:rPr>
                <w:rStyle w:val="966"/>
                <w:rFonts w:hint="eastAsia" w:ascii="宋体" w:hAnsi="宋体" w:eastAsia="宋体" w:cs="宋体"/>
                <w:b w:val="0"/>
                <w:i w:val="0"/>
                <w:caps w:val="0"/>
                <w:color w:val="auto"/>
                <w:spacing w:val="0"/>
                <w:w w:val="100"/>
                <w:kern w:val="0"/>
                <w:sz w:val="24"/>
                <w:szCs w:val="24"/>
                <w:highlight w:val="none"/>
                <w:lang w:val="en-US" w:eastAsia="zh-CN" w:bidi="ar-SA"/>
              </w:rPr>
              <w:t>（1）标的：</w:t>
            </w:r>
            <w:r>
              <w:rPr>
                <w:rStyle w:val="966"/>
                <w:rFonts w:hint="eastAsia" w:ascii="宋体" w:hAnsi="宋体" w:cs="宋体"/>
                <w:b w:val="0"/>
                <w:i w:val="0"/>
                <w:caps w:val="0"/>
                <w:color w:val="auto"/>
                <w:spacing w:val="0"/>
                <w:w w:val="100"/>
                <w:kern w:val="0"/>
                <w:sz w:val="24"/>
                <w:szCs w:val="24"/>
                <w:highlight w:val="none"/>
                <w:u w:val="single"/>
                <w:lang w:val="en-US" w:eastAsia="zh-CN" w:bidi="ar-SA"/>
              </w:rPr>
              <w:t>杭州市规划和自然资源局萧山分局2025-2026年度采购类招标代理预选供应商</w:t>
            </w:r>
            <w:r>
              <w:rPr>
                <w:rStyle w:val="966"/>
                <w:rFonts w:hint="eastAsia" w:ascii="宋体" w:hAnsi="宋体" w:eastAsia="宋体" w:cs="宋体"/>
                <w:b w:val="0"/>
                <w:i w:val="0"/>
                <w:caps w:val="0"/>
                <w:color w:val="auto"/>
                <w:spacing w:val="0"/>
                <w:w w:val="100"/>
                <w:kern w:val="0"/>
                <w:sz w:val="24"/>
                <w:szCs w:val="24"/>
                <w:highlight w:val="none"/>
                <w:lang w:val="en-US" w:eastAsia="zh-CN" w:bidi="ar-SA"/>
              </w:rPr>
              <w:t>，属于</w:t>
            </w:r>
            <w:r>
              <w:rPr>
                <w:rStyle w:val="966"/>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其他未列明 </w:t>
            </w:r>
            <w:r>
              <w:rPr>
                <w:rStyle w:val="966"/>
                <w:rFonts w:hint="eastAsia" w:ascii="宋体" w:hAnsi="宋体" w:eastAsia="宋体" w:cs="宋体"/>
                <w:b w:val="0"/>
                <w:i w:val="0"/>
                <w:caps w:val="0"/>
                <w:color w:val="auto"/>
                <w:spacing w:val="0"/>
                <w:w w:val="100"/>
                <w:kern w:val="0"/>
                <w:sz w:val="24"/>
                <w:szCs w:val="24"/>
                <w:highlight w:val="none"/>
                <w:lang w:val="en-US" w:eastAsia="zh-CN" w:bidi="ar-SA"/>
              </w:rPr>
              <w:t>行业；</w:t>
            </w:r>
          </w:p>
          <w:p w14:paraId="734ED9B0">
            <w:pPr>
              <w:snapToGrid w:val="0"/>
              <w:spacing w:before="0" w:beforeAutospacing="0" w:after="0" w:afterAutospacing="0" w:line="400" w:lineRule="exact"/>
              <w:jc w:val="both"/>
              <w:textAlignment w:val="baseline"/>
              <w:rPr>
                <w:rStyle w:val="966"/>
                <w:rFonts w:hint="eastAsia" w:ascii="宋体" w:hAnsi="宋体" w:eastAsia="宋体" w:cs="宋体"/>
                <w:b w:val="0"/>
                <w:i w:val="0"/>
                <w:caps w:val="0"/>
                <w:color w:val="auto"/>
                <w:spacing w:val="0"/>
                <w:w w:val="100"/>
                <w:kern w:val="0"/>
                <w:sz w:val="24"/>
                <w:szCs w:val="24"/>
                <w:highlight w:val="none"/>
                <w:lang w:val="en-US" w:eastAsia="zh-CN" w:bidi="ar-SA"/>
              </w:rPr>
            </w:pPr>
            <w:r>
              <w:rPr>
                <w:rStyle w:val="966"/>
                <w:rFonts w:hint="eastAsia" w:ascii="宋体" w:hAnsi="宋体" w:eastAsia="宋体" w:cs="宋体"/>
                <w:b w:val="0"/>
                <w:i w:val="0"/>
                <w:caps w:val="0"/>
                <w:color w:val="auto"/>
                <w:spacing w:val="0"/>
                <w:w w:val="100"/>
                <w:kern w:val="0"/>
                <w:sz w:val="24"/>
                <w:szCs w:val="24"/>
                <w:highlight w:val="none"/>
                <w:lang w:val="en-US" w:eastAsia="zh-CN" w:bidi="ar-SA"/>
              </w:rPr>
              <w:t>行业划分标准：</w:t>
            </w:r>
          </w:p>
          <w:p w14:paraId="497E27C0">
            <w:pPr>
              <w:snapToGrid w:val="0"/>
              <w:spacing w:before="0" w:beforeAutospacing="0" w:after="0" w:afterAutospacing="0" w:line="400" w:lineRule="exact"/>
              <w:jc w:val="both"/>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0"/>
                <w:sz w:val="24"/>
                <w:szCs w:val="24"/>
                <w:highlight w:val="none"/>
                <w:lang w:val="en-US" w:eastAsia="zh-CN" w:bidi="ar-SA"/>
              </w:rPr>
              <w:t>《关于印发中小企业划型标准规定的通知》工信部联企业〔2011〕300号</w:t>
            </w:r>
          </w:p>
        </w:tc>
      </w:tr>
      <w:tr w14:paraId="5FE3EA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14:paraId="15197554">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3</w:t>
            </w:r>
          </w:p>
        </w:tc>
        <w:tc>
          <w:tcPr>
            <w:tcW w:w="1968" w:type="dxa"/>
            <w:tcBorders>
              <w:top w:val="single" w:color="000000" w:sz="8" w:space="0"/>
              <w:left w:val="single" w:color="000000" w:sz="4" w:space="0"/>
              <w:bottom w:val="single" w:color="000000" w:sz="8" w:space="0"/>
              <w:right w:val="single" w:color="000000" w:sz="8" w:space="0"/>
            </w:tcBorders>
            <w:vAlign w:val="center"/>
          </w:tcPr>
          <w:p w14:paraId="18525D96">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分包</w:t>
            </w:r>
          </w:p>
        </w:tc>
        <w:tc>
          <w:tcPr>
            <w:tcW w:w="6100" w:type="dxa"/>
            <w:tcBorders>
              <w:top w:val="single" w:color="000000" w:sz="8" w:space="0"/>
              <w:left w:val="single" w:color="000000" w:sz="2" w:space="0"/>
              <w:bottom w:val="single" w:color="000000" w:sz="8" w:space="0"/>
              <w:right w:val="single" w:color="000000" w:sz="8" w:space="0"/>
            </w:tcBorders>
            <w:vAlign w:val="center"/>
          </w:tcPr>
          <w:p w14:paraId="10EC42CE">
            <w:pPr>
              <w:snapToGrid w:val="0"/>
              <w:spacing w:before="0" w:beforeAutospacing="0" w:after="0" w:afterAutospacing="0" w:line="360" w:lineRule="auto"/>
              <w:jc w:val="both"/>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w:t>
            </w:r>
            <w:r>
              <w:rPr>
                <w:rStyle w:val="966"/>
                <w:rFonts w:hint="eastAsia" w:ascii="宋体" w:hAnsi="宋体" w:eastAsia="宋体" w:cs="宋体"/>
                <w:b w:val="0"/>
                <w:i w:val="0"/>
                <w:caps w:val="0"/>
                <w:color w:val="auto"/>
                <w:spacing w:val="0"/>
                <w:w w:val="100"/>
                <w:kern w:val="2"/>
                <w:sz w:val="24"/>
                <w:szCs w:val="24"/>
                <w:highlight w:val="none"/>
                <w:lang w:val="en-US" w:eastAsia="zh-CN" w:bidi="ar-SA"/>
              </w:rPr>
              <w:t>不同意分包。</w:t>
            </w:r>
          </w:p>
        </w:tc>
      </w:tr>
      <w:tr w14:paraId="51AFDC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25"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14:paraId="725F7DE6">
            <w:pPr>
              <w:snapToGrid w:val="0"/>
              <w:spacing w:before="0" w:beforeAutospacing="0" w:after="0" w:afterAutospacing="0" w:line="24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4</w:t>
            </w:r>
          </w:p>
        </w:tc>
        <w:tc>
          <w:tcPr>
            <w:tcW w:w="1968" w:type="dxa"/>
            <w:tcBorders>
              <w:top w:val="single" w:color="000000" w:sz="8" w:space="0"/>
              <w:left w:val="single" w:color="000000" w:sz="4" w:space="0"/>
              <w:bottom w:val="single" w:color="000000" w:sz="8" w:space="0"/>
              <w:right w:val="single" w:color="000000" w:sz="8" w:space="0"/>
            </w:tcBorders>
            <w:vAlign w:val="center"/>
          </w:tcPr>
          <w:p w14:paraId="7F5C9951">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交易前答疑会或现场考察</w:t>
            </w:r>
          </w:p>
        </w:tc>
        <w:tc>
          <w:tcPr>
            <w:tcW w:w="6100" w:type="dxa"/>
            <w:tcBorders>
              <w:top w:val="single" w:color="000000" w:sz="8" w:space="0"/>
              <w:left w:val="single" w:color="000000" w:sz="2" w:space="0"/>
              <w:bottom w:val="single" w:color="000000" w:sz="8" w:space="0"/>
              <w:right w:val="single" w:color="000000" w:sz="8" w:space="0"/>
            </w:tcBorders>
            <w:vAlign w:val="center"/>
          </w:tcPr>
          <w:p w14:paraId="4A7327A8">
            <w:pPr>
              <w:snapToGrid w:val="0"/>
              <w:spacing w:before="0" w:beforeAutospacing="0" w:after="0" w:afterAutospacing="0" w:line="360" w:lineRule="auto"/>
              <w:jc w:val="both"/>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w:t>
            </w:r>
            <w:r>
              <w:rPr>
                <w:rStyle w:val="966"/>
                <w:rFonts w:hint="eastAsia" w:ascii="宋体" w:hAnsi="宋体" w:eastAsia="宋体" w:cs="宋体"/>
                <w:b w:val="0"/>
                <w:i w:val="0"/>
                <w:caps w:val="0"/>
                <w:color w:val="auto"/>
                <w:spacing w:val="0"/>
                <w:w w:val="100"/>
                <w:kern w:val="0"/>
                <w:sz w:val="24"/>
                <w:szCs w:val="24"/>
                <w:highlight w:val="none"/>
                <w:lang w:val="en-US" w:eastAsia="zh-CN" w:bidi="ar-SA"/>
              </w:rPr>
              <w:t>A</w:t>
            </w:r>
            <w:r>
              <w:rPr>
                <w:rStyle w:val="966"/>
                <w:rFonts w:hint="eastAsia" w:ascii="宋体" w:hAnsi="宋体" w:eastAsia="宋体" w:cs="宋体"/>
                <w:b w:val="0"/>
                <w:i w:val="0"/>
                <w:caps w:val="0"/>
                <w:color w:val="auto"/>
                <w:spacing w:val="0"/>
                <w:w w:val="100"/>
                <w:kern w:val="2"/>
                <w:sz w:val="24"/>
                <w:szCs w:val="24"/>
                <w:highlight w:val="none"/>
                <w:lang w:val="en-US" w:eastAsia="zh-CN" w:bidi="ar-SA"/>
              </w:rPr>
              <w:t>不组织。</w:t>
            </w:r>
          </w:p>
        </w:tc>
      </w:tr>
      <w:tr w14:paraId="35F4F6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0"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14:paraId="7F33FC3A">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5</w:t>
            </w:r>
          </w:p>
        </w:tc>
        <w:tc>
          <w:tcPr>
            <w:tcW w:w="1968" w:type="dxa"/>
            <w:tcBorders>
              <w:top w:val="single" w:color="000000" w:sz="8" w:space="0"/>
              <w:left w:val="single" w:color="000000" w:sz="4" w:space="0"/>
              <w:bottom w:val="single" w:color="000000" w:sz="8" w:space="0"/>
              <w:right w:val="single" w:color="000000" w:sz="8" w:space="0"/>
            </w:tcBorders>
            <w:vAlign w:val="center"/>
          </w:tcPr>
          <w:p w14:paraId="0D5DCF9F">
            <w:pPr>
              <w:snapToGrid w:val="0"/>
              <w:spacing w:before="0" w:beforeAutospacing="0" w:after="0" w:afterAutospacing="0" w:line="240" w:lineRule="auto"/>
              <w:jc w:val="center"/>
              <w:textAlignment w:val="baseline"/>
              <w:rPr>
                <w:rStyle w:val="966"/>
                <w:rFonts w:hint="eastAsia" w:ascii="宋体" w:hAnsi="宋体" w:eastAsia="宋体" w:cs="宋体"/>
                <w:b w:val="0"/>
                <w:bCs/>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方案讲解演示</w:t>
            </w:r>
          </w:p>
        </w:tc>
        <w:tc>
          <w:tcPr>
            <w:tcW w:w="6100" w:type="dxa"/>
            <w:tcBorders>
              <w:top w:val="single" w:color="000000" w:sz="8" w:space="0"/>
              <w:left w:val="single" w:color="000000" w:sz="2" w:space="0"/>
              <w:bottom w:val="single" w:color="000000" w:sz="8" w:space="0"/>
              <w:right w:val="single" w:color="000000" w:sz="8" w:space="0"/>
            </w:tcBorders>
            <w:vAlign w:val="center"/>
          </w:tcPr>
          <w:p w14:paraId="7493F2D9">
            <w:pPr>
              <w:snapToGrid w:val="0"/>
              <w:spacing w:before="0" w:beforeAutospacing="0" w:after="0" w:afterAutospacing="0" w:line="360" w:lineRule="auto"/>
              <w:jc w:val="both"/>
              <w:textAlignment w:val="baseline"/>
              <w:rPr>
                <w:rStyle w:val="966"/>
                <w:rFonts w:hint="eastAsia" w:ascii="宋体" w:hAnsi="宋体" w:eastAsia="宋体" w:cs="宋体"/>
                <w:b/>
                <w:i w:val="0"/>
                <w:caps w:val="0"/>
                <w:color w:val="auto"/>
                <w:spacing w:val="0"/>
                <w:w w:val="100"/>
                <w:kern w:val="0"/>
                <w:sz w:val="24"/>
                <w:szCs w:val="24"/>
                <w:highlight w:val="none"/>
                <w:lang w:val="zh-CN"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w:t>
            </w:r>
            <w:r>
              <w:rPr>
                <w:rStyle w:val="966"/>
                <w:rFonts w:hint="eastAsia" w:ascii="宋体" w:hAnsi="宋体" w:eastAsia="宋体" w:cs="宋体"/>
                <w:b w:val="0"/>
                <w:i w:val="0"/>
                <w:caps w:val="0"/>
                <w:color w:val="auto"/>
                <w:spacing w:val="0"/>
                <w:w w:val="100"/>
                <w:kern w:val="0"/>
                <w:sz w:val="24"/>
                <w:szCs w:val="24"/>
                <w:highlight w:val="none"/>
                <w:lang w:val="en-US" w:eastAsia="zh-CN" w:bidi="ar-SA"/>
              </w:rPr>
              <w:t>A</w:t>
            </w:r>
            <w:r>
              <w:rPr>
                <w:rStyle w:val="966"/>
                <w:rFonts w:hint="eastAsia" w:ascii="宋体" w:hAnsi="宋体" w:eastAsia="宋体" w:cs="宋体"/>
                <w:b w:val="0"/>
                <w:i w:val="0"/>
                <w:caps w:val="0"/>
                <w:color w:val="auto"/>
                <w:spacing w:val="0"/>
                <w:w w:val="100"/>
                <w:kern w:val="2"/>
                <w:sz w:val="24"/>
                <w:szCs w:val="24"/>
                <w:highlight w:val="none"/>
                <w:lang w:val="en-US" w:eastAsia="zh-CN" w:bidi="ar-SA"/>
              </w:rPr>
              <w:t>不组织。</w:t>
            </w:r>
          </w:p>
        </w:tc>
      </w:tr>
      <w:tr w14:paraId="21BCA6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1" w:hRule="atLeast"/>
          <w:tblHeader/>
        </w:trPr>
        <w:tc>
          <w:tcPr>
            <w:tcW w:w="629" w:type="dxa"/>
            <w:tcBorders>
              <w:top w:val="single" w:color="000000" w:sz="4" w:space="0"/>
              <w:left w:val="single" w:color="000000" w:sz="4" w:space="0"/>
              <w:bottom w:val="nil"/>
              <w:right w:val="single" w:color="000000" w:sz="4" w:space="0"/>
            </w:tcBorders>
            <w:vAlign w:val="center"/>
          </w:tcPr>
          <w:p w14:paraId="2169C718">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6</w:t>
            </w:r>
          </w:p>
        </w:tc>
        <w:tc>
          <w:tcPr>
            <w:tcW w:w="1968" w:type="dxa"/>
            <w:tcBorders>
              <w:top w:val="single" w:color="000000" w:sz="8" w:space="0"/>
              <w:left w:val="single" w:color="000000" w:sz="4" w:space="0"/>
              <w:bottom w:val="nil"/>
              <w:right w:val="single" w:color="000000" w:sz="8" w:space="0"/>
            </w:tcBorders>
            <w:vAlign w:val="center"/>
          </w:tcPr>
          <w:p w14:paraId="0A593E8D">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供应商应当提供的资格、资信证明文件</w:t>
            </w:r>
          </w:p>
        </w:tc>
        <w:tc>
          <w:tcPr>
            <w:tcW w:w="6100" w:type="dxa"/>
            <w:tcBorders>
              <w:top w:val="single" w:color="000000" w:sz="8" w:space="0"/>
              <w:left w:val="single" w:color="000000" w:sz="2" w:space="0"/>
              <w:bottom w:val="single" w:color="000000" w:sz="4" w:space="0"/>
              <w:right w:val="single" w:color="000000" w:sz="8" w:space="0"/>
            </w:tcBorders>
            <w:vAlign w:val="center"/>
          </w:tcPr>
          <w:p w14:paraId="41D0EE16">
            <w:pPr>
              <w:snapToGrid w:val="0"/>
              <w:spacing w:before="0" w:beforeAutospacing="0" w:after="0" w:afterAutospacing="0" w:line="360" w:lineRule="auto"/>
              <w:jc w:val="both"/>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（1）资格证明文件：见交易文件第二部分11.1。</w:t>
            </w:r>
          </w:p>
          <w:p w14:paraId="1722BE75">
            <w:pPr>
              <w:snapToGrid w:val="0"/>
              <w:spacing w:before="0" w:beforeAutospacing="0" w:after="0" w:afterAutospacing="0" w:line="360" w:lineRule="auto"/>
              <w:jc w:val="both"/>
              <w:textAlignment w:val="baseline"/>
              <w:rPr>
                <w:rStyle w:val="966"/>
                <w:rFonts w:hint="eastAsia" w:ascii="宋体" w:hAnsi="宋体" w:eastAsia="宋体" w:cs="宋体"/>
                <w:b w:val="0"/>
                <w:i w:val="0"/>
                <w:caps w:val="0"/>
                <w:color w:val="auto"/>
                <w:spacing w:val="0"/>
                <w:w w:val="100"/>
                <w:kern w:val="2"/>
                <w:sz w:val="24"/>
                <w:szCs w:val="24"/>
                <w:highlight w:val="none"/>
                <w:lang w:val="zh-CN" w:eastAsia="zh-CN" w:bidi="ar-SA"/>
              </w:rPr>
            </w:pPr>
            <w:r>
              <w:rPr>
                <w:rStyle w:val="966"/>
                <w:rFonts w:hint="eastAsia" w:ascii="宋体" w:hAnsi="宋体" w:eastAsia="宋体" w:cs="宋体"/>
                <w:b w:val="0"/>
                <w:i w:val="0"/>
                <w:caps w:val="0"/>
                <w:color w:val="auto"/>
                <w:spacing w:val="0"/>
                <w:w w:val="100"/>
                <w:kern w:val="2"/>
                <w:sz w:val="24"/>
                <w:szCs w:val="24"/>
                <w:highlight w:val="none"/>
                <w:lang w:val="zh-CN" w:eastAsia="zh-CN" w:bidi="ar-SA"/>
              </w:rPr>
              <w:t>供应商未提供有效的资格证明文件的，视为供应商不具备交易文件中规定的资格要求，响应无效。</w:t>
            </w:r>
          </w:p>
          <w:p w14:paraId="37043B5B">
            <w:pPr>
              <w:snapToGrid w:val="0"/>
              <w:spacing w:before="0" w:beforeAutospacing="0" w:after="0" w:afterAutospacing="0" w:line="360" w:lineRule="auto"/>
              <w:jc w:val="both"/>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（2）资信证明文件：根据交易文件第四部分评审标准提供。</w:t>
            </w:r>
          </w:p>
        </w:tc>
      </w:tr>
      <w:tr w14:paraId="6227A2E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14:paraId="12A4E72A">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031AA3DE">
            <w:pPr>
              <w:snapToGrid w:val="0"/>
              <w:spacing w:before="0" w:beforeAutospacing="0" w:after="0" w:afterAutospacing="0" w:line="240" w:lineRule="auto"/>
              <w:jc w:val="center"/>
              <w:textAlignment w:val="baseline"/>
              <w:rPr>
                <w:rStyle w:val="966"/>
                <w:rFonts w:hint="eastAsia" w:ascii="宋体" w:hAnsi="宋体" w:eastAsia="宋体" w:cs="宋体"/>
                <w:b w:val="0"/>
                <w:bCs/>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报价要求</w:t>
            </w:r>
          </w:p>
        </w:tc>
        <w:tc>
          <w:tcPr>
            <w:tcW w:w="6100" w:type="dxa"/>
            <w:tcBorders>
              <w:top w:val="single" w:color="000000" w:sz="8" w:space="0"/>
              <w:left w:val="single" w:color="000000" w:sz="2" w:space="0"/>
              <w:bottom w:val="single" w:color="000000" w:sz="8" w:space="0"/>
              <w:right w:val="single" w:color="000000" w:sz="8" w:space="0"/>
            </w:tcBorders>
            <w:vAlign w:val="center"/>
          </w:tcPr>
          <w:p w14:paraId="6D0FC066">
            <w:pPr>
              <w:snapToGrid w:val="0"/>
              <w:spacing w:before="0" w:beforeAutospacing="0" w:after="0" w:afterAutospacing="0" w:line="320" w:lineRule="exact"/>
              <w:ind w:firstLine="480" w:firstLineChars="200"/>
              <w:jc w:val="both"/>
              <w:textAlignment w:val="baseline"/>
              <w:rPr>
                <w:rStyle w:val="966"/>
                <w:rFonts w:hint="eastAsia" w:ascii="宋体" w:hAnsi="宋体" w:eastAsia="宋体" w:cs="宋体"/>
                <w:b w:val="0"/>
                <w:bCs/>
                <w:i w:val="0"/>
                <w:caps w:val="0"/>
                <w:color w:val="auto"/>
                <w:spacing w:val="0"/>
                <w:w w:val="100"/>
                <w:kern w:val="0"/>
                <w:sz w:val="24"/>
                <w:szCs w:val="24"/>
                <w:highlight w:val="none"/>
                <w:lang w:val="zh-CN" w:eastAsia="zh-CN" w:bidi="ar-SA"/>
              </w:rPr>
            </w:pPr>
            <w:r>
              <w:rPr>
                <w:rStyle w:val="966"/>
                <w:rFonts w:hint="eastAsia" w:ascii="宋体" w:hAnsi="宋体" w:eastAsia="宋体" w:cs="宋体"/>
                <w:b w:val="0"/>
                <w:bCs/>
                <w:i w:val="0"/>
                <w:caps w:val="0"/>
                <w:color w:val="auto"/>
                <w:spacing w:val="0"/>
                <w:w w:val="100"/>
                <w:kern w:val="0"/>
                <w:sz w:val="24"/>
                <w:szCs w:val="24"/>
                <w:highlight w:val="none"/>
                <w:lang w:val="zh-CN" w:eastAsia="zh-CN" w:bidi="ar-SA"/>
              </w:rPr>
              <w:t>有关本项目实施所需的所有费用（含税费）均计入报价。</w:t>
            </w:r>
            <w:r>
              <w:rPr>
                <w:rStyle w:val="966"/>
                <w:rFonts w:hint="eastAsia" w:ascii="宋体" w:hAnsi="宋体" w:eastAsia="宋体" w:cs="宋体"/>
                <w:b w:val="0"/>
                <w:bCs/>
                <w:i w:val="0"/>
                <w:caps w:val="0"/>
                <w:color w:val="auto"/>
                <w:spacing w:val="0"/>
                <w:w w:val="100"/>
                <w:kern w:val="0"/>
                <w:sz w:val="24"/>
                <w:szCs w:val="24"/>
                <w:highlight w:val="none"/>
                <w:lang w:val="en-US" w:eastAsia="zh-CN" w:bidi="ar-SA"/>
              </w:rPr>
              <w:t>交易一览表（报价表）是报价的唯一载体</w:t>
            </w:r>
            <w:r>
              <w:rPr>
                <w:rStyle w:val="966"/>
                <w:rFonts w:hint="eastAsia" w:ascii="宋体" w:hAnsi="宋体" w:eastAsia="宋体" w:cs="宋体"/>
                <w:b w:val="0"/>
                <w:bCs/>
                <w:i w:val="0"/>
                <w:caps w:val="0"/>
                <w:color w:val="auto"/>
                <w:spacing w:val="0"/>
                <w:w w:val="100"/>
                <w:kern w:val="0"/>
                <w:sz w:val="24"/>
                <w:szCs w:val="24"/>
                <w:highlight w:val="none"/>
                <w:lang w:val="zh-CN" w:eastAsia="zh-CN" w:bidi="ar-SA"/>
              </w:rPr>
              <w:t>。响应文件中价格全部采用人民币报价。交易文件未列明，而供应商认为必需的费用也需列入报价。</w:t>
            </w:r>
          </w:p>
          <w:p w14:paraId="0CCED6E3">
            <w:pPr>
              <w:snapToGrid w:val="0"/>
              <w:spacing w:before="0" w:beforeAutospacing="0" w:after="0" w:afterAutospacing="0" w:line="320" w:lineRule="exact"/>
              <w:jc w:val="both"/>
              <w:textAlignment w:val="baseline"/>
              <w:rPr>
                <w:rStyle w:val="966"/>
                <w:rFonts w:hint="eastAsia" w:ascii="宋体" w:hAnsi="宋体" w:eastAsia="宋体" w:cs="宋体"/>
                <w:b w:val="0"/>
                <w:bCs/>
                <w:i w:val="0"/>
                <w:caps w:val="0"/>
                <w:color w:val="auto"/>
                <w:spacing w:val="0"/>
                <w:w w:val="100"/>
                <w:kern w:val="0"/>
                <w:sz w:val="24"/>
                <w:szCs w:val="24"/>
                <w:highlight w:val="none"/>
                <w:lang w:val="zh-CN" w:eastAsia="zh-CN" w:bidi="ar-SA"/>
              </w:rPr>
            </w:pPr>
            <w:r>
              <w:rPr>
                <w:rStyle w:val="966"/>
                <w:rFonts w:hint="eastAsia" w:ascii="宋体" w:hAnsi="宋体" w:eastAsia="宋体" w:cs="宋体"/>
                <w:b w:val="0"/>
                <w:bCs/>
                <w:i w:val="0"/>
                <w:caps w:val="0"/>
                <w:color w:val="auto"/>
                <w:spacing w:val="0"/>
                <w:w w:val="100"/>
                <w:kern w:val="0"/>
                <w:sz w:val="24"/>
                <w:szCs w:val="24"/>
                <w:highlight w:val="none"/>
                <w:lang w:val="zh-CN" w:eastAsia="zh-CN" w:bidi="ar-SA"/>
              </w:rPr>
              <w:t>响应报价出现下列情形的，响应无效：</w:t>
            </w:r>
          </w:p>
          <w:p w14:paraId="53AB7A62">
            <w:pPr>
              <w:snapToGrid w:val="0"/>
              <w:spacing w:before="0" w:beforeAutospacing="0" w:after="0" w:afterAutospacing="0" w:line="320" w:lineRule="exact"/>
              <w:ind w:firstLine="480" w:firstLineChars="200"/>
              <w:jc w:val="both"/>
              <w:textAlignment w:val="baseline"/>
              <w:rPr>
                <w:rStyle w:val="966"/>
                <w:rFonts w:hint="eastAsia" w:ascii="宋体" w:hAnsi="宋体" w:eastAsia="宋体" w:cs="宋体"/>
                <w:b w:val="0"/>
                <w:bCs/>
                <w:i w:val="0"/>
                <w:caps w:val="0"/>
                <w:color w:val="auto"/>
                <w:spacing w:val="0"/>
                <w:w w:val="100"/>
                <w:kern w:val="0"/>
                <w:sz w:val="24"/>
                <w:szCs w:val="24"/>
                <w:highlight w:val="none"/>
                <w:lang w:val="zh-CN" w:eastAsia="zh-CN" w:bidi="ar-SA"/>
              </w:rPr>
            </w:pPr>
            <w:r>
              <w:rPr>
                <w:rStyle w:val="966"/>
                <w:rFonts w:hint="eastAsia" w:ascii="宋体" w:hAnsi="宋体" w:eastAsia="宋体" w:cs="宋体"/>
                <w:b w:val="0"/>
                <w:bCs/>
                <w:i w:val="0"/>
                <w:caps w:val="0"/>
                <w:color w:val="auto"/>
                <w:spacing w:val="0"/>
                <w:w w:val="100"/>
                <w:kern w:val="0"/>
                <w:sz w:val="24"/>
                <w:szCs w:val="24"/>
                <w:highlight w:val="none"/>
                <w:lang w:val="zh-CN" w:eastAsia="zh-CN" w:bidi="ar-SA"/>
              </w:rPr>
              <w:t>响应文件出现不是唯一的、有选择性响应报价的；</w:t>
            </w:r>
          </w:p>
          <w:p w14:paraId="3DD43B6B">
            <w:pPr>
              <w:snapToGrid w:val="0"/>
              <w:spacing w:before="0" w:beforeAutospacing="0" w:after="0" w:afterAutospacing="0" w:line="320" w:lineRule="exact"/>
              <w:ind w:firstLine="480" w:firstLineChars="200"/>
              <w:jc w:val="both"/>
              <w:textAlignment w:val="baseline"/>
              <w:rPr>
                <w:rStyle w:val="966"/>
                <w:rFonts w:hint="eastAsia" w:ascii="宋体" w:hAnsi="宋体" w:eastAsia="宋体" w:cs="宋体"/>
                <w:b w:val="0"/>
                <w:bCs/>
                <w:i w:val="0"/>
                <w:caps w:val="0"/>
                <w:color w:val="auto"/>
                <w:spacing w:val="0"/>
                <w:w w:val="100"/>
                <w:kern w:val="0"/>
                <w:sz w:val="24"/>
                <w:szCs w:val="24"/>
                <w:highlight w:val="none"/>
                <w:lang w:val="zh-CN" w:eastAsia="zh-CN" w:bidi="ar-SA"/>
              </w:rPr>
            </w:pPr>
            <w:r>
              <w:rPr>
                <w:rStyle w:val="966"/>
                <w:rFonts w:hint="eastAsia" w:ascii="宋体" w:hAnsi="宋体" w:eastAsia="宋体" w:cs="宋体"/>
                <w:b w:val="0"/>
                <w:bCs/>
                <w:i w:val="0"/>
                <w:caps w:val="0"/>
                <w:color w:val="auto"/>
                <w:spacing w:val="0"/>
                <w:w w:val="100"/>
                <w:kern w:val="0"/>
                <w:sz w:val="24"/>
                <w:szCs w:val="24"/>
                <w:highlight w:val="none"/>
                <w:lang w:val="zh-CN" w:eastAsia="zh-CN" w:bidi="ar-SA"/>
              </w:rPr>
              <w:t>响应报价超过交易文件中规定的预算金额或者最高限价的；</w:t>
            </w:r>
          </w:p>
          <w:p w14:paraId="167ADB28">
            <w:pPr>
              <w:snapToGrid w:val="0"/>
              <w:spacing w:before="0" w:beforeAutospacing="0" w:after="0" w:afterAutospacing="0" w:line="320" w:lineRule="exact"/>
              <w:ind w:firstLine="480" w:firstLineChars="200"/>
              <w:jc w:val="both"/>
              <w:textAlignment w:val="baseline"/>
              <w:rPr>
                <w:rStyle w:val="966"/>
                <w:rFonts w:hint="eastAsia" w:ascii="宋体" w:hAnsi="宋体" w:eastAsia="宋体" w:cs="宋体"/>
                <w:b w:val="0"/>
                <w:bCs/>
                <w:i w:val="0"/>
                <w:caps w:val="0"/>
                <w:color w:val="auto"/>
                <w:spacing w:val="0"/>
                <w:w w:val="100"/>
                <w:kern w:val="0"/>
                <w:sz w:val="24"/>
                <w:szCs w:val="24"/>
                <w:highlight w:val="none"/>
                <w:lang w:val="en-US" w:eastAsia="zh-CN" w:bidi="ar-SA"/>
              </w:rPr>
            </w:pPr>
            <w:r>
              <w:rPr>
                <w:rStyle w:val="966"/>
                <w:rFonts w:hint="eastAsia" w:ascii="宋体" w:hAnsi="宋体" w:eastAsia="宋体" w:cs="宋体"/>
                <w:b w:val="0"/>
                <w:bCs/>
                <w:i w:val="0"/>
                <w:caps w:val="0"/>
                <w:color w:val="auto"/>
                <w:spacing w:val="0"/>
                <w:w w:val="100"/>
                <w:kern w:val="0"/>
                <w:sz w:val="24"/>
                <w:szCs w:val="24"/>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r>
              <w:rPr>
                <w:rStyle w:val="966"/>
                <w:rFonts w:hint="eastAsia" w:ascii="宋体" w:hAnsi="宋体" w:eastAsia="宋体" w:cs="宋体"/>
                <w:b w:val="0"/>
                <w:bCs/>
                <w:i w:val="0"/>
                <w:caps w:val="0"/>
                <w:color w:val="auto"/>
                <w:spacing w:val="0"/>
                <w:w w:val="100"/>
                <w:kern w:val="0"/>
                <w:sz w:val="24"/>
                <w:szCs w:val="24"/>
                <w:highlight w:val="none"/>
                <w:lang w:val="zh-CN" w:eastAsia="zh-CN" w:bidi="ar-SA"/>
              </w:rPr>
              <w:t>；</w:t>
            </w:r>
          </w:p>
          <w:p w14:paraId="468182C5">
            <w:pPr>
              <w:snapToGrid w:val="0"/>
              <w:spacing w:before="0" w:beforeAutospacing="0" w:after="0" w:afterAutospacing="0" w:line="320" w:lineRule="exact"/>
              <w:ind w:firstLine="480" w:firstLineChars="200"/>
              <w:jc w:val="both"/>
              <w:textAlignment w:val="baseline"/>
              <w:rPr>
                <w:rStyle w:val="966"/>
                <w:rFonts w:hint="eastAsia" w:ascii="宋体" w:hAnsi="宋体" w:eastAsia="宋体" w:cs="宋体"/>
                <w:b w:val="0"/>
                <w:bCs/>
                <w:i w:val="0"/>
                <w:caps w:val="0"/>
                <w:color w:val="auto"/>
                <w:spacing w:val="0"/>
                <w:w w:val="100"/>
                <w:kern w:val="0"/>
                <w:sz w:val="24"/>
                <w:szCs w:val="24"/>
                <w:highlight w:val="none"/>
                <w:lang w:val="en-US" w:eastAsia="zh-CN" w:bidi="ar-SA"/>
              </w:rPr>
            </w:pPr>
            <w:r>
              <w:rPr>
                <w:rStyle w:val="966"/>
                <w:rFonts w:hint="eastAsia" w:ascii="宋体" w:hAnsi="宋体" w:eastAsia="宋体" w:cs="宋体"/>
                <w:b w:val="0"/>
                <w:bCs/>
                <w:i w:val="0"/>
                <w:caps w:val="0"/>
                <w:color w:val="auto"/>
                <w:spacing w:val="0"/>
                <w:w w:val="100"/>
                <w:kern w:val="0"/>
                <w:sz w:val="24"/>
                <w:szCs w:val="24"/>
                <w:highlight w:val="none"/>
                <w:lang w:val="en-US" w:eastAsia="zh-CN" w:bidi="ar-SA"/>
              </w:rPr>
              <w:t>供应商对根据修正原则修正后的报价不确认的。</w:t>
            </w:r>
          </w:p>
          <w:p w14:paraId="386934F8">
            <w:pPr>
              <w:snapToGrid w:val="0"/>
              <w:spacing w:before="0" w:beforeAutospacing="0" w:after="0" w:afterAutospacing="0" w:line="320" w:lineRule="exact"/>
              <w:ind w:firstLine="480" w:firstLineChars="200"/>
              <w:jc w:val="both"/>
              <w:textAlignment w:val="baseline"/>
              <w:rPr>
                <w:rStyle w:val="966"/>
                <w:rFonts w:hint="eastAsia" w:ascii="宋体" w:hAnsi="宋体" w:eastAsia="宋体" w:cs="宋体"/>
                <w:b w:val="0"/>
                <w:bCs/>
                <w:i w:val="0"/>
                <w:caps w:val="0"/>
                <w:color w:val="auto"/>
                <w:spacing w:val="0"/>
                <w:w w:val="100"/>
                <w:kern w:val="2"/>
                <w:sz w:val="24"/>
                <w:szCs w:val="24"/>
                <w:highlight w:val="none"/>
                <w:lang w:val="en-US" w:eastAsia="zh-CN" w:bidi="ar-SA"/>
              </w:rPr>
            </w:pPr>
            <w:r>
              <w:rPr>
                <w:rStyle w:val="966"/>
                <w:rFonts w:hint="eastAsia" w:ascii="宋体" w:hAnsi="宋体" w:eastAsia="宋体" w:cs="宋体"/>
                <w:b w:val="0"/>
                <w:bCs/>
                <w:i w:val="0"/>
                <w:caps w:val="0"/>
                <w:color w:val="auto"/>
                <w:spacing w:val="0"/>
                <w:w w:val="100"/>
                <w:kern w:val="0"/>
                <w:sz w:val="24"/>
                <w:szCs w:val="24"/>
                <w:highlight w:val="none"/>
                <w:lang w:val="en-US" w:eastAsia="zh-CN" w:bidi="ar-SA"/>
              </w:rPr>
              <w:t>资格文件、商务技术文件与报价文件未分开制作</w:t>
            </w:r>
            <w:r>
              <w:rPr>
                <w:rStyle w:val="966"/>
                <w:rFonts w:hint="eastAsia" w:ascii="宋体" w:hAnsi="宋体" w:eastAsia="宋体" w:cs="宋体"/>
                <w:b w:val="0"/>
                <w:bCs/>
                <w:i w:val="0"/>
                <w:caps w:val="0"/>
                <w:color w:val="auto"/>
                <w:spacing w:val="0"/>
                <w:w w:val="100"/>
                <w:kern w:val="2"/>
                <w:sz w:val="24"/>
                <w:szCs w:val="24"/>
                <w:highlight w:val="none"/>
                <w:lang w:val="en-US" w:eastAsia="zh-CN" w:bidi="ar-SA"/>
              </w:rPr>
              <w:t>。</w:t>
            </w:r>
          </w:p>
        </w:tc>
      </w:tr>
      <w:tr w14:paraId="5DC0B6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9"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14:paraId="0B596741">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71F3AD65">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备份响应文件</w:t>
            </w:r>
          </w:p>
        </w:tc>
        <w:tc>
          <w:tcPr>
            <w:tcW w:w="6100" w:type="dxa"/>
            <w:tcBorders>
              <w:top w:val="single" w:color="000000" w:sz="8" w:space="0"/>
              <w:left w:val="single" w:color="000000" w:sz="2" w:space="0"/>
              <w:bottom w:val="single" w:color="000000" w:sz="8" w:space="0"/>
              <w:right w:val="single" w:color="000000" w:sz="8" w:space="0"/>
            </w:tcBorders>
            <w:vAlign w:val="center"/>
          </w:tcPr>
          <w:p w14:paraId="0E9E38B9">
            <w:pPr>
              <w:pStyle w:val="967"/>
              <w:widowControl/>
              <w:snapToGrid w:val="0"/>
              <w:spacing w:before="0" w:beforeAutospacing="0" w:after="0" w:afterAutospacing="0" w:line="360" w:lineRule="auto"/>
              <w:ind w:hanging="4"/>
              <w:jc w:val="both"/>
              <w:textAlignment w:val="baseline"/>
              <w:rPr>
                <w:rStyle w:val="966"/>
                <w:rFonts w:hint="eastAsia" w:ascii="宋体" w:hAnsi="宋体" w:eastAsia="宋体" w:cs="宋体"/>
                <w:b w:val="0"/>
                <w:i w:val="0"/>
                <w:caps w:val="0"/>
                <w:color w:val="auto"/>
                <w:spacing w:val="0"/>
                <w:w w:val="100"/>
                <w:kern w:val="28"/>
                <w:sz w:val="24"/>
                <w:szCs w:val="24"/>
                <w:highlight w:val="none"/>
                <w:lang w:val="en-US" w:eastAsia="zh-CN" w:bidi="ar-SA"/>
              </w:rPr>
            </w:pPr>
            <w:r>
              <w:rPr>
                <w:rStyle w:val="966"/>
                <w:rFonts w:hint="eastAsia" w:ascii="宋体" w:hAnsi="宋体" w:eastAsia="宋体" w:cs="宋体"/>
                <w:b w:val="0"/>
                <w:i w:val="0"/>
                <w:caps w:val="0"/>
                <w:color w:val="auto"/>
                <w:spacing w:val="0"/>
                <w:w w:val="100"/>
                <w:kern w:val="28"/>
                <w:sz w:val="24"/>
                <w:szCs w:val="24"/>
                <w:highlight w:val="none"/>
                <w:lang w:val="en-US" w:eastAsia="zh-CN" w:bidi="ar-SA"/>
              </w:rPr>
              <w:t>不收取。</w:t>
            </w:r>
          </w:p>
        </w:tc>
      </w:tr>
      <w:tr w14:paraId="4B8E1F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8"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14:paraId="5EF40BF5">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1A8DC101">
            <w:pPr>
              <w:snapToGrid w:val="0"/>
              <w:spacing w:before="0" w:beforeAutospacing="0" w:after="0" w:afterAutospacing="0" w:line="240" w:lineRule="auto"/>
              <w:jc w:val="center"/>
              <w:textAlignment w:val="baseline"/>
              <w:rPr>
                <w:rStyle w:val="966"/>
                <w:rFonts w:hint="eastAsia" w:ascii="宋体" w:hAnsi="宋体" w:eastAsia="宋体" w:cs="宋体"/>
                <w:b/>
                <w:bCs w:val="0"/>
                <w:i w:val="0"/>
                <w:caps w:val="0"/>
                <w:color w:val="auto"/>
                <w:spacing w:val="0"/>
                <w:w w:val="100"/>
                <w:kern w:val="2"/>
                <w:sz w:val="24"/>
                <w:szCs w:val="24"/>
                <w:highlight w:val="none"/>
                <w:lang w:val="en-US" w:eastAsia="zh-CN" w:bidi="ar-SA"/>
              </w:rPr>
            </w:pPr>
            <w:r>
              <w:rPr>
                <w:rStyle w:val="966"/>
                <w:rFonts w:hint="eastAsia" w:ascii="宋体" w:hAnsi="宋体" w:eastAsia="宋体" w:cs="宋体"/>
                <w:b/>
                <w:bCs w:val="0"/>
                <w:i w:val="0"/>
                <w:caps w:val="0"/>
                <w:color w:val="auto"/>
                <w:spacing w:val="0"/>
                <w:w w:val="100"/>
                <w:kern w:val="2"/>
                <w:sz w:val="24"/>
                <w:szCs w:val="24"/>
                <w:highlight w:val="none"/>
                <w:lang w:val="en-US" w:eastAsia="zh-CN" w:bidi="ar-SA"/>
              </w:rPr>
              <w:t>采购机构代理费用</w:t>
            </w:r>
          </w:p>
        </w:tc>
        <w:tc>
          <w:tcPr>
            <w:tcW w:w="6100" w:type="dxa"/>
            <w:tcBorders>
              <w:top w:val="single" w:color="000000" w:sz="8" w:space="0"/>
              <w:left w:val="single" w:color="000000" w:sz="2" w:space="0"/>
              <w:bottom w:val="single" w:color="000000" w:sz="8" w:space="0"/>
              <w:right w:val="single" w:color="000000" w:sz="8" w:space="0"/>
            </w:tcBorders>
            <w:vAlign w:val="center"/>
          </w:tcPr>
          <w:p w14:paraId="64339B06">
            <w:pPr>
              <w:widowControl/>
              <w:snapToGrid w:val="0"/>
              <w:spacing w:before="0" w:beforeAutospacing="0" w:after="0" w:afterAutospacing="0" w:line="240" w:lineRule="auto"/>
              <w:jc w:val="left"/>
              <w:textAlignment w:val="baseline"/>
              <w:rPr>
                <w:rStyle w:val="966"/>
                <w:rFonts w:hint="eastAsia" w:ascii="宋体" w:hAnsi="宋体" w:eastAsia="宋体" w:cs="宋体"/>
                <w:b/>
                <w:bCs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bCs/>
                <w:i w:val="0"/>
                <w:caps w:val="0"/>
                <w:color w:val="auto"/>
                <w:spacing w:val="0"/>
                <w:w w:val="100"/>
                <w:kern w:val="2"/>
                <w:sz w:val="24"/>
                <w:szCs w:val="24"/>
                <w:highlight w:val="none"/>
                <w:lang w:val="en-US" w:eastAsia="zh-CN" w:bidi="ar-SA"/>
              </w:rPr>
              <w:t>代理费由</w:t>
            </w:r>
            <w:r>
              <w:rPr>
                <w:rStyle w:val="966"/>
                <w:rFonts w:hint="eastAsia" w:ascii="宋体" w:hAnsi="宋体" w:cs="宋体"/>
                <w:b w:val="0"/>
                <w:bCs/>
                <w:i w:val="0"/>
                <w:caps w:val="0"/>
                <w:color w:val="auto"/>
                <w:spacing w:val="0"/>
                <w:w w:val="100"/>
                <w:kern w:val="2"/>
                <w:sz w:val="24"/>
                <w:szCs w:val="24"/>
                <w:highlight w:val="none"/>
                <w:lang w:val="en-US" w:eastAsia="zh-CN" w:bidi="ar-SA"/>
              </w:rPr>
              <w:t>交易发起</w:t>
            </w:r>
            <w:r>
              <w:rPr>
                <w:rStyle w:val="966"/>
                <w:rFonts w:hint="eastAsia" w:ascii="宋体" w:hAnsi="宋体" w:eastAsia="宋体" w:cs="宋体"/>
                <w:b w:val="0"/>
                <w:bCs/>
                <w:i w:val="0"/>
                <w:caps w:val="0"/>
                <w:color w:val="auto"/>
                <w:spacing w:val="0"/>
                <w:w w:val="100"/>
                <w:kern w:val="2"/>
                <w:sz w:val="24"/>
                <w:szCs w:val="24"/>
                <w:highlight w:val="none"/>
                <w:lang w:val="en-US" w:eastAsia="zh-CN" w:bidi="ar-SA"/>
              </w:rPr>
              <w:t>人支付。</w:t>
            </w:r>
          </w:p>
        </w:tc>
      </w:tr>
      <w:tr w14:paraId="2ECBD6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3"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14:paraId="7B1CF7C6">
            <w:pPr>
              <w:snapToGrid w:val="0"/>
              <w:spacing w:before="0" w:beforeAutospacing="0" w:after="0" w:afterAutospacing="0" w:line="36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val="0"/>
                <w:bCs/>
                <w:i w:val="0"/>
                <w:caps w:val="0"/>
                <w:color w:val="auto"/>
                <w:spacing w:val="0"/>
                <w:w w:val="100"/>
                <w:kern w:val="2"/>
                <w:sz w:val="24"/>
                <w:szCs w:val="24"/>
                <w:highlight w:val="none"/>
                <w:lang w:val="en-US" w:eastAsia="zh-CN" w:bidi="ar-SA"/>
              </w:rPr>
              <w:t>10</w:t>
            </w:r>
          </w:p>
        </w:tc>
        <w:tc>
          <w:tcPr>
            <w:tcW w:w="1968" w:type="dxa"/>
            <w:tcBorders>
              <w:top w:val="single" w:color="000000" w:sz="8" w:space="0"/>
              <w:left w:val="single" w:color="000000" w:sz="2" w:space="0"/>
              <w:bottom w:val="single" w:color="000000" w:sz="8" w:space="0"/>
              <w:right w:val="single" w:color="000000" w:sz="8" w:space="0"/>
            </w:tcBorders>
            <w:vAlign w:val="center"/>
          </w:tcPr>
          <w:p w14:paraId="3EE2B7CA">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响应保证金</w:t>
            </w:r>
          </w:p>
          <w:p w14:paraId="162C740A">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履约保证金</w:t>
            </w:r>
          </w:p>
        </w:tc>
        <w:tc>
          <w:tcPr>
            <w:tcW w:w="6100" w:type="dxa"/>
            <w:tcBorders>
              <w:top w:val="single" w:color="000000" w:sz="8" w:space="0"/>
              <w:left w:val="single" w:color="000000" w:sz="2" w:space="0"/>
              <w:bottom w:val="single" w:color="000000" w:sz="8" w:space="0"/>
              <w:right w:val="single" w:color="000000" w:sz="8" w:space="0"/>
            </w:tcBorders>
            <w:vAlign w:val="center"/>
          </w:tcPr>
          <w:p w14:paraId="6600C426">
            <w:pPr>
              <w:pStyle w:val="967"/>
              <w:widowControl/>
              <w:snapToGrid w:val="0"/>
              <w:spacing w:before="0" w:beforeAutospacing="0" w:after="0" w:afterAutospacing="0" w:line="360" w:lineRule="auto"/>
              <w:ind w:hanging="4"/>
              <w:jc w:val="both"/>
              <w:textAlignment w:val="baseline"/>
              <w:rPr>
                <w:rStyle w:val="966"/>
                <w:rFonts w:hint="eastAsia" w:ascii="宋体" w:hAnsi="宋体" w:eastAsia="宋体" w:cs="宋体"/>
                <w:b w:val="0"/>
                <w:i w:val="0"/>
                <w:caps w:val="0"/>
                <w:color w:val="auto"/>
                <w:spacing w:val="0"/>
                <w:w w:val="100"/>
                <w:kern w:val="28"/>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不收取。</w:t>
            </w:r>
          </w:p>
        </w:tc>
      </w:tr>
      <w:tr w14:paraId="4CD9974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4"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14:paraId="5B560DEF">
            <w:pPr>
              <w:snapToGrid w:val="0"/>
              <w:spacing w:before="0" w:beforeAutospacing="0" w:after="0" w:afterAutospacing="0" w:line="360" w:lineRule="auto"/>
              <w:jc w:val="center"/>
              <w:textAlignment w:val="baseline"/>
              <w:rPr>
                <w:rStyle w:val="966"/>
                <w:rFonts w:hint="eastAsia" w:ascii="宋体" w:hAnsi="宋体" w:eastAsia="宋体" w:cs="宋体"/>
                <w:b w:val="0"/>
                <w:bCs/>
                <w:i w:val="0"/>
                <w:caps w:val="0"/>
                <w:color w:val="auto"/>
                <w:spacing w:val="0"/>
                <w:w w:val="100"/>
                <w:kern w:val="2"/>
                <w:sz w:val="24"/>
                <w:szCs w:val="24"/>
                <w:highlight w:val="none"/>
                <w:lang w:val="en-US" w:eastAsia="zh-CN" w:bidi="ar-SA"/>
              </w:rPr>
            </w:pPr>
            <w:r>
              <w:rPr>
                <w:rStyle w:val="966"/>
                <w:rFonts w:hint="eastAsia" w:ascii="宋体" w:hAnsi="宋体" w:eastAsia="宋体" w:cs="宋体"/>
                <w:b w:val="0"/>
                <w:bCs/>
                <w:i w:val="0"/>
                <w:caps w:val="0"/>
                <w:color w:val="auto"/>
                <w:spacing w:val="0"/>
                <w:w w:val="100"/>
                <w:kern w:val="2"/>
                <w:sz w:val="24"/>
                <w:szCs w:val="24"/>
                <w:highlight w:val="none"/>
                <w:lang w:val="en-US" w:eastAsia="zh-CN" w:bidi="ar-SA"/>
              </w:rPr>
              <w:t>11</w:t>
            </w:r>
          </w:p>
        </w:tc>
        <w:tc>
          <w:tcPr>
            <w:tcW w:w="1968" w:type="dxa"/>
            <w:tcBorders>
              <w:top w:val="single" w:color="000000" w:sz="8" w:space="0"/>
              <w:left w:val="single" w:color="000000" w:sz="2" w:space="0"/>
              <w:bottom w:val="single" w:color="000000" w:sz="8" w:space="0"/>
              <w:right w:val="single" w:color="000000" w:sz="8" w:space="0"/>
            </w:tcBorders>
            <w:vAlign w:val="center"/>
          </w:tcPr>
          <w:p w14:paraId="2E5709F5">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资格审查和信用信息审查</w:t>
            </w:r>
          </w:p>
        </w:tc>
        <w:tc>
          <w:tcPr>
            <w:tcW w:w="6100" w:type="dxa"/>
            <w:tcBorders>
              <w:top w:val="single" w:color="000000" w:sz="8" w:space="0"/>
              <w:left w:val="single" w:color="000000" w:sz="2" w:space="0"/>
              <w:bottom w:val="single" w:color="000000" w:sz="8" w:space="0"/>
              <w:right w:val="single" w:color="000000" w:sz="8" w:space="0"/>
            </w:tcBorders>
            <w:vAlign w:val="center"/>
          </w:tcPr>
          <w:p w14:paraId="61B89293">
            <w:pPr>
              <w:pStyle w:val="967"/>
              <w:widowControl/>
              <w:snapToGrid w:val="0"/>
              <w:spacing w:before="0" w:beforeAutospacing="0" w:after="0" w:afterAutospacing="0" w:line="360" w:lineRule="auto"/>
              <w:ind w:hanging="4"/>
              <w:jc w:val="both"/>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8"/>
                <w:sz w:val="24"/>
                <w:szCs w:val="24"/>
                <w:highlight w:val="none"/>
                <w:lang w:val="en-US" w:eastAsia="zh-CN" w:bidi="ar-SA"/>
              </w:rPr>
              <w:t>本项目由</w:t>
            </w:r>
            <w:r>
              <w:rPr>
                <w:rStyle w:val="966"/>
                <w:rFonts w:hint="eastAsia" w:hAnsi="宋体" w:cs="宋体"/>
                <w:b w:val="0"/>
                <w:i w:val="0"/>
                <w:caps w:val="0"/>
                <w:color w:val="auto"/>
                <w:spacing w:val="0"/>
                <w:w w:val="100"/>
                <w:kern w:val="28"/>
                <w:sz w:val="24"/>
                <w:szCs w:val="24"/>
                <w:highlight w:val="none"/>
                <w:lang w:val="en-US" w:eastAsia="zh-CN" w:bidi="ar-SA"/>
              </w:rPr>
              <w:t>交易发起</w:t>
            </w:r>
            <w:r>
              <w:rPr>
                <w:rStyle w:val="966"/>
                <w:rFonts w:hint="eastAsia" w:ascii="宋体" w:hAnsi="宋体" w:eastAsia="宋体" w:cs="宋体"/>
                <w:b w:val="0"/>
                <w:i w:val="0"/>
                <w:caps w:val="0"/>
                <w:color w:val="auto"/>
                <w:spacing w:val="0"/>
                <w:w w:val="100"/>
                <w:kern w:val="28"/>
                <w:sz w:val="24"/>
                <w:szCs w:val="24"/>
                <w:highlight w:val="none"/>
                <w:lang w:val="en-US" w:eastAsia="zh-CN" w:bidi="ar-SA"/>
              </w:rPr>
              <w:t>人进行资格文件及信用信息查询。</w:t>
            </w:r>
          </w:p>
        </w:tc>
      </w:tr>
      <w:tr w14:paraId="305CEA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34"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14:paraId="4F7A803E">
            <w:pPr>
              <w:snapToGrid w:val="0"/>
              <w:spacing w:before="0" w:beforeAutospacing="0" w:after="0" w:afterAutospacing="0" w:line="360" w:lineRule="auto"/>
              <w:jc w:val="center"/>
              <w:textAlignment w:val="baseline"/>
              <w:rPr>
                <w:rStyle w:val="966"/>
                <w:rFonts w:hint="eastAsia" w:ascii="宋体" w:hAnsi="宋体" w:eastAsia="宋体" w:cs="宋体"/>
                <w:b w:val="0"/>
                <w:bCs/>
                <w:i w:val="0"/>
                <w:caps w:val="0"/>
                <w:color w:val="auto"/>
                <w:spacing w:val="0"/>
                <w:w w:val="100"/>
                <w:kern w:val="2"/>
                <w:sz w:val="24"/>
                <w:szCs w:val="24"/>
                <w:highlight w:val="none"/>
                <w:lang w:val="en-US" w:eastAsia="zh-CN" w:bidi="ar-SA"/>
              </w:rPr>
            </w:pPr>
            <w:r>
              <w:rPr>
                <w:rStyle w:val="966"/>
                <w:rFonts w:hint="eastAsia" w:ascii="宋体" w:hAnsi="宋体" w:eastAsia="宋体" w:cs="宋体"/>
                <w:b w:val="0"/>
                <w:bCs/>
                <w:i w:val="0"/>
                <w:caps w:val="0"/>
                <w:color w:val="auto"/>
                <w:spacing w:val="0"/>
                <w:w w:val="100"/>
                <w:kern w:val="2"/>
                <w:sz w:val="24"/>
                <w:szCs w:val="24"/>
                <w:highlight w:val="none"/>
                <w:lang w:val="en-US" w:eastAsia="zh-CN" w:bidi="ar-SA"/>
              </w:rPr>
              <w:t>12</w:t>
            </w:r>
          </w:p>
        </w:tc>
        <w:tc>
          <w:tcPr>
            <w:tcW w:w="1968" w:type="dxa"/>
            <w:tcBorders>
              <w:top w:val="single" w:color="000000" w:sz="8" w:space="0"/>
              <w:left w:val="single" w:color="000000" w:sz="2" w:space="0"/>
              <w:bottom w:val="single" w:color="000000" w:sz="8" w:space="0"/>
              <w:right w:val="single" w:color="000000" w:sz="8" w:space="0"/>
            </w:tcBorders>
            <w:vAlign w:val="center"/>
          </w:tcPr>
          <w:p w14:paraId="5FA00B78">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质疑接收人及答复</w:t>
            </w:r>
          </w:p>
        </w:tc>
        <w:tc>
          <w:tcPr>
            <w:tcW w:w="6100" w:type="dxa"/>
            <w:tcBorders>
              <w:top w:val="single" w:color="000000" w:sz="8" w:space="0"/>
              <w:left w:val="single" w:color="000000" w:sz="2" w:space="0"/>
              <w:bottom w:val="single" w:color="000000" w:sz="8" w:space="0"/>
              <w:right w:val="single" w:color="000000" w:sz="8" w:space="0"/>
            </w:tcBorders>
            <w:vAlign w:val="center"/>
          </w:tcPr>
          <w:p w14:paraId="01ADD8E5">
            <w:pPr>
              <w:widowControl/>
              <w:snapToGrid w:val="0"/>
              <w:spacing w:before="0" w:beforeAutospacing="0" w:after="0" w:afterAutospacing="0" w:line="360" w:lineRule="exact"/>
              <w:jc w:val="both"/>
              <w:textAlignment w:val="baseline"/>
              <w:rPr>
                <w:rStyle w:val="966"/>
                <w:rFonts w:hint="eastAsia" w:ascii="宋体" w:hAnsi="宋体" w:eastAsia="宋体" w:cs="宋体"/>
                <w:b w:val="0"/>
                <w:i w:val="0"/>
                <w:caps w:val="0"/>
                <w:color w:val="auto"/>
                <w:spacing w:val="0"/>
                <w:w w:val="100"/>
                <w:kern w:val="0"/>
                <w:sz w:val="24"/>
                <w:szCs w:val="24"/>
                <w:highlight w:val="none"/>
                <w:u w:val="single" w:color="000000"/>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采购机构质疑接收人：</w:t>
            </w:r>
            <w:r>
              <w:rPr>
                <w:rStyle w:val="966"/>
                <w:rFonts w:hint="eastAsia" w:ascii="宋体" w:hAnsi="宋体" w:eastAsia="宋体" w:cs="宋体"/>
                <w:b w:val="0"/>
                <w:i w:val="0"/>
                <w:caps w:val="0"/>
                <w:color w:val="auto"/>
                <w:spacing w:val="0"/>
                <w:w w:val="100"/>
                <w:kern w:val="2"/>
                <w:sz w:val="24"/>
                <w:szCs w:val="24"/>
                <w:highlight w:val="none"/>
                <w:u w:val="single" w:color="auto"/>
                <w:lang w:val="en-US" w:eastAsia="zh-CN" w:bidi="ar-SA"/>
              </w:rPr>
              <w:t>陈工</w:t>
            </w:r>
            <w:r>
              <w:rPr>
                <w:rStyle w:val="966"/>
                <w:rFonts w:hint="eastAsia" w:ascii="宋体" w:hAnsi="宋体" w:eastAsia="宋体" w:cs="宋体"/>
                <w:b w:val="0"/>
                <w:i w:val="0"/>
                <w:caps w:val="0"/>
                <w:color w:val="auto"/>
                <w:spacing w:val="0"/>
                <w:w w:val="100"/>
                <w:kern w:val="2"/>
                <w:sz w:val="24"/>
                <w:szCs w:val="24"/>
                <w:highlight w:val="none"/>
                <w:u w:val="none" w:color="auto"/>
                <w:lang w:val="en-US" w:eastAsia="zh-CN" w:bidi="ar-SA"/>
              </w:rPr>
              <w:t xml:space="preserve">     </w:t>
            </w:r>
            <w:r>
              <w:rPr>
                <w:rStyle w:val="966"/>
                <w:rFonts w:hint="eastAsia" w:ascii="宋体" w:hAnsi="宋体" w:eastAsia="宋体" w:cs="宋体"/>
                <w:b w:val="0"/>
                <w:i w:val="0"/>
                <w:caps w:val="0"/>
                <w:color w:val="auto"/>
                <w:spacing w:val="0"/>
                <w:w w:val="100"/>
                <w:kern w:val="2"/>
                <w:sz w:val="24"/>
                <w:szCs w:val="24"/>
                <w:highlight w:val="none"/>
                <w:lang w:val="en-US" w:eastAsia="zh-CN" w:bidi="ar-SA"/>
              </w:rPr>
              <w:t>联系方式：</w:t>
            </w:r>
            <w:r>
              <w:rPr>
                <w:rStyle w:val="966"/>
                <w:rFonts w:hint="eastAsia" w:ascii="宋体" w:hAnsi="宋体" w:eastAsia="宋体" w:cs="宋体"/>
                <w:b w:val="0"/>
                <w:i w:val="0"/>
                <w:caps w:val="0"/>
                <w:color w:val="auto"/>
                <w:spacing w:val="0"/>
                <w:w w:val="100"/>
                <w:kern w:val="0"/>
                <w:sz w:val="24"/>
                <w:szCs w:val="24"/>
                <w:highlight w:val="none"/>
                <w:u w:val="single" w:color="000000"/>
                <w:lang w:val="en-US" w:eastAsia="zh-CN" w:bidi="ar-SA"/>
              </w:rPr>
              <w:t>0571-82634319</w:t>
            </w:r>
          </w:p>
          <w:p w14:paraId="516DFC6F">
            <w:pPr>
              <w:widowControl/>
              <w:snapToGrid w:val="0"/>
              <w:spacing w:before="0" w:beforeAutospacing="0" w:after="0" w:afterAutospacing="0" w:line="360" w:lineRule="exact"/>
              <w:jc w:val="both"/>
              <w:textAlignment w:val="baseline"/>
              <w:rPr>
                <w:rStyle w:val="966"/>
                <w:rFonts w:hint="eastAsia" w:ascii="宋体" w:hAnsi="宋体" w:eastAsia="宋体" w:cs="宋体"/>
                <w:b w:val="0"/>
                <w:i w:val="0"/>
                <w:caps w:val="0"/>
                <w:color w:val="auto"/>
                <w:spacing w:val="0"/>
                <w:w w:val="100"/>
                <w:kern w:val="2"/>
                <w:sz w:val="24"/>
                <w:szCs w:val="24"/>
                <w:highlight w:val="none"/>
                <w:u w:val="single" w:color="000000"/>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地址：</w:t>
            </w:r>
            <w:r>
              <w:rPr>
                <w:rFonts w:hint="eastAsia" w:ascii="宋体" w:hAnsi="宋体" w:eastAsia="宋体" w:cs="宋体"/>
                <w:color w:val="auto"/>
                <w:sz w:val="24"/>
                <w:szCs w:val="24"/>
                <w:highlight w:val="none"/>
                <w:lang w:eastAsia="zh-CN"/>
              </w:rPr>
              <w:t>杭州市萧山区金城路560号心意广场2幢10楼</w:t>
            </w:r>
          </w:p>
          <w:p w14:paraId="20BA9B6E">
            <w:pPr>
              <w:snapToGrid w:val="0"/>
              <w:spacing w:before="0" w:beforeAutospacing="0" w:after="0" w:afterAutospacing="0" w:line="360" w:lineRule="auto"/>
              <w:jc w:val="both"/>
              <w:textAlignment w:val="baseline"/>
              <w:rPr>
                <w:rStyle w:val="966"/>
                <w:rFonts w:hint="eastAsia" w:ascii="宋体" w:hAnsi="宋体" w:eastAsia="宋体" w:cs="宋体"/>
                <w:b w:val="0"/>
                <w:i w:val="0"/>
                <w:caps w:val="0"/>
                <w:color w:val="auto"/>
                <w:spacing w:val="0"/>
                <w:w w:val="100"/>
                <w:kern w:val="2"/>
                <w:sz w:val="24"/>
                <w:szCs w:val="24"/>
                <w:highlight w:val="none"/>
                <w:u w:val="single" w:color="000000"/>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邮箱：</w:t>
            </w:r>
            <w:r>
              <w:rPr>
                <w:rStyle w:val="966"/>
                <w:rFonts w:hint="eastAsia" w:ascii="宋体" w:hAnsi="宋体" w:eastAsia="宋体" w:cs="宋体"/>
                <w:b w:val="0"/>
                <w:i w:val="0"/>
                <w:caps w:val="0"/>
                <w:color w:val="auto"/>
                <w:spacing w:val="0"/>
                <w:w w:val="100"/>
                <w:kern w:val="2"/>
                <w:sz w:val="24"/>
                <w:szCs w:val="24"/>
                <w:highlight w:val="none"/>
                <w:u w:val="single" w:color="auto"/>
                <w:lang w:val="en-US" w:eastAsia="zh-CN" w:bidi="ar-SA"/>
              </w:rPr>
              <w:t>675600658@qq.com</w:t>
            </w:r>
            <w:r>
              <w:rPr>
                <w:rStyle w:val="966"/>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015FE185">
            <w:pPr>
              <w:snapToGrid w:val="0"/>
              <w:spacing w:before="0" w:beforeAutospacing="0" w:after="0" w:afterAutospacing="0" w:line="360" w:lineRule="auto"/>
              <w:jc w:val="both"/>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如通过邮箱方式发送质疑，须提交符合法规及交易文件要求的质疑文件（参考附件1），盖章扫描后发送。</w:t>
            </w:r>
          </w:p>
        </w:tc>
      </w:tr>
      <w:tr w14:paraId="1E3490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12"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14:paraId="2F8B6B2F">
            <w:pPr>
              <w:snapToGrid w:val="0"/>
              <w:spacing w:before="0" w:beforeAutospacing="0" w:after="0" w:afterAutospacing="0" w:line="360" w:lineRule="auto"/>
              <w:jc w:val="center"/>
              <w:textAlignment w:val="baseline"/>
              <w:rPr>
                <w:rStyle w:val="966"/>
                <w:rFonts w:hint="eastAsia" w:ascii="宋体" w:hAnsi="宋体" w:eastAsia="宋体" w:cs="宋体"/>
                <w:b w:val="0"/>
                <w:bCs/>
                <w:i w:val="0"/>
                <w:caps w:val="0"/>
                <w:color w:val="auto"/>
                <w:spacing w:val="0"/>
                <w:w w:val="100"/>
                <w:kern w:val="2"/>
                <w:sz w:val="24"/>
                <w:szCs w:val="24"/>
                <w:highlight w:val="none"/>
                <w:lang w:val="en-US" w:eastAsia="zh-CN" w:bidi="ar-SA"/>
              </w:rPr>
            </w:pPr>
            <w:r>
              <w:rPr>
                <w:rStyle w:val="966"/>
                <w:rFonts w:hint="eastAsia" w:ascii="宋体" w:hAnsi="宋体" w:eastAsia="宋体" w:cs="宋体"/>
                <w:b w:val="0"/>
                <w:bCs/>
                <w:i w:val="0"/>
                <w:caps w:val="0"/>
                <w:color w:val="auto"/>
                <w:spacing w:val="0"/>
                <w:w w:val="100"/>
                <w:kern w:val="2"/>
                <w:sz w:val="24"/>
                <w:szCs w:val="24"/>
                <w:highlight w:val="none"/>
                <w:lang w:val="en-US" w:eastAsia="zh-CN" w:bidi="ar-SA"/>
              </w:rPr>
              <w:t>13</w:t>
            </w:r>
          </w:p>
        </w:tc>
        <w:tc>
          <w:tcPr>
            <w:tcW w:w="1968" w:type="dxa"/>
            <w:tcBorders>
              <w:top w:val="single" w:color="000000" w:sz="8" w:space="0"/>
              <w:left w:val="single" w:color="000000" w:sz="2" w:space="0"/>
              <w:bottom w:val="single" w:color="000000" w:sz="8" w:space="0"/>
              <w:right w:val="single" w:color="000000" w:sz="8" w:space="0"/>
            </w:tcBorders>
            <w:vAlign w:val="center"/>
          </w:tcPr>
          <w:p w14:paraId="15845210">
            <w:pPr>
              <w:snapToGrid w:val="0"/>
              <w:spacing w:before="0" w:beforeAutospacing="0" w:after="0" w:afterAutospacing="0" w:line="240" w:lineRule="auto"/>
              <w:jc w:val="center"/>
              <w:textAlignment w:val="baseline"/>
              <w:rPr>
                <w:rStyle w:val="966"/>
                <w:rFonts w:hint="default"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cs="宋体"/>
                <w:b/>
                <w:i w:val="0"/>
                <w:caps w:val="0"/>
                <w:color w:val="auto"/>
                <w:spacing w:val="0"/>
                <w:w w:val="100"/>
                <w:kern w:val="2"/>
                <w:sz w:val="24"/>
                <w:szCs w:val="24"/>
                <w:highlight w:val="none"/>
                <w:lang w:val="en-US" w:eastAsia="zh-CN" w:bidi="ar-SA"/>
              </w:rPr>
              <w:t>评标办法</w:t>
            </w:r>
          </w:p>
        </w:tc>
        <w:tc>
          <w:tcPr>
            <w:tcW w:w="6100" w:type="dxa"/>
            <w:tcBorders>
              <w:top w:val="single" w:color="000000" w:sz="8" w:space="0"/>
              <w:left w:val="single" w:color="000000" w:sz="2" w:space="0"/>
              <w:bottom w:val="single" w:color="000000" w:sz="8" w:space="0"/>
              <w:right w:val="single" w:color="000000" w:sz="8" w:space="0"/>
            </w:tcBorders>
            <w:vAlign w:val="center"/>
          </w:tcPr>
          <w:p w14:paraId="1EE9FC0B">
            <w:pPr>
              <w:widowControl w:val="0"/>
              <w:jc w:val="both"/>
              <w:rPr>
                <w:rStyle w:val="966"/>
                <w:rFonts w:hint="default" w:ascii="宋体" w:hAnsi="宋体" w:eastAsia="宋体" w:cs="宋体"/>
                <w:b w:val="0"/>
                <w:i w:val="0"/>
                <w:caps w:val="0"/>
                <w:color w:val="auto"/>
                <w:spacing w:val="0"/>
                <w:w w:val="100"/>
                <w:kern w:val="28"/>
                <w:sz w:val="24"/>
                <w:szCs w:val="24"/>
                <w:highlight w:val="none"/>
                <w:lang w:val="en-US" w:eastAsia="zh-CN" w:bidi="ar-SA"/>
              </w:rPr>
            </w:pPr>
            <w:r>
              <w:rPr>
                <w:rStyle w:val="966"/>
                <w:rFonts w:hint="eastAsia" w:ascii="宋体" w:hAnsi="宋体" w:cs="宋体"/>
                <w:b w:val="0"/>
                <w:i w:val="0"/>
                <w:caps w:val="0"/>
                <w:color w:val="auto"/>
                <w:spacing w:val="0"/>
                <w:w w:val="100"/>
                <w:kern w:val="28"/>
                <w:sz w:val="24"/>
                <w:szCs w:val="24"/>
                <w:highlight w:val="none"/>
                <w:lang w:val="en-US" w:eastAsia="zh-CN" w:bidi="ar-SA"/>
              </w:rPr>
              <w:t>综合评估法</w:t>
            </w:r>
          </w:p>
        </w:tc>
      </w:tr>
      <w:tr w14:paraId="057606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14:paraId="7438EA81">
            <w:pPr>
              <w:snapToGrid w:val="0"/>
              <w:spacing w:before="0" w:beforeAutospacing="0" w:after="0" w:afterAutospacing="0" w:line="360" w:lineRule="auto"/>
              <w:jc w:val="center"/>
              <w:textAlignment w:val="baseline"/>
              <w:rPr>
                <w:rStyle w:val="966"/>
                <w:rFonts w:hint="eastAsia" w:ascii="宋体" w:hAnsi="宋体" w:eastAsia="宋体" w:cs="宋体"/>
                <w:b w:val="0"/>
                <w:i w:val="0"/>
                <w:caps w:val="0"/>
                <w:color w:val="auto"/>
                <w:spacing w:val="0"/>
                <w:w w:val="100"/>
                <w:kern w:val="2"/>
                <w:sz w:val="24"/>
                <w:szCs w:val="24"/>
                <w:highlight w:val="none"/>
                <w:lang w:val="en-US" w:eastAsia="zh-CN" w:bidi="ar-SA"/>
              </w:rPr>
            </w:pPr>
            <w:r>
              <w:rPr>
                <w:rStyle w:val="966"/>
                <w:rFonts w:hint="eastAsia" w:ascii="宋体" w:hAnsi="宋体" w:eastAsia="宋体" w:cs="宋体"/>
                <w:b w:val="0"/>
                <w:i w:val="0"/>
                <w:caps w:val="0"/>
                <w:color w:val="auto"/>
                <w:spacing w:val="0"/>
                <w:w w:val="100"/>
                <w:kern w:val="2"/>
                <w:sz w:val="24"/>
                <w:szCs w:val="24"/>
                <w:highlight w:val="none"/>
                <w:lang w:val="en-US" w:eastAsia="zh-CN" w:bidi="ar-SA"/>
              </w:rPr>
              <w:t>14</w:t>
            </w:r>
          </w:p>
        </w:tc>
        <w:tc>
          <w:tcPr>
            <w:tcW w:w="1968" w:type="dxa"/>
            <w:tcBorders>
              <w:top w:val="single" w:color="000000" w:sz="8" w:space="0"/>
              <w:left w:val="single" w:color="000000" w:sz="2" w:space="0"/>
              <w:bottom w:val="single" w:color="000000" w:sz="8" w:space="0"/>
              <w:right w:val="single" w:color="000000" w:sz="8" w:space="0"/>
            </w:tcBorders>
            <w:vAlign w:val="center"/>
          </w:tcPr>
          <w:p w14:paraId="384242F9">
            <w:pPr>
              <w:snapToGrid w:val="0"/>
              <w:spacing w:before="0" w:beforeAutospacing="0" w:after="0" w:afterAutospacing="0" w:line="240" w:lineRule="auto"/>
              <w:jc w:val="center"/>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特别说明</w:t>
            </w:r>
          </w:p>
        </w:tc>
        <w:tc>
          <w:tcPr>
            <w:tcW w:w="6100" w:type="dxa"/>
            <w:tcBorders>
              <w:top w:val="single" w:color="000000" w:sz="8" w:space="0"/>
              <w:left w:val="single" w:color="000000" w:sz="2" w:space="0"/>
              <w:bottom w:val="single" w:color="000000" w:sz="8" w:space="0"/>
              <w:right w:val="single" w:color="000000" w:sz="8" w:space="0"/>
            </w:tcBorders>
            <w:vAlign w:val="center"/>
          </w:tcPr>
          <w:p w14:paraId="1B47D73F">
            <w:pPr>
              <w:snapToGrid w:val="0"/>
              <w:spacing w:before="0" w:beforeAutospacing="0" w:after="0" w:afterAutospacing="0" w:line="360" w:lineRule="auto"/>
              <w:ind w:firstLine="482" w:firstLineChars="200"/>
              <w:jc w:val="both"/>
              <w:textAlignment w:val="baseline"/>
              <w:rPr>
                <w:rStyle w:val="966"/>
                <w:rFonts w:hint="eastAsia" w:ascii="宋体" w:hAnsi="宋体" w:eastAsia="宋体" w:cs="宋体"/>
                <w:b w:val="0"/>
                <w:i w:val="0"/>
                <w:caps w:val="0"/>
                <w:color w:val="auto"/>
                <w:spacing w:val="0"/>
                <w:w w:val="100"/>
                <w:kern w:val="28"/>
                <w:sz w:val="24"/>
                <w:szCs w:val="24"/>
                <w:highlight w:val="none"/>
                <w:lang w:val="en-US" w:eastAsia="zh-CN" w:bidi="ar-SA"/>
              </w:rPr>
            </w:pPr>
            <w:r>
              <w:rPr>
                <w:rStyle w:val="966"/>
                <w:rFonts w:hint="eastAsia" w:ascii="宋体" w:hAnsi="宋体" w:eastAsia="宋体" w:cs="宋体"/>
                <w:b/>
                <w:i w:val="0"/>
                <w:caps w:val="0"/>
                <w:color w:val="auto"/>
                <w:spacing w:val="0"/>
                <w:w w:val="100"/>
                <w:kern w:val="2"/>
                <w:sz w:val="24"/>
                <w:szCs w:val="24"/>
                <w:highlight w:val="none"/>
                <w:lang w:val="en-US" w:eastAsia="zh-CN" w:bidi="ar-SA"/>
              </w:rPr>
              <w:t>本项目通用总则条款与前附表等专用特别规定有冲突之处，以专用条款（特别规定）为准</w:t>
            </w:r>
          </w:p>
        </w:tc>
      </w:tr>
    </w:tbl>
    <w:p w14:paraId="0FAEA5D8">
      <w:pPr>
        <w:snapToGrid w:val="0"/>
        <w:spacing w:line="360" w:lineRule="auto"/>
        <w:jc w:val="center"/>
        <w:rPr>
          <w:rFonts w:ascii="宋体" w:hAnsi="宋体" w:cs="宋体"/>
          <w:b/>
          <w:color w:val="auto"/>
          <w:sz w:val="32"/>
          <w:szCs w:val="20"/>
        </w:rPr>
      </w:pPr>
    </w:p>
    <w:bookmarkEnd w:id="10"/>
    <w:p w14:paraId="7DEA7240">
      <w:pPr>
        <w:rPr>
          <w:rFonts w:hint="eastAsia"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br w:type="page"/>
      </w:r>
    </w:p>
    <w:p w14:paraId="3C933EF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A393611">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4304A5F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w:t>
      </w:r>
      <w:r>
        <w:rPr>
          <w:rFonts w:hint="eastAsia" w:ascii="宋体" w:hAnsi="宋体" w:cs="宋体"/>
          <w:color w:val="auto"/>
          <w:sz w:val="24"/>
          <w:lang w:eastAsia="zh-CN"/>
        </w:rPr>
        <w:t>交易文件</w:t>
      </w:r>
      <w:r>
        <w:rPr>
          <w:rFonts w:hint="eastAsia" w:ascii="宋体" w:hAnsi="宋体" w:cs="宋体"/>
          <w:color w:val="auto"/>
          <w:sz w:val="24"/>
        </w:rPr>
        <w:t>适用于该项目的</w:t>
      </w:r>
      <w:r>
        <w:rPr>
          <w:rFonts w:hint="eastAsia" w:ascii="宋体" w:hAnsi="宋体" w:cs="宋体"/>
          <w:color w:val="auto"/>
          <w:sz w:val="24"/>
          <w:lang w:eastAsia="zh-CN"/>
        </w:rPr>
        <w:t>交易</w:t>
      </w:r>
      <w:r>
        <w:rPr>
          <w:rFonts w:hint="eastAsia" w:ascii="宋体" w:hAnsi="宋体" w:cs="宋体"/>
          <w:color w:val="auto"/>
          <w:sz w:val="24"/>
        </w:rPr>
        <w:t>、</w:t>
      </w:r>
      <w:r>
        <w:rPr>
          <w:rFonts w:hint="eastAsia" w:ascii="宋体" w:hAnsi="宋体" w:cs="宋体"/>
          <w:color w:val="auto"/>
          <w:sz w:val="24"/>
          <w:lang w:val="en-US" w:eastAsia="zh-CN"/>
        </w:rPr>
        <w:t>响应</w:t>
      </w:r>
      <w:r>
        <w:rPr>
          <w:rFonts w:hint="eastAsia" w:ascii="宋体" w:hAnsi="宋体" w:cs="宋体"/>
          <w:color w:val="auto"/>
          <w:sz w:val="24"/>
        </w:rPr>
        <w:t>、开标、资格审查及信用信息查询、评标、定标、合同、验收等行为（法律、法规另有规定的，从其规定）。</w:t>
      </w:r>
    </w:p>
    <w:p w14:paraId="569B6A38">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B42F25E">
      <w:pPr>
        <w:spacing w:line="360" w:lineRule="auto"/>
        <w:ind w:firstLine="480" w:firstLineChars="200"/>
        <w:rPr>
          <w:rFonts w:ascii="宋体" w:hAnsi="宋体" w:cs="宋体"/>
          <w:color w:val="auto"/>
          <w:sz w:val="24"/>
        </w:rPr>
      </w:pPr>
      <w:r>
        <w:rPr>
          <w:rFonts w:hint="eastAsia" w:ascii="宋体" w:hAnsi="宋体" w:cs="宋体"/>
          <w:color w:val="auto"/>
          <w:sz w:val="24"/>
        </w:rPr>
        <w:t>2.1 “</w:t>
      </w:r>
      <w:r>
        <w:rPr>
          <w:rFonts w:hint="eastAsia" w:ascii="宋体" w:hAnsi="宋体" w:cs="宋体"/>
          <w:color w:val="auto"/>
          <w:sz w:val="24"/>
          <w:lang w:eastAsia="zh-CN"/>
        </w:rPr>
        <w:t>交易发起人</w:t>
      </w:r>
      <w:r>
        <w:rPr>
          <w:rFonts w:hint="eastAsia" w:ascii="宋体" w:hAnsi="宋体" w:cs="宋体"/>
          <w:color w:val="auto"/>
          <w:sz w:val="24"/>
        </w:rPr>
        <w:t>”系指</w:t>
      </w:r>
      <w:r>
        <w:rPr>
          <w:rFonts w:hint="eastAsia" w:ascii="宋体" w:hAnsi="宋体" w:cs="宋体"/>
          <w:color w:val="auto"/>
          <w:sz w:val="24"/>
          <w:lang w:eastAsia="zh-CN"/>
        </w:rPr>
        <w:t>交易</w:t>
      </w:r>
      <w:r>
        <w:rPr>
          <w:rFonts w:hint="eastAsia" w:ascii="宋体" w:hAnsi="宋体" w:cs="宋体"/>
          <w:color w:val="auto"/>
          <w:sz w:val="24"/>
        </w:rPr>
        <w:t>公告中载明的本项目的</w:t>
      </w:r>
      <w:r>
        <w:rPr>
          <w:rFonts w:hint="eastAsia" w:ascii="宋体" w:hAnsi="宋体" w:cs="宋体"/>
          <w:color w:val="auto"/>
          <w:sz w:val="24"/>
          <w:lang w:eastAsia="zh-CN"/>
        </w:rPr>
        <w:t>交易发起人</w:t>
      </w:r>
      <w:r>
        <w:rPr>
          <w:rFonts w:hint="eastAsia" w:ascii="宋体" w:hAnsi="宋体" w:cs="宋体"/>
          <w:color w:val="auto"/>
          <w:sz w:val="24"/>
        </w:rPr>
        <w:t>。</w:t>
      </w:r>
    </w:p>
    <w:p w14:paraId="108F95DD">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代理机构</w:t>
      </w:r>
      <w:r>
        <w:rPr>
          <w:rFonts w:hint="eastAsia" w:ascii="宋体" w:hAnsi="宋体" w:cs="宋体"/>
          <w:color w:val="auto"/>
          <w:sz w:val="24"/>
        </w:rPr>
        <w:t>”系指</w:t>
      </w:r>
      <w:r>
        <w:rPr>
          <w:rFonts w:hint="eastAsia" w:ascii="宋体" w:hAnsi="宋体" w:cs="宋体"/>
          <w:color w:val="auto"/>
          <w:sz w:val="24"/>
          <w:lang w:eastAsia="zh-CN"/>
        </w:rPr>
        <w:t>交易</w:t>
      </w:r>
      <w:r>
        <w:rPr>
          <w:rFonts w:hint="eastAsia" w:ascii="宋体" w:hAnsi="宋体" w:cs="宋体"/>
          <w:color w:val="auto"/>
          <w:sz w:val="24"/>
        </w:rPr>
        <w:t>公告中载明的本项目的</w:t>
      </w:r>
      <w:r>
        <w:rPr>
          <w:rFonts w:hint="eastAsia" w:ascii="宋体" w:hAnsi="宋体" w:cs="宋体"/>
          <w:color w:val="auto"/>
          <w:sz w:val="24"/>
          <w:lang w:eastAsia="zh-CN"/>
        </w:rPr>
        <w:t>代理机构</w:t>
      </w:r>
      <w:r>
        <w:rPr>
          <w:rFonts w:hint="eastAsia" w:ascii="宋体" w:hAnsi="宋体" w:cs="宋体"/>
          <w:color w:val="auto"/>
          <w:sz w:val="24"/>
        </w:rPr>
        <w:t>。</w:t>
      </w:r>
    </w:p>
    <w:p w14:paraId="36C48DCF">
      <w:pPr>
        <w:spacing w:line="360" w:lineRule="auto"/>
        <w:ind w:firstLine="480" w:firstLineChars="200"/>
        <w:rPr>
          <w:rFonts w:ascii="宋体" w:hAnsi="宋体" w:cs="宋体"/>
          <w:color w:val="auto"/>
          <w:sz w:val="24"/>
        </w:rPr>
      </w:pPr>
      <w:r>
        <w:rPr>
          <w:rFonts w:hint="eastAsia" w:ascii="宋体" w:hAnsi="宋体" w:cs="宋体"/>
          <w:color w:val="auto"/>
          <w:sz w:val="24"/>
        </w:rPr>
        <w:t>2.3 “</w:t>
      </w:r>
      <w:r>
        <w:rPr>
          <w:rFonts w:hint="eastAsia" w:ascii="宋体" w:hAnsi="宋体" w:cs="宋体"/>
          <w:color w:val="auto"/>
          <w:sz w:val="24"/>
          <w:lang w:eastAsia="zh-CN"/>
        </w:rPr>
        <w:t>供应商</w:t>
      </w:r>
      <w:r>
        <w:rPr>
          <w:rFonts w:hint="eastAsia" w:ascii="宋体" w:hAnsi="宋体" w:cs="宋体"/>
          <w:color w:val="auto"/>
          <w:sz w:val="24"/>
        </w:rPr>
        <w:t>”系指是指响应</w:t>
      </w:r>
      <w:r>
        <w:rPr>
          <w:rFonts w:hint="eastAsia" w:ascii="宋体" w:hAnsi="宋体" w:cs="宋体"/>
          <w:color w:val="auto"/>
          <w:sz w:val="24"/>
          <w:lang w:eastAsia="zh-CN"/>
        </w:rPr>
        <w:t>交易</w:t>
      </w:r>
      <w:r>
        <w:rPr>
          <w:rFonts w:hint="eastAsia" w:ascii="宋体" w:hAnsi="宋体" w:cs="宋体"/>
          <w:color w:val="auto"/>
          <w:sz w:val="24"/>
        </w:rPr>
        <w:t>、参加</w:t>
      </w:r>
      <w:r>
        <w:rPr>
          <w:rFonts w:hint="eastAsia" w:ascii="宋体" w:hAnsi="宋体" w:cs="宋体"/>
          <w:color w:val="auto"/>
          <w:sz w:val="24"/>
          <w:lang w:val="en-US" w:eastAsia="zh-CN"/>
        </w:rPr>
        <w:t>交易</w:t>
      </w:r>
      <w:r>
        <w:rPr>
          <w:rFonts w:hint="eastAsia" w:ascii="宋体" w:hAnsi="宋体" w:cs="宋体"/>
          <w:color w:val="auto"/>
          <w:sz w:val="24"/>
        </w:rPr>
        <w:t>竞争的法人、其他组织或者自然人。</w:t>
      </w:r>
    </w:p>
    <w:p w14:paraId="006802BE">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0DDBFEE">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lang w:eastAsia="zh-CN"/>
        </w:rPr>
        <w:t>响应</w:t>
      </w:r>
      <w:r>
        <w:rPr>
          <w:rFonts w:hint="eastAsia" w:ascii="宋体" w:hAnsi="宋体" w:cs="宋体"/>
          <w:color w:val="auto"/>
          <w:sz w:val="24"/>
        </w:rPr>
        <w:t>时须提供《业务专用章使用说明函》（附件</w:t>
      </w:r>
      <w:r>
        <w:rPr>
          <w:rFonts w:hint="eastAsia" w:ascii="宋体" w:hAnsi="宋体" w:cs="宋体"/>
          <w:color w:val="auto"/>
          <w:sz w:val="24"/>
          <w:lang w:val="en-US" w:eastAsia="zh-CN"/>
        </w:rPr>
        <w:t>2</w:t>
      </w:r>
      <w:r>
        <w:rPr>
          <w:rFonts w:hint="eastAsia" w:ascii="宋体" w:hAnsi="宋体" w:cs="宋体"/>
          <w:color w:val="auto"/>
          <w:sz w:val="24"/>
        </w:rPr>
        <w:t>）。</w:t>
      </w:r>
    </w:p>
    <w:p w14:paraId="4FFD284F">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w:t>
      </w:r>
      <w:r>
        <w:rPr>
          <w:rFonts w:hint="eastAsia" w:ascii="宋体" w:hAnsi="宋体" w:cs="宋体"/>
          <w:color w:val="auto"/>
          <w:sz w:val="24"/>
          <w:lang w:eastAsia="zh-CN"/>
        </w:rPr>
        <w:t>采购</w:t>
      </w:r>
      <w:r>
        <w:rPr>
          <w:rFonts w:hint="eastAsia" w:ascii="宋体" w:hAnsi="宋体" w:cs="宋体"/>
          <w:color w:val="auto"/>
          <w:sz w:val="24"/>
        </w:rPr>
        <w:t>活动所依托的政府采购云平台（https://www.zcygov.cn/）。</w:t>
      </w:r>
    </w:p>
    <w:p w14:paraId="18973F88">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C4CB7A2">
      <w:pPr>
        <w:spacing w:line="360" w:lineRule="auto"/>
        <w:ind w:firstLine="241" w:firstLineChars="100"/>
        <w:rPr>
          <w:rFonts w:ascii="宋体" w:hAnsi="宋体" w:cs="宋体"/>
          <w:b/>
          <w:color w:val="auto"/>
          <w:sz w:val="24"/>
        </w:rPr>
      </w:pPr>
      <w:r>
        <w:rPr>
          <w:rFonts w:ascii="宋体" w:hAnsi="宋体" w:cs="宋体"/>
          <w:b/>
          <w:color w:val="auto"/>
          <w:sz w:val="24"/>
        </w:rPr>
        <w:t>3</w:t>
      </w:r>
      <w:r>
        <w:rPr>
          <w:rFonts w:hint="eastAsia" w:ascii="宋体" w:hAnsi="宋体" w:cs="宋体"/>
          <w:b/>
          <w:color w:val="auto"/>
          <w:sz w:val="24"/>
        </w:rPr>
        <w:t>. 询问、质疑、投诉</w:t>
      </w:r>
    </w:p>
    <w:p w14:paraId="52AB45EC">
      <w:pPr>
        <w:autoSpaceDE w:val="0"/>
        <w:autoSpaceDN w:val="0"/>
        <w:spacing w:line="360" w:lineRule="auto"/>
        <w:ind w:firstLine="240" w:firstLineChars="100"/>
        <w:jc w:val="left"/>
        <w:rPr>
          <w:rFonts w:ascii="宋体" w:hAnsi="宋体" w:cs="微软雅黑"/>
          <w:color w:val="auto"/>
          <w:kern w:val="0"/>
          <w:sz w:val="24"/>
          <w:lang w:val="zh-CN"/>
        </w:rPr>
      </w:pPr>
      <w:r>
        <w:rPr>
          <w:rFonts w:hint="eastAsia" w:ascii="宋体" w:hAnsi="宋体" w:cs="微软雅黑"/>
          <w:color w:val="auto"/>
          <w:kern w:val="0"/>
          <w:sz w:val="24"/>
          <w:lang w:val="en-US" w:eastAsia="zh-CN"/>
        </w:rPr>
        <w:t>3</w:t>
      </w:r>
      <w:r>
        <w:rPr>
          <w:rFonts w:hint="eastAsia" w:ascii="宋体" w:hAnsi="宋体" w:cs="微软雅黑"/>
          <w:color w:val="auto"/>
          <w:kern w:val="0"/>
          <w:sz w:val="24"/>
          <w:lang w:val="zh-CN"/>
        </w:rPr>
        <w:t>.1供应商询问</w:t>
      </w:r>
    </w:p>
    <w:p w14:paraId="41279317">
      <w:pPr>
        <w:autoSpaceDE w:val="0"/>
        <w:autoSpaceDN w:val="0"/>
        <w:spacing w:line="360" w:lineRule="auto"/>
        <w:ind w:firstLine="480" w:firstLineChars="200"/>
        <w:jc w:val="left"/>
        <w:rPr>
          <w:rFonts w:ascii="宋体" w:hAnsi="宋体" w:cs="微软雅黑"/>
          <w:color w:val="auto"/>
          <w:kern w:val="0"/>
          <w:sz w:val="24"/>
          <w:lang w:val="zh-CN"/>
        </w:rPr>
      </w:pPr>
      <w:r>
        <w:rPr>
          <w:rFonts w:hint="eastAsia" w:ascii="宋体" w:hAnsi="宋体" w:cs="微软雅黑"/>
          <w:color w:val="auto"/>
          <w:kern w:val="0"/>
          <w:sz w:val="24"/>
          <w:lang w:val="zh-CN"/>
        </w:rPr>
        <w:t>供应商对采购活动事项有疑问的，可以提出询问，交易发起人或者代理机构应当在3个工作日内对供应商依法提出的询问作出答复，但答复的内容不得涉及商业秘密。供应商提出的询问超出交易发起人对代理机构委托授权范围的，代理机构应当告知供应商向交易发起人提出。</w:t>
      </w:r>
    </w:p>
    <w:p w14:paraId="77C4A2DD">
      <w:pPr>
        <w:autoSpaceDE w:val="0"/>
        <w:autoSpaceDN w:val="0"/>
        <w:spacing w:line="360" w:lineRule="auto"/>
        <w:ind w:firstLine="240" w:firstLineChars="100"/>
        <w:jc w:val="left"/>
        <w:rPr>
          <w:rFonts w:ascii="宋体" w:hAnsi="宋体" w:cs="微软雅黑"/>
          <w:color w:val="auto"/>
          <w:kern w:val="0"/>
          <w:sz w:val="24"/>
          <w:lang w:val="zh-CN"/>
        </w:rPr>
      </w:pPr>
      <w:r>
        <w:rPr>
          <w:rFonts w:hint="eastAsia" w:ascii="宋体" w:hAnsi="宋体" w:cs="微软雅黑"/>
          <w:color w:val="auto"/>
          <w:kern w:val="0"/>
          <w:sz w:val="24"/>
          <w:lang w:val="en-US" w:eastAsia="zh-CN"/>
        </w:rPr>
        <w:t>3</w:t>
      </w:r>
      <w:r>
        <w:rPr>
          <w:rFonts w:hint="eastAsia" w:ascii="宋体" w:hAnsi="宋体" w:cs="微软雅黑"/>
          <w:color w:val="auto"/>
          <w:kern w:val="0"/>
          <w:sz w:val="24"/>
          <w:lang w:val="zh-CN"/>
        </w:rPr>
        <w:t>.2供应商质疑</w:t>
      </w:r>
    </w:p>
    <w:p w14:paraId="1B59170C">
      <w:pPr>
        <w:pStyle w:val="32"/>
        <w:spacing w:line="360" w:lineRule="auto"/>
        <w:ind w:right="-512" w:firstLine="480" w:firstLineChars="200"/>
        <w:rPr>
          <w:rFonts w:hAnsi="宋体"/>
          <w:color w:val="auto"/>
          <w:sz w:val="24"/>
        </w:rPr>
      </w:pPr>
      <w:r>
        <w:rPr>
          <w:rFonts w:hint="eastAsia" w:hAnsi="宋体" w:cs="微软雅黑"/>
          <w:color w:val="auto"/>
          <w:kern w:val="0"/>
          <w:sz w:val="24"/>
          <w:lang w:val="en-US" w:eastAsia="zh-CN"/>
        </w:rPr>
        <w:t>3</w:t>
      </w:r>
      <w:r>
        <w:rPr>
          <w:rFonts w:hint="eastAsia" w:hAnsi="宋体" w:cs="微软雅黑"/>
          <w:color w:val="auto"/>
          <w:kern w:val="0"/>
          <w:sz w:val="24"/>
          <w:lang w:val="zh-CN"/>
        </w:rPr>
        <w:t>.2</w:t>
      </w:r>
      <w:r>
        <w:rPr>
          <w:rFonts w:hint="eastAsia" w:hAnsi="宋体"/>
          <w:color w:val="auto"/>
          <w:sz w:val="24"/>
        </w:rPr>
        <w:t>.1提出质疑的供应商应当是参与所质疑项目采购活动的供应商。潜在供应商已依法获取其可质疑的</w:t>
      </w:r>
      <w:r>
        <w:rPr>
          <w:rFonts w:hint="eastAsia" w:hAnsi="宋体"/>
          <w:color w:val="auto"/>
          <w:sz w:val="24"/>
          <w:lang w:eastAsia="zh-CN"/>
        </w:rPr>
        <w:t>交易文件</w:t>
      </w:r>
      <w:r>
        <w:rPr>
          <w:rFonts w:hint="eastAsia" w:hAnsi="宋体"/>
          <w:color w:val="auto"/>
          <w:sz w:val="24"/>
        </w:rPr>
        <w:t>的，可以对该文件提出质疑。</w:t>
      </w:r>
    </w:p>
    <w:p w14:paraId="0CFC672D">
      <w:pPr>
        <w:pStyle w:val="32"/>
        <w:spacing w:line="360" w:lineRule="auto"/>
        <w:ind w:right="-512" w:firstLine="480" w:firstLineChars="200"/>
        <w:rPr>
          <w:rFonts w:hAnsi="宋体"/>
          <w:color w:val="auto"/>
          <w:sz w:val="24"/>
          <w:highlight w:val="none"/>
        </w:rPr>
      </w:pPr>
      <w:r>
        <w:rPr>
          <w:rFonts w:hint="eastAsia" w:hAnsi="宋体" w:cs="微软雅黑"/>
          <w:color w:val="auto"/>
          <w:kern w:val="0"/>
          <w:sz w:val="24"/>
          <w:lang w:val="en-US" w:eastAsia="zh-CN"/>
        </w:rPr>
        <w:t>3</w:t>
      </w:r>
      <w:r>
        <w:rPr>
          <w:rFonts w:hint="eastAsia" w:hAnsi="宋体" w:cs="微软雅黑"/>
          <w:color w:val="auto"/>
          <w:kern w:val="0"/>
          <w:sz w:val="24"/>
          <w:lang w:val="zh-CN"/>
        </w:rPr>
        <w:t>.2</w:t>
      </w:r>
      <w:r>
        <w:rPr>
          <w:rFonts w:hint="eastAsia" w:hAnsi="宋体"/>
          <w:color w:val="auto"/>
          <w:sz w:val="24"/>
        </w:rPr>
        <w:t>.2供应商认为</w:t>
      </w:r>
      <w:r>
        <w:rPr>
          <w:rFonts w:hint="eastAsia" w:hAnsi="宋体"/>
          <w:color w:val="auto"/>
          <w:sz w:val="24"/>
          <w:lang w:eastAsia="zh-CN"/>
        </w:rPr>
        <w:t>交易文件</w:t>
      </w:r>
      <w:r>
        <w:rPr>
          <w:rFonts w:hint="eastAsia" w:hAnsi="宋体"/>
          <w:color w:val="auto"/>
          <w:sz w:val="24"/>
        </w:rPr>
        <w:t>、采购过程和成交结果使自己的权益受到损害的，可以在知道或者应知其权益受到损害之日</w:t>
      </w:r>
      <w:r>
        <w:rPr>
          <w:rFonts w:hint="eastAsia" w:hAnsi="宋体"/>
          <w:color w:val="auto"/>
          <w:sz w:val="24"/>
          <w:highlight w:val="none"/>
        </w:rPr>
        <w:t>起</w:t>
      </w:r>
      <w:r>
        <w:rPr>
          <w:rFonts w:hint="eastAsia" w:hAnsi="宋体"/>
          <w:color w:val="auto"/>
          <w:sz w:val="24"/>
          <w:highlight w:val="none"/>
          <w:lang w:val="en-US" w:eastAsia="zh-CN"/>
        </w:rPr>
        <w:t>三</w:t>
      </w:r>
      <w:r>
        <w:rPr>
          <w:rFonts w:hint="eastAsia" w:hAnsi="宋体"/>
          <w:color w:val="auto"/>
          <w:sz w:val="24"/>
          <w:highlight w:val="none"/>
        </w:rPr>
        <w:t>个工作日内，以书面形式向</w:t>
      </w:r>
      <w:r>
        <w:rPr>
          <w:rFonts w:hint="eastAsia" w:hAnsi="宋体"/>
          <w:color w:val="auto"/>
          <w:sz w:val="24"/>
          <w:highlight w:val="none"/>
          <w:lang w:eastAsia="zh-CN"/>
        </w:rPr>
        <w:t>交易发起人</w:t>
      </w:r>
      <w:r>
        <w:rPr>
          <w:rFonts w:hint="eastAsia" w:hAnsi="宋体"/>
          <w:color w:val="auto"/>
          <w:sz w:val="24"/>
          <w:highlight w:val="none"/>
        </w:rPr>
        <w:t>或者采购机构提出质疑，否则，</w:t>
      </w:r>
      <w:r>
        <w:rPr>
          <w:rFonts w:hint="eastAsia" w:hAnsi="宋体"/>
          <w:color w:val="auto"/>
          <w:sz w:val="24"/>
          <w:highlight w:val="none"/>
          <w:lang w:eastAsia="zh-CN"/>
        </w:rPr>
        <w:t>交易发起人</w:t>
      </w:r>
      <w:r>
        <w:rPr>
          <w:rFonts w:hint="eastAsia" w:hAnsi="宋体"/>
          <w:color w:val="auto"/>
          <w:sz w:val="24"/>
          <w:highlight w:val="none"/>
        </w:rPr>
        <w:t>或者采购机构不予受理。</w:t>
      </w:r>
    </w:p>
    <w:p w14:paraId="34639955">
      <w:pPr>
        <w:pStyle w:val="887"/>
        <w:shd w:val="clear" w:color="auto" w:fill="FFFFFF"/>
        <w:snapToGrid w:val="0"/>
        <w:spacing w:before="0" w:beforeAutospacing="0" w:after="0" w:afterAutospacing="0" w:line="360" w:lineRule="auto"/>
        <w:ind w:firstLine="403"/>
        <w:contextualSpacing/>
        <w:rPr>
          <w:color w:val="auto"/>
        </w:rPr>
      </w:pPr>
      <w:r>
        <w:rPr>
          <w:rFonts w:hint="eastAsia" w:cs="微软雅黑"/>
          <w:color w:val="auto"/>
          <w:highlight w:val="none"/>
          <w:lang w:val="en-US" w:eastAsia="zh-CN"/>
        </w:rPr>
        <w:t>3</w:t>
      </w:r>
      <w:r>
        <w:rPr>
          <w:rFonts w:hint="eastAsia" w:cs="微软雅黑"/>
          <w:color w:val="auto"/>
          <w:highlight w:val="none"/>
          <w:lang w:val="zh-CN"/>
        </w:rPr>
        <w:t>.2</w:t>
      </w:r>
      <w:r>
        <w:rPr>
          <w:rFonts w:hint="eastAsia"/>
          <w:color w:val="auto"/>
          <w:highlight w:val="none"/>
        </w:rPr>
        <w:t>.3</w:t>
      </w:r>
      <w:r>
        <w:rPr>
          <w:rFonts w:hint="eastAsia"/>
          <w:color w:val="auto"/>
          <w:highlight w:val="none"/>
          <w:lang w:eastAsia="zh-CN"/>
        </w:rPr>
        <w:t>交易发起人</w:t>
      </w:r>
      <w:r>
        <w:rPr>
          <w:rFonts w:hint="eastAsia"/>
          <w:color w:val="auto"/>
          <w:highlight w:val="none"/>
        </w:rPr>
        <w:t>或者采购机构应当在收到供应商的书面质疑后</w:t>
      </w:r>
      <w:r>
        <w:rPr>
          <w:rFonts w:hint="eastAsia" w:hAnsi="宋体"/>
          <w:color w:val="auto"/>
          <w:sz w:val="24"/>
          <w:highlight w:val="none"/>
          <w:lang w:val="en-US" w:eastAsia="zh-CN"/>
        </w:rPr>
        <w:t>三</w:t>
      </w:r>
      <w:r>
        <w:rPr>
          <w:rFonts w:hint="eastAsia"/>
          <w:color w:val="auto"/>
          <w:highlight w:val="none"/>
        </w:rPr>
        <w:t>个工作日</w:t>
      </w:r>
      <w:r>
        <w:rPr>
          <w:rFonts w:hint="eastAsia"/>
          <w:color w:val="auto"/>
        </w:rPr>
        <w:t>内作出答复，并以书面形式通知质疑供应商和其他与质疑处理结果有利害关系的采购当事人，但答复的内容不得涉及商业秘密。</w:t>
      </w:r>
    </w:p>
    <w:p w14:paraId="7BD894CD">
      <w:pPr>
        <w:pStyle w:val="887"/>
        <w:shd w:val="clear" w:color="auto" w:fill="FFFFFF"/>
        <w:snapToGrid w:val="0"/>
        <w:spacing w:after="240" w:afterAutospacing="0" w:line="360" w:lineRule="auto"/>
        <w:ind w:firstLine="480"/>
        <w:contextualSpacing/>
        <w:rPr>
          <w:rFonts w:ascii="宋体" w:hAnsi="宋体" w:cs="宋体"/>
          <w:color w:val="auto"/>
          <w:sz w:val="18"/>
          <w:szCs w:val="18"/>
        </w:rPr>
      </w:pPr>
      <w:r>
        <w:rPr>
          <w:rFonts w:hint="eastAsia" w:cs="微软雅黑"/>
          <w:color w:val="auto"/>
          <w:lang w:val="en-US" w:eastAsia="zh-CN"/>
        </w:rPr>
        <w:t>3</w:t>
      </w:r>
      <w:r>
        <w:rPr>
          <w:rFonts w:hint="eastAsia" w:cs="微软雅黑"/>
          <w:color w:val="auto"/>
          <w:lang w:val="zh-CN"/>
        </w:rPr>
        <w:t>.2</w:t>
      </w:r>
      <w:r>
        <w:rPr>
          <w:rFonts w:hint="eastAsia"/>
          <w:color w:val="auto"/>
        </w:rPr>
        <w:t>.4询问或者质疑事项可能影响采购结果的，</w:t>
      </w:r>
      <w:r>
        <w:rPr>
          <w:rFonts w:hint="eastAsia"/>
          <w:color w:val="auto"/>
          <w:lang w:eastAsia="zh-CN"/>
        </w:rPr>
        <w:t>交易发起人</w:t>
      </w:r>
      <w:r>
        <w:rPr>
          <w:rFonts w:hint="eastAsia"/>
          <w:color w:val="auto"/>
        </w:rPr>
        <w:t>应当暂停签订合同，已经签订合同的，应当中止履行合同。</w:t>
      </w:r>
    </w:p>
    <w:p w14:paraId="4C37FDDA">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w:t>
      </w:r>
      <w:r>
        <w:rPr>
          <w:rFonts w:hint="eastAsia" w:ascii="宋体" w:hAnsi="宋体" w:cs="宋体"/>
          <w:b/>
          <w:color w:val="auto"/>
          <w:sz w:val="32"/>
          <w:szCs w:val="20"/>
          <w:lang w:eastAsia="zh-CN"/>
        </w:rPr>
        <w:t>交易文件</w:t>
      </w:r>
      <w:r>
        <w:rPr>
          <w:rFonts w:hint="eastAsia" w:ascii="宋体" w:hAnsi="宋体" w:cs="宋体"/>
          <w:b/>
          <w:color w:val="auto"/>
          <w:sz w:val="32"/>
          <w:szCs w:val="20"/>
        </w:rPr>
        <w:t>的构成、澄清、修改</w:t>
      </w:r>
    </w:p>
    <w:p w14:paraId="1FAD74A4">
      <w:pPr>
        <w:pStyle w:val="32"/>
        <w:spacing w:line="360" w:lineRule="auto"/>
        <w:rPr>
          <w:rFonts w:hAnsi="宋体" w:cs="宋体"/>
          <w:b/>
          <w:color w:val="auto"/>
          <w:sz w:val="24"/>
          <w:szCs w:val="24"/>
        </w:rPr>
      </w:pPr>
      <w:r>
        <w:rPr>
          <w:rFonts w:hint="eastAsia" w:hAnsi="宋体" w:cs="宋体"/>
          <w:b/>
          <w:color w:val="auto"/>
          <w:sz w:val="24"/>
          <w:szCs w:val="24"/>
          <w:lang w:val="en-US" w:eastAsia="zh-CN"/>
        </w:rPr>
        <w:t>4</w:t>
      </w:r>
      <w:r>
        <w:rPr>
          <w:rFonts w:hint="eastAsia" w:hAnsi="宋体" w:cs="宋体"/>
          <w:b/>
          <w:color w:val="auto"/>
          <w:sz w:val="24"/>
          <w:szCs w:val="24"/>
        </w:rPr>
        <w:t>．</w:t>
      </w:r>
      <w:r>
        <w:rPr>
          <w:rFonts w:hint="eastAsia" w:hAnsi="宋体" w:cs="宋体"/>
          <w:b/>
          <w:color w:val="auto"/>
          <w:sz w:val="24"/>
          <w:szCs w:val="24"/>
          <w:lang w:eastAsia="zh-CN"/>
        </w:rPr>
        <w:t>交易文件</w:t>
      </w:r>
      <w:r>
        <w:rPr>
          <w:rFonts w:hint="eastAsia" w:hAnsi="宋体" w:cs="宋体"/>
          <w:b/>
          <w:color w:val="auto"/>
          <w:sz w:val="24"/>
          <w:szCs w:val="24"/>
        </w:rPr>
        <w:t>的构成</w:t>
      </w:r>
    </w:p>
    <w:p w14:paraId="43A6EEA6">
      <w:pPr>
        <w:pStyle w:val="32"/>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 xml:space="preserve">.1 </w:t>
      </w:r>
      <w:r>
        <w:rPr>
          <w:rFonts w:hint="eastAsia" w:hAnsi="宋体" w:cs="宋体"/>
          <w:color w:val="auto"/>
          <w:sz w:val="24"/>
          <w:szCs w:val="24"/>
          <w:lang w:eastAsia="zh-CN"/>
        </w:rPr>
        <w:t>交易文件</w:t>
      </w:r>
      <w:r>
        <w:rPr>
          <w:rFonts w:hint="eastAsia" w:hAnsi="宋体" w:cs="宋体"/>
          <w:color w:val="auto"/>
          <w:sz w:val="24"/>
          <w:szCs w:val="24"/>
        </w:rPr>
        <w:t>包括下列文件及附件：</w:t>
      </w:r>
    </w:p>
    <w:p w14:paraId="298CC3B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1.1</w:t>
      </w:r>
      <w:r>
        <w:rPr>
          <w:rFonts w:hint="eastAsia" w:hAnsi="宋体" w:cs="宋体"/>
          <w:color w:val="auto"/>
          <w:sz w:val="24"/>
          <w:szCs w:val="24"/>
          <w:lang w:eastAsia="zh-CN"/>
        </w:rPr>
        <w:t>交易</w:t>
      </w:r>
      <w:r>
        <w:rPr>
          <w:rFonts w:hint="eastAsia" w:hAnsi="宋体" w:cs="宋体"/>
          <w:color w:val="auto"/>
          <w:sz w:val="24"/>
          <w:szCs w:val="24"/>
        </w:rPr>
        <w:t>公告；</w:t>
      </w:r>
    </w:p>
    <w:p w14:paraId="6AD3A85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1.2</w:t>
      </w:r>
      <w:r>
        <w:rPr>
          <w:rFonts w:hint="eastAsia" w:hAnsi="宋体" w:cs="宋体"/>
          <w:color w:val="auto"/>
          <w:sz w:val="24"/>
          <w:szCs w:val="24"/>
          <w:lang w:eastAsia="zh-CN"/>
        </w:rPr>
        <w:t>供应商</w:t>
      </w:r>
      <w:r>
        <w:rPr>
          <w:rFonts w:hint="eastAsia" w:hAnsi="宋体" w:cs="宋体"/>
          <w:color w:val="auto"/>
          <w:sz w:val="24"/>
          <w:szCs w:val="24"/>
        </w:rPr>
        <w:t>须知；</w:t>
      </w:r>
    </w:p>
    <w:p w14:paraId="5B88A03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1.3采购需求；</w:t>
      </w:r>
    </w:p>
    <w:p w14:paraId="527DBC4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1.4评标办法；</w:t>
      </w:r>
    </w:p>
    <w:p w14:paraId="6EBBFB5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1.5拟签订的合同文本；</w:t>
      </w:r>
    </w:p>
    <w:p w14:paraId="287CB51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lang w:eastAsia="zh-CN"/>
        </w:rPr>
        <w:t>4.</w:t>
      </w:r>
      <w:r>
        <w:rPr>
          <w:rFonts w:hint="eastAsia" w:hAnsi="宋体" w:cs="宋体"/>
          <w:color w:val="auto"/>
          <w:sz w:val="24"/>
        </w:rPr>
        <w:t>1.6</w:t>
      </w:r>
      <w:r>
        <w:rPr>
          <w:rFonts w:hint="eastAsia" w:hAnsi="宋体" w:cs="宋体"/>
          <w:color w:val="auto"/>
          <w:sz w:val="24"/>
          <w:szCs w:val="24"/>
        </w:rPr>
        <w:t>应提交的有关格式范例。</w:t>
      </w:r>
    </w:p>
    <w:p w14:paraId="45FC2C32">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2与本项目有关的</w:t>
      </w:r>
      <w:r>
        <w:rPr>
          <w:rFonts w:hint="eastAsia" w:ascii="宋体" w:hAnsi="宋体" w:cs="宋体"/>
          <w:bCs/>
          <w:color w:val="auto"/>
          <w:sz w:val="24"/>
        </w:rPr>
        <w:t>澄清或者修改的内容为</w:t>
      </w:r>
      <w:r>
        <w:rPr>
          <w:rFonts w:hint="eastAsia" w:ascii="宋体" w:hAnsi="宋体" w:cs="宋体"/>
          <w:bCs/>
          <w:color w:val="auto"/>
          <w:sz w:val="24"/>
          <w:lang w:eastAsia="zh-CN"/>
        </w:rPr>
        <w:t>交易文件</w:t>
      </w:r>
      <w:r>
        <w:rPr>
          <w:rFonts w:hint="eastAsia" w:ascii="宋体" w:hAnsi="宋体" w:cs="宋体"/>
          <w:bCs/>
          <w:color w:val="auto"/>
          <w:sz w:val="24"/>
        </w:rPr>
        <w:t>的组成部分</w:t>
      </w:r>
      <w:r>
        <w:rPr>
          <w:rFonts w:hint="eastAsia" w:ascii="宋体" w:hAnsi="宋体" w:cs="宋体"/>
          <w:color w:val="auto"/>
          <w:sz w:val="24"/>
        </w:rPr>
        <w:t>。</w:t>
      </w:r>
    </w:p>
    <w:p w14:paraId="05D52564">
      <w:pPr>
        <w:pStyle w:val="32"/>
        <w:spacing w:line="360" w:lineRule="auto"/>
        <w:rPr>
          <w:rFonts w:hAnsi="宋体" w:cs="宋体"/>
          <w:b/>
          <w:color w:val="auto"/>
          <w:sz w:val="24"/>
          <w:szCs w:val="24"/>
        </w:rPr>
      </w:pPr>
      <w:r>
        <w:rPr>
          <w:rFonts w:hint="eastAsia" w:hAnsi="宋体" w:cs="宋体"/>
          <w:b/>
          <w:color w:val="auto"/>
          <w:sz w:val="24"/>
          <w:szCs w:val="24"/>
          <w:lang w:val="en-US" w:eastAsia="zh-CN"/>
        </w:rPr>
        <w:t>5</w:t>
      </w:r>
      <w:r>
        <w:rPr>
          <w:rFonts w:hint="eastAsia" w:hAnsi="宋体" w:cs="宋体"/>
          <w:b/>
          <w:color w:val="auto"/>
          <w:sz w:val="24"/>
          <w:szCs w:val="24"/>
        </w:rPr>
        <w:t xml:space="preserve">. </w:t>
      </w:r>
      <w:r>
        <w:rPr>
          <w:rFonts w:hint="eastAsia" w:hAnsi="宋体" w:cs="宋体"/>
          <w:b/>
          <w:color w:val="auto"/>
          <w:sz w:val="24"/>
          <w:szCs w:val="24"/>
          <w:lang w:eastAsia="zh-CN"/>
        </w:rPr>
        <w:t>交易文件</w:t>
      </w:r>
      <w:r>
        <w:rPr>
          <w:rFonts w:hint="eastAsia" w:hAnsi="宋体" w:cs="宋体"/>
          <w:b/>
          <w:color w:val="auto"/>
          <w:sz w:val="24"/>
          <w:szCs w:val="24"/>
        </w:rPr>
        <w:t>的澄清、修改</w:t>
      </w:r>
    </w:p>
    <w:p w14:paraId="24E3FB93">
      <w:pPr>
        <w:pStyle w:val="130"/>
        <w:snapToGrid w:val="0"/>
        <w:spacing w:before="0"/>
        <w:ind w:firstLine="480"/>
        <w:rPr>
          <w:rFonts w:ascii="宋体" w:hAnsi="宋体" w:cs="宋体"/>
          <w:color w:val="auto"/>
        </w:rPr>
      </w:pPr>
      <w:r>
        <w:rPr>
          <w:rFonts w:hint="eastAsia" w:ascii="宋体" w:hAnsi="宋体" w:cs="宋体"/>
          <w:color w:val="auto"/>
          <w:lang w:val="en-US" w:eastAsia="zh-CN"/>
        </w:rPr>
        <w:t>5</w:t>
      </w:r>
      <w:r>
        <w:rPr>
          <w:rFonts w:hint="eastAsia" w:ascii="宋体" w:hAnsi="宋体" w:cs="宋体"/>
          <w:color w:val="auto"/>
        </w:rPr>
        <w:t>.1已获取</w:t>
      </w:r>
      <w:r>
        <w:rPr>
          <w:rFonts w:hint="eastAsia" w:ascii="宋体" w:hAnsi="宋体" w:cs="宋体"/>
          <w:color w:val="auto"/>
          <w:lang w:eastAsia="zh-CN"/>
        </w:rPr>
        <w:t>交易文件</w:t>
      </w:r>
      <w:r>
        <w:rPr>
          <w:rFonts w:hint="eastAsia" w:ascii="宋体" w:hAnsi="宋体" w:cs="宋体"/>
          <w:color w:val="auto"/>
        </w:rPr>
        <w:t>的潜在</w:t>
      </w:r>
      <w:r>
        <w:rPr>
          <w:rFonts w:hint="eastAsia" w:ascii="宋体" w:hAnsi="宋体" w:cs="宋体"/>
          <w:color w:val="auto"/>
          <w:lang w:eastAsia="zh-CN"/>
        </w:rPr>
        <w:t>供应商</w:t>
      </w:r>
      <w:r>
        <w:rPr>
          <w:rFonts w:hint="eastAsia" w:ascii="宋体" w:hAnsi="宋体" w:cs="宋体"/>
          <w:color w:val="auto"/>
        </w:rPr>
        <w:t>，若有问题需要澄清，应于</w:t>
      </w:r>
      <w:r>
        <w:rPr>
          <w:rFonts w:hint="eastAsia" w:ascii="宋体" w:hAnsi="宋体" w:cs="宋体"/>
          <w:color w:val="auto"/>
          <w:lang w:eastAsia="zh-CN"/>
        </w:rPr>
        <w:t>响应截止</w:t>
      </w:r>
      <w:r>
        <w:rPr>
          <w:rFonts w:hint="eastAsia" w:ascii="宋体" w:hAnsi="宋体" w:cs="宋体"/>
          <w:color w:val="auto"/>
        </w:rPr>
        <w:t>时间前，以书面形式向</w:t>
      </w:r>
      <w:r>
        <w:rPr>
          <w:rFonts w:hint="eastAsia" w:ascii="宋体" w:hAnsi="宋体" w:cs="宋体"/>
          <w:color w:val="auto"/>
          <w:lang w:eastAsia="zh-CN"/>
        </w:rPr>
        <w:t>代理机构</w:t>
      </w:r>
      <w:r>
        <w:rPr>
          <w:rFonts w:hint="eastAsia" w:ascii="宋体" w:hAnsi="宋体" w:cs="宋体"/>
          <w:color w:val="auto"/>
        </w:rPr>
        <w:t>提出。</w:t>
      </w:r>
    </w:p>
    <w:p w14:paraId="0099A564">
      <w:pPr>
        <w:pStyle w:val="130"/>
        <w:snapToGrid w:val="0"/>
        <w:spacing w:before="0"/>
        <w:ind w:firstLine="480"/>
        <w:rPr>
          <w:rFonts w:ascii="宋体" w:hAnsi="宋体" w:cs="宋体"/>
          <w:color w:val="auto"/>
        </w:rPr>
      </w:pPr>
      <w:r>
        <w:rPr>
          <w:rFonts w:hint="eastAsia" w:ascii="宋体" w:hAnsi="宋体" w:cs="宋体"/>
          <w:color w:val="auto"/>
          <w:lang w:val="en-US" w:eastAsia="zh-CN"/>
        </w:rPr>
        <w:t>5</w:t>
      </w:r>
      <w:r>
        <w:rPr>
          <w:rFonts w:hint="eastAsia" w:ascii="宋体" w:hAnsi="宋体" w:cs="宋体"/>
          <w:color w:val="auto"/>
        </w:rPr>
        <w:t xml:space="preserve">.2 </w:t>
      </w:r>
      <w:r>
        <w:rPr>
          <w:rFonts w:hint="eastAsia" w:ascii="宋体" w:hAnsi="宋体" w:cs="宋体"/>
          <w:color w:val="auto"/>
          <w:lang w:eastAsia="zh-CN"/>
        </w:rPr>
        <w:t>代理机构</w:t>
      </w:r>
      <w:r>
        <w:rPr>
          <w:rFonts w:hint="eastAsia" w:ascii="宋体" w:hAnsi="宋体" w:cs="宋体"/>
          <w:color w:val="auto"/>
        </w:rPr>
        <w:t>对</w:t>
      </w:r>
      <w:r>
        <w:rPr>
          <w:rFonts w:hint="eastAsia" w:ascii="宋体" w:hAnsi="宋体" w:cs="宋体"/>
          <w:color w:val="auto"/>
          <w:lang w:eastAsia="zh-CN"/>
        </w:rPr>
        <w:t>交易文件</w:t>
      </w:r>
      <w:r>
        <w:rPr>
          <w:rFonts w:hint="eastAsia" w:ascii="宋体" w:hAnsi="宋体" w:cs="宋体"/>
          <w:color w:val="auto"/>
        </w:rPr>
        <w:t>进行澄清或修改的，将同时通过电子交易平台通知已获取</w:t>
      </w:r>
      <w:r>
        <w:rPr>
          <w:rFonts w:hint="eastAsia" w:ascii="宋体" w:hAnsi="宋体" w:cs="宋体"/>
          <w:color w:val="auto"/>
          <w:lang w:eastAsia="zh-CN"/>
        </w:rPr>
        <w:t>交易文件</w:t>
      </w:r>
      <w:r>
        <w:rPr>
          <w:rFonts w:hint="eastAsia" w:ascii="宋体" w:hAnsi="宋体" w:cs="宋体"/>
          <w:color w:val="auto"/>
        </w:rPr>
        <w:t>的潜在</w:t>
      </w:r>
      <w:r>
        <w:rPr>
          <w:rFonts w:hint="eastAsia" w:ascii="宋体" w:hAnsi="宋体" w:cs="宋体"/>
          <w:color w:val="auto"/>
          <w:lang w:eastAsia="zh-CN"/>
        </w:rPr>
        <w:t>供应商</w:t>
      </w:r>
      <w:r>
        <w:rPr>
          <w:rFonts w:hint="eastAsia" w:ascii="宋体" w:hAnsi="宋体" w:cs="宋体"/>
          <w:color w:val="auto"/>
        </w:rPr>
        <w:t>。依法应当公告的，将按规定公告，同时视情况延长</w:t>
      </w:r>
      <w:r>
        <w:rPr>
          <w:rFonts w:hint="eastAsia" w:ascii="宋体" w:hAnsi="宋体" w:cs="宋体"/>
          <w:color w:val="auto"/>
          <w:lang w:eastAsia="zh-CN"/>
        </w:rPr>
        <w:t>响应截止</w:t>
      </w:r>
      <w:r>
        <w:rPr>
          <w:rFonts w:hint="eastAsia" w:ascii="宋体" w:hAnsi="宋体" w:cs="宋体"/>
          <w:color w:val="auto"/>
        </w:rPr>
        <w:t>时间和开标时间。该澄清或者修改的内容为</w:t>
      </w:r>
      <w:r>
        <w:rPr>
          <w:rFonts w:hint="eastAsia" w:ascii="宋体" w:hAnsi="宋体" w:cs="宋体"/>
          <w:color w:val="auto"/>
          <w:lang w:eastAsia="zh-CN"/>
        </w:rPr>
        <w:t>交易文件</w:t>
      </w:r>
      <w:r>
        <w:rPr>
          <w:rFonts w:hint="eastAsia" w:ascii="宋体" w:hAnsi="宋体" w:cs="宋体"/>
          <w:color w:val="auto"/>
        </w:rPr>
        <w:t>的组成部分。</w:t>
      </w:r>
    </w:p>
    <w:p w14:paraId="5F0E5931">
      <w:pPr>
        <w:spacing w:line="360" w:lineRule="auto"/>
        <w:ind w:firstLine="420" w:firstLineChars="200"/>
        <w:rPr>
          <w:rFonts w:hAnsi="宋体" w:cs="宋体"/>
          <w:color w:val="auto"/>
          <w:sz w:val="18"/>
          <w:szCs w:val="18"/>
          <w:lang w:val="en-US"/>
        </w:rPr>
      </w:pPr>
      <w:r>
        <w:rPr>
          <w:rFonts w:hint="eastAsia" w:hAnsi="宋体" w:cs="宋体"/>
          <w:color w:val="auto"/>
        </w:rPr>
        <w:t xml:space="preserve"> </w:t>
      </w:r>
      <w:r>
        <w:rPr>
          <w:rFonts w:hint="eastAsia" w:ascii="宋体" w:hAnsi="宋体" w:cs="宋体"/>
          <w:b/>
          <w:color w:val="auto"/>
          <w:sz w:val="24"/>
        </w:rPr>
        <w:t>▲</w:t>
      </w:r>
      <w:r>
        <w:rPr>
          <w:rFonts w:hint="eastAsia" w:ascii="宋体" w:hAnsi="宋体" w:cs="宋体"/>
          <w:b/>
          <w:color w:val="auto"/>
          <w:sz w:val="24"/>
          <w:szCs w:val="21"/>
          <w:lang w:eastAsia="zh-CN"/>
        </w:rPr>
        <w:t>响应文件</w:t>
      </w:r>
      <w:r>
        <w:rPr>
          <w:rFonts w:hint="eastAsia" w:ascii="宋体" w:hAnsi="宋体" w:cs="宋体"/>
          <w:b/>
          <w:color w:val="auto"/>
          <w:sz w:val="24"/>
          <w:szCs w:val="21"/>
        </w:rPr>
        <w:t>未按</w:t>
      </w:r>
      <w:r>
        <w:rPr>
          <w:rFonts w:hint="eastAsia" w:ascii="宋体" w:hAnsi="宋体" w:cs="宋体"/>
          <w:b/>
          <w:color w:val="auto"/>
          <w:sz w:val="24"/>
          <w:szCs w:val="21"/>
          <w:lang w:eastAsia="zh-CN"/>
        </w:rPr>
        <w:t>交易文件</w:t>
      </w:r>
      <w:r>
        <w:rPr>
          <w:rFonts w:hint="eastAsia" w:ascii="宋体" w:hAnsi="宋体" w:cs="宋体"/>
          <w:b/>
          <w:color w:val="auto"/>
          <w:sz w:val="24"/>
          <w:szCs w:val="21"/>
        </w:rPr>
        <w:t>更正、补遗公告的澄清、修改的内容编制，又不符合实质性要求的，</w:t>
      </w:r>
      <w:r>
        <w:rPr>
          <w:rFonts w:hint="eastAsia" w:ascii="宋体" w:hAnsi="宋体" w:cs="宋体"/>
          <w:b/>
          <w:color w:val="auto"/>
          <w:sz w:val="24"/>
          <w:szCs w:val="21"/>
          <w:lang w:eastAsia="zh-CN"/>
        </w:rPr>
        <w:t>响应</w:t>
      </w:r>
      <w:r>
        <w:rPr>
          <w:rFonts w:hint="eastAsia" w:ascii="宋体" w:hAnsi="宋体" w:cs="宋体"/>
          <w:b/>
          <w:color w:val="auto"/>
          <w:sz w:val="24"/>
          <w:szCs w:val="21"/>
        </w:rPr>
        <w:t>无效。</w:t>
      </w:r>
    </w:p>
    <w:p w14:paraId="360BA1A4">
      <w:pPr>
        <w:adjustRightInd/>
        <w:spacing w:line="360" w:lineRule="auto"/>
        <w:jc w:val="center"/>
        <w:outlineLvl w:val="0"/>
        <w:rPr>
          <w:rFonts w:hint="eastAsia" w:ascii="宋体" w:hAnsi="宋体" w:eastAsia="宋体" w:cs="宋体"/>
          <w:b/>
          <w:color w:val="auto"/>
          <w:sz w:val="32"/>
          <w:szCs w:val="32"/>
          <w:lang w:val="en-US" w:eastAsia="zh-CN"/>
        </w:rPr>
      </w:pPr>
      <w:r>
        <w:rPr>
          <w:rFonts w:hint="eastAsia" w:ascii="宋体" w:hAnsi="宋体" w:cs="宋体"/>
          <w:b/>
          <w:color w:val="auto"/>
          <w:sz w:val="32"/>
          <w:szCs w:val="32"/>
        </w:rPr>
        <w:t>三、</w:t>
      </w:r>
      <w:r>
        <w:rPr>
          <w:rFonts w:hint="eastAsia" w:ascii="宋体" w:hAnsi="宋体" w:cs="宋体"/>
          <w:b/>
          <w:color w:val="auto"/>
          <w:sz w:val="32"/>
          <w:szCs w:val="32"/>
          <w:lang w:val="en-US" w:eastAsia="zh-CN"/>
        </w:rPr>
        <w:t>交易</w:t>
      </w:r>
    </w:p>
    <w:p w14:paraId="163F5032">
      <w:pPr>
        <w:pStyle w:val="32"/>
        <w:spacing w:line="360" w:lineRule="auto"/>
        <w:rPr>
          <w:rFonts w:hAnsi="宋体" w:cs="宋体"/>
          <w:b/>
          <w:color w:val="auto"/>
          <w:sz w:val="24"/>
          <w:szCs w:val="24"/>
        </w:rPr>
      </w:pPr>
      <w:r>
        <w:rPr>
          <w:rFonts w:hint="eastAsia" w:hAnsi="宋体" w:cs="宋体"/>
          <w:b/>
          <w:color w:val="auto"/>
          <w:sz w:val="24"/>
          <w:szCs w:val="24"/>
          <w:lang w:val="en-US" w:eastAsia="zh-CN"/>
        </w:rPr>
        <w:t>6</w:t>
      </w:r>
      <w:r>
        <w:rPr>
          <w:rFonts w:hint="eastAsia" w:hAnsi="宋体" w:cs="宋体"/>
          <w:b/>
          <w:color w:val="auto"/>
          <w:sz w:val="24"/>
          <w:szCs w:val="24"/>
        </w:rPr>
        <w:t xml:space="preserve">. </w:t>
      </w:r>
      <w:r>
        <w:rPr>
          <w:rFonts w:hint="eastAsia" w:hAnsi="宋体" w:cs="宋体"/>
          <w:b/>
          <w:color w:val="auto"/>
          <w:sz w:val="24"/>
          <w:szCs w:val="24"/>
          <w:lang w:eastAsia="zh-CN"/>
        </w:rPr>
        <w:t>交易文件</w:t>
      </w:r>
      <w:r>
        <w:rPr>
          <w:rFonts w:hint="eastAsia" w:hAnsi="宋体" w:cs="宋体"/>
          <w:b/>
          <w:color w:val="auto"/>
          <w:sz w:val="24"/>
          <w:szCs w:val="24"/>
        </w:rPr>
        <w:t>的获取</w:t>
      </w:r>
    </w:p>
    <w:p w14:paraId="1575A6AD">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w:t>
      </w:r>
      <w:r>
        <w:rPr>
          <w:rFonts w:hint="eastAsia" w:ascii="宋体" w:hAnsi="宋体" w:cs="宋体"/>
          <w:snapToGrid w:val="0"/>
          <w:color w:val="auto"/>
          <w:kern w:val="28"/>
          <w:sz w:val="24"/>
          <w:lang w:eastAsia="zh-CN"/>
        </w:rPr>
        <w:t>交易</w:t>
      </w:r>
      <w:r>
        <w:rPr>
          <w:rFonts w:hint="eastAsia" w:ascii="宋体" w:hAnsi="宋体" w:cs="宋体"/>
          <w:snapToGrid w:val="0"/>
          <w:color w:val="auto"/>
          <w:kern w:val="28"/>
          <w:sz w:val="24"/>
        </w:rPr>
        <w:t>公告中获取</w:t>
      </w:r>
      <w:r>
        <w:rPr>
          <w:rFonts w:hint="eastAsia" w:ascii="宋体" w:hAnsi="宋体" w:cs="宋体"/>
          <w:snapToGrid w:val="0"/>
          <w:color w:val="auto"/>
          <w:kern w:val="28"/>
          <w:sz w:val="24"/>
          <w:lang w:eastAsia="zh-CN"/>
        </w:rPr>
        <w:t>交易文件</w:t>
      </w:r>
      <w:r>
        <w:rPr>
          <w:rFonts w:hint="eastAsia" w:ascii="宋体" w:hAnsi="宋体" w:cs="宋体"/>
          <w:snapToGrid w:val="0"/>
          <w:color w:val="auto"/>
          <w:kern w:val="28"/>
          <w:sz w:val="24"/>
        </w:rPr>
        <w:t>的时间期限、地点、方式及</w:t>
      </w:r>
      <w:r>
        <w:rPr>
          <w:rFonts w:hint="eastAsia" w:ascii="宋体" w:hAnsi="宋体" w:cs="宋体"/>
          <w:snapToGrid w:val="0"/>
          <w:color w:val="auto"/>
          <w:kern w:val="28"/>
          <w:sz w:val="24"/>
          <w:lang w:eastAsia="zh-CN"/>
        </w:rPr>
        <w:t>交易文件</w:t>
      </w:r>
      <w:r>
        <w:rPr>
          <w:rFonts w:hint="eastAsia" w:ascii="宋体" w:hAnsi="宋体" w:cs="宋体"/>
          <w:snapToGrid w:val="0"/>
          <w:color w:val="auto"/>
          <w:kern w:val="28"/>
          <w:sz w:val="24"/>
        </w:rPr>
        <w:t>售价。</w:t>
      </w:r>
    </w:p>
    <w:p w14:paraId="4B6B773C">
      <w:pPr>
        <w:pStyle w:val="4"/>
        <w:ind w:left="210" w:leftChars="100" w:firstLine="241" w:firstLineChars="1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▲未按照公告要求完成</w:t>
      </w:r>
      <w:r>
        <w:rPr>
          <w:rFonts w:hint="eastAsia" w:asciiTheme="minorEastAsia" w:hAnsiTheme="minorEastAsia" w:eastAsiaTheme="minorEastAsia"/>
          <w:color w:val="auto"/>
          <w:sz w:val="24"/>
          <w:szCs w:val="24"/>
          <w:lang w:val="en-US" w:eastAsia="zh-CN"/>
        </w:rPr>
        <w:t>交易文件</w:t>
      </w:r>
      <w:r>
        <w:rPr>
          <w:rFonts w:hint="eastAsia" w:asciiTheme="minorEastAsia" w:hAnsiTheme="minorEastAsia" w:eastAsiaTheme="minorEastAsia"/>
          <w:color w:val="auto"/>
          <w:sz w:val="24"/>
          <w:szCs w:val="24"/>
          <w:lang w:val="en-US"/>
        </w:rPr>
        <w:t>获取的，</w:t>
      </w:r>
      <w:r>
        <w:rPr>
          <w:rFonts w:hint="eastAsia" w:asciiTheme="minorEastAsia" w:hAnsiTheme="minorEastAsia" w:eastAsiaTheme="minorEastAsia"/>
          <w:color w:val="auto"/>
          <w:sz w:val="24"/>
          <w:szCs w:val="24"/>
          <w:lang w:val="en-US" w:eastAsia="zh-CN"/>
        </w:rPr>
        <w:t>响应</w:t>
      </w:r>
      <w:r>
        <w:rPr>
          <w:rFonts w:hint="eastAsia" w:asciiTheme="minorEastAsia" w:hAnsiTheme="minorEastAsia" w:eastAsiaTheme="minorEastAsia"/>
          <w:color w:val="auto"/>
          <w:sz w:val="24"/>
          <w:szCs w:val="24"/>
          <w:lang w:val="en-US"/>
        </w:rPr>
        <w:t>无效。</w:t>
      </w:r>
    </w:p>
    <w:p w14:paraId="2E711B4D">
      <w:pPr>
        <w:pStyle w:val="32"/>
        <w:spacing w:line="360" w:lineRule="auto"/>
        <w:rPr>
          <w:rFonts w:hAnsi="宋体" w:cs="宋体"/>
          <w:b/>
          <w:color w:val="auto"/>
          <w:sz w:val="24"/>
          <w:szCs w:val="24"/>
        </w:rPr>
      </w:pPr>
      <w:r>
        <w:rPr>
          <w:rFonts w:hint="eastAsia" w:hAnsi="宋体" w:cs="宋体"/>
          <w:b/>
          <w:color w:val="auto"/>
          <w:sz w:val="24"/>
          <w:szCs w:val="24"/>
          <w:lang w:val="en-US" w:eastAsia="zh-CN"/>
        </w:rPr>
        <w:t>7</w:t>
      </w:r>
      <w:r>
        <w:rPr>
          <w:rFonts w:hint="eastAsia" w:hAnsi="宋体" w:cs="宋体"/>
          <w:b/>
          <w:color w:val="auto"/>
          <w:sz w:val="24"/>
          <w:szCs w:val="24"/>
        </w:rPr>
        <w:t>.开标前答疑会或现场考察</w:t>
      </w:r>
    </w:p>
    <w:p w14:paraId="37017548">
      <w:pPr>
        <w:pStyle w:val="32"/>
        <w:spacing w:line="360" w:lineRule="auto"/>
        <w:ind w:firstLine="480" w:firstLineChars="200"/>
        <w:rPr>
          <w:rFonts w:hAnsi="宋体" w:cs="宋体"/>
          <w:b/>
          <w:bCs/>
          <w:color w:val="auto"/>
          <w:sz w:val="24"/>
          <w:szCs w:val="24"/>
        </w:rPr>
      </w:pPr>
      <w:r>
        <w:rPr>
          <w:rFonts w:hint="eastAsia" w:hAnsi="宋体" w:cs="宋体"/>
          <w:color w:val="auto"/>
          <w:sz w:val="24"/>
          <w:szCs w:val="24"/>
          <w:lang w:eastAsia="zh-CN"/>
        </w:rPr>
        <w:t>交易发起人</w:t>
      </w:r>
      <w:r>
        <w:rPr>
          <w:rFonts w:hint="eastAsia" w:hAnsi="宋体" w:cs="宋体"/>
          <w:color w:val="auto"/>
          <w:sz w:val="24"/>
          <w:szCs w:val="24"/>
        </w:rPr>
        <w:t>组织潜在</w:t>
      </w:r>
      <w:r>
        <w:rPr>
          <w:rFonts w:hint="eastAsia" w:hAnsi="宋体" w:cs="宋体"/>
          <w:color w:val="auto"/>
          <w:sz w:val="24"/>
          <w:szCs w:val="24"/>
          <w:lang w:eastAsia="zh-CN"/>
        </w:rPr>
        <w:t>供应商</w:t>
      </w:r>
      <w:r>
        <w:rPr>
          <w:rFonts w:hint="eastAsia" w:hAnsi="宋体" w:cs="宋体"/>
          <w:color w:val="auto"/>
          <w:sz w:val="24"/>
          <w:szCs w:val="24"/>
        </w:rPr>
        <w:t>现场考察或者召开开标前答疑会的，潜在</w:t>
      </w:r>
      <w:r>
        <w:rPr>
          <w:rFonts w:hint="eastAsia" w:hAnsi="宋体" w:cs="宋体"/>
          <w:color w:val="auto"/>
          <w:sz w:val="24"/>
          <w:szCs w:val="24"/>
          <w:lang w:eastAsia="zh-CN"/>
        </w:rPr>
        <w:t>供应商</w:t>
      </w:r>
      <w:r>
        <w:rPr>
          <w:rFonts w:hint="eastAsia" w:hAnsi="宋体" w:cs="宋体"/>
          <w:color w:val="auto"/>
          <w:sz w:val="24"/>
          <w:szCs w:val="24"/>
        </w:rPr>
        <w:t>按第二部分</w:t>
      </w:r>
      <w:r>
        <w:rPr>
          <w:rFonts w:hint="eastAsia" w:hAnsi="宋体" w:cs="宋体"/>
          <w:color w:val="auto"/>
          <w:sz w:val="24"/>
          <w:szCs w:val="24"/>
          <w:lang w:eastAsia="zh-CN"/>
        </w:rPr>
        <w:t>供应商</w:t>
      </w:r>
      <w:r>
        <w:rPr>
          <w:rFonts w:hint="eastAsia" w:hAnsi="宋体" w:cs="宋体"/>
          <w:color w:val="auto"/>
          <w:sz w:val="24"/>
          <w:szCs w:val="24"/>
        </w:rPr>
        <w:t>须知前附表的规定参加现场考察或者开标前答疑会。</w:t>
      </w:r>
      <w:r>
        <w:rPr>
          <w:rFonts w:hint="eastAsia" w:hAnsi="宋体" w:cs="宋体"/>
          <w:b/>
          <w:bCs/>
          <w:color w:val="auto"/>
          <w:sz w:val="24"/>
          <w:szCs w:val="24"/>
          <w:lang w:eastAsia="zh-CN"/>
        </w:rPr>
        <w:t>交易发起人</w:t>
      </w:r>
      <w:r>
        <w:rPr>
          <w:rFonts w:hint="eastAsia" w:hAnsi="宋体" w:cs="宋体"/>
          <w:b/>
          <w:bCs/>
          <w:color w:val="auto"/>
          <w:sz w:val="24"/>
          <w:szCs w:val="24"/>
        </w:rPr>
        <w:t>不单独或分别组织只有一个供应商参加的现场考察和答疑会。</w:t>
      </w:r>
    </w:p>
    <w:p w14:paraId="5B8BB000">
      <w:pPr>
        <w:pStyle w:val="32"/>
        <w:spacing w:line="360" w:lineRule="auto"/>
        <w:rPr>
          <w:rFonts w:hAnsi="宋体" w:cs="宋体"/>
          <w:b/>
          <w:color w:val="auto"/>
          <w:szCs w:val="24"/>
        </w:rPr>
      </w:pPr>
      <w:r>
        <w:rPr>
          <w:rFonts w:hint="eastAsia" w:hAnsi="宋体" w:cs="宋体"/>
          <w:b/>
          <w:color w:val="auto"/>
          <w:kern w:val="28"/>
          <w:sz w:val="24"/>
          <w:szCs w:val="24"/>
          <w:lang w:val="en-US" w:eastAsia="zh-CN"/>
        </w:rPr>
        <w:t>8</w:t>
      </w:r>
      <w:r>
        <w:rPr>
          <w:rFonts w:hint="eastAsia" w:hAnsi="宋体" w:cs="宋体"/>
          <w:b/>
          <w:color w:val="auto"/>
          <w:kern w:val="28"/>
          <w:sz w:val="24"/>
          <w:szCs w:val="24"/>
        </w:rPr>
        <w:t>.</w:t>
      </w:r>
      <w:r>
        <w:rPr>
          <w:rFonts w:hint="eastAsia" w:hAnsi="宋体" w:cs="宋体"/>
          <w:b/>
          <w:color w:val="auto"/>
          <w:kern w:val="28"/>
          <w:sz w:val="24"/>
          <w:szCs w:val="24"/>
          <w:lang w:eastAsia="zh-CN"/>
        </w:rPr>
        <w:t>响应</w:t>
      </w:r>
      <w:r>
        <w:rPr>
          <w:rFonts w:hint="eastAsia" w:hAnsi="宋体" w:cs="宋体"/>
          <w:b/>
          <w:color w:val="auto"/>
          <w:kern w:val="28"/>
          <w:sz w:val="24"/>
          <w:szCs w:val="24"/>
        </w:rPr>
        <w:t>保证金</w:t>
      </w:r>
    </w:p>
    <w:p w14:paraId="58D62666">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w:t>
      </w:r>
      <w:r>
        <w:rPr>
          <w:rFonts w:hint="eastAsia" w:hAnsi="宋体" w:cs="宋体"/>
          <w:color w:val="auto"/>
          <w:sz w:val="24"/>
          <w:highlight w:val="none"/>
          <w:lang w:val="en-US" w:eastAsia="zh-CN"/>
        </w:rPr>
        <w:t>收取</w:t>
      </w:r>
      <w:r>
        <w:rPr>
          <w:rFonts w:hint="eastAsia" w:hAnsi="宋体" w:cs="宋体"/>
          <w:color w:val="auto"/>
          <w:sz w:val="24"/>
          <w:highlight w:val="none"/>
          <w:lang w:eastAsia="zh-CN"/>
        </w:rPr>
        <w:t>响应</w:t>
      </w:r>
      <w:r>
        <w:rPr>
          <w:rFonts w:hint="eastAsia" w:hAnsi="宋体" w:cs="宋体"/>
          <w:color w:val="auto"/>
          <w:sz w:val="24"/>
          <w:highlight w:val="none"/>
        </w:rPr>
        <w:t>保证金。</w:t>
      </w:r>
    </w:p>
    <w:p w14:paraId="7F7BB3DC">
      <w:pPr>
        <w:pStyle w:val="32"/>
        <w:spacing w:line="360" w:lineRule="auto"/>
        <w:rPr>
          <w:rFonts w:hAnsi="宋体" w:cs="宋体"/>
          <w:b/>
          <w:color w:val="auto"/>
          <w:sz w:val="24"/>
          <w:szCs w:val="24"/>
        </w:rPr>
      </w:pPr>
      <w:r>
        <w:rPr>
          <w:rFonts w:hint="eastAsia" w:hAnsi="宋体" w:cs="宋体"/>
          <w:b/>
          <w:color w:val="auto"/>
          <w:sz w:val="24"/>
          <w:szCs w:val="24"/>
          <w:lang w:val="en-US" w:eastAsia="zh-CN"/>
        </w:rPr>
        <w:t>9</w:t>
      </w:r>
      <w:r>
        <w:rPr>
          <w:rFonts w:hint="eastAsia" w:hAnsi="宋体" w:cs="宋体"/>
          <w:b/>
          <w:color w:val="auto"/>
          <w:sz w:val="24"/>
          <w:szCs w:val="24"/>
        </w:rPr>
        <w:t xml:space="preserve">. </w:t>
      </w:r>
      <w:r>
        <w:rPr>
          <w:rFonts w:hint="eastAsia" w:hAnsi="宋体" w:cs="宋体"/>
          <w:b/>
          <w:color w:val="auto"/>
          <w:sz w:val="24"/>
          <w:szCs w:val="24"/>
          <w:lang w:eastAsia="zh-CN"/>
        </w:rPr>
        <w:t>响应文件</w:t>
      </w:r>
      <w:r>
        <w:rPr>
          <w:rFonts w:hint="eastAsia" w:hAnsi="宋体" w:cs="宋体"/>
          <w:b/>
          <w:color w:val="auto"/>
          <w:sz w:val="24"/>
          <w:szCs w:val="24"/>
        </w:rPr>
        <w:t>的语言</w:t>
      </w:r>
    </w:p>
    <w:p w14:paraId="2EEB7AB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lang w:eastAsia="zh-CN"/>
        </w:rPr>
        <w:t>响应文件</w:t>
      </w:r>
      <w:r>
        <w:rPr>
          <w:rFonts w:hint="eastAsia" w:ascii="宋体" w:hAnsi="宋体" w:cs="宋体"/>
          <w:color w:val="auto"/>
          <w:sz w:val="24"/>
        </w:rPr>
        <w:t>及</w:t>
      </w:r>
      <w:r>
        <w:rPr>
          <w:rFonts w:hint="eastAsia" w:ascii="宋体" w:hAnsi="宋体" w:cs="宋体"/>
          <w:color w:val="auto"/>
          <w:sz w:val="24"/>
          <w:lang w:eastAsia="zh-CN"/>
        </w:rPr>
        <w:t>供应商</w:t>
      </w:r>
      <w:r>
        <w:rPr>
          <w:rFonts w:hint="eastAsia" w:ascii="宋体" w:hAnsi="宋体" w:cs="宋体"/>
          <w:color w:val="auto"/>
          <w:sz w:val="24"/>
        </w:rPr>
        <w:t>与采购有关的来往通知、函件和文件均应使用中文。</w:t>
      </w:r>
    </w:p>
    <w:p w14:paraId="48669ED6">
      <w:pPr>
        <w:pStyle w:val="32"/>
        <w:spacing w:line="360" w:lineRule="auto"/>
        <w:rPr>
          <w:rFonts w:hAnsi="宋体" w:cs="宋体"/>
          <w:b/>
          <w:color w:val="auto"/>
          <w:sz w:val="24"/>
          <w:szCs w:val="24"/>
        </w:rPr>
      </w:pPr>
      <w:r>
        <w:rPr>
          <w:rFonts w:hint="eastAsia" w:hAnsi="宋体" w:cs="宋体"/>
          <w:b/>
          <w:color w:val="auto"/>
          <w:sz w:val="24"/>
          <w:szCs w:val="24"/>
          <w:lang w:eastAsia="zh-CN"/>
        </w:rPr>
        <w:t>10.</w:t>
      </w:r>
      <w:r>
        <w:rPr>
          <w:rFonts w:hint="eastAsia" w:hAnsi="宋体" w:cs="宋体"/>
          <w:b/>
          <w:color w:val="auto"/>
          <w:sz w:val="24"/>
          <w:szCs w:val="24"/>
        </w:rPr>
        <w:t xml:space="preserve"> </w:t>
      </w:r>
      <w:r>
        <w:rPr>
          <w:rFonts w:hint="eastAsia" w:hAnsi="宋体" w:cs="宋体"/>
          <w:b/>
          <w:color w:val="auto"/>
          <w:sz w:val="24"/>
          <w:szCs w:val="24"/>
          <w:lang w:eastAsia="zh-CN"/>
        </w:rPr>
        <w:t>响应文件</w:t>
      </w:r>
      <w:r>
        <w:rPr>
          <w:rFonts w:hint="eastAsia" w:hAnsi="宋体" w:cs="宋体"/>
          <w:b/>
          <w:color w:val="auto"/>
          <w:sz w:val="24"/>
          <w:szCs w:val="24"/>
        </w:rPr>
        <w:t>的组成</w:t>
      </w:r>
    </w:p>
    <w:p w14:paraId="588F0D23">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1</w:t>
      </w:r>
      <w:r>
        <w:rPr>
          <w:rFonts w:hint="eastAsia" w:ascii="宋体" w:hAnsi="宋体" w:cs="宋体"/>
          <w:b/>
          <w:color w:val="auto"/>
          <w:sz w:val="24"/>
        </w:rPr>
        <w:t>资格文件</w:t>
      </w:r>
      <w:r>
        <w:rPr>
          <w:rFonts w:hint="eastAsia" w:ascii="宋体" w:hAnsi="宋体" w:cs="宋体"/>
          <w:color w:val="auto"/>
          <w:sz w:val="24"/>
        </w:rPr>
        <w:t>：</w:t>
      </w:r>
    </w:p>
    <w:p w14:paraId="6E8B829A">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1.1符合参加采购活动应当具备的一般条件的承诺函；</w:t>
      </w:r>
    </w:p>
    <w:p w14:paraId="53C2E2ED">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本项目的特定资格要求。</w:t>
      </w:r>
    </w:p>
    <w:p w14:paraId="3B6E78F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10.</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FAD02B7">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2.1</w:t>
      </w:r>
      <w:r>
        <w:rPr>
          <w:rFonts w:hint="eastAsia" w:ascii="宋体" w:hAnsi="宋体" w:cs="宋体"/>
          <w:color w:val="auto"/>
          <w:sz w:val="24"/>
          <w:lang w:eastAsia="zh-CN"/>
        </w:rPr>
        <w:t>响应</w:t>
      </w:r>
      <w:r>
        <w:rPr>
          <w:rFonts w:hint="eastAsia" w:ascii="宋体" w:hAnsi="宋体" w:cs="宋体"/>
          <w:color w:val="auto"/>
          <w:sz w:val="24"/>
        </w:rPr>
        <w:t>函；</w:t>
      </w:r>
      <w:r>
        <w:rPr>
          <w:rFonts w:hint="eastAsia" w:ascii="宋体" w:hAnsi="宋体" w:cs="宋体"/>
          <w:color w:val="auto"/>
          <w:sz w:val="24"/>
          <w:lang w:val="zh-CN"/>
        </w:rPr>
        <w:t xml:space="preserve"> </w:t>
      </w:r>
    </w:p>
    <w:p w14:paraId="0559BF23">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2.2授权委托书或法定代表人（单位负责人、自然人本人）身份证明；</w:t>
      </w:r>
    </w:p>
    <w:p w14:paraId="42044AFE">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w:t>
      </w:r>
      <w:r>
        <w:rPr>
          <w:rFonts w:ascii="宋体" w:hAnsi="宋体" w:cs="宋体"/>
          <w:color w:val="auto"/>
          <w:sz w:val="24"/>
        </w:rPr>
        <w:t>3</w:t>
      </w:r>
      <w:r>
        <w:rPr>
          <w:rFonts w:hint="eastAsia" w:ascii="宋体" w:hAnsi="宋体" w:cs="宋体"/>
          <w:color w:val="auto"/>
          <w:sz w:val="24"/>
        </w:rPr>
        <w:t>符合性审查资料；</w:t>
      </w:r>
    </w:p>
    <w:p w14:paraId="0C66E258">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10.2.4评标标准相应的商务技术资料；</w:t>
      </w:r>
    </w:p>
    <w:p w14:paraId="64D97A89">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w:t>
      </w:r>
      <w:r>
        <w:rPr>
          <w:rFonts w:ascii="宋体" w:hAnsi="宋体" w:cs="宋体"/>
          <w:color w:val="auto"/>
          <w:sz w:val="24"/>
        </w:rPr>
        <w:t>5</w:t>
      </w:r>
      <w:r>
        <w:rPr>
          <w:rFonts w:hint="eastAsia" w:ascii="宋体" w:hAnsi="宋体" w:cs="宋体"/>
          <w:color w:val="auto"/>
          <w:sz w:val="24"/>
        </w:rPr>
        <w:t>商务技术偏离表；</w:t>
      </w:r>
    </w:p>
    <w:p w14:paraId="6A686A8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10.</w:t>
      </w:r>
      <w:r>
        <w:rPr>
          <w:rFonts w:hint="eastAsia" w:ascii="宋体" w:hAnsi="宋体" w:cs="宋体"/>
          <w:color w:val="auto"/>
          <w:sz w:val="24"/>
        </w:rPr>
        <w:t>2</w:t>
      </w:r>
      <w:r>
        <w:rPr>
          <w:rFonts w:ascii="宋体" w:hAnsi="宋体" w:cs="宋体"/>
          <w:color w:val="auto"/>
          <w:sz w:val="24"/>
        </w:rPr>
        <w:t>.</w:t>
      </w:r>
      <w:r>
        <w:rPr>
          <w:rFonts w:ascii="宋体" w:hAnsi="宋体" w:cs="宋体"/>
          <w:color w:val="auto"/>
          <w:sz w:val="24"/>
          <w:lang w:val="zh-CN"/>
        </w:rPr>
        <w:t>6</w:t>
      </w:r>
      <w:r>
        <w:rPr>
          <w:rFonts w:hint="eastAsia" w:ascii="宋体" w:hAnsi="宋体" w:cs="宋体"/>
          <w:color w:val="auto"/>
          <w:sz w:val="24"/>
          <w:lang w:val="zh-CN"/>
        </w:rPr>
        <w:t>采购供应商廉洁自律承诺书。</w:t>
      </w:r>
    </w:p>
    <w:p w14:paraId="4ECEFA8B">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10.</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6A5515B">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3.1开标一览表（报价表）；</w:t>
      </w:r>
    </w:p>
    <w:p w14:paraId="3DC1D102">
      <w:pPr>
        <w:spacing w:line="360" w:lineRule="auto"/>
        <w:ind w:firstLine="723" w:firstLineChars="300"/>
        <w:rPr>
          <w:rFonts w:ascii="宋体" w:hAnsi="宋体" w:cs="宋体"/>
          <w:b/>
          <w:color w:val="auto"/>
          <w:sz w:val="24"/>
        </w:rPr>
      </w:pPr>
      <w:r>
        <w:rPr>
          <w:rFonts w:hint="eastAsia" w:ascii="宋体" w:hAnsi="宋体" w:cs="宋体"/>
          <w:b/>
          <w:color w:val="auto"/>
          <w:sz w:val="24"/>
          <w:lang w:eastAsia="zh-CN"/>
        </w:rPr>
        <w:t>响应文件</w:t>
      </w:r>
      <w:r>
        <w:rPr>
          <w:rFonts w:hint="eastAsia" w:ascii="宋体" w:hAnsi="宋体" w:cs="宋体"/>
          <w:b/>
          <w:color w:val="auto"/>
          <w:sz w:val="24"/>
        </w:rPr>
        <w:t>含有</w:t>
      </w:r>
      <w:r>
        <w:rPr>
          <w:rFonts w:hint="eastAsia" w:ascii="宋体" w:hAnsi="宋体" w:cs="宋体"/>
          <w:b/>
          <w:color w:val="auto"/>
          <w:sz w:val="24"/>
          <w:lang w:eastAsia="zh-CN"/>
        </w:rPr>
        <w:t>交易发起人</w:t>
      </w:r>
      <w:r>
        <w:rPr>
          <w:rFonts w:hint="eastAsia" w:ascii="宋体" w:hAnsi="宋体" w:cs="宋体"/>
          <w:b/>
          <w:color w:val="auto"/>
          <w:sz w:val="24"/>
        </w:rPr>
        <w:t>不能接受的附加条件的，</w:t>
      </w:r>
      <w:r>
        <w:rPr>
          <w:rFonts w:hint="eastAsia" w:ascii="宋体" w:hAnsi="宋体" w:cs="宋体"/>
          <w:b/>
          <w:color w:val="auto"/>
          <w:sz w:val="24"/>
          <w:lang w:eastAsia="zh-CN"/>
        </w:rPr>
        <w:t>响应</w:t>
      </w:r>
      <w:r>
        <w:rPr>
          <w:rFonts w:hint="eastAsia" w:ascii="宋体" w:hAnsi="宋体" w:cs="宋体"/>
          <w:b/>
          <w:color w:val="auto"/>
          <w:sz w:val="24"/>
        </w:rPr>
        <w:t>无效；</w:t>
      </w:r>
    </w:p>
    <w:p w14:paraId="49D041FC">
      <w:pPr>
        <w:spacing w:line="360" w:lineRule="auto"/>
        <w:ind w:firstLine="723" w:firstLineChars="300"/>
        <w:rPr>
          <w:rFonts w:ascii="宋体" w:hAnsi="宋体" w:cs="宋体"/>
          <w:b/>
          <w:color w:val="auto"/>
          <w:sz w:val="24"/>
          <w:szCs w:val="21"/>
        </w:rPr>
      </w:pPr>
      <w:r>
        <w:rPr>
          <w:rFonts w:hint="eastAsia" w:ascii="宋体" w:hAnsi="宋体" w:cs="宋体"/>
          <w:b/>
          <w:color w:val="auto"/>
          <w:sz w:val="24"/>
          <w:lang w:eastAsia="zh-CN"/>
        </w:rPr>
        <w:t>供应商</w:t>
      </w:r>
      <w:r>
        <w:rPr>
          <w:rFonts w:hint="eastAsia" w:ascii="宋体" w:hAnsi="宋体" w:cs="宋体"/>
          <w:b/>
          <w:color w:val="auto"/>
          <w:sz w:val="24"/>
        </w:rPr>
        <w:t>提供虚假材料</w:t>
      </w:r>
      <w:r>
        <w:rPr>
          <w:rFonts w:hint="eastAsia" w:ascii="宋体" w:hAnsi="宋体" w:cs="宋体"/>
          <w:b/>
          <w:color w:val="auto"/>
          <w:sz w:val="24"/>
          <w:lang w:eastAsia="zh-CN"/>
        </w:rPr>
        <w:t>响应</w:t>
      </w:r>
      <w:r>
        <w:rPr>
          <w:rFonts w:hint="eastAsia" w:ascii="宋体" w:hAnsi="宋体" w:cs="宋体"/>
          <w:b/>
          <w:color w:val="auto"/>
          <w:sz w:val="24"/>
        </w:rPr>
        <w:t>的，</w:t>
      </w:r>
      <w:r>
        <w:rPr>
          <w:rFonts w:hint="eastAsia" w:ascii="宋体" w:hAnsi="宋体" w:cs="宋体"/>
          <w:b/>
          <w:color w:val="auto"/>
          <w:sz w:val="24"/>
          <w:lang w:eastAsia="zh-CN"/>
        </w:rPr>
        <w:t>响应</w:t>
      </w:r>
      <w:r>
        <w:rPr>
          <w:rFonts w:hint="eastAsia" w:ascii="宋体" w:hAnsi="宋体" w:cs="宋体"/>
          <w:b/>
          <w:color w:val="auto"/>
          <w:sz w:val="24"/>
        </w:rPr>
        <w:t>无效。</w:t>
      </w:r>
    </w:p>
    <w:p w14:paraId="7C3BB940">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lang w:eastAsia="zh-CN"/>
        </w:rPr>
        <w:t>11.</w:t>
      </w:r>
      <w:r>
        <w:rPr>
          <w:rFonts w:hint="eastAsia" w:ascii="宋体" w:hAnsi="宋体" w:cs="宋体"/>
          <w:b/>
          <w:color w:val="auto"/>
          <w:kern w:val="0"/>
          <w:szCs w:val="24"/>
          <w:lang w:val="zh-CN"/>
        </w:rPr>
        <w:t xml:space="preserve"> </w:t>
      </w:r>
      <w:r>
        <w:rPr>
          <w:rFonts w:hint="eastAsia" w:ascii="宋体" w:hAnsi="宋体" w:cs="宋体"/>
          <w:b/>
          <w:color w:val="auto"/>
          <w:szCs w:val="24"/>
          <w:lang w:eastAsia="zh-CN"/>
        </w:rPr>
        <w:t>响应文件</w:t>
      </w:r>
      <w:r>
        <w:rPr>
          <w:rFonts w:hint="eastAsia" w:ascii="宋体" w:hAnsi="宋体" w:cs="宋体"/>
          <w:b/>
          <w:color w:val="auto"/>
          <w:szCs w:val="24"/>
        </w:rPr>
        <w:t>的编制</w:t>
      </w:r>
    </w:p>
    <w:p w14:paraId="56B8C95C">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w:t>
      </w:r>
      <w:r>
        <w:rPr>
          <w:rFonts w:hint="eastAsia" w:ascii="宋体" w:hAnsi="宋体" w:cs="宋体"/>
          <w:b/>
          <w:color w:val="auto"/>
          <w:sz w:val="24"/>
          <w:lang w:eastAsia="zh-CN"/>
        </w:rPr>
        <w:t>响应文件</w:t>
      </w:r>
      <w:r>
        <w:rPr>
          <w:rFonts w:hint="eastAsia" w:ascii="宋体" w:hAnsi="宋体" w:cs="宋体"/>
          <w:b/>
          <w:color w:val="auto"/>
          <w:sz w:val="24"/>
        </w:rPr>
        <w:t>未按本条规定的格式编制的，</w:t>
      </w:r>
      <w:r>
        <w:rPr>
          <w:rFonts w:hint="eastAsia" w:ascii="宋体" w:hAnsi="宋体" w:cs="宋体"/>
          <w:b/>
          <w:color w:val="auto"/>
          <w:sz w:val="24"/>
          <w:lang w:eastAsia="zh-CN"/>
        </w:rPr>
        <w:t>响应</w:t>
      </w:r>
      <w:r>
        <w:rPr>
          <w:rFonts w:hint="eastAsia" w:ascii="宋体" w:hAnsi="宋体" w:cs="宋体"/>
          <w:b/>
          <w:color w:val="auto"/>
          <w:sz w:val="24"/>
        </w:rPr>
        <w:t>无效；</w:t>
      </w:r>
    </w:p>
    <w:p w14:paraId="5D7F352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11.1响应文件分为资格文件、商务技术文件、报价文件三部分。各供应商在编制响应文件时请按照交易文件第五部分规定的格式进行，混乱的编排导致响应文件被误读或评标委员会查找不到有效文件是供应商的风险。</w:t>
      </w:r>
    </w:p>
    <w:p w14:paraId="2AE17C5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11.2供应商进行电子交易标应安装客户端软件—“政采云电子交易客户端”，并按照交易文件和电子交易平台的要求编制并加密响应文件。供应商未按规定加密的响应文件，电子交易平台将拒收并提示。</w:t>
      </w:r>
    </w:p>
    <w:p w14:paraId="47B5C98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11.3使用“政采云电子交易客户端”需要提前申领CA数字证书，申领流程请自行前往“浙江政府采购网-下载专区-电子交易客户端-CA驱动和申领流程”进行查阅。</w:t>
      </w:r>
    </w:p>
    <w:p w14:paraId="445BD122">
      <w:pPr>
        <w:snapToGrid w:val="0"/>
        <w:spacing w:line="360" w:lineRule="auto"/>
        <w:rPr>
          <w:rFonts w:ascii="宋体" w:hAnsi="宋体" w:cs="宋体"/>
          <w:b/>
          <w:color w:val="auto"/>
          <w:sz w:val="24"/>
        </w:rPr>
      </w:pPr>
      <w:r>
        <w:rPr>
          <w:rFonts w:hint="eastAsia" w:ascii="宋体" w:hAnsi="宋体" w:cs="宋体"/>
          <w:b/>
          <w:color w:val="auto"/>
          <w:sz w:val="24"/>
          <w:lang w:eastAsia="zh-CN"/>
        </w:rPr>
        <w:t>12.响应文件</w:t>
      </w:r>
      <w:r>
        <w:rPr>
          <w:rFonts w:hint="eastAsia" w:ascii="宋体" w:hAnsi="宋体" w:cs="宋体"/>
          <w:b/>
          <w:color w:val="auto"/>
          <w:sz w:val="24"/>
        </w:rPr>
        <w:t>的签署、盖章</w:t>
      </w:r>
    </w:p>
    <w:p w14:paraId="46A877D1">
      <w:pPr>
        <w:pStyle w:val="130"/>
        <w:snapToGrid w:val="0"/>
        <w:spacing w:before="0"/>
        <w:ind w:firstLine="480"/>
        <w:rPr>
          <w:rFonts w:ascii="宋体" w:hAnsi="宋体" w:cs="宋体"/>
          <w:b/>
          <w:color w:val="auto"/>
        </w:rPr>
      </w:pPr>
      <w:r>
        <w:rPr>
          <w:rFonts w:hint="eastAsia" w:ascii="宋体" w:hAnsi="宋体" w:cs="宋体"/>
          <w:color w:val="auto"/>
          <w:szCs w:val="24"/>
          <w:lang w:eastAsia="zh-CN"/>
        </w:rPr>
        <w:t>12.</w:t>
      </w:r>
      <w:r>
        <w:rPr>
          <w:rFonts w:hint="eastAsia" w:ascii="宋体" w:hAnsi="宋体" w:cs="宋体"/>
          <w:color w:val="auto"/>
          <w:szCs w:val="24"/>
        </w:rPr>
        <w:t>1</w:t>
      </w:r>
      <w:r>
        <w:rPr>
          <w:rFonts w:hint="eastAsia" w:ascii="宋体" w:hAnsi="宋体" w:cs="宋体"/>
          <w:color w:val="auto"/>
          <w:szCs w:val="24"/>
          <w:lang w:eastAsia="zh-CN"/>
        </w:rPr>
        <w:t>响应文件</w:t>
      </w:r>
      <w:r>
        <w:rPr>
          <w:rFonts w:hint="eastAsia" w:ascii="宋体" w:hAnsi="宋体" w:cs="宋体"/>
          <w:color w:val="auto"/>
          <w:szCs w:val="24"/>
        </w:rPr>
        <w:t>按照</w:t>
      </w:r>
      <w:r>
        <w:rPr>
          <w:rFonts w:hint="eastAsia" w:ascii="宋体" w:hAnsi="宋体" w:cs="宋体"/>
          <w:color w:val="auto"/>
          <w:szCs w:val="24"/>
          <w:lang w:eastAsia="zh-CN"/>
        </w:rPr>
        <w:t>交易文件第五部分</w:t>
      </w:r>
      <w:r>
        <w:rPr>
          <w:rFonts w:hint="eastAsia" w:ascii="宋体" w:hAnsi="宋体" w:cs="宋体"/>
          <w:color w:val="auto"/>
          <w:szCs w:val="24"/>
        </w:rPr>
        <w:t>格式要</w:t>
      </w:r>
      <w:r>
        <w:rPr>
          <w:rFonts w:hint="eastAsia" w:ascii="宋体" w:hAnsi="宋体" w:cs="宋体"/>
          <w:color w:val="auto"/>
        </w:rPr>
        <w:t>求进行签署、盖章。</w:t>
      </w:r>
      <w:r>
        <w:rPr>
          <w:rFonts w:hint="eastAsia" w:ascii="宋体" w:hAnsi="宋体" w:cs="宋体"/>
          <w:b/>
          <w:color w:val="auto"/>
        </w:rPr>
        <w:t>▲</w:t>
      </w:r>
      <w:r>
        <w:rPr>
          <w:rFonts w:hint="eastAsia" w:ascii="宋体" w:hAnsi="宋体" w:cs="宋体"/>
          <w:b/>
          <w:color w:val="auto"/>
          <w:lang w:eastAsia="zh-CN"/>
        </w:rPr>
        <w:t>供应商</w:t>
      </w:r>
      <w:r>
        <w:rPr>
          <w:rFonts w:hint="eastAsia" w:ascii="宋体" w:hAnsi="宋体" w:cs="宋体"/>
          <w:b/>
          <w:color w:val="auto"/>
        </w:rPr>
        <w:t>的</w:t>
      </w:r>
      <w:r>
        <w:rPr>
          <w:rFonts w:hint="eastAsia" w:ascii="宋体" w:hAnsi="宋体" w:cs="宋体"/>
          <w:b/>
          <w:color w:val="auto"/>
          <w:lang w:eastAsia="zh-CN"/>
        </w:rPr>
        <w:t>响应文件</w:t>
      </w:r>
      <w:r>
        <w:rPr>
          <w:rFonts w:hint="eastAsia" w:ascii="宋体" w:hAnsi="宋体" w:cs="宋体"/>
          <w:b/>
          <w:color w:val="auto"/>
        </w:rPr>
        <w:t>未按照</w:t>
      </w:r>
      <w:r>
        <w:rPr>
          <w:rFonts w:hint="eastAsia" w:ascii="宋体" w:hAnsi="宋体" w:cs="宋体"/>
          <w:b/>
          <w:color w:val="auto"/>
          <w:lang w:eastAsia="zh-CN"/>
        </w:rPr>
        <w:t>交易文件</w:t>
      </w:r>
      <w:r>
        <w:rPr>
          <w:rFonts w:hint="eastAsia" w:ascii="宋体" w:hAnsi="宋体" w:cs="宋体"/>
          <w:b/>
          <w:color w:val="auto"/>
        </w:rPr>
        <w:t>要求签署、盖章的，其</w:t>
      </w:r>
      <w:r>
        <w:rPr>
          <w:rFonts w:hint="eastAsia" w:ascii="宋体" w:hAnsi="宋体" w:cs="宋体"/>
          <w:b/>
          <w:color w:val="auto"/>
          <w:lang w:eastAsia="zh-CN"/>
        </w:rPr>
        <w:t>响应</w:t>
      </w:r>
      <w:r>
        <w:rPr>
          <w:rFonts w:hint="eastAsia" w:ascii="宋体" w:hAnsi="宋体" w:cs="宋体"/>
          <w:b/>
          <w:color w:val="auto"/>
        </w:rPr>
        <w:t>无效</w:t>
      </w:r>
      <w:r>
        <w:rPr>
          <w:rFonts w:hint="eastAsia" w:ascii="宋体" w:hAnsi="宋体" w:cs="宋体"/>
          <w:color w:val="auto"/>
          <w:szCs w:val="24"/>
        </w:rPr>
        <w:t>。</w:t>
      </w:r>
    </w:p>
    <w:p w14:paraId="3F974488">
      <w:pPr>
        <w:pStyle w:val="130"/>
        <w:snapToGrid w:val="0"/>
        <w:spacing w:before="0"/>
        <w:ind w:firstLine="480"/>
        <w:rPr>
          <w:rFonts w:ascii="宋体" w:hAnsi="宋体" w:cs="宋体"/>
          <w:color w:val="auto"/>
        </w:rPr>
      </w:pPr>
      <w:r>
        <w:rPr>
          <w:rFonts w:hint="eastAsia" w:ascii="宋体" w:hAnsi="宋体" w:cs="宋体"/>
          <w:color w:val="auto"/>
          <w:lang w:eastAsia="zh-CN"/>
        </w:rPr>
        <w:t>12.</w:t>
      </w:r>
      <w:r>
        <w:rPr>
          <w:rFonts w:hint="eastAsia" w:ascii="宋体" w:hAnsi="宋体" w:cs="宋体"/>
          <w:color w:val="auto"/>
        </w:rPr>
        <w:t>2为确保网上操作合法、有效和安全，</w:t>
      </w:r>
      <w:r>
        <w:rPr>
          <w:rFonts w:hint="eastAsia" w:ascii="宋体" w:hAnsi="宋体" w:cs="宋体"/>
          <w:color w:val="auto"/>
          <w:lang w:eastAsia="zh-CN"/>
        </w:rPr>
        <w:t>供应商</w:t>
      </w:r>
      <w:r>
        <w:rPr>
          <w:rFonts w:hint="eastAsia" w:ascii="宋体" w:hAnsi="宋体" w:cs="宋体"/>
          <w:color w:val="auto"/>
        </w:rPr>
        <w:t>应当在</w:t>
      </w:r>
      <w:r>
        <w:rPr>
          <w:rFonts w:hint="eastAsia" w:ascii="宋体" w:hAnsi="宋体" w:cs="宋体"/>
          <w:color w:val="auto"/>
          <w:lang w:eastAsia="zh-CN"/>
        </w:rPr>
        <w:t>响应截止</w:t>
      </w:r>
      <w:r>
        <w:rPr>
          <w:rFonts w:hint="eastAsia" w:ascii="宋体" w:hAnsi="宋体" w:cs="宋体"/>
          <w:color w:val="auto"/>
        </w:rPr>
        <w:t>时间前完成在“政府采购云平台”的身份认证，确保在</w:t>
      </w:r>
      <w:r>
        <w:rPr>
          <w:rFonts w:hint="eastAsia" w:ascii="宋体" w:hAnsi="宋体" w:cs="宋体"/>
          <w:color w:val="auto"/>
          <w:lang w:eastAsia="zh-CN"/>
        </w:rPr>
        <w:t>电子交易标</w:t>
      </w:r>
      <w:r>
        <w:rPr>
          <w:rFonts w:hint="eastAsia" w:ascii="宋体" w:hAnsi="宋体" w:cs="宋体"/>
          <w:color w:val="auto"/>
        </w:rPr>
        <w:t>过程中能够对相关数据电文进行加密和使用电子签名。</w:t>
      </w:r>
    </w:p>
    <w:p w14:paraId="4F3C5F14">
      <w:pPr>
        <w:pStyle w:val="130"/>
        <w:snapToGrid w:val="0"/>
        <w:spacing w:before="0"/>
        <w:ind w:firstLine="480"/>
        <w:rPr>
          <w:rFonts w:ascii="宋体" w:hAnsi="宋体" w:cs="宋体"/>
          <w:color w:val="auto"/>
          <w:szCs w:val="24"/>
        </w:rPr>
      </w:pPr>
      <w:r>
        <w:rPr>
          <w:rFonts w:hint="eastAsia" w:ascii="宋体" w:hAnsi="宋体" w:cs="宋体"/>
          <w:color w:val="auto"/>
          <w:lang w:eastAsia="zh-CN"/>
        </w:rPr>
        <w:t>12.</w:t>
      </w:r>
      <w:r>
        <w:rPr>
          <w:rFonts w:hint="eastAsia" w:ascii="宋体" w:hAnsi="宋体" w:cs="宋体"/>
          <w:color w:val="auto"/>
        </w:rPr>
        <w:t>3</w:t>
      </w:r>
      <w:r>
        <w:rPr>
          <w:rFonts w:hint="eastAsia" w:ascii="宋体" w:hAnsi="宋体" w:cs="宋体"/>
          <w:color w:val="auto"/>
          <w:lang w:eastAsia="zh-CN"/>
        </w:rPr>
        <w:t>交易文件</w:t>
      </w:r>
      <w:r>
        <w:rPr>
          <w:rFonts w:hint="eastAsia" w:ascii="宋体" w:hAnsi="宋体" w:cs="宋体"/>
          <w:color w:val="auto"/>
        </w:rPr>
        <w:t>对</w:t>
      </w:r>
      <w:r>
        <w:rPr>
          <w:rFonts w:hint="eastAsia" w:ascii="宋体" w:hAnsi="宋体" w:cs="宋体"/>
          <w:color w:val="auto"/>
          <w:lang w:eastAsia="zh-CN"/>
        </w:rPr>
        <w:t>响应文件</w:t>
      </w:r>
      <w:r>
        <w:rPr>
          <w:rFonts w:hint="eastAsia" w:ascii="宋体" w:hAnsi="宋体" w:cs="宋体"/>
          <w:color w:val="auto"/>
        </w:rPr>
        <w:t>签署、盖章的要求适用于电子签名。</w:t>
      </w:r>
    </w:p>
    <w:p w14:paraId="22123F06">
      <w:pPr>
        <w:pStyle w:val="130"/>
        <w:spacing w:before="0"/>
        <w:ind w:firstLine="0" w:firstLineChars="0"/>
        <w:rPr>
          <w:rFonts w:ascii="宋体" w:hAnsi="宋体" w:cs="宋体"/>
          <w:b/>
          <w:color w:val="auto"/>
          <w:szCs w:val="24"/>
        </w:rPr>
      </w:pPr>
      <w:r>
        <w:rPr>
          <w:rFonts w:hint="eastAsia" w:ascii="宋体" w:hAnsi="宋体" w:cs="宋体"/>
          <w:b/>
          <w:color w:val="auto"/>
          <w:szCs w:val="24"/>
          <w:lang w:eastAsia="zh-CN"/>
        </w:rPr>
        <w:t>13.</w:t>
      </w:r>
      <w:r>
        <w:rPr>
          <w:rFonts w:hint="eastAsia" w:ascii="宋体" w:hAnsi="宋体" w:cs="宋体"/>
          <w:b/>
          <w:color w:val="auto"/>
          <w:szCs w:val="24"/>
        </w:rPr>
        <w:t xml:space="preserve"> </w:t>
      </w:r>
      <w:r>
        <w:rPr>
          <w:rFonts w:hint="eastAsia" w:ascii="宋体" w:hAnsi="宋体" w:cs="宋体"/>
          <w:b/>
          <w:color w:val="auto"/>
          <w:szCs w:val="24"/>
          <w:lang w:eastAsia="zh-CN"/>
        </w:rPr>
        <w:t>响应文件</w:t>
      </w:r>
      <w:r>
        <w:rPr>
          <w:rFonts w:hint="eastAsia" w:ascii="宋体" w:hAnsi="宋体" w:cs="宋体"/>
          <w:b/>
          <w:color w:val="auto"/>
          <w:szCs w:val="24"/>
        </w:rPr>
        <w:t>的提交、补充、修改、撤回</w:t>
      </w:r>
    </w:p>
    <w:p w14:paraId="4835AAAE">
      <w:pPr>
        <w:pStyle w:val="130"/>
        <w:ind w:firstLine="480"/>
        <w:rPr>
          <w:rFonts w:ascii="宋体" w:hAnsi="宋体" w:cs="宋体"/>
          <w:color w:val="auto"/>
          <w:szCs w:val="24"/>
        </w:rPr>
      </w:pPr>
      <w:r>
        <w:rPr>
          <w:rFonts w:hint="eastAsia" w:ascii="宋体" w:hAnsi="宋体" w:cs="宋体"/>
          <w:color w:val="auto"/>
          <w:szCs w:val="24"/>
          <w:lang w:eastAsia="zh-CN"/>
        </w:rPr>
        <w:t>13.</w:t>
      </w:r>
      <w:r>
        <w:rPr>
          <w:rFonts w:hint="eastAsia" w:ascii="宋体" w:hAnsi="宋体" w:cs="宋体"/>
          <w:color w:val="auto"/>
          <w:szCs w:val="24"/>
        </w:rPr>
        <w:t>1 供应商应当在</w:t>
      </w:r>
      <w:r>
        <w:rPr>
          <w:rFonts w:hint="eastAsia" w:ascii="宋体" w:hAnsi="宋体" w:cs="宋体"/>
          <w:color w:val="auto"/>
          <w:szCs w:val="24"/>
          <w:lang w:eastAsia="zh-CN"/>
        </w:rPr>
        <w:t>响应截止</w:t>
      </w:r>
      <w:r>
        <w:rPr>
          <w:rFonts w:hint="eastAsia" w:ascii="宋体" w:hAnsi="宋体" w:cs="宋体"/>
          <w:color w:val="auto"/>
          <w:szCs w:val="24"/>
        </w:rPr>
        <w:t>时间前完成</w:t>
      </w:r>
      <w:r>
        <w:rPr>
          <w:rFonts w:hint="eastAsia" w:ascii="宋体" w:hAnsi="宋体" w:cs="宋体"/>
          <w:color w:val="auto"/>
          <w:szCs w:val="24"/>
          <w:lang w:eastAsia="zh-CN"/>
        </w:rPr>
        <w:t>响应文件</w:t>
      </w:r>
      <w:r>
        <w:rPr>
          <w:rFonts w:hint="eastAsia" w:ascii="宋体" w:hAnsi="宋体" w:cs="宋体"/>
          <w:color w:val="auto"/>
          <w:szCs w:val="24"/>
        </w:rPr>
        <w:t>的传输递交，并可以补充、修改或者撤回</w:t>
      </w:r>
      <w:r>
        <w:rPr>
          <w:rFonts w:hint="eastAsia" w:ascii="宋体" w:hAnsi="宋体" w:cs="宋体"/>
          <w:color w:val="auto"/>
          <w:szCs w:val="24"/>
          <w:lang w:eastAsia="zh-CN"/>
        </w:rPr>
        <w:t>响应文件</w:t>
      </w:r>
      <w:r>
        <w:rPr>
          <w:rFonts w:hint="eastAsia" w:ascii="宋体" w:hAnsi="宋体" w:cs="宋体"/>
          <w:color w:val="auto"/>
          <w:szCs w:val="24"/>
        </w:rPr>
        <w:t>。补充或者修改</w:t>
      </w:r>
      <w:r>
        <w:rPr>
          <w:rFonts w:hint="eastAsia" w:ascii="宋体" w:hAnsi="宋体" w:cs="宋体"/>
          <w:color w:val="auto"/>
          <w:szCs w:val="24"/>
          <w:lang w:eastAsia="zh-CN"/>
        </w:rPr>
        <w:t>响应文件</w:t>
      </w:r>
      <w:r>
        <w:rPr>
          <w:rFonts w:hint="eastAsia" w:ascii="宋体" w:hAnsi="宋体" w:cs="宋体"/>
          <w:color w:val="auto"/>
          <w:szCs w:val="24"/>
        </w:rPr>
        <w:t>的，应当先行撤回原文件，补充、修改后重新传输递交。供应商撤回</w:t>
      </w:r>
      <w:r>
        <w:rPr>
          <w:rFonts w:hint="eastAsia" w:ascii="宋体" w:hAnsi="宋体" w:cs="宋体"/>
          <w:color w:val="auto"/>
          <w:szCs w:val="24"/>
          <w:lang w:eastAsia="zh-CN"/>
        </w:rPr>
        <w:t>响应</w:t>
      </w:r>
      <w:r>
        <w:rPr>
          <w:rFonts w:hint="eastAsia" w:ascii="宋体" w:hAnsi="宋体" w:cs="宋体"/>
          <w:color w:val="auto"/>
          <w:szCs w:val="24"/>
        </w:rPr>
        <w:t>不得损害国家利益、社会公共利益、</w:t>
      </w:r>
      <w:r>
        <w:rPr>
          <w:rFonts w:hint="eastAsia" w:ascii="宋体" w:hAnsi="宋体" w:cs="宋体"/>
          <w:color w:val="auto"/>
          <w:szCs w:val="24"/>
          <w:lang w:eastAsia="zh-CN"/>
        </w:rPr>
        <w:t>交易发起人</w:t>
      </w:r>
      <w:r>
        <w:rPr>
          <w:rFonts w:hint="eastAsia" w:ascii="宋体" w:hAnsi="宋体" w:cs="宋体"/>
          <w:color w:val="auto"/>
          <w:szCs w:val="24"/>
        </w:rPr>
        <w:t>利益、代理机构利益、其他供应商利益，否则，供应商撤销（撤回）</w:t>
      </w:r>
      <w:r>
        <w:rPr>
          <w:rFonts w:hint="eastAsia" w:ascii="宋体" w:hAnsi="宋体" w:cs="宋体"/>
          <w:color w:val="auto"/>
          <w:szCs w:val="24"/>
          <w:lang w:eastAsia="zh-CN"/>
        </w:rPr>
        <w:t>响应</w:t>
      </w:r>
      <w:r>
        <w:rPr>
          <w:rFonts w:hint="eastAsia" w:ascii="宋体" w:hAnsi="宋体" w:cs="宋体"/>
          <w:color w:val="auto"/>
          <w:szCs w:val="24"/>
        </w:rPr>
        <w:t>无效。</w:t>
      </w:r>
      <w:r>
        <w:rPr>
          <w:rFonts w:hint="eastAsia" w:ascii="宋体" w:hAnsi="宋体" w:cs="宋体"/>
          <w:color w:val="auto"/>
          <w:szCs w:val="24"/>
          <w:lang w:eastAsia="zh-CN"/>
        </w:rPr>
        <w:t>响应截止</w:t>
      </w:r>
      <w:r>
        <w:rPr>
          <w:rFonts w:hint="eastAsia" w:ascii="宋体" w:hAnsi="宋体" w:cs="宋体"/>
          <w:color w:val="auto"/>
          <w:szCs w:val="24"/>
        </w:rPr>
        <w:t>时间前未完成传输的，视为撤回</w:t>
      </w:r>
      <w:r>
        <w:rPr>
          <w:rFonts w:hint="eastAsia" w:ascii="宋体" w:hAnsi="宋体" w:cs="宋体"/>
          <w:color w:val="auto"/>
          <w:szCs w:val="24"/>
          <w:lang w:eastAsia="zh-CN"/>
        </w:rPr>
        <w:t>响应文件</w:t>
      </w:r>
      <w:r>
        <w:rPr>
          <w:rFonts w:hint="eastAsia" w:ascii="宋体" w:hAnsi="宋体" w:cs="宋体"/>
          <w:color w:val="auto"/>
          <w:szCs w:val="24"/>
        </w:rPr>
        <w:t>。</w:t>
      </w:r>
      <w:r>
        <w:rPr>
          <w:rFonts w:hint="eastAsia" w:ascii="宋体" w:hAnsi="宋体" w:cs="宋体"/>
          <w:color w:val="auto"/>
          <w:szCs w:val="24"/>
          <w:lang w:eastAsia="zh-CN"/>
        </w:rPr>
        <w:t>响应截止</w:t>
      </w:r>
      <w:r>
        <w:rPr>
          <w:rFonts w:hint="eastAsia" w:ascii="宋体" w:hAnsi="宋体" w:cs="宋体"/>
          <w:color w:val="auto"/>
          <w:szCs w:val="24"/>
        </w:rPr>
        <w:t>时间后递交的</w:t>
      </w:r>
      <w:r>
        <w:rPr>
          <w:rFonts w:hint="eastAsia" w:ascii="宋体" w:hAnsi="宋体" w:cs="宋体"/>
          <w:color w:val="auto"/>
          <w:szCs w:val="24"/>
          <w:lang w:eastAsia="zh-CN"/>
        </w:rPr>
        <w:t>响应文件</w:t>
      </w:r>
      <w:r>
        <w:rPr>
          <w:rFonts w:hint="eastAsia" w:ascii="宋体" w:hAnsi="宋体" w:cs="宋体"/>
          <w:color w:val="auto"/>
          <w:szCs w:val="24"/>
        </w:rPr>
        <w:t>，电子交易平台将拒收。</w:t>
      </w:r>
    </w:p>
    <w:p w14:paraId="0A590179">
      <w:pPr>
        <w:pStyle w:val="130"/>
        <w:spacing w:before="0"/>
        <w:ind w:firstLine="480"/>
        <w:rPr>
          <w:rFonts w:ascii="宋体" w:hAnsi="宋体" w:cs="宋体"/>
          <w:color w:val="auto"/>
          <w:szCs w:val="24"/>
        </w:rPr>
      </w:pPr>
      <w:r>
        <w:rPr>
          <w:rFonts w:hint="eastAsia" w:ascii="宋体" w:hAnsi="宋体" w:cs="宋体"/>
          <w:color w:val="auto"/>
          <w:szCs w:val="24"/>
          <w:lang w:eastAsia="zh-CN"/>
        </w:rPr>
        <w:t>13.</w:t>
      </w:r>
      <w:r>
        <w:rPr>
          <w:rFonts w:hint="eastAsia" w:ascii="宋体" w:hAnsi="宋体" w:cs="宋体"/>
          <w:color w:val="auto"/>
          <w:szCs w:val="24"/>
        </w:rPr>
        <w:t>2电子交易平台收到</w:t>
      </w:r>
      <w:r>
        <w:rPr>
          <w:rFonts w:hint="eastAsia" w:ascii="宋体" w:hAnsi="宋体" w:cs="宋体"/>
          <w:color w:val="auto"/>
          <w:szCs w:val="24"/>
          <w:lang w:eastAsia="zh-CN"/>
        </w:rPr>
        <w:t>响应文件</w:t>
      </w:r>
      <w:r>
        <w:rPr>
          <w:rFonts w:hint="eastAsia" w:ascii="宋体" w:hAnsi="宋体" w:cs="宋体"/>
          <w:color w:val="auto"/>
          <w:szCs w:val="24"/>
        </w:rPr>
        <w:t>，将妥善保存并即时向供应商发出确认回执通知。在</w:t>
      </w:r>
      <w:r>
        <w:rPr>
          <w:rFonts w:hint="eastAsia" w:ascii="宋体" w:hAnsi="宋体" w:cs="宋体"/>
          <w:color w:val="auto"/>
          <w:szCs w:val="24"/>
          <w:lang w:eastAsia="zh-CN"/>
        </w:rPr>
        <w:t>响应截止</w:t>
      </w:r>
      <w:r>
        <w:rPr>
          <w:rFonts w:hint="eastAsia" w:ascii="宋体" w:hAnsi="宋体" w:cs="宋体"/>
          <w:color w:val="auto"/>
          <w:szCs w:val="24"/>
        </w:rPr>
        <w:t>时间前，除供应商补充、修改或者撤回</w:t>
      </w:r>
      <w:r>
        <w:rPr>
          <w:rFonts w:hint="eastAsia" w:ascii="宋体" w:hAnsi="宋体" w:cs="宋体"/>
          <w:color w:val="auto"/>
          <w:szCs w:val="24"/>
          <w:lang w:eastAsia="zh-CN"/>
        </w:rPr>
        <w:t>响应文件</w:t>
      </w:r>
      <w:r>
        <w:rPr>
          <w:rFonts w:hint="eastAsia" w:ascii="宋体" w:hAnsi="宋体" w:cs="宋体"/>
          <w:color w:val="auto"/>
          <w:szCs w:val="24"/>
        </w:rPr>
        <w:t>外，任何单位和个人不得解密或提取</w:t>
      </w:r>
      <w:r>
        <w:rPr>
          <w:rFonts w:hint="eastAsia" w:ascii="宋体" w:hAnsi="宋体" w:cs="宋体"/>
          <w:color w:val="auto"/>
          <w:szCs w:val="24"/>
          <w:lang w:eastAsia="zh-CN"/>
        </w:rPr>
        <w:t>响应文件</w:t>
      </w:r>
      <w:r>
        <w:rPr>
          <w:rFonts w:hint="eastAsia" w:ascii="宋体" w:hAnsi="宋体" w:cs="宋体"/>
          <w:color w:val="auto"/>
          <w:szCs w:val="24"/>
        </w:rPr>
        <w:t>。</w:t>
      </w:r>
    </w:p>
    <w:p w14:paraId="45D981D2">
      <w:pPr>
        <w:pStyle w:val="130"/>
        <w:spacing w:before="0"/>
        <w:ind w:firstLine="480"/>
        <w:rPr>
          <w:rFonts w:ascii="宋体" w:hAnsi="宋体" w:cs="宋体"/>
          <w:color w:val="auto"/>
          <w:szCs w:val="24"/>
        </w:rPr>
      </w:pPr>
      <w:r>
        <w:rPr>
          <w:rFonts w:hint="eastAsia" w:ascii="宋体" w:hAnsi="宋体" w:cs="宋体"/>
          <w:color w:val="auto"/>
          <w:szCs w:val="24"/>
          <w:lang w:eastAsia="zh-CN"/>
        </w:rPr>
        <w:t>13.</w:t>
      </w:r>
      <w:r>
        <w:rPr>
          <w:rFonts w:hint="eastAsia" w:ascii="宋体" w:hAnsi="宋体" w:cs="宋体"/>
          <w:color w:val="auto"/>
          <w:szCs w:val="24"/>
        </w:rPr>
        <w:t>3</w:t>
      </w:r>
      <w:r>
        <w:rPr>
          <w:rFonts w:hint="eastAsia" w:ascii="宋体" w:hAnsi="宋体" w:cs="宋体"/>
          <w:color w:val="auto"/>
          <w:szCs w:val="24"/>
          <w:lang w:eastAsia="zh-CN"/>
        </w:rPr>
        <w:t>交易发起人</w:t>
      </w:r>
      <w:r>
        <w:rPr>
          <w:rFonts w:hint="eastAsia" w:ascii="宋体" w:hAnsi="宋体" w:cs="宋体"/>
          <w:color w:val="auto"/>
          <w:szCs w:val="24"/>
        </w:rPr>
        <w:t>、</w:t>
      </w:r>
      <w:r>
        <w:rPr>
          <w:rFonts w:hint="eastAsia" w:ascii="宋体" w:hAnsi="宋体" w:cs="宋体"/>
          <w:color w:val="auto"/>
          <w:szCs w:val="24"/>
          <w:lang w:eastAsia="zh-CN"/>
        </w:rPr>
        <w:t>代理机构</w:t>
      </w:r>
      <w:r>
        <w:rPr>
          <w:rFonts w:hint="eastAsia" w:ascii="宋体" w:hAnsi="宋体" w:cs="宋体"/>
          <w:color w:val="auto"/>
          <w:szCs w:val="24"/>
        </w:rPr>
        <w:t>可以视情况延长</w:t>
      </w:r>
      <w:r>
        <w:rPr>
          <w:rFonts w:hint="eastAsia" w:ascii="宋体" w:hAnsi="宋体" w:cs="宋体"/>
          <w:color w:val="auto"/>
          <w:szCs w:val="24"/>
          <w:lang w:eastAsia="zh-CN"/>
        </w:rPr>
        <w:t>响应文件</w:t>
      </w:r>
      <w:r>
        <w:rPr>
          <w:rFonts w:hint="eastAsia" w:ascii="宋体" w:hAnsi="宋体" w:cs="宋体"/>
          <w:color w:val="auto"/>
          <w:szCs w:val="24"/>
        </w:rPr>
        <w:t>提交的截止时间。在上述情况下，</w:t>
      </w:r>
      <w:r>
        <w:rPr>
          <w:rFonts w:hint="eastAsia" w:ascii="宋体" w:hAnsi="宋体" w:cs="宋体"/>
          <w:color w:val="auto"/>
          <w:szCs w:val="24"/>
          <w:lang w:eastAsia="zh-CN"/>
        </w:rPr>
        <w:t>代理机构</w:t>
      </w:r>
      <w:r>
        <w:rPr>
          <w:rFonts w:hint="eastAsia" w:ascii="宋体" w:hAnsi="宋体" w:cs="宋体"/>
          <w:color w:val="auto"/>
          <w:szCs w:val="24"/>
        </w:rPr>
        <w:t>与</w:t>
      </w:r>
      <w:r>
        <w:rPr>
          <w:rFonts w:hint="eastAsia" w:ascii="宋体" w:hAnsi="宋体" w:cs="宋体"/>
          <w:color w:val="auto"/>
          <w:szCs w:val="24"/>
          <w:lang w:eastAsia="zh-CN"/>
        </w:rPr>
        <w:t>供应商</w:t>
      </w:r>
      <w:r>
        <w:rPr>
          <w:rFonts w:hint="eastAsia" w:ascii="宋体" w:hAnsi="宋体" w:cs="宋体"/>
          <w:color w:val="auto"/>
          <w:szCs w:val="24"/>
        </w:rPr>
        <w:t>以前在</w:t>
      </w:r>
      <w:r>
        <w:rPr>
          <w:rFonts w:hint="eastAsia" w:ascii="宋体" w:hAnsi="宋体" w:cs="宋体"/>
          <w:color w:val="auto"/>
          <w:szCs w:val="24"/>
          <w:lang w:eastAsia="zh-CN"/>
        </w:rPr>
        <w:t>响应截止</w:t>
      </w:r>
      <w:r>
        <w:rPr>
          <w:rFonts w:hint="eastAsia" w:ascii="宋体" w:hAnsi="宋体" w:cs="宋体"/>
          <w:color w:val="auto"/>
          <w:szCs w:val="24"/>
        </w:rPr>
        <w:t>期方面的全部权利、责任和义务，将适用于延长至新的</w:t>
      </w:r>
      <w:r>
        <w:rPr>
          <w:rFonts w:hint="eastAsia" w:ascii="宋体" w:hAnsi="宋体" w:cs="宋体"/>
          <w:color w:val="auto"/>
          <w:szCs w:val="24"/>
          <w:lang w:eastAsia="zh-CN"/>
        </w:rPr>
        <w:t>响应截止</w:t>
      </w:r>
      <w:r>
        <w:rPr>
          <w:rFonts w:hint="eastAsia" w:ascii="宋体" w:hAnsi="宋体" w:cs="宋体"/>
          <w:color w:val="auto"/>
          <w:szCs w:val="24"/>
        </w:rPr>
        <w:t>期。</w:t>
      </w:r>
    </w:p>
    <w:p w14:paraId="161B02E9">
      <w:pPr>
        <w:pStyle w:val="32"/>
        <w:spacing w:line="360" w:lineRule="auto"/>
        <w:rPr>
          <w:rFonts w:hAnsi="宋体" w:cs="宋体"/>
          <w:b/>
          <w:color w:val="auto"/>
          <w:sz w:val="24"/>
          <w:szCs w:val="24"/>
        </w:rPr>
      </w:pPr>
      <w:r>
        <w:rPr>
          <w:rFonts w:hint="eastAsia" w:hAnsi="宋体" w:cs="宋体"/>
          <w:b/>
          <w:color w:val="auto"/>
          <w:sz w:val="24"/>
          <w:szCs w:val="24"/>
          <w:lang w:eastAsia="zh-CN"/>
        </w:rPr>
        <w:t>14.响应文件的递交</w:t>
      </w:r>
    </w:p>
    <w:p w14:paraId="612C2884">
      <w:pPr>
        <w:pStyle w:val="32"/>
        <w:spacing w:line="360" w:lineRule="auto"/>
        <w:ind w:firstLine="480" w:firstLineChars="200"/>
        <w:rPr>
          <w:rFonts w:hint="eastAsia" w:hAnsi="宋体" w:cs="宋体"/>
          <w:color w:val="auto"/>
          <w:sz w:val="24"/>
          <w:szCs w:val="24"/>
          <w:lang w:eastAsia="zh-CN"/>
        </w:rPr>
      </w:pPr>
      <w:r>
        <w:rPr>
          <w:rFonts w:hint="eastAsia" w:hAnsi="宋体" w:cs="宋体"/>
          <w:color w:val="auto"/>
          <w:sz w:val="24"/>
          <w:szCs w:val="24"/>
          <w:lang w:eastAsia="zh-CN"/>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225FB5A">
      <w:pPr>
        <w:pStyle w:val="32"/>
        <w:spacing w:line="360" w:lineRule="auto"/>
        <w:ind w:firstLine="480" w:firstLineChars="200"/>
        <w:rPr>
          <w:rFonts w:hAnsi="宋体" w:cs="宋体"/>
          <w:color w:val="auto"/>
          <w:sz w:val="24"/>
          <w:szCs w:val="24"/>
        </w:rPr>
      </w:pPr>
      <w:r>
        <w:rPr>
          <w:rFonts w:hint="eastAsia" w:hAnsi="宋体" w:cs="宋体"/>
          <w:color w:val="auto"/>
          <w:sz w:val="24"/>
          <w:szCs w:val="24"/>
          <w:lang w:eastAsia="zh-CN"/>
        </w:rPr>
        <w:t>14.2采购机构可以视情况延长响应文件提交的截止时间。在上述情况下，采购机构与供应商以前在响应截止期方面的全部权利、责任和义务，将适用于延长至新的响应截止期。</w:t>
      </w:r>
    </w:p>
    <w:p w14:paraId="6D29732B">
      <w:pPr>
        <w:pStyle w:val="130"/>
        <w:spacing w:before="0"/>
        <w:ind w:firstLine="0" w:firstLineChars="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5</w:t>
      </w:r>
      <w:r>
        <w:rPr>
          <w:rFonts w:hint="eastAsia" w:ascii="宋体" w:hAnsi="宋体" w:cs="宋体"/>
          <w:b/>
          <w:color w:val="auto"/>
          <w:szCs w:val="24"/>
        </w:rPr>
        <w:t>.</w:t>
      </w:r>
      <w:r>
        <w:rPr>
          <w:rFonts w:hint="eastAsia" w:ascii="宋体" w:hAnsi="宋体" w:cs="宋体"/>
          <w:b/>
          <w:color w:val="auto"/>
          <w:szCs w:val="24"/>
          <w:lang w:eastAsia="zh-CN"/>
        </w:rPr>
        <w:t>响应文件</w:t>
      </w:r>
      <w:r>
        <w:rPr>
          <w:rFonts w:hint="eastAsia" w:ascii="宋体" w:hAnsi="宋体" w:cs="宋体"/>
          <w:b/>
          <w:color w:val="auto"/>
          <w:szCs w:val="24"/>
        </w:rPr>
        <w:t>的无效处理</w:t>
      </w:r>
    </w:p>
    <w:p w14:paraId="7BB34553">
      <w:pPr>
        <w:pStyle w:val="24"/>
        <w:spacing w:line="360" w:lineRule="auto"/>
        <w:ind w:firstLine="360" w:firstLineChars="150"/>
        <w:rPr>
          <w:rFonts w:hint="eastAsia" w:eastAsia="宋体" w:cs="仿宋_GB2312"/>
          <w:color w:val="auto"/>
          <w:szCs w:val="21"/>
          <w:lang w:eastAsia="zh-CN"/>
        </w:rPr>
      </w:pPr>
      <w:r>
        <w:rPr>
          <w:rFonts w:hint="eastAsia" w:cs="仿宋_GB2312"/>
          <w:color w:val="auto"/>
          <w:szCs w:val="21"/>
        </w:rPr>
        <w:t>有</w:t>
      </w:r>
      <w:r>
        <w:rPr>
          <w:rFonts w:hint="eastAsia" w:cs="仿宋_GB2312"/>
          <w:color w:val="auto"/>
          <w:szCs w:val="21"/>
          <w:lang w:eastAsia="zh-CN"/>
        </w:rPr>
        <w:t>交易文件</w:t>
      </w:r>
      <w:r>
        <w:rPr>
          <w:rFonts w:hint="eastAsia" w:cs="仿宋_GB2312"/>
          <w:color w:val="auto"/>
          <w:szCs w:val="21"/>
        </w:rPr>
        <w:t>第四部分4.2</w:t>
      </w:r>
      <w:r>
        <w:rPr>
          <w:rFonts w:hint="eastAsia"/>
          <w:color w:val="auto"/>
        </w:rPr>
        <w:t>规定</w:t>
      </w:r>
      <w:r>
        <w:rPr>
          <w:rFonts w:hint="eastAsia" w:cs="仿宋_GB2312"/>
          <w:color w:val="auto"/>
          <w:szCs w:val="21"/>
        </w:rPr>
        <w:t>的情形之一的，</w:t>
      </w:r>
      <w:r>
        <w:rPr>
          <w:rFonts w:hint="eastAsia" w:cs="仿宋_GB2312"/>
          <w:color w:val="auto"/>
          <w:szCs w:val="21"/>
          <w:lang w:eastAsia="zh-CN"/>
        </w:rPr>
        <w:t>响应</w:t>
      </w:r>
      <w:r>
        <w:rPr>
          <w:rFonts w:hint="eastAsia" w:cs="仿宋_GB2312"/>
          <w:color w:val="auto"/>
          <w:szCs w:val="21"/>
        </w:rPr>
        <w:t>无效</w:t>
      </w:r>
      <w:r>
        <w:rPr>
          <w:rFonts w:hint="eastAsia" w:ascii="宋体" w:hAnsi="宋体" w:cs="仿宋_GB2312"/>
          <w:color w:val="auto"/>
          <w:szCs w:val="24"/>
        </w:rPr>
        <w:t>。</w:t>
      </w:r>
    </w:p>
    <w:p w14:paraId="7512D918">
      <w:pPr>
        <w:pStyle w:val="130"/>
        <w:spacing w:before="0"/>
        <w:ind w:firstLine="0" w:firstLineChars="0"/>
        <w:rPr>
          <w:rFonts w:ascii="宋体" w:hAnsi="宋体" w:cs="宋体"/>
          <w:b/>
          <w:color w:val="auto"/>
          <w:szCs w:val="24"/>
        </w:rPr>
      </w:pPr>
      <w:r>
        <w:rPr>
          <w:rFonts w:hint="eastAsia" w:ascii="宋体" w:hAnsi="宋体" w:cs="宋体"/>
          <w:b/>
          <w:color w:val="auto"/>
          <w:szCs w:val="24"/>
          <w:lang w:eastAsia="zh-CN"/>
        </w:rPr>
        <w:t>16.响应</w:t>
      </w:r>
      <w:r>
        <w:rPr>
          <w:rFonts w:hint="eastAsia" w:ascii="宋体" w:hAnsi="宋体" w:cs="宋体"/>
          <w:b/>
          <w:color w:val="auto"/>
          <w:szCs w:val="24"/>
        </w:rPr>
        <w:t>有效期</w:t>
      </w:r>
    </w:p>
    <w:p w14:paraId="68BBA08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lang w:eastAsia="zh-CN"/>
        </w:rPr>
        <w:t>16.</w:t>
      </w:r>
      <w:r>
        <w:rPr>
          <w:rFonts w:hint="eastAsia" w:ascii="宋体" w:hAnsi="宋体" w:cs="宋体"/>
          <w:color w:val="auto"/>
          <w:sz w:val="24"/>
          <w:szCs w:val="20"/>
        </w:rPr>
        <w:t>1</w:t>
      </w:r>
      <w:r>
        <w:rPr>
          <w:rFonts w:hint="eastAsia" w:ascii="宋体" w:hAnsi="宋体" w:cs="宋体"/>
          <w:color w:val="auto"/>
          <w:sz w:val="24"/>
          <w:szCs w:val="20"/>
          <w:lang w:eastAsia="zh-CN"/>
        </w:rPr>
        <w:t>响应</w:t>
      </w:r>
      <w:r>
        <w:rPr>
          <w:rFonts w:hint="eastAsia" w:ascii="宋体" w:hAnsi="宋体" w:cs="宋体"/>
          <w:color w:val="auto"/>
          <w:sz w:val="24"/>
          <w:szCs w:val="20"/>
        </w:rPr>
        <w:t>有效期为从提交</w:t>
      </w:r>
      <w:r>
        <w:rPr>
          <w:rFonts w:hint="eastAsia" w:ascii="宋体" w:hAnsi="宋体" w:cs="宋体"/>
          <w:color w:val="auto"/>
          <w:sz w:val="24"/>
          <w:szCs w:val="20"/>
          <w:lang w:eastAsia="zh-CN"/>
        </w:rPr>
        <w:t>响应文件</w:t>
      </w:r>
      <w:r>
        <w:rPr>
          <w:rFonts w:hint="eastAsia" w:ascii="宋体" w:hAnsi="宋体" w:cs="宋体"/>
          <w:color w:val="auto"/>
          <w:sz w:val="24"/>
          <w:szCs w:val="20"/>
        </w:rPr>
        <w:t>的截止之日起90天。▲</w:t>
      </w:r>
      <w:r>
        <w:rPr>
          <w:rFonts w:hint="eastAsia" w:ascii="宋体" w:hAnsi="宋体" w:cs="宋体"/>
          <w:b/>
          <w:color w:val="auto"/>
          <w:sz w:val="24"/>
          <w:szCs w:val="20"/>
          <w:lang w:eastAsia="zh-CN"/>
        </w:rPr>
        <w:t>供应商</w:t>
      </w:r>
      <w:r>
        <w:rPr>
          <w:rFonts w:hint="eastAsia" w:ascii="宋体" w:hAnsi="宋体" w:cs="宋体"/>
          <w:b/>
          <w:color w:val="auto"/>
          <w:sz w:val="24"/>
          <w:szCs w:val="20"/>
        </w:rPr>
        <w:t>的</w:t>
      </w:r>
      <w:r>
        <w:rPr>
          <w:rFonts w:hint="eastAsia" w:ascii="宋体" w:hAnsi="宋体" w:cs="宋体"/>
          <w:b/>
          <w:color w:val="auto"/>
          <w:sz w:val="24"/>
          <w:szCs w:val="20"/>
          <w:lang w:eastAsia="zh-CN"/>
        </w:rPr>
        <w:t>响应文件</w:t>
      </w:r>
      <w:r>
        <w:rPr>
          <w:rFonts w:hint="eastAsia" w:ascii="宋体" w:hAnsi="宋体" w:cs="宋体"/>
          <w:b/>
          <w:color w:val="auto"/>
          <w:sz w:val="24"/>
          <w:szCs w:val="20"/>
        </w:rPr>
        <w:t>中承</w:t>
      </w:r>
      <w:r>
        <w:rPr>
          <w:rFonts w:hint="eastAsia" w:ascii="宋体" w:hAnsi="宋体" w:cs="宋体"/>
          <w:b/>
          <w:color w:val="auto"/>
          <w:sz w:val="24"/>
          <w:szCs w:val="21"/>
        </w:rPr>
        <w:t>诺的</w:t>
      </w:r>
      <w:r>
        <w:rPr>
          <w:rFonts w:hint="eastAsia" w:ascii="宋体" w:hAnsi="宋体" w:cs="宋体"/>
          <w:b/>
          <w:color w:val="auto"/>
          <w:sz w:val="24"/>
          <w:szCs w:val="21"/>
          <w:lang w:eastAsia="zh-CN"/>
        </w:rPr>
        <w:t>响应</w:t>
      </w:r>
      <w:r>
        <w:rPr>
          <w:rFonts w:hint="eastAsia" w:ascii="宋体" w:hAnsi="宋体" w:cs="宋体"/>
          <w:b/>
          <w:color w:val="auto"/>
          <w:sz w:val="24"/>
          <w:szCs w:val="21"/>
        </w:rPr>
        <w:t>有效期少于</w:t>
      </w:r>
      <w:r>
        <w:rPr>
          <w:rFonts w:hint="eastAsia" w:ascii="宋体" w:hAnsi="宋体" w:cs="宋体"/>
          <w:b/>
          <w:color w:val="auto"/>
          <w:sz w:val="24"/>
          <w:szCs w:val="21"/>
          <w:lang w:eastAsia="zh-CN"/>
        </w:rPr>
        <w:t>交易文件</w:t>
      </w:r>
      <w:r>
        <w:rPr>
          <w:rFonts w:hint="eastAsia" w:ascii="宋体" w:hAnsi="宋体" w:cs="宋体"/>
          <w:b/>
          <w:color w:val="auto"/>
          <w:sz w:val="24"/>
          <w:szCs w:val="21"/>
        </w:rPr>
        <w:t>中载明的</w:t>
      </w:r>
      <w:r>
        <w:rPr>
          <w:rFonts w:hint="eastAsia" w:ascii="宋体" w:hAnsi="宋体" w:cs="宋体"/>
          <w:b/>
          <w:color w:val="auto"/>
          <w:sz w:val="24"/>
          <w:szCs w:val="21"/>
          <w:lang w:eastAsia="zh-CN"/>
        </w:rPr>
        <w:t>响应</w:t>
      </w:r>
      <w:r>
        <w:rPr>
          <w:rFonts w:hint="eastAsia" w:ascii="宋体" w:hAnsi="宋体" w:cs="宋体"/>
          <w:b/>
          <w:color w:val="auto"/>
          <w:sz w:val="24"/>
          <w:szCs w:val="21"/>
        </w:rPr>
        <w:t>有效期的，</w:t>
      </w:r>
      <w:r>
        <w:rPr>
          <w:rFonts w:hint="eastAsia" w:ascii="宋体" w:hAnsi="宋体" w:cs="宋体"/>
          <w:b/>
          <w:color w:val="auto"/>
          <w:sz w:val="24"/>
          <w:szCs w:val="21"/>
          <w:lang w:eastAsia="zh-CN"/>
        </w:rPr>
        <w:t>响应</w:t>
      </w:r>
      <w:r>
        <w:rPr>
          <w:rFonts w:hint="eastAsia" w:ascii="宋体" w:hAnsi="宋体" w:cs="宋体"/>
          <w:b/>
          <w:color w:val="auto"/>
          <w:sz w:val="24"/>
          <w:szCs w:val="21"/>
        </w:rPr>
        <w:t>无效。</w:t>
      </w:r>
    </w:p>
    <w:p w14:paraId="3058D9BF">
      <w:pPr>
        <w:pStyle w:val="130"/>
        <w:spacing w:before="0"/>
        <w:ind w:firstLine="480"/>
        <w:rPr>
          <w:rFonts w:ascii="宋体" w:hAnsi="宋体" w:cs="宋体"/>
          <w:color w:val="auto"/>
        </w:rPr>
      </w:pPr>
      <w:r>
        <w:rPr>
          <w:rFonts w:hint="eastAsia" w:ascii="宋体" w:hAnsi="宋体" w:cs="宋体"/>
          <w:color w:val="auto"/>
          <w:lang w:eastAsia="zh-CN"/>
        </w:rPr>
        <w:t>16.</w:t>
      </w:r>
      <w:r>
        <w:rPr>
          <w:rFonts w:hint="eastAsia" w:ascii="宋体" w:hAnsi="宋体" w:cs="宋体"/>
          <w:color w:val="auto"/>
        </w:rPr>
        <w:t>2</w:t>
      </w:r>
      <w:r>
        <w:rPr>
          <w:rFonts w:hint="eastAsia" w:ascii="宋体" w:hAnsi="宋体" w:cs="宋体"/>
          <w:color w:val="auto"/>
          <w:lang w:eastAsia="zh-CN"/>
        </w:rPr>
        <w:t>响应文件</w:t>
      </w:r>
      <w:r>
        <w:rPr>
          <w:rFonts w:hint="eastAsia" w:ascii="宋体" w:hAnsi="宋体" w:cs="宋体"/>
          <w:color w:val="auto"/>
        </w:rPr>
        <w:t>合格投递后，自</w:t>
      </w:r>
      <w:r>
        <w:rPr>
          <w:rFonts w:hint="eastAsia" w:ascii="宋体" w:hAnsi="宋体" w:cs="宋体"/>
          <w:color w:val="auto"/>
          <w:lang w:eastAsia="zh-CN"/>
        </w:rPr>
        <w:t>响应</w:t>
      </w:r>
      <w:r>
        <w:rPr>
          <w:rFonts w:hint="eastAsia" w:ascii="宋体" w:hAnsi="宋体" w:cs="宋体"/>
          <w:color w:val="auto"/>
        </w:rPr>
        <w:t>截止日期起，在</w:t>
      </w:r>
      <w:r>
        <w:rPr>
          <w:rFonts w:hint="eastAsia" w:ascii="宋体" w:hAnsi="宋体" w:cs="宋体"/>
          <w:color w:val="auto"/>
          <w:lang w:eastAsia="zh-CN"/>
        </w:rPr>
        <w:t>响应</w:t>
      </w:r>
      <w:r>
        <w:rPr>
          <w:rFonts w:hint="eastAsia" w:ascii="宋体" w:hAnsi="宋体" w:cs="宋体"/>
          <w:color w:val="auto"/>
        </w:rPr>
        <w:t>有效期内有效。</w:t>
      </w:r>
    </w:p>
    <w:p w14:paraId="54EBFF02">
      <w:pPr>
        <w:pStyle w:val="130"/>
        <w:spacing w:before="0"/>
        <w:ind w:firstLine="480"/>
        <w:jc w:val="left"/>
        <w:rPr>
          <w:rFonts w:hint="eastAsia" w:ascii="宋体" w:hAnsi="宋体" w:eastAsia="宋体" w:cs="宋体"/>
          <w:color w:val="auto"/>
          <w:lang w:eastAsia="zh-CN"/>
        </w:rPr>
      </w:pPr>
      <w:r>
        <w:rPr>
          <w:rFonts w:hint="eastAsia" w:ascii="宋体" w:hAnsi="宋体" w:cs="宋体"/>
          <w:color w:val="auto"/>
          <w:lang w:eastAsia="zh-CN"/>
        </w:rPr>
        <w:t>16.</w:t>
      </w:r>
      <w:r>
        <w:rPr>
          <w:rFonts w:hint="eastAsia" w:ascii="宋体" w:hAnsi="宋体" w:cs="宋体"/>
          <w:color w:val="auto"/>
        </w:rPr>
        <w:t>3在原定</w:t>
      </w:r>
      <w:r>
        <w:rPr>
          <w:rFonts w:hint="eastAsia" w:ascii="宋体" w:hAnsi="宋体" w:cs="宋体"/>
          <w:color w:val="auto"/>
          <w:lang w:eastAsia="zh-CN"/>
        </w:rPr>
        <w:t>响应</w:t>
      </w:r>
      <w:r>
        <w:rPr>
          <w:rFonts w:hint="eastAsia" w:ascii="宋体" w:hAnsi="宋体" w:cs="宋体"/>
          <w:color w:val="auto"/>
        </w:rPr>
        <w:t>有效期满之前，如果出现特殊情况，</w:t>
      </w:r>
      <w:r>
        <w:rPr>
          <w:rFonts w:hint="eastAsia" w:ascii="宋体" w:hAnsi="宋体" w:cs="宋体"/>
          <w:color w:val="auto"/>
          <w:lang w:eastAsia="zh-CN"/>
        </w:rPr>
        <w:t>代理机构</w:t>
      </w:r>
      <w:r>
        <w:rPr>
          <w:rFonts w:hint="eastAsia" w:ascii="宋体" w:hAnsi="宋体" w:cs="宋体"/>
          <w:color w:val="auto"/>
        </w:rPr>
        <w:t>可以以书面形式通知</w:t>
      </w:r>
      <w:r>
        <w:rPr>
          <w:rFonts w:hint="eastAsia" w:ascii="宋体" w:hAnsi="宋体" w:cs="宋体"/>
          <w:color w:val="auto"/>
          <w:lang w:eastAsia="zh-CN"/>
        </w:rPr>
        <w:t>供应商</w:t>
      </w:r>
      <w:r>
        <w:rPr>
          <w:rFonts w:hint="eastAsia" w:ascii="宋体" w:hAnsi="宋体" w:cs="宋体"/>
          <w:color w:val="auto"/>
        </w:rPr>
        <w:t>延长</w:t>
      </w:r>
      <w:r>
        <w:rPr>
          <w:rFonts w:hint="eastAsia" w:ascii="宋体" w:hAnsi="宋体" w:cs="宋体"/>
          <w:color w:val="auto"/>
          <w:lang w:eastAsia="zh-CN"/>
        </w:rPr>
        <w:t>响应</w:t>
      </w:r>
      <w:r>
        <w:rPr>
          <w:rFonts w:hint="eastAsia" w:ascii="宋体" w:hAnsi="宋体" w:cs="宋体"/>
          <w:color w:val="auto"/>
        </w:rPr>
        <w:t>有效期。</w:t>
      </w:r>
      <w:r>
        <w:rPr>
          <w:rFonts w:hint="eastAsia" w:ascii="宋体" w:hAnsi="宋体" w:cs="宋体"/>
          <w:color w:val="auto"/>
          <w:lang w:eastAsia="zh-CN"/>
        </w:rPr>
        <w:t>供应商</w:t>
      </w:r>
      <w:r>
        <w:rPr>
          <w:rFonts w:hint="eastAsia" w:ascii="宋体" w:hAnsi="宋体" w:cs="宋体"/>
          <w:color w:val="auto"/>
        </w:rPr>
        <w:t>同意延长的，不得要求或被允许修改其</w:t>
      </w:r>
      <w:r>
        <w:rPr>
          <w:rFonts w:hint="eastAsia" w:ascii="宋体" w:hAnsi="宋体" w:cs="宋体"/>
          <w:color w:val="auto"/>
          <w:lang w:eastAsia="zh-CN"/>
        </w:rPr>
        <w:t>响应文件</w:t>
      </w:r>
      <w:r>
        <w:rPr>
          <w:rFonts w:hint="eastAsia" w:ascii="宋体" w:hAnsi="宋体" w:cs="宋体"/>
          <w:color w:val="auto"/>
        </w:rPr>
        <w:t>，</w:t>
      </w:r>
      <w:r>
        <w:rPr>
          <w:rFonts w:hint="eastAsia" w:ascii="宋体" w:hAnsi="宋体" w:cs="宋体"/>
          <w:color w:val="auto"/>
          <w:lang w:eastAsia="zh-CN"/>
        </w:rPr>
        <w:t>供应商</w:t>
      </w:r>
      <w:r>
        <w:rPr>
          <w:rFonts w:hint="eastAsia" w:ascii="宋体" w:hAnsi="宋体" w:cs="宋体"/>
          <w:color w:val="auto"/>
        </w:rPr>
        <w:t>拒绝延长的，其</w:t>
      </w:r>
      <w:r>
        <w:rPr>
          <w:rFonts w:hint="eastAsia" w:ascii="宋体" w:hAnsi="宋体" w:cs="宋体"/>
          <w:color w:val="auto"/>
          <w:lang w:eastAsia="zh-CN"/>
        </w:rPr>
        <w:t>响应</w:t>
      </w:r>
      <w:r>
        <w:rPr>
          <w:rFonts w:hint="eastAsia" w:ascii="宋体" w:hAnsi="宋体" w:cs="宋体"/>
          <w:color w:val="auto"/>
        </w:rPr>
        <w:t>无效。</w:t>
      </w:r>
    </w:p>
    <w:p w14:paraId="4430AC5D">
      <w:pPr>
        <w:pStyle w:val="130"/>
        <w:spacing w:before="0"/>
        <w:ind w:firstLine="480"/>
        <w:jc w:val="left"/>
        <w:rPr>
          <w:rFonts w:ascii="宋体" w:hAnsi="宋体" w:cs="宋体"/>
          <w:b/>
          <w:color w:val="auto"/>
          <w:sz w:val="32"/>
        </w:rPr>
      </w:pPr>
      <w:r>
        <w:rPr>
          <w:rFonts w:hint="eastAsia" w:ascii="宋体" w:hAnsi="宋体" w:cs="宋体"/>
          <w:color w:val="auto"/>
          <w:lang w:eastAsia="zh-CN"/>
        </w:rPr>
        <w:t>16.</w:t>
      </w:r>
      <w:r>
        <w:rPr>
          <w:rFonts w:hint="eastAsia" w:ascii="宋体" w:hAnsi="宋体" w:cs="宋体"/>
          <w:color w:val="auto"/>
        </w:rPr>
        <w:t>4在</w:t>
      </w:r>
      <w:r>
        <w:rPr>
          <w:rFonts w:hint="eastAsia" w:ascii="宋体" w:hAnsi="宋体" w:cs="宋体"/>
          <w:color w:val="auto"/>
          <w:lang w:eastAsia="zh-CN"/>
        </w:rPr>
        <w:t>响应</w:t>
      </w:r>
      <w:r>
        <w:rPr>
          <w:rFonts w:hint="eastAsia" w:ascii="宋体" w:hAnsi="宋体" w:cs="宋体"/>
          <w:color w:val="auto"/>
        </w:rPr>
        <w:t>截止时间起至</w:t>
      </w:r>
      <w:r>
        <w:rPr>
          <w:rFonts w:hint="eastAsia" w:ascii="宋体" w:hAnsi="宋体" w:cs="宋体"/>
          <w:color w:val="auto"/>
          <w:lang w:eastAsia="zh-CN"/>
        </w:rPr>
        <w:t>响应</w:t>
      </w:r>
      <w:r>
        <w:rPr>
          <w:rFonts w:hint="eastAsia" w:ascii="宋体" w:hAnsi="宋体" w:cs="宋体"/>
          <w:color w:val="auto"/>
        </w:rPr>
        <w:t>有效期届满，供应商</w:t>
      </w:r>
      <w:r>
        <w:rPr>
          <w:rFonts w:hint="eastAsia" w:ascii="宋体" w:hAnsi="宋体" w:cs="宋体"/>
          <w:color w:val="auto"/>
          <w:lang w:eastAsia="zh-CN"/>
        </w:rPr>
        <w:t>响应文件</w:t>
      </w:r>
      <w:r>
        <w:rPr>
          <w:rFonts w:hint="eastAsia" w:ascii="宋体" w:hAnsi="宋体" w:cs="宋体"/>
          <w:color w:val="auto"/>
        </w:rPr>
        <w:t>不可撤销。</w:t>
      </w:r>
    </w:p>
    <w:p w14:paraId="4FAF9606">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0648FB83">
      <w:pPr>
        <w:pStyle w:val="555"/>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lang w:eastAsia="zh-CN"/>
        </w:rPr>
        <w:t>17.</w:t>
      </w:r>
      <w:r>
        <w:rPr>
          <w:rFonts w:hint="eastAsia" w:ascii="宋体" w:hAnsi="宋体" w:cs="宋体"/>
          <w:b/>
          <w:color w:val="auto"/>
          <w:sz w:val="24"/>
          <w:szCs w:val="24"/>
        </w:rPr>
        <w:t>开标</w:t>
      </w:r>
      <w:r>
        <w:rPr>
          <w:rFonts w:hint="eastAsia" w:ascii="宋体" w:hAnsi="宋体" w:cs="宋体"/>
          <w:color w:val="auto"/>
          <w:sz w:val="24"/>
        </w:rPr>
        <w:t xml:space="preserve"> </w:t>
      </w:r>
    </w:p>
    <w:p w14:paraId="51D57C36">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lang w:eastAsia="zh-CN"/>
        </w:rPr>
        <w:t>17.</w:t>
      </w:r>
      <w:r>
        <w:rPr>
          <w:rFonts w:hint="eastAsia" w:ascii="宋体" w:hAnsi="宋体" w:cs="宋体"/>
          <w:color w:val="auto"/>
          <w:sz w:val="24"/>
        </w:rPr>
        <w:t>1</w:t>
      </w:r>
      <w:r>
        <w:rPr>
          <w:rFonts w:hint="eastAsia" w:ascii="宋体" w:hAnsi="宋体" w:cs="宋体"/>
          <w:color w:val="auto"/>
          <w:sz w:val="24"/>
          <w:lang w:eastAsia="zh-CN"/>
        </w:rPr>
        <w:t>代理机构</w:t>
      </w:r>
      <w:r>
        <w:rPr>
          <w:rFonts w:hint="eastAsia" w:ascii="宋体" w:hAnsi="宋体" w:cs="宋体"/>
          <w:color w:val="auto"/>
          <w:sz w:val="24"/>
        </w:rPr>
        <w:t>按照</w:t>
      </w:r>
      <w:r>
        <w:rPr>
          <w:rFonts w:hint="eastAsia" w:ascii="宋体" w:hAnsi="宋体" w:cs="宋体"/>
          <w:color w:val="auto"/>
          <w:sz w:val="24"/>
          <w:lang w:eastAsia="zh-CN"/>
        </w:rPr>
        <w:t>交易文件</w:t>
      </w:r>
      <w:r>
        <w:rPr>
          <w:rFonts w:hint="eastAsia" w:ascii="宋体" w:hAnsi="宋体" w:cs="宋体"/>
          <w:color w:val="auto"/>
          <w:sz w:val="24"/>
        </w:rPr>
        <w:t>规定的时间通过电子交易平台组织开标，所有</w:t>
      </w:r>
      <w:r>
        <w:rPr>
          <w:rFonts w:hint="eastAsia" w:ascii="宋体" w:hAnsi="宋体" w:cs="宋体"/>
          <w:color w:val="auto"/>
          <w:sz w:val="24"/>
          <w:lang w:eastAsia="zh-CN"/>
        </w:rPr>
        <w:t>供应商</w:t>
      </w:r>
      <w:r>
        <w:rPr>
          <w:rFonts w:hint="eastAsia" w:ascii="宋体" w:hAnsi="宋体" w:cs="宋体"/>
          <w:color w:val="auto"/>
          <w:sz w:val="24"/>
        </w:rPr>
        <w:t>均应当准时在线参加。</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不足</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家的，不得开标</w:t>
      </w:r>
      <w:r>
        <w:rPr>
          <w:rFonts w:hint="eastAsia" w:ascii="宋体" w:hAnsi="宋体" w:cs="宋体"/>
          <w:color w:val="auto"/>
          <w:sz w:val="24"/>
          <w:highlight w:val="none"/>
        </w:rPr>
        <w:t>。</w:t>
      </w:r>
    </w:p>
    <w:p w14:paraId="26A7F863">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w:t>
      </w:r>
      <w:r>
        <w:rPr>
          <w:rFonts w:hint="eastAsia" w:ascii="宋体" w:hAnsi="宋体" w:cs="宋体"/>
          <w:color w:val="auto"/>
          <w:sz w:val="24"/>
          <w:lang w:eastAsia="zh-CN"/>
        </w:rPr>
        <w:t>17.</w:t>
      </w:r>
      <w:r>
        <w:rPr>
          <w:rFonts w:hint="eastAsia" w:ascii="宋体" w:hAnsi="宋体" w:cs="宋体"/>
          <w:color w:val="auto"/>
          <w:sz w:val="24"/>
        </w:rPr>
        <w:t>2开标时，电子交易平台按开标时间自动提取所有</w:t>
      </w:r>
      <w:r>
        <w:rPr>
          <w:rFonts w:hint="eastAsia" w:ascii="宋体" w:hAnsi="宋体" w:cs="宋体"/>
          <w:color w:val="auto"/>
          <w:sz w:val="24"/>
          <w:lang w:eastAsia="zh-CN"/>
        </w:rPr>
        <w:t>响应文件</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依托电子交易平台发起开始解密指令，</w:t>
      </w:r>
      <w:r>
        <w:rPr>
          <w:rFonts w:hint="eastAsia" w:ascii="宋体" w:hAnsi="宋体" w:cs="宋体"/>
          <w:color w:val="auto"/>
          <w:sz w:val="24"/>
          <w:lang w:eastAsia="zh-CN"/>
        </w:rPr>
        <w:t>供应商</w:t>
      </w:r>
      <w:r>
        <w:rPr>
          <w:rFonts w:hint="eastAsia" w:ascii="宋体" w:hAnsi="宋体" w:cs="宋体"/>
          <w:color w:val="auto"/>
          <w:sz w:val="24"/>
        </w:rPr>
        <w:t>按照平台提示和</w:t>
      </w:r>
      <w:r>
        <w:rPr>
          <w:rFonts w:hint="eastAsia" w:ascii="宋体" w:hAnsi="宋体" w:cs="宋体"/>
          <w:color w:val="auto"/>
          <w:sz w:val="24"/>
          <w:lang w:eastAsia="zh-CN"/>
        </w:rPr>
        <w:t>交易文件</w:t>
      </w:r>
      <w:r>
        <w:rPr>
          <w:rFonts w:hint="eastAsia" w:ascii="宋体" w:hAnsi="宋体" w:cs="宋体"/>
          <w:color w:val="auto"/>
          <w:sz w:val="24"/>
        </w:rPr>
        <w:t>的规定在半小时内完成在线解密。</w:t>
      </w:r>
    </w:p>
    <w:p w14:paraId="454E98E4">
      <w:pPr>
        <w:pStyle w:val="55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w:t>
      </w:r>
      <w:r>
        <w:rPr>
          <w:rFonts w:hint="eastAsia" w:ascii="宋体" w:hAnsi="宋体" w:cs="宋体"/>
          <w:color w:val="auto"/>
          <w:sz w:val="24"/>
          <w:lang w:eastAsia="zh-CN"/>
        </w:rPr>
        <w:t>17.</w:t>
      </w:r>
      <w:r>
        <w:rPr>
          <w:rFonts w:hint="eastAsia" w:ascii="宋体" w:hAnsi="宋体" w:cs="宋体"/>
          <w:color w:val="auto"/>
          <w:sz w:val="24"/>
        </w:rPr>
        <w:t>3</w:t>
      </w:r>
      <w:r>
        <w:rPr>
          <w:rFonts w:hint="eastAsia" w:ascii="宋体" w:hAnsi="宋体" w:cs="宋体"/>
          <w:b/>
          <w:color w:val="auto"/>
          <w:sz w:val="24"/>
          <w:lang w:eastAsia="zh-CN"/>
        </w:rPr>
        <w:t>响应文件</w:t>
      </w:r>
      <w:r>
        <w:rPr>
          <w:rFonts w:hint="eastAsia" w:ascii="宋体" w:hAnsi="宋体" w:cs="宋体"/>
          <w:b/>
          <w:color w:val="auto"/>
          <w:sz w:val="24"/>
        </w:rPr>
        <w:t>未按时解密，</w:t>
      </w:r>
      <w:r>
        <w:rPr>
          <w:rFonts w:hint="eastAsia" w:ascii="宋体" w:hAnsi="宋体" w:cs="宋体"/>
          <w:b/>
          <w:color w:val="auto"/>
          <w:sz w:val="24"/>
          <w:lang w:eastAsia="zh-CN"/>
        </w:rPr>
        <w:t>供应商</w:t>
      </w:r>
      <w:r>
        <w:rPr>
          <w:rFonts w:hint="eastAsia" w:ascii="宋体" w:hAnsi="宋体" w:cs="宋体"/>
          <w:b/>
          <w:color w:val="auto"/>
          <w:sz w:val="24"/>
        </w:rPr>
        <w:t>提供了备份</w:t>
      </w:r>
      <w:r>
        <w:rPr>
          <w:rFonts w:hint="eastAsia" w:ascii="宋体" w:hAnsi="宋体" w:cs="宋体"/>
          <w:b/>
          <w:color w:val="auto"/>
          <w:sz w:val="24"/>
          <w:lang w:eastAsia="zh-CN"/>
        </w:rPr>
        <w:t>响应文件</w:t>
      </w:r>
      <w:r>
        <w:rPr>
          <w:rFonts w:hint="eastAsia" w:ascii="宋体" w:hAnsi="宋体" w:cs="宋体"/>
          <w:b/>
          <w:color w:val="auto"/>
          <w:sz w:val="24"/>
        </w:rPr>
        <w:t>的，以备份</w:t>
      </w:r>
      <w:r>
        <w:rPr>
          <w:rFonts w:hint="eastAsia" w:ascii="宋体" w:hAnsi="宋体" w:cs="宋体"/>
          <w:b/>
          <w:color w:val="auto"/>
          <w:sz w:val="24"/>
          <w:lang w:eastAsia="zh-CN"/>
        </w:rPr>
        <w:t>响应文件</w:t>
      </w:r>
      <w:r>
        <w:rPr>
          <w:rFonts w:hint="eastAsia" w:ascii="宋体" w:hAnsi="宋体" w:cs="宋体"/>
          <w:b/>
          <w:color w:val="auto"/>
          <w:sz w:val="24"/>
        </w:rPr>
        <w:t>作为依据，否则视为</w:t>
      </w:r>
      <w:r>
        <w:rPr>
          <w:rFonts w:hint="eastAsia" w:ascii="宋体" w:hAnsi="宋体" w:cs="宋体"/>
          <w:b/>
          <w:color w:val="auto"/>
          <w:sz w:val="24"/>
          <w:lang w:eastAsia="zh-CN"/>
        </w:rPr>
        <w:t>响应文件</w:t>
      </w:r>
      <w:r>
        <w:rPr>
          <w:rFonts w:hint="eastAsia" w:ascii="宋体" w:hAnsi="宋体" w:cs="宋体"/>
          <w:b/>
          <w:color w:val="auto"/>
          <w:sz w:val="24"/>
        </w:rPr>
        <w:t>撤回。</w:t>
      </w:r>
      <w:r>
        <w:rPr>
          <w:rFonts w:hint="eastAsia" w:ascii="宋体" w:hAnsi="宋体" w:cs="宋体"/>
          <w:b/>
          <w:color w:val="auto"/>
          <w:sz w:val="24"/>
          <w:lang w:eastAsia="zh-CN"/>
        </w:rPr>
        <w:t>响应文件</w:t>
      </w:r>
      <w:r>
        <w:rPr>
          <w:rFonts w:hint="eastAsia" w:ascii="宋体" w:hAnsi="宋体" w:cs="宋体"/>
          <w:b/>
          <w:color w:val="auto"/>
          <w:sz w:val="24"/>
        </w:rPr>
        <w:t>已按时解密的，备份</w:t>
      </w:r>
      <w:r>
        <w:rPr>
          <w:rFonts w:hint="eastAsia" w:ascii="宋体" w:hAnsi="宋体" w:cs="宋体"/>
          <w:b/>
          <w:color w:val="auto"/>
          <w:sz w:val="24"/>
          <w:lang w:eastAsia="zh-CN"/>
        </w:rPr>
        <w:t>响应文件</w:t>
      </w:r>
      <w:r>
        <w:rPr>
          <w:rFonts w:hint="eastAsia" w:ascii="宋体" w:hAnsi="宋体" w:cs="宋体"/>
          <w:b/>
          <w:color w:val="auto"/>
          <w:sz w:val="24"/>
        </w:rPr>
        <w:t>自动失效。</w:t>
      </w:r>
    </w:p>
    <w:p w14:paraId="6CDBD108">
      <w:pPr>
        <w:pStyle w:val="555"/>
        <w:spacing w:before="0" w:line="360" w:lineRule="auto"/>
        <w:ind w:left="0" w:firstLine="480" w:firstLineChars="200"/>
        <w:contextualSpacing/>
        <w:rPr>
          <w:rFonts w:ascii="宋体" w:hAnsi="宋体" w:cs="宋体"/>
          <w:bCs/>
          <w:color w:val="auto"/>
          <w:sz w:val="24"/>
        </w:rPr>
      </w:pPr>
      <w:r>
        <w:rPr>
          <w:rFonts w:hint="eastAsia" w:ascii="宋体" w:hAnsi="宋体" w:cs="宋体"/>
          <w:bCs/>
          <w:color w:val="auto"/>
          <w:sz w:val="24"/>
          <w:lang w:eastAsia="zh-CN"/>
        </w:rPr>
        <w:t>17.</w:t>
      </w:r>
      <w:r>
        <w:rPr>
          <w:rFonts w:hint="eastAsia" w:ascii="宋体" w:hAnsi="宋体" w:cs="宋体"/>
          <w:bCs/>
          <w:color w:val="auto"/>
          <w:sz w:val="24"/>
        </w:rPr>
        <w:t>4 备份</w:t>
      </w:r>
      <w:r>
        <w:rPr>
          <w:rFonts w:hint="eastAsia" w:ascii="宋体" w:hAnsi="宋体" w:cs="宋体"/>
          <w:bCs/>
          <w:color w:val="auto"/>
          <w:sz w:val="24"/>
          <w:lang w:eastAsia="zh-CN"/>
        </w:rPr>
        <w:t>响应文件</w:t>
      </w:r>
      <w:r>
        <w:rPr>
          <w:rFonts w:hint="eastAsia" w:ascii="宋体" w:hAnsi="宋体" w:cs="宋体"/>
          <w:bCs/>
          <w:color w:val="auto"/>
          <w:sz w:val="24"/>
        </w:rPr>
        <w:t>的接收在</w:t>
      </w:r>
      <w:r>
        <w:rPr>
          <w:rFonts w:hint="eastAsia" w:ascii="宋体" w:hAnsi="宋体" w:cs="宋体"/>
          <w:bCs/>
          <w:color w:val="auto"/>
          <w:sz w:val="24"/>
          <w:lang w:eastAsia="zh-CN"/>
        </w:rPr>
        <w:t>交易文件</w:t>
      </w:r>
      <w:r>
        <w:rPr>
          <w:rFonts w:hint="eastAsia" w:ascii="宋体" w:hAnsi="宋体" w:cs="宋体"/>
          <w:bCs/>
          <w:color w:val="auto"/>
          <w:sz w:val="24"/>
        </w:rPr>
        <w:t>确定的时间、地点进行。</w:t>
      </w:r>
    </w:p>
    <w:p w14:paraId="5C5EF8E8">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w:t>
      </w:r>
      <w:r>
        <w:rPr>
          <w:rFonts w:hint="eastAsia" w:ascii="宋体" w:hAnsi="宋体" w:cs="宋体"/>
          <w:b/>
          <w:color w:val="auto"/>
          <w:sz w:val="24"/>
          <w:szCs w:val="20"/>
          <w:lang w:val="en-US" w:eastAsia="zh-CN"/>
        </w:rPr>
        <w:t>8.</w:t>
      </w:r>
      <w:r>
        <w:rPr>
          <w:rFonts w:hint="eastAsia" w:ascii="宋体" w:hAnsi="宋体" w:cs="宋体"/>
          <w:b/>
          <w:color w:val="auto"/>
          <w:sz w:val="24"/>
          <w:szCs w:val="20"/>
        </w:rPr>
        <w:t>资格审查</w:t>
      </w:r>
    </w:p>
    <w:p w14:paraId="33A6D867">
      <w:pPr>
        <w:pStyle w:val="130"/>
        <w:spacing w:before="0"/>
        <w:ind w:firstLine="480"/>
        <w:rPr>
          <w:rFonts w:ascii="宋体" w:hAnsi="宋体" w:cs="宋体"/>
          <w:color w:val="auto"/>
          <w:kern w:val="0"/>
          <w:szCs w:val="24"/>
        </w:rPr>
      </w:pPr>
      <w:r>
        <w:rPr>
          <w:rFonts w:hint="eastAsia" w:ascii="宋体" w:hAnsi="宋体" w:cs="宋体"/>
          <w:color w:val="auto"/>
          <w:kern w:val="0"/>
          <w:szCs w:val="24"/>
          <w:lang w:eastAsia="zh-CN"/>
        </w:rPr>
        <w:t>18.</w:t>
      </w:r>
      <w:r>
        <w:rPr>
          <w:rFonts w:hint="eastAsia" w:ascii="宋体" w:hAnsi="宋体" w:cs="宋体"/>
          <w:color w:val="auto"/>
          <w:kern w:val="0"/>
          <w:szCs w:val="24"/>
        </w:rPr>
        <w:t>1开标后，</w:t>
      </w:r>
      <w:r>
        <w:rPr>
          <w:rFonts w:hint="eastAsia" w:ascii="宋体" w:hAnsi="宋体" w:cs="宋体"/>
          <w:color w:val="auto"/>
          <w:kern w:val="0"/>
          <w:szCs w:val="24"/>
          <w:lang w:eastAsia="zh-CN"/>
        </w:rPr>
        <w:t>交易发起人</w:t>
      </w:r>
      <w:r>
        <w:rPr>
          <w:rFonts w:hint="eastAsia" w:ascii="宋体" w:hAnsi="宋体" w:cs="宋体"/>
          <w:color w:val="auto"/>
          <w:kern w:val="0"/>
          <w:szCs w:val="24"/>
        </w:rPr>
        <w:t>将依据法律法规和</w:t>
      </w:r>
      <w:r>
        <w:rPr>
          <w:rFonts w:hint="eastAsia" w:ascii="宋体" w:hAnsi="宋体" w:cs="宋体"/>
          <w:color w:val="auto"/>
          <w:kern w:val="0"/>
          <w:szCs w:val="24"/>
          <w:lang w:eastAsia="zh-CN"/>
        </w:rPr>
        <w:t>交易文件</w:t>
      </w:r>
      <w:r>
        <w:rPr>
          <w:rFonts w:hint="eastAsia" w:ascii="宋体" w:hAnsi="宋体" w:cs="宋体"/>
          <w:color w:val="auto"/>
          <w:kern w:val="0"/>
          <w:szCs w:val="24"/>
        </w:rPr>
        <w:t>的规定，对</w:t>
      </w:r>
      <w:r>
        <w:rPr>
          <w:rFonts w:hint="eastAsia" w:ascii="宋体" w:hAnsi="宋体" w:cs="宋体"/>
          <w:color w:val="auto"/>
          <w:kern w:val="0"/>
          <w:szCs w:val="24"/>
          <w:lang w:eastAsia="zh-CN"/>
        </w:rPr>
        <w:t>供应商</w:t>
      </w:r>
      <w:r>
        <w:rPr>
          <w:rFonts w:hint="eastAsia" w:ascii="宋体" w:hAnsi="宋体" w:cs="宋体"/>
          <w:color w:val="auto"/>
          <w:kern w:val="0"/>
          <w:szCs w:val="24"/>
        </w:rPr>
        <w:t>的资格进行审查。</w:t>
      </w:r>
    </w:p>
    <w:p w14:paraId="4F527A24">
      <w:pPr>
        <w:pStyle w:val="130"/>
        <w:spacing w:before="0" w:after="120"/>
        <w:ind w:firstLine="480"/>
        <w:rPr>
          <w:rFonts w:ascii="宋体" w:hAnsi="宋体" w:cs="宋体"/>
          <w:color w:val="auto"/>
          <w:kern w:val="0"/>
          <w:szCs w:val="24"/>
        </w:rPr>
      </w:pPr>
      <w:r>
        <w:rPr>
          <w:rFonts w:hint="eastAsia" w:ascii="宋体" w:hAnsi="宋体" w:cs="宋体"/>
          <w:color w:val="auto"/>
          <w:kern w:val="0"/>
          <w:szCs w:val="24"/>
          <w:lang w:eastAsia="zh-CN"/>
        </w:rPr>
        <w:t>18.</w:t>
      </w:r>
      <w:r>
        <w:rPr>
          <w:rFonts w:hint="eastAsia" w:ascii="宋体" w:hAnsi="宋体" w:cs="宋体"/>
          <w:color w:val="auto"/>
          <w:kern w:val="0"/>
          <w:szCs w:val="24"/>
        </w:rPr>
        <w:t>2</w:t>
      </w:r>
      <w:r>
        <w:rPr>
          <w:rFonts w:hint="eastAsia" w:ascii="宋体" w:hAnsi="宋体" w:cs="宋体"/>
          <w:color w:val="auto"/>
          <w:kern w:val="0"/>
          <w:szCs w:val="24"/>
          <w:lang w:eastAsia="zh-CN"/>
        </w:rPr>
        <w:t>交易发起人</w:t>
      </w:r>
      <w:r>
        <w:rPr>
          <w:rFonts w:hint="eastAsia" w:ascii="宋体" w:hAnsi="宋体" w:cs="宋体"/>
          <w:color w:val="auto"/>
          <w:kern w:val="0"/>
          <w:szCs w:val="24"/>
        </w:rPr>
        <w:t>或采购机构依据法律法规和</w:t>
      </w:r>
      <w:r>
        <w:rPr>
          <w:rFonts w:hint="eastAsia" w:ascii="宋体" w:hAnsi="宋体" w:cs="宋体"/>
          <w:color w:val="auto"/>
          <w:kern w:val="0"/>
          <w:szCs w:val="24"/>
          <w:lang w:eastAsia="zh-CN"/>
        </w:rPr>
        <w:t>交易文件</w:t>
      </w:r>
      <w:r>
        <w:rPr>
          <w:rFonts w:hint="eastAsia" w:ascii="宋体" w:hAnsi="宋体" w:cs="宋体"/>
          <w:color w:val="auto"/>
          <w:kern w:val="0"/>
          <w:szCs w:val="24"/>
        </w:rPr>
        <w:t>的规定，对</w:t>
      </w:r>
      <w:r>
        <w:rPr>
          <w:rFonts w:hint="eastAsia" w:ascii="宋体" w:hAnsi="宋体" w:cs="宋体"/>
          <w:color w:val="auto"/>
          <w:kern w:val="0"/>
          <w:szCs w:val="24"/>
          <w:lang w:eastAsia="zh-CN"/>
        </w:rPr>
        <w:t>供应商</w:t>
      </w:r>
      <w:r>
        <w:rPr>
          <w:rFonts w:hint="eastAsia" w:ascii="宋体" w:hAnsi="宋体" w:cs="宋体"/>
          <w:color w:val="auto"/>
          <w:kern w:val="0"/>
          <w:szCs w:val="24"/>
        </w:rPr>
        <w:t>的基本资格条件、特定资格条件进行审查。</w:t>
      </w:r>
    </w:p>
    <w:p w14:paraId="16A2C87F">
      <w:pPr>
        <w:pStyle w:val="130"/>
        <w:spacing w:before="0"/>
        <w:ind w:firstLine="480"/>
        <w:rPr>
          <w:rFonts w:ascii="宋体" w:hAnsi="宋体" w:cs="宋体"/>
          <w:color w:val="auto"/>
        </w:rPr>
      </w:pPr>
      <w:r>
        <w:rPr>
          <w:rFonts w:hint="eastAsia" w:ascii="宋体" w:hAnsi="宋体" w:cs="宋体"/>
          <w:color w:val="auto"/>
          <w:kern w:val="0"/>
          <w:szCs w:val="24"/>
          <w:lang w:eastAsia="zh-CN"/>
        </w:rPr>
        <w:t>18.</w:t>
      </w:r>
      <w:r>
        <w:rPr>
          <w:rFonts w:ascii="宋体" w:hAnsi="宋体" w:cs="宋体"/>
          <w:color w:val="auto"/>
          <w:kern w:val="0"/>
          <w:szCs w:val="24"/>
        </w:rPr>
        <w:t>3</w:t>
      </w:r>
      <w:r>
        <w:rPr>
          <w:rFonts w:hint="eastAsia" w:ascii="宋体" w:hAnsi="宋体" w:cs="宋体"/>
          <w:color w:val="auto"/>
          <w:kern w:val="0"/>
          <w:szCs w:val="24"/>
          <w:lang w:eastAsia="zh-CN"/>
        </w:rPr>
        <w:t>供应商</w:t>
      </w:r>
      <w:r>
        <w:rPr>
          <w:rFonts w:hint="eastAsia" w:ascii="宋体" w:hAnsi="宋体" w:cs="宋体"/>
          <w:color w:val="auto"/>
          <w:kern w:val="0"/>
          <w:szCs w:val="24"/>
        </w:rPr>
        <w:t>未按照</w:t>
      </w:r>
      <w:r>
        <w:rPr>
          <w:rFonts w:hint="eastAsia" w:ascii="宋体" w:hAnsi="宋体" w:cs="宋体"/>
          <w:color w:val="auto"/>
          <w:kern w:val="0"/>
          <w:szCs w:val="24"/>
          <w:lang w:eastAsia="zh-CN"/>
        </w:rPr>
        <w:t>交易文件</w:t>
      </w:r>
      <w:r>
        <w:rPr>
          <w:rFonts w:hint="eastAsia" w:ascii="宋体" w:hAnsi="宋体" w:cs="宋体"/>
          <w:color w:val="auto"/>
          <w:kern w:val="0"/>
          <w:szCs w:val="24"/>
        </w:rPr>
        <w:t>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lang w:eastAsia="zh-CN"/>
        </w:rPr>
        <w:t>供应商</w:t>
      </w:r>
      <w:r>
        <w:rPr>
          <w:rFonts w:hint="eastAsia" w:ascii="宋体" w:hAnsi="宋体" w:cs="宋体"/>
          <w:color w:val="auto"/>
        </w:rPr>
        <w:t>不具备</w:t>
      </w:r>
      <w:r>
        <w:rPr>
          <w:rFonts w:hint="eastAsia" w:ascii="宋体" w:hAnsi="宋体" w:cs="宋体"/>
          <w:color w:val="auto"/>
          <w:lang w:eastAsia="zh-CN"/>
        </w:rPr>
        <w:t>交易文件</w:t>
      </w:r>
      <w:r>
        <w:rPr>
          <w:rFonts w:hint="eastAsia" w:ascii="宋体" w:hAnsi="宋体" w:cs="宋体"/>
          <w:color w:val="auto"/>
        </w:rPr>
        <w:t>中规定的资格要求，其</w:t>
      </w:r>
      <w:r>
        <w:rPr>
          <w:rFonts w:hint="eastAsia" w:ascii="宋体" w:hAnsi="宋体" w:cs="宋体"/>
          <w:color w:val="auto"/>
          <w:lang w:eastAsia="zh-CN"/>
        </w:rPr>
        <w:t>响应</w:t>
      </w:r>
      <w:r>
        <w:rPr>
          <w:rFonts w:hint="eastAsia" w:ascii="宋体" w:hAnsi="宋体" w:cs="宋体"/>
          <w:color w:val="auto"/>
        </w:rPr>
        <w:t>无效。</w:t>
      </w:r>
    </w:p>
    <w:p w14:paraId="2AFF4CB4">
      <w:pPr>
        <w:pStyle w:val="130"/>
        <w:spacing w:before="0"/>
        <w:ind w:firstLine="480"/>
        <w:rPr>
          <w:rFonts w:ascii="宋体" w:hAnsi="宋体" w:cs="宋体"/>
          <w:color w:val="auto"/>
        </w:rPr>
      </w:pPr>
      <w:r>
        <w:rPr>
          <w:rFonts w:hint="eastAsia" w:ascii="宋体" w:hAnsi="宋体" w:cs="宋体"/>
          <w:color w:val="auto"/>
          <w:kern w:val="0"/>
          <w:szCs w:val="24"/>
          <w:lang w:eastAsia="zh-CN"/>
        </w:rPr>
        <w:t>18.</w:t>
      </w:r>
      <w:r>
        <w:rPr>
          <w:rFonts w:ascii="宋体" w:hAnsi="宋体" w:cs="宋体"/>
          <w:color w:val="auto"/>
        </w:rPr>
        <w:t>4</w:t>
      </w:r>
      <w:r>
        <w:rPr>
          <w:rFonts w:hint="eastAsia" w:ascii="宋体" w:hAnsi="宋体" w:cs="宋体"/>
          <w:color w:val="auto"/>
        </w:rPr>
        <w:t>对未通过资格审查的</w:t>
      </w:r>
      <w:r>
        <w:rPr>
          <w:rFonts w:hint="eastAsia" w:ascii="宋体" w:hAnsi="宋体" w:cs="宋体"/>
          <w:color w:val="auto"/>
          <w:lang w:eastAsia="zh-CN"/>
        </w:rPr>
        <w:t>供应商</w:t>
      </w:r>
      <w:r>
        <w:rPr>
          <w:rFonts w:hint="eastAsia" w:ascii="宋体" w:hAnsi="宋体" w:cs="宋体"/>
          <w:color w:val="auto"/>
        </w:rPr>
        <w:t>，告知其未通过的原因。</w:t>
      </w:r>
    </w:p>
    <w:p w14:paraId="13623096">
      <w:pPr>
        <w:pStyle w:val="130"/>
        <w:spacing w:before="0"/>
        <w:ind w:firstLine="480"/>
        <w:rPr>
          <w:rFonts w:ascii="宋体" w:hAnsi="宋体" w:cs="宋体"/>
          <w:b/>
          <w:bCs/>
          <w:color w:val="auto"/>
          <w:highlight w:val="none"/>
        </w:rPr>
      </w:pPr>
      <w:r>
        <w:rPr>
          <w:rFonts w:hint="eastAsia" w:ascii="宋体" w:hAnsi="宋体" w:cs="宋体"/>
          <w:b/>
          <w:bCs/>
          <w:color w:val="auto"/>
          <w:kern w:val="0"/>
          <w:szCs w:val="24"/>
          <w:highlight w:val="none"/>
          <w:lang w:eastAsia="zh-CN"/>
        </w:rPr>
        <w:t>18.</w:t>
      </w:r>
      <w:r>
        <w:rPr>
          <w:rFonts w:ascii="宋体" w:hAnsi="宋体" w:cs="宋体"/>
          <w:b/>
          <w:bCs/>
          <w:color w:val="auto"/>
          <w:highlight w:val="none"/>
        </w:rPr>
        <w:t>5</w:t>
      </w:r>
      <w:r>
        <w:rPr>
          <w:rFonts w:hint="eastAsia" w:ascii="宋体" w:hAnsi="宋体" w:cs="宋体"/>
          <w:b/>
          <w:bCs/>
          <w:color w:val="auto"/>
          <w:highlight w:val="none"/>
        </w:rPr>
        <w:t>合格</w:t>
      </w:r>
      <w:r>
        <w:rPr>
          <w:rFonts w:hint="eastAsia" w:ascii="宋体" w:hAnsi="宋体" w:cs="宋体"/>
          <w:b/>
          <w:bCs/>
          <w:color w:val="auto"/>
          <w:highlight w:val="none"/>
          <w:lang w:eastAsia="zh-CN"/>
        </w:rPr>
        <w:t>供应商</w:t>
      </w:r>
      <w:r>
        <w:rPr>
          <w:rFonts w:hint="eastAsia" w:ascii="宋体" w:hAnsi="宋体" w:cs="宋体"/>
          <w:b/>
          <w:bCs/>
          <w:color w:val="auto"/>
          <w:highlight w:val="none"/>
        </w:rPr>
        <w:t>不足</w:t>
      </w:r>
      <w:r>
        <w:rPr>
          <w:rFonts w:hint="eastAsia" w:ascii="宋体" w:hAnsi="宋体" w:cs="宋体"/>
          <w:b/>
          <w:bCs/>
          <w:color w:val="auto"/>
          <w:highlight w:val="none"/>
          <w:lang w:val="en-US" w:eastAsia="zh-CN"/>
        </w:rPr>
        <w:t>7</w:t>
      </w:r>
      <w:r>
        <w:rPr>
          <w:rFonts w:hint="eastAsia" w:ascii="宋体" w:hAnsi="宋体" w:cs="宋体"/>
          <w:b/>
          <w:bCs/>
          <w:color w:val="auto"/>
          <w:highlight w:val="none"/>
        </w:rPr>
        <w:t>家的，不再评标。</w:t>
      </w:r>
    </w:p>
    <w:p w14:paraId="4275C3DB">
      <w:pPr>
        <w:pStyle w:val="130"/>
        <w:spacing w:before="0"/>
        <w:ind w:firstLine="0" w:firstLineChars="0"/>
        <w:rPr>
          <w:rFonts w:ascii="宋体" w:hAnsi="宋体" w:cs="宋体"/>
          <w:b/>
          <w:color w:val="auto"/>
          <w:szCs w:val="24"/>
        </w:rPr>
      </w:pPr>
      <w:r>
        <w:rPr>
          <w:rFonts w:hint="eastAsia" w:ascii="宋体" w:hAnsi="宋体" w:cs="宋体"/>
          <w:b/>
          <w:color w:val="auto"/>
          <w:szCs w:val="24"/>
          <w:lang w:val="en-US" w:eastAsia="zh-CN"/>
        </w:rPr>
        <w:t>19.</w:t>
      </w:r>
      <w:r>
        <w:rPr>
          <w:rFonts w:hint="eastAsia" w:ascii="宋体" w:hAnsi="宋体" w:cs="宋体"/>
          <w:b/>
          <w:color w:val="auto"/>
          <w:szCs w:val="24"/>
        </w:rPr>
        <w:t>信用信息查询</w:t>
      </w:r>
    </w:p>
    <w:p w14:paraId="7817AC4D">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.1信用信息查询渠道及截止时间：</w:t>
      </w:r>
      <w:r>
        <w:rPr>
          <w:rFonts w:hint="eastAsia" w:ascii="宋体" w:hAnsi="宋体" w:cs="宋体"/>
          <w:color w:val="auto"/>
          <w:kern w:val="0"/>
          <w:szCs w:val="24"/>
          <w:lang w:eastAsia="zh-CN"/>
        </w:rPr>
        <w:t>交易发起人</w:t>
      </w:r>
      <w:r>
        <w:rPr>
          <w:rFonts w:hint="eastAsia" w:ascii="宋体" w:hAnsi="宋体" w:cs="宋体"/>
          <w:color w:val="auto"/>
          <w:kern w:val="0"/>
          <w:szCs w:val="24"/>
        </w:rPr>
        <w:t>将在资格审查时通过“信用中国”网站(www.creditchina.gov.cn)、中国政府采购网(www.ccgp.gov.cn)渠道查询</w:t>
      </w:r>
      <w:r>
        <w:rPr>
          <w:rFonts w:hint="eastAsia" w:ascii="宋体" w:hAnsi="宋体" w:cs="宋体"/>
          <w:color w:val="auto"/>
          <w:kern w:val="0"/>
          <w:szCs w:val="24"/>
          <w:lang w:eastAsia="zh-CN"/>
        </w:rPr>
        <w:t>供应商</w:t>
      </w:r>
      <w:r>
        <w:rPr>
          <w:rFonts w:hint="eastAsia" w:ascii="宋体" w:hAnsi="宋体" w:cs="宋体"/>
          <w:color w:val="auto"/>
          <w:kern w:val="0"/>
          <w:szCs w:val="24"/>
        </w:rPr>
        <w:t>接受资格时的信用记录。</w:t>
      </w:r>
    </w:p>
    <w:p w14:paraId="10217D9A">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.2信用信息查询记录和证据留存的具体方式：现场查询的</w:t>
      </w:r>
      <w:r>
        <w:rPr>
          <w:rFonts w:hint="eastAsia" w:ascii="宋体" w:hAnsi="宋体" w:cs="宋体"/>
          <w:color w:val="auto"/>
          <w:kern w:val="0"/>
          <w:szCs w:val="24"/>
          <w:lang w:eastAsia="zh-CN"/>
        </w:rPr>
        <w:t>供应商</w:t>
      </w:r>
      <w:r>
        <w:rPr>
          <w:rFonts w:hint="eastAsia" w:ascii="宋体" w:hAnsi="宋体" w:cs="宋体"/>
          <w:color w:val="auto"/>
          <w:kern w:val="0"/>
          <w:szCs w:val="24"/>
        </w:rPr>
        <w:t>的信用记录、查询结果经确认后将与采购文件一起存档。</w:t>
      </w:r>
    </w:p>
    <w:p w14:paraId="12182ED9">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.3信用信息的使用规则：经查询列入失信被执行人名单、重大税收违法案件当事人名单、政府采购严重违法失信行为记录名单的</w:t>
      </w:r>
      <w:r>
        <w:rPr>
          <w:rFonts w:hint="eastAsia" w:ascii="宋体" w:hAnsi="宋体" w:cs="宋体"/>
          <w:color w:val="auto"/>
          <w:kern w:val="0"/>
          <w:szCs w:val="24"/>
          <w:lang w:eastAsia="zh-CN"/>
        </w:rPr>
        <w:t>供应商</w:t>
      </w:r>
      <w:r>
        <w:rPr>
          <w:rFonts w:hint="eastAsia" w:ascii="宋体" w:hAnsi="宋体" w:cs="宋体"/>
          <w:color w:val="auto"/>
          <w:kern w:val="0"/>
          <w:szCs w:val="24"/>
        </w:rPr>
        <w:t>将被拒绝参与政府采购活动。</w:t>
      </w:r>
    </w:p>
    <w:p w14:paraId="5120C31B">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3FAE23D8">
      <w:pPr>
        <w:spacing w:line="360" w:lineRule="auto"/>
        <w:rPr>
          <w:rFonts w:ascii="宋体" w:hAnsi="宋体" w:cs="宋体"/>
          <w:b/>
          <w:color w:val="auto"/>
          <w:sz w:val="24"/>
        </w:rPr>
      </w:pPr>
      <w:bookmarkStart w:id="13" w:name="_Toc91899903"/>
      <w:r>
        <w:rPr>
          <w:rFonts w:hint="eastAsia" w:ascii="宋体" w:hAnsi="宋体" w:cs="宋体"/>
          <w:b/>
          <w:color w:val="auto"/>
          <w:sz w:val="24"/>
        </w:rPr>
        <w:t>2</w:t>
      </w:r>
      <w:r>
        <w:rPr>
          <w:rFonts w:hint="eastAsia" w:ascii="宋体" w:hAnsi="宋体" w:cs="宋体"/>
          <w:b/>
          <w:color w:val="auto"/>
          <w:sz w:val="24"/>
          <w:lang w:val="en-US" w:eastAsia="zh-CN"/>
        </w:rPr>
        <w:t>0</w:t>
      </w:r>
      <w:r>
        <w:rPr>
          <w:rFonts w:hint="eastAsia" w:ascii="宋体" w:hAnsi="宋体" w:cs="宋体"/>
          <w:b/>
          <w:color w:val="auto"/>
          <w:sz w:val="24"/>
        </w:rPr>
        <w:t>.</w:t>
      </w:r>
      <w:r>
        <w:rPr>
          <w:rFonts w:hint="eastAsia" w:ascii="宋体" w:hAnsi="宋体" w:cs="宋体"/>
          <w:color w:val="auto"/>
        </w:rPr>
        <w:t xml:space="preserve"> </w:t>
      </w:r>
      <w:r>
        <w:rPr>
          <w:rFonts w:hint="eastAsia" w:ascii="宋体" w:hAnsi="宋体" w:cs="宋体"/>
          <w:color w:val="auto"/>
          <w:sz w:val="24"/>
        </w:rPr>
        <w:t>本项目原则上采用电子评审方法，若因政采云平台原因（或CA软件系统）无法读取或电子开评标无法正常进行，</w:t>
      </w:r>
      <w:r>
        <w:rPr>
          <w:rFonts w:hint="eastAsia" w:ascii="宋体" w:hAnsi="宋体" w:cs="宋体"/>
          <w:color w:val="auto"/>
          <w:sz w:val="24"/>
          <w:lang w:eastAsia="zh-CN"/>
        </w:rPr>
        <w:t>代理机构</w:t>
      </w:r>
      <w:r>
        <w:rPr>
          <w:rFonts w:hint="eastAsia" w:ascii="宋体" w:hAnsi="宋体" w:cs="宋体"/>
          <w:color w:val="auto"/>
          <w:sz w:val="24"/>
        </w:rPr>
        <w:t>将开启所有</w:t>
      </w:r>
      <w:r>
        <w:rPr>
          <w:rFonts w:hint="eastAsia" w:ascii="宋体" w:hAnsi="宋体" w:cs="宋体"/>
          <w:color w:val="auto"/>
          <w:sz w:val="24"/>
          <w:lang w:eastAsia="zh-CN"/>
        </w:rPr>
        <w:t>供应商</w:t>
      </w:r>
      <w:r>
        <w:rPr>
          <w:rFonts w:hint="eastAsia" w:ascii="宋体" w:hAnsi="宋体" w:cs="宋体"/>
          <w:color w:val="auto"/>
          <w:sz w:val="24"/>
        </w:rPr>
        <w:t>递交的纸质备份</w:t>
      </w:r>
      <w:r>
        <w:rPr>
          <w:rFonts w:hint="eastAsia" w:ascii="宋体" w:hAnsi="宋体" w:cs="宋体"/>
          <w:color w:val="auto"/>
          <w:sz w:val="24"/>
          <w:lang w:eastAsia="zh-CN"/>
        </w:rPr>
        <w:t>响应文件</w:t>
      </w:r>
      <w:r>
        <w:rPr>
          <w:rFonts w:hint="eastAsia" w:ascii="宋体" w:hAnsi="宋体" w:cs="宋体"/>
          <w:color w:val="auto"/>
          <w:sz w:val="24"/>
        </w:rPr>
        <w:t>，以完成开、评标，电子</w:t>
      </w:r>
      <w:r>
        <w:rPr>
          <w:rFonts w:hint="eastAsia" w:ascii="宋体" w:hAnsi="宋体" w:cs="宋体"/>
          <w:color w:val="auto"/>
          <w:sz w:val="24"/>
          <w:lang w:eastAsia="zh-CN"/>
        </w:rPr>
        <w:t>响应文件</w:t>
      </w:r>
      <w:r>
        <w:rPr>
          <w:rFonts w:hint="eastAsia" w:ascii="宋体" w:hAnsi="宋体" w:cs="宋体"/>
          <w:color w:val="auto"/>
          <w:sz w:val="24"/>
        </w:rPr>
        <w:t>及以介质存储的数据电文形式的备份</w:t>
      </w:r>
      <w:r>
        <w:rPr>
          <w:rFonts w:hint="eastAsia" w:ascii="宋体" w:hAnsi="宋体" w:cs="宋体"/>
          <w:color w:val="auto"/>
          <w:sz w:val="24"/>
          <w:lang w:eastAsia="zh-CN"/>
        </w:rPr>
        <w:t>响应文件</w:t>
      </w:r>
      <w:r>
        <w:rPr>
          <w:rFonts w:hint="eastAsia" w:ascii="宋体" w:hAnsi="宋体" w:cs="宋体"/>
          <w:color w:val="auto"/>
          <w:sz w:val="24"/>
        </w:rPr>
        <w:t>自动失效。评标方法及评分标准等。详见</w:t>
      </w:r>
      <w:r>
        <w:rPr>
          <w:rFonts w:hint="eastAsia" w:ascii="宋体" w:hAnsi="宋体" w:cs="宋体"/>
          <w:color w:val="auto"/>
          <w:sz w:val="24"/>
          <w:lang w:eastAsia="zh-CN"/>
        </w:rPr>
        <w:t>交易文件</w:t>
      </w:r>
      <w:r>
        <w:rPr>
          <w:rFonts w:hint="eastAsia" w:ascii="宋体" w:hAnsi="宋体" w:cs="宋体"/>
          <w:color w:val="auto"/>
          <w:sz w:val="24"/>
        </w:rPr>
        <w:t>第四部分“评标方法及评分标准”</w:t>
      </w:r>
      <w:r>
        <w:rPr>
          <w:rFonts w:hint="eastAsia" w:ascii="宋体" w:hAnsi="宋体" w:cs="宋体"/>
          <w:b/>
          <w:color w:val="auto"/>
          <w:sz w:val="24"/>
        </w:rPr>
        <w:t>详见</w:t>
      </w:r>
      <w:r>
        <w:rPr>
          <w:rFonts w:hint="eastAsia" w:ascii="宋体" w:hAnsi="宋体" w:cs="宋体"/>
          <w:b/>
          <w:color w:val="auto"/>
          <w:sz w:val="24"/>
          <w:lang w:eastAsia="zh-CN"/>
        </w:rPr>
        <w:t>交易文件</w:t>
      </w:r>
      <w:r>
        <w:rPr>
          <w:rFonts w:hint="eastAsia" w:ascii="宋体" w:hAnsi="宋体" w:cs="宋体"/>
          <w:b/>
          <w:color w:val="auto"/>
          <w:sz w:val="24"/>
        </w:rPr>
        <w:t>第四部分评标办法。</w:t>
      </w:r>
    </w:p>
    <w:p w14:paraId="7B84BE3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2"/>
          <w:szCs w:val="32"/>
        </w:rPr>
        <w:t>六、定 标</w:t>
      </w:r>
    </w:p>
    <w:p w14:paraId="13974B37">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1</w:t>
      </w:r>
      <w:r>
        <w:rPr>
          <w:rFonts w:hint="eastAsia" w:cs="宋体"/>
          <w:b/>
          <w:color w:val="auto"/>
        </w:rPr>
        <w:t>. 确定中标供应商</w:t>
      </w:r>
    </w:p>
    <w:p w14:paraId="3969EF43">
      <w:pPr>
        <w:pStyle w:val="130"/>
        <w:snapToGrid w:val="0"/>
        <w:spacing w:before="0" w:after="120"/>
        <w:ind w:firstLine="480"/>
        <w:rPr>
          <w:rFonts w:ascii="宋体" w:hAnsi="宋体" w:cs="宋体"/>
          <w:color w:val="auto"/>
          <w:szCs w:val="24"/>
        </w:rPr>
      </w:pPr>
      <w:r>
        <w:rPr>
          <w:rFonts w:hint="eastAsia" w:ascii="宋体" w:hAnsi="宋体" w:cs="宋体"/>
          <w:color w:val="auto"/>
          <w:szCs w:val="24"/>
        </w:rPr>
        <w:t>采购机构将自评审结束之日起2个工作日内将评审报告送交</w:t>
      </w:r>
      <w:r>
        <w:rPr>
          <w:rFonts w:hint="eastAsia" w:ascii="宋体" w:hAnsi="宋体" w:cs="宋体"/>
          <w:color w:val="auto"/>
          <w:szCs w:val="24"/>
          <w:lang w:eastAsia="zh-CN"/>
        </w:rPr>
        <w:t>交易发起人</w:t>
      </w:r>
      <w:r>
        <w:rPr>
          <w:rFonts w:hint="eastAsia" w:ascii="宋体" w:hAnsi="宋体" w:cs="宋体"/>
          <w:color w:val="auto"/>
          <w:szCs w:val="24"/>
        </w:rPr>
        <w:t>。</w:t>
      </w:r>
      <w:r>
        <w:rPr>
          <w:rFonts w:hint="eastAsia" w:ascii="宋体" w:hAnsi="宋体" w:cs="宋体"/>
          <w:color w:val="auto"/>
          <w:szCs w:val="24"/>
          <w:lang w:eastAsia="zh-CN"/>
        </w:rPr>
        <w:t>交易发起人</w:t>
      </w:r>
      <w:r>
        <w:rPr>
          <w:rFonts w:hint="eastAsia" w:ascii="宋体" w:hAnsi="宋体" w:cs="宋体"/>
          <w:color w:val="auto"/>
          <w:szCs w:val="24"/>
        </w:rPr>
        <w:t>将自收到评审报告之日起5个工作日内在评审报告推荐的中标候选人中按顺序确定中标供应商。</w:t>
      </w:r>
    </w:p>
    <w:p w14:paraId="54102583">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lang w:eastAsia="zh-CN"/>
        </w:rPr>
        <w:t>22.</w:t>
      </w:r>
      <w:r>
        <w:rPr>
          <w:rFonts w:hint="eastAsia" w:ascii="宋体" w:hAnsi="宋体" w:cs="宋体"/>
          <w:b/>
          <w:color w:val="auto"/>
          <w:szCs w:val="24"/>
        </w:rPr>
        <w:t xml:space="preserve"> 中标通知与中标结果公告</w:t>
      </w:r>
    </w:p>
    <w:p w14:paraId="1E3ECF5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lang w:eastAsia="zh-CN"/>
        </w:rPr>
        <w:t>22.</w:t>
      </w:r>
      <w:r>
        <w:rPr>
          <w:rFonts w:hint="eastAsia" w:ascii="宋体" w:hAnsi="宋体" w:cs="宋体"/>
          <w:color w:val="auto"/>
          <w:sz w:val="24"/>
        </w:rPr>
        <w:t>1自中标人确定之日起2个工作日内，</w:t>
      </w:r>
      <w:r>
        <w:rPr>
          <w:rFonts w:hint="eastAsia" w:ascii="宋体" w:hAnsi="宋体" w:cs="宋体"/>
          <w:color w:val="auto"/>
          <w:sz w:val="24"/>
          <w:lang w:eastAsia="zh-CN"/>
        </w:rPr>
        <w:t>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代理机构</w:t>
      </w:r>
      <w:r>
        <w:rPr>
          <w:rFonts w:hint="eastAsia" w:ascii="宋体" w:hAnsi="宋体" w:cs="宋体"/>
          <w:color w:val="auto"/>
          <w:sz w:val="24"/>
        </w:rPr>
        <w:t>也可以以纸质形式进行中标通知。</w:t>
      </w:r>
    </w:p>
    <w:p w14:paraId="7B44789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lang w:eastAsia="zh-CN"/>
        </w:rPr>
        <w:t>22.</w:t>
      </w:r>
      <w:r>
        <w:rPr>
          <w:rFonts w:hint="eastAsia" w:ascii="宋体" w:hAnsi="宋体" w:cs="宋体"/>
          <w:color w:val="auto"/>
          <w:sz w:val="24"/>
        </w:rPr>
        <w:t>2中标结果公告内容包括</w:t>
      </w:r>
      <w:r>
        <w:rPr>
          <w:rFonts w:hint="eastAsia" w:ascii="宋体" w:hAnsi="宋体" w:cs="宋体"/>
          <w:color w:val="auto"/>
          <w:sz w:val="24"/>
          <w:lang w:eastAsia="zh-CN"/>
        </w:rPr>
        <w:t>交易发起人</w:t>
      </w:r>
      <w:r>
        <w:rPr>
          <w:rFonts w:hint="eastAsia" w:ascii="宋体" w:hAnsi="宋体" w:cs="宋体"/>
          <w:color w:val="auto"/>
          <w:sz w:val="24"/>
        </w:rPr>
        <w:t>及其委托的</w:t>
      </w:r>
      <w:r>
        <w:rPr>
          <w:rFonts w:hint="eastAsia" w:ascii="宋体" w:hAnsi="宋体" w:cs="宋体"/>
          <w:color w:val="auto"/>
          <w:sz w:val="24"/>
          <w:lang w:eastAsia="zh-CN"/>
        </w:rPr>
        <w:t>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32790121">
      <w:pPr>
        <w:widowControl/>
        <w:shd w:val="clear" w:color="auto" w:fill="FFFFFF"/>
        <w:spacing w:line="360" w:lineRule="auto"/>
        <w:ind w:firstLine="480"/>
        <w:jc w:val="left"/>
        <w:rPr>
          <w:rFonts w:ascii="宋体" w:hAnsi="宋体" w:cs="宋体"/>
          <w:b/>
          <w:color w:val="auto"/>
          <w:sz w:val="32"/>
        </w:rPr>
      </w:pPr>
      <w:r>
        <w:rPr>
          <w:rFonts w:hint="eastAsia" w:ascii="宋体" w:hAnsi="宋体" w:cs="宋体"/>
          <w:color w:val="auto"/>
          <w:sz w:val="24"/>
          <w:lang w:eastAsia="zh-CN"/>
        </w:rPr>
        <w:t>22.</w:t>
      </w:r>
      <w:r>
        <w:rPr>
          <w:rFonts w:hint="eastAsia" w:ascii="宋体" w:hAnsi="宋体" w:cs="宋体"/>
          <w:color w:val="auto"/>
          <w:sz w:val="24"/>
        </w:rPr>
        <w:t>3公告期限为1个工作日。</w:t>
      </w:r>
    </w:p>
    <w:p w14:paraId="4335DE6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7A3FAD8C">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3</w:t>
      </w:r>
      <w:r>
        <w:rPr>
          <w:rFonts w:hint="eastAsia" w:cs="宋体"/>
          <w:b/>
          <w:color w:val="auto"/>
        </w:rPr>
        <w:t>. 合同的签订</w:t>
      </w:r>
    </w:p>
    <w:p w14:paraId="4FDF9E62">
      <w:pPr>
        <w:pStyle w:val="24"/>
        <w:spacing w:line="360" w:lineRule="auto"/>
        <w:ind w:left="478" w:hanging="477" w:hangingChars="199"/>
        <w:rPr>
          <w:rFonts w:cs="宋体"/>
          <w:bCs/>
          <w:color w:val="auto"/>
        </w:rPr>
      </w:pPr>
      <w:r>
        <w:rPr>
          <w:rFonts w:hint="eastAsia" w:cs="宋体"/>
          <w:bCs/>
          <w:color w:val="auto"/>
          <w:lang w:eastAsia="zh-CN"/>
        </w:rPr>
        <w:t>23.</w:t>
      </w:r>
      <w:r>
        <w:rPr>
          <w:rFonts w:hint="eastAsia" w:cs="宋体"/>
          <w:bCs/>
          <w:color w:val="auto"/>
        </w:rPr>
        <w:t xml:space="preserve">1 </w:t>
      </w:r>
      <w:r>
        <w:rPr>
          <w:rFonts w:hint="eastAsia" w:cs="宋体"/>
          <w:bCs/>
          <w:color w:val="auto"/>
          <w:lang w:eastAsia="zh-CN"/>
        </w:rPr>
        <w:t>交易发起人</w:t>
      </w:r>
      <w:r>
        <w:rPr>
          <w:rFonts w:hint="eastAsia" w:cs="宋体"/>
          <w:bCs/>
          <w:color w:val="auto"/>
        </w:rPr>
        <w:t>与中标人应当在中标通知书发出之日起三十日内，按照</w:t>
      </w:r>
      <w:r>
        <w:rPr>
          <w:rFonts w:hint="eastAsia" w:cs="宋体"/>
          <w:bCs/>
          <w:color w:val="auto"/>
          <w:lang w:eastAsia="zh-CN"/>
        </w:rPr>
        <w:t>交易文件</w:t>
      </w:r>
      <w:r>
        <w:rPr>
          <w:rFonts w:hint="eastAsia" w:cs="宋体"/>
          <w:bCs/>
          <w:color w:val="auto"/>
        </w:rPr>
        <w:t>确定的事项签订采购合同。</w:t>
      </w:r>
    </w:p>
    <w:p w14:paraId="2E94FB58">
      <w:pPr>
        <w:pStyle w:val="24"/>
        <w:spacing w:line="360" w:lineRule="auto"/>
        <w:ind w:left="478" w:hanging="477" w:hangingChars="199"/>
        <w:rPr>
          <w:rFonts w:cs="宋体"/>
          <w:bCs/>
          <w:color w:val="auto"/>
        </w:rPr>
      </w:pPr>
      <w:r>
        <w:rPr>
          <w:rFonts w:hint="eastAsia" w:cs="宋体"/>
          <w:bCs/>
          <w:color w:val="auto"/>
          <w:lang w:eastAsia="zh-CN"/>
        </w:rPr>
        <w:t>23.</w:t>
      </w:r>
      <w:r>
        <w:rPr>
          <w:rFonts w:hint="eastAsia" w:cs="宋体"/>
          <w:bCs/>
          <w:color w:val="auto"/>
        </w:rPr>
        <w:t>2中标人按规定的日期、时间、地点，由法定代表人或其授权代表与</w:t>
      </w:r>
      <w:r>
        <w:rPr>
          <w:rFonts w:hint="eastAsia" w:cs="宋体"/>
          <w:bCs/>
          <w:color w:val="auto"/>
          <w:lang w:eastAsia="zh-CN"/>
        </w:rPr>
        <w:t>交易发起人</w:t>
      </w:r>
      <w:r>
        <w:rPr>
          <w:rFonts w:hint="eastAsia" w:cs="宋体"/>
          <w:bCs/>
          <w:color w:val="auto"/>
        </w:rPr>
        <w:t>代表签订合同。</w:t>
      </w:r>
    </w:p>
    <w:p w14:paraId="2A2E8AA4">
      <w:pPr>
        <w:pStyle w:val="24"/>
        <w:spacing w:line="360" w:lineRule="auto"/>
        <w:ind w:left="478" w:hanging="477" w:hangingChars="199"/>
        <w:rPr>
          <w:rFonts w:cs="宋体"/>
          <w:bCs/>
          <w:color w:val="auto"/>
        </w:rPr>
      </w:pPr>
      <w:r>
        <w:rPr>
          <w:rFonts w:hint="eastAsia" w:cs="宋体"/>
          <w:bCs/>
          <w:color w:val="auto"/>
          <w:lang w:eastAsia="zh-CN"/>
        </w:rPr>
        <w:t>23.</w:t>
      </w:r>
      <w:r>
        <w:rPr>
          <w:rFonts w:hint="eastAsia" w:cs="宋体"/>
          <w:bCs/>
          <w:color w:val="auto"/>
        </w:rPr>
        <w:t>3如签订合同并生效后，供应商无故拒绝或延期，除按照合同条款处理外，列入不良行为记录一次，并给予通报。</w:t>
      </w:r>
    </w:p>
    <w:p w14:paraId="3B6F44AA">
      <w:pPr>
        <w:pStyle w:val="24"/>
        <w:spacing w:line="360" w:lineRule="auto"/>
        <w:ind w:left="478" w:hanging="477" w:hangingChars="199"/>
        <w:rPr>
          <w:rFonts w:hint="eastAsia" w:cs="宋体"/>
          <w:bCs/>
          <w:color w:val="auto"/>
        </w:rPr>
      </w:pPr>
      <w:r>
        <w:rPr>
          <w:rFonts w:hint="eastAsia" w:cs="宋体"/>
          <w:bCs/>
          <w:color w:val="auto"/>
          <w:lang w:eastAsia="zh-CN"/>
        </w:rPr>
        <w:t>23.</w:t>
      </w:r>
      <w:r>
        <w:rPr>
          <w:rFonts w:hint="eastAsia" w:cs="宋体"/>
          <w:bCs/>
          <w:color w:val="auto"/>
        </w:rPr>
        <w:t>4成交供应商拒绝与</w:t>
      </w:r>
      <w:r>
        <w:rPr>
          <w:rFonts w:hint="eastAsia" w:cs="宋体"/>
          <w:bCs/>
          <w:color w:val="auto"/>
          <w:lang w:eastAsia="zh-CN"/>
        </w:rPr>
        <w:t>交易发起人</w:t>
      </w:r>
      <w:r>
        <w:rPr>
          <w:rFonts w:hint="eastAsia" w:cs="宋体"/>
          <w:bCs/>
          <w:color w:val="auto"/>
        </w:rPr>
        <w:t>签订合同的，</w:t>
      </w:r>
      <w:r>
        <w:rPr>
          <w:rFonts w:hint="eastAsia" w:cs="宋体"/>
          <w:bCs/>
          <w:color w:val="auto"/>
          <w:lang w:eastAsia="zh-CN"/>
        </w:rPr>
        <w:t>交易发起人</w:t>
      </w:r>
      <w:r>
        <w:rPr>
          <w:rFonts w:hint="eastAsia" w:cs="宋体"/>
          <w:bCs/>
          <w:color w:val="auto"/>
        </w:rPr>
        <w:t>可以按照评审报告推荐的成交或者成交候选人名单排序，确定下一候选人为中标供应商，也可以重新开展采购活动。</w:t>
      </w:r>
    </w:p>
    <w:p w14:paraId="4615B667">
      <w:pPr>
        <w:pStyle w:val="24"/>
        <w:spacing w:line="360" w:lineRule="auto"/>
        <w:ind w:left="479" w:hanging="479" w:hangingChars="199"/>
        <w:rPr>
          <w:rFonts w:cs="仿宋_GB2312"/>
          <w:b/>
          <w:color w:val="auto"/>
        </w:rPr>
      </w:pPr>
      <w:r>
        <w:rPr>
          <w:rFonts w:cs="仿宋_GB2312"/>
          <w:b/>
          <w:color w:val="auto"/>
        </w:rPr>
        <w:t>2</w:t>
      </w:r>
      <w:r>
        <w:rPr>
          <w:rFonts w:hint="eastAsia" w:cs="仿宋_GB2312"/>
          <w:b/>
          <w:color w:val="auto"/>
          <w:lang w:val="en-US" w:eastAsia="zh-CN"/>
        </w:rPr>
        <w:t>4</w:t>
      </w:r>
      <w:r>
        <w:rPr>
          <w:rFonts w:hint="eastAsia" w:cs="仿宋_GB2312"/>
          <w:b/>
          <w:color w:val="auto"/>
        </w:rPr>
        <w:t>. 履约保证金</w:t>
      </w:r>
    </w:p>
    <w:p w14:paraId="7AE61E1D">
      <w:pPr>
        <w:tabs>
          <w:tab w:val="left" w:pos="0"/>
        </w:tabs>
        <w:spacing w:line="360" w:lineRule="auto"/>
        <w:ind w:firstLine="480"/>
        <w:rPr>
          <w:rFonts w:ascii="宋体" w:hAnsi="宋体" w:cs="宋体"/>
          <w:b/>
          <w:color w:val="auto"/>
          <w:sz w:val="32"/>
        </w:rPr>
      </w:pPr>
      <w:r>
        <w:rPr>
          <w:rFonts w:hint="eastAsia" w:ascii="宋体" w:hAnsi="宋体" w:cs="Helvetica"/>
          <w:color w:val="auto"/>
          <w:kern w:val="0"/>
          <w:sz w:val="24"/>
        </w:rPr>
        <w:t>拟签订的合同文本要求</w:t>
      </w:r>
      <w:r>
        <w:rPr>
          <w:rFonts w:hint="eastAsia" w:ascii="宋体" w:hAnsi="宋体" w:cs="仿宋_GB2312"/>
          <w:color w:val="auto"/>
          <w:sz w:val="24"/>
        </w:rPr>
        <w:t>成交</w:t>
      </w:r>
      <w:r>
        <w:rPr>
          <w:rFonts w:hint="eastAsia" w:ascii="宋体" w:hAnsi="宋体" w:cs="Helvetica"/>
          <w:color w:val="auto"/>
          <w:kern w:val="0"/>
          <w:sz w:val="24"/>
        </w:rPr>
        <w:t>供应商提交履约保证金的，供应商应当以支票、汇票、本票或者金融机构、担保机构出具的保函等非现金形式提交</w:t>
      </w:r>
      <w:r>
        <w:rPr>
          <w:rFonts w:hint="eastAsia" w:ascii="宋体" w:hAnsi="宋体"/>
          <w:color w:val="auto"/>
          <w:sz w:val="24"/>
        </w:rPr>
        <w:t>。</w:t>
      </w:r>
    </w:p>
    <w:p w14:paraId="149CBC91">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6AE2A235">
      <w:pPr>
        <w:pStyle w:val="130"/>
        <w:snapToGrid w:val="0"/>
        <w:spacing w:before="0"/>
        <w:ind w:firstLine="0" w:firstLineChars="0"/>
        <w:rPr>
          <w:rFonts w:ascii="宋体" w:hAnsi="宋体" w:cs="宋体"/>
          <w:color w:val="auto"/>
        </w:rPr>
      </w:pPr>
      <w:r>
        <w:rPr>
          <w:rFonts w:hint="eastAsia" w:ascii="宋体" w:hAnsi="宋体" w:cs="宋体"/>
          <w:b/>
          <w:bCs/>
          <w:color w:val="auto"/>
          <w:lang w:eastAsia="zh-CN"/>
        </w:rPr>
        <w:t>25.</w:t>
      </w:r>
      <w:r>
        <w:rPr>
          <w:rFonts w:hint="eastAsia" w:ascii="宋体" w:hAnsi="宋体" w:cs="宋体"/>
          <w:b/>
          <w:color w:val="auto"/>
          <w:szCs w:val="24"/>
        </w:rPr>
        <w:t xml:space="preserve">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代理机构</w:t>
      </w:r>
      <w:r>
        <w:rPr>
          <w:rFonts w:hint="eastAsia" w:ascii="宋体" w:hAnsi="宋体" w:cs="宋体"/>
          <w:color w:val="auto"/>
        </w:rPr>
        <w:t>可中止电子交易活动：</w:t>
      </w:r>
    </w:p>
    <w:p w14:paraId="5DD3E9F2">
      <w:pPr>
        <w:pStyle w:val="130"/>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 xml:space="preserve">1电子交易平台发生故障而无法登录访问的； </w:t>
      </w:r>
    </w:p>
    <w:p w14:paraId="18D4B156">
      <w:pPr>
        <w:pStyle w:val="130"/>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2电子交易平台应用或数据库出现错误，不能进行正常操作的；</w:t>
      </w:r>
    </w:p>
    <w:p w14:paraId="5D9F68EC">
      <w:pPr>
        <w:pStyle w:val="130"/>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3电子交易平台发现严重安全漏洞，有潜在泄密危险的；</w:t>
      </w:r>
    </w:p>
    <w:p w14:paraId="1E05B6A7">
      <w:pPr>
        <w:pStyle w:val="130"/>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 xml:space="preserve">4病毒发作导致不能进行正常操作的； </w:t>
      </w:r>
    </w:p>
    <w:p w14:paraId="35711A30">
      <w:pPr>
        <w:pStyle w:val="130"/>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5其他无法保证电子交易的公平、公正和安全的情况。</w:t>
      </w:r>
    </w:p>
    <w:p w14:paraId="61D803A9">
      <w:pPr>
        <w:pStyle w:val="130"/>
        <w:snapToGrid w:val="0"/>
        <w:spacing w:before="0"/>
        <w:ind w:firstLine="480" w:firstLineChars="200"/>
        <w:rPr>
          <w:rFonts w:ascii="宋体" w:hAnsi="宋体" w:cs="宋体"/>
          <w:color w:val="auto"/>
          <w:sz w:val="24"/>
        </w:rPr>
      </w:pP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74EF315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F902CF5">
      <w:pPr>
        <w:pStyle w:val="24"/>
        <w:spacing w:line="360" w:lineRule="auto"/>
        <w:ind w:firstLine="0" w:firstLineChars="0"/>
        <w:rPr>
          <w:rFonts w:cs="宋体"/>
          <w:b/>
          <w:color w:val="auto"/>
        </w:rPr>
      </w:pPr>
      <w:r>
        <w:rPr>
          <w:rFonts w:hint="eastAsia" w:cs="宋体"/>
          <w:b/>
          <w:color w:val="auto"/>
          <w:lang w:val="en-US" w:eastAsia="zh-CN"/>
        </w:rPr>
        <w:t>26</w:t>
      </w:r>
      <w:r>
        <w:rPr>
          <w:rFonts w:hint="eastAsia" w:cs="宋体"/>
          <w:b/>
          <w:color w:val="auto"/>
        </w:rPr>
        <w:t>.验收</w:t>
      </w:r>
    </w:p>
    <w:p w14:paraId="532A1D1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lang w:val="en-US" w:eastAsia="zh-CN"/>
        </w:rPr>
        <w:t>26</w:t>
      </w:r>
      <w:r>
        <w:rPr>
          <w:rFonts w:hint="eastAsia" w:ascii="宋体" w:hAnsi="宋体" w:cs="宋体"/>
          <w:color w:val="auto"/>
          <w:kern w:val="0"/>
          <w:sz w:val="24"/>
        </w:rPr>
        <w:t>.1</w:t>
      </w:r>
      <w:r>
        <w:rPr>
          <w:rFonts w:hint="eastAsia" w:ascii="宋体" w:hAnsi="宋体" w:cs="宋体"/>
          <w:color w:val="auto"/>
          <w:kern w:val="0"/>
          <w:sz w:val="24"/>
          <w:lang w:eastAsia="zh-CN"/>
        </w:rPr>
        <w:t>交易发起人</w:t>
      </w:r>
      <w:r>
        <w:rPr>
          <w:rFonts w:hint="eastAsia" w:ascii="宋体" w:hAnsi="宋体" w:cs="宋体"/>
          <w:color w:val="auto"/>
          <w:kern w:val="0"/>
          <w:sz w:val="24"/>
        </w:rPr>
        <w:t>应当组织对供应商履约的验收。验收标准按区相关政策文件及</w:t>
      </w:r>
      <w:r>
        <w:rPr>
          <w:rFonts w:hint="eastAsia" w:ascii="宋体" w:hAnsi="宋体" w:cs="宋体"/>
          <w:color w:val="auto"/>
          <w:kern w:val="0"/>
          <w:sz w:val="24"/>
          <w:lang w:eastAsia="zh-CN"/>
        </w:rPr>
        <w:t>交易发起人</w:t>
      </w:r>
      <w:r>
        <w:rPr>
          <w:rFonts w:hint="eastAsia" w:ascii="宋体" w:hAnsi="宋体" w:cs="宋体"/>
          <w:color w:val="auto"/>
          <w:kern w:val="0"/>
          <w:sz w:val="24"/>
        </w:rPr>
        <w:t>相关制度文件执行。</w:t>
      </w:r>
    </w:p>
    <w:bookmarkEnd w:id="13"/>
    <w:p w14:paraId="1EDC19EC">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803" w:right="1440" w:bottom="1803" w:left="1440"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290"/>
      <w:bookmarkEnd w:id="15"/>
      <w:bookmarkStart w:id="16" w:name="_Hlt68403820"/>
      <w:bookmarkEnd w:id="16"/>
      <w:bookmarkStart w:id="17" w:name="_Hlt68073093"/>
      <w:bookmarkEnd w:id="17"/>
      <w:bookmarkStart w:id="18" w:name="_Hlt74729768"/>
      <w:bookmarkEnd w:id="18"/>
      <w:bookmarkStart w:id="19" w:name="_Hlt68057669"/>
      <w:bookmarkEnd w:id="19"/>
      <w:bookmarkStart w:id="20" w:name="_Hlt68072998"/>
      <w:bookmarkEnd w:id="20"/>
      <w:bookmarkStart w:id="21" w:name="_Hlt74714665"/>
      <w:bookmarkEnd w:id="21"/>
      <w:bookmarkStart w:id="22" w:name="_Hlt75236011"/>
      <w:bookmarkEnd w:id="22"/>
      <w:bookmarkStart w:id="23" w:name="_Hlt75236101"/>
      <w:bookmarkEnd w:id="23"/>
      <w:bookmarkStart w:id="24" w:name="_Hlt74707468"/>
      <w:bookmarkEnd w:id="24"/>
      <w:bookmarkStart w:id="25" w:name="_Hlt74730295"/>
      <w:bookmarkEnd w:id="25"/>
      <w:bookmarkStart w:id="26" w:name="_Hlt68072990"/>
      <w:bookmarkEnd w:id="26"/>
    </w:p>
    <w:bookmarkEnd w:id="11"/>
    <w:bookmarkEnd w:id="12"/>
    <w:p w14:paraId="4CFAC6B6">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13A527D4">
      <w:pPr>
        <w:snapToGrid w:val="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属于实质性要求条款的，请用符号“▲”标明，否则属于非实质性要求。</w:t>
      </w:r>
    </w:p>
    <w:p w14:paraId="58273E1C">
      <w:pPr>
        <w:snapToGrid w:val="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“★”系产品采购项目中单一产品或核心产品。</w:t>
      </w:r>
    </w:p>
    <w:p w14:paraId="7D086365">
      <w:pPr>
        <w:pStyle w:val="4"/>
        <w:rPr>
          <w:color w:val="auto"/>
        </w:rPr>
      </w:pPr>
    </w:p>
    <w:p w14:paraId="3B7DA3F9">
      <w:pPr>
        <w:pStyle w:val="4"/>
        <w:numPr>
          <w:ilvl w:val="0"/>
          <w:numId w:val="1"/>
        </w:numPr>
        <w:jc w:val="center"/>
        <w:rPr>
          <w:rFonts w:ascii="仿宋" w:eastAsia="仿宋" w:cs="仿宋"/>
          <w:color w:val="auto"/>
        </w:rPr>
      </w:pPr>
      <w:r>
        <w:rPr>
          <w:rFonts w:hint="eastAsia"/>
          <w:color w:val="auto"/>
          <w:lang w:eastAsia="zh-CN"/>
        </w:rPr>
        <w:t>交易</w:t>
      </w:r>
      <w:r>
        <w:rPr>
          <w:color w:val="auto"/>
        </w:rPr>
        <w:t>一览表</w:t>
      </w:r>
    </w:p>
    <w:p w14:paraId="4F7DF7E2">
      <w:pPr>
        <w:pStyle w:val="43"/>
        <w:spacing w:line="360" w:lineRule="auto"/>
        <w:rPr>
          <w:rFonts w:hint="eastAsia" w:ascii="宋体" w:hAnsi="宋体" w:cs="宋体"/>
          <w:b/>
          <w:bCs/>
          <w:color w:val="auto"/>
          <w:sz w:val="24"/>
        </w:rPr>
      </w:pPr>
      <w:r>
        <w:rPr>
          <w:rFonts w:hint="eastAsia" w:ascii="宋体" w:hAnsi="宋体" w:cs="宋体"/>
          <w:b/>
          <w:bCs/>
          <w:color w:val="auto"/>
          <w:sz w:val="24"/>
        </w:rPr>
        <w:t>标项</w:t>
      </w:r>
      <w:r>
        <w:rPr>
          <w:rFonts w:hint="eastAsia" w:ascii="宋体" w:hAnsi="宋体" w:cs="宋体"/>
          <w:b/>
          <w:bCs/>
          <w:color w:val="auto"/>
          <w:sz w:val="24"/>
          <w:lang w:val="en-US" w:eastAsia="zh-CN"/>
        </w:rPr>
        <w:t>1</w:t>
      </w:r>
      <w:r>
        <w:rPr>
          <w:rFonts w:hint="eastAsia" w:ascii="宋体" w:hAnsi="宋体" w:cs="宋体"/>
          <w:b/>
          <w:bCs/>
          <w:color w:val="auto"/>
          <w:sz w:val="24"/>
        </w:rPr>
        <w:t>：</w:t>
      </w:r>
    </w:p>
    <w:tbl>
      <w:tblPr>
        <w:tblStyle w:val="63"/>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0"/>
        <w:gridCol w:w="3104"/>
        <w:gridCol w:w="980"/>
        <w:gridCol w:w="963"/>
        <w:gridCol w:w="1906"/>
        <w:gridCol w:w="2046"/>
      </w:tblGrid>
      <w:tr w14:paraId="1474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jc w:val="center"/>
        </w:trPr>
        <w:tc>
          <w:tcPr>
            <w:tcW w:w="303" w:type="pct"/>
            <w:tcMar>
              <w:top w:w="15" w:type="dxa"/>
              <w:left w:w="15" w:type="dxa"/>
              <w:bottom w:w="0" w:type="dxa"/>
              <w:right w:w="15" w:type="dxa"/>
            </w:tcMar>
            <w:vAlign w:val="center"/>
          </w:tcPr>
          <w:p w14:paraId="1A00A57B">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序号</w:t>
            </w:r>
          </w:p>
        </w:tc>
        <w:tc>
          <w:tcPr>
            <w:tcW w:w="1619" w:type="pct"/>
            <w:tcMar>
              <w:top w:w="15" w:type="dxa"/>
              <w:left w:w="15" w:type="dxa"/>
              <w:bottom w:w="0" w:type="dxa"/>
              <w:right w:w="15" w:type="dxa"/>
            </w:tcMar>
            <w:vAlign w:val="center"/>
          </w:tcPr>
          <w:p w14:paraId="27EE7B37">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名称</w:t>
            </w:r>
          </w:p>
        </w:tc>
        <w:tc>
          <w:tcPr>
            <w:tcW w:w="511" w:type="pct"/>
            <w:tcMar>
              <w:top w:w="15" w:type="dxa"/>
              <w:left w:w="15" w:type="dxa"/>
              <w:bottom w:w="0" w:type="dxa"/>
              <w:right w:w="15" w:type="dxa"/>
            </w:tcMar>
            <w:vAlign w:val="center"/>
          </w:tcPr>
          <w:p w14:paraId="53D14713">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数量</w:t>
            </w:r>
          </w:p>
        </w:tc>
        <w:tc>
          <w:tcPr>
            <w:tcW w:w="502" w:type="pct"/>
            <w:tcMar>
              <w:top w:w="15" w:type="dxa"/>
              <w:left w:w="15" w:type="dxa"/>
              <w:bottom w:w="0" w:type="dxa"/>
              <w:right w:w="15" w:type="dxa"/>
            </w:tcMar>
            <w:vAlign w:val="center"/>
          </w:tcPr>
          <w:p w14:paraId="2DB33E7B">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单位</w:t>
            </w:r>
          </w:p>
        </w:tc>
        <w:tc>
          <w:tcPr>
            <w:tcW w:w="994" w:type="pct"/>
            <w:vAlign w:val="center"/>
          </w:tcPr>
          <w:p w14:paraId="64ED7E1D">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简要规格描述或基本情况介绍</w:t>
            </w:r>
          </w:p>
        </w:tc>
        <w:tc>
          <w:tcPr>
            <w:tcW w:w="1067" w:type="pct"/>
            <w:vAlign w:val="center"/>
          </w:tcPr>
          <w:p w14:paraId="755D5C7E">
            <w:pPr>
              <w:widowControl/>
              <w:spacing w:line="360" w:lineRule="exact"/>
              <w:jc w:val="center"/>
              <w:rPr>
                <w:rFonts w:hint="eastAsia" w:ascii="宋体" w:hAnsi="宋体" w:cs="宋体"/>
                <w:color w:val="auto"/>
                <w:kern w:val="0"/>
                <w:sz w:val="24"/>
                <w:lang w:eastAsia="zh-CN"/>
              </w:rPr>
            </w:pPr>
            <w:r>
              <w:rPr>
                <w:rFonts w:hint="eastAsia" w:ascii="宋体" w:hAnsi="宋体" w:cs="宋体"/>
                <w:color w:val="auto"/>
                <w:kern w:val="0"/>
                <w:sz w:val="24"/>
                <w:lang w:val="en-US" w:eastAsia="zh-CN"/>
              </w:rPr>
              <w:t>备注</w:t>
            </w:r>
          </w:p>
        </w:tc>
      </w:tr>
      <w:tr w14:paraId="3D5C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atLeast"/>
          <w:jc w:val="center"/>
        </w:trPr>
        <w:tc>
          <w:tcPr>
            <w:tcW w:w="303" w:type="pct"/>
            <w:tcMar>
              <w:top w:w="15" w:type="dxa"/>
              <w:left w:w="15" w:type="dxa"/>
              <w:bottom w:w="0" w:type="dxa"/>
              <w:right w:w="15" w:type="dxa"/>
            </w:tcMar>
            <w:vAlign w:val="center"/>
          </w:tcPr>
          <w:p w14:paraId="392E887C">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1619" w:type="pct"/>
            <w:tcMar>
              <w:top w:w="15" w:type="dxa"/>
              <w:left w:w="15" w:type="dxa"/>
              <w:bottom w:w="0" w:type="dxa"/>
              <w:right w:w="15" w:type="dxa"/>
            </w:tcMar>
            <w:vAlign w:val="center"/>
          </w:tcPr>
          <w:p w14:paraId="7DF0FC0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杭州市规划和自然资源局萧山分局2025-2026年度采购类招标代理预选供应商</w:t>
            </w:r>
          </w:p>
        </w:tc>
        <w:tc>
          <w:tcPr>
            <w:tcW w:w="511" w:type="pct"/>
            <w:tcMar>
              <w:top w:w="15" w:type="dxa"/>
              <w:left w:w="15" w:type="dxa"/>
              <w:bottom w:w="0" w:type="dxa"/>
              <w:right w:w="15" w:type="dxa"/>
            </w:tcMar>
            <w:vAlign w:val="center"/>
          </w:tcPr>
          <w:p w14:paraId="646DA554">
            <w:pPr>
              <w:widowControl/>
              <w:spacing w:line="360" w:lineRule="exact"/>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1</w:t>
            </w:r>
          </w:p>
        </w:tc>
        <w:tc>
          <w:tcPr>
            <w:tcW w:w="502" w:type="pct"/>
            <w:tcMar>
              <w:top w:w="15" w:type="dxa"/>
              <w:left w:w="15" w:type="dxa"/>
              <w:bottom w:w="0" w:type="dxa"/>
              <w:right w:w="15" w:type="dxa"/>
            </w:tcMar>
            <w:vAlign w:val="center"/>
          </w:tcPr>
          <w:p w14:paraId="365AD301">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项</w:t>
            </w:r>
          </w:p>
        </w:tc>
        <w:tc>
          <w:tcPr>
            <w:tcW w:w="994" w:type="pct"/>
            <w:vAlign w:val="center"/>
          </w:tcPr>
          <w:p w14:paraId="176B8AE8">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详见采购需求</w:t>
            </w:r>
          </w:p>
        </w:tc>
        <w:tc>
          <w:tcPr>
            <w:tcW w:w="1067" w:type="pct"/>
            <w:vAlign w:val="center"/>
          </w:tcPr>
          <w:p w14:paraId="523630C1">
            <w:pPr>
              <w:widowControl/>
              <w:spacing w:line="360" w:lineRule="exact"/>
              <w:jc w:val="center"/>
              <w:rPr>
                <w:rFonts w:hint="default" w:ascii="宋体" w:hAnsi="宋体" w:cs="宋体"/>
                <w:color w:val="auto"/>
                <w:kern w:val="0"/>
                <w:sz w:val="24"/>
                <w:lang w:val="en-US"/>
              </w:rPr>
            </w:pPr>
            <w:r>
              <w:rPr>
                <w:rFonts w:hint="eastAsia" w:ascii="宋体" w:hAnsi="宋体" w:eastAsia="宋体" w:cs="宋体"/>
                <w:color w:val="auto"/>
                <w:sz w:val="24"/>
                <w:szCs w:val="24"/>
                <w:highlight w:val="none"/>
                <w:lang w:val="en-US" w:eastAsia="zh-CN"/>
              </w:rPr>
              <w:t>选聘服务单位</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家</w:t>
            </w:r>
            <w:r>
              <w:rPr>
                <w:rFonts w:hint="eastAsia" w:ascii="宋体" w:hAnsi="宋体" w:cs="宋体"/>
                <w:color w:val="auto"/>
                <w:sz w:val="24"/>
                <w:szCs w:val="24"/>
                <w:highlight w:val="none"/>
                <w:lang w:val="en-US" w:eastAsia="zh-CN"/>
              </w:rPr>
              <w:t>，服务期</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lang w:val="en-US" w:eastAsia="zh-CN"/>
              </w:rPr>
              <w:t>年</w:t>
            </w:r>
          </w:p>
        </w:tc>
      </w:tr>
    </w:tbl>
    <w:p w14:paraId="58C3A5A8">
      <w:pPr>
        <w:rPr>
          <w:color w:val="auto"/>
          <w:lang w:val="en-US"/>
        </w:rPr>
      </w:pPr>
    </w:p>
    <w:p w14:paraId="67E639C1">
      <w:pPr>
        <w:rPr>
          <w:rFonts w:ascii="仿宋" w:hAnsi="仿宋" w:eastAsia="仿宋" w:cs="仿宋"/>
          <w:b/>
          <w:color w:val="auto"/>
          <w:sz w:val="22"/>
          <w:szCs w:val="22"/>
        </w:rPr>
      </w:pPr>
    </w:p>
    <w:p w14:paraId="2A1CEF1F">
      <w:pPr>
        <w:rPr>
          <w:rFonts w:ascii="仿宋" w:hAnsi="仿宋" w:eastAsia="仿宋" w:cs="仿宋"/>
          <w:b/>
          <w:color w:val="auto"/>
          <w:sz w:val="22"/>
          <w:szCs w:val="22"/>
        </w:rPr>
      </w:pPr>
    </w:p>
    <w:p w14:paraId="46F06CD8">
      <w:pPr>
        <w:pStyle w:val="4"/>
        <w:numPr>
          <w:ilvl w:val="0"/>
          <w:numId w:val="1"/>
        </w:numPr>
        <w:jc w:val="center"/>
        <w:rPr>
          <w:rFonts w:ascii="仿宋" w:eastAsia="仿宋" w:cs="仿宋"/>
          <w:color w:val="auto"/>
        </w:rPr>
      </w:pPr>
      <w:r>
        <w:rPr>
          <w:rFonts w:hint="eastAsia" w:ascii="仿宋" w:eastAsia="仿宋" w:cs="仿宋"/>
          <w:color w:val="auto"/>
        </w:rPr>
        <w:t>采购需求</w:t>
      </w:r>
    </w:p>
    <w:p w14:paraId="549CCFFB">
      <w:pPr>
        <w:pStyle w:val="43"/>
        <w:spacing w:line="360" w:lineRule="auto"/>
        <w:ind w:firstLine="482" w:firstLineChars="200"/>
        <w:rPr>
          <w:rFonts w:ascii="宋体" w:hAnsi="宋体" w:cs="宋体"/>
          <w:b/>
          <w:bCs/>
          <w:color w:val="auto"/>
          <w:sz w:val="24"/>
        </w:rPr>
      </w:pPr>
      <w:bookmarkStart w:id="28" w:name="_Toc229566664"/>
      <w:bookmarkStart w:id="29" w:name="_Toc155322446"/>
      <w:bookmarkStart w:id="30" w:name="_Toc19174589"/>
      <w:r>
        <w:rPr>
          <w:rFonts w:hint="eastAsia" w:ascii="宋体" w:hAnsi="宋体" w:cs="宋体"/>
          <w:b/>
          <w:bCs/>
          <w:color w:val="auto"/>
          <w:sz w:val="24"/>
        </w:rPr>
        <w:t>1、交易内容</w:t>
      </w:r>
    </w:p>
    <w:p w14:paraId="06FED575">
      <w:pPr>
        <w:pStyle w:val="43"/>
        <w:spacing w:line="360" w:lineRule="auto"/>
        <w:ind w:firstLine="480" w:firstLineChars="200"/>
        <w:rPr>
          <w:rFonts w:ascii="宋体" w:hAnsi="宋体" w:cs="宋体"/>
          <w:color w:val="auto"/>
          <w:sz w:val="24"/>
        </w:rPr>
      </w:pPr>
      <w:r>
        <w:rPr>
          <w:rFonts w:hint="eastAsia" w:ascii="宋体" w:hAnsi="宋体" w:cs="宋体"/>
          <w:color w:val="auto"/>
          <w:sz w:val="24"/>
          <w:u w:val="none"/>
          <w:lang w:eastAsia="zh-CN"/>
        </w:rPr>
        <w:t>杭州市规划和自然资源局萧山分局</w:t>
      </w:r>
      <w:r>
        <w:rPr>
          <w:rFonts w:hint="eastAsia" w:ascii="宋体" w:hAnsi="宋体" w:cs="宋体"/>
          <w:bCs/>
          <w:color w:val="auto"/>
          <w:kern w:val="0"/>
          <w:sz w:val="24"/>
        </w:rPr>
        <w:t>公开选</w:t>
      </w:r>
      <w:r>
        <w:rPr>
          <w:rFonts w:hint="eastAsia" w:ascii="宋体" w:hAnsi="宋体" w:cs="宋体"/>
          <w:b w:val="0"/>
          <w:bCs/>
          <w:color w:val="auto"/>
          <w:kern w:val="0"/>
          <w:sz w:val="24"/>
        </w:rPr>
        <w:t>聘</w:t>
      </w:r>
      <w:r>
        <w:rPr>
          <w:rFonts w:hint="eastAsia" w:ascii="宋体" w:hAnsi="宋体" w:cs="宋体"/>
          <w:b w:val="0"/>
          <w:bCs/>
          <w:color w:val="auto"/>
          <w:kern w:val="0"/>
          <w:sz w:val="24"/>
          <w:highlight w:val="none"/>
        </w:rPr>
        <w:t>采购交易服务单位</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u w:val="single"/>
          <w:lang w:val="en-US" w:eastAsia="zh-CN"/>
        </w:rPr>
        <w:t>5</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rPr>
        <w:t>家</w:t>
      </w:r>
      <w:r>
        <w:rPr>
          <w:rFonts w:hint="eastAsia" w:ascii="宋体" w:hAnsi="宋体" w:cs="宋体"/>
          <w:b w:val="0"/>
          <w:bCs/>
          <w:color w:val="auto"/>
          <w:kern w:val="0"/>
          <w:sz w:val="24"/>
          <w:highlight w:val="none"/>
          <w:lang w:eastAsia="zh-CN"/>
        </w:rPr>
        <w:t>，</w:t>
      </w:r>
      <w:r>
        <w:rPr>
          <w:rFonts w:hint="eastAsia" w:ascii="宋体" w:hAnsi="宋体" w:cs="宋体"/>
          <w:bCs/>
          <w:color w:val="auto"/>
          <w:kern w:val="0"/>
          <w:sz w:val="24"/>
          <w:highlight w:val="none"/>
        </w:rPr>
        <w:t>成交单位在服务期内为</w:t>
      </w:r>
      <w:r>
        <w:rPr>
          <w:rFonts w:hint="eastAsia" w:ascii="宋体" w:hAnsi="宋体" w:cs="宋体"/>
          <w:color w:val="auto"/>
          <w:sz w:val="24"/>
          <w:highlight w:val="none"/>
          <w:u w:val="none"/>
          <w:lang w:eastAsia="zh-CN"/>
        </w:rPr>
        <w:t>杭州市规划和自然资源局萧山分局</w:t>
      </w:r>
      <w:r>
        <w:rPr>
          <w:rFonts w:hint="eastAsia" w:ascii="宋体" w:hAnsi="宋体" w:cs="宋体"/>
          <w:color w:val="auto"/>
          <w:sz w:val="24"/>
          <w:highlight w:val="none"/>
          <w:u w:val="none"/>
          <w:lang w:val="en-US" w:eastAsia="zh-CN"/>
        </w:rPr>
        <w:t>提供招标代理服务</w:t>
      </w:r>
      <w:r>
        <w:rPr>
          <w:rFonts w:hint="eastAsia" w:ascii="宋体" w:hAnsi="宋体" w:cs="宋体"/>
          <w:color w:val="auto"/>
          <w:sz w:val="24"/>
          <w:highlight w:val="none"/>
        </w:rPr>
        <w:t>。</w:t>
      </w:r>
    </w:p>
    <w:p w14:paraId="7344C878">
      <w:pPr>
        <w:pStyle w:val="43"/>
        <w:spacing w:line="360" w:lineRule="auto"/>
        <w:ind w:firstLine="482" w:firstLineChars="200"/>
        <w:rPr>
          <w:rFonts w:ascii="宋体" w:hAnsi="宋体" w:cs="宋体"/>
          <w:b/>
          <w:bCs/>
          <w:color w:val="auto"/>
          <w:sz w:val="24"/>
        </w:rPr>
      </w:pPr>
      <w:r>
        <w:rPr>
          <w:rFonts w:hint="eastAsia" w:ascii="宋体" w:hAnsi="宋体" w:cs="宋体"/>
          <w:b/>
          <w:bCs/>
          <w:color w:val="auto"/>
          <w:sz w:val="24"/>
        </w:rPr>
        <w:t>2、工作内容</w:t>
      </w:r>
    </w:p>
    <w:p w14:paraId="6843C25E">
      <w:pPr>
        <w:spacing w:line="360" w:lineRule="auto"/>
        <w:ind w:firstLine="435"/>
        <w:rPr>
          <w:rFonts w:ascii="宋体" w:hAnsi="宋体" w:cs="宋体"/>
          <w:bCs/>
          <w:color w:val="auto"/>
          <w:kern w:val="0"/>
          <w:sz w:val="24"/>
        </w:rPr>
      </w:pPr>
      <w:r>
        <w:rPr>
          <w:rFonts w:hint="eastAsia" w:ascii="宋体" w:hAnsi="宋体" w:cs="宋体"/>
          <w:bCs/>
          <w:color w:val="auto"/>
          <w:kern w:val="0"/>
          <w:sz w:val="24"/>
        </w:rPr>
        <w:t>本次交易选聘产生的成交单位须提供的服务内容（包括但不限于）：</w:t>
      </w:r>
    </w:p>
    <w:p w14:paraId="07A8E24A">
      <w:pPr>
        <w:spacing w:line="360" w:lineRule="auto"/>
        <w:ind w:firstLine="435"/>
        <w:rPr>
          <w:rFonts w:ascii="宋体" w:hAnsi="宋体" w:cs="宋体"/>
          <w:bCs/>
          <w:color w:val="auto"/>
          <w:kern w:val="0"/>
          <w:sz w:val="24"/>
        </w:rPr>
      </w:pPr>
      <w:r>
        <w:rPr>
          <w:rFonts w:hint="eastAsia" w:ascii="宋体" w:hAnsi="宋体" w:cs="宋体"/>
          <w:bCs/>
          <w:color w:val="auto"/>
          <w:kern w:val="0"/>
          <w:sz w:val="24"/>
        </w:rPr>
        <w:t>（1）起草交易发包方案；</w:t>
      </w:r>
    </w:p>
    <w:p w14:paraId="2D38B050">
      <w:pPr>
        <w:spacing w:line="360" w:lineRule="auto"/>
        <w:ind w:firstLine="435"/>
        <w:rPr>
          <w:rFonts w:ascii="宋体" w:hAnsi="宋体" w:cs="宋体"/>
          <w:bCs/>
          <w:color w:val="auto"/>
          <w:kern w:val="0"/>
          <w:sz w:val="24"/>
        </w:rPr>
      </w:pPr>
      <w:r>
        <w:rPr>
          <w:rFonts w:hint="eastAsia" w:ascii="宋体" w:hAnsi="宋体" w:cs="宋体"/>
          <w:bCs/>
          <w:color w:val="auto"/>
          <w:kern w:val="0"/>
          <w:sz w:val="24"/>
        </w:rPr>
        <w:t>（2）编制交易发包文件；</w:t>
      </w:r>
    </w:p>
    <w:p w14:paraId="01BA6225">
      <w:pPr>
        <w:pStyle w:val="43"/>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（3）发布交易公告；</w:t>
      </w:r>
    </w:p>
    <w:p w14:paraId="6036295C">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（4）组织采购交易发包过程中的提疑、质疑回复；</w:t>
      </w:r>
    </w:p>
    <w:p w14:paraId="43F3C6B3">
      <w:pPr>
        <w:pStyle w:val="43"/>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（5）组织采购项目响应文件开启、评审、采购公示、成交（中标）通知书发布；</w:t>
      </w:r>
    </w:p>
    <w:p w14:paraId="2DAC7356">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（6）整理采购项目交易发包资料，负责资料备案、存档等；</w:t>
      </w:r>
    </w:p>
    <w:p w14:paraId="7D2BA5E8">
      <w:pPr>
        <w:pStyle w:val="43"/>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（7）协助</w:t>
      </w:r>
      <w:r>
        <w:rPr>
          <w:rFonts w:hint="eastAsia" w:ascii="宋体" w:hAnsi="宋体" w:cs="宋体"/>
          <w:bCs/>
          <w:color w:val="auto"/>
          <w:kern w:val="0"/>
          <w:sz w:val="24"/>
          <w:lang w:eastAsia="zh-CN"/>
        </w:rPr>
        <w:t>交易发起人</w:t>
      </w:r>
      <w:r>
        <w:rPr>
          <w:rFonts w:hint="eastAsia" w:ascii="宋体" w:hAnsi="宋体" w:cs="宋体"/>
          <w:bCs/>
          <w:color w:val="auto"/>
          <w:kern w:val="0"/>
          <w:sz w:val="24"/>
        </w:rPr>
        <w:t>与成交（中标）单位合同签订、备案等。</w:t>
      </w:r>
    </w:p>
    <w:p w14:paraId="5177BB93">
      <w:pPr>
        <w:pStyle w:val="43"/>
        <w:spacing w:line="360" w:lineRule="auto"/>
        <w:ind w:firstLine="482" w:firstLineChars="200"/>
        <w:rPr>
          <w:rFonts w:ascii="宋体" w:hAnsi="宋体" w:cs="宋体"/>
          <w:b/>
          <w:bCs/>
          <w:color w:val="auto"/>
          <w:sz w:val="24"/>
        </w:rPr>
      </w:pPr>
      <w:r>
        <w:rPr>
          <w:rFonts w:hint="eastAsia" w:ascii="宋体" w:hAnsi="宋体" w:cs="宋体"/>
          <w:b/>
          <w:bCs/>
          <w:color w:val="auto"/>
          <w:sz w:val="24"/>
        </w:rPr>
        <w:t>3、工作要求</w:t>
      </w:r>
    </w:p>
    <w:p w14:paraId="63A5FDFC">
      <w:pPr>
        <w:spacing w:line="360" w:lineRule="auto"/>
        <w:ind w:firstLine="420"/>
        <w:rPr>
          <w:rFonts w:ascii="宋体" w:hAnsi="宋体" w:cs="宋体"/>
          <w:color w:val="auto"/>
          <w:sz w:val="24"/>
        </w:rPr>
      </w:pPr>
      <w:r>
        <w:rPr>
          <w:rFonts w:hint="eastAsia" w:ascii="宋体" w:hAnsi="宋体" w:cs="宋体"/>
          <w:color w:val="auto"/>
          <w:sz w:val="24"/>
        </w:rPr>
        <w:t>（1）成交单位须确保采购项目公开、公平、公正；</w:t>
      </w:r>
    </w:p>
    <w:p w14:paraId="7258A1F1">
      <w:pPr>
        <w:spacing w:line="360" w:lineRule="auto"/>
        <w:ind w:firstLine="420"/>
        <w:rPr>
          <w:rFonts w:ascii="宋体" w:hAnsi="宋体" w:cs="宋体"/>
          <w:color w:val="auto"/>
          <w:sz w:val="24"/>
        </w:rPr>
      </w:pPr>
      <w:r>
        <w:rPr>
          <w:rFonts w:hint="eastAsia" w:ascii="宋体" w:hAnsi="宋体" w:cs="宋体"/>
          <w:color w:val="auto"/>
          <w:sz w:val="24"/>
        </w:rPr>
        <w:t>（2）成交单位须在</w:t>
      </w:r>
      <w:r>
        <w:rPr>
          <w:rFonts w:hint="eastAsia" w:ascii="宋体" w:hAnsi="宋体" w:cs="宋体"/>
          <w:color w:val="auto"/>
          <w:sz w:val="24"/>
          <w:lang w:eastAsia="zh-CN"/>
        </w:rPr>
        <w:t>交易发起人</w:t>
      </w:r>
      <w:r>
        <w:rPr>
          <w:rFonts w:hint="eastAsia" w:ascii="宋体" w:hAnsi="宋体" w:cs="宋体"/>
          <w:color w:val="auto"/>
          <w:sz w:val="24"/>
        </w:rPr>
        <w:t>委托采购代理的范围内代理一切事务，对</w:t>
      </w:r>
      <w:r>
        <w:rPr>
          <w:rFonts w:hint="eastAsia" w:ascii="宋体" w:hAnsi="宋体" w:cs="宋体"/>
          <w:color w:val="auto"/>
          <w:sz w:val="24"/>
          <w:lang w:eastAsia="zh-CN"/>
        </w:rPr>
        <w:t>交易发起人</w:t>
      </w:r>
      <w:r>
        <w:rPr>
          <w:rFonts w:hint="eastAsia" w:ascii="宋体" w:hAnsi="宋体" w:cs="宋体"/>
          <w:color w:val="auto"/>
          <w:sz w:val="24"/>
        </w:rPr>
        <w:t>提出的采购标准等可依法提出并提交纠正建议，成交单位须对其代理的采购项目的合法性负责；</w:t>
      </w:r>
    </w:p>
    <w:p w14:paraId="3F98AC72">
      <w:pPr>
        <w:spacing w:line="360" w:lineRule="auto"/>
        <w:ind w:firstLine="420"/>
        <w:rPr>
          <w:rFonts w:ascii="宋体" w:hAnsi="宋体" w:cs="宋体"/>
          <w:color w:val="auto"/>
          <w:sz w:val="24"/>
        </w:rPr>
      </w:pPr>
      <w:r>
        <w:rPr>
          <w:rFonts w:hint="eastAsia" w:ascii="宋体" w:hAnsi="宋体" w:cs="宋体"/>
          <w:color w:val="auto"/>
          <w:sz w:val="24"/>
        </w:rPr>
        <w:t>（3）成交单位须按萧山区公共资源交易监督等部门规定的程序和要求独立组织采购活动，接受</w:t>
      </w:r>
      <w:r>
        <w:rPr>
          <w:rFonts w:hint="eastAsia" w:ascii="宋体" w:hAnsi="宋体" w:cs="宋体"/>
          <w:color w:val="auto"/>
          <w:sz w:val="24"/>
          <w:lang w:eastAsia="zh-CN"/>
        </w:rPr>
        <w:t>交易发起人</w:t>
      </w:r>
      <w:r>
        <w:rPr>
          <w:rFonts w:hint="eastAsia" w:ascii="宋体" w:hAnsi="宋体" w:cs="宋体"/>
          <w:color w:val="auto"/>
          <w:sz w:val="24"/>
        </w:rPr>
        <w:t>和有关部门的监督。成交单位须自觉执行回避制度，遵守廉政规定和采购纪律，并承担保密责任；</w:t>
      </w:r>
    </w:p>
    <w:p w14:paraId="7F6EBB84">
      <w:pPr>
        <w:spacing w:line="360" w:lineRule="auto"/>
        <w:ind w:firstLine="420"/>
        <w:rPr>
          <w:rFonts w:ascii="宋体" w:hAnsi="宋体" w:cs="宋体"/>
          <w:color w:val="auto"/>
          <w:sz w:val="24"/>
        </w:rPr>
      </w:pPr>
      <w:r>
        <w:rPr>
          <w:rFonts w:hint="eastAsia" w:ascii="宋体" w:hAnsi="宋体" w:cs="宋体"/>
          <w:color w:val="auto"/>
          <w:sz w:val="24"/>
        </w:rPr>
        <w:t>（4）成交单位须对外发布有关采购文件和采购结果的，都应经</w:t>
      </w:r>
      <w:r>
        <w:rPr>
          <w:rFonts w:hint="eastAsia" w:ascii="宋体" w:hAnsi="宋体" w:cs="宋体"/>
          <w:color w:val="auto"/>
          <w:sz w:val="24"/>
          <w:lang w:eastAsia="zh-CN"/>
        </w:rPr>
        <w:t>交易发起人</w:t>
      </w:r>
      <w:r>
        <w:rPr>
          <w:rFonts w:hint="eastAsia" w:ascii="宋体" w:hAnsi="宋体" w:cs="宋体"/>
          <w:color w:val="auto"/>
          <w:sz w:val="24"/>
        </w:rPr>
        <w:t>确认，如需监督部门备案的应及时将有关采购文件和采购合同等报备；</w:t>
      </w:r>
    </w:p>
    <w:p w14:paraId="78E13FE7">
      <w:pPr>
        <w:spacing w:line="360" w:lineRule="auto"/>
        <w:ind w:firstLine="420"/>
        <w:rPr>
          <w:rFonts w:ascii="宋体" w:hAnsi="宋体" w:cs="宋体"/>
          <w:color w:val="auto"/>
          <w:sz w:val="24"/>
        </w:rPr>
      </w:pPr>
      <w:r>
        <w:rPr>
          <w:rFonts w:hint="eastAsia" w:ascii="宋体" w:hAnsi="宋体" w:cs="宋体"/>
          <w:color w:val="auto"/>
          <w:sz w:val="24"/>
        </w:rPr>
        <w:t>（5）成交单位负责向</w:t>
      </w:r>
      <w:r>
        <w:rPr>
          <w:rFonts w:hint="eastAsia" w:ascii="宋体" w:hAnsi="宋体" w:cs="宋体"/>
          <w:color w:val="auto"/>
          <w:sz w:val="24"/>
          <w:lang w:eastAsia="zh-CN"/>
        </w:rPr>
        <w:t>交易发起人</w:t>
      </w:r>
      <w:r>
        <w:rPr>
          <w:rFonts w:hint="eastAsia" w:ascii="宋体" w:hAnsi="宋体" w:cs="宋体"/>
          <w:color w:val="auto"/>
          <w:sz w:val="24"/>
        </w:rPr>
        <w:t>提交书面采购报告，接受和答复供应商询问、质疑，协助</w:t>
      </w:r>
      <w:r>
        <w:rPr>
          <w:rFonts w:hint="eastAsia" w:ascii="宋体" w:hAnsi="宋体" w:cs="宋体"/>
          <w:color w:val="auto"/>
          <w:sz w:val="24"/>
          <w:lang w:eastAsia="zh-CN"/>
        </w:rPr>
        <w:t>交易发起人</w:t>
      </w:r>
      <w:r>
        <w:rPr>
          <w:rFonts w:hint="eastAsia" w:ascii="宋体" w:hAnsi="宋体" w:cs="宋体"/>
          <w:color w:val="auto"/>
          <w:sz w:val="24"/>
        </w:rPr>
        <w:t>对采购项目进行监督和验收；</w:t>
      </w:r>
    </w:p>
    <w:p w14:paraId="23C09C89">
      <w:pPr>
        <w:spacing w:line="360" w:lineRule="auto"/>
        <w:ind w:firstLine="420"/>
        <w:rPr>
          <w:rFonts w:ascii="宋体" w:hAnsi="宋体" w:cs="宋体"/>
          <w:color w:val="auto"/>
          <w:sz w:val="24"/>
        </w:rPr>
      </w:pPr>
      <w:r>
        <w:rPr>
          <w:rFonts w:hint="eastAsia" w:ascii="宋体" w:hAnsi="宋体" w:cs="宋体"/>
          <w:color w:val="auto"/>
          <w:sz w:val="24"/>
        </w:rPr>
        <w:t>（6）接到</w:t>
      </w:r>
      <w:r>
        <w:rPr>
          <w:rFonts w:hint="eastAsia" w:ascii="宋体" w:hAnsi="宋体" w:cs="宋体"/>
          <w:color w:val="auto"/>
          <w:sz w:val="24"/>
          <w:lang w:eastAsia="zh-CN"/>
        </w:rPr>
        <w:t>交易发起人</w:t>
      </w:r>
      <w:r>
        <w:rPr>
          <w:rFonts w:hint="eastAsia" w:ascii="宋体" w:hAnsi="宋体" w:cs="宋体"/>
          <w:color w:val="auto"/>
          <w:sz w:val="24"/>
        </w:rPr>
        <w:t>委托项目后，成交单位应组件专门的项目组，并指定项目负责人 1 人以上（含 1 人）， 项目负责人一旦确定不得变更（除不可抗力外）。项目负责人应在</w:t>
      </w:r>
      <w:r>
        <w:rPr>
          <w:rFonts w:hint="eastAsia" w:ascii="宋体" w:hAnsi="宋体" w:cs="宋体"/>
          <w:color w:val="auto"/>
          <w:sz w:val="24"/>
          <w:lang w:val="en-US" w:eastAsia="zh-CN"/>
        </w:rPr>
        <w:t>接到</w:t>
      </w:r>
      <w:r>
        <w:rPr>
          <w:rFonts w:hint="eastAsia" w:ascii="宋体" w:hAnsi="宋体" w:cs="宋体"/>
          <w:color w:val="auto"/>
          <w:sz w:val="24"/>
        </w:rPr>
        <w:t>任务通知后一个工作日内与</w:t>
      </w:r>
      <w:r>
        <w:rPr>
          <w:rFonts w:hint="eastAsia" w:ascii="宋体" w:hAnsi="宋体" w:cs="宋体"/>
          <w:color w:val="auto"/>
          <w:sz w:val="24"/>
          <w:lang w:eastAsia="zh-CN"/>
        </w:rPr>
        <w:t>交易发起人</w:t>
      </w:r>
      <w:r>
        <w:rPr>
          <w:rFonts w:hint="eastAsia" w:ascii="宋体" w:hAnsi="宋体" w:cs="宋体"/>
          <w:color w:val="auto"/>
          <w:sz w:val="24"/>
        </w:rPr>
        <w:t>联系并积极跟进采购项目，无特殊原因未及时联系</w:t>
      </w:r>
      <w:r>
        <w:rPr>
          <w:rFonts w:hint="eastAsia" w:ascii="宋体" w:hAnsi="宋体" w:cs="宋体"/>
          <w:color w:val="auto"/>
          <w:sz w:val="24"/>
          <w:lang w:eastAsia="zh-CN"/>
        </w:rPr>
        <w:t>交易发起人</w:t>
      </w:r>
      <w:r>
        <w:rPr>
          <w:rFonts w:hint="eastAsia" w:ascii="宋体" w:hAnsi="宋体" w:cs="宋体"/>
          <w:color w:val="auto"/>
          <w:sz w:val="24"/>
        </w:rPr>
        <w:t>超过三次，取消其服务资格。</w:t>
      </w:r>
    </w:p>
    <w:p w14:paraId="3C206785">
      <w:pPr>
        <w:spacing w:line="360" w:lineRule="auto"/>
        <w:ind w:firstLine="420"/>
        <w:rPr>
          <w:rFonts w:ascii="宋体" w:hAnsi="宋体" w:cs="宋体"/>
          <w:color w:val="auto"/>
          <w:sz w:val="24"/>
        </w:rPr>
      </w:pPr>
      <w:r>
        <w:rPr>
          <w:rFonts w:hint="eastAsia" w:ascii="宋体" w:hAnsi="宋体" w:cs="宋体"/>
          <w:color w:val="auto"/>
          <w:sz w:val="24"/>
        </w:rPr>
        <w:t>（7）成交单位须确保其代理的采购项目不违背相关法律法规。</w:t>
      </w:r>
    </w:p>
    <w:p w14:paraId="55001A6A">
      <w:pPr>
        <w:pStyle w:val="965"/>
        <w:spacing w:line="360" w:lineRule="auto"/>
        <w:ind w:left="888" w:leftChars="260" w:hanging="342" w:hangingChars="142"/>
        <w:rPr>
          <w:rFonts w:ascii="宋体" w:hAnsi="宋体" w:eastAsia="宋体"/>
          <w:b/>
          <w:bCs/>
          <w:color w:val="auto"/>
          <w:szCs w:val="24"/>
          <w:highlight w:val="none"/>
        </w:rPr>
      </w:pPr>
      <w:r>
        <w:rPr>
          <w:rFonts w:hint="eastAsia" w:ascii="宋体" w:hAnsi="宋体" w:eastAsia="宋体"/>
          <w:b/>
          <w:bCs/>
          <w:color w:val="auto"/>
          <w:szCs w:val="24"/>
          <w:highlight w:val="none"/>
          <w:lang w:val="en-US" w:eastAsia="zh-CN"/>
        </w:rPr>
        <w:t>4、</w:t>
      </w:r>
      <w:r>
        <w:rPr>
          <w:rFonts w:hint="eastAsia" w:ascii="宋体" w:hAnsi="宋体" w:eastAsia="宋体"/>
          <w:b/>
          <w:bCs/>
          <w:color w:val="auto"/>
          <w:szCs w:val="24"/>
          <w:highlight w:val="none"/>
        </w:rPr>
        <w:t>服务期限</w:t>
      </w:r>
      <w:bookmarkEnd w:id="28"/>
      <w:bookmarkEnd w:id="29"/>
      <w:bookmarkEnd w:id="30"/>
    </w:p>
    <w:p w14:paraId="10033564">
      <w:pPr>
        <w:spacing w:line="360" w:lineRule="auto"/>
        <w:ind w:firstLine="420"/>
        <w:rPr>
          <w:rFonts w:hint="eastAsia" w:ascii="宋体" w:hAnsi="宋体" w:cs="宋体"/>
          <w:color w:val="auto"/>
          <w:sz w:val="24"/>
          <w:highlight w:val="none"/>
        </w:rPr>
      </w:pPr>
      <w:bookmarkStart w:id="31" w:name="_Toc229566665"/>
      <w:bookmarkStart w:id="32" w:name="_Toc155322447"/>
      <w:r>
        <w:rPr>
          <w:rFonts w:hint="eastAsia" w:ascii="宋体" w:hAnsi="宋体" w:cs="宋体"/>
          <w:color w:val="auto"/>
          <w:sz w:val="24"/>
          <w:highlight w:val="none"/>
        </w:rPr>
        <w:t>服务期</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年（自合同签订之日起）。</w:t>
      </w:r>
      <w:r>
        <w:rPr>
          <w:rFonts w:hint="eastAsia" w:ascii="宋体" w:hAnsi="宋体" w:cs="宋体"/>
          <w:color w:val="auto"/>
          <w:sz w:val="24"/>
          <w:highlight w:val="none"/>
          <w:lang w:val="en-US" w:eastAsia="zh-CN"/>
        </w:rPr>
        <w:t>合</w:t>
      </w:r>
      <w:r>
        <w:rPr>
          <w:rFonts w:hint="eastAsia" w:ascii="宋体" w:hAnsi="宋体" w:cs="宋体"/>
          <w:color w:val="auto"/>
          <w:sz w:val="24"/>
          <w:highlight w:val="none"/>
        </w:rPr>
        <w:t>同履行完毕后，</w:t>
      </w:r>
      <w:r>
        <w:rPr>
          <w:rFonts w:hint="eastAsia" w:ascii="宋体" w:hAnsi="宋体" w:cs="宋体"/>
          <w:color w:val="auto"/>
          <w:sz w:val="24"/>
          <w:highlight w:val="none"/>
          <w:lang w:val="en-US" w:eastAsia="zh-CN"/>
        </w:rPr>
        <w:t>考核合格，可续签合同，总服务期最长不超过3年，合同一年一签。</w:t>
      </w:r>
    </w:p>
    <w:bookmarkEnd w:id="31"/>
    <w:bookmarkEnd w:id="32"/>
    <w:p w14:paraId="21E20037">
      <w:pPr>
        <w:spacing w:line="360" w:lineRule="auto"/>
        <w:ind w:firstLine="472" w:firstLineChars="196"/>
        <w:rPr>
          <w:rFonts w:hint="eastAsia" w:ascii="宋体" w:hAnsi="宋体" w:eastAsia="宋体" w:cs="宋体"/>
          <w:b/>
          <w:bCs/>
          <w:color w:val="auto"/>
          <w:sz w:val="24"/>
          <w:lang w:val="en-US" w:eastAsia="zh-CN"/>
        </w:rPr>
      </w:pPr>
      <w:bookmarkStart w:id="33" w:name="_Toc155322448"/>
      <w:bookmarkStart w:id="34" w:name="_Toc229566666"/>
      <w:bookmarkStart w:id="35" w:name="_Toc19174590"/>
      <w:r>
        <w:rPr>
          <w:rFonts w:hint="eastAsia" w:ascii="宋体" w:hAnsi="宋体" w:cs="宋体"/>
          <w:b/>
          <w:bCs/>
          <w:color w:val="auto"/>
          <w:sz w:val="24"/>
          <w:lang w:val="en-US" w:eastAsia="zh-CN"/>
        </w:rPr>
        <w:t>5、</w:t>
      </w:r>
      <w:r>
        <w:rPr>
          <w:rFonts w:hint="eastAsia" w:ascii="宋体" w:hAnsi="宋体" w:cs="宋体"/>
          <w:b/>
          <w:bCs/>
          <w:color w:val="auto"/>
          <w:sz w:val="24"/>
        </w:rPr>
        <w:t>费用</w:t>
      </w:r>
      <w:bookmarkEnd w:id="33"/>
      <w:bookmarkEnd w:id="34"/>
      <w:bookmarkEnd w:id="35"/>
      <w:bookmarkStart w:id="36" w:name="_Toc381777891"/>
      <w:bookmarkStart w:id="37" w:name="_Toc19174591"/>
      <w:r>
        <w:rPr>
          <w:rFonts w:hint="eastAsia" w:ascii="宋体" w:hAnsi="宋体" w:cs="宋体"/>
          <w:b/>
          <w:bCs/>
          <w:color w:val="auto"/>
          <w:sz w:val="24"/>
          <w:lang w:val="en-US" w:eastAsia="zh-CN"/>
        </w:rPr>
        <w:t>说明</w:t>
      </w:r>
    </w:p>
    <w:bookmarkEnd w:id="36"/>
    <w:bookmarkEnd w:id="37"/>
    <w:p w14:paraId="6B6BACF6">
      <w:pPr>
        <w:snapToGrid w:val="0"/>
        <w:spacing w:line="360" w:lineRule="auto"/>
        <w:ind w:firstLine="480" w:firstLineChars="200"/>
        <w:rPr>
          <w:rFonts w:ascii="宋体" w:hAnsi="宋体" w:cs="宋体"/>
          <w:sz w:val="24"/>
        </w:rPr>
      </w:pPr>
      <w:bookmarkStart w:id="38" w:name="_Toc155322449"/>
      <w:bookmarkStart w:id="39" w:name="_Toc229566667"/>
      <w:bookmarkStart w:id="40" w:name="_Toc19174592"/>
      <w:r>
        <w:rPr>
          <w:rFonts w:hint="eastAsia" w:ascii="宋体" w:hAnsi="宋体" w:cs="宋体"/>
          <w:sz w:val="24"/>
        </w:rPr>
        <w:t>采购代理服务费</w:t>
      </w:r>
      <w:r>
        <w:rPr>
          <w:rFonts w:hint="eastAsia" w:ascii="宋体" w:hAnsi="宋体" w:cs="宋体"/>
          <w:sz w:val="24"/>
          <w:lang w:val="en-US" w:eastAsia="zh-CN"/>
        </w:rPr>
        <w:t>收费标准</w:t>
      </w:r>
      <w:r>
        <w:rPr>
          <w:rFonts w:hint="eastAsia" w:ascii="宋体" w:hAnsi="宋体" w:cs="宋体"/>
          <w:sz w:val="24"/>
        </w:rPr>
        <w:t>参照《招标代理服务收费管理暂行办法》计价格〔2002〕1980 号文件规定的收费标准结合成交单位承诺的费率计取，单项服务费最终结算金额</w:t>
      </w:r>
      <w:r>
        <w:rPr>
          <w:rFonts w:hint="eastAsia" w:ascii="宋体" w:hAnsi="宋体" w:cs="宋体"/>
          <w:b/>
          <w:sz w:val="24"/>
        </w:rPr>
        <w:t>不足</w:t>
      </w:r>
      <w:r>
        <w:rPr>
          <w:rFonts w:ascii="宋体" w:hAnsi="宋体" w:cs="宋体"/>
          <w:b/>
          <w:sz w:val="24"/>
        </w:rPr>
        <w:t>3</w:t>
      </w:r>
      <w:r>
        <w:rPr>
          <w:rFonts w:hint="eastAsia" w:ascii="宋体" w:hAnsi="宋体" w:cs="宋体"/>
          <w:b/>
          <w:sz w:val="24"/>
        </w:rPr>
        <w:t>000元的按</w:t>
      </w:r>
      <w:r>
        <w:rPr>
          <w:rFonts w:ascii="宋体" w:hAnsi="宋体" w:cs="宋体"/>
          <w:b/>
          <w:sz w:val="24"/>
        </w:rPr>
        <w:t>3</w:t>
      </w:r>
      <w:r>
        <w:rPr>
          <w:rFonts w:hint="eastAsia" w:ascii="宋体" w:hAnsi="宋体" w:cs="宋体"/>
          <w:b/>
          <w:sz w:val="24"/>
        </w:rPr>
        <w:t>000元计取，单项采购项目的代理费高于</w:t>
      </w:r>
      <w:r>
        <w:rPr>
          <w:rFonts w:ascii="宋体" w:hAnsi="宋体" w:cs="宋体"/>
          <w:b/>
          <w:sz w:val="24"/>
        </w:rPr>
        <w:t>2</w:t>
      </w:r>
      <w:r>
        <w:rPr>
          <w:rFonts w:hint="eastAsia" w:ascii="宋体" w:hAnsi="宋体" w:cs="宋体"/>
          <w:b/>
          <w:sz w:val="24"/>
        </w:rPr>
        <w:t>万元的按</w:t>
      </w:r>
      <w:r>
        <w:rPr>
          <w:rFonts w:ascii="宋体" w:hAnsi="宋体" w:cs="宋体"/>
          <w:b/>
          <w:sz w:val="24"/>
        </w:rPr>
        <w:t>2</w:t>
      </w:r>
      <w:r>
        <w:rPr>
          <w:rFonts w:hint="eastAsia" w:ascii="宋体" w:hAnsi="宋体" w:cs="宋体"/>
          <w:b/>
          <w:sz w:val="24"/>
        </w:rPr>
        <w:t>万元计取。</w:t>
      </w:r>
      <w:r>
        <w:rPr>
          <w:rFonts w:hint="eastAsia" w:ascii="宋体" w:hAnsi="宋体" w:cs="宋体"/>
          <w:sz w:val="24"/>
        </w:rPr>
        <w:t>专家评审费由交易发起人承担，支付标准参照杭州市公共资源交易中心萧山分中心公布的评审费用计取文件执行。</w:t>
      </w:r>
    </w:p>
    <w:p w14:paraId="031FF776">
      <w:pPr>
        <w:pStyle w:val="965"/>
        <w:spacing w:line="360" w:lineRule="auto"/>
        <w:ind w:left="0" w:leftChars="0" w:firstLine="482" w:firstLineChars="200"/>
        <w:rPr>
          <w:rFonts w:ascii="宋体" w:hAnsi="宋体" w:eastAsia="宋体"/>
          <w:b/>
          <w:bCs/>
          <w:color w:val="auto"/>
          <w:szCs w:val="24"/>
        </w:rPr>
      </w:pPr>
      <w:r>
        <w:rPr>
          <w:rFonts w:hint="eastAsia" w:ascii="宋体" w:hAnsi="宋体" w:eastAsia="宋体"/>
          <w:b/>
          <w:bCs/>
          <w:color w:val="auto"/>
          <w:szCs w:val="24"/>
          <w:lang w:val="en-US" w:eastAsia="zh-CN"/>
        </w:rPr>
        <w:t>6、</w:t>
      </w:r>
      <w:r>
        <w:rPr>
          <w:rFonts w:hint="eastAsia" w:ascii="宋体" w:hAnsi="宋体" w:eastAsia="宋体"/>
          <w:b/>
          <w:bCs/>
          <w:color w:val="auto"/>
          <w:szCs w:val="24"/>
        </w:rPr>
        <w:t>中标</w:t>
      </w:r>
      <w:bookmarkEnd w:id="38"/>
      <w:bookmarkEnd w:id="39"/>
      <w:r>
        <w:rPr>
          <w:rFonts w:hint="eastAsia" w:ascii="宋体" w:hAnsi="宋体" w:eastAsia="宋体"/>
          <w:b/>
          <w:bCs/>
          <w:color w:val="auto"/>
          <w:szCs w:val="24"/>
        </w:rPr>
        <w:t>单位</w:t>
      </w:r>
      <w:bookmarkEnd w:id="40"/>
    </w:p>
    <w:p w14:paraId="794089FA">
      <w:pPr>
        <w:snapToGrid w:val="0"/>
        <w:spacing w:line="360" w:lineRule="auto"/>
        <w:ind w:firstLine="480" w:firstLineChars="200"/>
        <w:rPr>
          <w:rFonts w:ascii="宋体" w:hAnsi="宋体" w:cs="宋体"/>
          <w:color w:val="auto"/>
          <w:kern w:val="0"/>
          <w:sz w:val="24"/>
        </w:rPr>
      </w:pPr>
      <w:r>
        <w:rPr>
          <w:rFonts w:hint="eastAsia" w:ascii="宋体" w:hAnsi="宋体" w:cs="宋体"/>
          <w:color w:val="auto"/>
          <w:sz w:val="24"/>
          <w:lang w:eastAsia="zh-CN"/>
        </w:rPr>
        <w:t>本次交易</w:t>
      </w:r>
      <w:r>
        <w:rPr>
          <w:rFonts w:hint="eastAsia" w:ascii="宋体" w:hAnsi="宋体" w:cs="宋体"/>
          <w:color w:val="auto"/>
          <w:sz w:val="24"/>
        </w:rPr>
        <w:t>将根据各</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响应文件</w:t>
      </w:r>
      <w:r>
        <w:rPr>
          <w:rFonts w:hint="eastAsia" w:ascii="宋体" w:hAnsi="宋体" w:cs="宋体"/>
          <w:color w:val="auto"/>
          <w:sz w:val="24"/>
        </w:rPr>
        <w:t>，由评标委员会综合评分后，根据得分由高到低排序，按顺序选择确定</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none"/>
        </w:rPr>
        <w:t>家</w:t>
      </w:r>
      <w:r>
        <w:rPr>
          <w:rFonts w:hint="eastAsia" w:ascii="宋体" w:hAnsi="宋体" w:cs="宋体"/>
          <w:color w:val="auto"/>
          <w:sz w:val="24"/>
        </w:rPr>
        <w:t>单位作为</w:t>
      </w:r>
      <w:r>
        <w:rPr>
          <w:rFonts w:hint="eastAsia" w:ascii="宋体" w:hAnsi="宋体" w:cs="宋体"/>
          <w:color w:val="auto"/>
          <w:sz w:val="24"/>
          <w:u w:val="none"/>
          <w:lang w:eastAsia="zh-CN"/>
        </w:rPr>
        <w:t>杭州市规划和自然资源局萧山分局2025-2026年度采购类招标代理预选供应商</w:t>
      </w:r>
      <w:r>
        <w:rPr>
          <w:rFonts w:hint="eastAsia" w:ascii="宋体" w:hAnsi="宋体" w:cs="宋体"/>
          <w:color w:val="auto"/>
          <w:kern w:val="0"/>
          <w:sz w:val="24"/>
        </w:rPr>
        <w:t>。</w:t>
      </w:r>
      <w:r>
        <w:rPr>
          <w:rFonts w:hint="eastAsia" w:ascii="宋体" w:hAnsi="宋体" w:cs="宋体"/>
          <w:color w:val="auto"/>
          <w:sz w:val="24"/>
        </w:rPr>
        <w:t>中标后，</w:t>
      </w:r>
      <w:r>
        <w:rPr>
          <w:rFonts w:hint="eastAsia" w:ascii="宋体" w:hAnsi="宋体" w:cs="宋体"/>
          <w:color w:val="auto"/>
          <w:sz w:val="24"/>
          <w:lang w:val="en-US" w:eastAsia="zh-CN"/>
        </w:rPr>
        <w:t>成交人</w:t>
      </w:r>
      <w:r>
        <w:rPr>
          <w:rFonts w:hint="eastAsia" w:ascii="宋体" w:hAnsi="宋体" w:cs="宋体"/>
          <w:color w:val="auto"/>
          <w:sz w:val="24"/>
        </w:rPr>
        <w:t>具体委托业务将根据有关文件执行。</w:t>
      </w:r>
    </w:p>
    <w:p w14:paraId="6D78F5C0">
      <w:pPr>
        <w:snapToGrid w:val="0"/>
        <w:spacing w:line="360" w:lineRule="auto"/>
        <w:ind w:firstLine="482" w:firstLineChars="200"/>
        <w:rPr>
          <w:rFonts w:ascii="宋体" w:hAnsi="宋体" w:cs="宋体"/>
          <w:b/>
          <w:bCs/>
          <w:color w:val="auto"/>
          <w:sz w:val="24"/>
        </w:rPr>
      </w:pPr>
      <w:r>
        <w:rPr>
          <w:rFonts w:ascii="宋体" w:hAnsi="宋体" w:cs="宋体"/>
          <w:b/>
          <w:bCs/>
          <w:color w:val="auto"/>
          <w:sz w:val="24"/>
        </w:rPr>
        <w:t>7</w:t>
      </w:r>
      <w:r>
        <w:rPr>
          <w:rFonts w:hint="eastAsia" w:ascii="宋体" w:hAnsi="宋体" w:cs="宋体"/>
          <w:b/>
          <w:bCs/>
          <w:color w:val="auto"/>
          <w:sz w:val="24"/>
          <w:lang w:eastAsia="zh-CN"/>
        </w:rPr>
        <w:t>、</w:t>
      </w:r>
      <w:r>
        <w:rPr>
          <w:rFonts w:hint="eastAsia" w:ascii="宋体" w:hAnsi="宋体" w:cs="宋体"/>
          <w:b/>
          <w:bCs/>
          <w:color w:val="auto"/>
          <w:sz w:val="24"/>
        </w:rPr>
        <w:t>付款方式</w:t>
      </w:r>
    </w:p>
    <w:p w14:paraId="7DB548B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w:t>
      </w:r>
      <w:r>
        <w:rPr>
          <w:rFonts w:hint="eastAsia" w:ascii="宋体" w:hAnsi="宋体" w:cs="宋体"/>
          <w:color w:val="auto"/>
          <w:sz w:val="24"/>
          <w:lang w:val="en-US" w:eastAsia="zh-CN"/>
        </w:rPr>
        <w:t>代理</w:t>
      </w:r>
      <w:r>
        <w:rPr>
          <w:rFonts w:hint="eastAsia" w:ascii="宋体" w:hAnsi="宋体" w:cs="宋体"/>
          <w:color w:val="auto"/>
          <w:sz w:val="24"/>
        </w:rPr>
        <w:t>完毕并提交</w:t>
      </w:r>
      <w:r>
        <w:rPr>
          <w:rFonts w:hint="eastAsia" w:ascii="宋体" w:hAnsi="宋体" w:cs="宋体"/>
          <w:color w:val="auto"/>
          <w:sz w:val="24"/>
          <w:lang w:val="en-US" w:eastAsia="zh-CN"/>
        </w:rPr>
        <w:t>采购</w:t>
      </w:r>
      <w:r>
        <w:rPr>
          <w:rFonts w:hint="eastAsia" w:ascii="宋体" w:hAnsi="宋体" w:cs="宋体"/>
          <w:color w:val="auto"/>
          <w:sz w:val="24"/>
        </w:rPr>
        <w:t>代理报告后，经委托人审核确认及有关备案工作完成后按照单项</w:t>
      </w:r>
      <w:r>
        <w:rPr>
          <w:rFonts w:hint="eastAsia" w:ascii="宋体" w:hAnsi="宋体" w:cs="宋体"/>
          <w:color w:val="auto"/>
          <w:sz w:val="24"/>
          <w:lang w:val="en-US" w:eastAsia="zh-CN"/>
        </w:rPr>
        <w:t>采购</w:t>
      </w:r>
      <w:r>
        <w:rPr>
          <w:rFonts w:hint="eastAsia" w:ascii="宋体" w:hAnsi="宋体" w:cs="宋体"/>
          <w:color w:val="auto"/>
          <w:sz w:val="24"/>
        </w:rPr>
        <w:t>事项进行结算。</w:t>
      </w:r>
    </w:p>
    <w:p w14:paraId="6406C549">
      <w:pPr>
        <w:spacing w:line="360" w:lineRule="auto"/>
        <w:rPr>
          <w:rFonts w:hint="eastAsia" w:ascii="宋体" w:hAnsi="宋体" w:cs="宋体"/>
          <w:b/>
          <w:color w:val="auto"/>
          <w:sz w:val="24"/>
        </w:rPr>
      </w:pPr>
    </w:p>
    <w:p w14:paraId="542AF7DB">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41" w:name="_Toc184312139"/>
      <w:bookmarkEnd w:id="41"/>
      <w:bookmarkStart w:id="42" w:name="_Toc184308085"/>
      <w:bookmarkEnd w:id="42"/>
      <w:bookmarkStart w:id="43" w:name="_Toc184314428"/>
      <w:bookmarkEnd w:id="43"/>
      <w:bookmarkStart w:id="44" w:name="_Toc184314441"/>
      <w:bookmarkEnd w:id="44"/>
      <w:bookmarkStart w:id="45" w:name="_Toc184314421"/>
      <w:bookmarkEnd w:id="45"/>
      <w:bookmarkStart w:id="46" w:name="_Toc184313287"/>
      <w:bookmarkEnd w:id="46"/>
      <w:bookmarkStart w:id="47" w:name="_Toc184312104"/>
      <w:bookmarkEnd w:id="47"/>
      <w:bookmarkStart w:id="48" w:name="_Toc184308055"/>
      <w:bookmarkEnd w:id="48"/>
      <w:bookmarkStart w:id="49" w:name="_Toc184314446"/>
      <w:bookmarkEnd w:id="49"/>
      <w:bookmarkStart w:id="50" w:name="_Toc184312128"/>
      <w:bookmarkEnd w:id="50"/>
      <w:bookmarkStart w:id="51" w:name="_Toc184314438"/>
      <w:bookmarkEnd w:id="51"/>
      <w:bookmarkStart w:id="52" w:name="_Toc184313289"/>
      <w:bookmarkEnd w:id="52"/>
      <w:bookmarkStart w:id="53" w:name="_Toc184308078"/>
      <w:bookmarkEnd w:id="53"/>
      <w:bookmarkStart w:id="54" w:name="_Toc184312094"/>
      <w:bookmarkEnd w:id="54"/>
      <w:bookmarkStart w:id="55" w:name="_Toc184310295"/>
      <w:bookmarkEnd w:id="55"/>
      <w:bookmarkStart w:id="56" w:name="_Toc184313250"/>
      <w:bookmarkEnd w:id="56"/>
      <w:bookmarkStart w:id="57" w:name="_Toc184313244"/>
      <w:bookmarkEnd w:id="57"/>
      <w:bookmarkStart w:id="58" w:name="_Toc184312133"/>
      <w:bookmarkEnd w:id="58"/>
      <w:bookmarkStart w:id="59" w:name="_Toc184312132"/>
      <w:bookmarkEnd w:id="59"/>
      <w:bookmarkStart w:id="60" w:name="_Toc184314479"/>
      <w:bookmarkEnd w:id="60"/>
      <w:bookmarkStart w:id="61" w:name="_Toc184310316"/>
      <w:bookmarkEnd w:id="61"/>
      <w:bookmarkStart w:id="62" w:name="_Toc184313238"/>
      <w:bookmarkEnd w:id="62"/>
      <w:bookmarkStart w:id="63" w:name="_Toc184310309"/>
      <w:bookmarkEnd w:id="63"/>
      <w:bookmarkStart w:id="64" w:name="_Toc184313249"/>
      <w:bookmarkEnd w:id="64"/>
      <w:bookmarkStart w:id="65" w:name="_Toc184312126"/>
      <w:bookmarkEnd w:id="65"/>
      <w:bookmarkStart w:id="66" w:name="_Toc184312090"/>
      <w:bookmarkEnd w:id="66"/>
      <w:bookmarkStart w:id="67" w:name="_Toc184308041"/>
      <w:bookmarkEnd w:id="67"/>
      <w:bookmarkStart w:id="68" w:name="_Toc184313283"/>
      <w:bookmarkEnd w:id="68"/>
      <w:bookmarkStart w:id="69" w:name="_Toc184314478"/>
      <w:bookmarkEnd w:id="69"/>
      <w:bookmarkStart w:id="70" w:name="_Toc184310328"/>
      <w:bookmarkEnd w:id="70"/>
      <w:bookmarkStart w:id="71" w:name="_Toc184308073"/>
      <w:bookmarkEnd w:id="71"/>
      <w:bookmarkStart w:id="72" w:name="_Toc184312103"/>
      <w:bookmarkEnd w:id="72"/>
      <w:bookmarkStart w:id="73" w:name="_Toc184310297"/>
      <w:bookmarkEnd w:id="73"/>
      <w:bookmarkStart w:id="74" w:name="_Toc184314469"/>
      <w:bookmarkEnd w:id="74"/>
      <w:bookmarkStart w:id="75" w:name="_Toc184308054"/>
      <w:bookmarkEnd w:id="75"/>
      <w:bookmarkStart w:id="76" w:name="_Toc184312105"/>
      <w:bookmarkEnd w:id="76"/>
      <w:bookmarkStart w:id="77" w:name="_Toc184313248"/>
      <w:bookmarkEnd w:id="77"/>
      <w:bookmarkStart w:id="78" w:name="_Toc184308097"/>
      <w:bookmarkEnd w:id="78"/>
      <w:bookmarkStart w:id="79" w:name="_Toc184310298"/>
      <w:bookmarkEnd w:id="79"/>
      <w:bookmarkStart w:id="80" w:name="_Toc184314418"/>
      <w:bookmarkEnd w:id="80"/>
      <w:bookmarkStart w:id="81" w:name="_Toc184312138"/>
      <w:bookmarkEnd w:id="81"/>
      <w:bookmarkStart w:id="82" w:name="_Toc184310291"/>
      <w:bookmarkEnd w:id="82"/>
      <w:bookmarkStart w:id="83" w:name="_Toc184313275"/>
      <w:bookmarkEnd w:id="83"/>
      <w:bookmarkStart w:id="84" w:name="_Toc184312110"/>
      <w:bookmarkEnd w:id="84"/>
      <w:bookmarkStart w:id="85" w:name="_Toc184312077"/>
      <w:bookmarkEnd w:id="85"/>
      <w:bookmarkStart w:id="86" w:name="_Toc184312079"/>
      <w:bookmarkEnd w:id="86"/>
      <w:bookmarkStart w:id="87" w:name="_Toc184312085"/>
      <w:bookmarkEnd w:id="87"/>
      <w:bookmarkStart w:id="88" w:name="_Toc184314470"/>
      <w:bookmarkEnd w:id="88"/>
      <w:bookmarkStart w:id="89" w:name="_Toc184308079"/>
      <w:bookmarkEnd w:id="89"/>
      <w:bookmarkStart w:id="90" w:name="_Toc184312130"/>
      <w:bookmarkEnd w:id="90"/>
      <w:bookmarkStart w:id="91" w:name="_Toc184312122"/>
      <w:bookmarkEnd w:id="91"/>
      <w:bookmarkStart w:id="92" w:name="_Toc184313277"/>
      <w:bookmarkEnd w:id="92"/>
      <w:bookmarkStart w:id="93" w:name="_Toc184313280"/>
      <w:bookmarkEnd w:id="93"/>
      <w:bookmarkStart w:id="94" w:name="_Toc184308096"/>
      <w:bookmarkEnd w:id="94"/>
      <w:bookmarkStart w:id="95" w:name="_Toc184314427"/>
      <w:bookmarkEnd w:id="95"/>
      <w:bookmarkStart w:id="96" w:name="_Toc184308092"/>
      <w:bookmarkEnd w:id="96"/>
      <w:bookmarkStart w:id="97" w:name="_Toc184314468"/>
      <w:bookmarkEnd w:id="97"/>
      <w:bookmarkStart w:id="98" w:name="_Toc184310307"/>
      <w:bookmarkEnd w:id="98"/>
      <w:bookmarkStart w:id="99" w:name="_Toc184312070"/>
      <w:bookmarkEnd w:id="99"/>
      <w:bookmarkStart w:id="100" w:name="_Toc184314410"/>
      <w:bookmarkEnd w:id="100"/>
      <w:bookmarkStart w:id="101" w:name="_Toc184314429"/>
      <w:bookmarkEnd w:id="101"/>
      <w:bookmarkStart w:id="102" w:name="_Toc184314413"/>
      <w:bookmarkEnd w:id="102"/>
      <w:bookmarkStart w:id="103" w:name="_Toc184313281"/>
      <w:bookmarkEnd w:id="103"/>
      <w:bookmarkStart w:id="104" w:name="_Toc184314455"/>
      <w:bookmarkEnd w:id="104"/>
      <w:bookmarkStart w:id="105" w:name="_Toc184308106"/>
      <w:bookmarkEnd w:id="105"/>
      <w:bookmarkStart w:id="106" w:name="_Toc184310285"/>
      <w:bookmarkEnd w:id="106"/>
      <w:bookmarkStart w:id="107" w:name="_Toc184314459"/>
      <w:bookmarkEnd w:id="107"/>
      <w:bookmarkStart w:id="108" w:name="_Toc184314467"/>
      <w:bookmarkEnd w:id="108"/>
      <w:bookmarkStart w:id="109" w:name="_Toc184313260"/>
      <w:bookmarkEnd w:id="109"/>
      <w:bookmarkStart w:id="110" w:name="_Toc184310287"/>
      <w:bookmarkEnd w:id="110"/>
      <w:bookmarkStart w:id="111" w:name="_Toc184313251"/>
      <w:bookmarkEnd w:id="111"/>
      <w:bookmarkStart w:id="112" w:name="_Toc184314445"/>
      <w:bookmarkEnd w:id="112"/>
      <w:bookmarkStart w:id="113" w:name="_Toc184308061"/>
      <w:bookmarkEnd w:id="113"/>
      <w:bookmarkStart w:id="114" w:name="_Toc184314430"/>
      <w:bookmarkEnd w:id="114"/>
      <w:bookmarkStart w:id="115" w:name="_Toc184312089"/>
      <w:bookmarkEnd w:id="115"/>
      <w:bookmarkStart w:id="116" w:name="_Toc184313292"/>
      <w:bookmarkEnd w:id="116"/>
      <w:bookmarkStart w:id="117" w:name="_Toc184312071"/>
      <w:bookmarkEnd w:id="117"/>
      <w:bookmarkStart w:id="118" w:name="_Toc184313307"/>
      <w:bookmarkEnd w:id="118"/>
      <w:bookmarkStart w:id="119" w:name="_Toc184310276"/>
      <w:bookmarkEnd w:id="119"/>
      <w:bookmarkStart w:id="120" w:name="_Toc184314465"/>
      <w:bookmarkEnd w:id="120"/>
      <w:bookmarkStart w:id="121" w:name="_Toc184308100"/>
      <w:bookmarkEnd w:id="121"/>
      <w:bookmarkStart w:id="122" w:name="_Toc184312116"/>
      <w:bookmarkEnd w:id="122"/>
      <w:bookmarkStart w:id="123" w:name="_Toc184313291"/>
      <w:bookmarkEnd w:id="123"/>
      <w:bookmarkStart w:id="124" w:name="_Toc184314435"/>
      <w:bookmarkEnd w:id="124"/>
      <w:bookmarkStart w:id="125" w:name="_Toc184310293"/>
      <w:bookmarkEnd w:id="125"/>
      <w:bookmarkStart w:id="126" w:name="_Toc184310288"/>
      <w:bookmarkEnd w:id="126"/>
      <w:bookmarkStart w:id="127" w:name="_Toc184308045"/>
      <w:bookmarkEnd w:id="127"/>
      <w:bookmarkStart w:id="128" w:name="_Toc184308087"/>
      <w:bookmarkEnd w:id="128"/>
      <w:bookmarkStart w:id="129" w:name="_Toc184314434"/>
      <w:bookmarkEnd w:id="129"/>
      <w:bookmarkStart w:id="130" w:name="_Toc184312102"/>
      <w:bookmarkEnd w:id="130"/>
      <w:bookmarkStart w:id="131" w:name="_Toc184308077"/>
      <w:bookmarkEnd w:id="131"/>
      <w:bookmarkStart w:id="132" w:name="_Toc184313310"/>
      <w:bookmarkEnd w:id="132"/>
      <w:bookmarkStart w:id="133" w:name="_Toc184312074"/>
      <w:bookmarkEnd w:id="133"/>
      <w:bookmarkStart w:id="134" w:name="_Toc184308059"/>
      <w:bookmarkEnd w:id="134"/>
      <w:bookmarkStart w:id="135" w:name="_Toc184312113"/>
      <w:bookmarkEnd w:id="135"/>
      <w:bookmarkStart w:id="136" w:name="_Toc184310312"/>
      <w:bookmarkEnd w:id="136"/>
      <w:bookmarkStart w:id="137" w:name="_Toc184312101"/>
      <w:bookmarkEnd w:id="137"/>
      <w:bookmarkStart w:id="138" w:name="_Toc184312120"/>
      <w:bookmarkEnd w:id="138"/>
      <w:bookmarkStart w:id="139" w:name="_Toc184313301"/>
      <w:bookmarkEnd w:id="139"/>
      <w:bookmarkStart w:id="140" w:name="_Toc184308083"/>
      <w:bookmarkEnd w:id="140"/>
      <w:bookmarkStart w:id="141" w:name="_Toc184310272"/>
      <w:bookmarkEnd w:id="141"/>
      <w:bookmarkStart w:id="142" w:name="_Toc184308090"/>
      <w:bookmarkEnd w:id="142"/>
      <w:bookmarkStart w:id="143" w:name="_Toc184310344"/>
      <w:bookmarkEnd w:id="143"/>
      <w:bookmarkStart w:id="144" w:name="_Toc184312109"/>
      <w:bookmarkEnd w:id="144"/>
      <w:bookmarkStart w:id="145" w:name="_Toc184314461"/>
      <w:bookmarkEnd w:id="145"/>
      <w:bookmarkStart w:id="146" w:name="_Toc184310290"/>
      <w:bookmarkEnd w:id="146"/>
      <w:bookmarkStart w:id="147" w:name="_Toc184313243"/>
      <w:bookmarkEnd w:id="147"/>
      <w:bookmarkStart w:id="148" w:name="_Toc184313241"/>
      <w:bookmarkEnd w:id="148"/>
      <w:bookmarkStart w:id="149" w:name="_Toc184314458"/>
      <w:bookmarkEnd w:id="149"/>
      <w:bookmarkStart w:id="150" w:name="_Toc184310289"/>
      <w:bookmarkEnd w:id="150"/>
      <w:bookmarkStart w:id="151" w:name="_Toc184308044"/>
      <w:bookmarkEnd w:id="151"/>
      <w:bookmarkStart w:id="152" w:name="_Toc184308069"/>
      <w:bookmarkEnd w:id="152"/>
      <w:bookmarkStart w:id="153" w:name="_Toc184310336"/>
      <w:bookmarkEnd w:id="153"/>
      <w:bookmarkStart w:id="154" w:name="_Toc184314448"/>
      <w:bookmarkEnd w:id="154"/>
      <w:bookmarkStart w:id="155" w:name="_Toc184310277"/>
      <w:bookmarkEnd w:id="155"/>
      <w:bookmarkStart w:id="156" w:name="_Toc184312093"/>
      <w:bookmarkEnd w:id="156"/>
      <w:bookmarkStart w:id="157" w:name="_Toc184313258"/>
      <w:bookmarkEnd w:id="157"/>
      <w:bookmarkStart w:id="158" w:name="_Toc184310301"/>
      <w:bookmarkEnd w:id="158"/>
      <w:bookmarkStart w:id="159" w:name="_Toc184313274"/>
      <w:bookmarkEnd w:id="159"/>
      <w:bookmarkStart w:id="160" w:name="_Toc184310343"/>
      <w:bookmarkEnd w:id="160"/>
      <w:bookmarkStart w:id="161" w:name="_Toc184314481"/>
      <w:bookmarkEnd w:id="161"/>
      <w:bookmarkStart w:id="162" w:name="_Toc184310315"/>
      <w:bookmarkEnd w:id="162"/>
      <w:bookmarkStart w:id="163" w:name="_Toc184310296"/>
      <w:bookmarkEnd w:id="163"/>
      <w:bookmarkStart w:id="164" w:name="_Toc184310323"/>
      <w:bookmarkEnd w:id="164"/>
      <w:bookmarkStart w:id="165" w:name="_Toc184310280"/>
      <w:bookmarkEnd w:id="165"/>
      <w:bookmarkStart w:id="166" w:name="_Toc184314412"/>
      <w:bookmarkEnd w:id="166"/>
      <w:bookmarkStart w:id="167" w:name="_Toc184308084"/>
      <w:bookmarkEnd w:id="167"/>
      <w:bookmarkStart w:id="168" w:name="_Toc184312078"/>
      <w:bookmarkEnd w:id="168"/>
      <w:bookmarkStart w:id="169" w:name="_Toc184310322"/>
      <w:bookmarkEnd w:id="169"/>
      <w:bookmarkStart w:id="170" w:name="_Toc184310324"/>
      <w:bookmarkEnd w:id="170"/>
      <w:bookmarkStart w:id="171" w:name="_Toc184313286"/>
      <w:bookmarkEnd w:id="171"/>
      <w:bookmarkStart w:id="172" w:name="_Toc184310302"/>
      <w:bookmarkEnd w:id="172"/>
      <w:bookmarkStart w:id="173" w:name="_Toc184314473"/>
      <w:bookmarkEnd w:id="173"/>
      <w:bookmarkStart w:id="174" w:name="_Toc184310311"/>
      <w:bookmarkEnd w:id="174"/>
      <w:bookmarkStart w:id="175" w:name="_Toc184312099"/>
      <w:bookmarkEnd w:id="175"/>
      <w:bookmarkStart w:id="176" w:name="_Toc184308089"/>
      <w:bookmarkEnd w:id="176"/>
      <w:bookmarkStart w:id="177" w:name="_Toc184314426"/>
      <w:bookmarkEnd w:id="177"/>
      <w:bookmarkStart w:id="178" w:name="_Toc184308049"/>
      <w:bookmarkEnd w:id="178"/>
      <w:bookmarkStart w:id="179" w:name="_Toc184313254"/>
      <w:bookmarkEnd w:id="179"/>
      <w:bookmarkStart w:id="180" w:name="_Toc184313306"/>
      <w:bookmarkEnd w:id="180"/>
      <w:bookmarkStart w:id="181" w:name="_Toc184310317"/>
      <w:bookmarkEnd w:id="181"/>
      <w:bookmarkStart w:id="182" w:name="_Toc184314480"/>
      <w:bookmarkEnd w:id="182"/>
      <w:bookmarkStart w:id="183" w:name="_Toc184308057"/>
      <w:bookmarkEnd w:id="183"/>
      <w:bookmarkStart w:id="184" w:name="_Toc184310274"/>
      <w:bookmarkEnd w:id="184"/>
      <w:bookmarkStart w:id="185" w:name="_Toc184310282"/>
      <w:bookmarkEnd w:id="185"/>
      <w:bookmarkStart w:id="186" w:name="_Toc184310273"/>
      <w:bookmarkEnd w:id="186"/>
      <w:bookmarkStart w:id="187" w:name="_Toc184313288"/>
      <w:bookmarkEnd w:id="187"/>
      <w:bookmarkStart w:id="188" w:name="_Toc184314449"/>
      <w:bookmarkEnd w:id="188"/>
      <w:bookmarkStart w:id="189" w:name="_Toc184310278"/>
      <w:bookmarkEnd w:id="189"/>
      <w:bookmarkStart w:id="190" w:name="_Toc184308108"/>
      <w:bookmarkEnd w:id="190"/>
      <w:bookmarkStart w:id="191" w:name="_Toc184313255"/>
      <w:bookmarkEnd w:id="191"/>
      <w:bookmarkStart w:id="192" w:name="_Toc184314477"/>
      <w:bookmarkEnd w:id="192"/>
      <w:bookmarkStart w:id="193" w:name="_Toc184312096"/>
      <w:bookmarkEnd w:id="193"/>
      <w:bookmarkStart w:id="194" w:name="_Toc184314451"/>
      <w:bookmarkEnd w:id="194"/>
      <w:bookmarkStart w:id="195" w:name="_Toc184314431"/>
      <w:bookmarkEnd w:id="195"/>
      <w:bookmarkStart w:id="196" w:name="_Toc184313272"/>
      <w:bookmarkEnd w:id="196"/>
      <w:bookmarkStart w:id="197" w:name="_Toc184308065"/>
      <w:bookmarkEnd w:id="197"/>
      <w:bookmarkStart w:id="198" w:name="_Toc184313276"/>
      <w:bookmarkEnd w:id="198"/>
      <w:bookmarkStart w:id="199" w:name="_Toc184312117"/>
      <w:bookmarkEnd w:id="199"/>
      <w:bookmarkStart w:id="200" w:name="_Toc184312075"/>
      <w:bookmarkEnd w:id="200"/>
      <w:bookmarkStart w:id="201" w:name="_Toc184308039"/>
      <w:bookmarkEnd w:id="201"/>
      <w:bookmarkStart w:id="202" w:name="_Toc184312114"/>
      <w:bookmarkEnd w:id="202"/>
      <w:bookmarkStart w:id="203" w:name="_Toc184313259"/>
      <w:bookmarkEnd w:id="203"/>
      <w:bookmarkStart w:id="204" w:name="_Toc184310338"/>
      <w:bookmarkEnd w:id="204"/>
      <w:bookmarkStart w:id="205" w:name="_Toc184310275"/>
      <w:bookmarkEnd w:id="205"/>
      <w:bookmarkStart w:id="206" w:name="_Toc184312106"/>
      <w:bookmarkEnd w:id="206"/>
      <w:bookmarkStart w:id="207" w:name="_Toc184314416"/>
      <w:bookmarkEnd w:id="207"/>
      <w:bookmarkStart w:id="208" w:name="_Toc184313297"/>
      <w:bookmarkEnd w:id="208"/>
      <w:bookmarkStart w:id="209" w:name="_Toc184308066"/>
      <w:bookmarkEnd w:id="209"/>
      <w:bookmarkStart w:id="210" w:name="_Toc184310303"/>
      <w:bookmarkEnd w:id="210"/>
      <w:bookmarkStart w:id="211" w:name="_Toc184312076"/>
      <w:bookmarkEnd w:id="211"/>
      <w:bookmarkStart w:id="212" w:name="_Toc184308064"/>
      <w:bookmarkEnd w:id="212"/>
      <w:bookmarkStart w:id="213" w:name="_Toc184310326"/>
      <w:bookmarkEnd w:id="213"/>
      <w:bookmarkStart w:id="214" w:name="_Toc184312081"/>
      <w:bookmarkEnd w:id="214"/>
      <w:bookmarkStart w:id="215" w:name="_Toc184314476"/>
      <w:bookmarkEnd w:id="215"/>
      <w:bookmarkStart w:id="216" w:name="_Toc184308099"/>
      <w:bookmarkEnd w:id="216"/>
      <w:bookmarkStart w:id="217" w:name="_Toc184314433"/>
      <w:bookmarkEnd w:id="217"/>
      <w:bookmarkStart w:id="218" w:name="_Toc184313295"/>
      <w:bookmarkEnd w:id="218"/>
      <w:bookmarkStart w:id="219" w:name="_Toc184310319"/>
      <w:bookmarkEnd w:id="219"/>
      <w:bookmarkStart w:id="220" w:name="_Toc184312118"/>
      <w:bookmarkEnd w:id="220"/>
      <w:bookmarkStart w:id="221" w:name="_Toc184313293"/>
      <w:bookmarkEnd w:id="221"/>
      <w:bookmarkStart w:id="222" w:name="_Toc184314456"/>
      <w:bookmarkEnd w:id="222"/>
      <w:bookmarkStart w:id="223" w:name="_Toc184310325"/>
      <w:bookmarkEnd w:id="223"/>
      <w:bookmarkStart w:id="224" w:name="_Toc184314452"/>
      <w:bookmarkEnd w:id="224"/>
      <w:bookmarkStart w:id="225" w:name="_Toc184313305"/>
      <w:bookmarkEnd w:id="225"/>
      <w:bookmarkStart w:id="226" w:name="_Toc184314425"/>
      <w:bookmarkEnd w:id="226"/>
      <w:bookmarkStart w:id="227" w:name="_Toc184310314"/>
      <w:bookmarkEnd w:id="227"/>
      <w:bookmarkStart w:id="228" w:name="_Toc184308103"/>
      <w:bookmarkEnd w:id="228"/>
      <w:bookmarkStart w:id="229" w:name="_Toc184314414"/>
      <w:bookmarkEnd w:id="229"/>
      <w:bookmarkStart w:id="230" w:name="_Toc184312134"/>
      <w:bookmarkEnd w:id="230"/>
      <w:bookmarkStart w:id="231" w:name="_Toc184313267"/>
      <w:bookmarkEnd w:id="231"/>
      <w:bookmarkStart w:id="232" w:name="_Toc184308088"/>
      <w:bookmarkEnd w:id="232"/>
      <w:bookmarkStart w:id="233" w:name="_Toc184313294"/>
      <w:bookmarkEnd w:id="233"/>
      <w:bookmarkStart w:id="234" w:name="_Toc184313268"/>
      <w:bookmarkEnd w:id="234"/>
      <w:bookmarkStart w:id="235" w:name="_Toc184314443"/>
      <w:bookmarkEnd w:id="235"/>
      <w:bookmarkStart w:id="236" w:name="_Toc184312069"/>
      <w:bookmarkEnd w:id="236"/>
      <w:bookmarkStart w:id="237" w:name="_Toc184308095"/>
      <w:bookmarkEnd w:id="237"/>
      <w:bookmarkStart w:id="238" w:name="_Toc184308042"/>
      <w:bookmarkEnd w:id="238"/>
      <w:bookmarkStart w:id="239" w:name="_Toc184312082"/>
      <w:bookmarkEnd w:id="239"/>
      <w:bookmarkStart w:id="240" w:name="_Toc184312124"/>
      <w:bookmarkEnd w:id="240"/>
      <w:bookmarkStart w:id="241" w:name="_Toc184308070"/>
      <w:bookmarkEnd w:id="241"/>
      <w:bookmarkStart w:id="242" w:name="_Toc184314460"/>
      <w:bookmarkEnd w:id="242"/>
      <w:bookmarkStart w:id="243" w:name="_Toc184312107"/>
      <w:bookmarkEnd w:id="243"/>
      <w:bookmarkStart w:id="244" w:name="_Toc184314415"/>
      <w:bookmarkEnd w:id="244"/>
      <w:bookmarkStart w:id="245" w:name="_Toc184308068"/>
      <w:bookmarkEnd w:id="245"/>
      <w:bookmarkStart w:id="246" w:name="_Toc184313303"/>
      <w:bookmarkEnd w:id="246"/>
      <w:bookmarkStart w:id="247" w:name="_Toc184308058"/>
      <w:bookmarkEnd w:id="247"/>
      <w:bookmarkStart w:id="248" w:name="_Toc184310331"/>
      <w:bookmarkEnd w:id="248"/>
      <w:bookmarkStart w:id="249" w:name="_Toc184308048"/>
      <w:bookmarkEnd w:id="249"/>
      <w:bookmarkStart w:id="250" w:name="_Toc184313269"/>
      <w:bookmarkEnd w:id="250"/>
      <w:bookmarkStart w:id="251" w:name="_Toc184310279"/>
      <w:bookmarkEnd w:id="251"/>
      <w:bookmarkStart w:id="252" w:name="_Toc184314471"/>
      <w:bookmarkEnd w:id="252"/>
      <w:bookmarkStart w:id="253" w:name="_Toc184313299"/>
      <w:bookmarkEnd w:id="253"/>
      <w:bookmarkStart w:id="254" w:name="_Toc184313242"/>
      <w:bookmarkEnd w:id="254"/>
      <w:bookmarkStart w:id="255" w:name="_Toc184314474"/>
      <w:bookmarkEnd w:id="255"/>
      <w:bookmarkStart w:id="256" w:name="_Toc184313252"/>
      <w:bookmarkEnd w:id="256"/>
      <w:bookmarkStart w:id="257" w:name="_Toc184308105"/>
      <w:bookmarkEnd w:id="257"/>
      <w:bookmarkStart w:id="258" w:name="_Toc184313264"/>
      <w:bookmarkEnd w:id="258"/>
      <w:bookmarkStart w:id="259" w:name="_Toc184312127"/>
      <w:bookmarkEnd w:id="259"/>
      <w:bookmarkStart w:id="260" w:name="_Toc184313309"/>
      <w:bookmarkEnd w:id="260"/>
      <w:bookmarkStart w:id="261" w:name="_Toc184312125"/>
      <w:bookmarkEnd w:id="261"/>
      <w:bookmarkStart w:id="262" w:name="_Toc184308101"/>
      <w:bookmarkEnd w:id="262"/>
      <w:bookmarkStart w:id="263" w:name="_Toc184313296"/>
      <w:bookmarkEnd w:id="263"/>
      <w:bookmarkStart w:id="264" w:name="_Toc184314424"/>
      <w:bookmarkEnd w:id="264"/>
      <w:bookmarkStart w:id="265" w:name="_Toc184314462"/>
      <w:bookmarkEnd w:id="265"/>
      <w:bookmarkStart w:id="266" w:name="_Toc184314450"/>
      <w:bookmarkEnd w:id="266"/>
      <w:bookmarkStart w:id="267" w:name="_Toc184308067"/>
      <w:bookmarkEnd w:id="267"/>
      <w:bookmarkStart w:id="268" w:name="_Toc184314475"/>
      <w:bookmarkEnd w:id="268"/>
      <w:bookmarkStart w:id="269" w:name="_Toc184312091"/>
      <w:bookmarkEnd w:id="269"/>
      <w:bookmarkStart w:id="270" w:name="_Toc184310318"/>
      <w:bookmarkEnd w:id="270"/>
      <w:bookmarkStart w:id="271" w:name="_Toc184310283"/>
      <w:bookmarkEnd w:id="271"/>
      <w:bookmarkStart w:id="272" w:name="_Toc184308104"/>
      <w:bookmarkEnd w:id="272"/>
      <w:bookmarkStart w:id="273" w:name="_Toc184310341"/>
      <w:bookmarkEnd w:id="273"/>
      <w:bookmarkStart w:id="274" w:name="_Toc184312083"/>
      <w:bookmarkEnd w:id="274"/>
      <w:bookmarkStart w:id="275" w:name="_Toc184312112"/>
      <w:bookmarkEnd w:id="275"/>
      <w:bookmarkStart w:id="276" w:name="_Toc184314411"/>
      <w:bookmarkEnd w:id="276"/>
      <w:bookmarkStart w:id="277" w:name="_Toc184312095"/>
      <w:bookmarkEnd w:id="277"/>
      <w:bookmarkStart w:id="278" w:name="_Toc184308046"/>
      <w:bookmarkEnd w:id="278"/>
      <w:bookmarkStart w:id="279" w:name="_Toc184313304"/>
      <w:bookmarkEnd w:id="279"/>
      <w:bookmarkStart w:id="280" w:name="_Toc184310300"/>
      <w:bookmarkEnd w:id="280"/>
      <w:bookmarkStart w:id="281" w:name="_Toc184314464"/>
      <w:bookmarkEnd w:id="281"/>
      <w:bookmarkStart w:id="282" w:name="_Toc184314419"/>
      <w:bookmarkEnd w:id="282"/>
      <w:bookmarkStart w:id="283" w:name="_Toc184310305"/>
      <w:bookmarkEnd w:id="283"/>
      <w:bookmarkStart w:id="284" w:name="_Toc184313284"/>
      <w:bookmarkEnd w:id="284"/>
      <w:bookmarkStart w:id="285" w:name="_Toc184310292"/>
      <w:bookmarkEnd w:id="285"/>
      <w:bookmarkStart w:id="286" w:name="_Toc184314420"/>
      <w:bookmarkEnd w:id="286"/>
      <w:bookmarkStart w:id="287" w:name="_Toc184312073"/>
      <w:bookmarkEnd w:id="287"/>
      <w:bookmarkStart w:id="288" w:name="_Toc184310332"/>
      <w:bookmarkEnd w:id="288"/>
      <w:bookmarkStart w:id="289" w:name="_Toc184312080"/>
      <w:bookmarkEnd w:id="289"/>
      <w:bookmarkStart w:id="290" w:name="_Toc184313239"/>
      <w:bookmarkEnd w:id="290"/>
      <w:bookmarkStart w:id="291" w:name="_Toc184310329"/>
      <w:bookmarkEnd w:id="291"/>
      <w:bookmarkStart w:id="292" w:name="_Toc184314423"/>
      <w:bookmarkEnd w:id="292"/>
      <w:bookmarkStart w:id="293" w:name="_Toc184313270"/>
      <w:bookmarkEnd w:id="293"/>
      <w:bookmarkStart w:id="294" w:name="_Toc184310330"/>
      <w:bookmarkEnd w:id="294"/>
      <w:bookmarkStart w:id="295" w:name="_Toc184313256"/>
      <w:bookmarkEnd w:id="295"/>
      <w:bookmarkStart w:id="296" w:name="_Toc184312131"/>
      <w:bookmarkEnd w:id="296"/>
      <w:bookmarkStart w:id="297" w:name="_Toc184313308"/>
      <w:bookmarkEnd w:id="297"/>
      <w:bookmarkStart w:id="298" w:name="_Toc184310310"/>
      <w:bookmarkEnd w:id="298"/>
      <w:bookmarkStart w:id="299" w:name="_Toc184314422"/>
      <w:bookmarkEnd w:id="299"/>
      <w:bookmarkStart w:id="300" w:name="_Toc184313285"/>
      <w:bookmarkEnd w:id="300"/>
      <w:bookmarkStart w:id="301" w:name="_Toc184313298"/>
      <w:bookmarkEnd w:id="301"/>
      <w:bookmarkStart w:id="302" w:name="_Toc184308107"/>
      <w:bookmarkEnd w:id="302"/>
      <w:bookmarkStart w:id="303" w:name="_Toc184313247"/>
      <w:bookmarkEnd w:id="303"/>
      <w:bookmarkStart w:id="304" w:name="_Toc184312084"/>
      <w:bookmarkEnd w:id="304"/>
      <w:bookmarkStart w:id="305" w:name="_Toc184312086"/>
      <w:bookmarkEnd w:id="305"/>
      <w:bookmarkStart w:id="306" w:name="_Toc184312088"/>
      <w:bookmarkEnd w:id="306"/>
      <w:bookmarkStart w:id="307" w:name="_Toc184313257"/>
      <w:bookmarkEnd w:id="307"/>
      <w:bookmarkStart w:id="308" w:name="_Toc184308081"/>
      <w:bookmarkEnd w:id="308"/>
      <w:bookmarkStart w:id="309" w:name="_Toc184312121"/>
      <w:bookmarkEnd w:id="309"/>
      <w:bookmarkStart w:id="310" w:name="_Toc184313263"/>
      <w:bookmarkEnd w:id="310"/>
      <w:bookmarkStart w:id="311" w:name="_Toc184314439"/>
      <w:bookmarkEnd w:id="311"/>
      <w:bookmarkStart w:id="312" w:name="_Toc184312108"/>
      <w:bookmarkEnd w:id="312"/>
      <w:bookmarkStart w:id="313" w:name="_Toc184312098"/>
      <w:bookmarkEnd w:id="313"/>
      <w:bookmarkStart w:id="314" w:name="_Toc184313266"/>
      <w:bookmarkEnd w:id="314"/>
      <w:bookmarkStart w:id="315" w:name="_Toc184313265"/>
      <w:bookmarkEnd w:id="315"/>
      <w:bookmarkStart w:id="316" w:name="_Toc184313300"/>
      <w:bookmarkEnd w:id="316"/>
      <w:bookmarkStart w:id="317" w:name="_Toc184308098"/>
      <w:bookmarkEnd w:id="317"/>
      <w:bookmarkStart w:id="318" w:name="_Toc184310308"/>
      <w:bookmarkEnd w:id="318"/>
      <w:bookmarkStart w:id="319" w:name="_Toc184308086"/>
      <w:bookmarkEnd w:id="319"/>
      <w:bookmarkStart w:id="320" w:name="_Toc184313246"/>
      <w:bookmarkEnd w:id="320"/>
      <w:bookmarkStart w:id="321" w:name="_Toc184310333"/>
      <w:bookmarkEnd w:id="321"/>
      <w:bookmarkStart w:id="322" w:name="_Toc184308094"/>
      <w:bookmarkEnd w:id="322"/>
      <w:bookmarkStart w:id="323" w:name="_Toc184310334"/>
      <w:bookmarkEnd w:id="323"/>
      <w:bookmarkStart w:id="324" w:name="_Toc184312068"/>
      <w:bookmarkEnd w:id="324"/>
      <w:bookmarkStart w:id="325" w:name="_Toc184312100"/>
      <w:bookmarkEnd w:id="325"/>
      <w:bookmarkStart w:id="326" w:name="_Toc184312129"/>
      <w:bookmarkEnd w:id="326"/>
      <w:bookmarkStart w:id="327" w:name="_Toc184314463"/>
      <w:bookmarkEnd w:id="327"/>
      <w:bookmarkStart w:id="328" w:name="_Toc184313290"/>
      <w:bookmarkEnd w:id="328"/>
      <w:bookmarkStart w:id="329" w:name="_Toc184308052"/>
      <w:bookmarkEnd w:id="329"/>
      <w:bookmarkStart w:id="330" w:name="_Toc184308102"/>
      <w:bookmarkEnd w:id="330"/>
      <w:bookmarkStart w:id="331" w:name="_Toc184310286"/>
      <w:bookmarkEnd w:id="331"/>
      <w:bookmarkStart w:id="332" w:name="_Toc184313253"/>
      <w:bookmarkEnd w:id="332"/>
      <w:bookmarkStart w:id="333" w:name="_Toc184308037"/>
      <w:bookmarkEnd w:id="333"/>
      <w:bookmarkStart w:id="334" w:name="_Toc184310284"/>
      <w:bookmarkEnd w:id="334"/>
      <w:bookmarkStart w:id="335" w:name="_Toc184314454"/>
      <w:bookmarkEnd w:id="335"/>
      <w:bookmarkStart w:id="336" w:name="_Toc184313271"/>
      <w:bookmarkEnd w:id="336"/>
      <w:bookmarkStart w:id="337" w:name="_Toc184310337"/>
      <w:bookmarkEnd w:id="337"/>
      <w:bookmarkStart w:id="338" w:name="_Toc184310340"/>
      <w:bookmarkEnd w:id="338"/>
      <w:bookmarkStart w:id="339" w:name="_Toc184312087"/>
      <w:bookmarkEnd w:id="339"/>
      <w:bookmarkStart w:id="340" w:name="_Toc184313262"/>
      <w:bookmarkEnd w:id="340"/>
      <w:bookmarkStart w:id="341" w:name="_Toc184313302"/>
      <w:bookmarkEnd w:id="341"/>
      <w:bookmarkStart w:id="342" w:name="_Toc184308082"/>
      <w:bookmarkEnd w:id="342"/>
      <w:bookmarkStart w:id="343" w:name="_Toc184310320"/>
      <w:bookmarkEnd w:id="343"/>
      <w:bookmarkStart w:id="344" w:name="_Toc184308093"/>
      <w:bookmarkEnd w:id="344"/>
      <w:bookmarkStart w:id="345" w:name="_Toc184308062"/>
      <w:bookmarkEnd w:id="345"/>
      <w:bookmarkStart w:id="346" w:name="_Toc184312119"/>
      <w:bookmarkEnd w:id="346"/>
      <w:bookmarkStart w:id="347" w:name="_Toc184314437"/>
      <w:bookmarkEnd w:id="347"/>
      <w:bookmarkStart w:id="348" w:name="_Toc184310321"/>
      <w:bookmarkEnd w:id="348"/>
      <w:bookmarkStart w:id="349" w:name="_Toc184314482"/>
      <w:bookmarkEnd w:id="349"/>
      <w:bookmarkStart w:id="350" w:name="_Toc184308072"/>
      <w:bookmarkEnd w:id="350"/>
      <w:bookmarkStart w:id="351" w:name="_Toc184308050"/>
      <w:bookmarkEnd w:id="351"/>
      <w:bookmarkStart w:id="352" w:name="_Toc184313245"/>
      <w:bookmarkEnd w:id="352"/>
      <w:bookmarkStart w:id="353" w:name="_Toc184312136"/>
      <w:bookmarkEnd w:id="353"/>
      <w:bookmarkStart w:id="354" w:name="_Toc184314417"/>
      <w:bookmarkEnd w:id="354"/>
      <w:bookmarkStart w:id="355" w:name="_Toc184308056"/>
      <w:bookmarkEnd w:id="355"/>
      <w:bookmarkStart w:id="356" w:name="_Toc184308074"/>
      <w:bookmarkEnd w:id="356"/>
      <w:bookmarkStart w:id="357" w:name="_Toc184308036"/>
      <w:bookmarkEnd w:id="357"/>
      <w:bookmarkStart w:id="358" w:name="_Toc184314466"/>
      <w:bookmarkEnd w:id="358"/>
      <w:bookmarkStart w:id="359" w:name="_Toc184313279"/>
      <w:bookmarkEnd w:id="359"/>
      <w:bookmarkStart w:id="360" w:name="_Toc184310299"/>
      <w:bookmarkEnd w:id="360"/>
      <w:bookmarkStart w:id="361" w:name="_Toc184308060"/>
      <w:bookmarkEnd w:id="361"/>
      <w:bookmarkStart w:id="362" w:name="_Toc184310335"/>
      <w:bookmarkEnd w:id="362"/>
      <w:bookmarkStart w:id="363" w:name="_Toc184310313"/>
      <w:bookmarkEnd w:id="363"/>
      <w:bookmarkStart w:id="364" w:name="_Toc184313278"/>
      <w:bookmarkEnd w:id="364"/>
      <w:bookmarkStart w:id="365" w:name="_Toc184310339"/>
      <w:bookmarkEnd w:id="365"/>
      <w:bookmarkStart w:id="366" w:name="_Toc184313240"/>
      <w:bookmarkEnd w:id="366"/>
      <w:bookmarkStart w:id="367" w:name="_Toc184308051"/>
      <w:bookmarkEnd w:id="367"/>
      <w:bookmarkStart w:id="368" w:name="_Toc184310306"/>
      <w:bookmarkEnd w:id="368"/>
      <w:bookmarkStart w:id="369" w:name="_Toc184310294"/>
      <w:bookmarkEnd w:id="369"/>
      <w:bookmarkStart w:id="370" w:name="_Toc184312067"/>
      <w:bookmarkEnd w:id="370"/>
      <w:bookmarkStart w:id="371" w:name="_Toc184308075"/>
      <w:bookmarkEnd w:id="371"/>
      <w:bookmarkStart w:id="372" w:name="_Toc184314472"/>
      <w:bookmarkEnd w:id="372"/>
      <w:bookmarkStart w:id="373" w:name="_Toc184314442"/>
      <w:bookmarkEnd w:id="373"/>
      <w:bookmarkStart w:id="374" w:name="_Toc184314432"/>
      <w:bookmarkEnd w:id="374"/>
      <w:bookmarkStart w:id="375" w:name="_Toc184312111"/>
      <w:bookmarkEnd w:id="375"/>
      <w:bookmarkStart w:id="376" w:name="_Toc184314447"/>
      <w:bookmarkEnd w:id="376"/>
      <w:bookmarkStart w:id="377" w:name="_Toc184312072"/>
      <w:bookmarkEnd w:id="377"/>
      <w:bookmarkStart w:id="378" w:name="_Toc184308047"/>
      <w:bookmarkEnd w:id="378"/>
      <w:bookmarkStart w:id="379" w:name="_Toc184308071"/>
      <w:bookmarkEnd w:id="379"/>
      <w:bookmarkStart w:id="380" w:name="_Toc184312135"/>
      <w:bookmarkEnd w:id="380"/>
      <w:bookmarkStart w:id="381" w:name="_Toc184312115"/>
      <w:bookmarkEnd w:id="381"/>
      <w:bookmarkStart w:id="382" w:name="_Toc184308076"/>
      <w:bookmarkEnd w:id="382"/>
      <w:bookmarkStart w:id="383" w:name="_Toc184308043"/>
      <w:bookmarkEnd w:id="383"/>
      <w:bookmarkStart w:id="384" w:name="_Toc184310327"/>
      <w:bookmarkEnd w:id="384"/>
      <w:bookmarkStart w:id="385" w:name="_Toc184312097"/>
      <w:bookmarkEnd w:id="385"/>
      <w:bookmarkStart w:id="386" w:name="_Toc184314444"/>
      <w:bookmarkEnd w:id="386"/>
      <w:bookmarkStart w:id="387" w:name="_Toc184314453"/>
      <w:bookmarkEnd w:id="387"/>
      <w:bookmarkStart w:id="388" w:name="_Toc184312123"/>
      <w:bookmarkEnd w:id="388"/>
      <w:bookmarkStart w:id="389" w:name="_Toc184312137"/>
      <w:bookmarkEnd w:id="389"/>
      <w:bookmarkStart w:id="390" w:name="_Toc184313261"/>
      <w:bookmarkEnd w:id="390"/>
      <w:bookmarkStart w:id="391" w:name="_Toc184314457"/>
      <w:bookmarkEnd w:id="391"/>
      <w:bookmarkStart w:id="392" w:name="_Toc184308038"/>
      <w:bookmarkEnd w:id="392"/>
      <w:bookmarkStart w:id="393" w:name="_Toc184310342"/>
      <w:bookmarkEnd w:id="393"/>
      <w:bookmarkStart w:id="394" w:name="_Toc184314436"/>
      <w:bookmarkEnd w:id="394"/>
      <w:bookmarkStart w:id="395" w:name="_Toc184308080"/>
      <w:bookmarkEnd w:id="395"/>
      <w:bookmarkStart w:id="396" w:name="_Toc184313273"/>
      <w:bookmarkEnd w:id="396"/>
      <w:bookmarkStart w:id="397" w:name="_Toc184314440"/>
      <w:bookmarkEnd w:id="397"/>
      <w:bookmarkStart w:id="398" w:name="_Toc184312092"/>
      <w:bookmarkEnd w:id="398"/>
      <w:bookmarkStart w:id="399" w:name="_Toc184310281"/>
      <w:bookmarkEnd w:id="399"/>
      <w:bookmarkStart w:id="400" w:name="_Toc184310304"/>
      <w:bookmarkEnd w:id="400"/>
      <w:bookmarkStart w:id="401" w:name="_Toc184308091"/>
      <w:bookmarkEnd w:id="401"/>
      <w:bookmarkStart w:id="402" w:name="_Toc184308040"/>
      <w:bookmarkEnd w:id="402"/>
      <w:bookmarkStart w:id="403" w:name="_Toc184308053"/>
      <w:bookmarkEnd w:id="403"/>
      <w:bookmarkStart w:id="404" w:name="_Toc184313282"/>
      <w:bookmarkEnd w:id="404"/>
      <w:bookmarkStart w:id="405" w:name="_Toc184308063"/>
      <w:bookmarkEnd w:id="405"/>
      <w:r>
        <w:rPr>
          <w:rFonts w:hint="eastAsia" w:ascii="宋体" w:hAnsi="宋体" w:cs="宋体"/>
          <w:b/>
          <w:color w:val="auto"/>
          <w:sz w:val="36"/>
          <w:szCs w:val="36"/>
        </w:rPr>
        <w:t>评标办法</w:t>
      </w:r>
    </w:p>
    <w:p w14:paraId="14FA6035">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14:paraId="1EC93808">
      <w:pPr>
        <w:autoSpaceDE w:val="0"/>
        <w:autoSpaceDN w:val="0"/>
        <w:spacing w:line="360" w:lineRule="auto"/>
        <w:ind w:firstLine="482" w:firstLineChars="200"/>
        <w:rPr>
          <w:rFonts w:ascii="宋体" w:hAnsi="宋体" w:cs="宋体"/>
          <w:color w:val="auto"/>
          <w:sz w:val="24"/>
        </w:rPr>
      </w:pPr>
      <w:r>
        <w:rPr>
          <w:rFonts w:hint="eastAsia" w:ascii="宋体" w:hAnsi="宋体" w:cs="宋体"/>
          <w:b/>
          <w:color w:val="auto"/>
          <w:sz w:val="24"/>
        </w:rPr>
        <w:t>本项目采用</w:t>
      </w:r>
      <w:r>
        <w:rPr>
          <w:rFonts w:hint="eastAsia" w:ascii="宋体" w:hAnsi="宋体" w:cs="宋体"/>
          <w:b/>
          <w:color w:val="auto"/>
          <w:sz w:val="24"/>
          <w:lang w:eastAsia="zh-CN"/>
        </w:rPr>
        <w:t>综合评估法</w:t>
      </w:r>
      <w:r>
        <w:rPr>
          <w:rFonts w:hint="eastAsia" w:ascii="宋体" w:hAnsi="宋体" w:cs="宋体"/>
          <w:color w:val="auto"/>
          <w:sz w:val="24"/>
        </w:rPr>
        <w:t>：</w:t>
      </w:r>
    </w:p>
    <w:p w14:paraId="51AE0AB8">
      <w:p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评标委员会将对各</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w:t>
      </w:r>
      <w:r>
        <w:rPr>
          <w:rFonts w:hint="eastAsia" w:ascii="宋体" w:hAnsi="宋体" w:cs="宋体"/>
          <w:color w:val="auto"/>
          <w:sz w:val="24"/>
        </w:rPr>
        <w:t>报价、</w:t>
      </w:r>
      <w:r>
        <w:rPr>
          <w:rFonts w:hint="eastAsia" w:ascii="宋体" w:hAnsi="宋体" w:cs="宋体"/>
          <w:color w:val="auto"/>
          <w:sz w:val="24"/>
          <w:lang w:eastAsia="zh-CN"/>
        </w:rPr>
        <w:t>供应商</w:t>
      </w:r>
      <w:r>
        <w:rPr>
          <w:rFonts w:hint="eastAsia" w:ascii="宋体" w:hAnsi="宋体" w:cs="宋体"/>
          <w:color w:val="auto"/>
          <w:sz w:val="24"/>
        </w:rPr>
        <w:t>提供的资信与商务部分、技术部分等方面进行综合评审，评标委员会各成员应当独立对每个有效</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响应文件</w:t>
      </w:r>
      <w:r>
        <w:rPr>
          <w:rFonts w:hint="eastAsia" w:ascii="宋体" w:hAnsi="宋体" w:cs="宋体"/>
          <w:color w:val="auto"/>
          <w:sz w:val="24"/>
        </w:rPr>
        <w:t>进行评价、打分。经统计，得出各</w:t>
      </w:r>
      <w:r>
        <w:rPr>
          <w:rFonts w:hint="eastAsia" w:ascii="宋体" w:hAnsi="宋体" w:cs="宋体"/>
          <w:color w:val="auto"/>
          <w:sz w:val="24"/>
          <w:lang w:eastAsia="zh-CN"/>
        </w:rPr>
        <w:t>供应商</w:t>
      </w:r>
      <w:r>
        <w:rPr>
          <w:rFonts w:hint="eastAsia" w:ascii="宋体" w:hAnsi="宋体" w:cs="宋体"/>
          <w:color w:val="auto"/>
          <w:sz w:val="24"/>
        </w:rPr>
        <w:t>的最终评审分,按最终评审分由高到低顺序排列。得分相同的，按响应报价由低到高顺序排列，</w:t>
      </w:r>
      <w:r>
        <w:rPr>
          <w:rFonts w:hint="eastAsia" w:ascii="宋体" w:hAnsi="宋体" w:cs="宋体"/>
          <w:color w:val="auto"/>
          <w:sz w:val="24"/>
          <w:szCs w:val="21"/>
        </w:rPr>
        <w:t>得分且响应报价相同的并列</w:t>
      </w:r>
      <w:r>
        <w:rPr>
          <w:rFonts w:hint="eastAsia" w:ascii="宋体" w:hAnsi="宋体" w:cs="宋体"/>
          <w:color w:val="auto"/>
          <w:sz w:val="24"/>
        </w:rPr>
        <w:t xml:space="preserve">，并形成评标意见。 </w:t>
      </w:r>
    </w:p>
    <w:p w14:paraId="617F8B81">
      <w:pPr>
        <w:spacing w:line="360" w:lineRule="auto"/>
        <w:ind w:left="105" w:leftChars="50" w:firstLine="427" w:firstLineChars="178"/>
        <w:rPr>
          <w:rFonts w:cs="宋体" w:asciiTheme="minorEastAsia" w:hAnsiTheme="minorEastAsia" w:eastAsiaTheme="minorEastAsia"/>
          <w:color w:val="auto"/>
          <w:sz w:val="24"/>
        </w:rPr>
      </w:pPr>
      <w:r>
        <w:rPr>
          <w:rFonts w:hint="eastAsia" w:ascii="宋体" w:hAnsi="宋体" w:cs="宋体"/>
          <w:color w:val="auto"/>
          <w:sz w:val="24"/>
        </w:rPr>
        <w:t>各</w:t>
      </w:r>
      <w:r>
        <w:rPr>
          <w:rFonts w:hint="eastAsia" w:ascii="宋体" w:hAnsi="宋体" w:cs="宋体"/>
          <w:color w:val="auto"/>
          <w:sz w:val="24"/>
          <w:lang w:eastAsia="zh-CN"/>
        </w:rPr>
        <w:t>供应商</w:t>
      </w:r>
      <w:r>
        <w:rPr>
          <w:rFonts w:hint="eastAsia" w:ascii="宋体" w:hAnsi="宋体" w:cs="宋体"/>
          <w:color w:val="auto"/>
          <w:sz w:val="24"/>
        </w:rPr>
        <w:t>的综合得分为：</w:t>
      </w:r>
      <w:r>
        <w:rPr>
          <w:rFonts w:hint="eastAsia" w:ascii="宋体" w:hAnsi="宋体" w:cs="宋体"/>
          <w:color w:val="auto"/>
          <w:sz w:val="24"/>
          <w:lang w:eastAsia="zh-CN"/>
        </w:rPr>
        <w:t>响应</w:t>
      </w:r>
      <w:r>
        <w:rPr>
          <w:rFonts w:hint="eastAsia" w:ascii="宋体" w:hAnsi="宋体" w:cs="宋体"/>
          <w:color w:val="auto"/>
          <w:sz w:val="24"/>
        </w:rPr>
        <w:t>价格得分+</w:t>
      </w:r>
      <w:r>
        <w:rPr>
          <w:rFonts w:hint="eastAsia" w:ascii="宋体" w:hAnsi="宋体" w:cs="宋体"/>
          <w:bCs/>
          <w:color w:val="auto"/>
          <w:sz w:val="24"/>
        </w:rPr>
        <w:t>技术部分</w:t>
      </w:r>
      <w:r>
        <w:rPr>
          <w:rFonts w:hint="eastAsia" w:ascii="宋体" w:hAnsi="宋体" w:cs="宋体"/>
          <w:color w:val="auto"/>
          <w:sz w:val="24"/>
        </w:rPr>
        <w:t>得分+商务</w:t>
      </w:r>
      <w:r>
        <w:rPr>
          <w:rFonts w:hint="eastAsia" w:ascii="宋体" w:hAnsi="宋体" w:cs="宋体"/>
          <w:color w:val="auto"/>
          <w:sz w:val="24"/>
          <w:lang w:val="en-US" w:eastAsia="zh-CN"/>
        </w:rPr>
        <w:t>资信</w:t>
      </w:r>
      <w:r>
        <w:rPr>
          <w:rFonts w:hint="eastAsia" w:ascii="宋体" w:hAnsi="宋体" w:cs="宋体"/>
          <w:color w:val="auto"/>
          <w:sz w:val="24"/>
        </w:rPr>
        <w:t>部分得分之和，总和为</w:t>
      </w:r>
      <w:r>
        <w:rPr>
          <w:rFonts w:hint="eastAsia" w:ascii="宋体" w:hAnsi="宋体" w:cs="宋体"/>
          <w:color w:val="auto"/>
          <w:sz w:val="24"/>
          <w:u w:val="single"/>
        </w:rPr>
        <w:t>100</w:t>
      </w:r>
      <w:r>
        <w:rPr>
          <w:rFonts w:hint="eastAsia" w:ascii="宋体" w:hAnsi="宋体" w:cs="宋体"/>
          <w:color w:val="auto"/>
          <w:sz w:val="24"/>
        </w:rPr>
        <w:t>分，</w:t>
      </w:r>
      <w:r>
        <w:rPr>
          <w:rFonts w:hint="eastAsia" w:cs="宋体" w:asciiTheme="minorEastAsia" w:hAnsiTheme="minorEastAsia" w:eastAsiaTheme="minorEastAsia"/>
          <w:color w:val="auto"/>
          <w:sz w:val="24"/>
        </w:rPr>
        <w:t>各</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的技术和服务方案、</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资信与商务部分得分为：评标委员会各成员评分的算术平均值。各</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的</w:t>
      </w:r>
      <w:r>
        <w:rPr>
          <w:rFonts w:hint="eastAsia" w:cs="宋体" w:asciiTheme="minorEastAsia" w:hAnsiTheme="minorEastAsia" w:eastAsiaTheme="minorEastAsia"/>
          <w:color w:val="auto"/>
          <w:sz w:val="24"/>
          <w:lang w:eastAsia="zh-CN"/>
        </w:rPr>
        <w:t>响应</w:t>
      </w:r>
      <w:r>
        <w:rPr>
          <w:rFonts w:hint="eastAsia" w:cs="宋体" w:asciiTheme="minorEastAsia" w:hAnsiTheme="minorEastAsia" w:eastAsiaTheme="minorEastAsia"/>
          <w:color w:val="auto"/>
          <w:sz w:val="24"/>
        </w:rPr>
        <w:t>价格得分按</w:t>
      </w:r>
      <w:r>
        <w:rPr>
          <w:rFonts w:hint="eastAsia" w:cs="宋体" w:asciiTheme="minorEastAsia" w:hAnsiTheme="minorEastAsia" w:eastAsiaTheme="minorEastAsia"/>
          <w:color w:val="auto"/>
          <w:sz w:val="24"/>
          <w:lang w:eastAsia="zh-CN"/>
        </w:rPr>
        <w:t>响应</w:t>
      </w:r>
      <w:r>
        <w:rPr>
          <w:rFonts w:hint="eastAsia" w:cs="宋体" w:asciiTheme="minorEastAsia" w:hAnsiTheme="minorEastAsia" w:eastAsiaTheme="minorEastAsia"/>
          <w:color w:val="auto"/>
          <w:sz w:val="24"/>
        </w:rPr>
        <w:t>价格评分公式由采购机构计算，评标委员会审核。根据上述评标原则，分值安排如下：</w:t>
      </w:r>
    </w:p>
    <w:p w14:paraId="4BBE0516">
      <w:pPr>
        <w:pStyle w:val="234"/>
        <w:spacing w:line="360" w:lineRule="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商务技术评分表（</w:t>
      </w:r>
      <w:r>
        <w:rPr>
          <w:rFonts w:hint="eastAsia" w:ascii="宋体" w:hAnsi="宋体" w:eastAsia="宋体" w:cs="宋体"/>
          <w:b/>
          <w:bCs/>
          <w:color w:val="auto"/>
          <w:kern w:val="2"/>
          <w:sz w:val="24"/>
          <w:szCs w:val="24"/>
          <w:lang w:val="en-US" w:eastAsia="zh-CN"/>
        </w:rPr>
        <w:t>70</w:t>
      </w:r>
      <w:r>
        <w:rPr>
          <w:rFonts w:hint="eastAsia" w:ascii="宋体" w:hAnsi="宋体" w:eastAsia="宋体" w:cs="宋体"/>
          <w:b/>
          <w:bCs/>
          <w:color w:val="auto"/>
          <w:kern w:val="2"/>
          <w:sz w:val="24"/>
          <w:szCs w:val="24"/>
        </w:rPr>
        <w:t>分）：</w:t>
      </w:r>
    </w:p>
    <w:p w14:paraId="4ECCA54C">
      <w:pPr>
        <w:numPr>
          <w:ilvl w:val="0"/>
          <w:numId w:val="2"/>
        </w:numPr>
        <w:adjustRightInd/>
        <w:spacing w:line="360" w:lineRule="auto"/>
        <w:rPr>
          <w:rFonts w:ascii="宋体" w:hAnsi="宋体" w:cs="宋体"/>
          <w:b/>
          <w:bCs/>
          <w:color w:val="auto"/>
          <w:sz w:val="24"/>
          <w:szCs w:val="24"/>
        </w:rPr>
      </w:pPr>
      <w:r>
        <w:rPr>
          <w:rFonts w:hint="eastAsia" w:ascii="宋体" w:hAnsi="宋体" w:cs="宋体"/>
          <w:b/>
          <w:bCs/>
          <w:color w:val="auto"/>
          <w:sz w:val="24"/>
          <w:szCs w:val="24"/>
        </w:rPr>
        <w:t>商务资信（</w:t>
      </w:r>
      <w:r>
        <w:rPr>
          <w:rFonts w:hint="eastAsia" w:ascii="宋体" w:hAnsi="宋体" w:cs="宋体"/>
          <w:b/>
          <w:bCs/>
          <w:color w:val="auto"/>
          <w:sz w:val="24"/>
          <w:szCs w:val="24"/>
          <w:lang w:val="en-US" w:eastAsia="zh-CN"/>
        </w:rPr>
        <w:t>20</w:t>
      </w:r>
      <w:r>
        <w:rPr>
          <w:rFonts w:hint="eastAsia" w:ascii="宋体" w:hAnsi="宋体" w:cs="宋体"/>
          <w:b/>
          <w:bCs/>
          <w:color w:val="auto"/>
          <w:sz w:val="24"/>
          <w:szCs w:val="24"/>
        </w:rPr>
        <w:t>分）</w:t>
      </w:r>
    </w:p>
    <w:tbl>
      <w:tblPr>
        <w:tblStyle w:val="6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85"/>
        <w:gridCol w:w="1233"/>
        <w:gridCol w:w="4976"/>
        <w:gridCol w:w="993"/>
        <w:gridCol w:w="992"/>
      </w:tblGrid>
      <w:tr w14:paraId="25EA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vAlign w:val="center"/>
          </w:tcPr>
          <w:p w14:paraId="6B1C8CAF">
            <w:pPr>
              <w:widowControl/>
              <w:spacing w:line="360" w:lineRule="exact"/>
              <w:jc w:val="center"/>
              <w:rPr>
                <w:rFonts w:ascii="宋体" w:hAnsi="宋体" w:cs="宋体"/>
                <w:kern w:val="0"/>
                <w:sz w:val="24"/>
                <w:highlight w:val="none"/>
              </w:rPr>
            </w:pPr>
            <w:r>
              <w:rPr>
                <w:rFonts w:hint="eastAsia" w:ascii="宋体" w:hAnsi="宋体" w:cs="宋体"/>
                <w:kern w:val="0"/>
                <w:sz w:val="24"/>
                <w:highlight w:val="none"/>
              </w:rPr>
              <w:t>项目</w:t>
            </w:r>
          </w:p>
        </w:tc>
        <w:tc>
          <w:tcPr>
            <w:tcW w:w="785" w:type="dxa"/>
            <w:vAlign w:val="center"/>
          </w:tcPr>
          <w:p w14:paraId="48B1A631">
            <w:pPr>
              <w:widowControl/>
              <w:spacing w:line="360" w:lineRule="exact"/>
              <w:jc w:val="center"/>
              <w:rPr>
                <w:rFonts w:ascii="宋体" w:hAnsi="宋体" w:cs="宋体"/>
                <w:kern w:val="0"/>
                <w:sz w:val="24"/>
                <w:highlight w:val="none"/>
              </w:rPr>
            </w:pPr>
            <w:r>
              <w:rPr>
                <w:rFonts w:hint="eastAsia" w:ascii="宋体" w:hAnsi="宋体" w:cs="宋体"/>
                <w:kern w:val="0"/>
                <w:sz w:val="24"/>
                <w:highlight w:val="none"/>
              </w:rPr>
              <w:t>序号</w:t>
            </w:r>
          </w:p>
        </w:tc>
        <w:tc>
          <w:tcPr>
            <w:tcW w:w="1233" w:type="dxa"/>
            <w:vAlign w:val="center"/>
          </w:tcPr>
          <w:p w14:paraId="057C4091">
            <w:pPr>
              <w:widowControl/>
              <w:spacing w:line="360" w:lineRule="exact"/>
              <w:jc w:val="center"/>
              <w:rPr>
                <w:rFonts w:ascii="宋体" w:hAnsi="宋体" w:cs="宋体"/>
                <w:kern w:val="0"/>
                <w:sz w:val="24"/>
                <w:highlight w:val="none"/>
              </w:rPr>
            </w:pPr>
            <w:r>
              <w:rPr>
                <w:rFonts w:hint="eastAsia" w:ascii="宋体" w:hAnsi="宋体" w:cs="宋体"/>
                <w:kern w:val="0"/>
                <w:sz w:val="24"/>
                <w:highlight w:val="none"/>
              </w:rPr>
              <w:t>评审</w:t>
            </w:r>
            <w:r>
              <w:rPr>
                <w:rFonts w:ascii="宋体" w:hAnsi="宋体" w:cs="宋体"/>
                <w:kern w:val="0"/>
                <w:sz w:val="24"/>
                <w:highlight w:val="none"/>
              </w:rPr>
              <w:t>内容</w:t>
            </w:r>
          </w:p>
        </w:tc>
        <w:tc>
          <w:tcPr>
            <w:tcW w:w="4976" w:type="dxa"/>
            <w:vAlign w:val="center"/>
          </w:tcPr>
          <w:p w14:paraId="59AC357B">
            <w:pPr>
              <w:widowControl/>
              <w:spacing w:line="360" w:lineRule="exact"/>
              <w:jc w:val="center"/>
              <w:rPr>
                <w:rFonts w:ascii="宋体" w:hAnsi="宋体" w:cs="宋体"/>
                <w:kern w:val="0"/>
                <w:sz w:val="24"/>
                <w:highlight w:val="none"/>
              </w:rPr>
            </w:pPr>
            <w:r>
              <w:rPr>
                <w:rFonts w:hint="eastAsia" w:ascii="宋体" w:hAnsi="宋体" w:cs="宋体"/>
                <w:kern w:val="0"/>
                <w:sz w:val="24"/>
                <w:highlight w:val="none"/>
              </w:rPr>
              <w:t>评分标准</w:t>
            </w:r>
          </w:p>
        </w:tc>
        <w:tc>
          <w:tcPr>
            <w:tcW w:w="993" w:type="dxa"/>
            <w:vAlign w:val="center"/>
          </w:tcPr>
          <w:p w14:paraId="35E87C41">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分值</w:t>
            </w:r>
          </w:p>
          <w:p w14:paraId="38D8B91A">
            <w:pPr>
              <w:widowControl/>
              <w:spacing w:line="360" w:lineRule="exact"/>
              <w:jc w:val="center"/>
              <w:rPr>
                <w:rFonts w:ascii="宋体" w:hAnsi="宋体" w:cs="宋体"/>
                <w:kern w:val="0"/>
                <w:sz w:val="24"/>
                <w:highlight w:val="none"/>
              </w:rPr>
            </w:pPr>
            <w:r>
              <w:rPr>
                <w:rFonts w:hint="eastAsia" w:ascii="宋体" w:hAnsi="宋体" w:cs="宋体"/>
                <w:kern w:val="0"/>
                <w:sz w:val="24"/>
                <w:highlight w:val="none"/>
              </w:rPr>
              <w:t>区间</w:t>
            </w:r>
          </w:p>
        </w:tc>
        <w:tc>
          <w:tcPr>
            <w:tcW w:w="992" w:type="dxa"/>
            <w:vAlign w:val="center"/>
          </w:tcPr>
          <w:p w14:paraId="6F0AED0A">
            <w:pPr>
              <w:widowControl/>
              <w:spacing w:line="360" w:lineRule="exact"/>
              <w:jc w:val="center"/>
              <w:rPr>
                <w:rFonts w:ascii="宋体" w:hAnsi="宋体" w:cs="宋体"/>
                <w:kern w:val="0"/>
                <w:sz w:val="24"/>
                <w:highlight w:val="none"/>
              </w:rPr>
            </w:pPr>
            <w:r>
              <w:rPr>
                <w:rFonts w:hint="eastAsia" w:ascii="宋体" w:hAnsi="宋体" w:cs="宋体"/>
                <w:kern w:val="0"/>
                <w:sz w:val="24"/>
                <w:highlight w:val="none"/>
              </w:rPr>
              <w:t>主/客观分</w:t>
            </w:r>
          </w:p>
        </w:tc>
      </w:tr>
      <w:tr w14:paraId="52A8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68" w:type="dxa"/>
            <w:vMerge w:val="restart"/>
            <w:shd w:val="clear" w:color="auto" w:fill="auto"/>
            <w:vAlign w:val="center"/>
          </w:tcPr>
          <w:p w14:paraId="64C89B51">
            <w:pPr>
              <w:pStyle w:val="24"/>
              <w:ind w:left="0" w:leftChars="0" w:firstLine="0" w:firstLineChars="0"/>
              <w:rPr>
                <w:kern w:val="0"/>
                <w:sz w:val="20"/>
                <w:szCs w:val="22"/>
                <w:highlight w:val="none"/>
              </w:rPr>
            </w:pPr>
            <w:r>
              <w:rPr>
                <w:rFonts w:hint="eastAsia"/>
                <w:highlight w:val="none"/>
              </w:rPr>
              <w:t>商务资信分（</w:t>
            </w:r>
            <w:r>
              <w:rPr>
                <w:highlight w:val="none"/>
              </w:rPr>
              <w:t>20</w:t>
            </w:r>
            <w:r>
              <w:rPr>
                <w:rFonts w:hint="eastAsia"/>
                <w:highlight w:val="none"/>
              </w:rPr>
              <w:t>分）</w:t>
            </w:r>
          </w:p>
        </w:tc>
        <w:tc>
          <w:tcPr>
            <w:tcW w:w="785" w:type="dxa"/>
            <w:shd w:val="clear" w:color="auto" w:fill="auto"/>
            <w:vAlign w:val="center"/>
          </w:tcPr>
          <w:p w14:paraId="02C165CC">
            <w:pPr>
              <w:widowControl/>
              <w:spacing w:line="360" w:lineRule="exact"/>
              <w:jc w:val="center"/>
              <w:rPr>
                <w:rFonts w:ascii="宋体" w:hAnsi="宋体" w:cs="宋体"/>
                <w:kern w:val="0"/>
                <w:sz w:val="24"/>
                <w:highlight w:val="none"/>
              </w:rPr>
            </w:pPr>
            <w:r>
              <w:rPr>
                <w:rFonts w:hint="eastAsia" w:ascii="宋体" w:hAnsi="宋体" w:cs="宋体"/>
                <w:kern w:val="0"/>
                <w:sz w:val="24"/>
                <w:highlight w:val="none"/>
              </w:rPr>
              <w:t>1</w:t>
            </w:r>
          </w:p>
        </w:tc>
        <w:tc>
          <w:tcPr>
            <w:tcW w:w="1233" w:type="dxa"/>
          </w:tcPr>
          <w:p w14:paraId="7FDE74A5">
            <w:pPr>
              <w:pStyle w:val="24"/>
              <w:ind w:left="0" w:leftChars="0" w:firstLine="0" w:firstLineChars="0"/>
              <w:rPr>
                <w:highlight w:val="none"/>
              </w:rPr>
            </w:pPr>
            <w:r>
              <w:rPr>
                <w:rFonts w:hint="eastAsia"/>
                <w:highlight w:val="none"/>
              </w:rPr>
              <w:t>单位</w:t>
            </w:r>
            <w:r>
              <w:rPr>
                <w:highlight w:val="none"/>
              </w:rPr>
              <w:t>内控体系情况</w:t>
            </w:r>
          </w:p>
        </w:tc>
        <w:tc>
          <w:tcPr>
            <w:tcW w:w="4976" w:type="dxa"/>
            <w:shd w:val="clear" w:color="000000" w:fill="auto"/>
            <w:vAlign w:val="center"/>
          </w:tcPr>
          <w:p w14:paraId="76F31A0E">
            <w:pPr>
              <w:pStyle w:val="24"/>
              <w:ind w:left="0" w:leftChars="0" w:firstLine="0" w:firstLineChars="0"/>
              <w:rPr>
                <w:highlight w:val="none"/>
              </w:rPr>
            </w:pPr>
            <w:r>
              <w:rPr>
                <w:rFonts w:hint="eastAsia"/>
                <w:highlight w:val="none"/>
              </w:rPr>
              <w:t>供应商获得质量认证体系、环境管理体系、职业健康安全体系且在有效期内的每项得1分，本项最高得3分（提供证书复印件及“国家认证认可监督管理委员会官网 www.cnca.gov.cn”查询页面截图，否则不得分）</w:t>
            </w:r>
          </w:p>
        </w:tc>
        <w:tc>
          <w:tcPr>
            <w:tcW w:w="993" w:type="dxa"/>
            <w:shd w:val="clear" w:color="000000" w:fill="auto"/>
            <w:vAlign w:val="center"/>
          </w:tcPr>
          <w:p w14:paraId="6698C9AB">
            <w:pPr>
              <w:spacing w:line="360" w:lineRule="exact"/>
              <w:jc w:val="center"/>
              <w:rPr>
                <w:rFonts w:ascii="宋体" w:hAnsi="宋体" w:cs="宋体"/>
                <w:sz w:val="24"/>
                <w:highlight w:val="none"/>
              </w:rPr>
            </w:pPr>
            <w:r>
              <w:rPr>
                <w:rFonts w:hint="eastAsia" w:ascii="宋体" w:hAnsi="宋体" w:cs="宋体"/>
                <w:sz w:val="24"/>
                <w:highlight w:val="none"/>
              </w:rPr>
              <w:t>0-3</w:t>
            </w:r>
          </w:p>
        </w:tc>
        <w:tc>
          <w:tcPr>
            <w:tcW w:w="992" w:type="dxa"/>
            <w:shd w:val="clear" w:color="000000" w:fill="auto"/>
            <w:vAlign w:val="center"/>
          </w:tcPr>
          <w:p w14:paraId="4D86AC30">
            <w:pPr>
              <w:spacing w:line="360" w:lineRule="exact"/>
              <w:jc w:val="center"/>
              <w:rPr>
                <w:rFonts w:ascii="宋体" w:hAnsi="宋体" w:cs="宋体"/>
                <w:sz w:val="24"/>
                <w:highlight w:val="none"/>
              </w:rPr>
            </w:pPr>
            <w:r>
              <w:rPr>
                <w:rFonts w:hint="eastAsia" w:ascii="宋体" w:hAnsi="宋体" w:cs="宋体"/>
                <w:kern w:val="0"/>
                <w:sz w:val="24"/>
                <w:highlight w:val="none"/>
              </w:rPr>
              <w:t>客观分</w:t>
            </w:r>
          </w:p>
        </w:tc>
      </w:tr>
      <w:tr w14:paraId="71A6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68" w:type="dxa"/>
            <w:vMerge w:val="continue"/>
            <w:shd w:val="clear" w:color="auto" w:fill="auto"/>
            <w:vAlign w:val="center"/>
          </w:tcPr>
          <w:p w14:paraId="018CEBFE">
            <w:pPr>
              <w:pStyle w:val="24"/>
              <w:rPr>
                <w:highlight w:val="none"/>
              </w:rPr>
            </w:pPr>
          </w:p>
        </w:tc>
        <w:tc>
          <w:tcPr>
            <w:tcW w:w="785" w:type="dxa"/>
            <w:shd w:val="clear" w:color="auto" w:fill="auto"/>
            <w:vAlign w:val="center"/>
          </w:tcPr>
          <w:p w14:paraId="16059F17">
            <w:pPr>
              <w:widowControl/>
              <w:spacing w:line="360" w:lineRule="exact"/>
              <w:jc w:val="center"/>
              <w:rPr>
                <w:rFonts w:ascii="宋体" w:hAnsi="宋体" w:cs="宋体"/>
                <w:kern w:val="0"/>
                <w:sz w:val="24"/>
                <w:highlight w:val="none"/>
              </w:rPr>
            </w:pPr>
            <w:r>
              <w:rPr>
                <w:rFonts w:ascii="宋体" w:hAnsi="宋体" w:cs="宋体"/>
                <w:kern w:val="0"/>
                <w:sz w:val="24"/>
                <w:highlight w:val="none"/>
              </w:rPr>
              <w:t>2</w:t>
            </w:r>
          </w:p>
        </w:tc>
        <w:tc>
          <w:tcPr>
            <w:tcW w:w="1233" w:type="dxa"/>
          </w:tcPr>
          <w:p w14:paraId="58D08F15">
            <w:pPr>
              <w:pStyle w:val="24"/>
              <w:ind w:left="0" w:leftChars="0" w:firstLine="0" w:firstLineChars="0"/>
              <w:rPr>
                <w:highlight w:val="none"/>
              </w:rPr>
            </w:pPr>
            <w:r>
              <w:rPr>
                <w:rFonts w:hint="eastAsia"/>
                <w:highlight w:val="none"/>
              </w:rPr>
              <w:t>人员</w:t>
            </w:r>
            <w:r>
              <w:rPr>
                <w:highlight w:val="none"/>
              </w:rPr>
              <w:t>情况</w:t>
            </w:r>
            <w:r>
              <w:rPr>
                <w:rFonts w:hint="eastAsia"/>
                <w:highlight w:val="none"/>
              </w:rPr>
              <w:t>（1）</w:t>
            </w:r>
          </w:p>
        </w:tc>
        <w:tc>
          <w:tcPr>
            <w:tcW w:w="4976" w:type="dxa"/>
            <w:shd w:val="clear" w:color="000000" w:fill="auto"/>
            <w:vAlign w:val="center"/>
          </w:tcPr>
          <w:p w14:paraId="73A2A7B1">
            <w:pPr>
              <w:pStyle w:val="24"/>
              <w:ind w:left="0" w:leftChars="0" w:firstLine="0" w:firstLineChars="0"/>
              <w:rPr>
                <w:highlight w:val="none"/>
              </w:rPr>
            </w:pPr>
            <w:r>
              <w:rPr>
                <w:rFonts w:hint="eastAsia"/>
                <w:highlight w:val="none"/>
              </w:rPr>
              <w:t>从业人员情况：供应商单位缴纳社保的从业人员，人数在30人及以上的得3分；20-29人得2分；15-19人得1分</w:t>
            </w:r>
            <w:r>
              <w:rPr>
                <w:rFonts w:hint="eastAsia"/>
                <w:highlight w:val="none"/>
                <w:lang w:eastAsia="zh-CN"/>
              </w:rPr>
              <w:t>；</w:t>
            </w:r>
            <w:r>
              <w:rPr>
                <w:rFonts w:hint="eastAsia"/>
                <w:highlight w:val="none"/>
              </w:rPr>
              <w:t>15人以下不得分（提供合同、本企业为其缴纳的最近连续三个月（至少包含2024年1</w:t>
            </w:r>
            <w:r>
              <w:rPr>
                <w:highlight w:val="none"/>
              </w:rPr>
              <w:t>1</w:t>
            </w:r>
            <w:r>
              <w:rPr>
                <w:rFonts w:hint="eastAsia"/>
                <w:highlight w:val="none"/>
              </w:rPr>
              <w:t>月、12月，2025年1月）以上社保证明材料，社保证明可凭社保部门出具的退休证明及聘用合同替代。）</w:t>
            </w:r>
          </w:p>
        </w:tc>
        <w:tc>
          <w:tcPr>
            <w:tcW w:w="993" w:type="dxa"/>
            <w:shd w:val="clear" w:color="000000" w:fill="auto"/>
            <w:vAlign w:val="center"/>
          </w:tcPr>
          <w:p w14:paraId="36907F23">
            <w:pPr>
              <w:spacing w:line="360" w:lineRule="auto"/>
              <w:jc w:val="center"/>
              <w:rPr>
                <w:rFonts w:ascii="宋体" w:hAnsi="宋体" w:cs="宋体"/>
                <w:sz w:val="24"/>
                <w:highlight w:val="none"/>
              </w:rPr>
            </w:pPr>
            <w:r>
              <w:rPr>
                <w:rFonts w:hint="eastAsia" w:ascii="宋体" w:hAnsi="宋体" w:cs="宋体"/>
                <w:sz w:val="24"/>
                <w:highlight w:val="none"/>
              </w:rPr>
              <w:t>0-3</w:t>
            </w:r>
          </w:p>
        </w:tc>
        <w:tc>
          <w:tcPr>
            <w:tcW w:w="992" w:type="dxa"/>
            <w:shd w:val="clear" w:color="000000" w:fill="auto"/>
            <w:vAlign w:val="center"/>
          </w:tcPr>
          <w:p w14:paraId="33445DE7">
            <w:pPr>
              <w:spacing w:line="360" w:lineRule="exact"/>
              <w:jc w:val="center"/>
              <w:rPr>
                <w:rFonts w:ascii="宋体" w:hAnsi="宋体" w:cs="宋体"/>
                <w:sz w:val="24"/>
                <w:highlight w:val="none"/>
              </w:rPr>
            </w:pPr>
            <w:r>
              <w:rPr>
                <w:rFonts w:hint="eastAsia" w:ascii="宋体" w:hAnsi="宋体" w:cs="宋体"/>
                <w:kern w:val="0"/>
                <w:sz w:val="24"/>
                <w:highlight w:val="none"/>
              </w:rPr>
              <w:t>客观分</w:t>
            </w:r>
          </w:p>
        </w:tc>
      </w:tr>
      <w:tr w14:paraId="6824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68" w:type="dxa"/>
            <w:vMerge w:val="continue"/>
            <w:shd w:val="clear" w:color="auto" w:fill="auto"/>
            <w:vAlign w:val="center"/>
          </w:tcPr>
          <w:p w14:paraId="6DDB1E06">
            <w:pPr>
              <w:pStyle w:val="24"/>
              <w:rPr>
                <w:highlight w:val="none"/>
              </w:rPr>
            </w:pPr>
          </w:p>
        </w:tc>
        <w:tc>
          <w:tcPr>
            <w:tcW w:w="785" w:type="dxa"/>
            <w:shd w:val="clear" w:color="auto" w:fill="auto"/>
            <w:vAlign w:val="center"/>
          </w:tcPr>
          <w:p w14:paraId="7E36EADA">
            <w:pPr>
              <w:widowControl/>
              <w:spacing w:line="360" w:lineRule="exact"/>
              <w:jc w:val="center"/>
              <w:rPr>
                <w:rFonts w:ascii="宋体" w:hAnsi="宋体" w:cs="宋体"/>
                <w:kern w:val="0"/>
                <w:sz w:val="24"/>
                <w:highlight w:val="none"/>
              </w:rPr>
            </w:pPr>
            <w:r>
              <w:rPr>
                <w:rFonts w:hint="eastAsia" w:ascii="宋体" w:hAnsi="宋体" w:cs="宋体"/>
                <w:kern w:val="0"/>
                <w:sz w:val="24"/>
                <w:highlight w:val="none"/>
              </w:rPr>
              <w:t>3</w:t>
            </w:r>
          </w:p>
        </w:tc>
        <w:tc>
          <w:tcPr>
            <w:tcW w:w="1233" w:type="dxa"/>
          </w:tcPr>
          <w:p w14:paraId="5EBD98F8">
            <w:pPr>
              <w:pStyle w:val="24"/>
              <w:ind w:left="0" w:leftChars="0" w:firstLine="0" w:firstLineChars="0"/>
              <w:rPr>
                <w:highlight w:val="none"/>
              </w:rPr>
            </w:pPr>
            <w:r>
              <w:rPr>
                <w:rFonts w:hint="eastAsia"/>
                <w:highlight w:val="none"/>
              </w:rPr>
              <w:t>人员</w:t>
            </w:r>
            <w:r>
              <w:rPr>
                <w:highlight w:val="none"/>
              </w:rPr>
              <w:t>情况</w:t>
            </w:r>
            <w:r>
              <w:rPr>
                <w:rFonts w:hint="eastAsia"/>
                <w:highlight w:val="none"/>
              </w:rPr>
              <w:t>（</w:t>
            </w:r>
            <w:r>
              <w:rPr>
                <w:rFonts w:hint="eastAsia"/>
                <w:highlight w:val="none"/>
                <w:lang w:val="en-US" w:eastAsia="zh-CN"/>
              </w:rPr>
              <w:t>2</w:t>
            </w:r>
            <w:r>
              <w:rPr>
                <w:rFonts w:hint="eastAsia"/>
                <w:highlight w:val="none"/>
              </w:rPr>
              <w:t>）</w:t>
            </w:r>
          </w:p>
        </w:tc>
        <w:tc>
          <w:tcPr>
            <w:tcW w:w="4976" w:type="dxa"/>
            <w:shd w:val="clear" w:color="000000" w:fill="auto"/>
            <w:vAlign w:val="center"/>
          </w:tcPr>
          <w:p w14:paraId="037B8697">
            <w:pPr>
              <w:pStyle w:val="24"/>
              <w:ind w:left="0" w:leftChars="0" w:firstLine="0" w:firstLineChars="0"/>
              <w:rPr>
                <w:highlight w:val="none"/>
              </w:rPr>
            </w:pPr>
            <w:r>
              <w:rPr>
                <w:rFonts w:hint="eastAsia"/>
                <w:highlight w:val="none"/>
              </w:rPr>
              <w:t>（1）拟派项目负责人：</w:t>
            </w:r>
          </w:p>
          <w:p w14:paraId="38B06904">
            <w:pPr>
              <w:pStyle w:val="24"/>
              <w:ind w:left="0" w:leftChars="0" w:firstLine="0" w:firstLineChars="0"/>
              <w:rPr>
                <w:highlight w:val="none"/>
              </w:rPr>
            </w:pPr>
            <w:r>
              <w:rPr>
                <w:rFonts w:hint="eastAsia"/>
                <w:highlight w:val="none"/>
              </w:rPr>
              <w:t>具有中级技术职称的加</w:t>
            </w:r>
            <w:r>
              <w:rPr>
                <w:highlight w:val="none"/>
              </w:rPr>
              <w:t>0.5</w:t>
            </w:r>
            <w:r>
              <w:rPr>
                <w:rFonts w:hint="eastAsia"/>
                <w:highlight w:val="none"/>
              </w:rPr>
              <w:t>分；具有高级及以上技术职称的加</w:t>
            </w:r>
            <w:r>
              <w:rPr>
                <w:highlight w:val="none"/>
              </w:rPr>
              <w:t>1</w:t>
            </w:r>
            <w:r>
              <w:rPr>
                <w:rFonts w:hint="eastAsia"/>
                <w:highlight w:val="none"/>
              </w:rPr>
              <w:t>分；不具备的加0分。若两者同时具备只按高分记取一次。该条满分</w:t>
            </w:r>
            <w:r>
              <w:rPr>
                <w:highlight w:val="none"/>
              </w:rPr>
              <w:t>1</w:t>
            </w:r>
            <w:r>
              <w:rPr>
                <w:rFonts w:hint="eastAsia"/>
                <w:highlight w:val="none"/>
              </w:rPr>
              <w:t>分。</w:t>
            </w:r>
          </w:p>
          <w:p w14:paraId="31DF797E">
            <w:pPr>
              <w:pStyle w:val="24"/>
              <w:ind w:left="0" w:leftChars="0" w:firstLine="0" w:firstLineChars="0"/>
              <w:rPr>
                <w:highlight w:val="none"/>
              </w:rPr>
            </w:pPr>
            <w:r>
              <w:rPr>
                <w:rFonts w:hint="eastAsia"/>
                <w:highlight w:val="none"/>
              </w:rPr>
              <w:t>【本项目拟派项目负责人须提供技术职称证书及本企业为其缴纳的最近连续三个月（至少包含2024年</w:t>
            </w:r>
            <w:r>
              <w:rPr>
                <w:highlight w:val="none"/>
              </w:rPr>
              <w:t>11</w:t>
            </w:r>
            <w:r>
              <w:rPr>
                <w:rFonts w:hint="eastAsia"/>
                <w:highlight w:val="none"/>
              </w:rPr>
              <w:t>月、</w:t>
            </w:r>
            <w:r>
              <w:rPr>
                <w:highlight w:val="none"/>
              </w:rPr>
              <w:t>12</w:t>
            </w:r>
            <w:r>
              <w:rPr>
                <w:rFonts w:hint="eastAsia"/>
                <w:highlight w:val="none"/>
              </w:rPr>
              <w:t>月、2025年1月）以上社保证明材料，若为已退休但仍可执业的，社保证明可凭社保部门出具的退休证明及聘用合同替代，响应文件中可使用扫描件但须同时加盖响应单位印章。】</w:t>
            </w:r>
          </w:p>
          <w:p w14:paraId="3F45B515">
            <w:pPr>
              <w:pStyle w:val="24"/>
              <w:ind w:left="0" w:leftChars="0" w:firstLine="0" w:firstLineChars="0"/>
              <w:rPr>
                <w:highlight w:val="none"/>
              </w:rPr>
            </w:pPr>
            <w:r>
              <w:rPr>
                <w:rFonts w:hint="eastAsia"/>
                <w:highlight w:val="none"/>
              </w:rPr>
              <w:t>（2）响应人服务团队中要求具有省级及以上部门或协会颁发的政府采购培训证书的，每个得</w:t>
            </w:r>
            <w:r>
              <w:rPr>
                <w:highlight w:val="none"/>
              </w:rPr>
              <w:t>0.5</w:t>
            </w:r>
            <w:r>
              <w:rPr>
                <w:rFonts w:hint="eastAsia"/>
                <w:highlight w:val="none"/>
              </w:rPr>
              <w:t>分，本项最高</w:t>
            </w:r>
            <w:r>
              <w:rPr>
                <w:highlight w:val="none"/>
              </w:rPr>
              <w:t>2</w:t>
            </w:r>
            <w:r>
              <w:rPr>
                <w:rFonts w:hint="eastAsia"/>
                <w:highlight w:val="none"/>
              </w:rPr>
              <w:t>分。【以上人员须提供相应培训证书扫描件及本企业为其缴纳的最近连续三个月（至少包含2024年</w:t>
            </w:r>
            <w:r>
              <w:rPr>
                <w:highlight w:val="none"/>
              </w:rPr>
              <w:t>11</w:t>
            </w:r>
            <w:r>
              <w:rPr>
                <w:rFonts w:hint="eastAsia"/>
                <w:highlight w:val="none"/>
              </w:rPr>
              <w:t>月、</w:t>
            </w:r>
            <w:r>
              <w:rPr>
                <w:highlight w:val="none"/>
              </w:rPr>
              <w:t>12</w:t>
            </w:r>
            <w:r>
              <w:rPr>
                <w:rFonts w:hint="eastAsia"/>
                <w:highlight w:val="none"/>
              </w:rPr>
              <w:t>月、2025年1月） 以上社保证明材料，若为已退休人员可提供退休证明及返聘合同。（附相关人员证书扫描件）该条满分</w:t>
            </w:r>
            <w:r>
              <w:rPr>
                <w:highlight w:val="none"/>
              </w:rPr>
              <w:t>1</w:t>
            </w:r>
            <w:r>
              <w:rPr>
                <w:rFonts w:hint="eastAsia"/>
                <w:highlight w:val="none"/>
              </w:rPr>
              <w:t>分。】</w:t>
            </w:r>
          </w:p>
        </w:tc>
        <w:tc>
          <w:tcPr>
            <w:tcW w:w="993" w:type="dxa"/>
            <w:shd w:val="clear" w:color="000000" w:fill="auto"/>
            <w:vAlign w:val="center"/>
          </w:tcPr>
          <w:p w14:paraId="02C32AB1">
            <w:pPr>
              <w:widowControl/>
              <w:adjustRightInd/>
              <w:spacing w:line="360" w:lineRule="auto"/>
              <w:jc w:val="center"/>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3</w:t>
            </w:r>
          </w:p>
        </w:tc>
        <w:tc>
          <w:tcPr>
            <w:tcW w:w="992" w:type="dxa"/>
            <w:shd w:val="clear" w:color="000000" w:fill="auto"/>
            <w:vAlign w:val="center"/>
          </w:tcPr>
          <w:p w14:paraId="32C50695">
            <w:pPr>
              <w:spacing w:line="360" w:lineRule="exact"/>
              <w:jc w:val="center"/>
              <w:rPr>
                <w:rFonts w:ascii="宋体" w:hAnsi="宋体" w:cs="宋体"/>
                <w:sz w:val="24"/>
                <w:highlight w:val="none"/>
              </w:rPr>
            </w:pPr>
            <w:r>
              <w:rPr>
                <w:rFonts w:hint="eastAsia" w:ascii="宋体" w:hAnsi="宋体" w:cs="宋体"/>
                <w:kern w:val="0"/>
                <w:sz w:val="24"/>
                <w:highlight w:val="none"/>
              </w:rPr>
              <w:t>客观分</w:t>
            </w:r>
          </w:p>
        </w:tc>
      </w:tr>
      <w:tr w14:paraId="7EFE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68" w:type="dxa"/>
            <w:vMerge w:val="continue"/>
            <w:vAlign w:val="center"/>
          </w:tcPr>
          <w:p w14:paraId="1ED4F2CD">
            <w:pPr>
              <w:widowControl/>
              <w:spacing w:line="360" w:lineRule="exact"/>
              <w:jc w:val="left"/>
              <w:rPr>
                <w:rFonts w:ascii="宋体" w:hAnsi="宋体" w:cs="宋体"/>
                <w:kern w:val="0"/>
                <w:sz w:val="20"/>
                <w:szCs w:val="22"/>
                <w:highlight w:val="none"/>
              </w:rPr>
            </w:pPr>
          </w:p>
        </w:tc>
        <w:tc>
          <w:tcPr>
            <w:tcW w:w="785" w:type="dxa"/>
            <w:vAlign w:val="center"/>
          </w:tcPr>
          <w:p w14:paraId="060C7257">
            <w:pPr>
              <w:widowControl/>
              <w:spacing w:line="360" w:lineRule="exact"/>
              <w:jc w:val="center"/>
              <w:rPr>
                <w:rFonts w:ascii="宋体" w:hAnsi="宋体" w:cs="宋体"/>
                <w:kern w:val="0"/>
                <w:sz w:val="24"/>
                <w:highlight w:val="none"/>
              </w:rPr>
            </w:pPr>
            <w:r>
              <w:rPr>
                <w:rFonts w:ascii="宋体" w:hAnsi="宋体" w:cs="宋体"/>
                <w:kern w:val="0"/>
                <w:sz w:val="24"/>
                <w:highlight w:val="none"/>
              </w:rPr>
              <w:t>4</w:t>
            </w:r>
          </w:p>
        </w:tc>
        <w:tc>
          <w:tcPr>
            <w:tcW w:w="1233" w:type="dxa"/>
          </w:tcPr>
          <w:p w14:paraId="5E742020">
            <w:pPr>
              <w:pStyle w:val="24"/>
              <w:ind w:left="0" w:leftChars="0" w:firstLine="0" w:firstLineChars="0"/>
              <w:rPr>
                <w:highlight w:val="none"/>
              </w:rPr>
            </w:pPr>
            <w:r>
              <w:rPr>
                <w:rFonts w:hint="eastAsia"/>
                <w:highlight w:val="none"/>
              </w:rPr>
              <w:t>业绩</w:t>
            </w:r>
          </w:p>
        </w:tc>
        <w:tc>
          <w:tcPr>
            <w:tcW w:w="4976" w:type="dxa"/>
            <w:vAlign w:val="center"/>
          </w:tcPr>
          <w:p w14:paraId="36243C3F">
            <w:pPr>
              <w:pStyle w:val="24"/>
              <w:widowControl/>
              <w:spacing w:line="360" w:lineRule="exact"/>
              <w:ind w:firstLine="0" w:firstLine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2022年1月1日以来响应单位完成过政府采购或国企采购项目代理业绩（该条满分9分）：</w:t>
            </w:r>
          </w:p>
          <w:p w14:paraId="30A20434">
            <w:pPr>
              <w:pStyle w:val="24"/>
              <w:widowControl/>
              <w:spacing w:line="360" w:lineRule="exact"/>
              <w:ind w:firstLine="0" w:firstLine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①中标（成交）金额在100万元（含）-200万元（不含）的采购项目，每个得0.5分，最高得2分；</w:t>
            </w:r>
          </w:p>
          <w:p w14:paraId="3EE49191">
            <w:pPr>
              <w:pStyle w:val="24"/>
              <w:widowControl/>
              <w:spacing w:line="360" w:lineRule="exact"/>
              <w:ind w:firstLine="0" w:firstLine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②中标（成交）金额在200万元（含）-500万元（不含）的采购项目，每个得1分，最高得2分；</w:t>
            </w:r>
          </w:p>
          <w:p w14:paraId="6709FBCF">
            <w:pPr>
              <w:pStyle w:val="24"/>
              <w:widowControl/>
              <w:spacing w:line="360" w:lineRule="exact"/>
              <w:ind w:firstLine="0" w:firstLine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③中标（成交）金额在500万元（含）-1000万元（不含）的采购项目，每个得1.5分，最高得3分；</w:t>
            </w:r>
          </w:p>
          <w:p w14:paraId="3A03486A">
            <w:pPr>
              <w:pStyle w:val="24"/>
              <w:widowControl/>
              <w:spacing w:line="360" w:lineRule="exact"/>
              <w:ind w:firstLine="0" w:firstLine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④中标（成交）金额在1000万元及以上的采购项目，每个得2分，最高得2分；</w:t>
            </w:r>
          </w:p>
          <w:p w14:paraId="033B32B2">
            <w:pPr>
              <w:pStyle w:val="24"/>
              <w:ind w:left="0" w:leftChars="0" w:firstLine="0" w:firstLineChars="0"/>
              <w:rPr>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Times New Roman"/>
                <w:color w:val="auto"/>
                <w:szCs w:val="21"/>
                <w:highlight w:val="none"/>
                <w:lang w:val="en-US" w:eastAsia="zh-CN"/>
              </w:rPr>
              <w:t>须提供相应项目的中标（成交）通知书及代理合同扫描件，时间以中标（成交）通知书为准，两者缺一不可否则不得分，同一业绩只计取一次分数，可使用超额业绩，高按低计取</w:t>
            </w:r>
            <w:r>
              <w:rPr>
                <w:rFonts w:hint="eastAsia" w:ascii="宋体" w:hAnsi="宋体" w:eastAsia="宋体" w:cs="宋体"/>
                <w:color w:val="auto"/>
                <w:kern w:val="2"/>
                <w:sz w:val="24"/>
                <w:szCs w:val="24"/>
                <w:highlight w:val="none"/>
                <w:lang w:val="en-US" w:eastAsia="zh-CN" w:bidi="ar-SA"/>
              </w:rPr>
              <w:t>】</w:t>
            </w:r>
          </w:p>
        </w:tc>
        <w:tc>
          <w:tcPr>
            <w:tcW w:w="993" w:type="dxa"/>
            <w:vAlign w:val="center"/>
          </w:tcPr>
          <w:p w14:paraId="06B457D5">
            <w:pPr>
              <w:widowControl/>
              <w:adjustRightInd/>
              <w:spacing w:line="360" w:lineRule="auto"/>
              <w:jc w:val="center"/>
              <w:rPr>
                <w:rFonts w:ascii="宋体" w:hAnsi="宋体"/>
                <w:sz w:val="24"/>
                <w:szCs w:val="21"/>
                <w:highlight w:val="none"/>
              </w:rPr>
            </w:pPr>
            <w:r>
              <w:rPr>
                <w:rFonts w:hint="eastAsia" w:ascii="宋体" w:hAnsi="宋体"/>
                <w:sz w:val="24"/>
                <w:szCs w:val="21"/>
                <w:highlight w:val="none"/>
              </w:rPr>
              <w:t>0-</w:t>
            </w:r>
            <w:r>
              <w:rPr>
                <w:rFonts w:ascii="宋体" w:hAnsi="宋体"/>
                <w:sz w:val="24"/>
                <w:szCs w:val="21"/>
                <w:highlight w:val="none"/>
              </w:rPr>
              <w:t>9</w:t>
            </w:r>
          </w:p>
        </w:tc>
        <w:tc>
          <w:tcPr>
            <w:tcW w:w="992" w:type="dxa"/>
            <w:vAlign w:val="center"/>
          </w:tcPr>
          <w:p w14:paraId="7E534618">
            <w:pPr>
              <w:spacing w:line="360" w:lineRule="exact"/>
              <w:jc w:val="center"/>
              <w:rPr>
                <w:rFonts w:ascii="宋体" w:hAnsi="宋体" w:cs="宋体"/>
                <w:sz w:val="24"/>
                <w:highlight w:val="none"/>
              </w:rPr>
            </w:pPr>
            <w:r>
              <w:rPr>
                <w:rFonts w:hint="eastAsia" w:ascii="宋体" w:hAnsi="宋体" w:cs="宋体"/>
                <w:kern w:val="0"/>
                <w:sz w:val="24"/>
                <w:highlight w:val="none"/>
              </w:rPr>
              <w:t>客观分</w:t>
            </w:r>
          </w:p>
        </w:tc>
      </w:tr>
      <w:tr w14:paraId="472D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68" w:type="dxa"/>
            <w:vMerge w:val="continue"/>
            <w:vAlign w:val="center"/>
          </w:tcPr>
          <w:p w14:paraId="17A473A9">
            <w:pPr>
              <w:widowControl/>
              <w:spacing w:line="360" w:lineRule="exact"/>
              <w:jc w:val="left"/>
              <w:rPr>
                <w:rFonts w:ascii="宋体" w:hAnsi="宋体" w:cs="宋体"/>
                <w:kern w:val="0"/>
                <w:sz w:val="20"/>
                <w:szCs w:val="22"/>
                <w:highlight w:val="none"/>
              </w:rPr>
            </w:pPr>
          </w:p>
        </w:tc>
        <w:tc>
          <w:tcPr>
            <w:tcW w:w="785" w:type="dxa"/>
            <w:vAlign w:val="center"/>
          </w:tcPr>
          <w:p w14:paraId="48706D99">
            <w:pPr>
              <w:widowControl/>
              <w:spacing w:line="360" w:lineRule="exact"/>
              <w:jc w:val="center"/>
              <w:rPr>
                <w:rFonts w:ascii="宋体" w:hAnsi="宋体" w:cs="宋体"/>
                <w:kern w:val="0"/>
                <w:sz w:val="24"/>
                <w:highlight w:val="none"/>
              </w:rPr>
            </w:pPr>
            <w:r>
              <w:rPr>
                <w:rFonts w:ascii="宋体" w:hAnsi="宋体" w:cs="宋体"/>
                <w:kern w:val="0"/>
                <w:sz w:val="24"/>
                <w:highlight w:val="none"/>
              </w:rPr>
              <w:t>5</w:t>
            </w:r>
          </w:p>
        </w:tc>
        <w:tc>
          <w:tcPr>
            <w:tcW w:w="1233" w:type="dxa"/>
          </w:tcPr>
          <w:p w14:paraId="109D7712">
            <w:pPr>
              <w:pStyle w:val="24"/>
              <w:ind w:left="0" w:leftChars="0" w:firstLine="0" w:firstLineChars="0"/>
              <w:rPr>
                <w:rFonts w:hint="default" w:eastAsia="宋体"/>
                <w:highlight w:val="none"/>
                <w:lang w:val="en-US" w:eastAsia="zh-CN"/>
              </w:rPr>
            </w:pPr>
            <w:r>
              <w:rPr>
                <w:rFonts w:hint="eastAsia"/>
                <w:highlight w:val="none"/>
                <w:lang w:val="en-US" w:eastAsia="zh-CN"/>
              </w:rPr>
              <w:t>企业情况</w:t>
            </w:r>
          </w:p>
        </w:tc>
        <w:tc>
          <w:tcPr>
            <w:tcW w:w="4976" w:type="dxa"/>
            <w:vAlign w:val="center"/>
          </w:tcPr>
          <w:p w14:paraId="1B4986BE">
            <w:pPr>
              <w:pStyle w:val="24"/>
              <w:ind w:left="0" w:leftChars="0" w:firstLine="0" w:firstLineChars="0"/>
              <w:rPr>
                <w:rFonts w:cs="宋体"/>
                <w:highlight w:val="none"/>
              </w:rPr>
            </w:pPr>
            <w:r>
              <w:rPr>
                <w:rFonts w:hint="eastAsia"/>
                <w:highlight w:val="none"/>
              </w:rPr>
              <w:t>企业注册地在萧山区的或在萧山区设有分支机构的得</w:t>
            </w:r>
            <w:r>
              <w:rPr>
                <w:highlight w:val="none"/>
              </w:rPr>
              <w:t>2</w:t>
            </w:r>
            <w:r>
              <w:rPr>
                <w:rFonts w:hint="eastAsia"/>
                <w:highlight w:val="none"/>
              </w:rPr>
              <w:t>分，企业注册在杭州市范围内的得</w:t>
            </w:r>
            <w:r>
              <w:rPr>
                <w:highlight w:val="none"/>
              </w:rPr>
              <w:t>1</w:t>
            </w:r>
            <w:r>
              <w:rPr>
                <w:rFonts w:hint="eastAsia"/>
                <w:highlight w:val="none"/>
              </w:rPr>
              <w:t>分，企业</w:t>
            </w:r>
            <w:r>
              <w:rPr>
                <w:highlight w:val="none"/>
              </w:rPr>
              <w:t>注册在</w:t>
            </w:r>
            <w:r>
              <w:rPr>
                <w:rFonts w:hint="eastAsia"/>
                <w:highlight w:val="none"/>
              </w:rPr>
              <w:t>其他</w:t>
            </w:r>
            <w:r>
              <w:rPr>
                <w:highlight w:val="none"/>
              </w:rPr>
              <w:t>地区的</w:t>
            </w:r>
            <w:r>
              <w:rPr>
                <w:rFonts w:hint="eastAsia"/>
                <w:highlight w:val="none"/>
              </w:rPr>
              <w:t>得</w:t>
            </w:r>
            <w:r>
              <w:rPr>
                <w:highlight w:val="none"/>
              </w:rPr>
              <w:t>0.5</w:t>
            </w:r>
            <w:r>
              <w:rPr>
                <w:rFonts w:hint="eastAsia"/>
                <w:highlight w:val="none"/>
              </w:rPr>
              <w:t>分。（该条满分</w:t>
            </w:r>
            <w:r>
              <w:rPr>
                <w:highlight w:val="none"/>
              </w:rPr>
              <w:t>2</w:t>
            </w:r>
            <w:r>
              <w:rPr>
                <w:rFonts w:hint="eastAsia"/>
                <w:highlight w:val="none"/>
              </w:rPr>
              <w:t>分）（附企业法人营业执照，如分支机构应另加分支机构营业执照复印件加盖公章）</w:t>
            </w:r>
          </w:p>
        </w:tc>
        <w:tc>
          <w:tcPr>
            <w:tcW w:w="993" w:type="dxa"/>
            <w:vAlign w:val="center"/>
          </w:tcPr>
          <w:p w14:paraId="77AA5403">
            <w:pPr>
              <w:spacing w:line="360" w:lineRule="exact"/>
              <w:jc w:val="center"/>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-2</w:t>
            </w:r>
          </w:p>
        </w:tc>
        <w:tc>
          <w:tcPr>
            <w:tcW w:w="992" w:type="dxa"/>
            <w:vAlign w:val="center"/>
          </w:tcPr>
          <w:p w14:paraId="364CAE8C">
            <w:pPr>
              <w:spacing w:line="360" w:lineRule="exact"/>
              <w:jc w:val="center"/>
              <w:rPr>
                <w:rFonts w:ascii="宋体" w:hAnsi="宋体" w:cs="宋体"/>
                <w:sz w:val="24"/>
                <w:highlight w:val="none"/>
              </w:rPr>
            </w:pPr>
            <w:r>
              <w:rPr>
                <w:rFonts w:hint="eastAsia" w:ascii="宋体" w:hAnsi="宋体" w:cs="宋体"/>
                <w:kern w:val="0"/>
                <w:sz w:val="24"/>
                <w:highlight w:val="none"/>
              </w:rPr>
              <w:t>客观分</w:t>
            </w:r>
          </w:p>
        </w:tc>
      </w:tr>
    </w:tbl>
    <w:p w14:paraId="07749E69">
      <w:pPr>
        <w:widowControl/>
        <w:jc w:val="left"/>
        <w:rPr>
          <w:rFonts w:ascii="宋体" w:hAnsi="宋体" w:cs="宋体"/>
          <w:b/>
          <w:bCs/>
          <w:color w:val="auto"/>
          <w:sz w:val="24"/>
        </w:rPr>
      </w:pPr>
      <w:r>
        <w:rPr>
          <w:rFonts w:hint="eastAsia" w:ascii="宋体" w:hAnsi="宋体" w:cs="宋体"/>
          <w:b/>
          <w:bCs/>
          <w:color w:val="auto"/>
          <w:sz w:val="24"/>
        </w:rPr>
        <w:t>2、技术部分（</w:t>
      </w:r>
      <w:r>
        <w:rPr>
          <w:rFonts w:hint="eastAsia" w:ascii="宋体" w:hAnsi="宋体" w:cs="宋体"/>
          <w:b/>
          <w:bCs/>
          <w:color w:val="auto"/>
          <w:sz w:val="24"/>
          <w:lang w:val="en-US" w:eastAsia="zh-CN"/>
        </w:rPr>
        <w:t>50</w:t>
      </w:r>
      <w:r>
        <w:rPr>
          <w:rFonts w:hint="eastAsia" w:ascii="宋体" w:hAnsi="宋体" w:cs="宋体"/>
          <w:b/>
          <w:bCs/>
          <w:color w:val="auto"/>
          <w:sz w:val="24"/>
        </w:rPr>
        <w:t>分）</w:t>
      </w:r>
    </w:p>
    <w:tbl>
      <w:tblPr>
        <w:tblStyle w:val="6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06"/>
        <w:gridCol w:w="1252"/>
        <w:gridCol w:w="5013"/>
        <w:gridCol w:w="1067"/>
        <w:gridCol w:w="1168"/>
      </w:tblGrid>
      <w:tr w14:paraId="6752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45439ABE">
            <w:pPr>
              <w:spacing w:line="288" w:lineRule="auto"/>
              <w:jc w:val="center"/>
              <w:rPr>
                <w:rFonts w:ascii="宋体" w:hAnsi="宋体" w:cs="宋体"/>
                <w:sz w:val="24"/>
              </w:rPr>
            </w:pPr>
            <w:r>
              <w:rPr>
                <w:rFonts w:hint="eastAsia" w:ascii="宋体" w:hAnsi="宋体" w:cs="宋体"/>
                <w:sz w:val="24"/>
              </w:rPr>
              <w:t>项目</w:t>
            </w:r>
          </w:p>
        </w:tc>
        <w:tc>
          <w:tcPr>
            <w:tcW w:w="706" w:type="dxa"/>
            <w:vAlign w:val="center"/>
          </w:tcPr>
          <w:p w14:paraId="2D9B28C0">
            <w:pPr>
              <w:spacing w:line="288" w:lineRule="auto"/>
              <w:jc w:val="center"/>
              <w:rPr>
                <w:rFonts w:ascii="宋体" w:hAnsi="宋体" w:cs="宋体"/>
                <w:sz w:val="24"/>
              </w:rPr>
            </w:pPr>
            <w:r>
              <w:rPr>
                <w:rFonts w:hint="eastAsia" w:ascii="宋体" w:hAnsi="宋体" w:cs="宋体"/>
                <w:sz w:val="24"/>
              </w:rPr>
              <w:t>序号</w:t>
            </w:r>
          </w:p>
        </w:tc>
        <w:tc>
          <w:tcPr>
            <w:tcW w:w="1252" w:type="dxa"/>
            <w:vAlign w:val="center"/>
          </w:tcPr>
          <w:p w14:paraId="4BD5FAC5">
            <w:pPr>
              <w:spacing w:line="288" w:lineRule="auto"/>
              <w:jc w:val="center"/>
              <w:rPr>
                <w:rFonts w:ascii="宋体" w:hAnsi="宋体" w:cs="宋体"/>
                <w:sz w:val="24"/>
              </w:rPr>
            </w:pPr>
            <w:r>
              <w:rPr>
                <w:rFonts w:hint="eastAsia" w:ascii="宋体" w:hAnsi="宋体" w:cs="宋体"/>
                <w:sz w:val="24"/>
              </w:rPr>
              <w:t>评审内容</w:t>
            </w:r>
          </w:p>
        </w:tc>
        <w:tc>
          <w:tcPr>
            <w:tcW w:w="5013" w:type="dxa"/>
            <w:vAlign w:val="center"/>
          </w:tcPr>
          <w:p w14:paraId="498BDDE2">
            <w:pPr>
              <w:spacing w:line="288" w:lineRule="auto"/>
              <w:jc w:val="center"/>
              <w:rPr>
                <w:rFonts w:ascii="宋体" w:hAnsi="宋体" w:cs="宋体"/>
                <w:sz w:val="24"/>
              </w:rPr>
            </w:pPr>
            <w:r>
              <w:rPr>
                <w:rFonts w:hint="eastAsia" w:ascii="宋体" w:hAnsi="宋体" w:cs="宋体"/>
                <w:sz w:val="24"/>
              </w:rPr>
              <w:t>评分标准</w:t>
            </w:r>
          </w:p>
        </w:tc>
        <w:tc>
          <w:tcPr>
            <w:tcW w:w="1067" w:type="dxa"/>
            <w:vAlign w:val="center"/>
          </w:tcPr>
          <w:p w14:paraId="5A2066D3">
            <w:pPr>
              <w:spacing w:line="288" w:lineRule="auto"/>
              <w:jc w:val="center"/>
              <w:rPr>
                <w:rFonts w:ascii="宋体" w:hAnsi="宋体" w:cs="宋体"/>
                <w:sz w:val="24"/>
              </w:rPr>
            </w:pPr>
            <w:r>
              <w:rPr>
                <w:rFonts w:hint="eastAsia" w:ascii="宋体" w:hAnsi="宋体" w:cs="宋体"/>
                <w:sz w:val="24"/>
              </w:rPr>
              <w:t>权重</w:t>
            </w:r>
          </w:p>
        </w:tc>
        <w:tc>
          <w:tcPr>
            <w:tcW w:w="1168" w:type="dxa"/>
            <w:vAlign w:val="center"/>
          </w:tcPr>
          <w:p w14:paraId="0684499E">
            <w:pPr>
              <w:spacing w:line="288" w:lineRule="auto"/>
              <w:jc w:val="center"/>
              <w:rPr>
                <w:rFonts w:ascii="宋体" w:hAnsi="宋体" w:cs="宋体"/>
                <w:sz w:val="24"/>
              </w:rPr>
            </w:pPr>
            <w:r>
              <w:rPr>
                <w:rFonts w:hint="eastAsia" w:ascii="宋体" w:hAnsi="宋体" w:cs="宋体"/>
                <w:sz w:val="24"/>
              </w:rPr>
              <w:t>主观/客观分</w:t>
            </w:r>
          </w:p>
        </w:tc>
      </w:tr>
      <w:tr w14:paraId="45C7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4" w:type="dxa"/>
            <w:vMerge w:val="restart"/>
            <w:vAlign w:val="center"/>
          </w:tcPr>
          <w:p w14:paraId="73686CFA">
            <w:pPr>
              <w:autoSpaceDE w:val="0"/>
              <w:autoSpaceDN w:val="0"/>
              <w:spacing w:line="288" w:lineRule="auto"/>
              <w:jc w:val="center"/>
              <w:rPr>
                <w:rFonts w:ascii="宋体" w:hAnsi="宋体" w:cs="宋体"/>
                <w:sz w:val="24"/>
              </w:rPr>
            </w:pPr>
            <w:r>
              <w:rPr>
                <w:rFonts w:hint="eastAsia" w:ascii="宋体" w:hAnsi="宋体" w:cs="宋体"/>
                <w:sz w:val="24"/>
              </w:rPr>
              <w:t>技术</w:t>
            </w:r>
            <w:r>
              <w:rPr>
                <w:rFonts w:hint="eastAsia" w:ascii="宋体" w:hAnsi="宋体" w:cs="宋体"/>
                <w:b w:val="0"/>
                <w:bCs w:val="0"/>
                <w:sz w:val="24"/>
              </w:rPr>
              <w:t>分</w:t>
            </w:r>
            <w:r>
              <w:rPr>
                <w:rFonts w:hint="eastAsia" w:ascii="宋体" w:hAnsi="宋体" w:cs="宋体"/>
                <w:b w:val="0"/>
                <w:bCs w:val="0"/>
                <w:color w:val="auto"/>
                <w:sz w:val="24"/>
              </w:rPr>
              <w:t>（</w:t>
            </w:r>
            <w:r>
              <w:rPr>
                <w:rFonts w:hint="eastAsia" w:ascii="宋体" w:hAnsi="宋体" w:cs="宋体"/>
                <w:b w:val="0"/>
                <w:bCs w:val="0"/>
                <w:color w:val="auto"/>
                <w:sz w:val="24"/>
                <w:lang w:val="en-US" w:eastAsia="zh-CN"/>
              </w:rPr>
              <w:t>50</w:t>
            </w:r>
            <w:r>
              <w:rPr>
                <w:rFonts w:hint="eastAsia" w:ascii="宋体" w:hAnsi="宋体" w:cs="宋体"/>
                <w:b w:val="0"/>
                <w:bCs w:val="0"/>
                <w:color w:val="auto"/>
                <w:sz w:val="24"/>
              </w:rPr>
              <w:t>分）</w:t>
            </w:r>
          </w:p>
        </w:tc>
        <w:tc>
          <w:tcPr>
            <w:tcW w:w="706" w:type="dxa"/>
            <w:vMerge w:val="restart"/>
            <w:vAlign w:val="center"/>
          </w:tcPr>
          <w:p w14:paraId="6D14BF18">
            <w:pPr>
              <w:autoSpaceDE w:val="0"/>
              <w:autoSpaceDN w:val="0"/>
              <w:spacing w:line="288" w:lineRule="auto"/>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1252" w:type="dxa"/>
            <w:vMerge w:val="restart"/>
            <w:vAlign w:val="center"/>
          </w:tcPr>
          <w:p w14:paraId="4FBE88AB">
            <w:pPr>
              <w:widowControl/>
              <w:autoSpaceDE w:val="0"/>
              <w:autoSpaceDN w:val="0"/>
              <w:spacing w:line="288" w:lineRule="auto"/>
              <w:jc w:val="center"/>
              <w:textAlignment w:val="baseline"/>
              <w:rPr>
                <w:rFonts w:ascii="宋体" w:hAnsi="宋体" w:cs="宋体"/>
                <w:sz w:val="24"/>
              </w:rPr>
            </w:pPr>
            <w:r>
              <w:rPr>
                <w:rFonts w:hint="eastAsia" w:ascii="宋体" w:hAnsi="宋体"/>
                <w:sz w:val="24"/>
              </w:rPr>
              <w:t>工作实施总体方案</w:t>
            </w:r>
          </w:p>
        </w:tc>
        <w:tc>
          <w:tcPr>
            <w:tcW w:w="5013" w:type="dxa"/>
            <w:vAlign w:val="center"/>
          </w:tcPr>
          <w:p w14:paraId="6E9D0323">
            <w:pPr>
              <w:pStyle w:val="24"/>
              <w:ind w:left="0" w:leftChars="0" w:firstLine="0" w:firstLineChars="0"/>
            </w:pPr>
            <w:r>
              <w:rPr>
                <w:rFonts w:hint="eastAsia"/>
              </w:rPr>
              <w:t>实施方案可行性、针对性。内容完整且与项目匹配度好的得</w:t>
            </w:r>
            <w:r>
              <w:t>6</w:t>
            </w:r>
            <w:r>
              <w:rPr>
                <w:rFonts w:hint="eastAsia"/>
              </w:rPr>
              <w:t>分；内容基本完整且与项目匹配度较好的得</w:t>
            </w:r>
            <w:r>
              <w:t>4</w:t>
            </w:r>
            <w:r>
              <w:rPr>
                <w:rFonts w:hint="eastAsia"/>
              </w:rPr>
              <w:t>分；内容存在欠缺或与项目匹配度一般的得</w:t>
            </w:r>
            <w:r>
              <w:t>2</w:t>
            </w:r>
            <w:r>
              <w:rPr>
                <w:rFonts w:hint="eastAsia"/>
              </w:rPr>
              <w:t>分；不提供不得分。</w:t>
            </w:r>
          </w:p>
        </w:tc>
        <w:tc>
          <w:tcPr>
            <w:tcW w:w="1067" w:type="dxa"/>
            <w:vAlign w:val="center"/>
          </w:tcPr>
          <w:p w14:paraId="50B787E4">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ascii="宋体" w:hAnsi="宋体" w:cs="宋体"/>
                <w:sz w:val="24"/>
              </w:rPr>
              <w:t>6</w:t>
            </w:r>
          </w:p>
        </w:tc>
        <w:tc>
          <w:tcPr>
            <w:tcW w:w="1168" w:type="dxa"/>
            <w:vAlign w:val="center"/>
          </w:tcPr>
          <w:p w14:paraId="338E3316">
            <w:pPr>
              <w:autoSpaceDE w:val="0"/>
              <w:autoSpaceDN w:val="0"/>
              <w:spacing w:line="288" w:lineRule="auto"/>
              <w:jc w:val="center"/>
              <w:rPr>
                <w:rFonts w:ascii="宋体" w:hAnsi="宋体" w:cs="宋体"/>
                <w:sz w:val="24"/>
              </w:rPr>
            </w:pPr>
            <w:r>
              <w:rPr>
                <w:rFonts w:hint="eastAsia" w:ascii="宋体" w:hAnsi="宋体" w:cs="宋体"/>
                <w:sz w:val="24"/>
              </w:rPr>
              <w:t>主观分</w:t>
            </w:r>
          </w:p>
        </w:tc>
      </w:tr>
      <w:tr w14:paraId="5FD5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4" w:type="dxa"/>
            <w:vMerge w:val="continue"/>
            <w:vAlign w:val="center"/>
          </w:tcPr>
          <w:p w14:paraId="0080EE8B">
            <w:pPr>
              <w:pStyle w:val="2"/>
              <w:snapToGrid/>
              <w:spacing w:line="288" w:lineRule="auto"/>
              <w:ind w:right="-512" w:firstLine="574"/>
              <w:rPr>
                <w:color w:val="auto"/>
                <w:sz w:val="24"/>
                <w:szCs w:val="24"/>
              </w:rPr>
            </w:pPr>
          </w:p>
        </w:tc>
        <w:tc>
          <w:tcPr>
            <w:tcW w:w="706" w:type="dxa"/>
            <w:vMerge w:val="continue"/>
            <w:vAlign w:val="center"/>
          </w:tcPr>
          <w:p w14:paraId="50919EDC">
            <w:pPr>
              <w:pStyle w:val="2"/>
              <w:snapToGrid/>
              <w:spacing w:line="288" w:lineRule="auto"/>
              <w:ind w:right="-512" w:firstLine="574"/>
              <w:rPr>
                <w:color w:val="auto"/>
                <w:sz w:val="24"/>
                <w:szCs w:val="24"/>
              </w:rPr>
            </w:pPr>
          </w:p>
        </w:tc>
        <w:tc>
          <w:tcPr>
            <w:tcW w:w="1252" w:type="dxa"/>
            <w:vMerge w:val="continue"/>
            <w:vAlign w:val="center"/>
          </w:tcPr>
          <w:p w14:paraId="4DEB6791">
            <w:pPr>
              <w:pStyle w:val="2"/>
              <w:snapToGrid/>
              <w:spacing w:line="288" w:lineRule="auto"/>
              <w:ind w:right="-512" w:firstLine="574"/>
              <w:textAlignment w:val="baseline"/>
              <w:rPr>
                <w:color w:val="auto"/>
                <w:sz w:val="24"/>
                <w:szCs w:val="24"/>
              </w:rPr>
            </w:pPr>
          </w:p>
        </w:tc>
        <w:tc>
          <w:tcPr>
            <w:tcW w:w="5013" w:type="dxa"/>
            <w:vAlign w:val="center"/>
          </w:tcPr>
          <w:p w14:paraId="741E6AD3">
            <w:pPr>
              <w:pStyle w:val="24"/>
              <w:ind w:left="0" w:leftChars="0" w:firstLine="0" w:firstLineChars="0"/>
            </w:pPr>
            <w:r>
              <w:rPr>
                <w:rFonts w:hint="eastAsia"/>
              </w:rPr>
              <w:t>项目组成员专业配置是否合理，分工是否明确。内容完整且与项目匹配度好的得6分；内容基本完整且与项目匹配度较好的得4分；内容存在欠缺或与项目匹配度一般的得2分；不提供不得分。</w:t>
            </w:r>
          </w:p>
        </w:tc>
        <w:tc>
          <w:tcPr>
            <w:tcW w:w="1067" w:type="dxa"/>
            <w:vAlign w:val="center"/>
          </w:tcPr>
          <w:p w14:paraId="27D97BB9">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hint="eastAsia" w:ascii="宋体" w:hAnsi="宋体" w:cs="宋体"/>
                <w:sz w:val="24"/>
              </w:rPr>
              <w:t>6</w:t>
            </w:r>
          </w:p>
        </w:tc>
        <w:tc>
          <w:tcPr>
            <w:tcW w:w="1168" w:type="dxa"/>
            <w:vAlign w:val="center"/>
          </w:tcPr>
          <w:p w14:paraId="1038EE54">
            <w:pPr>
              <w:autoSpaceDE w:val="0"/>
              <w:autoSpaceDN w:val="0"/>
              <w:spacing w:line="288" w:lineRule="auto"/>
              <w:jc w:val="center"/>
              <w:rPr>
                <w:rFonts w:ascii="宋体" w:hAnsi="宋体" w:cs="宋体"/>
                <w:sz w:val="24"/>
              </w:rPr>
            </w:pPr>
            <w:r>
              <w:rPr>
                <w:rFonts w:hint="eastAsia" w:ascii="宋体" w:hAnsi="宋体" w:cs="宋体"/>
                <w:sz w:val="24"/>
              </w:rPr>
              <w:t>主观分</w:t>
            </w:r>
          </w:p>
        </w:tc>
      </w:tr>
      <w:tr w14:paraId="415D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4" w:type="dxa"/>
            <w:vMerge w:val="continue"/>
            <w:vAlign w:val="center"/>
          </w:tcPr>
          <w:p w14:paraId="63BD5D2A">
            <w:pPr>
              <w:pStyle w:val="2"/>
              <w:snapToGrid/>
              <w:spacing w:line="288" w:lineRule="auto"/>
              <w:ind w:right="-512" w:firstLine="574"/>
              <w:rPr>
                <w:color w:val="auto"/>
                <w:sz w:val="24"/>
                <w:szCs w:val="24"/>
              </w:rPr>
            </w:pPr>
          </w:p>
        </w:tc>
        <w:tc>
          <w:tcPr>
            <w:tcW w:w="706" w:type="dxa"/>
            <w:vMerge w:val="continue"/>
            <w:vAlign w:val="center"/>
          </w:tcPr>
          <w:p w14:paraId="1A78ACDB">
            <w:pPr>
              <w:pStyle w:val="2"/>
              <w:snapToGrid/>
              <w:spacing w:line="288" w:lineRule="auto"/>
              <w:ind w:right="-512" w:firstLine="574"/>
              <w:rPr>
                <w:color w:val="auto"/>
                <w:sz w:val="24"/>
                <w:szCs w:val="24"/>
              </w:rPr>
            </w:pPr>
          </w:p>
        </w:tc>
        <w:tc>
          <w:tcPr>
            <w:tcW w:w="1252" w:type="dxa"/>
            <w:vMerge w:val="continue"/>
            <w:vAlign w:val="center"/>
          </w:tcPr>
          <w:p w14:paraId="3695A237">
            <w:pPr>
              <w:pStyle w:val="2"/>
              <w:snapToGrid/>
              <w:spacing w:line="288" w:lineRule="auto"/>
              <w:ind w:right="-512" w:firstLine="574"/>
              <w:textAlignment w:val="baseline"/>
              <w:rPr>
                <w:color w:val="auto"/>
                <w:sz w:val="24"/>
                <w:szCs w:val="24"/>
              </w:rPr>
            </w:pPr>
          </w:p>
        </w:tc>
        <w:tc>
          <w:tcPr>
            <w:tcW w:w="5013" w:type="dxa"/>
            <w:vAlign w:val="center"/>
          </w:tcPr>
          <w:p w14:paraId="58A7A45D">
            <w:pPr>
              <w:pStyle w:val="24"/>
              <w:ind w:left="0" w:leftChars="0" w:firstLine="0" w:firstLineChars="0"/>
            </w:pPr>
            <w:r>
              <w:rPr>
                <w:rFonts w:hint="eastAsia"/>
              </w:rPr>
              <w:t>服务过程中可能遇到的问题分析及应对措施。内容完整且与项目匹配度好的得6分；内容基本完整且与项目匹配度较好的得4分；内容存在欠缺或与项目匹配度一般的得2分；不提供不得分。</w:t>
            </w:r>
          </w:p>
        </w:tc>
        <w:tc>
          <w:tcPr>
            <w:tcW w:w="1067" w:type="dxa"/>
            <w:vAlign w:val="center"/>
          </w:tcPr>
          <w:p w14:paraId="012AEB40">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hint="eastAsia" w:ascii="宋体" w:hAnsi="宋体" w:cs="宋体"/>
                <w:sz w:val="24"/>
              </w:rPr>
              <w:t>6</w:t>
            </w:r>
          </w:p>
        </w:tc>
        <w:tc>
          <w:tcPr>
            <w:tcW w:w="1168" w:type="dxa"/>
            <w:vAlign w:val="center"/>
          </w:tcPr>
          <w:p w14:paraId="14B1C82F">
            <w:pPr>
              <w:autoSpaceDE w:val="0"/>
              <w:autoSpaceDN w:val="0"/>
              <w:spacing w:line="288" w:lineRule="auto"/>
              <w:jc w:val="center"/>
              <w:rPr>
                <w:rFonts w:ascii="宋体" w:hAnsi="宋体" w:cs="宋体"/>
                <w:sz w:val="24"/>
              </w:rPr>
            </w:pPr>
            <w:r>
              <w:rPr>
                <w:rFonts w:hint="eastAsia" w:ascii="宋体" w:hAnsi="宋体" w:cs="宋体"/>
                <w:sz w:val="24"/>
              </w:rPr>
              <w:t>主观分</w:t>
            </w:r>
          </w:p>
        </w:tc>
      </w:tr>
      <w:tr w14:paraId="4AE7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4" w:type="dxa"/>
            <w:vMerge w:val="continue"/>
            <w:vAlign w:val="center"/>
          </w:tcPr>
          <w:p w14:paraId="3282BD96">
            <w:pPr>
              <w:pStyle w:val="2"/>
              <w:snapToGrid/>
              <w:spacing w:line="288" w:lineRule="auto"/>
              <w:ind w:right="-512" w:firstLine="574"/>
              <w:rPr>
                <w:color w:val="auto"/>
                <w:sz w:val="24"/>
                <w:szCs w:val="24"/>
              </w:rPr>
            </w:pPr>
          </w:p>
        </w:tc>
        <w:tc>
          <w:tcPr>
            <w:tcW w:w="706" w:type="dxa"/>
            <w:vMerge w:val="continue"/>
            <w:vAlign w:val="center"/>
          </w:tcPr>
          <w:p w14:paraId="4EB514A7">
            <w:pPr>
              <w:pStyle w:val="2"/>
              <w:snapToGrid/>
              <w:spacing w:line="288" w:lineRule="auto"/>
              <w:ind w:right="-512" w:firstLine="574"/>
              <w:rPr>
                <w:color w:val="auto"/>
                <w:sz w:val="24"/>
                <w:szCs w:val="24"/>
              </w:rPr>
            </w:pPr>
          </w:p>
        </w:tc>
        <w:tc>
          <w:tcPr>
            <w:tcW w:w="1252" w:type="dxa"/>
            <w:vMerge w:val="continue"/>
            <w:vAlign w:val="center"/>
          </w:tcPr>
          <w:p w14:paraId="0785CBC6">
            <w:pPr>
              <w:pStyle w:val="2"/>
              <w:snapToGrid/>
              <w:spacing w:line="288" w:lineRule="auto"/>
              <w:ind w:right="-512" w:firstLine="574"/>
              <w:textAlignment w:val="baseline"/>
              <w:rPr>
                <w:color w:val="auto"/>
                <w:sz w:val="24"/>
                <w:szCs w:val="24"/>
              </w:rPr>
            </w:pPr>
          </w:p>
        </w:tc>
        <w:tc>
          <w:tcPr>
            <w:tcW w:w="5013" w:type="dxa"/>
            <w:vAlign w:val="center"/>
          </w:tcPr>
          <w:p w14:paraId="643F12AC">
            <w:pPr>
              <w:pStyle w:val="24"/>
              <w:ind w:left="0" w:leftChars="0" w:firstLine="0" w:firstLineChars="0"/>
            </w:pPr>
            <w:r>
              <w:rPr>
                <w:rFonts w:hint="eastAsia"/>
              </w:rPr>
              <w:t>实施方案中对相关协调管理职能是否明确。内容完整且与项目匹配度好的得6分；内容基本完整且与项目匹配度较好的得4分；内容存在欠缺或与项目匹配度一般的得2分；不提供不得分。</w:t>
            </w:r>
          </w:p>
        </w:tc>
        <w:tc>
          <w:tcPr>
            <w:tcW w:w="1067" w:type="dxa"/>
            <w:vAlign w:val="center"/>
          </w:tcPr>
          <w:p w14:paraId="3468EF33">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hint="eastAsia" w:ascii="宋体" w:hAnsi="宋体" w:cs="宋体"/>
                <w:sz w:val="24"/>
              </w:rPr>
              <w:t>6</w:t>
            </w:r>
          </w:p>
        </w:tc>
        <w:tc>
          <w:tcPr>
            <w:tcW w:w="1168" w:type="dxa"/>
            <w:vAlign w:val="center"/>
          </w:tcPr>
          <w:p w14:paraId="459A22BB">
            <w:pPr>
              <w:autoSpaceDE w:val="0"/>
              <w:autoSpaceDN w:val="0"/>
              <w:spacing w:line="288" w:lineRule="auto"/>
              <w:jc w:val="center"/>
              <w:rPr>
                <w:rFonts w:ascii="宋体" w:hAnsi="宋体" w:cs="宋体"/>
                <w:sz w:val="24"/>
              </w:rPr>
            </w:pPr>
            <w:r>
              <w:rPr>
                <w:rFonts w:hint="eastAsia" w:ascii="宋体" w:hAnsi="宋体" w:cs="宋体"/>
                <w:sz w:val="24"/>
              </w:rPr>
              <w:t>主观分</w:t>
            </w:r>
          </w:p>
        </w:tc>
      </w:tr>
      <w:tr w14:paraId="6216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4" w:type="dxa"/>
            <w:vMerge w:val="continue"/>
            <w:vAlign w:val="center"/>
          </w:tcPr>
          <w:p w14:paraId="53F0F337">
            <w:pPr>
              <w:pStyle w:val="2"/>
              <w:snapToGrid/>
              <w:spacing w:line="288" w:lineRule="auto"/>
              <w:ind w:right="-512" w:firstLine="574"/>
              <w:rPr>
                <w:color w:val="auto"/>
                <w:sz w:val="24"/>
                <w:szCs w:val="24"/>
              </w:rPr>
            </w:pPr>
          </w:p>
        </w:tc>
        <w:tc>
          <w:tcPr>
            <w:tcW w:w="706" w:type="dxa"/>
            <w:vMerge w:val="continue"/>
            <w:vAlign w:val="center"/>
          </w:tcPr>
          <w:p w14:paraId="317DD76C">
            <w:pPr>
              <w:pStyle w:val="2"/>
              <w:snapToGrid/>
              <w:spacing w:line="288" w:lineRule="auto"/>
              <w:ind w:right="-512" w:firstLine="574"/>
              <w:rPr>
                <w:color w:val="auto"/>
                <w:sz w:val="24"/>
                <w:szCs w:val="24"/>
              </w:rPr>
            </w:pPr>
          </w:p>
        </w:tc>
        <w:tc>
          <w:tcPr>
            <w:tcW w:w="1252" w:type="dxa"/>
            <w:vMerge w:val="continue"/>
            <w:vAlign w:val="center"/>
          </w:tcPr>
          <w:p w14:paraId="058A4AAA">
            <w:pPr>
              <w:pStyle w:val="2"/>
              <w:snapToGrid/>
              <w:spacing w:line="288" w:lineRule="auto"/>
              <w:ind w:right="-512" w:firstLine="574"/>
              <w:textAlignment w:val="baseline"/>
              <w:rPr>
                <w:color w:val="auto"/>
                <w:sz w:val="24"/>
                <w:szCs w:val="24"/>
              </w:rPr>
            </w:pPr>
          </w:p>
        </w:tc>
        <w:tc>
          <w:tcPr>
            <w:tcW w:w="5013" w:type="dxa"/>
            <w:vAlign w:val="center"/>
          </w:tcPr>
          <w:p w14:paraId="310DD907">
            <w:pPr>
              <w:pStyle w:val="24"/>
              <w:ind w:left="0" w:leftChars="0" w:firstLine="0" w:firstLineChars="0"/>
            </w:pPr>
            <w:r>
              <w:rPr>
                <w:rFonts w:hint="eastAsia"/>
              </w:rPr>
              <w:t>服务计划是否周密，工作思路是否清晰。内容完整且与项目匹配度好的得6分；内容基本完整且与项目匹配度较好的得4分；内容存在欠缺或与项目匹配度一般的得2分；不提供不得分。</w:t>
            </w:r>
          </w:p>
        </w:tc>
        <w:tc>
          <w:tcPr>
            <w:tcW w:w="1067" w:type="dxa"/>
            <w:vAlign w:val="center"/>
          </w:tcPr>
          <w:p w14:paraId="79CA4DEF">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hint="eastAsia" w:ascii="宋体" w:hAnsi="宋体" w:cs="宋体"/>
                <w:sz w:val="24"/>
              </w:rPr>
              <w:t>6</w:t>
            </w:r>
          </w:p>
        </w:tc>
        <w:tc>
          <w:tcPr>
            <w:tcW w:w="1168" w:type="dxa"/>
            <w:vAlign w:val="center"/>
          </w:tcPr>
          <w:p w14:paraId="286BD3E8">
            <w:pPr>
              <w:autoSpaceDE w:val="0"/>
              <w:autoSpaceDN w:val="0"/>
              <w:spacing w:line="288" w:lineRule="auto"/>
              <w:jc w:val="center"/>
              <w:rPr>
                <w:rFonts w:ascii="宋体" w:hAnsi="宋体" w:cs="宋体"/>
                <w:sz w:val="24"/>
              </w:rPr>
            </w:pPr>
            <w:r>
              <w:rPr>
                <w:rFonts w:hint="eastAsia" w:ascii="宋体" w:hAnsi="宋体" w:cs="宋体"/>
                <w:sz w:val="24"/>
              </w:rPr>
              <w:t>主观分</w:t>
            </w:r>
          </w:p>
        </w:tc>
      </w:tr>
      <w:tr w14:paraId="74EB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4" w:type="dxa"/>
            <w:vMerge w:val="continue"/>
            <w:vAlign w:val="center"/>
          </w:tcPr>
          <w:p w14:paraId="6BC1B7B0">
            <w:pPr>
              <w:autoSpaceDE w:val="0"/>
              <w:autoSpaceDN w:val="0"/>
              <w:spacing w:line="288" w:lineRule="auto"/>
              <w:jc w:val="center"/>
              <w:rPr>
                <w:rFonts w:ascii="宋体" w:hAnsi="宋体" w:cs="宋体"/>
                <w:sz w:val="24"/>
              </w:rPr>
            </w:pPr>
          </w:p>
        </w:tc>
        <w:tc>
          <w:tcPr>
            <w:tcW w:w="706" w:type="dxa"/>
            <w:vMerge w:val="restart"/>
            <w:vAlign w:val="center"/>
          </w:tcPr>
          <w:p w14:paraId="4114A6FB">
            <w:pPr>
              <w:autoSpaceDE w:val="0"/>
              <w:autoSpaceDN w:val="0"/>
              <w:spacing w:line="288"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252" w:type="dxa"/>
            <w:vMerge w:val="restart"/>
            <w:vAlign w:val="center"/>
          </w:tcPr>
          <w:p w14:paraId="4F8789B7">
            <w:pPr>
              <w:widowControl/>
              <w:autoSpaceDE w:val="0"/>
              <w:autoSpaceDN w:val="0"/>
              <w:spacing w:line="288" w:lineRule="auto"/>
              <w:jc w:val="center"/>
              <w:textAlignment w:val="baseline"/>
              <w:rPr>
                <w:rFonts w:ascii="宋体" w:hAnsi="宋体" w:cs="宋体"/>
                <w:sz w:val="24"/>
              </w:rPr>
            </w:pPr>
            <w:r>
              <w:rPr>
                <w:rFonts w:hint="eastAsia" w:ascii="宋体" w:hAnsi="宋体"/>
                <w:sz w:val="24"/>
              </w:rPr>
              <w:t>服务质量保证措施</w:t>
            </w:r>
          </w:p>
        </w:tc>
        <w:tc>
          <w:tcPr>
            <w:tcW w:w="5013" w:type="dxa"/>
            <w:vAlign w:val="center"/>
          </w:tcPr>
          <w:p w14:paraId="12C62852">
            <w:pPr>
              <w:pStyle w:val="24"/>
              <w:ind w:left="0" w:leftChars="0" w:firstLine="0" w:firstLineChars="0"/>
            </w:pPr>
            <w:r>
              <w:rPr>
                <w:rFonts w:hint="eastAsia"/>
              </w:rPr>
              <w:t>内部复核措施是否完善，服务质量相关控制制度是否健全。内容完整且与项目匹配度好的得6分；内容基本完整且与项目匹配度较好的得4分；内容存在欠缺或与项目匹配度一般的得2分；不提供不得分。</w:t>
            </w:r>
          </w:p>
        </w:tc>
        <w:tc>
          <w:tcPr>
            <w:tcW w:w="1067" w:type="dxa"/>
            <w:vAlign w:val="center"/>
          </w:tcPr>
          <w:p w14:paraId="313B9207">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hint="eastAsia" w:ascii="宋体" w:hAnsi="宋体" w:cs="宋体"/>
                <w:sz w:val="24"/>
              </w:rPr>
              <w:t>6</w:t>
            </w:r>
          </w:p>
        </w:tc>
        <w:tc>
          <w:tcPr>
            <w:tcW w:w="1168" w:type="dxa"/>
            <w:vAlign w:val="center"/>
          </w:tcPr>
          <w:p w14:paraId="3D3C4188">
            <w:pPr>
              <w:autoSpaceDE w:val="0"/>
              <w:autoSpaceDN w:val="0"/>
              <w:spacing w:line="288" w:lineRule="auto"/>
              <w:jc w:val="center"/>
              <w:rPr>
                <w:rFonts w:ascii="宋体" w:hAnsi="宋体" w:cs="宋体"/>
                <w:sz w:val="24"/>
              </w:rPr>
            </w:pPr>
            <w:r>
              <w:rPr>
                <w:rFonts w:hint="eastAsia" w:ascii="宋体" w:hAnsi="宋体" w:cs="宋体"/>
                <w:sz w:val="24"/>
              </w:rPr>
              <w:t>主观分</w:t>
            </w:r>
          </w:p>
        </w:tc>
      </w:tr>
      <w:tr w14:paraId="5A6F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4" w:type="dxa"/>
            <w:vMerge w:val="continue"/>
            <w:vAlign w:val="center"/>
          </w:tcPr>
          <w:p w14:paraId="643B153F">
            <w:pPr>
              <w:autoSpaceDE w:val="0"/>
              <w:autoSpaceDN w:val="0"/>
              <w:spacing w:line="288" w:lineRule="auto"/>
              <w:jc w:val="center"/>
              <w:rPr>
                <w:rFonts w:ascii="宋体" w:hAnsi="宋体" w:cs="宋体"/>
                <w:sz w:val="24"/>
              </w:rPr>
            </w:pPr>
          </w:p>
        </w:tc>
        <w:tc>
          <w:tcPr>
            <w:tcW w:w="706" w:type="dxa"/>
            <w:vMerge w:val="continue"/>
            <w:vAlign w:val="center"/>
          </w:tcPr>
          <w:p w14:paraId="5F753627">
            <w:pPr>
              <w:autoSpaceDE w:val="0"/>
              <w:autoSpaceDN w:val="0"/>
              <w:spacing w:line="288" w:lineRule="auto"/>
              <w:jc w:val="center"/>
              <w:rPr>
                <w:rFonts w:ascii="宋体" w:hAnsi="宋体" w:cs="宋体"/>
                <w:sz w:val="24"/>
              </w:rPr>
            </w:pPr>
          </w:p>
        </w:tc>
        <w:tc>
          <w:tcPr>
            <w:tcW w:w="1252" w:type="dxa"/>
            <w:vMerge w:val="continue"/>
            <w:vAlign w:val="center"/>
          </w:tcPr>
          <w:p w14:paraId="5447ADE8">
            <w:pPr>
              <w:widowControl/>
              <w:autoSpaceDE w:val="0"/>
              <w:autoSpaceDN w:val="0"/>
              <w:spacing w:line="288" w:lineRule="auto"/>
              <w:jc w:val="center"/>
              <w:textAlignment w:val="baseline"/>
              <w:rPr>
                <w:rFonts w:ascii="宋体" w:hAnsi="宋体"/>
                <w:sz w:val="24"/>
              </w:rPr>
            </w:pPr>
          </w:p>
        </w:tc>
        <w:tc>
          <w:tcPr>
            <w:tcW w:w="5013" w:type="dxa"/>
            <w:vAlign w:val="center"/>
          </w:tcPr>
          <w:p w14:paraId="5A9D6A1F">
            <w:pPr>
              <w:pStyle w:val="24"/>
              <w:ind w:left="0" w:leftChars="0" w:firstLine="0" w:firstLineChars="0"/>
            </w:pPr>
            <w:r>
              <w:rPr>
                <w:rFonts w:hint="eastAsia"/>
              </w:rPr>
              <w:t>服务质量保证措施。内容完整且与项目匹配度好的得4分；内容基本完整且与项目匹配度较好的得2分；内容存在欠缺或与项目匹配度一般的得1分；不提供不得分。</w:t>
            </w:r>
          </w:p>
        </w:tc>
        <w:tc>
          <w:tcPr>
            <w:tcW w:w="1067" w:type="dxa"/>
            <w:vAlign w:val="center"/>
          </w:tcPr>
          <w:p w14:paraId="210BD03D">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hint="eastAsia" w:ascii="宋体" w:hAnsi="宋体" w:cs="宋体"/>
                <w:sz w:val="24"/>
              </w:rPr>
              <w:t>4</w:t>
            </w:r>
          </w:p>
        </w:tc>
        <w:tc>
          <w:tcPr>
            <w:tcW w:w="1168" w:type="dxa"/>
            <w:vAlign w:val="center"/>
          </w:tcPr>
          <w:p w14:paraId="10E8A8D8">
            <w:pPr>
              <w:autoSpaceDE w:val="0"/>
              <w:autoSpaceDN w:val="0"/>
              <w:spacing w:line="288" w:lineRule="auto"/>
              <w:jc w:val="center"/>
              <w:rPr>
                <w:rFonts w:ascii="宋体" w:hAnsi="宋体" w:cs="宋体"/>
                <w:sz w:val="24"/>
              </w:rPr>
            </w:pPr>
            <w:r>
              <w:rPr>
                <w:rFonts w:hint="eastAsia" w:ascii="宋体" w:hAnsi="宋体" w:cs="宋体"/>
                <w:sz w:val="24"/>
              </w:rPr>
              <w:t>主观分</w:t>
            </w:r>
          </w:p>
        </w:tc>
      </w:tr>
      <w:tr w14:paraId="44A8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4" w:type="dxa"/>
            <w:vMerge w:val="continue"/>
            <w:vAlign w:val="center"/>
          </w:tcPr>
          <w:p w14:paraId="63D220EC">
            <w:pPr>
              <w:autoSpaceDE w:val="0"/>
              <w:autoSpaceDN w:val="0"/>
              <w:spacing w:line="288" w:lineRule="auto"/>
              <w:jc w:val="center"/>
              <w:rPr>
                <w:rFonts w:ascii="宋体" w:hAnsi="宋体" w:cs="宋体"/>
                <w:sz w:val="24"/>
              </w:rPr>
            </w:pPr>
          </w:p>
        </w:tc>
        <w:tc>
          <w:tcPr>
            <w:tcW w:w="706" w:type="dxa"/>
            <w:vMerge w:val="restart"/>
            <w:vAlign w:val="center"/>
          </w:tcPr>
          <w:p w14:paraId="7BAE9BFE">
            <w:pPr>
              <w:autoSpaceDE w:val="0"/>
              <w:autoSpaceDN w:val="0"/>
              <w:spacing w:line="288"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252" w:type="dxa"/>
            <w:vMerge w:val="restart"/>
            <w:vAlign w:val="center"/>
          </w:tcPr>
          <w:p w14:paraId="70934A59">
            <w:pPr>
              <w:widowControl/>
              <w:autoSpaceDE w:val="0"/>
              <w:autoSpaceDN w:val="0"/>
              <w:spacing w:line="288" w:lineRule="auto"/>
              <w:jc w:val="center"/>
              <w:textAlignment w:val="baseline"/>
              <w:rPr>
                <w:rFonts w:ascii="宋体" w:hAnsi="宋体"/>
                <w:sz w:val="24"/>
              </w:rPr>
            </w:pPr>
            <w:r>
              <w:rPr>
                <w:rFonts w:hint="eastAsia" w:ascii="宋体" w:hAnsi="宋体"/>
                <w:sz w:val="24"/>
              </w:rPr>
              <w:t xml:space="preserve">服务进度保证措施 </w:t>
            </w:r>
          </w:p>
        </w:tc>
        <w:tc>
          <w:tcPr>
            <w:tcW w:w="5013" w:type="dxa"/>
            <w:vAlign w:val="center"/>
          </w:tcPr>
          <w:p w14:paraId="3914B22B">
            <w:pPr>
              <w:pStyle w:val="24"/>
              <w:ind w:left="0" w:leftChars="0" w:firstLine="0" w:firstLineChars="0"/>
            </w:pPr>
            <w:r>
              <w:rPr>
                <w:rFonts w:hint="eastAsia"/>
              </w:rPr>
              <w:t>服务时间的控制方法。内容完整且与项目匹配度好的得</w:t>
            </w:r>
            <w:r>
              <w:t>3</w:t>
            </w:r>
            <w:r>
              <w:rPr>
                <w:rFonts w:hint="eastAsia"/>
              </w:rPr>
              <w:t>分；内容基本完整且与项目匹配度较好的得2分；内容存在欠缺或与项目匹配度一般的得1分；不提供不得分。</w:t>
            </w:r>
          </w:p>
        </w:tc>
        <w:tc>
          <w:tcPr>
            <w:tcW w:w="1067" w:type="dxa"/>
            <w:vAlign w:val="center"/>
          </w:tcPr>
          <w:p w14:paraId="0DE6DACA">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ascii="宋体" w:hAnsi="宋体" w:cs="宋体"/>
                <w:sz w:val="24"/>
              </w:rPr>
              <w:t>3</w:t>
            </w:r>
          </w:p>
        </w:tc>
        <w:tc>
          <w:tcPr>
            <w:tcW w:w="1168" w:type="dxa"/>
            <w:vAlign w:val="center"/>
          </w:tcPr>
          <w:p w14:paraId="2CE3FCF8">
            <w:pPr>
              <w:autoSpaceDE w:val="0"/>
              <w:autoSpaceDN w:val="0"/>
              <w:spacing w:line="288" w:lineRule="auto"/>
              <w:jc w:val="center"/>
              <w:rPr>
                <w:rFonts w:ascii="宋体" w:hAnsi="宋体" w:cs="宋体"/>
                <w:sz w:val="24"/>
              </w:rPr>
            </w:pPr>
            <w:r>
              <w:rPr>
                <w:rFonts w:hint="eastAsia" w:ascii="宋体" w:hAnsi="宋体" w:cs="宋体"/>
                <w:sz w:val="24"/>
              </w:rPr>
              <w:t>主观分</w:t>
            </w:r>
          </w:p>
        </w:tc>
      </w:tr>
      <w:tr w14:paraId="6BDF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4" w:type="dxa"/>
            <w:vMerge w:val="continue"/>
            <w:vAlign w:val="center"/>
          </w:tcPr>
          <w:p w14:paraId="23CA95D8">
            <w:pPr>
              <w:autoSpaceDE w:val="0"/>
              <w:autoSpaceDN w:val="0"/>
              <w:spacing w:line="288" w:lineRule="auto"/>
              <w:jc w:val="center"/>
              <w:rPr>
                <w:rFonts w:ascii="宋体" w:hAnsi="宋体" w:cs="宋体"/>
                <w:sz w:val="24"/>
              </w:rPr>
            </w:pPr>
          </w:p>
        </w:tc>
        <w:tc>
          <w:tcPr>
            <w:tcW w:w="706" w:type="dxa"/>
            <w:vMerge w:val="continue"/>
            <w:vAlign w:val="center"/>
          </w:tcPr>
          <w:p w14:paraId="11704535">
            <w:pPr>
              <w:autoSpaceDE w:val="0"/>
              <w:autoSpaceDN w:val="0"/>
              <w:spacing w:line="288" w:lineRule="auto"/>
              <w:jc w:val="center"/>
              <w:rPr>
                <w:rFonts w:ascii="宋体" w:hAnsi="宋体" w:cs="宋体"/>
                <w:sz w:val="24"/>
              </w:rPr>
            </w:pPr>
          </w:p>
        </w:tc>
        <w:tc>
          <w:tcPr>
            <w:tcW w:w="1252" w:type="dxa"/>
            <w:vMerge w:val="continue"/>
            <w:vAlign w:val="center"/>
          </w:tcPr>
          <w:p w14:paraId="6220BD3B">
            <w:pPr>
              <w:widowControl/>
              <w:autoSpaceDE w:val="0"/>
              <w:autoSpaceDN w:val="0"/>
              <w:spacing w:line="288" w:lineRule="auto"/>
              <w:jc w:val="center"/>
              <w:textAlignment w:val="baseline"/>
              <w:rPr>
                <w:rFonts w:ascii="宋体" w:hAnsi="宋体"/>
                <w:sz w:val="24"/>
              </w:rPr>
            </w:pPr>
          </w:p>
        </w:tc>
        <w:tc>
          <w:tcPr>
            <w:tcW w:w="5013" w:type="dxa"/>
            <w:vAlign w:val="center"/>
          </w:tcPr>
          <w:p w14:paraId="1F8985C3">
            <w:pPr>
              <w:pStyle w:val="24"/>
              <w:ind w:left="0" w:leftChars="0" w:firstLine="0" w:firstLineChars="0"/>
            </w:pPr>
            <w:r>
              <w:rPr>
                <w:rFonts w:hint="eastAsia"/>
              </w:rPr>
              <w:t>服务进度的保证措施。内容完整且与项目匹配度好的得</w:t>
            </w:r>
            <w:r>
              <w:t>3</w:t>
            </w:r>
            <w:r>
              <w:rPr>
                <w:rFonts w:hint="eastAsia"/>
              </w:rPr>
              <w:t>分；内容基本完整且与项目匹配度较好的得2分；内容存在欠缺或与项目匹配度一般的得1分；不提供不得分。</w:t>
            </w:r>
          </w:p>
        </w:tc>
        <w:tc>
          <w:tcPr>
            <w:tcW w:w="1067" w:type="dxa"/>
            <w:vAlign w:val="center"/>
          </w:tcPr>
          <w:p w14:paraId="4EB62FB9">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ascii="宋体" w:hAnsi="宋体" w:cs="宋体"/>
                <w:sz w:val="24"/>
              </w:rPr>
              <w:t>3</w:t>
            </w:r>
          </w:p>
        </w:tc>
        <w:tc>
          <w:tcPr>
            <w:tcW w:w="1168" w:type="dxa"/>
            <w:vAlign w:val="center"/>
          </w:tcPr>
          <w:p w14:paraId="52FC1124">
            <w:pPr>
              <w:autoSpaceDE w:val="0"/>
              <w:autoSpaceDN w:val="0"/>
              <w:spacing w:line="288" w:lineRule="auto"/>
              <w:jc w:val="center"/>
              <w:rPr>
                <w:rFonts w:ascii="宋体" w:hAnsi="宋体" w:cs="宋体"/>
                <w:sz w:val="24"/>
              </w:rPr>
            </w:pPr>
            <w:r>
              <w:rPr>
                <w:rFonts w:hint="eastAsia" w:ascii="宋体" w:hAnsi="宋体" w:cs="宋体"/>
                <w:sz w:val="24"/>
              </w:rPr>
              <w:t>主观分</w:t>
            </w:r>
          </w:p>
        </w:tc>
      </w:tr>
      <w:tr w14:paraId="77D6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4" w:type="dxa"/>
            <w:vMerge w:val="continue"/>
            <w:vAlign w:val="center"/>
          </w:tcPr>
          <w:p w14:paraId="29DD76F4">
            <w:pPr>
              <w:autoSpaceDE w:val="0"/>
              <w:autoSpaceDN w:val="0"/>
              <w:spacing w:line="288" w:lineRule="auto"/>
              <w:jc w:val="center"/>
              <w:rPr>
                <w:rFonts w:ascii="宋体" w:hAnsi="宋体" w:cs="宋体"/>
                <w:sz w:val="24"/>
              </w:rPr>
            </w:pPr>
          </w:p>
        </w:tc>
        <w:tc>
          <w:tcPr>
            <w:tcW w:w="706" w:type="dxa"/>
            <w:vAlign w:val="center"/>
          </w:tcPr>
          <w:p w14:paraId="7D79C79C">
            <w:pPr>
              <w:autoSpaceDE w:val="0"/>
              <w:autoSpaceDN w:val="0"/>
              <w:spacing w:line="288"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52" w:type="dxa"/>
            <w:vAlign w:val="center"/>
          </w:tcPr>
          <w:p w14:paraId="3F103211">
            <w:pPr>
              <w:widowControl/>
              <w:autoSpaceDE w:val="0"/>
              <w:autoSpaceDN w:val="0"/>
              <w:spacing w:line="288" w:lineRule="auto"/>
              <w:jc w:val="center"/>
              <w:textAlignment w:val="baseline"/>
              <w:rPr>
                <w:rFonts w:ascii="宋体" w:hAnsi="宋体"/>
                <w:sz w:val="24"/>
              </w:rPr>
            </w:pPr>
            <w:r>
              <w:rPr>
                <w:rFonts w:hint="eastAsia" w:ascii="宋体" w:hAnsi="宋体"/>
                <w:sz w:val="24"/>
              </w:rPr>
              <w:t>廉价自律</w:t>
            </w:r>
          </w:p>
        </w:tc>
        <w:tc>
          <w:tcPr>
            <w:tcW w:w="5013" w:type="dxa"/>
            <w:vAlign w:val="center"/>
          </w:tcPr>
          <w:p w14:paraId="2B9955E3">
            <w:pPr>
              <w:pStyle w:val="24"/>
              <w:ind w:left="0" w:leftChars="0" w:firstLine="0" w:firstLineChars="0"/>
            </w:pPr>
            <w:r>
              <w:rPr>
                <w:rFonts w:hint="eastAsia"/>
              </w:rPr>
              <w:t>职业道德、廉价自律等控制和承诺措施。内容完整且与项目匹配度好的得</w:t>
            </w:r>
            <w:r>
              <w:t>4</w:t>
            </w:r>
            <w:r>
              <w:rPr>
                <w:rFonts w:hint="eastAsia"/>
              </w:rPr>
              <w:t>分；内容基本完整且与项目匹配度较好的得2分；内容存在欠缺或与项目匹配度一般的得1分；不提供不得分。</w:t>
            </w:r>
          </w:p>
        </w:tc>
        <w:tc>
          <w:tcPr>
            <w:tcW w:w="1067" w:type="dxa"/>
            <w:vAlign w:val="center"/>
          </w:tcPr>
          <w:p w14:paraId="6AE0FA09">
            <w:pPr>
              <w:autoSpaceDE w:val="0"/>
              <w:autoSpaceDN w:val="0"/>
              <w:spacing w:line="288" w:lineRule="auto"/>
              <w:jc w:val="center"/>
              <w:rPr>
                <w:rFonts w:ascii="宋体" w:hAnsi="宋体" w:cs="宋体"/>
                <w:sz w:val="24"/>
              </w:rPr>
            </w:pPr>
            <w:r>
              <w:rPr>
                <w:rFonts w:hint="eastAsia" w:ascii="宋体" w:hAnsi="宋体" w:cs="宋体"/>
                <w:sz w:val="24"/>
                <w:lang w:val="en-US" w:eastAsia="zh-CN"/>
              </w:rPr>
              <w:t>0-</w:t>
            </w:r>
            <w:r>
              <w:rPr>
                <w:rFonts w:ascii="宋体" w:hAnsi="宋体" w:cs="宋体"/>
                <w:sz w:val="24"/>
              </w:rPr>
              <w:t>4</w:t>
            </w:r>
          </w:p>
        </w:tc>
        <w:tc>
          <w:tcPr>
            <w:tcW w:w="1168" w:type="dxa"/>
            <w:vAlign w:val="center"/>
          </w:tcPr>
          <w:p w14:paraId="48294AE7">
            <w:pPr>
              <w:autoSpaceDE w:val="0"/>
              <w:autoSpaceDN w:val="0"/>
              <w:spacing w:line="288" w:lineRule="auto"/>
              <w:jc w:val="center"/>
              <w:rPr>
                <w:rFonts w:ascii="宋体" w:hAnsi="宋体" w:cs="宋体"/>
                <w:sz w:val="24"/>
              </w:rPr>
            </w:pPr>
            <w:r>
              <w:rPr>
                <w:rFonts w:hint="eastAsia" w:ascii="宋体" w:hAnsi="宋体" w:cs="宋体"/>
                <w:sz w:val="24"/>
              </w:rPr>
              <w:t>主观分</w:t>
            </w:r>
          </w:p>
        </w:tc>
      </w:tr>
    </w:tbl>
    <w:p w14:paraId="7BC047A1">
      <w:pPr>
        <w:widowControl/>
        <w:spacing w:line="360" w:lineRule="auto"/>
        <w:jc w:val="left"/>
        <w:rPr>
          <w:rFonts w:ascii="宋体" w:hAnsi="宋体" w:cs="宋体"/>
          <w:b w:val="0"/>
          <w:bCs w:val="0"/>
          <w:color w:val="auto"/>
          <w:sz w:val="24"/>
          <w:lang w:val="zh-CN"/>
        </w:rPr>
      </w:pPr>
      <w:r>
        <w:rPr>
          <w:rFonts w:hint="eastAsia" w:ascii="宋体" w:hAnsi="宋体" w:cs="宋体"/>
          <w:b w:val="0"/>
          <w:bCs w:val="0"/>
          <w:color w:val="auto"/>
          <w:sz w:val="24"/>
          <w:lang w:val="zh-CN"/>
        </w:rPr>
        <w:t>注：</w:t>
      </w:r>
      <w:r>
        <w:rPr>
          <w:rFonts w:hint="eastAsia" w:ascii="宋体" w:hAnsi="宋体" w:cs="宋体"/>
          <w:b w:val="0"/>
          <w:bCs w:val="0"/>
          <w:color w:val="000000"/>
          <w:sz w:val="24"/>
        </w:rPr>
        <w:t>评分条款中涉及的业绩、荣誉、人员、社保等分公司均有效。</w:t>
      </w:r>
    </w:p>
    <w:p w14:paraId="5C0C4BF8">
      <w:pPr>
        <w:spacing w:line="312" w:lineRule="auto"/>
        <w:ind w:firstLine="482" w:firstLineChars="200"/>
        <w:rPr>
          <w:rFonts w:hint="eastAsia" w:ascii="宋体" w:hAnsi="宋体" w:cs="宋体"/>
          <w:b/>
          <w:bCs/>
          <w:color w:val="auto"/>
          <w:sz w:val="24"/>
        </w:rPr>
      </w:pPr>
    </w:p>
    <w:p w14:paraId="2A59E1A5">
      <w:pPr>
        <w:spacing w:line="312" w:lineRule="auto"/>
        <w:ind w:firstLine="482" w:firstLineChars="200"/>
        <w:rPr>
          <w:rFonts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eastAsia="zh-CN"/>
        </w:rPr>
        <w:t>.</w:t>
      </w:r>
      <w:r>
        <w:rPr>
          <w:rFonts w:hint="eastAsia" w:ascii="宋体" w:hAnsi="宋体" w:cs="宋体"/>
          <w:b/>
          <w:bCs/>
          <w:color w:val="auto"/>
          <w:sz w:val="24"/>
        </w:rPr>
        <w:t>价格部分评分方法（</w:t>
      </w:r>
      <w:r>
        <w:rPr>
          <w:rFonts w:hint="eastAsia" w:ascii="宋体" w:hAnsi="宋体" w:cs="宋体"/>
          <w:b/>
          <w:bCs/>
          <w:color w:val="auto"/>
          <w:sz w:val="24"/>
          <w:lang w:val="en-US" w:eastAsia="zh-CN"/>
        </w:rPr>
        <w:t>3</w:t>
      </w:r>
      <w:r>
        <w:rPr>
          <w:rFonts w:hint="eastAsia" w:ascii="宋体" w:hAnsi="宋体" w:cs="宋体"/>
          <w:b/>
          <w:bCs/>
          <w:color w:val="auto"/>
          <w:sz w:val="24"/>
        </w:rPr>
        <w:t>0分）</w:t>
      </w:r>
    </w:p>
    <w:p w14:paraId="008ACF7A">
      <w:pPr>
        <w:pStyle w:val="32"/>
        <w:spacing w:line="360" w:lineRule="auto"/>
        <w:ind w:firstLine="480" w:firstLineChars="200"/>
        <w:rPr>
          <w:rFonts w:hAnsi="宋体"/>
          <w:color w:val="auto"/>
          <w:sz w:val="24"/>
        </w:rPr>
      </w:pPr>
      <w:r>
        <w:rPr>
          <w:rFonts w:hint="eastAsia" w:hAnsi="宋体"/>
          <w:color w:val="auto"/>
          <w:sz w:val="24"/>
          <w:lang w:eastAsia="zh-CN"/>
        </w:rPr>
        <w:t>供应商</w:t>
      </w:r>
      <w:r>
        <w:rPr>
          <w:rFonts w:hint="eastAsia" w:hAnsi="宋体"/>
          <w:color w:val="auto"/>
          <w:sz w:val="24"/>
        </w:rPr>
        <w:t>根据计价格（2002）1980号文件按</w:t>
      </w:r>
      <w:r>
        <w:rPr>
          <w:rFonts w:hint="eastAsia" w:hAnsi="宋体"/>
          <w:color w:val="auto"/>
          <w:sz w:val="24"/>
          <w:lang w:eastAsia="zh-CN"/>
        </w:rPr>
        <w:t>响应</w:t>
      </w:r>
      <w:r>
        <w:rPr>
          <w:rFonts w:hint="eastAsia" w:hAnsi="宋体"/>
          <w:color w:val="auto"/>
          <w:sz w:val="24"/>
        </w:rPr>
        <w:t>优惠率进行评分，优惠</w:t>
      </w:r>
      <w:r>
        <w:rPr>
          <w:rFonts w:hint="eastAsia" w:hAnsi="宋体"/>
          <w:color w:val="auto"/>
          <w:sz w:val="24"/>
          <w:lang w:val="en-US" w:eastAsia="zh-CN"/>
        </w:rPr>
        <w:t>率</w:t>
      </w:r>
      <w:r>
        <w:rPr>
          <w:rFonts w:hint="eastAsia" w:hAnsi="宋体"/>
          <w:color w:val="auto"/>
          <w:sz w:val="24"/>
        </w:rPr>
        <w:t>范围</w:t>
      </w:r>
      <w:r>
        <w:rPr>
          <w:rFonts w:hint="eastAsia" w:hAnsi="宋体"/>
          <w:color w:val="auto"/>
          <w:sz w:val="24"/>
          <w:lang w:val="en-US" w:eastAsia="zh-CN"/>
        </w:rPr>
        <w:t>为35</w:t>
      </w:r>
      <w:r>
        <w:rPr>
          <w:rFonts w:hint="eastAsia" w:hAnsi="宋体"/>
          <w:color w:val="auto"/>
          <w:sz w:val="24"/>
        </w:rPr>
        <w:t>%（含）</w:t>
      </w:r>
      <w:r>
        <w:rPr>
          <w:rFonts w:hAnsi="宋体"/>
          <w:color w:val="auto"/>
          <w:sz w:val="24"/>
        </w:rPr>
        <w:t>-</w:t>
      </w:r>
      <w:r>
        <w:rPr>
          <w:rFonts w:hint="eastAsia" w:hAnsi="宋体"/>
          <w:color w:val="auto"/>
          <w:sz w:val="24"/>
          <w:lang w:val="en-US" w:eastAsia="zh-CN"/>
        </w:rPr>
        <w:t>40</w:t>
      </w:r>
      <w:r>
        <w:rPr>
          <w:rFonts w:hAnsi="宋体"/>
          <w:color w:val="auto"/>
          <w:sz w:val="24"/>
        </w:rPr>
        <w:t>%</w:t>
      </w:r>
      <w:r>
        <w:rPr>
          <w:rFonts w:hint="eastAsia" w:hAnsi="宋体"/>
          <w:color w:val="auto"/>
          <w:sz w:val="24"/>
        </w:rPr>
        <w:t>（含），最多保留小数点后</w:t>
      </w:r>
      <w:r>
        <w:rPr>
          <w:rFonts w:hAnsi="宋体"/>
          <w:color w:val="auto"/>
          <w:sz w:val="24"/>
        </w:rPr>
        <w:t>1</w:t>
      </w:r>
      <w:r>
        <w:rPr>
          <w:rFonts w:hint="eastAsia" w:hAnsi="宋体"/>
          <w:color w:val="auto"/>
          <w:sz w:val="24"/>
        </w:rPr>
        <w:t>位，超过范围价格作0分处理。</w:t>
      </w:r>
    </w:p>
    <w:p w14:paraId="01085AEA">
      <w:pPr>
        <w:pStyle w:val="32"/>
        <w:spacing w:line="360" w:lineRule="auto"/>
        <w:ind w:firstLine="472" w:firstLineChars="196"/>
        <w:rPr>
          <w:rFonts w:hAnsi="宋体"/>
          <w:b/>
          <w:bCs/>
          <w:color w:val="auto"/>
          <w:sz w:val="24"/>
        </w:rPr>
      </w:pPr>
      <w:r>
        <w:rPr>
          <w:rFonts w:hint="eastAsia" w:hAnsi="宋体"/>
          <w:b/>
          <w:bCs/>
          <w:color w:val="auto"/>
          <w:sz w:val="24"/>
        </w:rPr>
        <w:t>（</w:t>
      </w:r>
      <w:r>
        <w:rPr>
          <w:rFonts w:hAnsi="宋体"/>
          <w:b/>
          <w:bCs/>
          <w:color w:val="auto"/>
          <w:sz w:val="24"/>
        </w:rPr>
        <w:t>1</w:t>
      </w:r>
      <w:r>
        <w:rPr>
          <w:rFonts w:hint="eastAsia" w:hAnsi="宋体"/>
          <w:b/>
          <w:bCs/>
          <w:color w:val="auto"/>
          <w:sz w:val="24"/>
        </w:rPr>
        <w:t>）以</w:t>
      </w:r>
      <w:r>
        <w:rPr>
          <w:rFonts w:hint="eastAsia" w:hAnsi="宋体"/>
          <w:b/>
          <w:bCs/>
          <w:color w:val="auto"/>
          <w:sz w:val="24"/>
          <w:lang w:eastAsia="zh-CN"/>
        </w:rPr>
        <w:t>交易文件</w:t>
      </w:r>
      <w:r>
        <w:rPr>
          <w:rFonts w:hint="eastAsia" w:hAnsi="宋体"/>
          <w:b/>
          <w:bCs/>
          <w:color w:val="auto"/>
          <w:sz w:val="24"/>
        </w:rPr>
        <w:t>规定的最大优惠率（即</w:t>
      </w:r>
      <w:r>
        <w:rPr>
          <w:rFonts w:hint="eastAsia" w:hAnsi="宋体"/>
          <w:b/>
          <w:bCs/>
          <w:color w:val="auto"/>
          <w:sz w:val="24"/>
          <w:lang w:val="en-US" w:eastAsia="zh-CN"/>
        </w:rPr>
        <w:t>40</w:t>
      </w:r>
      <w:r>
        <w:rPr>
          <w:rFonts w:hint="eastAsia" w:hAnsi="宋体"/>
          <w:b/>
          <w:bCs/>
          <w:color w:val="auto"/>
          <w:sz w:val="24"/>
        </w:rPr>
        <w:t>%）为最佳报价值。</w:t>
      </w:r>
    </w:p>
    <w:p w14:paraId="75B120BA">
      <w:pPr>
        <w:pStyle w:val="32"/>
        <w:spacing w:line="360" w:lineRule="auto"/>
        <w:ind w:firstLine="480" w:firstLineChars="200"/>
        <w:rPr>
          <w:rFonts w:hAnsi="宋体"/>
          <w:color w:val="auto"/>
          <w:sz w:val="24"/>
        </w:rPr>
      </w:pPr>
      <w:r>
        <w:rPr>
          <w:rFonts w:hint="eastAsia" w:hAnsi="宋体"/>
          <w:color w:val="auto"/>
          <w:sz w:val="24"/>
        </w:rPr>
        <w:t>（</w:t>
      </w:r>
      <w:r>
        <w:rPr>
          <w:rFonts w:hAnsi="宋体"/>
          <w:color w:val="auto"/>
          <w:sz w:val="24"/>
        </w:rPr>
        <w:t>2</w:t>
      </w:r>
      <w:r>
        <w:rPr>
          <w:rFonts w:hint="eastAsia" w:hAnsi="宋体"/>
          <w:color w:val="auto"/>
          <w:sz w:val="24"/>
        </w:rPr>
        <w:t>）</w:t>
      </w:r>
      <w:r>
        <w:rPr>
          <w:rFonts w:hint="eastAsia" w:hAnsi="宋体"/>
          <w:color w:val="auto"/>
          <w:sz w:val="24"/>
          <w:lang w:eastAsia="zh-CN"/>
        </w:rPr>
        <w:t>响应</w:t>
      </w:r>
      <w:r>
        <w:rPr>
          <w:rFonts w:hint="eastAsia" w:hAnsi="宋体"/>
          <w:color w:val="auto"/>
          <w:sz w:val="24"/>
        </w:rPr>
        <w:t>评标价与最佳报价值对比，计算出</w:t>
      </w:r>
      <w:r>
        <w:rPr>
          <w:rFonts w:hint="eastAsia" w:hAnsi="宋体"/>
          <w:color w:val="auto"/>
          <w:sz w:val="24"/>
          <w:lang w:eastAsia="zh-CN"/>
        </w:rPr>
        <w:t>响应</w:t>
      </w:r>
      <w:r>
        <w:rPr>
          <w:rFonts w:hint="eastAsia" w:hAnsi="宋体"/>
          <w:color w:val="auto"/>
          <w:sz w:val="24"/>
        </w:rPr>
        <w:t>评标价的得分值，即：</w:t>
      </w:r>
    </w:p>
    <w:p w14:paraId="369A43E3">
      <w:pPr>
        <w:pStyle w:val="32"/>
        <w:spacing w:line="360" w:lineRule="auto"/>
        <w:ind w:firstLine="480" w:firstLineChars="200"/>
        <w:rPr>
          <w:rFonts w:hAnsi="宋体"/>
          <w:color w:val="auto"/>
          <w:sz w:val="24"/>
        </w:rPr>
      </w:pPr>
      <w:r>
        <w:rPr>
          <w:rFonts w:hAnsi="宋体"/>
          <w:color w:val="auto"/>
          <w:sz w:val="24"/>
        </w:rPr>
        <w:t>a</w:t>
      </w:r>
      <w:r>
        <w:rPr>
          <w:rFonts w:hint="eastAsia" w:hAnsi="宋体"/>
          <w:color w:val="auto"/>
          <w:sz w:val="24"/>
        </w:rPr>
        <w:t>．</w:t>
      </w:r>
      <w:r>
        <w:rPr>
          <w:rFonts w:hint="eastAsia" w:hAnsi="宋体"/>
          <w:color w:val="auto"/>
          <w:sz w:val="24"/>
          <w:lang w:eastAsia="zh-CN"/>
        </w:rPr>
        <w:t>响应</w:t>
      </w:r>
      <w:r>
        <w:rPr>
          <w:rFonts w:hint="eastAsia" w:hAnsi="宋体"/>
          <w:color w:val="auto"/>
          <w:sz w:val="24"/>
        </w:rPr>
        <w:t>评标价等于最佳报价值，得</w:t>
      </w:r>
      <w:r>
        <w:rPr>
          <w:rFonts w:hint="eastAsia" w:hAnsi="宋体"/>
          <w:color w:val="auto"/>
          <w:sz w:val="24"/>
          <w:highlight w:val="none"/>
        </w:rPr>
        <w:t>满分</w:t>
      </w:r>
      <w:r>
        <w:rPr>
          <w:rFonts w:hint="eastAsia" w:hAnsi="宋体"/>
          <w:color w:val="auto"/>
          <w:sz w:val="24"/>
          <w:highlight w:val="none"/>
          <w:lang w:val="en-US" w:eastAsia="zh-CN"/>
        </w:rPr>
        <w:t>30</w:t>
      </w:r>
      <w:r>
        <w:rPr>
          <w:rFonts w:hint="eastAsia" w:hAnsi="宋体"/>
          <w:color w:val="auto"/>
          <w:sz w:val="24"/>
          <w:highlight w:val="none"/>
        </w:rPr>
        <w:t>分；</w:t>
      </w:r>
    </w:p>
    <w:p w14:paraId="3B9466C5">
      <w:pPr>
        <w:pStyle w:val="32"/>
        <w:spacing w:line="360" w:lineRule="auto"/>
        <w:ind w:firstLine="480" w:firstLineChars="200"/>
        <w:rPr>
          <w:rFonts w:hAnsi="宋体"/>
          <w:color w:val="auto"/>
          <w:sz w:val="24"/>
        </w:rPr>
      </w:pPr>
      <w:r>
        <w:rPr>
          <w:rFonts w:hAnsi="宋体"/>
          <w:color w:val="auto"/>
          <w:sz w:val="24"/>
        </w:rPr>
        <w:t>b</w:t>
      </w:r>
      <w:r>
        <w:rPr>
          <w:rFonts w:hint="eastAsia" w:hAnsi="宋体"/>
          <w:color w:val="auto"/>
          <w:sz w:val="24"/>
        </w:rPr>
        <w:t>．</w:t>
      </w:r>
      <w:r>
        <w:rPr>
          <w:rFonts w:hint="eastAsia" w:hAnsi="宋体"/>
          <w:color w:val="auto"/>
          <w:sz w:val="24"/>
          <w:lang w:eastAsia="zh-CN"/>
        </w:rPr>
        <w:t>响应</w:t>
      </w:r>
      <w:r>
        <w:rPr>
          <w:rFonts w:hint="eastAsia" w:hAnsi="宋体"/>
          <w:color w:val="auto"/>
          <w:sz w:val="24"/>
        </w:rPr>
        <w:t>评标价</w:t>
      </w:r>
      <w:r>
        <w:rPr>
          <w:rFonts w:hint="eastAsia" w:hAnsi="宋体"/>
          <w:color w:val="auto"/>
          <w:sz w:val="24"/>
          <w:lang w:val="en-US" w:eastAsia="zh-CN"/>
        </w:rPr>
        <w:t>低</w:t>
      </w:r>
      <w:r>
        <w:rPr>
          <w:rFonts w:hint="eastAsia" w:hAnsi="宋体"/>
          <w:color w:val="auto"/>
          <w:sz w:val="24"/>
        </w:rPr>
        <w:t>于最佳报价值一个百分点，扣</w:t>
      </w:r>
      <w:r>
        <w:rPr>
          <w:rFonts w:hAnsi="宋体"/>
          <w:color w:val="auto"/>
          <w:sz w:val="24"/>
        </w:rPr>
        <w:t>1</w:t>
      </w:r>
      <w:r>
        <w:rPr>
          <w:rFonts w:hint="eastAsia" w:hAnsi="宋体"/>
          <w:color w:val="auto"/>
          <w:sz w:val="24"/>
        </w:rPr>
        <w:t>分。</w:t>
      </w:r>
    </w:p>
    <w:p w14:paraId="57E0D257">
      <w:pPr>
        <w:pStyle w:val="32"/>
        <w:spacing w:line="360" w:lineRule="auto"/>
        <w:ind w:firstLine="480" w:firstLineChars="200"/>
        <w:rPr>
          <w:rFonts w:hAnsi="宋体"/>
          <w:color w:val="auto"/>
          <w:sz w:val="24"/>
        </w:rPr>
      </w:pPr>
      <w:r>
        <w:rPr>
          <w:rFonts w:hint="eastAsia" w:hAnsi="宋体"/>
          <w:color w:val="auto"/>
          <w:sz w:val="24"/>
        </w:rPr>
        <w:t>以上计算得分时，如不足一个百分点时，使用直线插入法计算，保留二位小数，最低得分为</w:t>
      </w:r>
      <w:r>
        <w:rPr>
          <w:rFonts w:hAnsi="宋体"/>
          <w:color w:val="auto"/>
          <w:sz w:val="24"/>
        </w:rPr>
        <w:t>0</w:t>
      </w:r>
      <w:r>
        <w:rPr>
          <w:rFonts w:hint="eastAsia" w:hAnsi="宋体"/>
          <w:color w:val="auto"/>
          <w:sz w:val="24"/>
        </w:rPr>
        <w:t>分。</w:t>
      </w:r>
      <w:r>
        <w:rPr>
          <w:rFonts w:hAnsi="宋体"/>
          <w:color w:val="auto"/>
          <w:sz w:val="24"/>
        </w:rPr>
        <w:t xml:space="preserve"> </w:t>
      </w:r>
    </w:p>
    <w:p w14:paraId="1090297D">
      <w:pPr>
        <w:ind w:firstLine="480" w:firstLineChars="200"/>
        <w:rPr>
          <w:rFonts w:hint="eastAsia" w:hAnsi="宋体"/>
          <w:color w:val="auto"/>
          <w:sz w:val="24"/>
        </w:rPr>
      </w:pPr>
      <w:r>
        <w:rPr>
          <w:rFonts w:hint="eastAsia" w:hAnsi="宋体"/>
          <w:color w:val="auto"/>
          <w:sz w:val="24"/>
        </w:rPr>
        <w:t>价格得分＝</w:t>
      </w:r>
      <w:r>
        <w:rPr>
          <w:rFonts w:hint="eastAsia" w:hAnsi="宋体"/>
          <w:color w:val="auto"/>
          <w:sz w:val="24"/>
          <w:lang w:val="en-US" w:eastAsia="zh-CN"/>
        </w:rPr>
        <w:t>30</w:t>
      </w:r>
      <w:r>
        <w:rPr>
          <w:rFonts w:hint="eastAsia" w:hAnsi="宋体"/>
          <w:color w:val="auto"/>
          <w:sz w:val="24"/>
        </w:rPr>
        <w:t>-（｜</w:t>
      </w:r>
      <w:r>
        <w:rPr>
          <w:rFonts w:hint="eastAsia" w:hAnsi="宋体"/>
          <w:color w:val="auto"/>
          <w:sz w:val="24"/>
          <w:lang w:eastAsia="zh-CN"/>
        </w:rPr>
        <w:t>响应</w:t>
      </w:r>
      <w:r>
        <w:rPr>
          <w:rFonts w:hint="eastAsia" w:hAnsi="宋体"/>
          <w:color w:val="auto"/>
          <w:sz w:val="24"/>
        </w:rPr>
        <w:t>优惠率／最佳报价值-1｜×100×1）</w:t>
      </w:r>
    </w:p>
    <w:p w14:paraId="69C91114">
      <w:pPr>
        <w:ind w:firstLine="480" w:firstLineChars="200"/>
        <w:rPr>
          <w:rFonts w:hint="eastAsia" w:hAnsi="宋体"/>
          <w:color w:val="FF0000"/>
          <w:sz w:val="24"/>
        </w:rPr>
      </w:pPr>
    </w:p>
    <w:p w14:paraId="7CA43D62">
      <w:pPr>
        <w:rPr>
          <w:rFonts w:hint="eastAsia" w:ascii="宋体" w:hAnsi="宋体" w:cs="宋体"/>
          <w:color w:val="auto"/>
          <w:sz w:val="24"/>
        </w:rPr>
      </w:pPr>
      <w:r>
        <w:rPr>
          <w:rFonts w:hint="eastAsia" w:ascii="宋体" w:hAnsi="宋体" w:cs="宋体"/>
          <w:color w:val="auto"/>
          <w:sz w:val="24"/>
        </w:rPr>
        <w:br w:type="page"/>
      </w:r>
    </w:p>
    <w:p w14:paraId="4838FCBF">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58DED886">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w:t>
      </w:r>
      <w:r>
        <w:rPr>
          <w:rFonts w:hint="eastAsia" w:ascii="宋体" w:hAnsi="宋体" w:cs="宋体"/>
          <w:b/>
          <w:color w:val="auto"/>
          <w:kern w:val="0"/>
          <w:sz w:val="24"/>
          <w:lang w:eastAsia="zh-CN"/>
        </w:rPr>
        <w:t>综合评估法</w:t>
      </w:r>
      <w:r>
        <w:rPr>
          <w:rFonts w:hint="eastAsia" w:ascii="宋体" w:hAnsi="宋体" w:cs="宋体"/>
          <w:b/>
          <w:color w:val="auto"/>
          <w:kern w:val="0"/>
          <w:sz w:val="24"/>
        </w:rPr>
        <w:t>。</w:t>
      </w:r>
      <w:r>
        <w:rPr>
          <w:rFonts w:hint="eastAsia" w:ascii="宋体" w:hAnsi="宋体" w:cs="宋体"/>
          <w:color w:val="auto"/>
          <w:kern w:val="0"/>
          <w:sz w:val="24"/>
        </w:rPr>
        <w:t>在最大限度地满足</w:t>
      </w:r>
      <w:r>
        <w:rPr>
          <w:rFonts w:hint="eastAsia" w:ascii="宋体" w:hAnsi="宋体" w:cs="宋体"/>
          <w:color w:val="auto"/>
          <w:kern w:val="0"/>
          <w:sz w:val="24"/>
          <w:lang w:eastAsia="zh-CN"/>
        </w:rPr>
        <w:t>交易文件</w:t>
      </w:r>
      <w:r>
        <w:rPr>
          <w:rFonts w:hint="eastAsia" w:ascii="宋体" w:hAnsi="宋体" w:cs="宋体"/>
          <w:color w:val="auto"/>
          <w:kern w:val="0"/>
          <w:sz w:val="24"/>
        </w:rPr>
        <w:t>实质性要求前提下，按照</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中规定的各项因素进行综合评审后，以评审总得分前</w:t>
      </w:r>
      <w:r>
        <w:rPr>
          <w:rFonts w:hint="eastAsia" w:ascii="宋体" w:hAnsi="宋体" w:cs="宋体"/>
          <w:color w:val="auto"/>
          <w:kern w:val="0"/>
          <w:sz w:val="24"/>
          <w:lang w:val="en-US" w:eastAsia="zh-CN"/>
        </w:rPr>
        <w:t>二</w:t>
      </w:r>
      <w:r>
        <w:rPr>
          <w:rFonts w:hint="eastAsia" w:ascii="宋体" w:hAnsi="宋体" w:cs="宋体"/>
          <w:color w:val="auto"/>
          <w:kern w:val="0"/>
          <w:sz w:val="24"/>
        </w:rPr>
        <w:t>的</w:t>
      </w:r>
      <w:r>
        <w:rPr>
          <w:rFonts w:hint="eastAsia" w:ascii="宋体" w:hAnsi="宋体" w:cs="宋体"/>
          <w:color w:val="auto"/>
          <w:kern w:val="0"/>
          <w:sz w:val="24"/>
          <w:lang w:eastAsia="zh-CN"/>
        </w:rPr>
        <w:t>供应商</w:t>
      </w:r>
      <w:r>
        <w:rPr>
          <w:rFonts w:hint="eastAsia" w:ascii="宋体" w:hAnsi="宋体" w:cs="宋体"/>
          <w:color w:val="auto"/>
          <w:kern w:val="0"/>
          <w:sz w:val="24"/>
        </w:rPr>
        <w:t>为中标候选人。</w:t>
      </w:r>
    </w:p>
    <w:p w14:paraId="0333E9A1">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D677CBE">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18C8E7E">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5BB8B60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w:t>
      </w:r>
      <w:r>
        <w:rPr>
          <w:rFonts w:hint="eastAsia" w:ascii="宋体" w:hAnsi="宋体" w:cs="宋体"/>
          <w:color w:val="auto"/>
          <w:kern w:val="0"/>
          <w:sz w:val="24"/>
          <w:lang w:eastAsia="zh-CN"/>
        </w:rPr>
        <w:t>供应商</w:t>
      </w:r>
      <w:r>
        <w:rPr>
          <w:rFonts w:hint="eastAsia" w:ascii="宋体" w:hAnsi="宋体" w:cs="宋体"/>
          <w:color w:val="auto"/>
          <w:kern w:val="0"/>
          <w:sz w:val="24"/>
        </w:rPr>
        <w:t>的</w:t>
      </w:r>
      <w:r>
        <w:rPr>
          <w:rFonts w:hint="eastAsia" w:ascii="宋体" w:hAnsi="宋体" w:cs="宋体"/>
          <w:color w:val="auto"/>
          <w:kern w:val="0"/>
          <w:sz w:val="24"/>
          <w:lang w:eastAsia="zh-CN"/>
        </w:rPr>
        <w:t>响应文件</w:t>
      </w:r>
      <w:r>
        <w:rPr>
          <w:rFonts w:hint="eastAsia" w:ascii="宋体" w:hAnsi="宋体" w:cs="宋体"/>
          <w:color w:val="auto"/>
          <w:kern w:val="0"/>
          <w:sz w:val="24"/>
        </w:rPr>
        <w:t>进行符合性审查，以确定其是否满足</w:t>
      </w:r>
      <w:r>
        <w:rPr>
          <w:rFonts w:hint="eastAsia" w:ascii="宋体" w:hAnsi="宋体" w:cs="宋体"/>
          <w:color w:val="auto"/>
          <w:kern w:val="0"/>
          <w:sz w:val="24"/>
          <w:lang w:eastAsia="zh-CN"/>
        </w:rPr>
        <w:t>交易文件</w:t>
      </w:r>
      <w:r>
        <w:rPr>
          <w:rFonts w:hint="eastAsia" w:ascii="宋体" w:hAnsi="宋体" w:cs="宋体"/>
          <w:color w:val="auto"/>
          <w:kern w:val="0"/>
          <w:sz w:val="24"/>
        </w:rPr>
        <w:t>的实质性要求。不满足</w:t>
      </w:r>
      <w:r>
        <w:rPr>
          <w:rFonts w:hint="eastAsia" w:ascii="宋体" w:hAnsi="宋体" w:cs="宋体"/>
          <w:color w:val="auto"/>
          <w:kern w:val="0"/>
          <w:sz w:val="24"/>
          <w:lang w:eastAsia="zh-CN"/>
        </w:rPr>
        <w:t>交易文件</w:t>
      </w:r>
      <w:r>
        <w:rPr>
          <w:rFonts w:hint="eastAsia" w:ascii="宋体" w:hAnsi="宋体" w:cs="宋体"/>
          <w:color w:val="auto"/>
          <w:kern w:val="0"/>
          <w:sz w:val="24"/>
        </w:rPr>
        <w:t>的实质性要求的，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6F934FA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中规定的评标方法和标准，对符合性审查合格的</w:t>
      </w:r>
      <w:r>
        <w:rPr>
          <w:rFonts w:hint="eastAsia" w:ascii="宋体" w:hAnsi="宋体" w:cs="宋体"/>
          <w:color w:val="auto"/>
          <w:kern w:val="0"/>
          <w:sz w:val="24"/>
          <w:lang w:eastAsia="zh-CN"/>
        </w:rPr>
        <w:t>响应文件</w:t>
      </w:r>
      <w:r>
        <w:rPr>
          <w:rFonts w:hint="eastAsia" w:ascii="宋体" w:hAnsi="宋体" w:cs="宋体"/>
          <w:color w:val="auto"/>
          <w:kern w:val="0"/>
          <w:sz w:val="24"/>
        </w:rPr>
        <w:t>进行商务和技术评估，综合比较与评价。</w:t>
      </w:r>
    </w:p>
    <w:p w14:paraId="5DE167E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w:t>
      </w:r>
      <w:r>
        <w:rPr>
          <w:rFonts w:hint="eastAsia" w:ascii="宋体" w:hAnsi="宋体" w:cs="宋体"/>
          <w:color w:val="auto"/>
          <w:kern w:val="0"/>
          <w:sz w:val="24"/>
          <w:lang w:eastAsia="zh-CN"/>
        </w:rPr>
        <w:t>供应商</w:t>
      </w:r>
      <w:r>
        <w:rPr>
          <w:rFonts w:hint="eastAsia" w:ascii="宋体" w:hAnsi="宋体" w:cs="宋体"/>
          <w:color w:val="auto"/>
          <w:kern w:val="0"/>
          <w:sz w:val="24"/>
        </w:rPr>
        <w:t>的商务和技术文件进行评价，并汇总商务技术得分情况。</w:t>
      </w:r>
    </w:p>
    <w:p w14:paraId="19D1FDE8">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9B99AB3">
      <w:pPr>
        <w:pStyle w:val="130"/>
        <w:spacing w:before="0"/>
        <w:ind w:firstLine="508" w:firstLineChars="212"/>
        <w:rPr>
          <w:rFonts w:ascii="宋体" w:hAnsi="宋体" w:cs="宋体"/>
          <w:color w:val="auto"/>
          <w:kern w:val="0"/>
        </w:rPr>
      </w:pPr>
      <w:r>
        <w:rPr>
          <w:rFonts w:hint="eastAsia" w:ascii="宋体" w:hAnsi="宋体" w:cs="宋体"/>
          <w:color w:val="auto"/>
          <w:kern w:val="0"/>
        </w:rPr>
        <w:t>3.4.1</w:t>
      </w:r>
      <w:r>
        <w:rPr>
          <w:rFonts w:hint="eastAsia" w:ascii="宋体" w:hAnsi="宋体" w:cs="宋体"/>
          <w:color w:val="auto"/>
          <w:kern w:val="0"/>
          <w:lang w:eastAsia="zh-CN"/>
        </w:rPr>
        <w:t>响应文件</w:t>
      </w:r>
      <w:r>
        <w:rPr>
          <w:rFonts w:hint="eastAsia" w:ascii="宋体" w:hAnsi="宋体" w:cs="宋体"/>
          <w:color w:val="auto"/>
          <w:kern w:val="0"/>
        </w:rPr>
        <w:t>报价出现前后不一致的，按照下列规定修正：</w:t>
      </w:r>
    </w:p>
    <w:p w14:paraId="374ABBD8">
      <w:pPr>
        <w:pStyle w:val="130"/>
        <w:spacing w:before="0"/>
        <w:ind w:firstLine="480"/>
        <w:rPr>
          <w:rFonts w:ascii="宋体" w:hAnsi="宋体" w:cs="宋体"/>
          <w:color w:val="auto"/>
          <w:kern w:val="0"/>
          <w:szCs w:val="24"/>
        </w:rPr>
      </w:pPr>
      <w:r>
        <w:rPr>
          <w:rFonts w:hint="eastAsia" w:ascii="宋体" w:hAnsi="宋体" w:cs="宋体"/>
          <w:color w:val="auto"/>
          <w:kern w:val="0"/>
          <w:szCs w:val="24"/>
        </w:rPr>
        <w:t>3.4.1.1</w:t>
      </w:r>
      <w:r>
        <w:rPr>
          <w:rFonts w:hint="eastAsia" w:ascii="宋体" w:hAnsi="宋体" w:cs="宋体"/>
          <w:color w:val="auto"/>
          <w:kern w:val="0"/>
          <w:szCs w:val="24"/>
          <w:lang w:eastAsia="zh-CN"/>
        </w:rPr>
        <w:t>响应文件</w:t>
      </w:r>
      <w:r>
        <w:rPr>
          <w:rFonts w:hint="eastAsia" w:ascii="宋体" w:hAnsi="宋体" w:cs="宋体"/>
          <w:color w:val="auto"/>
          <w:kern w:val="0"/>
          <w:szCs w:val="24"/>
        </w:rPr>
        <w:t>中开标一览表(报价表)内容与</w:t>
      </w:r>
      <w:r>
        <w:rPr>
          <w:rFonts w:hint="eastAsia" w:ascii="宋体" w:hAnsi="宋体" w:cs="宋体"/>
          <w:color w:val="auto"/>
          <w:kern w:val="0"/>
          <w:szCs w:val="24"/>
          <w:lang w:eastAsia="zh-CN"/>
        </w:rPr>
        <w:t>响应文件</w:t>
      </w:r>
      <w:r>
        <w:rPr>
          <w:rFonts w:hint="eastAsia" w:ascii="宋体" w:hAnsi="宋体" w:cs="宋体"/>
          <w:color w:val="auto"/>
          <w:kern w:val="0"/>
          <w:szCs w:val="24"/>
        </w:rPr>
        <w:t>中相应内容不一致的，以开标一览表(报价表)为准;</w:t>
      </w:r>
    </w:p>
    <w:p w14:paraId="327D91A7">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031BA25">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2A7657B0">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D3F4399">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Cs w:val="24"/>
          <w:lang w:eastAsia="zh-CN"/>
        </w:rPr>
        <w:t>供应商</w:t>
      </w:r>
      <w:r>
        <w:rPr>
          <w:rFonts w:hint="eastAsia" w:ascii="宋体" w:hAnsi="宋体" w:cs="宋体"/>
          <w:color w:val="auto"/>
          <w:kern w:val="0"/>
          <w:szCs w:val="24"/>
        </w:rPr>
        <w:t>确认后产生约束力。</w:t>
      </w:r>
    </w:p>
    <w:p w14:paraId="5EDB25D4">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w:t>
      </w:r>
      <w:r>
        <w:rPr>
          <w:rFonts w:hint="eastAsia" w:ascii="宋体" w:hAnsi="宋体" w:cs="宋体"/>
          <w:color w:val="auto"/>
          <w:kern w:val="0"/>
          <w:sz w:val="24"/>
          <w:lang w:eastAsia="zh-CN"/>
        </w:rPr>
        <w:t>响应文件</w:t>
      </w:r>
      <w:r>
        <w:rPr>
          <w:rFonts w:hint="eastAsia" w:ascii="宋体" w:hAnsi="宋体" w:cs="宋体"/>
          <w:color w:val="auto"/>
          <w:kern w:val="0"/>
          <w:sz w:val="24"/>
        </w:rPr>
        <w:t>出现不是唯一的、有选择性</w:t>
      </w:r>
      <w:r>
        <w:rPr>
          <w:rFonts w:hint="eastAsia" w:ascii="宋体" w:hAnsi="宋体" w:cs="宋体"/>
          <w:color w:val="auto"/>
          <w:kern w:val="0"/>
          <w:sz w:val="24"/>
          <w:lang w:eastAsia="zh-CN"/>
        </w:rPr>
        <w:t>响应</w:t>
      </w:r>
      <w:r>
        <w:rPr>
          <w:rFonts w:hint="eastAsia" w:ascii="宋体" w:hAnsi="宋体" w:cs="宋体"/>
          <w:color w:val="auto"/>
          <w:kern w:val="0"/>
          <w:sz w:val="24"/>
        </w:rPr>
        <w:t>报价的，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7AD9A20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w:t>
      </w:r>
      <w:r>
        <w:rPr>
          <w:rFonts w:hint="eastAsia" w:ascii="宋体" w:hAnsi="宋体" w:cs="宋体"/>
          <w:color w:val="auto"/>
          <w:kern w:val="0"/>
          <w:sz w:val="24"/>
          <w:lang w:eastAsia="zh-CN"/>
        </w:rPr>
        <w:t>响应</w:t>
      </w:r>
      <w:r>
        <w:rPr>
          <w:rFonts w:hint="eastAsia" w:ascii="宋体" w:hAnsi="宋体" w:cs="宋体"/>
          <w:color w:val="auto"/>
          <w:kern w:val="0"/>
          <w:sz w:val="24"/>
        </w:rPr>
        <w:t>报价超过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中规定的预算金额或者最高限价的，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4BB4E240">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w:t>
      </w:r>
      <w:r>
        <w:rPr>
          <w:rFonts w:hint="eastAsia" w:ascii="宋体" w:hAnsi="宋体" w:cs="宋体"/>
          <w:color w:val="auto"/>
          <w:kern w:val="0"/>
          <w:szCs w:val="24"/>
          <w:lang w:eastAsia="zh-CN"/>
        </w:rPr>
        <w:t>供应商</w:t>
      </w:r>
      <w:r>
        <w:rPr>
          <w:rFonts w:hint="eastAsia" w:ascii="宋体" w:hAnsi="宋体" w:cs="宋体"/>
          <w:color w:val="auto"/>
          <w:kern w:val="0"/>
          <w:szCs w:val="24"/>
        </w:rPr>
        <w:t>的报价明显低于其他通过符合性审查</w:t>
      </w:r>
      <w:r>
        <w:rPr>
          <w:rFonts w:hint="eastAsia" w:ascii="宋体" w:hAnsi="宋体" w:cs="宋体"/>
          <w:color w:val="auto"/>
          <w:kern w:val="0"/>
          <w:szCs w:val="24"/>
          <w:lang w:eastAsia="zh-CN"/>
        </w:rPr>
        <w:t>供应商</w:t>
      </w:r>
      <w:r>
        <w:rPr>
          <w:rFonts w:hint="eastAsia" w:ascii="宋体" w:hAnsi="宋体" w:cs="宋体"/>
          <w:color w:val="auto"/>
          <w:kern w:val="0"/>
          <w:szCs w:val="24"/>
        </w:rPr>
        <w:t>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供应商</w:t>
      </w:r>
      <w:r>
        <w:rPr>
          <w:rFonts w:hint="eastAsia" w:ascii="宋体" w:hAnsi="宋体" w:cs="宋体"/>
          <w:color w:val="auto"/>
          <w:kern w:val="0"/>
          <w:szCs w:val="24"/>
        </w:rPr>
        <w:t>不能证明其报价合理性的，评标委员会应当将其作为无效</w:t>
      </w:r>
      <w:r>
        <w:rPr>
          <w:rFonts w:hint="eastAsia" w:ascii="宋体" w:hAnsi="宋体" w:cs="宋体"/>
          <w:color w:val="auto"/>
          <w:kern w:val="0"/>
          <w:szCs w:val="24"/>
          <w:lang w:eastAsia="zh-CN"/>
        </w:rPr>
        <w:t>响应</w:t>
      </w:r>
      <w:r>
        <w:rPr>
          <w:rFonts w:hint="eastAsia" w:ascii="宋体" w:hAnsi="宋体" w:cs="宋体"/>
          <w:color w:val="auto"/>
          <w:kern w:val="0"/>
          <w:szCs w:val="24"/>
        </w:rPr>
        <w:t>处理。</w:t>
      </w:r>
    </w:p>
    <w:p w14:paraId="5EB38BAE">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w:t>
      </w:r>
      <w:r>
        <w:rPr>
          <w:rFonts w:hint="eastAsia" w:ascii="宋体" w:hAnsi="宋体" w:cs="宋体"/>
          <w:color w:val="auto"/>
          <w:kern w:val="0"/>
          <w:sz w:val="24"/>
          <w:lang w:eastAsia="zh-CN"/>
        </w:rPr>
        <w:t>综合评估法</w:t>
      </w:r>
      <w:r>
        <w:rPr>
          <w:rFonts w:hint="eastAsia" w:ascii="宋体" w:hAnsi="宋体" w:cs="宋体"/>
          <w:color w:val="auto"/>
          <w:kern w:val="0"/>
          <w:sz w:val="24"/>
        </w:rPr>
        <w:t>的，评标结果按评审后得分由高到低顺序排列。得分相同的，按</w:t>
      </w:r>
      <w:r>
        <w:rPr>
          <w:rFonts w:hint="eastAsia" w:ascii="宋体" w:hAnsi="宋体" w:cs="宋体"/>
          <w:color w:val="auto"/>
          <w:kern w:val="0"/>
          <w:sz w:val="24"/>
          <w:lang w:eastAsia="zh-CN"/>
        </w:rPr>
        <w:t>响应</w:t>
      </w:r>
      <w:r>
        <w:rPr>
          <w:rFonts w:hint="eastAsia" w:ascii="宋体" w:hAnsi="宋体" w:cs="宋体"/>
          <w:color w:val="auto"/>
          <w:kern w:val="0"/>
          <w:sz w:val="24"/>
        </w:rPr>
        <w:t>报价由低到高顺序排列。得分且</w:t>
      </w:r>
      <w:r>
        <w:rPr>
          <w:rFonts w:hint="eastAsia" w:ascii="宋体" w:hAnsi="宋体" w:cs="宋体"/>
          <w:color w:val="auto"/>
          <w:kern w:val="0"/>
          <w:sz w:val="24"/>
          <w:lang w:eastAsia="zh-CN"/>
        </w:rPr>
        <w:t>响应</w:t>
      </w:r>
      <w:r>
        <w:rPr>
          <w:rFonts w:hint="eastAsia" w:ascii="宋体" w:hAnsi="宋体" w:cs="宋体"/>
          <w:color w:val="auto"/>
          <w:kern w:val="0"/>
          <w:sz w:val="24"/>
        </w:rPr>
        <w:t>报价相同的并列。</w:t>
      </w:r>
      <w:r>
        <w:rPr>
          <w:rFonts w:hint="eastAsia" w:ascii="宋体" w:hAnsi="宋体" w:cs="宋体"/>
          <w:color w:val="auto"/>
          <w:kern w:val="0"/>
          <w:sz w:val="24"/>
          <w:lang w:eastAsia="zh-CN"/>
        </w:rPr>
        <w:t>响应文件</w:t>
      </w:r>
      <w:r>
        <w:rPr>
          <w:rFonts w:hint="eastAsia" w:ascii="宋体" w:hAnsi="宋体" w:cs="宋体"/>
          <w:color w:val="auto"/>
          <w:kern w:val="0"/>
          <w:sz w:val="24"/>
        </w:rPr>
        <w:t>满足</w:t>
      </w:r>
      <w:r>
        <w:rPr>
          <w:rFonts w:hint="eastAsia" w:ascii="宋体" w:hAnsi="宋体" w:cs="宋体"/>
          <w:color w:val="auto"/>
          <w:kern w:val="0"/>
          <w:sz w:val="24"/>
          <w:lang w:eastAsia="zh-CN"/>
        </w:rPr>
        <w:t>交易文件</w:t>
      </w:r>
      <w:r>
        <w:rPr>
          <w:rFonts w:hint="eastAsia" w:ascii="宋体" w:hAnsi="宋体" w:cs="宋体"/>
          <w:color w:val="auto"/>
          <w:kern w:val="0"/>
          <w:sz w:val="24"/>
        </w:rPr>
        <w:t>全部实质性要求，且评审得分前</w:t>
      </w:r>
      <w:r>
        <w:rPr>
          <w:rFonts w:hint="eastAsia" w:ascii="宋体" w:hAnsi="宋体" w:cs="宋体"/>
          <w:color w:val="auto"/>
          <w:kern w:val="0"/>
          <w:sz w:val="24"/>
          <w:lang w:val="en-US" w:eastAsia="zh-CN"/>
        </w:rPr>
        <w:t>二</w:t>
      </w:r>
      <w:r>
        <w:rPr>
          <w:rFonts w:hint="eastAsia" w:ascii="宋体" w:hAnsi="宋体" w:cs="宋体"/>
          <w:color w:val="auto"/>
          <w:kern w:val="0"/>
          <w:sz w:val="24"/>
        </w:rPr>
        <w:t>名的</w:t>
      </w:r>
      <w:r>
        <w:rPr>
          <w:rFonts w:hint="eastAsia" w:ascii="宋体" w:hAnsi="宋体" w:cs="宋体"/>
          <w:color w:val="auto"/>
          <w:kern w:val="0"/>
          <w:sz w:val="24"/>
          <w:lang w:eastAsia="zh-CN"/>
        </w:rPr>
        <w:t>供应商</w:t>
      </w:r>
      <w:r>
        <w:rPr>
          <w:rFonts w:hint="eastAsia" w:ascii="宋体" w:hAnsi="宋体" w:cs="宋体"/>
          <w:color w:val="auto"/>
          <w:kern w:val="0"/>
          <w:sz w:val="24"/>
        </w:rPr>
        <w:t>为中标候选人。</w:t>
      </w:r>
    </w:p>
    <w:p w14:paraId="09A765C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w:t>
      </w:r>
      <w:r>
        <w:rPr>
          <w:rFonts w:hint="eastAsia" w:ascii="宋体" w:hAnsi="宋体" w:cs="宋体"/>
          <w:color w:val="auto"/>
          <w:kern w:val="0"/>
          <w:sz w:val="24"/>
          <w:lang w:eastAsia="zh-CN"/>
        </w:rPr>
        <w:t>供应商</w:t>
      </w:r>
      <w:r>
        <w:rPr>
          <w:rFonts w:hint="eastAsia" w:ascii="宋体" w:hAnsi="宋体" w:cs="宋体"/>
          <w:color w:val="auto"/>
          <w:kern w:val="0"/>
          <w:sz w:val="24"/>
        </w:rPr>
        <w:t>提供相同品牌产品（单一产品采购项目中的该产品或者非单一产品采购项目的核心产品）且通过资格审查、符合性审查的不同</w:t>
      </w:r>
      <w:r>
        <w:rPr>
          <w:rFonts w:hint="eastAsia" w:ascii="宋体" w:hAnsi="宋体" w:cs="宋体"/>
          <w:color w:val="auto"/>
          <w:kern w:val="0"/>
          <w:sz w:val="24"/>
          <w:lang w:eastAsia="zh-CN"/>
        </w:rPr>
        <w:t>供应商</w:t>
      </w:r>
      <w:r>
        <w:rPr>
          <w:rFonts w:hint="eastAsia" w:ascii="宋体" w:hAnsi="宋体" w:cs="宋体"/>
          <w:color w:val="auto"/>
          <w:kern w:val="0"/>
          <w:sz w:val="24"/>
        </w:rPr>
        <w:t>参加同一合同项下</w:t>
      </w:r>
      <w:r>
        <w:rPr>
          <w:rFonts w:hint="eastAsia" w:ascii="宋体" w:hAnsi="宋体" w:cs="宋体"/>
          <w:color w:val="auto"/>
          <w:kern w:val="0"/>
          <w:sz w:val="24"/>
          <w:lang w:eastAsia="zh-CN"/>
        </w:rPr>
        <w:t>响应</w:t>
      </w:r>
      <w:r>
        <w:rPr>
          <w:rFonts w:hint="eastAsia" w:ascii="宋体" w:hAnsi="宋体" w:cs="宋体"/>
          <w:color w:val="auto"/>
          <w:kern w:val="0"/>
          <w:sz w:val="24"/>
        </w:rPr>
        <w:t>的，按一家</w:t>
      </w:r>
      <w:r>
        <w:rPr>
          <w:rFonts w:hint="eastAsia" w:ascii="宋体" w:hAnsi="宋体" w:cs="宋体"/>
          <w:color w:val="auto"/>
          <w:kern w:val="0"/>
          <w:sz w:val="24"/>
          <w:lang w:eastAsia="zh-CN"/>
        </w:rPr>
        <w:t>供应商</w:t>
      </w:r>
      <w:r>
        <w:rPr>
          <w:rFonts w:hint="eastAsia" w:ascii="宋体" w:hAnsi="宋体" w:cs="宋体"/>
          <w:color w:val="auto"/>
          <w:kern w:val="0"/>
          <w:sz w:val="24"/>
        </w:rPr>
        <w:t>计算，评审后得分最高的同品牌</w:t>
      </w:r>
      <w:r>
        <w:rPr>
          <w:rFonts w:hint="eastAsia" w:ascii="宋体" w:hAnsi="宋体" w:cs="宋体"/>
          <w:color w:val="auto"/>
          <w:kern w:val="0"/>
          <w:sz w:val="24"/>
          <w:lang w:eastAsia="zh-CN"/>
        </w:rPr>
        <w:t>供应商</w:t>
      </w:r>
      <w:r>
        <w:rPr>
          <w:rFonts w:hint="eastAsia" w:ascii="宋体" w:hAnsi="宋体" w:cs="宋体"/>
          <w:color w:val="auto"/>
          <w:kern w:val="0"/>
          <w:sz w:val="24"/>
        </w:rPr>
        <w:t>获得中标人推荐资格；评审得分相同的，采取随机抽取方式确定，其他同品牌</w:t>
      </w:r>
      <w:r>
        <w:rPr>
          <w:rFonts w:hint="eastAsia" w:ascii="宋体" w:hAnsi="宋体" w:cs="宋体"/>
          <w:color w:val="auto"/>
          <w:kern w:val="0"/>
          <w:sz w:val="24"/>
          <w:lang w:eastAsia="zh-CN"/>
        </w:rPr>
        <w:t>供应商</w:t>
      </w:r>
      <w:r>
        <w:rPr>
          <w:rFonts w:hint="eastAsia" w:ascii="宋体" w:hAnsi="宋体" w:cs="宋体"/>
          <w:color w:val="auto"/>
          <w:kern w:val="0"/>
          <w:sz w:val="24"/>
        </w:rPr>
        <w:t>不作为中标候选人。</w:t>
      </w:r>
    </w:p>
    <w:p w14:paraId="76F1530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9346D0">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A828492">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w:t>
      </w:r>
      <w:r>
        <w:rPr>
          <w:rFonts w:hint="eastAsia" w:ascii="宋体" w:hAnsi="宋体" w:cs="宋体"/>
          <w:b/>
          <w:color w:val="auto"/>
          <w:kern w:val="0"/>
          <w:szCs w:val="24"/>
          <w:lang w:eastAsia="zh-CN"/>
        </w:rPr>
        <w:t>供应商</w:t>
      </w:r>
      <w:r>
        <w:rPr>
          <w:rFonts w:hint="eastAsia" w:ascii="宋体" w:hAnsi="宋体" w:cs="宋体"/>
          <w:b/>
          <w:color w:val="auto"/>
          <w:kern w:val="0"/>
          <w:szCs w:val="24"/>
        </w:rPr>
        <w:t>澄清、说明或者补正。</w:t>
      </w:r>
      <w:r>
        <w:rPr>
          <w:rFonts w:hint="eastAsia" w:ascii="宋体" w:hAnsi="宋体" w:cs="宋体"/>
          <w:color w:val="auto"/>
          <w:kern w:val="0"/>
          <w:szCs w:val="24"/>
        </w:rPr>
        <w:t>对于</w:t>
      </w:r>
      <w:r>
        <w:rPr>
          <w:rFonts w:hint="eastAsia" w:ascii="宋体" w:hAnsi="宋体" w:cs="宋体"/>
          <w:color w:val="auto"/>
          <w:kern w:val="0"/>
          <w:szCs w:val="24"/>
          <w:lang w:eastAsia="zh-CN"/>
        </w:rPr>
        <w:t>响应文件</w:t>
      </w:r>
      <w:r>
        <w:rPr>
          <w:rFonts w:hint="eastAsia" w:ascii="宋体" w:hAnsi="宋体" w:cs="宋体"/>
          <w:color w:val="auto"/>
          <w:kern w:val="0"/>
          <w:szCs w:val="24"/>
        </w:rPr>
        <w:t>中含义不明确、同类问题表述不一致或者有明显文字和计算错误的内容需要</w:t>
      </w:r>
      <w:r>
        <w:rPr>
          <w:rFonts w:hint="eastAsia" w:ascii="宋体" w:hAnsi="宋体" w:cs="宋体"/>
          <w:color w:val="auto"/>
          <w:kern w:val="0"/>
          <w:szCs w:val="24"/>
          <w:lang w:eastAsia="zh-CN"/>
        </w:rPr>
        <w:t>供应商</w:t>
      </w:r>
      <w:r>
        <w:rPr>
          <w:rFonts w:hint="eastAsia" w:ascii="宋体" w:hAnsi="宋体" w:cs="宋体"/>
          <w:color w:val="auto"/>
          <w:kern w:val="0"/>
          <w:szCs w:val="24"/>
        </w:rPr>
        <w:t>作出必要的澄清、说明或者补正的，评标委员会和</w:t>
      </w:r>
      <w:r>
        <w:rPr>
          <w:rFonts w:hint="eastAsia" w:ascii="宋体" w:hAnsi="宋体" w:cs="宋体"/>
          <w:color w:val="auto"/>
          <w:kern w:val="0"/>
          <w:szCs w:val="24"/>
          <w:lang w:eastAsia="zh-CN"/>
        </w:rPr>
        <w:t>供应商</w:t>
      </w:r>
      <w:r>
        <w:rPr>
          <w:rFonts w:hint="eastAsia" w:ascii="宋体" w:hAnsi="宋体" w:cs="宋体"/>
          <w:color w:val="auto"/>
          <w:kern w:val="0"/>
          <w:szCs w:val="24"/>
        </w:rPr>
        <w:t>通过电子交易平台交换数据电文，</w:t>
      </w:r>
      <w:r>
        <w:rPr>
          <w:rFonts w:hint="eastAsia" w:ascii="宋体" w:hAnsi="宋体" w:cs="宋体"/>
          <w:color w:val="auto"/>
          <w:kern w:val="0"/>
          <w:szCs w:val="24"/>
          <w:lang w:eastAsia="zh-CN"/>
        </w:rPr>
        <w:t>供应商</w:t>
      </w:r>
      <w:r>
        <w:rPr>
          <w:rFonts w:hint="eastAsia" w:ascii="宋体" w:hAnsi="宋体" w:cs="宋体"/>
          <w:color w:val="auto"/>
          <w:kern w:val="0"/>
          <w:szCs w:val="24"/>
        </w:rPr>
        <w:t>提交使用电子签名的相关数据电文或通过平台上传加盖公章的扫描件。给予</w:t>
      </w:r>
      <w:r>
        <w:rPr>
          <w:rFonts w:hint="eastAsia" w:ascii="宋体" w:hAnsi="宋体" w:cs="宋体"/>
          <w:color w:val="auto"/>
          <w:kern w:val="0"/>
          <w:szCs w:val="24"/>
          <w:lang w:eastAsia="zh-CN"/>
        </w:rPr>
        <w:t>供应商</w:t>
      </w:r>
      <w:r>
        <w:rPr>
          <w:rFonts w:hint="eastAsia" w:ascii="宋体" w:hAnsi="宋体" w:cs="宋体"/>
          <w:color w:val="auto"/>
          <w:kern w:val="0"/>
          <w:szCs w:val="24"/>
        </w:rPr>
        <w:t>提交澄清、说明或补正的时间不得少于半小时，</w:t>
      </w:r>
      <w:r>
        <w:rPr>
          <w:rFonts w:hint="eastAsia" w:ascii="宋体" w:hAnsi="宋体" w:cs="宋体"/>
          <w:color w:val="auto"/>
          <w:kern w:val="0"/>
          <w:szCs w:val="24"/>
          <w:lang w:eastAsia="zh-CN"/>
        </w:rPr>
        <w:t>供应商</w:t>
      </w:r>
      <w:r>
        <w:rPr>
          <w:rFonts w:hint="eastAsia" w:ascii="宋体" w:hAnsi="宋体" w:cs="宋体"/>
          <w:color w:val="auto"/>
          <w:kern w:val="0"/>
          <w:szCs w:val="24"/>
        </w:rPr>
        <w:t>已经明确表示澄清说明或补正完毕的除外。</w:t>
      </w:r>
      <w:r>
        <w:rPr>
          <w:rFonts w:hint="eastAsia" w:ascii="宋体" w:hAnsi="宋体" w:cs="宋体"/>
          <w:color w:val="auto"/>
          <w:kern w:val="0"/>
          <w:szCs w:val="24"/>
          <w:lang w:eastAsia="zh-CN"/>
        </w:rPr>
        <w:t>供应商</w:t>
      </w:r>
      <w:r>
        <w:rPr>
          <w:rFonts w:hint="eastAsia" w:ascii="宋体" w:hAnsi="宋体" w:cs="宋体"/>
          <w:color w:val="auto"/>
          <w:kern w:val="0"/>
          <w:szCs w:val="24"/>
        </w:rPr>
        <w:t>的澄清、说明或者补正不得超出</w:t>
      </w:r>
      <w:r>
        <w:rPr>
          <w:rFonts w:hint="eastAsia" w:ascii="宋体" w:hAnsi="宋体" w:cs="宋体"/>
          <w:color w:val="auto"/>
          <w:kern w:val="0"/>
          <w:szCs w:val="24"/>
          <w:lang w:eastAsia="zh-CN"/>
        </w:rPr>
        <w:t>响应文件</w:t>
      </w:r>
      <w:r>
        <w:rPr>
          <w:rFonts w:hint="eastAsia" w:ascii="宋体" w:hAnsi="宋体" w:cs="宋体"/>
          <w:color w:val="auto"/>
          <w:kern w:val="0"/>
          <w:szCs w:val="24"/>
        </w:rPr>
        <w:t>的范围或者改变</w:t>
      </w:r>
      <w:r>
        <w:rPr>
          <w:rFonts w:hint="eastAsia" w:ascii="宋体" w:hAnsi="宋体" w:cs="宋体"/>
          <w:color w:val="auto"/>
          <w:kern w:val="0"/>
          <w:szCs w:val="24"/>
          <w:lang w:eastAsia="zh-CN"/>
        </w:rPr>
        <w:t>响应文件</w:t>
      </w:r>
      <w:r>
        <w:rPr>
          <w:rFonts w:hint="eastAsia" w:ascii="宋体" w:hAnsi="宋体" w:cs="宋体"/>
          <w:color w:val="auto"/>
          <w:kern w:val="0"/>
          <w:szCs w:val="24"/>
        </w:rPr>
        <w:t>的实质性内容。</w:t>
      </w:r>
    </w:p>
    <w:p w14:paraId="54FEA5C5">
      <w:pPr>
        <w:pStyle w:val="24"/>
        <w:spacing w:line="360" w:lineRule="auto"/>
        <w:ind w:left="954" w:leftChars="226" w:hanging="479" w:firstLineChars="0"/>
        <w:rPr>
          <w:rFonts w:cs="宋体"/>
          <w:color w:val="auto"/>
          <w:szCs w:val="21"/>
        </w:rPr>
      </w:pPr>
      <w:r>
        <w:rPr>
          <w:rFonts w:hint="eastAsia" w:cs="宋体"/>
          <w:b/>
          <w:color w:val="auto"/>
          <w:kern w:val="0"/>
        </w:rPr>
        <w:t>4.2</w:t>
      </w:r>
      <w:r>
        <w:rPr>
          <w:rFonts w:hint="eastAsia" w:cs="宋体"/>
          <w:b/>
          <w:color w:val="auto"/>
          <w:kern w:val="0"/>
          <w:lang w:eastAsia="zh-CN"/>
        </w:rPr>
        <w:t>响应</w:t>
      </w:r>
      <w:r>
        <w:rPr>
          <w:rFonts w:hint="eastAsia" w:cs="宋体"/>
          <w:b/>
          <w:color w:val="auto"/>
          <w:kern w:val="0"/>
        </w:rPr>
        <w:t>无效。</w:t>
      </w:r>
      <w:r>
        <w:rPr>
          <w:rFonts w:hint="eastAsia" w:cs="宋体"/>
          <w:color w:val="auto"/>
          <w:szCs w:val="21"/>
        </w:rPr>
        <w:t>有下列情形之一的，</w:t>
      </w:r>
      <w:r>
        <w:rPr>
          <w:rFonts w:hint="eastAsia" w:cs="宋体"/>
          <w:color w:val="auto"/>
          <w:szCs w:val="21"/>
          <w:lang w:eastAsia="zh-CN"/>
        </w:rPr>
        <w:t>响应</w:t>
      </w:r>
      <w:r>
        <w:rPr>
          <w:rFonts w:hint="eastAsia" w:cs="宋体"/>
          <w:color w:val="auto"/>
          <w:szCs w:val="21"/>
        </w:rPr>
        <w:t>无效：</w:t>
      </w:r>
    </w:p>
    <w:p w14:paraId="7720F1C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eastAsia="zh-CN"/>
        </w:rPr>
        <w:t>供应商</w:t>
      </w:r>
      <w:r>
        <w:rPr>
          <w:rFonts w:hint="eastAsia" w:ascii="宋体" w:hAnsi="宋体" w:cs="宋体"/>
          <w:color w:val="auto"/>
          <w:kern w:val="0"/>
          <w:sz w:val="24"/>
        </w:rPr>
        <w:t>不具备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中规定的资格要求的（</w:t>
      </w:r>
      <w:r>
        <w:rPr>
          <w:rFonts w:hint="eastAsia" w:ascii="宋体" w:hAnsi="宋体" w:cs="宋体"/>
          <w:color w:val="auto"/>
          <w:kern w:val="0"/>
          <w:sz w:val="24"/>
          <w:lang w:eastAsia="zh-CN"/>
        </w:rPr>
        <w:t>供应商</w:t>
      </w:r>
      <w:r>
        <w:rPr>
          <w:rFonts w:hint="eastAsia" w:ascii="宋体" w:hAnsi="宋体" w:cs="宋体"/>
          <w:color w:val="auto"/>
          <w:kern w:val="0"/>
          <w:sz w:val="24"/>
        </w:rPr>
        <w:t>未提供有效的资格文件的，视为</w:t>
      </w:r>
      <w:r>
        <w:rPr>
          <w:rFonts w:hint="eastAsia" w:ascii="宋体" w:hAnsi="宋体" w:cs="宋体"/>
          <w:color w:val="auto"/>
          <w:kern w:val="0"/>
          <w:sz w:val="24"/>
          <w:lang w:eastAsia="zh-CN"/>
        </w:rPr>
        <w:t>供应商</w:t>
      </w:r>
      <w:r>
        <w:rPr>
          <w:rFonts w:hint="eastAsia" w:ascii="宋体" w:hAnsi="宋体" w:cs="宋体"/>
          <w:color w:val="auto"/>
          <w:kern w:val="0"/>
          <w:sz w:val="24"/>
        </w:rPr>
        <w:t>不具备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中规定的资格要求）；</w:t>
      </w:r>
    </w:p>
    <w:p w14:paraId="46B4D2D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w:t>
      </w:r>
      <w:r>
        <w:rPr>
          <w:rFonts w:hint="eastAsia" w:ascii="宋体" w:hAnsi="宋体" w:cs="宋体"/>
          <w:color w:val="auto"/>
          <w:kern w:val="0"/>
          <w:sz w:val="24"/>
          <w:lang w:eastAsia="zh-CN"/>
        </w:rPr>
        <w:t>响应文件</w:t>
      </w:r>
      <w:r>
        <w:rPr>
          <w:rFonts w:hint="eastAsia" w:ascii="宋体" w:hAnsi="宋体" w:cs="宋体"/>
          <w:color w:val="auto"/>
          <w:kern w:val="0"/>
          <w:sz w:val="24"/>
        </w:rPr>
        <w:t>未按照</w:t>
      </w:r>
      <w:r>
        <w:rPr>
          <w:rFonts w:hint="eastAsia" w:ascii="宋体" w:hAnsi="宋体" w:cs="宋体"/>
          <w:color w:val="auto"/>
          <w:kern w:val="0"/>
          <w:sz w:val="24"/>
          <w:lang w:eastAsia="zh-CN"/>
        </w:rPr>
        <w:t>交易文件</w:t>
      </w:r>
      <w:r>
        <w:rPr>
          <w:rFonts w:hint="eastAsia" w:ascii="宋体" w:hAnsi="宋体" w:cs="宋体"/>
          <w:color w:val="auto"/>
          <w:kern w:val="0"/>
          <w:sz w:val="24"/>
        </w:rPr>
        <w:t>要求签署、盖章的；</w:t>
      </w:r>
    </w:p>
    <w:p w14:paraId="0DA0DC7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w:t>
      </w:r>
      <w:r>
        <w:rPr>
          <w:rFonts w:hint="eastAsia" w:ascii="宋体" w:hAnsi="宋体" w:cs="宋体"/>
          <w:color w:val="auto"/>
          <w:kern w:val="0"/>
          <w:sz w:val="24"/>
          <w:lang w:eastAsia="zh-CN"/>
        </w:rPr>
        <w:t>交易发起人</w:t>
      </w:r>
      <w:r>
        <w:rPr>
          <w:rFonts w:hint="eastAsia" w:ascii="宋体" w:hAnsi="宋体" w:cs="宋体"/>
          <w:color w:val="auto"/>
          <w:kern w:val="0"/>
          <w:sz w:val="24"/>
        </w:rPr>
        <w:t>拟采购的产品属于政府强制采购的节能产品品目清单范围的，</w:t>
      </w:r>
      <w:r>
        <w:rPr>
          <w:rFonts w:hint="eastAsia" w:ascii="宋体" w:hAnsi="宋体" w:cs="宋体"/>
          <w:color w:val="auto"/>
          <w:kern w:val="0"/>
          <w:sz w:val="24"/>
          <w:lang w:eastAsia="zh-CN"/>
        </w:rPr>
        <w:t>供应商</w:t>
      </w:r>
      <w:r>
        <w:rPr>
          <w:rFonts w:hint="eastAsia" w:ascii="宋体" w:hAnsi="宋体" w:cs="宋体"/>
          <w:color w:val="auto"/>
          <w:kern w:val="0"/>
          <w:sz w:val="24"/>
        </w:rPr>
        <w:t>相应的</w:t>
      </w:r>
      <w:r>
        <w:rPr>
          <w:rFonts w:hint="eastAsia" w:ascii="宋体" w:hAnsi="宋体" w:cs="宋体"/>
          <w:color w:val="auto"/>
          <w:kern w:val="0"/>
          <w:sz w:val="24"/>
          <w:lang w:eastAsia="zh-CN"/>
        </w:rPr>
        <w:t>响应</w:t>
      </w:r>
      <w:r>
        <w:rPr>
          <w:rFonts w:hint="eastAsia" w:ascii="宋体" w:hAnsi="宋体" w:cs="宋体"/>
          <w:color w:val="auto"/>
          <w:kern w:val="0"/>
          <w:sz w:val="24"/>
        </w:rPr>
        <w:t>产品未获得国家确定的认证机构出具的、处于有效期之内的节能产品认证证书的；</w:t>
      </w:r>
    </w:p>
    <w:p w14:paraId="168CDD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w:t>
      </w:r>
      <w:r>
        <w:rPr>
          <w:rFonts w:hint="eastAsia" w:ascii="宋体" w:hAnsi="宋体" w:cs="宋体"/>
          <w:color w:val="auto"/>
          <w:kern w:val="0"/>
          <w:sz w:val="24"/>
          <w:lang w:eastAsia="zh-CN"/>
        </w:rPr>
        <w:t>响应文件</w:t>
      </w:r>
      <w:r>
        <w:rPr>
          <w:rFonts w:hint="eastAsia" w:ascii="宋体" w:hAnsi="宋体" w:cs="宋体"/>
          <w:color w:val="auto"/>
          <w:kern w:val="0"/>
          <w:sz w:val="24"/>
        </w:rPr>
        <w:t>含有</w:t>
      </w:r>
      <w:r>
        <w:rPr>
          <w:rFonts w:hint="eastAsia" w:ascii="宋体" w:hAnsi="宋体" w:cs="宋体"/>
          <w:color w:val="auto"/>
          <w:kern w:val="0"/>
          <w:sz w:val="24"/>
          <w:lang w:eastAsia="zh-CN"/>
        </w:rPr>
        <w:t>交易发起人</w:t>
      </w:r>
      <w:r>
        <w:rPr>
          <w:rFonts w:hint="eastAsia" w:ascii="宋体" w:hAnsi="宋体" w:cs="宋体"/>
          <w:color w:val="auto"/>
          <w:kern w:val="0"/>
          <w:sz w:val="24"/>
        </w:rPr>
        <w:t>不能接受的附加条件的；</w:t>
      </w:r>
    </w:p>
    <w:p w14:paraId="1AB9EDA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w:t>
      </w:r>
      <w:r>
        <w:rPr>
          <w:rFonts w:hint="eastAsia" w:ascii="宋体" w:hAnsi="宋体" w:cs="宋体"/>
          <w:color w:val="auto"/>
          <w:kern w:val="0"/>
          <w:sz w:val="24"/>
          <w:lang w:eastAsia="zh-CN"/>
        </w:rPr>
        <w:t>响应文件</w:t>
      </w:r>
      <w:r>
        <w:rPr>
          <w:rFonts w:hint="eastAsia" w:ascii="宋体" w:hAnsi="宋体" w:cs="宋体"/>
          <w:color w:val="auto"/>
          <w:kern w:val="0"/>
          <w:sz w:val="24"/>
        </w:rPr>
        <w:t>中承诺的</w:t>
      </w:r>
      <w:r>
        <w:rPr>
          <w:rFonts w:hint="eastAsia" w:ascii="宋体" w:hAnsi="宋体" w:cs="宋体"/>
          <w:color w:val="auto"/>
          <w:kern w:val="0"/>
          <w:sz w:val="24"/>
          <w:lang w:eastAsia="zh-CN"/>
        </w:rPr>
        <w:t>响应</w:t>
      </w:r>
      <w:r>
        <w:rPr>
          <w:rFonts w:hint="eastAsia" w:ascii="宋体" w:hAnsi="宋体" w:cs="宋体"/>
          <w:color w:val="auto"/>
          <w:kern w:val="0"/>
          <w:sz w:val="24"/>
        </w:rPr>
        <w:t>有效期少于</w:t>
      </w:r>
      <w:r>
        <w:rPr>
          <w:rFonts w:hint="eastAsia" w:ascii="宋体" w:hAnsi="宋体" w:cs="宋体"/>
          <w:color w:val="auto"/>
          <w:kern w:val="0"/>
          <w:sz w:val="24"/>
          <w:lang w:eastAsia="zh-CN"/>
        </w:rPr>
        <w:t>交易文件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w:t>
      </w:r>
    </w:p>
    <w:p w14:paraId="3CB83F50">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w:t>
      </w:r>
      <w:r>
        <w:rPr>
          <w:rFonts w:hint="eastAsia" w:ascii="宋体" w:hAnsi="宋体" w:cs="宋体"/>
          <w:color w:val="auto"/>
          <w:kern w:val="0"/>
          <w:sz w:val="24"/>
          <w:lang w:eastAsia="zh-CN"/>
        </w:rPr>
        <w:t>响应文件</w:t>
      </w:r>
      <w:r>
        <w:rPr>
          <w:rFonts w:hint="eastAsia" w:ascii="宋体" w:hAnsi="宋体" w:cs="宋体"/>
          <w:color w:val="auto"/>
          <w:kern w:val="0"/>
          <w:sz w:val="24"/>
        </w:rPr>
        <w:t>出现不是唯一的、有选择性</w:t>
      </w:r>
      <w:r>
        <w:rPr>
          <w:rFonts w:hint="eastAsia" w:ascii="宋体" w:hAnsi="宋体" w:cs="宋体"/>
          <w:color w:val="auto"/>
          <w:kern w:val="0"/>
          <w:sz w:val="24"/>
          <w:lang w:eastAsia="zh-CN"/>
        </w:rPr>
        <w:t>响应</w:t>
      </w:r>
      <w:r>
        <w:rPr>
          <w:rFonts w:hint="eastAsia" w:ascii="宋体" w:hAnsi="宋体" w:cs="宋体"/>
          <w:color w:val="auto"/>
          <w:kern w:val="0"/>
          <w:sz w:val="24"/>
        </w:rPr>
        <w:t>报价的;</w:t>
      </w:r>
    </w:p>
    <w:p w14:paraId="7758CC7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lang w:eastAsia="zh-CN"/>
        </w:rPr>
        <w:t>响应</w:t>
      </w:r>
      <w:r>
        <w:rPr>
          <w:rFonts w:hint="eastAsia" w:ascii="宋体" w:hAnsi="宋体" w:cs="宋体"/>
          <w:color w:val="auto"/>
          <w:kern w:val="0"/>
          <w:sz w:val="24"/>
        </w:rPr>
        <w:t>报价超过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中规定的预算金额或者最高限价的;</w:t>
      </w:r>
    </w:p>
    <w:p w14:paraId="5EDEE1A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w:t>
      </w:r>
      <w:r>
        <w:rPr>
          <w:rFonts w:hint="eastAsia" w:ascii="宋体" w:hAnsi="宋体" w:cs="宋体"/>
          <w:color w:val="auto"/>
          <w:kern w:val="0"/>
          <w:sz w:val="24"/>
          <w:lang w:eastAsia="zh-CN"/>
        </w:rPr>
        <w:t>供应商</w:t>
      </w:r>
      <w:r>
        <w:rPr>
          <w:rFonts w:hint="eastAsia" w:ascii="宋体" w:hAnsi="宋体" w:cs="宋体"/>
          <w:color w:val="auto"/>
          <w:kern w:val="0"/>
          <w:sz w:val="24"/>
        </w:rPr>
        <w:t>的报价，有可能影响产品质量或者不能诚信履约的，未能按要求提供书面说明或者提交相关证明材料，不能证明其报价合理性的;</w:t>
      </w:r>
    </w:p>
    <w:p w14:paraId="34535BA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w:t>
      </w:r>
      <w:r>
        <w:rPr>
          <w:rFonts w:hint="eastAsia" w:ascii="宋体" w:hAnsi="宋体" w:cs="宋体"/>
          <w:color w:val="auto"/>
          <w:kern w:val="0"/>
          <w:sz w:val="24"/>
          <w:lang w:eastAsia="zh-CN"/>
        </w:rPr>
        <w:t>供应商</w:t>
      </w:r>
      <w:r>
        <w:rPr>
          <w:rFonts w:hint="eastAsia" w:ascii="宋体" w:hAnsi="宋体" w:cs="宋体"/>
          <w:color w:val="auto"/>
          <w:kern w:val="0"/>
          <w:sz w:val="24"/>
        </w:rPr>
        <w:t>对根据修正原则修正后的报价不确认的；</w:t>
      </w:r>
    </w:p>
    <w:p w14:paraId="5A2486B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w:t>
      </w:r>
      <w:r>
        <w:rPr>
          <w:rFonts w:hint="eastAsia" w:ascii="宋体" w:hAnsi="宋体" w:cs="宋体"/>
          <w:color w:val="auto"/>
          <w:kern w:val="0"/>
          <w:sz w:val="24"/>
          <w:lang w:eastAsia="zh-CN"/>
        </w:rPr>
        <w:t>供应商</w:t>
      </w:r>
      <w:r>
        <w:rPr>
          <w:rFonts w:hint="eastAsia" w:ascii="宋体" w:hAnsi="宋体" w:cs="宋体"/>
          <w:color w:val="auto"/>
          <w:kern w:val="0"/>
          <w:sz w:val="24"/>
        </w:rPr>
        <w:t>提供虚假材料</w:t>
      </w:r>
      <w:r>
        <w:rPr>
          <w:rFonts w:hint="eastAsia" w:ascii="宋体" w:hAnsi="宋体" w:cs="宋体"/>
          <w:color w:val="auto"/>
          <w:kern w:val="0"/>
          <w:sz w:val="24"/>
          <w:lang w:eastAsia="zh-CN"/>
        </w:rPr>
        <w:t>响应</w:t>
      </w:r>
      <w:r>
        <w:rPr>
          <w:rFonts w:hint="eastAsia" w:ascii="宋体" w:hAnsi="宋体" w:cs="宋体"/>
          <w:color w:val="auto"/>
          <w:kern w:val="0"/>
          <w:sz w:val="24"/>
        </w:rPr>
        <w:t>的；</w:t>
      </w:r>
    </w:p>
    <w:p w14:paraId="763BAC18">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w:t>
      </w:r>
      <w:r>
        <w:rPr>
          <w:rFonts w:hint="eastAsia" w:ascii="宋体" w:hAnsi="宋体" w:cs="宋体"/>
          <w:color w:val="auto"/>
          <w:kern w:val="0"/>
          <w:sz w:val="24"/>
          <w:lang w:eastAsia="zh-CN"/>
        </w:rPr>
        <w:t>供应商</w:t>
      </w:r>
      <w:r>
        <w:rPr>
          <w:rFonts w:hint="eastAsia" w:ascii="宋体" w:hAnsi="宋体" w:cs="宋体"/>
          <w:color w:val="auto"/>
          <w:kern w:val="0"/>
          <w:sz w:val="24"/>
        </w:rPr>
        <w:t>有恶意串通、妨碍其他</w:t>
      </w:r>
      <w:r>
        <w:rPr>
          <w:rFonts w:hint="eastAsia" w:ascii="宋体" w:hAnsi="宋体" w:cs="宋体"/>
          <w:color w:val="auto"/>
          <w:kern w:val="0"/>
          <w:sz w:val="24"/>
          <w:lang w:eastAsia="zh-CN"/>
        </w:rPr>
        <w:t>供应商</w:t>
      </w:r>
      <w:r>
        <w:rPr>
          <w:rFonts w:hint="eastAsia" w:ascii="宋体" w:hAnsi="宋体" w:cs="宋体"/>
          <w:color w:val="auto"/>
          <w:kern w:val="0"/>
          <w:sz w:val="24"/>
        </w:rPr>
        <w:t>的竞争行为、损害</w:t>
      </w:r>
      <w:r>
        <w:rPr>
          <w:rFonts w:hint="eastAsia" w:ascii="宋体" w:hAnsi="宋体" w:cs="宋体"/>
          <w:color w:val="auto"/>
          <w:kern w:val="0"/>
          <w:sz w:val="24"/>
          <w:lang w:eastAsia="zh-CN"/>
        </w:rPr>
        <w:t>交易发起人</w:t>
      </w:r>
      <w:r>
        <w:rPr>
          <w:rFonts w:hint="eastAsia" w:ascii="宋体" w:hAnsi="宋体" w:cs="宋体"/>
          <w:color w:val="auto"/>
          <w:kern w:val="0"/>
          <w:sz w:val="24"/>
        </w:rPr>
        <w:t>或者其他</w:t>
      </w:r>
      <w:r>
        <w:rPr>
          <w:rFonts w:hint="eastAsia" w:ascii="宋体" w:hAnsi="宋体" w:cs="宋体"/>
          <w:color w:val="auto"/>
          <w:kern w:val="0"/>
          <w:sz w:val="24"/>
          <w:lang w:eastAsia="zh-CN"/>
        </w:rPr>
        <w:t>供应商</w:t>
      </w:r>
      <w:r>
        <w:rPr>
          <w:rFonts w:hint="eastAsia" w:ascii="宋体" w:hAnsi="宋体" w:cs="宋体"/>
          <w:color w:val="auto"/>
          <w:kern w:val="0"/>
          <w:sz w:val="24"/>
        </w:rPr>
        <w:t>的合法权益情形的；</w:t>
      </w:r>
    </w:p>
    <w:p w14:paraId="3FF1767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w:t>
      </w:r>
      <w:r>
        <w:rPr>
          <w:rFonts w:hint="eastAsia" w:ascii="宋体" w:hAnsi="宋体" w:cs="宋体"/>
          <w:color w:val="auto"/>
          <w:kern w:val="0"/>
          <w:sz w:val="24"/>
          <w:lang w:eastAsia="zh-CN"/>
        </w:rPr>
        <w:t>供应商</w:t>
      </w:r>
      <w:r>
        <w:rPr>
          <w:rFonts w:hint="eastAsia" w:ascii="宋体" w:hAnsi="宋体" w:cs="宋体"/>
          <w:color w:val="auto"/>
          <w:kern w:val="0"/>
          <w:sz w:val="24"/>
        </w:rPr>
        <w:t>仅提交备份</w:t>
      </w:r>
      <w:r>
        <w:rPr>
          <w:rFonts w:hint="eastAsia" w:ascii="宋体" w:hAnsi="宋体" w:cs="宋体"/>
          <w:color w:val="auto"/>
          <w:kern w:val="0"/>
          <w:sz w:val="24"/>
          <w:lang w:eastAsia="zh-CN"/>
        </w:rPr>
        <w:t>响应文件</w:t>
      </w:r>
      <w:r>
        <w:rPr>
          <w:rFonts w:hint="eastAsia" w:ascii="宋体" w:hAnsi="宋体" w:cs="宋体"/>
          <w:color w:val="auto"/>
          <w:kern w:val="0"/>
          <w:sz w:val="24"/>
        </w:rPr>
        <w:t>，未在电子交易平台传输递交</w:t>
      </w:r>
      <w:r>
        <w:rPr>
          <w:rFonts w:hint="eastAsia" w:ascii="宋体" w:hAnsi="宋体" w:cs="宋体"/>
          <w:color w:val="auto"/>
          <w:kern w:val="0"/>
          <w:sz w:val="24"/>
          <w:lang w:eastAsia="zh-CN"/>
        </w:rPr>
        <w:t>响应文件</w:t>
      </w:r>
      <w:r>
        <w:rPr>
          <w:rFonts w:hint="eastAsia" w:ascii="宋体" w:hAnsi="宋体" w:cs="宋体"/>
          <w:color w:val="auto"/>
          <w:kern w:val="0"/>
          <w:sz w:val="24"/>
        </w:rPr>
        <w:t>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213BF0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w:t>
      </w:r>
      <w:r>
        <w:rPr>
          <w:rFonts w:hint="eastAsia" w:ascii="宋体" w:hAnsi="宋体" w:cs="宋体"/>
          <w:color w:val="auto"/>
          <w:kern w:val="0"/>
          <w:sz w:val="24"/>
          <w:lang w:eastAsia="zh-CN"/>
        </w:rPr>
        <w:t>供应商</w:t>
      </w:r>
      <w:r>
        <w:rPr>
          <w:rFonts w:hint="eastAsia" w:ascii="宋体" w:hAnsi="宋体" w:cs="宋体"/>
          <w:color w:val="auto"/>
          <w:kern w:val="0"/>
          <w:sz w:val="24"/>
        </w:rPr>
        <w:t>未提供样品或提供的样品不满足采购需求实质性条件的，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6AD665AC">
      <w:pPr>
        <w:pStyle w:val="4"/>
        <w:ind w:left="862" w:leftChars="205"/>
        <w:rPr>
          <w:color w:val="auto"/>
        </w:rPr>
      </w:pPr>
      <w:r>
        <w:rPr>
          <w:rFonts w:hint="eastAsia" w:ascii="宋体" w:hAnsi="宋体" w:eastAsia="宋体" w:cs="宋体"/>
          <w:b w:val="0"/>
          <w:bCs w:val="0"/>
          <w:color w:val="auto"/>
          <w:kern w:val="0"/>
          <w:sz w:val="24"/>
          <w:szCs w:val="24"/>
          <w:lang w:val="en-US"/>
        </w:rPr>
        <w:t xml:space="preserve">4.2.14 </w:t>
      </w:r>
      <w:r>
        <w:rPr>
          <w:rFonts w:hint="eastAsia" w:ascii="宋体" w:hAnsi="宋体" w:eastAsia="宋体" w:cs="宋体"/>
          <w:b w:val="0"/>
          <w:bCs w:val="0"/>
          <w:color w:val="auto"/>
          <w:kern w:val="0"/>
          <w:sz w:val="24"/>
          <w:szCs w:val="24"/>
          <w:lang w:val="en-US" w:eastAsia="zh-CN"/>
        </w:rPr>
        <w:t>响应文件</w:t>
      </w:r>
      <w:r>
        <w:rPr>
          <w:rFonts w:hint="eastAsia" w:ascii="宋体" w:hAnsi="宋体" w:eastAsia="宋体" w:cs="宋体"/>
          <w:b w:val="0"/>
          <w:bCs w:val="0"/>
          <w:color w:val="auto"/>
          <w:kern w:val="0"/>
          <w:sz w:val="24"/>
          <w:szCs w:val="24"/>
          <w:lang w:val="en-US"/>
        </w:rPr>
        <w:t>不满足</w:t>
      </w:r>
      <w:r>
        <w:rPr>
          <w:rFonts w:hint="eastAsia" w:ascii="宋体" w:hAnsi="宋体" w:eastAsia="宋体" w:cs="宋体"/>
          <w:b w:val="0"/>
          <w:bCs w:val="0"/>
          <w:color w:val="auto"/>
          <w:kern w:val="0"/>
          <w:sz w:val="24"/>
          <w:szCs w:val="24"/>
          <w:lang w:val="en-US" w:eastAsia="zh-CN"/>
        </w:rPr>
        <w:t>交易文件</w:t>
      </w:r>
      <w:r>
        <w:rPr>
          <w:rFonts w:hint="eastAsia" w:ascii="宋体" w:hAnsi="宋体" w:eastAsia="宋体" w:cs="宋体"/>
          <w:b w:val="0"/>
          <w:bCs w:val="0"/>
          <w:color w:val="auto"/>
          <w:kern w:val="0"/>
          <w:sz w:val="24"/>
          <w:szCs w:val="24"/>
          <w:lang w:val="en-US"/>
        </w:rPr>
        <w:t>的实质性要求的；</w:t>
      </w:r>
    </w:p>
    <w:p w14:paraId="44FC91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26E9AEF6">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E8317AC">
      <w:pPr>
        <w:pStyle w:val="24"/>
        <w:snapToGrid w:val="0"/>
        <w:spacing w:line="360" w:lineRule="auto"/>
        <w:rPr>
          <w:rFonts w:cs="宋体"/>
          <w:b/>
          <w:bCs/>
          <w:color w:val="auto"/>
          <w:highlight w:val="none"/>
        </w:rPr>
      </w:pPr>
      <w:r>
        <w:rPr>
          <w:rFonts w:hint="eastAsia" w:cs="宋体"/>
          <w:b/>
          <w:bCs/>
          <w:color w:val="auto"/>
          <w:highlight w:val="none"/>
        </w:rPr>
        <w:t>5.1符合专业条件的供应商或者对</w:t>
      </w:r>
      <w:r>
        <w:rPr>
          <w:rFonts w:hint="eastAsia" w:cs="宋体"/>
          <w:b/>
          <w:bCs/>
          <w:color w:val="auto"/>
          <w:highlight w:val="none"/>
          <w:lang w:eastAsia="zh-CN"/>
        </w:rPr>
        <w:t>交易文件</w:t>
      </w:r>
      <w:r>
        <w:rPr>
          <w:rFonts w:hint="eastAsia" w:cs="宋体"/>
          <w:b/>
          <w:bCs/>
          <w:color w:val="auto"/>
          <w:highlight w:val="none"/>
        </w:rPr>
        <w:t>作实质响应的供应商不足</w:t>
      </w:r>
      <w:r>
        <w:rPr>
          <w:rFonts w:hint="eastAsia" w:cs="宋体"/>
          <w:b/>
          <w:bCs/>
          <w:color w:val="auto"/>
          <w:highlight w:val="none"/>
          <w:lang w:val="en-US" w:eastAsia="zh-CN"/>
        </w:rPr>
        <w:t>7</w:t>
      </w:r>
      <w:r>
        <w:rPr>
          <w:rFonts w:hint="eastAsia" w:cs="宋体"/>
          <w:b/>
          <w:bCs/>
          <w:color w:val="auto"/>
          <w:highlight w:val="none"/>
        </w:rPr>
        <w:t>家的；</w:t>
      </w:r>
    </w:p>
    <w:p w14:paraId="4487593D">
      <w:pPr>
        <w:pStyle w:val="24"/>
        <w:snapToGrid w:val="0"/>
        <w:spacing w:line="360" w:lineRule="auto"/>
        <w:rPr>
          <w:rFonts w:cs="宋体"/>
          <w:color w:val="auto"/>
        </w:rPr>
      </w:pPr>
      <w:r>
        <w:rPr>
          <w:rFonts w:hint="eastAsia" w:cs="宋体"/>
          <w:color w:val="auto"/>
        </w:rPr>
        <w:t>5.2出现影响采购公正的违法、违规行为的；</w:t>
      </w:r>
    </w:p>
    <w:p w14:paraId="618F1AFB">
      <w:pPr>
        <w:pStyle w:val="24"/>
        <w:snapToGrid w:val="0"/>
        <w:spacing w:line="360" w:lineRule="auto"/>
        <w:rPr>
          <w:rFonts w:cs="宋体"/>
          <w:color w:val="auto"/>
        </w:rPr>
      </w:pPr>
      <w:r>
        <w:rPr>
          <w:rFonts w:hint="eastAsia" w:cs="宋体"/>
          <w:color w:val="auto"/>
        </w:rPr>
        <w:t>5.3</w:t>
      </w:r>
      <w:r>
        <w:rPr>
          <w:rFonts w:hint="eastAsia" w:cs="宋体"/>
          <w:color w:val="auto"/>
          <w:lang w:eastAsia="zh-CN"/>
        </w:rPr>
        <w:t>供应商</w:t>
      </w:r>
      <w:r>
        <w:rPr>
          <w:rFonts w:hint="eastAsia" w:cs="宋体"/>
          <w:color w:val="auto"/>
        </w:rPr>
        <w:t>的报价均超过了采购预算，</w:t>
      </w:r>
      <w:r>
        <w:rPr>
          <w:rFonts w:hint="eastAsia" w:cs="宋体"/>
          <w:color w:val="auto"/>
          <w:lang w:eastAsia="zh-CN"/>
        </w:rPr>
        <w:t>交易发起人</w:t>
      </w:r>
      <w:r>
        <w:rPr>
          <w:rFonts w:hint="eastAsia" w:cs="宋体"/>
          <w:color w:val="auto"/>
        </w:rPr>
        <w:t>不能支付的；</w:t>
      </w:r>
    </w:p>
    <w:p w14:paraId="2309ACC3">
      <w:pPr>
        <w:pStyle w:val="24"/>
        <w:snapToGrid w:val="0"/>
        <w:spacing w:line="360" w:lineRule="auto"/>
        <w:rPr>
          <w:rFonts w:cs="宋体"/>
          <w:color w:val="auto"/>
        </w:rPr>
      </w:pPr>
      <w:r>
        <w:rPr>
          <w:rFonts w:hint="eastAsia" w:cs="宋体"/>
          <w:color w:val="auto"/>
        </w:rPr>
        <w:t>5.4因重大变故，采购任务取消的。</w:t>
      </w:r>
    </w:p>
    <w:p w14:paraId="5CDE821E">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代理机构</w:t>
      </w:r>
      <w:r>
        <w:rPr>
          <w:rFonts w:hint="eastAsia" w:cs="宋体"/>
          <w:color w:val="auto"/>
        </w:rPr>
        <w:t>应当将废标理由通知所有</w:t>
      </w:r>
      <w:r>
        <w:rPr>
          <w:rFonts w:hint="eastAsia" w:cs="宋体"/>
          <w:color w:val="auto"/>
          <w:lang w:eastAsia="zh-CN"/>
        </w:rPr>
        <w:t>供应商</w:t>
      </w:r>
      <w:r>
        <w:rPr>
          <w:rFonts w:hint="eastAsia" w:cs="宋体"/>
          <w:color w:val="auto"/>
        </w:rPr>
        <w:t>。</w:t>
      </w:r>
    </w:p>
    <w:p w14:paraId="664D3D81">
      <w:pPr>
        <w:pStyle w:val="24"/>
        <w:snapToGrid w:val="0"/>
        <w:spacing w:line="360" w:lineRule="auto"/>
        <w:ind w:firstLine="590" w:firstLineChars="245"/>
        <w:rPr>
          <w:rFonts w:cs="宋体"/>
          <w:color w:val="auto"/>
        </w:rPr>
      </w:pPr>
      <w:r>
        <w:rPr>
          <w:rFonts w:hint="eastAsia" w:cs="宋体"/>
          <w:b/>
          <w:color w:val="auto"/>
        </w:rPr>
        <w:t>6.修改</w:t>
      </w:r>
      <w:r>
        <w:rPr>
          <w:rFonts w:hint="eastAsia" w:cs="宋体"/>
          <w:b/>
          <w:color w:val="auto"/>
          <w:lang w:eastAsia="zh-CN"/>
        </w:rPr>
        <w:t>交易文件</w:t>
      </w:r>
      <w:r>
        <w:rPr>
          <w:rFonts w:hint="eastAsia" w:cs="宋体"/>
          <w:b/>
          <w:color w:val="auto"/>
        </w:rPr>
        <w:t>，重新组织采购活动。</w:t>
      </w:r>
      <w:r>
        <w:rPr>
          <w:rFonts w:hint="eastAsia" w:cs="宋体"/>
          <w:color w:val="auto"/>
        </w:rPr>
        <w:t>评标委员会发现</w:t>
      </w:r>
      <w:r>
        <w:rPr>
          <w:rFonts w:hint="eastAsia" w:cs="宋体"/>
          <w:color w:val="auto"/>
          <w:lang w:eastAsia="zh-CN"/>
        </w:rPr>
        <w:t>交易文件</w:t>
      </w:r>
      <w:r>
        <w:rPr>
          <w:rFonts w:hint="eastAsia" w:cs="宋体"/>
          <w:color w:val="auto"/>
        </w:rPr>
        <w:t>存在歧义、重大缺陷导致评标工作无法进行，或者</w:t>
      </w:r>
      <w:r>
        <w:rPr>
          <w:rFonts w:hint="eastAsia" w:cs="宋体"/>
          <w:color w:val="auto"/>
          <w:lang w:eastAsia="zh-CN"/>
        </w:rPr>
        <w:t>交易文件</w:t>
      </w:r>
      <w:r>
        <w:rPr>
          <w:rFonts w:hint="eastAsia" w:cs="宋体"/>
          <w:color w:val="auto"/>
        </w:rPr>
        <w:t>内容违反国家有关强制性规定的，将停止评标工作，并与</w:t>
      </w:r>
      <w:r>
        <w:rPr>
          <w:rFonts w:hint="eastAsia" w:cs="宋体"/>
          <w:color w:val="auto"/>
          <w:lang w:eastAsia="zh-CN"/>
        </w:rPr>
        <w:t>交易发起人</w:t>
      </w:r>
      <w:r>
        <w:rPr>
          <w:rFonts w:hint="eastAsia" w:cs="宋体"/>
          <w:color w:val="auto"/>
        </w:rPr>
        <w:t>、</w:t>
      </w:r>
      <w:r>
        <w:rPr>
          <w:rFonts w:hint="eastAsia" w:cs="宋体"/>
          <w:color w:val="auto"/>
          <w:lang w:eastAsia="zh-CN"/>
        </w:rPr>
        <w:t>代理机构</w:t>
      </w:r>
      <w:r>
        <w:rPr>
          <w:rFonts w:hint="eastAsia" w:cs="宋体"/>
          <w:color w:val="auto"/>
        </w:rPr>
        <w:t>沟通并作书面记录。</w:t>
      </w:r>
      <w:r>
        <w:rPr>
          <w:rFonts w:hint="eastAsia" w:cs="宋体"/>
          <w:color w:val="auto"/>
          <w:lang w:eastAsia="zh-CN"/>
        </w:rPr>
        <w:t>交易发起人</w:t>
      </w:r>
      <w:r>
        <w:rPr>
          <w:rFonts w:hint="eastAsia" w:cs="宋体"/>
          <w:color w:val="auto"/>
        </w:rPr>
        <w:t>、</w:t>
      </w:r>
      <w:r>
        <w:rPr>
          <w:rFonts w:hint="eastAsia" w:cs="宋体"/>
          <w:color w:val="auto"/>
          <w:lang w:eastAsia="zh-CN"/>
        </w:rPr>
        <w:t>代理机构</w:t>
      </w:r>
      <w:r>
        <w:rPr>
          <w:rFonts w:hint="eastAsia" w:cs="宋体"/>
          <w:color w:val="auto"/>
        </w:rPr>
        <w:t>确认后，将修改</w:t>
      </w:r>
      <w:r>
        <w:rPr>
          <w:rFonts w:hint="eastAsia" w:cs="宋体"/>
          <w:color w:val="auto"/>
          <w:lang w:eastAsia="zh-CN"/>
        </w:rPr>
        <w:t>交易文件</w:t>
      </w:r>
      <w:r>
        <w:rPr>
          <w:rFonts w:hint="eastAsia" w:cs="宋体"/>
          <w:color w:val="auto"/>
        </w:rPr>
        <w:t>，重新组织采购活动。</w:t>
      </w:r>
    </w:p>
    <w:p w14:paraId="25F89DCE">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6F28013">
      <w:pPr>
        <w:pStyle w:val="24"/>
        <w:snapToGrid w:val="0"/>
        <w:spacing w:line="360" w:lineRule="auto"/>
        <w:rPr>
          <w:rFonts w:cs="宋体"/>
          <w:color w:val="auto"/>
        </w:rPr>
      </w:pPr>
      <w:r>
        <w:rPr>
          <w:rFonts w:hint="eastAsia" w:cs="宋体"/>
          <w:color w:val="auto"/>
        </w:rPr>
        <w:t>7.1未确定中标供应商的，终止本次</w:t>
      </w:r>
      <w:r>
        <w:rPr>
          <w:rFonts w:hint="eastAsia" w:cs="宋体"/>
          <w:color w:val="auto"/>
          <w:lang w:eastAsia="zh-CN"/>
        </w:rPr>
        <w:t>采购</w:t>
      </w:r>
      <w:r>
        <w:rPr>
          <w:rFonts w:hint="eastAsia" w:cs="宋体"/>
          <w:color w:val="auto"/>
        </w:rPr>
        <w:t>活动，重新开展</w:t>
      </w:r>
      <w:r>
        <w:rPr>
          <w:rFonts w:hint="eastAsia" w:cs="宋体"/>
          <w:color w:val="auto"/>
          <w:lang w:eastAsia="zh-CN"/>
        </w:rPr>
        <w:t>采购</w:t>
      </w:r>
      <w:r>
        <w:rPr>
          <w:rFonts w:hint="eastAsia" w:cs="宋体"/>
          <w:color w:val="auto"/>
        </w:rPr>
        <w:t>活动。</w:t>
      </w:r>
    </w:p>
    <w:p w14:paraId="46D1BE00">
      <w:pPr>
        <w:pStyle w:val="24"/>
        <w:snapToGrid w:val="0"/>
        <w:spacing w:line="360" w:lineRule="auto"/>
        <w:rPr>
          <w:rFonts w:cs="宋体"/>
          <w:color w:val="auto"/>
        </w:rPr>
      </w:pPr>
      <w:r>
        <w:rPr>
          <w:rFonts w:hint="eastAsia" w:cs="宋体"/>
          <w:color w:val="auto"/>
        </w:rPr>
        <w:t>7.2已确定中标供应商但尚未签订</w:t>
      </w:r>
      <w:r>
        <w:rPr>
          <w:rFonts w:hint="eastAsia" w:cs="宋体"/>
          <w:color w:val="auto"/>
          <w:lang w:eastAsia="zh-CN"/>
        </w:rPr>
        <w:t>采购</w:t>
      </w:r>
      <w:r>
        <w:rPr>
          <w:rFonts w:hint="eastAsia" w:cs="宋体"/>
          <w:color w:val="auto"/>
        </w:rPr>
        <w:t>合同的，中标结果无效，从合格的中标候选人中另行确定中标供应商；没有合格的中标候选人的，重新开展</w:t>
      </w:r>
      <w:r>
        <w:rPr>
          <w:rFonts w:hint="eastAsia" w:cs="宋体"/>
          <w:color w:val="auto"/>
          <w:lang w:eastAsia="zh-CN"/>
        </w:rPr>
        <w:t>采购</w:t>
      </w:r>
      <w:r>
        <w:rPr>
          <w:rFonts w:hint="eastAsia" w:cs="宋体"/>
          <w:color w:val="auto"/>
        </w:rPr>
        <w:t>活动。</w:t>
      </w:r>
    </w:p>
    <w:p w14:paraId="3BEC21D8">
      <w:pPr>
        <w:pStyle w:val="24"/>
        <w:snapToGrid w:val="0"/>
        <w:spacing w:line="360" w:lineRule="auto"/>
        <w:rPr>
          <w:rFonts w:cs="宋体"/>
          <w:color w:val="auto"/>
        </w:rPr>
      </w:pPr>
      <w:r>
        <w:rPr>
          <w:rFonts w:hint="eastAsia" w:cs="宋体"/>
          <w:color w:val="auto"/>
        </w:rPr>
        <w:t>7.3</w:t>
      </w:r>
      <w:r>
        <w:rPr>
          <w:rFonts w:hint="eastAsia" w:cs="宋体"/>
          <w:color w:val="auto"/>
          <w:lang w:eastAsia="zh-CN"/>
        </w:rPr>
        <w:t>采购</w:t>
      </w:r>
      <w:r>
        <w:rPr>
          <w:rFonts w:hint="eastAsia" w:cs="宋体"/>
          <w:color w:val="auto"/>
        </w:rPr>
        <w:t>合同已签订但尚未履行的，撤销合同，从合格的中标候选人中另行确定中标供应商；没有合格的中标候选人的，重新开展</w:t>
      </w:r>
      <w:r>
        <w:rPr>
          <w:rFonts w:hint="eastAsia" w:cs="宋体"/>
          <w:color w:val="auto"/>
          <w:lang w:eastAsia="zh-CN"/>
        </w:rPr>
        <w:t>采购</w:t>
      </w:r>
      <w:r>
        <w:rPr>
          <w:rFonts w:hint="eastAsia" w:cs="宋体"/>
          <w:color w:val="auto"/>
        </w:rPr>
        <w:t>活动。</w:t>
      </w:r>
    </w:p>
    <w:p w14:paraId="1E64453C">
      <w:pPr>
        <w:pStyle w:val="24"/>
        <w:snapToGrid w:val="0"/>
        <w:spacing w:line="360" w:lineRule="auto"/>
        <w:rPr>
          <w:rFonts w:cs="宋体"/>
          <w:color w:val="auto"/>
        </w:rPr>
      </w:pPr>
      <w:r>
        <w:rPr>
          <w:rFonts w:hint="eastAsia" w:cs="宋体"/>
          <w:color w:val="auto"/>
        </w:rPr>
        <w:t>7.4</w:t>
      </w:r>
      <w:r>
        <w:rPr>
          <w:rFonts w:hint="eastAsia" w:cs="宋体"/>
          <w:color w:val="auto"/>
          <w:lang w:eastAsia="zh-CN"/>
        </w:rPr>
        <w:t>采购</w:t>
      </w:r>
      <w:r>
        <w:rPr>
          <w:rFonts w:hint="eastAsia" w:cs="宋体"/>
          <w:color w:val="auto"/>
        </w:rPr>
        <w:t>合同已经履行，给</w:t>
      </w:r>
      <w:r>
        <w:rPr>
          <w:rFonts w:hint="eastAsia" w:cs="宋体"/>
          <w:color w:val="auto"/>
          <w:lang w:eastAsia="zh-CN"/>
        </w:rPr>
        <w:t>交易发起人</w:t>
      </w:r>
      <w:r>
        <w:rPr>
          <w:rFonts w:hint="eastAsia" w:cs="宋体"/>
          <w:color w:val="auto"/>
        </w:rPr>
        <w:t>、供应商造成损失的，由责任人承担赔偿责任。</w:t>
      </w:r>
    </w:p>
    <w:p w14:paraId="5F8E4284">
      <w:pPr>
        <w:pStyle w:val="24"/>
        <w:snapToGrid w:val="0"/>
        <w:spacing w:line="360" w:lineRule="auto"/>
        <w:rPr>
          <w:rFonts w:cs="宋体"/>
          <w:color w:val="auto"/>
        </w:rPr>
      </w:pPr>
      <w:r>
        <w:rPr>
          <w:rFonts w:hint="eastAsia" w:cs="宋体"/>
          <w:color w:val="auto"/>
        </w:rPr>
        <w:t>7.5</w:t>
      </w:r>
      <w:r>
        <w:rPr>
          <w:rFonts w:hint="eastAsia" w:cs="宋体"/>
          <w:color w:val="auto"/>
          <w:lang w:eastAsia="zh-CN"/>
        </w:rPr>
        <w:t>采购</w:t>
      </w:r>
      <w:r>
        <w:rPr>
          <w:rFonts w:hint="eastAsia" w:cs="宋体"/>
          <w:color w:val="auto"/>
        </w:rPr>
        <w:t>当事人有其他违反政府采购法或者政府采购法实施条例等法律法规规定的行为，经改正后仍然影响或者可能影响中标结果或者依法被认定为中标无效的，依照7.1-7.4规定处理。</w:t>
      </w:r>
    </w:p>
    <w:bookmarkEnd w:id="27"/>
    <w:p w14:paraId="2E0497DC">
      <w:pPr>
        <w:spacing w:line="360" w:lineRule="auto"/>
        <w:ind w:left="720" w:leftChars="343" w:firstLine="1084" w:firstLineChars="300"/>
        <w:outlineLvl w:val="0"/>
        <w:rPr>
          <w:rFonts w:ascii="宋体" w:hAnsi="宋体" w:cs="宋体"/>
          <w:b/>
          <w:color w:val="auto"/>
          <w:sz w:val="36"/>
          <w:szCs w:val="36"/>
        </w:rPr>
      </w:pPr>
      <w:bookmarkStart w:id="406" w:name="第五部分"/>
      <w:bookmarkStart w:id="407" w:name="_Toc86217003"/>
    </w:p>
    <w:p w14:paraId="1B71E184">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3B419295">
      <w:pPr>
        <w:widowControl/>
        <w:adjustRightInd/>
        <w:jc w:val="center"/>
        <w:rPr>
          <w:rFonts w:ascii="宋体" w:hAnsi="宋体" w:cs="宋体"/>
          <w:b/>
          <w:color w:val="auto"/>
          <w:sz w:val="36"/>
          <w:szCs w:val="20"/>
        </w:rPr>
      </w:pPr>
      <w:r>
        <w:rPr>
          <w:rFonts w:hint="eastAsia" w:ascii="宋体" w:hAnsi="宋体" w:cs="宋体"/>
          <w:b/>
          <w:color w:val="auto"/>
          <w:sz w:val="36"/>
          <w:szCs w:val="20"/>
        </w:rPr>
        <w:t>第</w:t>
      </w:r>
      <w:r>
        <w:rPr>
          <w:rFonts w:hint="eastAsia" w:ascii="宋体" w:hAnsi="宋体" w:cs="宋体"/>
          <w:b/>
          <w:color w:val="auto"/>
          <w:sz w:val="36"/>
          <w:szCs w:val="20"/>
          <w:lang w:val="en-US" w:eastAsia="zh-CN"/>
        </w:rPr>
        <w:t>五</w:t>
      </w:r>
      <w:r>
        <w:rPr>
          <w:rFonts w:hint="eastAsia" w:ascii="宋体" w:hAnsi="宋体" w:cs="宋体"/>
          <w:b/>
          <w:color w:val="auto"/>
          <w:sz w:val="36"/>
          <w:szCs w:val="20"/>
        </w:rPr>
        <w:t>部分</w:t>
      </w:r>
      <w:bookmarkEnd w:id="406"/>
      <w:r>
        <w:rPr>
          <w:rFonts w:hint="eastAsia" w:ascii="宋体" w:hAnsi="宋体" w:cs="宋体"/>
          <w:b/>
          <w:color w:val="auto"/>
          <w:sz w:val="36"/>
          <w:szCs w:val="20"/>
        </w:rPr>
        <w:t xml:space="preserve"> </w:t>
      </w:r>
      <w:bookmarkEnd w:id="407"/>
      <w:r>
        <w:rPr>
          <w:rFonts w:hint="eastAsia" w:ascii="宋体" w:hAnsi="宋体" w:cs="宋体"/>
          <w:b/>
          <w:color w:val="auto"/>
          <w:sz w:val="36"/>
          <w:szCs w:val="20"/>
        </w:rPr>
        <w:t>应提交的有关格式范例</w:t>
      </w:r>
    </w:p>
    <w:p w14:paraId="3409E2A4">
      <w:pPr>
        <w:spacing w:line="360" w:lineRule="auto"/>
        <w:jc w:val="center"/>
        <w:outlineLvl w:val="0"/>
        <w:rPr>
          <w:rFonts w:ascii="宋体" w:hAnsi="宋体" w:cs="宋体"/>
          <w:b/>
          <w:color w:val="auto"/>
          <w:kern w:val="0"/>
          <w:sz w:val="36"/>
          <w:szCs w:val="36"/>
        </w:rPr>
      </w:pPr>
    </w:p>
    <w:p w14:paraId="5F4BC20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18A489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3A565B4">
      <w:pPr>
        <w:spacing w:line="360" w:lineRule="auto"/>
        <w:jc w:val="center"/>
        <w:outlineLvl w:val="0"/>
        <w:rPr>
          <w:rFonts w:ascii="宋体" w:hAnsi="宋体" w:cs="宋体"/>
          <w:b/>
          <w:color w:val="auto"/>
          <w:kern w:val="0"/>
          <w:sz w:val="36"/>
          <w:szCs w:val="36"/>
        </w:rPr>
      </w:pPr>
    </w:p>
    <w:p w14:paraId="013CD88A">
      <w:pPr>
        <w:snapToGrid w:val="0"/>
        <w:spacing w:line="360" w:lineRule="auto"/>
        <w:rPr>
          <w:rFonts w:ascii="宋体" w:hAnsi="宋体" w:cs="宋体"/>
          <w:color w:val="auto"/>
          <w:sz w:val="24"/>
        </w:rPr>
      </w:pPr>
      <w:r>
        <w:rPr>
          <w:rFonts w:hint="eastAsia" w:ascii="宋体" w:hAnsi="宋体" w:cs="宋体"/>
          <w:color w:val="auto"/>
          <w:sz w:val="24"/>
        </w:rPr>
        <w:t>（1）符合参加</w:t>
      </w:r>
      <w:r>
        <w:rPr>
          <w:rFonts w:hint="eastAsia" w:ascii="宋体" w:hAnsi="宋体" w:cs="宋体"/>
          <w:color w:val="auto"/>
          <w:sz w:val="24"/>
          <w:lang w:eastAsia="zh-CN"/>
        </w:rPr>
        <w:t>采购</w:t>
      </w:r>
      <w:r>
        <w:rPr>
          <w:rFonts w:hint="eastAsia" w:ascii="宋体" w:hAnsi="宋体" w:cs="宋体"/>
          <w:color w:val="auto"/>
          <w:sz w:val="24"/>
        </w:rPr>
        <w:t>活动应当具备的一般条件的承诺函……………（页码）</w:t>
      </w:r>
    </w:p>
    <w:p w14:paraId="05C6BA26">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）本项目的特定资格要求………………………………………………（页码）</w:t>
      </w:r>
    </w:p>
    <w:p w14:paraId="6A2C1E14">
      <w:pPr>
        <w:snapToGrid w:val="0"/>
        <w:spacing w:line="360" w:lineRule="auto"/>
        <w:ind w:firstLine="480" w:firstLineChars="200"/>
        <w:rPr>
          <w:rFonts w:ascii="宋体" w:hAnsi="宋体" w:cs="宋体"/>
          <w:color w:val="auto"/>
          <w:sz w:val="24"/>
        </w:rPr>
      </w:pPr>
    </w:p>
    <w:p w14:paraId="1C34369C">
      <w:pPr>
        <w:spacing w:line="360" w:lineRule="auto"/>
        <w:ind w:firstLine="480" w:firstLineChars="200"/>
        <w:rPr>
          <w:rFonts w:ascii="宋体" w:hAnsi="宋体" w:cs="宋体"/>
          <w:color w:val="auto"/>
          <w:sz w:val="24"/>
        </w:rPr>
      </w:pPr>
    </w:p>
    <w:p w14:paraId="0F0168A9">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w:t>
      </w:r>
      <w:r>
        <w:rPr>
          <w:rFonts w:hint="eastAsia" w:ascii="宋体" w:hAnsi="宋体" w:cs="宋体"/>
          <w:b/>
          <w:color w:val="auto"/>
          <w:kern w:val="0"/>
          <w:sz w:val="32"/>
          <w:szCs w:val="32"/>
          <w:lang w:eastAsia="zh-CN"/>
        </w:rPr>
        <w:t>采购</w:t>
      </w:r>
      <w:r>
        <w:rPr>
          <w:rFonts w:hint="eastAsia" w:ascii="宋体" w:hAnsi="宋体" w:cs="宋体"/>
          <w:b/>
          <w:color w:val="auto"/>
          <w:kern w:val="0"/>
          <w:sz w:val="32"/>
          <w:szCs w:val="32"/>
        </w:rPr>
        <w:t>活动应当具备的一般条件的承诺函</w:t>
      </w:r>
    </w:p>
    <w:p w14:paraId="7DCCE611">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p>
    <w:p w14:paraId="6B4C70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color w:val="auto"/>
          <w:sz w:val="24"/>
          <w:lang w:val="en-US" w:eastAsia="zh-CN"/>
        </w:rPr>
        <w:t xml:space="preserve">标项    </w:t>
      </w:r>
      <w:r>
        <w:rPr>
          <w:rFonts w:hint="eastAsia" w:ascii="宋体" w:hAnsi="宋体" w:cs="宋体"/>
          <w:color w:val="auto"/>
          <w:sz w:val="24"/>
          <w:lang w:eastAsia="zh-CN"/>
        </w:rPr>
        <w:t>采购</w:t>
      </w:r>
      <w:r>
        <w:rPr>
          <w:rFonts w:hint="eastAsia" w:ascii="宋体" w:hAnsi="宋体" w:cs="宋体"/>
          <w:color w:val="auto"/>
          <w:sz w:val="24"/>
        </w:rPr>
        <w:t>活动，郑重承诺：</w:t>
      </w:r>
    </w:p>
    <w:p w14:paraId="45BC733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DD6E6B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A4ED1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7114B0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D8FB9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40F2E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w:t>
      </w:r>
      <w:r>
        <w:rPr>
          <w:rFonts w:hint="eastAsia" w:ascii="宋体" w:hAnsi="宋体" w:cs="宋体"/>
          <w:color w:val="auto"/>
          <w:sz w:val="24"/>
          <w:lang w:eastAsia="zh-CN"/>
        </w:rPr>
        <w:t>采购</w:t>
      </w:r>
      <w:r>
        <w:rPr>
          <w:rFonts w:hint="eastAsia" w:ascii="宋体" w:hAnsi="宋体" w:cs="宋体"/>
          <w:color w:val="auto"/>
          <w:sz w:val="24"/>
        </w:rPr>
        <w:t>活动前三年内，在经营活动中没有重大违法记录；</w:t>
      </w:r>
    </w:p>
    <w:p w14:paraId="53D98E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5D16B2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A9B39B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1574C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w:t>
      </w:r>
      <w:r>
        <w:rPr>
          <w:rFonts w:hint="eastAsia" w:ascii="宋体" w:hAnsi="宋体" w:cs="宋体"/>
          <w:color w:val="auto"/>
          <w:sz w:val="24"/>
          <w:lang w:eastAsia="zh-CN"/>
        </w:rPr>
        <w:t>采购</w:t>
      </w:r>
      <w:r>
        <w:rPr>
          <w:rFonts w:hint="eastAsia" w:ascii="宋体" w:hAnsi="宋体" w:cs="宋体"/>
          <w:color w:val="auto"/>
          <w:sz w:val="24"/>
        </w:rPr>
        <w:t>活动的；</w:t>
      </w:r>
    </w:p>
    <w:p w14:paraId="56614D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29E3D7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797881A0">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7C5967F">
      <w:pPr>
        <w:rPr>
          <w:rFonts w:ascii="宋体" w:hAnsi="宋体" w:cs="宋体"/>
          <w:b/>
          <w:color w:val="auto"/>
          <w:kern w:val="0"/>
          <w:sz w:val="32"/>
          <w:szCs w:val="32"/>
        </w:rPr>
      </w:pPr>
      <w:r>
        <w:rPr>
          <w:rFonts w:ascii="宋体" w:hAnsi="宋体" w:cs="宋体"/>
          <w:b/>
          <w:color w:val="auto"/>
          <w:kern w:val="0"/>
          <w:sz w:val="32"/>
          <w:szCs w:val="32"/>
        </w:rPr>
        <w:br w:type="page"/>
      </w:r>
    </w:p>
    <w:p w14:paraId="0FE86535">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二、本项目的特定资格要求</w:t>
      </w:r>
    </w:p>
    <w:p w14:paraId="1FC8FCD9">
      <w:pPr>
        <w:spacing w:line="360" w:lineRule="auto"/>
        <w:jc w:val="center"/>
        <w:rPr>
          <w:rFonts w:ascii="宋体" w:hAnsi="宋体" w:cs="宋体"/>
          <w:color w:val="auto"/>
          <w:sz w:val="24"/>
        </w:rPr>
      </w:pPr>
      <w:r>
        <w:rPr>
          <w:rFonts w:hint="eastAsia" w:ascii="宋体" w:hAnsi="宋体" w:cs="宋体"/>
          <w:color w:val="auto"/>
          <w:sz w:val="24"/>
        </w:rPr>
        <w:t>（根据</w:t>
      </w:r>
      <w:r>
        <w:rPr>
          <w:rFonts w:hint="eastAsia" w:ascii="宋体" w:hAnsi="宋体" w:cs="宋体"/>
          <w:color w:val="auto"/>
          <w:sz w:val="24"/>
          <w:lang w:eastAsia="zh-CN"/>
        </w:rPr>
        <w:t>交易</w:t>
      </w:r>
      <w:r>
        <w:rPr>
          <w:rFonts w:hint="eastAsia" w:ascii="宋体" w:hAnsi="宋体" w:cs="宋体"/>
          <w:color w:val="auto"/>
          <w:sz w:val="24"/>
        </w:rPr>
        <w:t>公告本项目的特定资格要求提供相应的材料；未要求的，无需提供）</w:t>
      </w:r>
    </w:p>
    <w:p w14:paraId="2E667CD7">
      <w:pPr>
        <w:rPr>
          <w:rFonts w:ascii="宋体" w:hAnsi="宋体" w:cs="宋体"/>
          <w:color w:val="auto"/>
        </w:rPr>
      </w:pPr>
    </w:p>
    <w:p w14:paraId="61C2AF05">
      <w:pPr>
        <w:snapToGrid w:val="0"/>
        <w:spacing w:line="360" w:lineRule="auto"/>
        <w:ind w:right="480"/>
        <w:jc w:val="center"/>
        <w:rPr>
          <w:rFonts w:ascii="宋体" w:hAnsi="宋体" w:cs="宋体"/>
          <w:b/>
          <w:color w:val="auto"/>
          <w:kern w:val="0"/>
          <w:sz w:val="32"/>
          <w:szCs w:val="32"/>
        </w:rPr>
      </w:pPr>
    </w:p>
    <w:p w14:paraId="35FDD6DE">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32819AE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3DEB9DA">
      <w:pPr>
        <w:spacing w:line="360" w:lineRule="auto"/>
        <w:jc w:val="center"/>
        <w:outlineLvl w:val="0"/>
        <w:rPr>
          <w:rFonts w:ascii="宋体" w:hAnsi="宋体" w:cs="宋体"/>
          <w:b/>
          <w:color w:val="auto"/>
          <w:kern w:val="0"/>
          <w:sz w:val="24"/>
        </w:rPr>
      </w:pPr>
    </w:p>
    <w:p w14:paraId="2F42111D">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2DE8F9A">
      <w:pPr>
        <w:snapToGrid w:val="0"/>
        <w:spacing w:line="360" w:lineRule="auto"/>
        <w:ind w:left="479" w:leftChars="228"/>
        <w:rPr>
          <w:rFonts w:ascii="宋体" w:hAnsi="宋体" w:cs="宋体"/>
          <w:color w:val="auto"/>
        </w:rPr>
      </w:pPr>
      <w:r>
        <w:rPr>
          <w:rFonts w:hint="eastAsia" w:ascii="宋体" w:hAnsi="宋体" w:cs="宋体"/>
          <w:color w:val="auto"/>
          <w:sz w:val="24"/>
        </w:rPr>
        <w:t>（1）</w:t>
      </w:r>
      <w:r>
        <w:rPr>
          <w:rFonts w:hint="eastAsia" w:ascii="宋体" w:hAnsi="宋体" w:cs="宋体"/>
          <w:color w:val="auto"/>
          <w:sz w:val="24"/>
          <w:lang w:eastAsia="zh-CN"/>
        </w:rPr>
        <w:t>响应</w:t>
      </w:r>
      <w:r>
        <w:rPr>
          <w:rFonts w:hint="eastAsia" w:ascii="宋体" w:hAnsi="宋体" w:cs="宋体"/>
          <w:color w:val="auto"/>
          <w:sz w:val="24"/>
        </w:rPr>
        <w:t>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5FB0AE7">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69D0012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eastAsia="zh-CN"/>
        </w:rPr>
        <w:t>响应</w:t>
      </w:r>
      <w:r>
        <w:rPr>
          <w:rFonts w:hint="eastAsia" w:ascii="宋体" w:hAnsi="宋体" w:cs="宋体"/>
          <w:color w:val="auto"/>
          <w:sz w:val="24"/>
        </w:rPr>
        <w:t>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21A99BDC">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）采购供应商廉洁自律承诺书</w:t>
      </w:r>
      <w:r>
        <w:rPr>
          <w:rFonts w:hint="eastAsia" w:ascii="宋体" w:hAnsi="宋体" w:cs="宋体"/>
          <w:color w:val="auto"/>
        </w:rPr>
        <w:t>………………………………………………………（页码）</w:t>
      </w:r>
    </w:p>
    <w:p w14:paraId="05950104">
      <w:pPr>
        <w:snapToGrid w:val="0"/>
        <w:spacing w:line="360" w:lineRule="auto"/>
        <w:jc w:val="center"/>
        <w:rPr>
          <w:rFonts w:ascii="宋体" w:hAnsi="宋体" w:cs="宋体"/>
          <w:b/>
          <w:color w:val="auto"/>
          <w:kern w:val="0"/>
          <w:sz w:val="32"/>
          <w:szCs w:val="32"/>
          <w:lang w:val="zh-CN"/>
        </w:rPr>
      </w:pPr>
    </w:p>
    <w:p w14:paraId="79054E5D">
      <w:pPr>
        <w:snapToGrid w:val="0"/>
        <w:spacing w:line="360" w:lineRule="auto"/>
        <w:jc w:val="center"/>
        <w:rPr>
          <w:rFonts w:ascii="宋体" w:hAnsi="宋体" w:cs="宋体"/>
          <w:b/>
          <w:color w:val="auto"/>
          <w:kern w:val="0"/>
          <w:sz w:val="32"/>
          <w:szCs w:val="32"/>
          <w:lang w:val="zh-CN"/>
        </w:rPr>
      </w:pPr>
    </w:p>
    <w:p w14:paraId="2DC4EBB0">
      <w:pPr>
        <w:snapToGrid w:val="0"/>
        <w:spacing w:line="360" w:lineRule="auto"/>
        <w:jc w:val="center"/>
        <w:rPr>
          <w:rFonts w:ascii="宋体" w:hAnsi="宋体" w:cs="宋体"/>
          <w:b/>
          <w:color w:val="auto"/>
          <w:kern w:val="0"/>
          <w:sz w:val="32"/>
          <w:szCs w:val="32"/>
          <w:lang w:val="zh-CN"/>
        </w:rPr>
      </w:pPr>
    </w:p>
    <w:p w14:paraId="346863BA">
      <w:pPr>
        <w:snapToGrid w:val="0"/>
        <w:spacing w:line="360" w:lineRule="auto"/>
        <w:jc w:val="center"/>
        <w:rPr>
          <w:rFonts w:ascii="宋体" w:hAnsi="宋体" w:cs="宋体"/>
          <w:b/>
          <w:color w:val="auto"/>
          <w:kern w:val="0"/>
          <w:sz w:val="32"/>
          <w:szCs w:val="32"/>
          <w:lang w:val="zh-CN"/>
        </w:rPr>
      </w:pPr>
    </w:p>
    <w:p w14:paraId="6893154D">
      <w:pPr>
        <w:snapToGrid w:val="0"/>
        <w:spacing w:line="360" w:lineRule="auto"/>
        <w:jc w:val="center"/>
        <w:rPr>
          <w:rFonts w:ascii="宋体" w:hAnsi="宋体" w:cs="宋体"/>
          <w:b/>
          <w:color w:val="auto"/>
          <w:kern w:val="0"/>
          <w:sz w:val="32"/>
          <w:szCs w:val="32"/>
          <w:lang w:val="zh-CN"/>
        </w:rPr>
      </w:pPr>
    </w:p>
    <w:p w14:paraId="0EF3110F">
      <w:pPr>
        <w:snapToGrid w:val="0"/>
        <w:spacing w:line="360" w:lineRule="auto"/>
        <w:jc w:val="center"/>
        <w:rPr>
          <w:rFonts w:ascii="宋体" w:hAnsi="宋体" w:cs="宋体"/>
          <w:b/>
          <w:color w:val="auto"/>
          <w:kern w:val="0"/>
          <w:sz w:val="32"/>
          <w:szCs w:val="32"/>
          <w:lang w:val="zh-CN"/>
        </w:rPr>
      </w:pPr>
    </w:p>
    <w:p w14:paraId="0B9CD679">
      <w:pPr>
        <w:snapToGrid w:val="0"/>
        <w:spacing w:line="360" w:lineRule="auto"/>
        <w:jc w:val="center"/>
        <w:rPr>
          <w:rFonts w:ascii="宋体" w:hAnsi="宋体" w:cs="宋体"/>
          <w:b/>
          <w:color w:val="auto"/>
          <w:kern w:val="0"/>
          <w:sz w:val="32"/>
          <w:szCs w:val="32"/>
          <w:lang w:val="zh-CN"/>
        </w:rPr>
      </w:pPr>
    </w:p>
    <w:p w14:paraId="06EB9FB3">
      <w:pPr>
        <w:snapToGrid w:val="0"/>
        <w:spacing w:line="360" w:lineRule="auto"/>
        <w:jc w:val="center"/>
        <w:rPr>
          <w:rFonts w:ascii="宋体" w:hAnsi="宋体" w:cs="宋体"/>
          <w:b/>
          <w:color w:val="auto"/>
          <w:kern w:val="0"/>
          <w:sz w:val="32"/>
          <w:szCs w:val="32"/>
          <w:lang w:val="zh-CN"/>
        </w:rPr>
      </w:pPr>
    </w:p>
    <w:p w14:paraId="6991D78E">
      <w:pPr>
        <w:snapToGrid w:val="0"/>
        <w:spacing w:line="360" w:lineRule="auto"/>
        <w:jc w:val="center"/>
        <w:rPr>
          <w:rFonts w:ascii="宋体" w:hAnsi="宋体" w:cs="宋体"/>
          <w:b/>
          <w:color w:val="auto"/>
          <w:kern w:val="0"/>
          <w:sz w:val="32"/>
          <w:szCs w:val="32"/>
          <w:lang w:val="zh-CN"/>
        </w:rPr>
      </w:pPr>
    </w:p>
    <w:p w14:paraId="45F32270">
      <w:pPr>
        <w:snapToGrid w:val="0"/>
        <w:spacing w:line="360" w:lineRule="auto"/>
        <w:jc w:val="center"/>
        <w:rPr>
          <w:rFonts w:ascii="宋体" w:hAnsi="宋体" w:cs="宋体"/>
          <w:b/>
          <w:color w:val="auto"/>
          <w:kern w:val="0"/>
          <w:sz w:val="32"/>
          <w:szCs w:val="32"/>
          <w:lang w:val="zh-CN"/>
        </w:rPr>
      </w:pPr>
    </w:p>
    <w:p w14:paraId="65992C54">
      <w:pPr>
        <w:snapToGrid w:val="0"/>
        <w:spacing w:line="360" w:lineRule="auto"/>
        <w:jc w:val="center"/>
        <w:rPr>
          <w:rFonts w:ascii="宋体" w:hAnsi="宋体" w:cs="宋体"/>
          <w:b/>
          <w:color w:val="auto"/>
          <w:kern w:val="0"/>
          <w:sz w:val="32"/>
          <w:szCs w:val="32"/>
          <w:lang w:val="zh-CN"/>
        </w:rPr>
      </w:pPr>
    </w:p>
    <w:p w14:paraId="6AE81F2A">
      <w:pPr>
        <w:snapToGrid w:val="0"/>
        <w:spacing w:line="360" w:lineRule="auto"/>
        <w:jc w:val="center"/>
        <w:rPr>
          <w:rFonts w:ascii="宋体" w:hAnsi="宋体" w:cs="宋体"/>
          <w:b/>
          <w:color w:val="auto"/>
          <w:kern w:val="0"/>
          <w:sz w:val="32"/>
          <w:szCs w:val="32"/>
          <w:lang w:val="zh-CN"/>
        </w:rPr>
      </w:pPr>
    </w:p>
    <w:p w14:paraId="75919815">
      <w:pPr>
        <w:rPr>
          <w:rFonts w:ascii="宋体" w:hAnsi="宋体" w:cs="宋体"/>
          <w:b/>
          <w:color w:val="auto"/>
          <w:kern w:val="0"/>
          <w:sz w:val="32"/>
          <w:szCs w:val="32"/>
          <w:lang w:val="zh-CN"/>
        </w:rPr>
      </w:pPr>
    </w:p>
    <w:p w14:paraId="23202172">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949F73E">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w:t>
      </w:r>
      <w:r>
        <w:rPr>
          <w:rFonts w:hint="eastAsia" w:ascii="宋体" w:hAnsi="宋体" w:cs="宋体"/>
          <w:b/>
          <w:color w:val="auto"/>
          <w:kern w:val="0"/>
          <w:sz w:val="32"/>
          <w:szCs w:val="32"/>
          <w:lang w:eastAsia="zh-CN"/>
        </w:rPr>
        <w:t>响应</w:t>
      </w:r>
      <w:r>
        <w:rPr>
          <w:rFonts w:hint="eastAsia" w:ascii="宋体" w:hAnsi="宋体" w:cs="宋体"/>
          <w:b/>
          <w:color w:val="auto"/>
          <w:sz w:val="32"/>
          <w:szCs w:val="32"/>
        </w:rPr>
        <w:t>函</w:t>
      </w:r>
    </w:p>
    <w:p w14:paraId="74CF8436">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p>
    <w:p w14:paraId="48C9026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color w:val="auto"/>
          <w:sz w:val="24"/>
          <w:lang w:val="en-US" w:eastAsia="zh-CN"/>
        </w:rPr>
        <w:t>标项</w:t>
      </w:r>
      <w:r>
        <w:rPr>
          <w:rFonts w:hint="eastAsia" w:ascii="宋体" w:hAnsi="宋体" w:cs="宋体"/>
          <w:color w:val="auto"/>
          <w:sz w:val="24"/>
          <w:u w:val="single"/>
          <w:lang w:val="en-US" w:eastAsia="zh-CN"/>
        </w:rPr>
        <w:t xml:space="preserve">   </w:t>
      </w:r>
      <w:r>
        <w:rPr>
          <w:rFonts w:hint="eastAsia" w:ascii="宋体" w:hAnsi="宋体" w:cs="宋体"/>
          <w:color w:val="auto"/>
          <w:sz w:val="24"/>
          <w:lang w:eastAsia="zh-CN"/>
        </w:rPr>
        <w:t>交易</w:t>
      </w:r>
      <w:r>
        <w:rPr>
          <w:rFonts w:hint="eastAsia" w:ascii="宋体" w:hAnsi="宋体" w:cs="宋体"/>
          <w:color w:val="auto"/>
          <w:sz w:val="24"/>
        </w:rPr>
        <w:t>的有关活动，并对此项目进行</w:t>
      </w:r>
      <w:r>
        <w:rPr>
          <w:rFonts w:hint="eastAsia" w:ascii="宋体" w:hAnsi="宋体" w:cs="宋体"/>
          <w:color w:val="auto"/>
          <w:sz w:val="24"/>
          <w:lang w:eastAsia="zh-CN"/>
        </w:rPr>
        <w:t>响应</w:t>
      </w:r>
      <w:r>
        <w:rPr>
          <w:rFonts w:hint="eastAsia" w:ascii="宋体" w:hAnsi="宋体" w:cs="宋体"/>
          <w:color w:val="auto"/>
          <w:sz w:val="24"/>
        </w:rPr>
        <w:t>。为此：</w:t>
      </w:r>
    </w:p>
    <w:p w14:paraId="22DC7A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w:t>
      </w:r>
      <w:r>
        <w:rPr>
          <w:rFonts w:hint="eastAsia" w:ascii="宋体" w:hAnsi="宋体" w:cs="宋体"/>
          <w:color w:val="auto"/>
          <w:sz w:val="24"/>
          <w:lang w:eastAsia="zh-CN"/>
        </w:rPr>
        <w:t>响应</w:t>
      </w:r>
      <w:r>
        <w:rPr>
          <w:rFonts w:hint="eastAsia" w:ascii="宋体" w:hAnsi="宋体" w:cs="宋体"/>
          <w:color w:val="auto"/>
          <w:sz w:val="24"/>
        </w:rPr>
        <w:t>有效期从提交</w:t>
      </w:r>
      <w:r>
        <w:rPr>
          <w:rFonts w:hint="eastAsia" w:ascii="宋体" w:hAnsi="宋体" w:cs="宋体"/>
          <w:color w:val="auto"/>
          <w:sz w:val="24"/>
          <w:lang w:eastAsia="zh-CN"/>
        </w:rPr>
        <w:t>响应文件</w:t>
      </w:r>
      <w:r>
        <w:rPr>
          <w:rFonts w:hint="eastAsia" w:ascii="宋体" w:hAnsi="宋体" w:cs="宋体"/>
          <w:color w:val="auto"/>
          <w:sz w:val="24"/>
        </w:rPr>
        <w:t>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w:t>
      </w:r>
      <w:r>
        <w:rPr>
          <w:rFonts w:hint="eastAsia" w:ascii="宋体" w:hAnsi="宋体" w:cs="宋体"/>
          <w:color w:val="auto"/>
          <w:sz w:val="24"/>
          <w:lang w:eastAsia="zh-CN"/>
        </w:rPr>
        <w:t>响应文件</w:t>
      </w:r>
      <w:r>
        <w:rPr>
          <w:rFonts w:hint="eastAsia" w:ascii="宋体" w:hAnsi="宋体" w:cs="宋体"/>
          <w:color w:val="auto"/>
          <w:sz w:val="24"/>
        </w:rPr>
        <w:t>在</w:t>
      </w:r>
      <w:r>
        <w:rPr>
          <w:rFonts w:hint="eastAsia" w:ascii="宋体" w:hAnsi="宋体" w:cs="宋体"/>
          <w:color w:val="auto"/>
          <w:sz w:val="24"/>
          <w:lang w:eastAsia="zh-CN"/>
        </w:rPr>
        <w:t>响应</w:t>
      </w:r>
      <w:r>
        <w:rPr>
          <w:rFonts w:hint="eastAsia" w:ascii="宋体" w:hAnsi="宋体" w:cs="宋体"/>
          <w:color w:val="auto"/>
          <w:sz w:val="24"/>
        </w:rPr>
        <w:t>有效期满之前均具有约束力。</w:t>
      </w:r>
    </w:p>
    <w:p w14:paraId="19E1F7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w:t>
      </w:r>
      <w:r>
        <w:rPr>
          <w:rFonts w:hint="eastAsia" w:ascii="宋体" w:hAnsi="宋体" w:cs="宋体"/>
          <w:color w:val="auto"/>
          <w:sz w:val="24"/>
          <w:lang w:eastAsia="zh-CN"/>
        </w:rPr>
        <w:t>响应文件</w:t>
      </w:r>
      <w:r>
        <w:rPr>
          <w:rFonts w:hint="eastAsia" w:ascii="宋体" w:hAnsi="宋体" w:cs="宋体"/>
          <w:color w:val="auto"/>
          <w:sz w:val="24"/>
        </w:rPr>
        <w:t>包括以下内容：</w:t>
      </w:r>
    </w:p>
    <w:p w14:paraId="2BBEE8F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A5ACA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18FEC0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2</w:t>
      </w:r>
      <w:r>
        <w:rPr>
          <w:rFonts w:hint="eastAsia" w:ascii="宋体" w:hAnsi="宋体" w:cs="宋体"/>
          <w:color w:val="auto"/>
          <w:sz w:val="24"/>
        </w:rPr>
        <w:t>本项目的特定资格要求（如果有)。</w:t>
      </w:r>
    </w:p>
    <w:p w14:paraId="3A0027E4">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7FCD01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w:t>
      </w:r>
      <w:r>
        <w:rPr>
          <w:rFonts w:hint="eastAsia" w:ascii="宋体" w:hAnsi="宋体" w:cs="宋体"/>
          <w:color w:val="auto"/>
          <w:sz w:val="24"/>
          <w:lang w:eastAsia="zh-CN"/>
        </w:rPr>
        <w:t>响应</w:t>
      </w:r>
      <w:r>
        <w:rPr>
          <w:rFonts w:hint="eastAsia" w:ascii="宋体" w:hAnsi="宋体" w:cs="宋体"/>
          <w:color w:val="auto"/>
          <w:sz w:val="24"/>
        </w:rPr>
        <w:t>函；</w:t>
      </w:r>
      <w:r>
        <w:rPr>
          <w:rFonts w:hint="eastAsia" w:ascii="宋体" w:hAnsi="宋体" w:cs="宋体"/>
          <w:color w:val="auto"/>
          <w:sz w:val="24"/>
          <w:lang w:val="zh-CN"/>
        </w:rPr>
        <w:t xml:space="preserve"> </w:t>
      </w:r>
    </w:p>
    <w:p w14:paraId="245E26E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E6F03D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3</w:t>
      </w:r>
      <w:r>
        <w:rPr>
          <w:rFonts w:hint="eastAsia" w:ascii="宋体" w:hAnsi="宋体" w:cs="宋体"/>
          <w:color w:val="auto"/>
          <w:sz w:val="24"/>
        </w:rPr>
        <w:t>符合性审查资料；</w:t>
      </w:r>
    </w:p>
    <w:p w14:paraId="24CA53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p>
    <w:p w14:paraId="7BBA92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5</w:t>
      </w:r>
      <w:r>
        <w:rPr>
          <w:rFonts w:hint="eastAsia" w:ascii="宋体" w:hAnsi="宋体" w:cs="宋体"/>
          <w:color w:val="auto"/>
          <w:sz w:val="24"/>
          <w:lang w:eastAsia="zh-CN"/>
        </w:rPr>
        <w:t>响应</w:t>
      </w:r>
      <w:r>
        <w:rPr>
          <w:rFonts w:hint="eastAsia" w:ascii="宋体" w:hAnsi="宋体" w:cs="宋体"/>
          <w:color w:val="auto"/>
          <w:sz w:val="24"/>
        </w:rPr>
        <w:t>标的清单；</w:t>
      </w:r>
    </w:p>
    <w:p w14:paraId="6EDCB2F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6</w:t>
      </w:r>
      <w:r>
        <w:rPr>
          <w:rFonts w:hint="eastAsia" w:ascii="宋体" w:hAnsi="宋体" w:cs="宋体"/>
          <w:color w:val="auto"/>
          <w:sz w:val="24"/>
        </w:rPr>
        <w:t>商务技术偏离表；</w:t>
      </w:r>
    </w:p>
    <w:p w14:paraId="3837CE61">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采购供应商廉洁自律承诺书；</w:t>
      </w:r>
    </w:p>
    <w:p w14:paraId="6E92BEF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F72A8C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2D3B2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w:t>
      </w:r>
      <w:r>
        <w:rPr>
          <w:rFonts w:hint="eastAsia" w:ascii="宋体" w:hAnsi="宋体" w:cs="宋体"/>
          <w:color w:val="auto"/>
          <w:sz w:val="24"/>
          <w:lang w:eastAsia="zh-CN"/>
        </w:rPr>
        <w:t>交易文件</w:t>
      </w:r>
      <w:r>
        <w:rPr>
          <w:rFonts w:hint="eastAsia" w:ascii="宋体" w:hAnsi="宋体" w:cs="宋体"/>
          <w:color w:val="auto"/>
          <w:sz w:val="24"/>
        </w:rPr>
        <w:t>的全部要求。</w:t>
      </w:r>
    </w:p>
    <w:p w14:paraId="7C9EC8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3E1F21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C208C7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6673E8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4.3按照</w:t>
      </w:r>
      <w:r>
        <w:rPr>
          <w:rFonts w:hint="eastAsia" w:ascii="宋体" w:hAnsi="宋体" w:cs="宋体"/>
          <w:color w:val="auto"/>
          <w:sz w:val="24"/>
          <w:lang w:eastAsia="zh-CN"/>
        </w:rPr>
        <w:t>交易文件</w:t>
      </w:r>
      <w:r>
        <w:rPr>
          <w:rFonts w:hint="eastAsia" w:ascii="宋体" w:hAnsi="宋体" w:cs="宋体"/>
          <w:color w:val="auto"/>
          <w:sz w:val="24"/>
        </w:rPr>
        <w:t xml:space="preserve">要求提交履约保证金； </w:t>
      </w:r>
    </w:p>
    <w:p w14:paraId="72E664F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8EA31D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07AA674">
      <w:pPr>
        <w:spacing w:line="360" w:lineRule="auto"/>
        <w:ind w:firstLine="3840" w:firstLineChars="1600"/>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 xml:space="preserve">名称（电子签名）：                          </w:t>
      </w:r>
    </w:p>
    <w:p w14:paraId="6BA06240">
      <w:pPr>
        <w:spacing w:line="360" w:lineRule="auto"/>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日期：  </w:t>
      </w:r>
      <w:r>
        <w:rPr>
          <w:rFonts w:hint="eastAsia" w:ascii="宋体" w:hAnsi="宋体" w:cs="宋体"/>
          <w:color w:val="auto"/>
          <w:sz w:val="24"/>
          <w:lang w:val="en-US" w:eastAsia="zh-CN"/>
        </w:rPr>
        <w:t xml:space="preserve">   </w:t>
      </w:r>
      <w:r>
        <w:rPr>
          <w:rFonts w:hint="eastAsia" w:ascii="宋体" w:hAnsi="宋体" w:cs="宋体"/>
          <w:color w:val="auto"/>
          <w:sz w:val="24"/>
        </w:rPr>
        <w:t>年   月   日</w:t>
      </w:r>
    </w:p>
    <w:p w14:paraId="4E9D27B7">
      <w:pPr>
        <w:jc w:val="both"/>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243F10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注：▲供应商委派不在本单位缴纳社保的人员作为授权代表（代理人）的，应当在响应文件中，说明具体原因、授权代表缴纳社保的单位，并附列该授权代表缴纳社保清单。</w:t>
      </w:r>
    </w:p>
    <w:p w14:paraId="4F213D6A">
      <w:pPr>
        <w:snapToGrid w:val="0"/>
        <w:spacing w:line="360" w:lineRule="auto"/>
        <w:rPr>
          <w:rFonts w:ascii="宋体" w:hAnsi="宋体" w:cs="宋体"/>
          <w:color w:val="auto"/>
          <w:sz w:val="24"/>
        </w:rPr>
      </w:pPr>
    </w:p>
    <w:p w14:paraId="17CDBE6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授权委托书（适用于非联合体响应）</w:t>
      </w:r>
      <w:r>
        <w:rPr>
          <w:rFonts w:hint="eastAsia" w:ascii="宋体" w:hAnsi="宋体" w:cs="宋体"/>
          <w:color w:val="auto"/>
        </w:rPr>
        <w:t xml:space="preserve">                               </w:t>
      </w:r>
    </w:p>
    <w:p w14:paraId="0E31D001">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2FEAD43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kern w:val="0"/>
          <w:sz w:val="24"/>
          <w:lang w:val="zh-CN"/>
        </w:rPr>
        <w:t>采购响应的一切事项，其法律后果由我方承担。</w:t>
      </w:r>
    </w:p>
    <w:p w14:paraId="448F636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F6D3AA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DA997D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75A80654">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5CF68F6">
      <w:pPr>
        <w:snapToGrid w:val="0"/>
        <w:spacing w:line="360" w:lineRule="auto"/>
        <w:rPr>
          <w:rFonts w:ascii="宋体" w:hAnsi="宋体" w:cs="宋体"/>
          <w:color w:val="auto"/>
          <w:sz w:val="24"/>
        </w:rPr>
      </w:pPr>
    </w:p>
    <w:p w14:paraId="56E1B317">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授权委托书（适用于联合体响应）</w:t>
      </w:r>
    </w:p>
    <w:p w14:paraId="6097F871">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4C99EC8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kern w:val="0"/>
          <w:sz w:val="24"/>
          <w:lang w:val="zh-CN"/>
        </w:rPr>
        <w:t>采购响应的一切事项，其法律后果由我方承担。</w:t>
      </w:r>
    </w:p>
    <w:p w14:paraId="4ECB448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03B4F9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137D25E">
      <w:pPr>
        <w:jc w:val="center"/>
        <w:rPr>
          <w:rFonts w:ascii="宋体" w:hAnsi="宋体" w:cs="宋体"/>
          <w:b/>
          <w:color w:val="auto"/>
          <w:kern w:val="0"/>
          <w:sz w:val="32"/>
          <w:szCs w:val="32"/>
        </w:rPr>
      </w:pPr>
    </w:p>
    <w:p w14:paraId="7218AE00">
      <w:pPr>
        <w:rPr>
          <w:rFonts w:ascii="宋体" w:hAnsi="宋体" w:cs="宋体"/>
          <w:color w:val="auto"/>
        </w:rPr>
      </w:pPr>
    </w:p>
    <w:p w14:paraId="3FA5458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25E369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574E06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019BA3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709FAA8">
      <w:pPr>
        <w:autoSpaceDE w:val="0"/>
        <w:autoSpaceDN w:val="0"/>
        <w:spacing w:line="360" w:lineRule="auto"/>
        <w:jc w:val="center"/>
        <w:rPr>
          <w:rFonts w:ascii="宋体" w:hAnsi="宋体" w:cs="宋体"/>
          <w:b/>
          <w:color w:val="auto"/>
          <w:kern w:val="0"/>
          <w:sz w:val="32"/>
          <w:szCs w:val="32"/>
          <w:lang w:val="zh-CN"/>
        </w:rPr>
      </w:pPr>
    </w:p>
    <w:p w14:paraId="5830AB18">
      <w:pPr>
        <w:autoSpaceDE w:val="0"/>
        <w:autoSpaceDN w:val="0"/>
        <w:spacing w:line="360" w:lineRule="auto"/>
        <w:jc w:val="both"/>
        <w:rPr>
          <w:rFonts w:ascii="宋体" w:hAnsi="宋体" w:cs="宋体"/>
          <w:b/>
          <w:color w:val="auto"/>
          <w:sz w:val="32"/>
          <w:szCs w:val="32"/>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2"/>
          <w:szCs w:val="32"/>
        </w:rPr>
        <w:t>的身份证明（适用于法定代表人、单位负责人或者自然人本人代表</w:t>
      </w:r>
      <w:r>
        <w:rPr>
          <w:rFonts w:hint="eastAsia" w:ascii="宋体" w:hAnsi="宋体" w:cs="宋体"/>
          <w:b/>
          <w:color w:val="auto"/>
          <w:sz w:val="32"/>
          <w:szCs w:val="32"/>
          <w:lang w:eastAsia="zh-CN"/>
        </w:rPr>
        <w:t>供应商</w:t>
      </w:r>
      <w:r>
        <w:rPr>
          <w:rFonts w:hint="eastAsia" w:ascii="宋体" w:hAnsi="宋体" w:cs="宋体"/>
          <w:b/>
          <w:color w:val="auto"/>
          <w:sz w:val="32"/>
          <w:szCs w:val="32"/>
        </w:rPr>
        <w:t>参加</w:t>
      </w:r>
      <w:r>
        <w:rPr>
          <w:rFonts w:hint="eastAsia" w:ascii="宋体" w:hAnsi="宋体" w:cs="宋体"/>
          <w:b/>
          <w:color w:val="auto"/>
          <w:sz w:val="32"/>
          <w:szCs w:val="32"/>
          <w:lang w:eastAsia="zh-CN"/>
        </w:rPr>
        <w:t>响应</w:t>
      </w:r>
      <w:r>
        <w:rPr>
          <w:rFonts w:hint="eastAsia" w:ascii="宋体" w:hAnsi="宋体" w:cs="宋体"/>
          <w:b/>
          <w:color w:val="auto"/>
          <w:sz w:val="32"/>
          <w:szCs w:val="32"/>
        </w:rPr>
        <w:t>）</w:t>
      </w:r>
    </w:p>
    <w:p w14:paraId="0C1AA5AA">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AE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80EEEE">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402347BA">
            <w:pPr>
              <w:pStyle w:val="148"/>
              <w:adjustRightInd w:val="0"/>
              <w:spacing w:line="360" w:lineRule="auto"/>
              <w:rPr>
                <w:rFonts w:hAnsi="宋体" w:cs="宋体"/>
                <w:bCs/>
                <w:color w:val="auto"/>
                <w:sz w:val="24"/>
              </w:rPr>
            </w:pPr>
          </w:p>
        </w:tc>
      </w:tr>
    </w:tbl>
    <w:p w14:paraId="7346E84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8D0AF9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0456E613">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日期：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年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  日</w:t>
      </w:r>
    </w:p>
    <w:p w14:paraId="78E34CE2">
      <w:pPr>
        <w:jc w:val="center"/>
        <w:rPr>
          <w:rFonts w:ascii="宋体" w:hAnsi="宋体" w:cs="宋体"/>
          <w:b/>
          <w:color w:val="auto"/>
          <w:kern w:val="0"/>
          <w:sz w:val="32"/>
          <w:szCs w:val="32"/>
        </w:rPr>
      </w:pPr>
    </w:p>
    <w:p w14:paraId="593AA619">
      <w:pPr>
        <w:jc w:val="center"/>
        <w:rPr>
          <w:rFonts w:ascii="宋体" w:hAnsi="宋体" w:cs="宋体"/>
          <w:b/>
          <w:color w:val="auto"/>
          <w:kern w:val="0"/>
          <w:sz w:val="32"/>
          <w:szCs w:val="32"/>
        </w:rPr>
      </w:pPr>
    </w:p>
    <w:p w14:paraId="3064490A">
      <w:pPr>
        <w:jc w:val="center"/>
        <w:rPr>
          <w:rFonts w:ascii="宋体" w:hAnsi="宋体" w:cs="宋体"/>
          <w:b/>
          <w:color w:val="auto"/>
          <w:kern w:val="0"/>
          <w:sz w:val="32"/>
          <w:szCs w:val="32"/>
        </w:rPr>
      </w:pPr>
    </w:p>
    <w:p w14:paraId="1C795CD1">
      <w:pPr>
        <w:jc w:val="center"/>
        <w:rPr>
          <w:rFonts w:ascii="宋体" w:hAnsi="宋体" w:cs="宋体"/>
          <w:b/>
          <w:color w:val="auto"/>
          <w:kern w:val="0"/>
          <w:sz w:val="32"/>
          <w:szCs w:val="32"/>
        </w:rPr>
      </w:pPr>
    </w:p>
    <w:p w14:paraId="26A7381F">
      <w:pPr>
        <w:jc w:val="center"/>
        <w:rPr>
          <w:rFonts w:ascii="宋体" w:hAnsi="宋体" w:cs="宋体"/>
          <w:b/>
          <w:color w:val="auto"/>
          <w:kern w:val="0"/>
          <w:sz w:val="32"/>
          <w:szCs w:val="32"/>
        </w:rPr>
      </w:pPr>
    </w:p>
    <w:p w14:paraId="5FEEFF75">
      <w:pPr>
        <w:jc w:val="center"/>
        <w:rPr>
          <w:rFonts w:ascii="宋体" w:hAnsi="宋体" w:cs="宋体"/>
          <w:b/>
          <w:color w:val="auto"/>
          <w:kern w:val="0"/>
          <w:sz w:val="32"/>
          <w:szCs w:val="32"/>
        </w:rPr>
      </w:pPr>
    </w:p>
    <w:p w14:paraId="65AE5C79">
      <w:pPr>
        <w:jc w:val="center"/>
        <w:rPr>
          <w:rFonts w:ascii="宋体" w:hAnsi="宋体" w:cs="宋体"/>
          <w:b/>
          <w:color w:val="auto"/>
          <w:kern w:val="0"/>
          <w:sz w:val="32"/>
          <w:szCs w:val="32"/>
        </w:rPr>
      </w:pPr>
    </w:p>
    <w:p w14:paraId="06FAED52">
      <w:pPr>
        <w:jc w:val="center"/>
        <w:rPr>
          <w:rFonts w:ascii="宋体" w:hAnsi="宋体" w:cs="宋体"/>
          <w:b/>
          <w:color w:val="auto"/>
          <w:kern w:val="0"/>
          <w:sz w:val="32"/>
          <w:szCs w:val="32"/>
        </w:rPr>
      </w:pPr>
    </w:p>
    <w:p w14:paraId="4FF5C017">
      <w:pPr>
        <w:jc w:val="center"/>
        <w:rPr>
          <w:rFonts w:ascii="宋体" w:hAnsi="宋体" w:cs="宋体"/>
          <w:b/>
          <w:color w:val="auto"/>
          <w:kern w:val="0"/>
          <w:sz w:val="32"/>
          <w:szCs w:val="32"/>
        </w:rPr>
      </w:pPr>
    </w:p>
    <w:p w14:paraId="1794915B">
      <w:pPr>
        <w:jc w:val="center"/>
        <w:rPr>
          <w:rFonts w:ascii="宋体" w:hAnsi="宋体" w:cs="宋体"/>
          <w:b/>
          <w:color w:val="auto"/>
          <w:kern w:val="0"/>
          <w:sz w:val="32"/>
          <w:szCs w:val="32"/>
        </w:rPr>
      </w:pPr>
    </w:p>
    <w:p w14:paraId="029EA5CE">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3B1DD6E">
      <w:pPr>
        <w:jc w:val="center"/>
        <w:rPr>
          <w:rFonts w:ascii="宋体" w:hAnsi="宋体" w:cs="宋体"/>
          <w:color w:val="auto"/>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、评标标准相应的商务技术资料</w:t>
      </w:r>
    </w:p>
    <w:p w14:paraId="3C9C14CA">
      <w:pPr>
        <w:snapToGrid w:val="0"/>
        <w:spacing w:line="360" w:lineRule="auto"/>
        <w:jc w:val="left"/>
        <w:rPr>
          <w:rFonts w:ascii="宋体" w:hAnsi="宋体" w:cs="宋体"/>
          <w:b/>
          <w:color w:val="auto"/>
          <w:sz w:val="24"/>
        </w:rPr>
      </w:pPr>
      <w:r>
        <w:rPr>
          <w:rFonts w:hint="eastAsia" w:ascii="宋体" w:hAnsi="宋体" w:cs="宋体"/>
          <w:b/>
          <w:color w:val="auto"/>
          <w:sz w:val="24"/>
        </w:rPr>
        <w:t>（按</w:t>
      </w:r>
      <w:r>
        <w:rPr>
          <w:rFonts w:hint="eastAsia" w:ascii="宋体" w:hAnsi="宋体" w:cs="宋体"/>
          <w:b/>
          <w:color w:val="auto"/>
          <w:sz w:val="24"/>
          <w:lang w:eastAsia="zh-CN"/>
        </w:rPr>
        <w:t>交易文件</w:t>
      </w:r>
      <w:r>
        <w:rPr>
          <w:rFonts w:hint="eastAsia" w:ascii="宋体" w:hAnsi="宋体" w:cs="宋体"/>
          <w:b/>
          <w:color w:val="auto"/>
          <w:sz w:val="24"/>
        </w:rPr>
        <w:t>第四部分评标办法前附表中“</w:t>
      </w:r>
      <w:r>
        <w:rPr>
          <w:rFonts w:hint="eastAsia" w:ascii="宋体" w:hAnsi="宋体" w:cs="宋体"/>
          <w:b/>
          <w:color w:val="auto"/>
          <w:sz w:val="24"/>
          <w:lang w:eastAsia="zh-CN"/>
        </w:rPr>
        <w:t>响应文件</w:t>
      </w:r>
      <w:r>
        <w:rPr>
          <w:rFonts w:hint="eastAsia" w:ascii="宋体" w:hAnsi="宋体" w:cs="宋体"/>
          <w:b/>
          <w:color w:val="auto"/>
          <w:sz w:val="24"/>
        </w:rPr>
        <w:t>中评标标准相应的商务技术资料目录”提供资料。）</w:t>
      </w:r>
    </w:p>
    <w:p w14:paraId="7C6D05B7">
      <w:pPr>
        <w:jc w:val="center"/>
        <w:rPr>
          <w:rFonts w:ascii="宋体" w:hAnsi="宋体" w:cs="宋体"/>
          <w:b/>
          <w:color w:val="auto"/>
          <w:kern w:val="0"/>
          <w:sz w:val="32"/>
          <w:szCs w:val="32"/>
        </w:rPr>
      </w:pPr>
    </w:p>
    <w:p w14:paraId="4E1F3061">
      <w:pPr>
        <w:jc w:val="center"/>
        <w:rPr>
          <w:rFonts w:ascii="宋体" w:hAnsi="宋体" w:cs="宋体"/>
          <w:b/>
          <w:color w:val="auto"/>
          <w:kern w:val="0"/>
          <w:sz w:val="32"/>
          <w:szCs w:val="32"/>
        </w:rPr>
      </w:pPr>
    </w:p>
    <w:p w14:paraId="3620AFC2">
      <w:pPr>
        <w:jc w:val="center"/>
        <w:rPr>
          <w:rFonts w:ascii="宋体" w:hAnsi="宋体" w:cs="宋体"/>
          <w:b/>
          <w:color w:val="auto"/>
          <w:kern w:val="0"/>
          <w:sz w:val="32"/>
          <w:szCs w:val="32"/>
        </w:rPr>
      </w:pPr>
    </w:p>
    <w:p w14:paraId="6353B1D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w:t>
      </w:r>
      <w:r>
        <w:rPr>
          <w:rFonts w:hint="eastAsia" w:ascii="宋体" w:hAnsi="宋体" w:cs="宋体"/>
          <w:b/>
          <w:color w:val="auto"/>
          <w:kern w:val="0"/>
          <w:sz w:val="32"/>
          <w:szCs w:val="32"/>
          <w:lang w:eastAsia="zh-CN"/>
        </w:rPr>
        <w:t>响应</w:t>
      </w:r>
      <w:r>
        <w:rPr>
          <w:rFonts w:hint="eastAsia" w:ascii="宋体" w:hAnsi="宋体" w:cs="宋体"/>
          <w:b/>
          <w:color w:val="auto"/>
          <w:kern w:val="0"/>
          <w:sz w:val="32"/>
          <w:szCs w:val="32"/>
        </w:rPr>
        <w:t>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58"/>
        <w:gridCol w:w="1320"/>
        <w:gridCol w:w="2471"/>
        <w:gridCol w:w="930"/>
        <w:gridCol w:w="1526"/>
      </w:tblGrid>
      <w:tr w14:paraId="2D47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028CE0">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75E9C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358" w:type="dxa"/>
            <w:tcBorders>
              <w:top w:val="single" w:color="auto" w:sz="4" w:space="0"/>
              <w:left w:val="single" w:color="auto" w:sz="4" w:space="0"/>
              <w:bottom w:val="single" w:color="auto" w:sz="4" w:space="0"/>
              <w:right w:val="single" w:color="auto" w:sz="4" w:space="0"/>
            </w:tcBorders>
            <w:vAlign w:val="center"/>
          </w:tcPr>
          <w:p w14:paraId="77F47839">
            <w:pPr>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服务范围</w:t>
            </w:r>
          </w:p>
        </w:tc>
        <w:tc>
          <w:tcPr>
            <w:tcW w:w="1320" w:type="dxa"/>
            <w:tcBorders>
              <w:top w:val="single" w:color="auto" w:sz="4" w:space="0"/>
              <w:left w:val="single" w:color="auto" w:sz="4" w:space="0"/>
              <w:bottom w:val="single" w:color="auto" w:sz="4" w:space="0"/>
              <w:right w:val="single" w:color="auto" w:sz="4" w:space="0"/>
            </w:tcBorders>
            <w:vAlign w:val="center"/>
          </w:tcPr>
          <w:p w14:paraId="0BB37B24">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471" w:type="dxa"/>
            <w:tcBorders>
              <w:top w:val="single" w:color="auto" w:sz="4" w:space="0"/>
              <w:left w:val="single" w:color="auto" w:sz="4" w:space="0"/>
              <w:bottom w:val="single" w:color="auto" w:sz="4" w:space="0"/>
              <w:right w:val="single" w:color="auto" w:sz="4" w:space="0"/>
            </w:tcBorders>
            <w:vAlign w:val="center"/>
          </w:tcPr>
          <w:p w14:paraId="5B71D92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0A016B">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5D6EA0">
            <w:pPr>
              <w:spacing w:line="360" w:lineRule="auto"/>
              <w:jc w:val="center"/>
              <w:rPr>
                <w:rFonts w:ascii="宋体" w:hAnsi="宋体" w:cs="宋体"/>
                <w:b/>
                <w:color w:val="auto"/>
                <w:sz w:val="24"/>
              </w:rPr>
            </w:pPr>
          </w:p>
          <w:p w14:paraId="6C5E76B1">
            <w:pPr>
              <w:spacing w:line="360" w:lineRule="auto"/>
              <w:jc w:val="center"/>
              <w:rPr>
                <w:rFonts w:hint="eastAsia" w:ascii="宋体" w:hAnsi="宋体" w:cs="宋体"/>
                <w:b/>
                <w:color w:val="auto"/>
                <w:sz w:val="24"/>
              </w:rPr>
            </w:pPr>
            <w:r>
              <w:rPr>
                <w:rFonts w:hint="eastAsia" w:ascii="宋体" w:hAnsi="宋体" w:cs="宋体"/>
                <w:b/>
                <w:color w:val="auto"/>
                <w:sz w:val="24"/>
              </w:rPr>
              <w:t>备注</w:t>
            </w:r>
          </w:p>
          <w:p w14:paraId="27B4E340">
            <w:pPr>
              <w:spacing w:line="360" w:lineRule="auto"/>
              <w:jc w:val="center"/>
              <w:rPr>
                <w:rFonts w:ascii="宋体" w:hAnsi="宋体" w:cs="宋体"/>
                <w:b/>
                <w:color w:val="auto"/>
                <w:sz w:val="24"/>
              </w:rPr>
            </w:pPr>
            <w:r>
              <w:rPr>
                <w:rFonts w:hint="eastAsia" w:ascii="宋体" w:hAnsi="宋体" w:cs="宋体"/>
                <w:b/>
                <w:color w:val="auto"/>
                <w:sz w:val="24"/>
              </w:rPr>
              <w:t>（如果有）</w:t>
            </w:r>
          </w:p>
          <w:p w14:paraId="0A4B1322">
            <w:pPr>
              <w:spacing w:line="360" w:lineRule="auto"/>
              <w:jc w:val="center"/>
              <w:rPr>
                <w:rFonts w:ascii="宋体" w:hAnsi="宋体" w:cs="宋体"/>
                <w:b/>
                <w:color w:val="auto"/>
                <w:sz w:val="24"/>
              </w:rPr>
            </w:pPr>
          </w:p>
        </w:tc>
      </w:tr>
      <w:tr w14:paraId="6553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42B803">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D036E1">
            <w:pPr>
              <w:snapToGrid w:val="0"/>
              <w:spacing w:line="360" w:lineRule="auto"/>
              <w:jc w:val="center"/>
              <w:rPr>
                <w:rFonts w:ascii="宋体" w:hAnsi="宋体" w:cs="宋体"/>
                <w:color w:val="auto"/>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37FB3F3F">
            <w:pPr>
              <w:snapToGrid w:val="0"/>
              <w:spacing w:line="360" w:lineRule="auto"/>
              <w:jc w:val="center"/>
              <w:rPr>
                <w:rFonts w:ascii="宋体" w:hAnsi="宋体" w:cs="宋体"/>
                <w:color w:val="auto"/>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3D49116E">
            <w:pPr>
              <w:snapToGrid w:val="0"/>
              <w:spacing w:line="360" w:lineRule="auto"/>
              <w:jc w:val="center"/>
              <w:rPr>
                <w:rFonts w:ascii="宋体" w:hAnsi="宋体" w:cs="宋体"/>
                <w:color w:val="auto"/>
                <w:sz w:val="24"/>
              </w:rPr>
            </w:pPr>
          </w:p>
        </w:tc>
        <w:tc>
          <w:tcPr>
            <w:tcW w:w="2471" w:type="dxa"/>
            <w:tcBorders>
              <w:top w:val="single" w:color="auto" w:sz="4" w:space="0"/>
              <w:left w:val="single" w:color="auto" w:sz="4" w:space="0"/>
              <w:bottom w:val="single" w:color="auto" w:sz="4" w:space="0"/>
              <w:right w:val="single" w:color="auto" w:sz="4" w:space="0"/>
            </w:tcBorders>
            <w:vAlign w:val="center"/>
          </w:tcPr>
          <w:p w14:paraId="4FFB9D2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7F616B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5631E1C">
            <w:pPr>
              <w:spacing w:line="360" w:lineRule="auto"/>
              <w:jc w:val="center"/>
              <w:rPr>
                <w:rFonts w:ascii="宋体" w:hAnsi="宋体" w:cs="宋体"/>
                <w:color w:val="auto"/>
                <w:sz w:val="24"/>
              </w:rPr>
            </w:pPr>
          </w:p>
        </w:tc>
      </w:tr>
      <w:tr w14:paraId="2E12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FEEC65">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DFF2644">
            <w:pPr>
              <w:snapToGrid w:val="0"/>
              <w:spacing w:line="360" w:lineRule="auto"/>
              <w:jc w:val="center"/>
              <w:rPr>
                <w:rFonts w:ascii="宋体" w:hAnsi="宋体" w:cs="宋体"/>
                <w:color w:val="auto"/>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11B8BFC8">
            <w:pPr>
              <w:snapToGrid w:val="0"/>
              <w:spacing w:line="360" w:lineRule="auto"/>
              <w:jc w:val="center"/>
              <w:rPr>
                <w:rFonts w:ascii="宋体" w:hAnsi="宋体" w:cs="宋体"/>
                <w:color w:val="auto"/>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2D194E4">
            <w:pPr>
              <w:snapToGrid w:val="0"/>
              <w:spacing w:line="360" w:lineRule="auto"/>
              <w:jc w:val="center"/>
              <w:rPr>
                <w:rFonts w:ascii="宋体" w:hAnsi="宋体" w:cs="宋体"/>
                <w:color w:val="auto"/>
                <w:sz w:val="24"/>
              </w:rPr>
            </w:pPr>
          </w:p>
        </w:tc>
        <w:tc>
          <w:tcPr>
            <w:tcW w:w="2471" w:type="dxa"/>
            <w:tcBorders>
              <w:top w:val="single" w:color="auto" w:sz="4" w:space="0"/>
              <w:left w:val="single" w:color="auto" w:sz="4" w:space="0"/>
              <w:bottom w:val="single" w:color="auto" w:sz="4" w:space="0"/>
              <w:right w:val="single" w:color="auto" w:sz="4" w:space="0"/>
            </w:tcBorders>
            <w:vAlign w:val="center"/>
          </w:tcPr>
          <w:p w14:paraId="3FA4AEB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7538F8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C7D960D">
            <w:pPr>
              <w:spacing w:line="360" w:lineRule="auto"/>
              <w:jc w:val="center"/>
              <w:rPr>
                <w:rFonts w:ascii="宋体" w:hAnsi="宋体" w:cs="宋体"/>
                <w:color w:val="auto"/>
                <w:sz w:val="24"/>
              </w:rPr>
            </w:pPr>
          </w:p>
        </w:tc>
      </w:tr>
      <w:tr w14:paraId="7D7C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C2163A">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D6A55EE">
            <w:pPr>
              <w:snapToGrid w:val="0"/>
              <w:spacing w:line="360" w:lineRule="auto"/>
              <w:jc w:val="center"/>
              <w:rPr>
                <w:rFonts w:ascii="宋体" w:hAnsi="宋体" w:cs="宋体"/>
                <w:color w:val="auto"/>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05B20960">
            <w:pPr>
              <w:snapToGrid w:val="0"/>
              <w:spacing w:line="360" w:lineRule="auto"/>
              <w:jc w:val="center"/>
              <w:rPr>
                <w:rFonts w:ascii="宋体" w:hAnsi="宋体" w:cs="宋体"/>
                <w:color w:val="auto"/>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B1D3B3C">
            <w:pPr>
              <w:snapToGrid w:val="0"/>
              <w:spacing w:line="360" w:lineRule="auto"/>
              <w:jc w:val="center"/>
              <w:rPr>
                <w:rFonts w:ascii="宋体" w:hAnsi="宋体" w:cs="宋体"/>
                <w:color w:val="auto"/>
                <w:sz w:val="24"/>
              </w:rPr>
            </w:pPr>
          </w:p>
        </w:tc>
        <w:tc>
          <w:tcPr>
            <w:tcW w:w="2471" w:type="dxa"/>
            <w:tcBorders>
              <w:top w:val="single" w:color="auto" w:sz="4" w:space="0"/>
              <w:left w:val="single" w:color="auto" w:sz="4" w:space="0"/>
              <w:bottom w:val="single" w:color="auto" w:sz="4" w:space="0"/>
              <w:right w:val="single" w:color="auto" w:sz="4" w:space="0"/>
            </w:tcBorders>
            <w:vAlign w:val="center"/>
          </w:tcPr>
          <w:p w14:paraId="6806929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6B883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40D99A">
            <w:pPr>
              <w:spacing w:line="360" w:lineRule="auto"/>
              <w:jc w:val="center"/>
              <w:rPr>
                <w:rFonts w:ascii="宋体" w:hAnsi="宋体" w:cs="宋体"/>
                <w:color w:val="auto"/>
                <w:sz w:val="24"/>
              </w:rPr>
            </w:pPr>
          </w:p>
        </w:tc>
      </w:tr>
    </w:tbl>
    <w:p w14:paraId="4D30273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6151C27">
      <w:pPr>
        <w:jc w:val="center"/>
        <w:rPr>
          <w:rFonts w:ascii="宋体" w:hAnsi="宋体" w:cs="宋体"/>
          <w:b/>
          <w:color w:val="auto"/>
          <w:kern w:val="0"/>
          <w:sz w:val="32"/>
          <w:szCs w:val="32"/>
        </w:rPr>
      </w:pPr>
    </w:p>
    <w:p w14:paraId="56EDDB36">
      <w:pPr>
        <w:jc w:val="center"/>
        <w:rPr>
          <w:rFonts w:ascii="宋体" w:hAnsi="宋体" w:cs="宋体"/>
          <w:b/>
          <w:color w:val="auto"/>
          <w:kern w:val="0"/>
          <w:sz w:val="32"/>
          <w:szCs w:val="32"/>
        </w:rPr>
      </w:pPr>
    </w:p>
    <w:p w14:paraId="65E177AD">
      <w:pPr>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4B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EF8B2D">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757DE9C9">
            <w:pPr>
              <w:jc w:val="center"/>
              <w:rPr>
                <w:rFonts w:ascii="宋体" w:hAnsi="宋体" w:cs="宋体"/>
                <w:b/>
                <w:bCs/>
                <w:color w:val="auto"/>
                <w:sz w:val="24"/>
              </w:rPr>
            </w:pPr>
            <w:r>
              <w:rPr>
                <w:rFonts w:hint="eastAsia" w:ascii="宋体" w:hAnsi="宋体" w:cs="宋体"/>
                <w:b/>
                <w:bCs/>
                <w:color w:val="auto"/>
                <w:sz w:val="24"/>
                <w:lang w:eastAsia="zh-CN"/>
              </w:rPr>
              <w:t>交易文件</w:t>
            </w:r>
            <w:r>
              <w:rPr>
                <w:rFonts w:hint="eastAsia" w:ascii="宋体" w:hAnsi="宋体" w:cs="宋体"/>
                <w:b/>
                <w:bCs/>
                <w:color w:val="auto"/>
                <w:sz w:val="24"/>
              </w:rPr>
              <w:t>章节及具体内容</w:t>
            </w:r>
          </w:p>
        </w:tc>
        <w:tc>
          <w:tcPr>
            <w:tcW w:w="3546" w:type="dxa"/>
          </w:tcPr>
          <w:p w14:paraId="09157443">
            <w:pPr>
              <w:jc w:val="center"/>
              <w:rPr>
                <w:rFonts w:ascii="宋体" w:hAnsi="宋体" w:cs="宋体"/>
                <w:b/>
                <w:bCs/>
                <w:color w:val="auto"/>
                <w:sz w:val="24"/>
              </w:rPr>
            </w:pPr>
            <w:r>
              <w:rPr>
                <w:rFonts w:hint="eastAsia" w:ascii="宋体" w:hAnsi="宋体" w:cs="宋体"/>
                <w:b/>
                <w:bCs/>
                <w:color w:val="auto"/>
                <w:sz w:val="24"/>
                <w:lang w:eastAsia="zh-CN"/>
              </w:rPr>
              <w:t>响应文件</w:t>
            </w:r>
            <w:r>
              <w:rPr>
                <w:rFonts w:hint="eastAsia" w:ascii="宋体" w:hAnsi="宋体" w:cs="宋体"/>
                <w:b/>
                <w:bCs/>
                <w:color w:val="auto"/>
                <w:sz w:val="24"/>
              </w:rPr>
              <w:t>章节及具体内容</w:t>
            </w:r>
          </w:p>
        </w:tc>
        <w:tc>
          <w:tcPr>
            <w:tcW w:w="1276" w:type="dxa"/>
          </w:tcPr>
          <w:p w14:paraId="41434A5D">
            <w:pPr>
              <w:jc w:val="center"/>
              <w:rPr>
                <w:rFonts w:ascii="宋体" w:hAnsi="宋体" w:cs="宋体"/>
                <w:b/>
                <w:bCs/>
                <w:color w:val="auto"/>
                <w:sz w:val="24"/>
              </w:rPr>
            </w:pPr>
            <w:r>
              <w:rPr>
                <w:rFonts w:hint="eastAsia" w:ascii="宋体" w:hAnsi="宋体" w:cs="宋体"/>
                <w:b/>
                <w:bCs/>
                <w:color w:val="auto"/>
                <w:sz w:val="24"/>
              </w:rPr>
              <w:t>偏离说明</w:t>
            </w:r>
          </w:p>
        </w:tc>
      </w:tr>
      <w:tr w14:paraId="2A8D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61D49F">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17504B36">
            <w:pPr>
              <w:jc w:val="center"/>
              <w:rPr>
                <w:rFonts w:ascii="宋体" w:hAnsi="宋体" w:cs="宋体"/>
                <w:b/>
                <w:color w:val="auto"/>
                <w:kern w:val="0"/>
                <w:sz w:val="32"/>
                <w:szCs w:val="32"/>
              </w:rPr>
            </w:pPr>
          </w:p>
        </w:tc>
        <w:tc>
          <w:tcPr>
            <w:tcW w:w="3546" w:type="dxa"/>
          </w:tcPr>
          <w:p w14:paraId="4D612BFC">
            <w:pPr>
              <w:jc w:val="center"/>
              <w:rPr>
                <w:rFonts w:ascii="宋体" w:hAnsi="宋体" w:cs="宋体"/>
                <w:b/>
                <w:color w:val="auto"/>
                <w:kern w:val="0"/>
                <w:sz w:val="32"/>
                <w:szCs w:val="32"/>
              </w:rPr>
            </w:pPr>
          </w:p>
        </w:tc>
        <w:tc>
          <w:tcPr>
            <w:tcW w:w="1276" w:type="dxa"/>
          </w:tcPr>
          <w:p w14:paraId="242677E1">
            <w:pPr>
              <w:jc w:val="center"/>
              <w:rPr>
                <w:rFonts w:ascii="宋体" w:hAnsi="宋体" w:cs="宋体"/>
                <w:b/>
                <w:color w:val="auto"/>
                <w:kern w:val="0"/>
                <w:sz w:val="32"/>
                <w:szCs w:val="32"/>
              </w:rPr>
            </w:pPr>
          </w:p>
        </w:tc>
      </w:tr>
      <w:tr w14:paraId="0C34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8D926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382B4E73">
            <w:pPr>
              <w:jc w:val="center"/>
              <w:rPr>
                <w:rFonts w:ascii="宋体" w:hAnsi="宋体" w:cs="宋体"/>
                <w:b/>
                <w:color w:val="auto"/>
                <w:kern w:val="0"/>
                <w:sz w:val="32"/>
                <w:szCs w:val="32"/>
              </w:rPr>
            </w:pPr>
          </w:p>
        </w:tc>
        <w:tc>
          <w:tcPr>
            <w:tcW w:w="3546" w:type="dxa"/>
          </w:tcPr>
          <w:p w14:paraId="47382BA2">
            <w:pPr>
              <w:jc w:val="center"/>
              <w:rPr>
                <w:rFonts w:ascii="宋体" w:hAnsi="宋体" w:cs="宋体"/>
                <w:b/>
                <w:color w:val="auto"/>
                <w:kern w:val="0"/>
                <w:sz w:val="32"/>
                <w:szCs w:val="32"/>
              </w:rPr>
            </w:pPr>
          </w:p>
        </w:tc>
        <w:tc>
          <w:tcPr>
            <w:tcW w:w="1276" w:type="dxa"/>
          </w:tcPr>
          <w:p w14:paraId="5645F1A0">
            <w:pPr>
              <w:jc w:val="center"/>
              <w:rPr>
                <w:rFonts w:ascii="宋体" w:hAnsi="宋体" w:cs="宋体"/>
                <w:b/>
                <w:color w:val="auto"/>
                <w:kern w:val="0"/>
                <w:sz w:val="32"/>
                <w:szCs w:val="32"/>
              </w:rPr>
            </w:pPr>
          </w:p>
        </w:tc>
      </w:tr>
      <w:tr w14:paraId="0C9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8BE85B">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0C3AC3BA">
            <w:pPr>
              <w:jc w:val="center"/>
              <w:rPr>
                <w:rFonts w:ascii="宋体" w:hAnsi="宋体" w:cs="宋体"/>
                <w:b/>
                <w:color w:val="auto"/>
                <w:kern w:val="0"/>
                <w:sz w:val="32"/>
                <w:szCs w:val="32"/>
              </w:rPr>
            </w:pPr>
          </w:p>
        </w:tc>
        <w:tc>
          <w:tcPr>
            <w:tcW w:w="3546" w:type="dxa"/>
          </w:tcPr>
          <w:p w14:paraId="5D2E9324">
            <w:pPr>
              <w:jc w:val="center"/>
              <w:rPr>
                <w:rFonts w:ascii="宋体" w:hAnsi="宋体" w:cs="宋体"/>
                <w:b/>
                <w:color w:val="auto"/>
                <w:kern w:val="0"/>
                <w:sz w:val="32"/>
                <w:szCs w:val="32"/>
              </w:rPr>
            </w:pPr>
          </w:p>
        </w:tc>
        <w:tc>
          <w:tcPr>
            <w:tcW w:w="1276" w:type="dxa"/>
          </w:tcPr>
          <w:p w14:paraId="22F09B6C">
            <w:pPr>
              <w:jc w:val="center"/>
              <w:rPr>
                <w:rFonts w:ascii="宋体" w:hAnsi="宋体" w:cs="宋体"/>
                <w:b/>
                <w:color w:val="auto"/>
                <w:kern w:val="0"/>
                <w:sz w:val="32"/>
                <w:szCs w:val="32"/>
              </w:rPr>
            </w:pPr>
          </w:p>
        </w:tc>
      </w:tr>
    </w:tbl>
    <w:p w14:paraId="2BB60BA0">
      <w:pPr>
        <w:jc w:val="left"/>
        <w:rPr>
          <w:rFonts w:ascii="宋体" w:hAnsi="宋体" w:cs="宋体"/>
          <w:color w:val="auto"/>
          <w:kern w:val="0"/>
          <w:sz w:val="24"/>
        </w:rPr>
      </w:pPr>
      <w:r>
        <w:rPr>
          <w:rFonts w:hint="eastAsia" w:ascii="宋体" w:hAnsi="宋体" w:cs="宋体"/>
          <w:color w:val="auto"/>
          <w:kern w:val="0"/>
          <w:sz w:val="24"/>
          <w:lang w:eastAsia="zh-CN"/>
        </w:rPr>
        <w:t>供应商</w:t>
      </w:r>
      <w:r>
        <w:rPr>
          <w:rFonts w:hint="eastAsia" w:ascii="宋体" w:hAnsi="宋体" w:cs="宋体"/>
          <w:color w:val="auto"/>
          <w:kern w:val="0"/>
          <w:sz w:val="24"/>
        </w:rPr>
        <w:t>保证：除商务技术偏离表列出的偏离外，</w:t>
      </w:r>
      <w:r>
        <w:rPr>
          <w:rFonts w:hint="eastAsia" w:ascii="宋体" w:hAnsi="宋体" w:cs="宋体"/>
          <w:color w:val="auto"/>
          <w:kern w:val="0"/>
          <w:sz w:val="24"/>
          <w:lang w:eastAsia="zh-CN"/>
        </w:rPr>
        <w:t>供应商</w:t>
      </w:r>
      <w:r>
        <w:rPr>
          <w:rFonts w:hint="eastAsia" w:ascii="宋体" w:hAnsi="宋体" w:cs="宋体"/>
          <w:color w:val="auto"/>
          <w:kern w:val="0"/>
          <w:sz w:val="24"/>
        </w:rPr>
        <w:t>响应</w:t>
      </w:r>
      <w:r>
        <w:rPr>
          <w:rFonts w:hint="eastAsia" w:ascii="宋体" w:hAnsi="宋体" w:cs="宋体"/>
          <w:color w:val="auto"/>
          <w:kern w:val="0"/>
          <w:sz w:val="24"/>
          <w:lang w:eastAsia="zh-CN"/>
        </w:rPr>
        <w:t>交易文件</w:t>
      </w:r>
      <w:r>
        <w:rPr>
          <w:rFonts w:hint="eastAsia" w:ascii="宋体" w:hAnsi="宋体" w:cs="宋体"/>
          <w:color w:val="auto"/>
          <w:kern w:val="0"/>
          <w:sz w:val="24"/>
        </w:rPr>
        <w:t>的全部要求</w:t>
      </w:r>
    </w:p>
    <w:p w14:paraId="1A9FB44C">
      <w:pPr>
        <w:jc w:val="center"/>
        <w:rPr>
          <w:rFonts w:ascii="宋体" w:hAnsi="宋体" w:cs="宋体"/>
          <w:b/>
          <w:color w:val="auto"/>
          <w:kern w:val="0"/>
          <w:sz w:val="32"/>
          <w:szCs w:val="32"/>
        </w:rPr>
      </w:pPr>
    </w:p>
    <w:p w14:paraId="189C0FD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E4C93D">
      <w:pPr>
        <w:ind w:firstLine="1911" w:firstLineChars="595"/>
        <w:rPr>
          <w:rFonts w:ascii="宋体" w:hAnsi="宋体" w:cs="宋体"/>
          <w:b/>
          <w:bCs/>
          <w:color w:val="auto"/>
          <w:sz w:val="32"/>
          <w:szCs w:val="32"/>
        </w:rPr>
      </w:pPr>
    </w:p>
    <w:p w14:paraId="15A22EA3">
      <w:pPr>
        <w:ind w:firstLine="1911" w:firstLineChars="595"/>
        <w:rPr>
          <w:rFonts w:ascii="宋体" w:hAnsi="宋体" w:cs="宋体"/>
          <w:b/>
          <w:bCs/>
          <w:color w:val="auto"/>
          <w:sz w:val="32"/>
          <w:szCs w:val="32"/>
        </w:rPr>
      </w:pPr>
    </w:p>
    <w:p w14:paraId="5CB58D8D">
      <w:pPr>
        <w:ind w:firstLine="1911" w:firstLineChars="595"/>
        <w:rPr>
          <w:rFonts w:ascii="宋体" w:hAnsi="宋体" w:cs="宋体"/>
          <w:b/>
          <w:bCs/>
          <w:color w:val="auto"/>
          <w:sz w:val="32"/>
          <w:szCs w:val="32"/>
        </w:rPr>
      </w:pPr>
    </w:p>
    <w:p w14:paraId="7A89AC63">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9A92184">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采购供应商廉洁自律承诺书</w:t>
      </w:r>
    </w:p>
    <w:p w14:paraId="1162CA38">
      <w:pPr>
        <w:snapToGrid w:val="0"/>
        <w:spacing w:line="360" w:lineRule="auto"/>
        <w:rPr>
          <w:rFonts w:ascii="宋体" w:hAnsi="宋体" w:cs="宋体"/>
          <w:color w:val="auto"/>
          <w:sz w:val="24"/>
        </w:rPr>
      </w:pPr>
    </w:p>
    <w:p w14:paraId="1D67FE00">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7E7AB90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项目交易要求参加响应。在这次响应过程中和中标后，我们将严格遵守国家法律法规要求，并郑重承诺：</w:t>
      </w:r>
    </w:p>
    <w:p w14:paraId="462C590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1797C9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82832D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18098B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8F8700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58686E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9B7A6A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71E4E1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541AE7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有权立即取消我单位响应、中标或在建项目的建设资格，有权拒绝我单位在一定时期内进入你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D3C1BA2">
      <w:pPr>
        <w:autoSpaceDE w:val="0"/>
        <w:autoSpaceDN w:val="0"/>
        <w:spacing w:line="360" w:lineRule="auto"/>
        <w:ind w:left="2"/>
        <w:jc w:val="left"/>
        <w:rPr>
          <w:rFonts w:ascii="宋体" w:hAnsi="宋体" w:cs="宋体"/>
          <w:color w:val="auto"/>
          <w:kern w:val="0"/>
          <w:sz w:val="24"/>
          <w:lang w:val="zh-CN"/>
        </w:rPr>
      </w:pPr>
    </w:p>
    <w:p w14:paraId="1762E6EA">
      <w:pPr>
        <w:autoSpaceDE w:val="0"/>
        <w:autoSpaceDN w:val="0"/>
        <w:spacing w:line="360" w:lineRule="auto"/>
        <w:ind w:left="2"/>
        <w:jc w:val="left"/>
        <w:rPr>
          <w:rFonts w:ascii="宋体" w:hAnsi="宋体" w:cs="宋体"/>
          <w:color w:val="auto"/>
          <w:kern w:val="0"/>
          <w:sz w:val="24"/>
          <w:lang w:val="zh-CN"/>
        </w:rPr>
      </w:pPr>
    </w:p>
    <w:p w14:paraId="69A9E24D">
      <w:pPr>
        <w:autoSpaceDE w:val="0"/>
        <w:autoSpaceDN w:val="0"/>
        <w:spacing w:line="360" w:lineRule="auto"/>
        <w:ind w:left="2"/>
        <w:jc w:val="left"/>
        <w:rPr>
          <w:rFonts w:ascii="宋体" w:hAnsi="宋体" w:cs="宋体"/>
          <w:color w:val="auto"/>
          <w:kern w:val="0"/>
          <w:sz w:val="24"/>
          <w:lang w:val="zh-CN"/>
        </w:rPr>
      </w:pPr>
    </w:p>
    <w:p w14:paraId="325808EA">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F3CBB5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   月   日</w:t>
      </w:r>
    </w:p>
    <w:p w14:paraId="762E5622">
      <w:pPr>
        <w:spacing w:line="360" w:lineRule="auto"/>
        <w:jc w:val="center"/>
        <w:rPr>
          <w:rFonts w:ascii="宋体" w:hAnsi="宋体" w:cs="宋体"/>
          <w:b/>
          <w:bCs/>
          <w:color w:val="auto"/>
          <w:sz w:val="24"/>
        </w:rPr>
      </w:pPr>
    </w:p>
    <w:p w14:paraId="1AD5C0C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B3C9B7D">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075FBC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88269F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9ECCBB1">
      <w:pPr>
        <w:spacing w:line="360" w:lineRule="auto"/>
        <w:jc w:val="center"/>
        <w:outlineLvl w:val="0"/>
        <w:rPr>
          <w:rFonts w:ascii="宋体" w:hAnsi="宋体" w:cs="宋体"/>
          <w:b/>
          <w:color w:val="auto"/>
          <w:kern w:val="0"/>
          <w:sz w:val="36"/>
          <w:szCs w:val="36"/>
        </w:rPr>
      </w:pPr>
    </w:p>
    <w:p w14:paraId="10598D7C">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5D320B6">
      <w:pPr>
        <w:snapToGrid w:val="0"/>
        <w:spacing w:line="360" w:lineRule="auto"/>
        <w:ind w:right="480"/>
        <w:jc w:val="center"/>
        <w:rPr>
          <w:rFonts w:ascii="宋体" w:hAnsi="宋体" w:cs="宋体"/>
          <w:b/>
          <w:color w:val="auto"/>
          <w:kern w:val="0"/>
          <w:sz w:val="32"/>
          <w:szCs w:val="32"/>
        </w:rPr>
      </w:pPr>
    </w:p>
    <w:p w14:paraId="012D7933">
      <w:pPr>
        <w:snapToGrid w:val="0"/>
        <w:spacing w:line="360" w:lineRule="auto"/>
        <w:ind w:right="480"/>
        <w:jc w:val="center"/>
        <w:rPr>
          <w:rFonts w:ascii="宋体" w:hAnsi="宋体" w:cs="宋体"/>
          <w:b/>
          <w:color w:val="auto"/>
          <w:kern w:val="0"/>
          <w:sz w:val="32"/>
          <w:szCs w:val="32"/>
        </w:rPr>
      </w:pPr>
    </w:p>
    <w:p w14:paraId="19E9EFE8">
      <w:pPr>
        <w:snapToGrid w:val="0"/>
        <w:spacing w:line="360" w:lineRule="auto"/>
        <w:ind w:right="480"/>
        <w:jc w:val="center"/>
        <w:rPr>
          <w:rFonts w:ascii="宋体" w:hAnsi="宋体" w:cs="宋体"/>
          <w:b/>
          <w:color w:val="auto"/>
          <w:kern w:val="0"/>
          <w:sz w:val="32"/>
          <w:szCs w:val="32"/>
        </w:rPr>
      </w:pPr>
    </w:p>
    <w:p w14:paraId="5ED4576E">
      <w:pPr>
        <w:snapToGrid w:val="0"/>
        <w:spacing w:line="360" w:lineRule="auto"/>
        <w:ind w:right="480"/>
        <w:jc w:val="center"/>
        <w:rPr>
          <w:rFonts w:ascii="宋体" w:hAnsi="宋体" w:cs="宋体"/>
          <w:b/>
          <w:color w:val="auto"/>
          <w:kern w:val="0"/>
          <w:sz w:val="32"/>
          <w:szCs w:val="32"/>
        </w:rPr>
      </w:pPr>
    </w:p>
    <w:p w14:paraId="70C25202">
      <w:pPr>
        <w:snapToGrid w:val="0"/>
        <w:spacing w:line="360" w:lineRule="auto"/>
        <w:ind w:right="480"/>
        <w:jc w:val="center"/>
        <w:rPr>
          <w:rFonts w:ascii="宋体" w:hAnsi="宋体" w:cs="宋体"/>
          <w:b/>
          <w:color w:val="auto"/>
          <w:kern w:val="0"/>
          <w:sz w:val="32"/>
          <w:szCs w:val="32"/>
        </w:rPr>
      </w:pPr>
    </w:p>
    <w:p w14:paraId="22327D03">
      <w:pPr>
        <w:snapToGrid w:val="0"/>
        <w:spacing w:line="360" w:lineRule="auto"/>
        <w:ind w:right="480"/>
        <w:jc w:val="center"/>
        <w:rPr>
          <w:rFonts w:ascii="宋体" w:hAnsi="宋体" w:cs="宋体"/>
          <w:b/>
          <w:color w:val="auto"/>
          <w:kern w:val="0"/>
          <w:sz w:val="32"/>
          <w:szCs w:val="32"/>
        </w:rPr>
      </w:pPr>
    </w:p>
    <w:p w14:paraId="5F303C52">
      <w:pPr>
        <w:snapToGrid w:val="0"/>
        <w:spacing w:line="360" w:lineRule="auto"/>
        <w:ind w:right="480"/>
        <w:jc w:val="center"/>
        <w:rPr>
          <w:rFonts w:ascii="宋体" w:hAnsi="宋体" w:cs="宋体"/>
          <w:b/>
          <w:color w:val="auto"/>
          <w:kern w:val="0"/>
          <w:sz w:val="32"/>
          <w:szCs w:val="32"/>
        </w:rPr>
      </w:pPr>
    </w:p>
    <w:p w14:paraId="2D2F9FD7">
      <w:pPr>
        <w:snapToGrid w:val="0"/>
        <w:spacing w:line="360" w:lineRule="auto"/>
        <w:ind w:right="480"/>
        <w:jc w:val="center"/>
        <w:rPr>
          <w:rFonts w:ascii="宋体" w:hAnsi="宋体" w:cs="宋体"/>
          <w:b/>
          <w:color w:val="auto"/>
          <w:kern w:val="0"/>
          <w:sz w:val="32"/>
          <w:szCs w:val="32"/>
        </w:rPr>
      </w:pPr>
    </w:p>
    <w:p w14:paraId="50DD9485">
      <w:pPr>
        <w:snapToGrid w:val="0"/>
        <w:spacing w:line="360" w:lineRule="auto"/>
        <w:ind w:right="480"/>
        <w:jc w:val="center"/>
        <w:rPr>
          <w:rFonts w:ascii="宋体" w:hAnsi="宋体" w:cs="宋体"/>
          <w:b/>
          <w:color w:val="auto"/>
          <w:kern w:val="0"/>
          <w:sz w:val="32"/>
          <w:szCs w:val="32"/>
        </w:rPr>
      </w:pPr>
    </w:p>
    <w:p w14:paraId="07599363">
      <w:pPr>
        <w:snapToGrid w:val="0"/>
        <w:spacing w:line="360" w:lineRule="auto"/>
        <w:ind w:right="480"/>
        <w:jc w:val="center"/>
        <w:rPr>
          <w:rFonts w:ascii="宋体" w:hAnsi="宋体" w:cs="宋体"/>
          <w:b/>
          <w:color w:val="auto"/>
          <w:kern w:val="0"/>
          <w:sz w:val="32"/>
          <w:szCs w:val="32"/>
        </w:rPr>
      </w:pPr>
    </w:p>
    <w:p w14:paraId="6170EF72">
      <w:pPr>
        <w:snapToGrid w:val="0"/>
        <w:spacing w:line="360" w:lineRule="auto"/>
        <w:ind w:right="480"/>
        <w:jc w:val="center"/>
        <w:rPr>
          <w:rFonts w:ascii="宋体" w:hAnsi="宋体" w:cs="宋体"/>
          <w:b/>
          <w:color w:val="auto"/>
          <w:kern w:val="0"/>
          <w:sz w:val="32"/>
          <w:szCs w:val="32"/>
        </w:rPr>
      </w:pPr>
    </w:p>
    <w:p w14:paraId="3C5F7198">
      <w:pPr>
        <w:snapToGrid w:val="0"/>
        <w:spacing w:line="360" w:lineRule="auto"/>
        <w:ind w:right="480"/>
        <w:jc w:val="center"/>
        <w:rPr>
          <w:rFonts w:ascii="宋体" w:hAnsi="宋体" w:cs="宋体"/>
          <w:b/>
          <w:color w:val="auto"/>
          <w:kern w:val="0"/>
          <w:sz w:val="32"/>
          <w:szCs w:val="32"/>
        </w:rPr>
      </w:pPr>
    </w:p>
    <w:p w14:paraId="61CD9B03">
      <w:pPr>
        <w:snapToGrid w:val="0"/>
        <w:spacing w:line="360" w:lineRule="auto"/>
        <w:ind w:right="480"/>
        <w:jc w:val="center"/>
        <w:rPr>
          <w:rFonts w:ascii="宋体" w:hAnsi="宋体" w:cs="宋体"/>
          <w:b/>
          <w:color w:val="auto"/>
          <w:kern w:val="0"/>
          <w:sz w:val="32"/>
          <w:szCs w:val="32"/>
        </w:rPr>
      </w:pPr>
    </w:p>
    <w:p w14:paraId="6C91ED2C">
      <w:pPr>
        <w:snapToGrid w:val="0"/>
        <w:spacing w:line="360" w:lineRule="auto"/>
        <w:ind w:right="480"/>
        <w:jc w:val="center"/>
        <w:rPr>
          <w:rFonts w:ascii="宋体" w:hAnsi="宋体" w:cs="宋体"/>
          <w:b/>
          <w:color w:val="auto"/>
          <w:kern w:val="0"/>
          <w:sz w:val="32"/>
          <w:szCs w:val="32"/>
        </w:rPr>
      </w:pPr>
    </w:p>
    <w:p w14:paraId="0B69F1AE">
      <w:pPr>
        <w:snapToGrid w:val="0"/>
        <w:spacing w:line="360" w:lineRule="auto"/>
        <w:ind w:right="480"/>
        <w:jc w:val="center"/>
        <w:rPr>
          <w:rFonts w:ascii="宋体" w:hAnsi="宋体" w:cs="宋体"/>
          <w:b/>
          <w:color w:val="auto"/>
          <w:kern w:val="0"/>
          <w:sz w:val="32"/>
          <w:szCs w:val="32"/>
        </w:rPr>
      </w:pPr>
    </w:p>
    <w:p w14:paraId="54DC3A83">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03976E7">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B2356F8">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19B55C57">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按你方交易文件要求，我们，本响应文件签字方，谨此向你方发出要约如下：如你方接受本响应，我方承诺按照如下开标一览表（报价表）的价格完成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【交易编号：</w:t>
      </w:r>
      <w:r>
        <w:rPr>
          <w:rFonts w:hint="eastAsia" w:ascii="宋体" w:hAnsi="宋体" w:cs="宋体"/>
          <w:color w:val="auto"/>
          <w:kern w:val="0"/>
          <w:sz w:val="24"/>
          <w:lang w:val="en-US" w:eastAsia="zh-CN"/>
        </w:rPr>
        <w:t xml:space="preserve">       </w:t>
      </w:r>
      <w:r>
        <w:rPr>
          <w:rFonts w:hint="eastAsia" w:ascii="宋体" w:hAnsi="宋体" w:cs="宋体"/>
          <w:color w:val="auto"/>
          <w:sz w:val="24"/>
        </w:rPr>
        <w:t>】的实施</w:t>
      </w:r>
      <w:r>
        <w:rPr>
          <w:rFonts w:hint="eastAsia" w:ascii="宋体" w:hAnsi="宋体" w:cs="宋体"/>
          <w:color w:val="auto"/>
          <w:kern w:val="0"/>
          <w:sz w:val="24"/>
          <w:lang w:val="zh-CN"/>
        </w:rPr>
        <w:t>。</w:t>
      </w:r>
    </w:p>
    <w:p w14:paraId="79CF29B5">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w:t>
      </w:r>
    </w:p>
    <w:tbl>
      <w:tblPr>
        <w:tblStyle w:val="6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8"/>
        <w:gridCol w:w="3040"/>
        <w:gridCol w:w="2799"/>
        <w:gridCol w:w="2327"/>
      </w:tblGrid>
      <w:tr w14:paraId="687A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14:paraId="048660D1">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4609A3FC">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响应优惠</w:t>
            </w:r>
            <w:r>
              <w:rPr>
                <w:rFonts w:hint="eastAsia" w:ascii="宋体" w:hAnsi="宋体" w:eastAsia="宋体" w:cs="宋体"/>
                <w:color w:val="auto"/>
                <w:szCs w:val="21"/>
                <w:highlight w:val="none"/>
              </w:rPr>
              <w:t>率</w:t>
            </w:r>
          </w:p>
          <w:p w14:paraId="33FB98A8">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%（含）</w:t>
            </w:r>
            <w:r>
              <w:rPr>
                <w:rFonts w:hint="eastAsia" w:ascii="宋体" w:hAnsi="宋体" w:cs="宋体"/>
                <w:color w:val="auto"/>
                <w:szCs w:val="21"/>
                <w:highlight w:val="none"/>
                <w:lang w:val="en-US" w:eastAsia="zh-CN"/>
              </w:rPr>
              <w:t>- 40</w:t>
            </w:r>
            <w:r>
              <w:rPr>
                <w:rFonts w:hint="eastAsia" w:ascii="宋体" w:hAnsi="宋体" w:eastAsia="宋体" w:cs="宋体"/>
                <w:color w:val="auto"/>
                <w:szCs w:val="21"/>
                <w:highlight w:val="none"/>
              </w:rPr>
              <w:t>%（含）</w:t>
            </w:r>
          </w:p>
        </w:tc>
        <w:tc>
          <w:tcPr>
            <w:tcW w:w="964" w:type="pct"/>
            <w:tcBorders>
              <w:top w:val="single" w:color="auto" w:sz="4" w:space="0"/>
              <w:left w:val="single" w:color="auto" w:sz="4" w:space="0"/>
              <w:bottom w:val="single" w:color="auto" w:sz="4" w:space="0"/>
              <w:right w:val="single" w:color="auto" w:sz="4" w:space="0"/>
            </w:tcBorders>
            <w:noWrap w:val="0"/>
            <w:vAlign w:val="center"/>
          </w:tcPr>
          <w:p w14:paraId="6456A013">
            <w:pPr>
              <w:pageBreakBefore w:val="0"/>
              <w:kinsoku/>
              <w:overflowPunct/>
              <w:topLinePunct w:val="0"/>
              <w:bidi w:val="0"/>
              <w:spacing w:line="240" w:lineRule="auto"/>
              <w:ind w:left="0" w:leftChars="0" w:right="0" w:rightChars="0"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项目负责人</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5B970C1E">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9E9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14:paraId="16982904">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杭州市规划和自然资源局萧山分局2025-2026年度采购类招标代理预选供应商</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521ED1BC">
            <w:pPr>
              <w:pageBreakBefore w:val="0"/>
              <w:kinsoku/>
              <w:overflowPunct/>
              <w:topLinePunct w:val="0"/>
              <w:bidi w:val="0"/>
              <w:spacing w:line="240" w:lineRule="auto"/>
              <w:ind w:left="0" w:leftChars="0" w:right="0" w:rightChars="0" w:firstLine="0" w:firstLineChars="0"/>
              <w:textAlignment w:val="auto"/>
              <w:rPr>
                <w:rFonts w:hint="eastAsia" w:ascii="宋体" w:hAnsi="宋体" w:eastAsia="宋体" w:cs="宋体"/>
                <w:color w:val="auto"/>
                <w:szCs w:val="21"/>
                <w:highlight w:val="none"/>
              </w:rPr>
            </w:pPr>
          </w:p>
        </w:tc>
        <w:tc>
          <w:tcPr>
            <w:tcW w:w="964" w:type="pct"/>
            <w:tcBorders>
              <w:top w:val="single" w:color="auto" w:sz="4" w:space="0"/>
              <w:left w:val="single" w:color="auto" w:sz="4" w:space="0"/>
              <w:bottom w:val="single" w:color="auto" w:sz="4" w:space="0"/>
              <w:right w:val="single" w:color="auto" w:sz="4" w:space="0"/>
            </w:tcBorders>
            <w:noWrap w:val="0"/>
            <w:vAlign w:val="center"/>
          </w:tcPr>
          <w:p w14:paraId="01CD7544">
            <w:pPr>
              <w:pageBreakBefore w:val="0"/>
              <w:kinsoku/>
              <w:overflowPunct/>
              <w:topLinePunct w:val="0"/>
              <w:bidi w:val="0"/>
              <w:spacing w:line="240" w:lineRule="auto"/>
              <w:ind w:left="0" w:leftChars="0" w:right="0" w:rightChars="0" w:firstLine="0" w:firstLineChars="0"/>
              <w:textAlignment w:val="auto"/>
              <w:rPr>
                <w:rFonts w:hint="eastAsia" w:ascii="宋体" w:hAnsi="宋体" w:eastAsia="宋体" w:cs="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noWrap w:val="0"/>
            <w:vAlign w:val="center"/>
          </w:tcPr>
          <w:p w14:paraId="44DDCEDF">
            <w:pPr>
              <w:pageBreakBefore w:val="0"/>
              <w:kinsoku/>
              <w:overflowPunct/>
              <w:topLinePunct w:val="0"/>
              <w:bidi w:val="0"/>
              <w:spacing w:line="240" w:lineRule="auto"/>
              <w:ind w:left="0" w:leftChars="0" w:right="0" w:rightChars="0" w:firstLine="0" w:firstLineChars="0"/>
              <w:textAlignment w:val="auto"/>
              <w:rPr>
                <w:rFonts w:hint="eastAsia" w:ascii="宋体" w:hAnsi="宋体" w:eastAsia="宋体" w:cs="宋体"/>
                <w:color w:val="auto"/>
                <w:szCs w:val="21"/>
                <w:highlight w:val="none"/>
              </w:rPr>
            </w:pPr>
          </w:p>
        </w:tc>
      </w:tr>
    </w:tbl>
    <w:p w14:paraId="3B5AE755">
      <w:pPr>
        <w:pStyle w:val="2"/>
        <w:ind w:left="0" w:leftChars="0" w:firstLine="0" w:firstLineChars="0"/>
        <w:rPr>
          <w:rFonts w:hint="eastAsia" w:ascii="宋体" w:hAnsi="宋体" w:cs="宋体"/>
          <w:b/>
          <w:color w:val="auto"/>
          <w:kern w:val="0"/>
          <w:sz w:val="24"/>
          <w:lang w:val="zh-CN"/>
        </w:rPr>
      </w:pPr>
    </w:p>
    <w:p w14:paraId="770A8FF0">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4E7DFBC">
      <w:pPr>
        <w:spacing w:line="360" w:lineRule="auto"/>
        <w:ind w:left="-2" w:leftChars="-1" w:firstLine="480" w:firstLineChars="2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1、供应商需按本表格式填写，</w:t>
      </w:r>
      <w:r>
        <w:rPr>
          <w:rFonts w:hint="eastAsia" w:ascii="宋体" w:hAnsi="宋体" w:cs="宋体"/>
          <w:b w:val="0"/>
          <w:bCs w:val="0"/>
          <w:color w:val="auto"/>
          <w:kern w:val="0"/>
          <w:sz w:val="24"/>
        </w:rPr>
        <w:t>否则视为</w:t>
      </w:r>
      <w:r>
        <w:rPr>
          <w:rFonts w:hint="eastAsia" w:ascii="宋体" w:hAnsi="宋体" w:cs="宋体"/>
          <w:b w:val="0"/>
          <w:bCs w:val="0"/>
          <w:color w:val="auto"/>
          <w:sz w:val="24"/>
          <w:lang w:eastAsia="zh-CN"/>
        </w:rPr>
        <w:t>响应文件</w:t>
      </w:r>
      <w:r>
        <w:rPr>
          <w:rFonts w:hint="eastAsia" w:ascii="宋体" w:hAnsi="宋体" w:cs="宋体"/>
          <w:b w:val="0"/>
          <w:bCs w:val="0"/>
          <w:color w:val="auto"/>
          <w:sz w:val="24"/>
        </w:rPr>
        <w:t>含有</w:t>
      </w:r>
      <w:r>
        <w:rPr>
          <w:rFonts w:hint="eastAsia" w:ascii="宋体" w:hAnsi="宋体" w:cs="宋体"/>
          <w:b w:val="0"/>
          <w:bCs w:val="0"/>
          <w:color w:val="auto"/>
          <w:sz w:val="24"/>
          <w:lang w:eastAsia="zh-CN"/>
        </w:rPr>
        <w:t>交易发起人</w:t>
      </w:r>
      <w:r>
        <w:rPr>
          <w:rFonts w:hint="eastAsia" w:ascii="宋体" w:hAnsi="宋体" w:cs="宋体"/>
          <w:b w:val="0"/>
          <w:bCs w:val="0"/>
          <w:color w:val="auto"/>
          <w:sz w:val="24"/>
        </w:rPr>
        <w:t>不能接受的附加条件，</w:t>
      </w:r>
      <w:r>
        <w:rPr>
          <w:rFonts w:hint="eastAsia" w:ascii="宋体" w:hAnsi="宋体" w:cs="宋体"/>
          <w:b w:val="0"/>
          <w:bCs w:val="0"/>
          <w:color w:val="auto"/>
          <w:sz w:val="24"/>
          <w:lang w:eastAsia="zh-CN"/>
        </w:rPr>
        <w:t>响应</w:t>
      </w:r>
      <w:r>
        <w:rPr>
          <w:rFonts w:hint="eastAsia" w:ascii="宋体" w:hAnsi="宋体" w:cs="宋体"/>
          <w:b w:val="0"/>
          <w:bCs w:val="0"/>
          <w:color w:val="auto"/>
          <w:sz w:val="24"/>
        </w:rPr>
        <w:t>无效</w:t>
      </w:r>
      <w:r>
        <w:rPr>
          <w:rFonts w:hint="eastAsia" w:ascii="宋体" w:hAnsi="宋体" w:cs="宋体"/>
          <w:b w:val="0"/>
          <w:bCs w:val="0"/>
          <w:color w:val="auto"/>
          <w:kern w:val="0"/>
          <w:sz w:val="24"/>
          <w:lang w:val="zh-CN"/>
        </w:rPr>
        <w:t>；</w:t>
      </w:r>
    </w:p>
    <w:p w14:paraId="4F032701">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kern w:val="0"/>
          <w:sz w:val="24"/>
          <w:highlight w:val="none"/>
          <w:lang w:val="zh-CN"/>
        </w:rPr>
        <w:t>2、有关本项目实施所涉及的一切费用均计入报价。交易发起人将以合同形式有偿取得货物或服务，不接受供应商给予的赠品、回扣或者与采购无关的其他商品、服务；采购内容未包含在《开标一览表（报价表）》名称栏中，供应商不能作出合理解释的，</w:t>
      </w:r>
      <w:r>
        <w:rPr>
          <w:rFonts w:hint="eastAsia" w:ascii="宋体" w:hAnsi="宋体" w:cs="宋体"/>
          <w:b w:val="0"/>
          <w:bCs w:val="0"/>
          <w:color w:val="auto"/>
          <w:kern w:val="0"/>
          <w:sz w:val="24"/>
          <w:highlight w:val="none"/>
        </w:rPr>
        <w:t>视为</w:t>
      </w:r>
      <w:r>
        <w:rPr>
          <w:rFonts w:hint="eastAsia" w:ascii="宋体" w:hAnsi="宋体" w:cs="宋体"/>
          <w:b w:val="0"/>
          <w:bCs w:val="0"/>
          <w:color w:val="auto"/>
          <w:sz w:val="24"/>
          <w:highlight w:val="none"/>
          <w:lang w:eastAsia="zh-CN"/>
        </w:rPr>
        <w:t>响应文件</w:t>
      </w:r>
      <w:r>
        <w:rPr>
          <w:rFonts w:hint="eastAsia" w:ascii="宋体" w:hAnsi="宋体" w:cs="宋体"/>
          <w:b w:val="0"/>
          <w:bCs w:val="0"/>
          <w:color w:val="auto"/>
          <w:sz w:val="24"/>
          <w:highlight w:val="none"/>
        </w:rPr>
        <w:t>含有</w:t>
      </w:r>
      <w:r>
        <w:rPr>
          <w:rFonts w:hint="eastAsia" w:ascii="宋体" w:hAnsi="宋体" w:cs="宋体"/>
          <w:b w:val="0"/>
          <w:bCs w:val="0"/>
          <w:color w:val="auto"/>
          <w:sz w:val="24"/>
          <w:highlight w:val="none"/>
          <w:lang w:eastAsia="zh-CN"/>
        </w:rPr>
        <w:t>交易发起人</w:t>
      </w:r>
      <w:r>
        <w:rPr>
          <w:rFonts w:hint="eastAsia" w:ascii="宋体" w:hAnsi="宋体" w:cs="宋体"/>
          <w:b w:val="0"/>
          <w:bCs w:val="0"/>
          <w:color w:val="auto"/>
          <w:sz w:val="24"/>
          <w:highlight w:val="none"/>
        </w:rPr>
        <w:t>不能接受的附加条件的，</w:t>
      </w:r>
      <w:r>
        <w:rPr>
          <w:rFonts w:hint="eastAsia" w:ascii="宋体" w:hAnsi="宋体" w:cs="宋体"/>
          <w:b w:val="0"/>
          <w:bCs w:val="0"/>
          <w:color w:val="auto"/>
          <w:sz w:val="24"/>
          <w:highlight w:val="none"/>
          <w:lang w:eastAsia="zh-CN"/>
        </w:rPr>
        <w:t>响应</w:t>
      </w:r>
      <w:r>
        <w:rPr>
          <w:rFonts w:hint="eastAsia" w:ascii="宋体" w:hAnsi="宋体" w:cs="宋体"/>
          <w:b w:val="0"/>
          <w:bCs w:val="0"/>
          <w:color w:val="auto"/>
          <w:sz w:val="24"/>
          <w:highlight w:val="none"/>
        </w:rPr>
        <w:t>无效。</w:t>
      </w:r>
    </w:p>
    <w:p w14:paraId="5C941AB5">
      <w:pPr>
        <w:spacing w:line="360" w:lineRule="auto"/>
        <w:ind w:firstLine="482" w:firstLineChars="200"/>
        <w:rPr>
          <w:rFonts w:ascii="宋体" w:hAnsi="宋体" w:cs="宋体"/>
          <w:b/>
          <w:color w:val="auto"/>
          <w:kern w:val="0"/>
          <w:sz w:val="24"/>
          <w:highlight w:val="none"/>
        </w:rPr>
      </w:pPr>
    </w:p>
    <w:p w14:paraId="136D932F">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60693835">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93D04E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1</w:t>
      </w:r>
      <w:r>
        <w:rPr>
          <w:rFonts w:hint="eastAsia" w:ascii="宋体" w:hAnsi="宋体" w:cs="宋体"/>
          <w:b/>
          <w:color w:val="auto"/>
          <w:spacing w:val="6"/>
          <w:sz w:val="32"/>
          <w:szCs w:val="32"/>
        </w:rPr>
        <w:t>：质疑函范本及制作说明</w:t>
      </w:r>
    </w:p>
    <w:p w14:paraId="6B39DEB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5E03EF4">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771A45C">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08A8C73">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AC2065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A3F220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037208F">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9800CC4">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D7D1DDE">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5562301">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14882C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041F22B">
      <w:pPr>
        <w:snapToGrid w:val="0"/>
        <w:spacing w:line="360" w:lineRule="auto"/>
        <w:rPr>
          <w:rFonts w:ascii="宋体" w:hAnsi="宋体" w:cs="宋体"/>
          <w:color w:val="auto"/>
          <w:sz w:val="24"/>
          <w:u w:val="dotted"/>
        </w:rPr>
      </w:pPr>
      <w:r>
        <w:rPr>
          <w:rFonts w:hint="eastAsia" w:ascii="宋体" w:hAnsi="宋体" w:cs="宋体"/>
          <w:color w:val="auto"/>
          <w:sz w:val="24"/>
          <w:lang w:eastAsia="zh-CN"/>
        </w:rPr>
        <w:t>交易发起人</w:t>
      </w:r>
      <w:r>
        <w:rPr>
          <w:rFonts w:hint="eastAsia" w:ascii="宋体" w:hAnsi="宋体" w:cs="宋体"/>
          <w:color w:val="auto"/>
          <w:sz w:val="24"/>
        </w:rPr>
        <w:t>名称：</w:t>
      </w:r>
      <w:r>
        <w:rPr>
          <w:rFonts w:hint="eastAsia" w:ascii="宋体" w:hAnsi="宋体" w:cs="宋体"/>
          <w:color w:val="auto"/>
          <w:sz w:val="24"/>
          <w:u w:val="dotted"/>
        </w:rPr>
        <w:t xml:space="preserve">                                         </w:t>
      </w:r>
    </w:p>
    <w:p w14:paraId="4D514043">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E20FC40">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80CED7A">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718671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5147910">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610EDF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79047C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F667781">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998DC6B">
      <w:pPr>
        <w:snapToGrid w:val="0"/>
        <w:spacing w:line="360" w:lineRule="auto"/>
        <w:rPr>
          <w:rFonts w:ascii="宋体" w:hAnsi="宋体" w:cs="宋体"/>
          <w:color w:val="auto"/>
          <w:sz w:val="24"/>
        </w:rPr>
      </w:pPr>
      <w:r>
        <w:rPr>
          <w:rFonts w:hint="eastAsia" w:ascii="宋体" w:hAnsi="宋体" w:cs="宋体"/>
          <w:color w:val="auto"/>
          <w:sz w:val="24"/>
        </w:rPr>
        <w:t>……</w:t>
      </w:r>
    </w:p>
    <w:p w14:paraId="5F7E94E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5B01FAD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56EE09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CC6CAEB">
      <w:pPr>
        <w:spacing w:line="360" w:lineRule="auto"/>
        <w:rPr>
          <w:rFonts w:ascii="宋体" w:hAnsi="宋体" w:cs="宋体"/>
          <w:color w:val="auto"/>
          <w:sz w:val="24"/>
        </w:rPr>
      </w:pPr>
      <w:r>
        <w:rPr>
          <w:rFonts w:hint="eastAsia" w:ascii="宋体" w:hAnsi="宋体" w:cs="宋体"/>
          <w:color w:val="auto"/>
          <w:sz w:val="24"/>
        </w:rPr>
        <w:t xml:space="preserve">日期：    </w:t>
      </w:r>
    </w:p>
    <w:p w14:paraId="38E470E6">
      <w:pPr>
        <w:spacing w:line="360" w:lineRule="auto"/>
        <w:jc w:val="center"/>
        <w:rPr>
          <w:rFonts w:ascii="宋体" w:hAnsi="宋体" w:cs="宋体"/>
          <w:b/>
          <w:bCs/>
          <w:color w:val="auto"/>
          <w:sz w:val="24"/>
        </w:rPr>
      </w:pPr>
    </w:p>
    <w:p w14:paraId="097BB4A7">
      <w:pPr>
        <w:spacing w:line="360" w:lineRule="auto"/>
        <w:rPr>
          <w:rFonts w:ascii="宋体" w:hAnsi="宋体" w:cs="宋体"/>
          <w:b/>
          <w:color w:val="auto"/>
          <w:sz w:val="24"/>
        </w:rPr>
      </w:pPr>
    </w:p>
    <w:p w14:paraId="07D4A7A2">
      <w:pPr>
        <w:spacing w:line="360" w:lineRule="auto"/>
        <w:rPr>
          <w:rFonts w:ascii="宋体" w:hAnsi="宋体" w:cs="宋体"/>
          <w:b/>
          <w:color w:val="auto"/>
          <w:sz w:val="24"/>
        </w:rPr>
      </w:pPr>
    </w:p>
    <w:p w14:paraId="7B1B7B8D">
      <w:pPr>
        <w:spacing w:line="360" w:lineRule="auto"/>
        <w:rPr>
          <w:rFonts w:ascii="宋体" w:hAnsi="宋体" w:cs="宋体"/>
          <w:b/>
          <w:color w:val="auto"/>
          <w:sz w:val="24"/>
        </w:rPr>
      </w:pPr>
    </w:p>
    <w:p w14:paraId="3BF0B9BC">
      <w:pPr>
        <w:spacing w:line="360" w:lineRule="auto"/>
        <w:rPr>
          <w:rFonts w:ascii="宋体" w:hAnsi="宋体" w:cs="宋体"/>
          <w:b/>
          <w:color w:val="auto"/>
          <w:sz w:val="24"/>
        </w:rPr>
      </w:pPr>
      <w:r>
        <w:rPr>
          <w:rFonts w:hint="eastAsia" w:ascii="宋体" w:hAnsi="宋体" w:cs="宋体"/>
          <w:b/>
          <w:color w:val="auto"/>
          <w:sz w:val="24"/>
        </w:rPr>
        <w:t>质疑函制作说明：</w:t>
      </w:r>
    </w:p>
    <w:p w14:paraId="2EA826B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9F8383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BC701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9F5E0A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16B3EF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4474B18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BA3EF79">
      <w:pPr>
        <w:widowControl/>
        <w:spacing w:line="360" w:lineRule="auto"/>
        <w:ind w:firstLine="600" w:firstLineChars="200"/>
        <w:jc w:val="left"/>
        <w:rPr>
          <w:rFonts w:ascii="宋体" w:hAnsi="宋体" w:cs="宋体"/>
          <w:color w:val="auto"/>
          <w:sz w:val="30"/>
          <w:szCs w:val="30"/>
        </w:rPr>
      </w:pPr>
    </w:p>
    <w:p w14:paraId="210F071A">
      <w:pPr>
        <w:spacing w:line="360" w:lineRule="auto"/>
        <w:jc w:val="center"/>
        <w:rPr>
          <w:rFonts w:ascii="宋体" w:hAnsi="宋体" w:cs="宋体"/>
          <w:b/>
          <w:color w:val="auto"/>
          <w:spacing w:val="6"/>
          <w:sz w:val="32"/>
          <w:szCs w:val="32"/>
        </w:rPr>
      </w:pPr>
    </w:p>
    <w:p w14:paraId="2648B57C">
      <w:pPr>
        <w:spacing w:line="360" w:lineRule="auto"/>
        <w:jc w:val="center"/>
        <w:rPr>
          <w:rFonts w:ascii="宋体" w:hAnsi="宋体" w:cs="宋体"/>
          <w:b/>
          <w:color w:val="auto"/>
          <w:spacing w:val="6"/>
          <w:sz w:val="32"/>
          <w:szCs w:val="32"/>
        </w:rPr>
      </w:pPr>
    </w:p>
    <w:p w14:paraId="20AC5F64">
      <w:pPr>
        <w:spacing w:line="360" w:lineRule="auto"/>
        <w:jc w:val="center"/>
        <w:rPr>
          <w:rFonts w:ascii="宋体" w:hAnsi="宋体" w:cs="宋体"/>
          <w:b/>
          <w:color w:val="auto"/>
          <w:spacing w:val="6"/>
          <w:sz w:val="32"/>
          <w:szCs w:val="32"/>
        </w:rPr>
      </w:pPr>
    </w:p>
    <w:p w14:paraId="7A1449C3">
      <w:pPr>
        <w:spacing w:line="360" w:lineRule="auto"/>
        <w:jc w:val="center"/>
        <w:rPr>
          <w:rFonts w:ascii="宋体" w:hAnsi="宋体" w:cs="宋体"/>
          <w:b/>
          <w:color w:val="auto"/>
          <w:spacing w:val="6"/>
          <w:sz w:val="32"/>
          <w:szCs w:val="32"/>
        </w:rPr>
      </w:pPr>
    </w:p>
    <w:p w14:paraId="055CF5B8">
      <w:pPr>
        <w:spacing w:line="360" w:lineRule="auto"/>
        <w:jc w:val="center"/>
        <w:rPr>
          <w:rFonts w:ascii="宋体" w:hAnsi="宋体" w:cs="宋体"/>
          <w:b/>
          <w:color w:val="auto"/>
          <w:spacing w:val="6"/>
          <w:sz w:val="32"/>
          <w:szCs w:val="32"/>
        </w:rPr>
      </w:pPr>
    </w:p>
    <w:p w14:paraId="24797BEC">
      <w:pPr>
        <w:spacing w:line="360" w:lineRule="auto"/>
        <w:jc w:val="center"/>
        <w:rPr>
          <w:rFonts w:ascii="宋体" w:hAnsi="宋体" w:cs="宋体"/>
          <w:b/>
          <w:color w:val="auto"/>
          <w:spacing w:val="6"/>
          <w:sz w:val="32"/>
          <w:szCs w:val="32"/>
        </w:rPr>
      </w:pPr>
    </w:p>
    <w:p w14:paraId="436C44B4">
      <w:pPr>
        <w:spacing w:line="360" w:lineRule="auto"/>
        <w:jc w:val="center"/>
        <w:rPr>
          <w:rFonts w:ascii="宋体" w:hAnsi="宋体" w:cs="宋体"/>
          <w:b/>
          <w:color w:val="auto"/>
          <w:spacing w:val="6"/>
          <w:sz w:val="32"/>
          <w:szCs w:val="32"/>
        </w:rPr>
      </w:pPr>
    </w:p>
    <w:p w14:paraId="462B50B7">
      <w:pPr>
        <w:spacing w:line="360" w:lineRule="auto"/>
        <w:jc w:val="center"/>
        <w:rPr>
          <w:rFonts w:ascii="宋体" w:hAnsi="宋体" w:cs="宋体"/>
          <w:b/>
          <w:color w:val="auto"/>
          <w:spacing w:val="6"/>
          <w:sz w:val="32"/>
          <w:szCs w:val="32"/>
        </w:rPr>
      </w:pPr>
    </w:p>
    <w:p w14:paraId="3188845E">
      <w:pPr>
        <w:spacing w:line="360" w:lineRule="auto"/>
        <w:jc w:val="center"/>
        <w:rPr>
          <w:rFonts w:ascii="宋体" w:hAnsi="宋体" w:cs="宋体"/>
          <w:b/>
          <w:color w:val="auto"/>
          <w:spacing w:val="6"/>
          <w:sz w:val="32"/>
          <w:szCs w:val="32"/>
        </w:rPr>
      </w:pPr>
    </w:p>
    <w:p w14:paraId="67E1E151">
      <w:pPr>
        <w:spacing w:line="360" w:lineRule="auto"/>
        <w:jc w:val="center"/>
        <w:rPr>
          <w:rFonts w:ascii="宋体" w:hAnsi="宋体" w:cs="宋体"/>
          <w:b/>
          <w:color w:val="auto"/>
          <w:spacing w:val="6"/>
          <w:sz w:val="32"/>
          <w:szCs w:val="32"/>
        </w:rPr>
      </w:pPr>
    </w:p>
    <w:p w14:paraId="1FE3E35A">
      <w:pPr>
        <w:spacing w:line="360" w:lineRule="auto"/>
        <w:jc w:val="center"/>
        <w:rPr>
          <w:rFonts w:ascii="宋体" w:hAnsi="宋体" w:cs="宋体"/>
          <w:b/>
          <w:color w:val="auto"/>
          <w:spacing w:val="6"/>
          <w:sz w:val="32"/>
          <w:szCs w:val="32"/>
        </w:rPr>
      </w:pPr>
    </w:p>
    <w:p w14:paraId="2E918A75">
      <w:pPr>
        <w:spacing w:line="360" w:lineRule="auto"/>
        <w:jc w:val="center"/>
        <w:rPr>
          <w:rFonts w:ascii="宋体" w:hAnsi="宋体" w:cs="宋体"/>
          <w:b/>
          <w:color w:val="auto"/>
          <w:spacing w:val="6"/>
          <w:sz w:val="32"/>
          <w:szCs w:val="32"/>
        </w:rPr>
      </w:pPr>
    </w:p>
    <w:p w14:paraId="12B12B56">
      <w:pPr>
        <w:spacing w:line="360" w:lineRule="auto"/>
        <w:jc w:val="left"/>
        <w:rPr>
          <w:rFonts w:ascii="宋体" w:hAnsi="宋体" w:cs="宋体"/>
          <w:b/>
          <w:color w:val="auto"/>
          <w:spacing w:val="6"/>
          <w:sz w:val="32"/>
          <w:szCs w:val="32"/>
        </w:rPr>
      </w:pPr>
    </w:p>
    <w:p w14:paraId="14DCEBF1">
      <w:pPr>
        <w:autoSpaceDE w:val="0"/>
        <w:autoSpaceDN w:val="0"/>
        <w:jc w:val="center"/>
        <w:rPr>
          <w:rFonts w:hint="eastAsia" w:ascii="宋体" w:hAnsi="宋体" w:cs="宋体"/>
          <w:b/>
          <w:color w:val="auto"/>
          <w:spacing w:val="6"/>
          <w:sz w:val="32"/>
          <w:szCs w:val="32"/>
        </w:rPr>
      </w:pPr>
    </w:p>
    <w:p w14:paraId="04AD4A27">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2</w:t>
      </w:r>
      <w:r>
        <w:rPr>
          <w:rFonts w:hint="eastAsia" w:ascii="宋体" w:hAnsi="宋体" w:cs="宋体"/>
          <w:b/>
          <w:color w:val="auto"/>
          <w:spacing w:val="6"/>
          <w:sz w:val="32"/>
          <w:szCs w:val="32"/>
        </w:rPr>
        <w:t>：</w:t>
      </w:r>
      <w:r>
        <w:rPr>
          <w:rFonts w:hint="eastAsia" w:ascii="宋体" w:hAnsi="宋体" w:cs="宋体"/>
          <w:b/>
          <w:bCs/>
          <w:color w:val="auto"/>
          <w:sz w:val="32"/>
          <w:szCs w:val="32"/>
        </w:rPr>
        <w:t>业务专用章使用说明函</w:t>
      </w:r>
    </w:p>
    <w:p w14:paraId="0456DF94">
      <w:pPr>
        <w:spacing w:line="360" w:lineRule="auto"/>
        <w:rPr>
          <w:rFonts w:ascii="宋体" w:hAnsi="宋体" w:cs="宋体"/>
          <w:color w:val="auto"/>
          <w:sz w:val="24"/>
          <w:u w:val="single"/>
        </w:rPr>
      </w:pPr>
    </w:p>
    <w:p w14:paraId="57E67BEE">
      <w:pPr>
        <w:spacing w:line="360" w:lineRule="auto"/>
        <w:rPr>
          <w:rFonts w:ascii="宋体" w:hAnsi="宋体" w:cs="宋体"/>
          <w:color w:val="auto"/>
          <w:sz w:val="24"/>
        </w:rPr>
      </w:pPr>
      <w:r>
        <w:rPr>
          <w:rFonts w:hint="eastAsia" w:ascii="宋体" w:hAnsi="宋体" w:cs="宋体"/>
          <w:color w:val="auto"/>
          <w:sz w:val="24"/>
          <w:u w:val="single"/>
        </w:rPr>
        <w:t>（</w:t>
      </w:r>
      <w:r>
        <w:rPr>
          <w:rFonts w:hint="eastAsia" w:ascii="宋体" w:hAnsi="宋体" w:cs="宋体"/>
          <w:color w:val="auto"/>
          <w:sz w:val="24"/>
          <w:u w:val="single"/>
          <w:lang w:eastAsia="zh-CN"/>
        </w:rPr>
        <w:t>交易发起人</w:t>
      </w:r>
      <w:r>
        <w:rPr>
          <w:rFonts w:hint="eastAsia" w:ascii="宋体" w:hAnsi="宋体" w:cs="宋体"/>
          <w:color w:val="auto"/>
          <w:sz w:val="24"/>
          <w:u w:val="single"/>
        </w:rPr>
        <w:t>）、（</w:t>
      </w:r>
      <w:r>
        <w:rPr>
          <w:rFonts w:hint="eastAsia" w:ascii="宋体" w:hAnsi="宋体" w:cs="宋体"/>
          <w:color w:val="auto"/>
          <w:sz w:val="24"/>
          <w:u w:val="single"/>
          <w:lang w:eastAsia="zh-CN"/>
        </w:rPr>
        <w:t>代理机构</w:t>
      </w:r>
      <w:r>
        <w:rPr>
          <w:rFonts w:hint="eastAsia" w:ascii="宋体" w:hAnsi="宋体" w:cs="宋体"/>
          <w:color w:val="auto"/>
          <w:sz w:val="24"/>
          <w:u w:val="single"/>
        </w:rPr>
        <w:t>）：</w:t>
      </w:r>
    </w:p>
    <w:p w14:paraId="27D0206C">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w:t>
      </w:r>
      <w:r>
        <w:rPr>
          <w:rFonts w:hint="eastAsia" w:ascii="宋体" w:hAnsi="宋体" w:cs="宋体"/>
          <w:color w:val="auto"/>
          <w:sz w:val="24"/>
          <w:lang w:eastAsia="zh-CN"/>
        </w:rPr>
        <w:t>供应商</w:t>
      </w:r>
      <w:r>
        <w:rPr>
          <w:rFonts w:hint="eastAsia" w:ascii="宋体" w:hAnsi="宋体" w:cs="宋体"/>
          <w:color w:val="auto"/>
          <w:sz w:val="24"/>
        </w:rPr>
        <w:t>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bCs/>
          <w:color w:val="auto"/>
          <w:sz w:val="24"/>
          <w:lang w:eastAsia="zh-CN"/>
        </w:rPr>
        <w:t>响应</w:t>
      </w:r>
      <w:r>
        <w:rPr>
          <w:rFonts w:hint="eastAsia" w:ascii="宋体" w:hAnsi="宋体" w:cs="宋体"/>
          <w:bCs/>
          <w:color w:val="auto"/>
          <w:sz w:val="24"/>
        </w:rPr>
        <w:t>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57CAC9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D67E12F">
      <w:pPr>
        <w:spacing w:line="360" w:lineRule="auto"/>
        <w:ind w:firstLine="494"/>
        <w:rPr>
          <w:rFonts w:ascii="宋体" w:hAnsi="宋体" w:cs="宋体"/>
          <w:color w:val="auto"/>
          <w:sz w:val="24"/>
        </w:rPr>
      </w:pPr>
    </w:p>
    <w:p w14:paraId="1A9512EF">
      <w:pPr>
        <w:spacing w:line="360" w:lineRule="auto"/>
        <w:ind w:firstLine="494"/>
        <w:rPr>
          <w:rFonts w:ascii="宋体" w:hAnsi="宋体" w:cs="宋体"/>
          <w:color w:val="auto"/>
          <w:sz w:val="24"/>
        </w:rPr>
      </w:pPr>
    </w:p>
    <w:p w14:paraId="02285C24">
      <w:pPr>
        <w:spacing w:line="360" w:lineRule="auto"/>
        <w:ind w:firstLine="494"/>
        <w:rPr>
          <w:rFonts w:ascii="宋体" w:hAnsi="宋体" w:cs="宋体"/>
          <w:color w:val="auto"/>
          <w:sz w:val="24"/>
        </w:rPr>
      </w:pPr>
    </w:p>
    <w:p w14:paraId="1DF56DA2">
      <w:pPr>
        <w:spacing w:line="360" w:lineRule="auto"/>
        <w:ind w:firstLine="494"/>
        <w:rPr>
          <w:rFonts w:ascii="宋体" w:hAnsi="宋体" w:cs="宋体"/>
          <w:color w:val="auto"/>
          <w:sz w:val="24"/>
        </w:rPr>
      </w:pPr>
    </w:p>
    <w:p w14:paraId="3B775D9D">
      <w:pPr>
        <w:spacing w:line="360" w:lineRule="auto"/>
        <w:ind w:right="480" w:firstLine="4080" w:firstLineChars="1700"/>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（法定名称章）：</w:t>
      </w:r>
    </w:p>
    <w:p w14:paraId="3664CB71">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15533190">
      <w:pPr>
        <w:rPr>
          <w:rFonts w:ascii="宋体" w:hAnsi="宋体" w:cs="宋体"/>
          <w:color w:val="auto"/>
          <w:sz w:val="24"/>
        </w:rPr>
      </w:pPr>
      <w:r>
        <w:rPr>
          <w:rFonts w:hint="eastAsia" w:ascii="宋体" w:hAnsi="宋体" w:cs="宋体"/>
          <w:b/>
          <w:bCs/>
          <w:color w:val="auto"/>
          <w:sz w:val="24"/>
        </w:rPr>
        <w:t>附：</w:t>
      </w:r>
    </w:p>
    <w:p w14:paraId="467E18C1">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lang w:eastAsia="zh-CN"/>
        </w:rPr>
        <w:t>供应商</w:t>
      </w:r>
      <w:r>
        <w:rPr>
          <w:rFonts w:hint="eastAsia" w:ascii="宋体" w:hAnsi="宋体" w:cs="宋体"/>
          <w:color w:val="auto"/>
          <w:sz w:val="24"/>
        </w:rPr>
        <w:t xml:space="preserve">法定名称章（印模）                </w:t>
      </w:r>
      <w:r>
        <w:rPr>
          <w:rFonts w:hint="eastAsia" w:ascii="宋体" w:hAnsi="宋体" w:cs="宋体"/>
          <w:color w:val="auto"/>
          <w:sz w:val="24"/>
          <w:lang w:eastAsia="zh-CN"/>
        </w:rPr>
        <w:t>供应商</w:t>
      </w:r>
      <w:r>
        <w:rPr>
          <w:rFonts w:hint="eastAsia" w:ascii="宋体" w:hAnsi="宋体" w:cs="宋体"/>
          <w:color w:val="auto"/>
          <w:sz w:val="24"/>
        </w:rPr>
        <w:t>“XX专用章”（印模）</w:t>
      </w:r>
    </w:p>
    <w:p w14:paraId="2856BCBC">
      <w:pPr>
        <w:autoSpaceDE w:val="0"/>
        <w:autoSpaceDN w:val="0"/>
        <w:jc w:val="center"/>
        <w:rPr>
          <w:rFonts w:ascii="宋体" w:hAnsi="宋体" w:cs="宋体"/>
          <w:b/>
          <w:color w:val="auto"/>
          <w:spacing w:val="6"/>
          <w:sz w:val="32"/>
          <w:szCs w:val="32"/>
        </w:rPr>
      </w:pPr>
    </w:p>
    <w:p w14:paraId="2568C1C4">
      <w:pPr>
        <w:autoSpaceDE w:val="0"/>
        <w:autoSpaceDN w:val="0"/>
        <w:jc w:val="center"/>
        <w:rPr>
          <w:rFonts w:ascii="宋体" w:hAnsi="宋体" w:cs="宋体"/>
          <w:b/>
          <w:color w:val="auto"/>
          <w:spacing w:val="6"/>
          <w:sz w:val="32"/>
          <w:szCs w:val="32"/>
        </w:rPr>
      </w:pPr>
    </w:p>
    <w:p w14:paraId="7FAC195F">
      <w:pPr>
        <w:autoSpaceDE w:val="0"/>
        <w:autoSpaceDN w:val="0"/>
        <w:jc w:val="center"/>
        <w:rPr>
          <w:rFonts w:ascii="宋体" w:hAnsi="宋体" w:cs="宋体"/>
          <w:b/>
          <w:color w:val="auto"/>
          <w:spacing w:val="6"/>
          <w:sz w:val="32"/>
          <w:szCs w:val="32"/>
        </w:rPr>
      </w:pPr>
    </w:p>
    <w:p w14:paraId="44647587">
      <w:pPr>
        <w:autoSpaceDE w:val="0"/>
        <w:autoSpaceDN w:val="0"/>
        <w:jc w:val="center"/>
        <w:rPr>
          <w:rFonts w:ascii="宋体" w:hAnsi="宋体" w:cs="宋体"/>
          <w:b/>
          <w:color w:val="auto"/>
          <w:spacing w:val="6"/>
          <w:sz w:val="32"/>
          <w:szCs w:val="32"/>
        </w:rPr>
      </w:pPr>
    </w:p>
    <w:p w14:paraId="57D65772">
      <w:pPr>
        <w:autoSpaceDE w:val="0"/>
        <w:autoSpaceDN w:val="0"/>
        <w:jc w:val="center"/>
        <w:rPr>
          <w:rFonts w:ascii="宋体" w:hAnsi="宋体" w:cs="宋体"/>
          <w:b/>
          <w:color w:val="auto"/>
          <w:spacing w:val="6"/>
          <w:sz w:val="32"/>
          <w:szCs w:val="32"/>
        </w:rPr>
      </w:pPr>
    </w:p>
    <w:p w14:paraId="6FA5953C">
      <w:pPr>
        <w:autoSpaceDE w:val="0"/>
        <w:autoSpaceDN w:val="0"/>
        <w:jc w:val="center"/>
        <w:rPr>
          <w:rFonts w:ascii="宋体" w:hAnsi="宋体" w:cs="宋体"/>
          <w:b/>
          <w:color w:val="auto"/>
          <w:spacing w:val="6"/>
          <w:sz w:val="32"/>
          <w:szCs w:val="32"/>
        </w:rPr>
      </w:pPr>
    </w:p>
    <w:p w14:paraId="5F3345D5">
      <w:pPr>
        <w:autoSpaceDE w:val="0"/>
        <w:autoSpaceDN w:val="0"/>
        <w:jc w:val="center"/>
        <w:rPr>
          <w:rFonts w:ascii="宋体" w:hAnsi="宋体" w:cs="宋体"/>
          <w:b/>
          <w:color w:val="auto"/>
          <w:spacing w:val="6"/>
          <w:sz w:val="32"/>
          <w:szCs w:val="32"/>
        </w:rPr>
      </w:pPr>
    </w:p>
    <w:p w14:paraId="2F5E7A99">
      <w:pPr>
        <w:autoSpaceDE w:val="0"/>
        <w:autoSpaceDN w:val="0"/>
        <w:jc w:val="center"/>
        <w:rPr>
          <w:rFonts w:ascii="宋体" w:hAnsi="宋体" w:cs="宋体"/>
          <w:b/>
          <w:color w:val="auto"/>
          <w:spacing w:val="6"/>
          <w:sz w:val="32"/>
          <w:szCs w:val="32"/>
        </w:rPr>
      </w:pPr>
    </w:p>
    <w:p w14:paraId="71D2BE68">
      <w:pPr>
        <w:autoSpaceDE w:val="0"/>
        <w:autoSpaceDN w:val="0"/>
        <w:jc w:val="center"/>
        <w:rPr>
          <w:rFonts w:ascii="宋体" w:hAnsi="宋体" w:cs="宋体"/>
          <w:b/>
          <w:color w:val="auto"/>
          <w:spacing w:val="6"/>
          <w:sz w:val="32"/>
          <w:szCs w:val="32"/>
        </w:rPr>
      </w:pPr>
    </w:p>
    <w:p w14:paraId="4F360DDD">
      <w:pPr>
        <w:autoSpaceDE w:val="0"/>
        <w:autoSpaceDN w:val="0"/>
        <w:jc w:val="center"/>
        <w:rPr>
          <w:rFonts w:ascii="宋体" w:hAnsi="宋体" w:cs="宋体"/>
          <w:b/>
          <w:color w:val="auto"/>
          <w:spacing w:val="6"/>
          <w:sz w:val="32"/>
          <w:szCs w:val="32"/>
        </w:rPr>
      </w:pPr>
    </w:p>
    <w:p w14:paraId="73E4DF96">
      <w:pPr>
        <w:autoSpaceDE w:val="0"/>
        <w:autoSpaceDN w:val="0"/>
        <w:jc w:val="center"/>
        <w:rPr>
          <w:rFonts w:ascii="宋体" w:hAnsi="宋体" w:cs="宋体"/>
          <w:b/>
          <w:color w:val="auto"/>
          <w:spacing w:val="6"/>
          <w:sz w:val="32"/>
          <w:szCs w:val="32"/>
        </w:rPr>
      </w:pPr>
    </w:p>
    <w:p w14:paraId="2904E78D">
      <w:pPr>
        <w:autoSpaceDE w:val="0"/>
        <w:autoSpaceDN w:val="0"/>
        <w:jc w:val="center"/>
        <w:rPr>
          <w:rFonts w:ascii="宋体" w:hAnsi="宋体" w:cs="宋体"/>
          <w:b/>
          <w:color w:val="auto"/>
          <w:spacing w:val="6"/>
          <w:sz w:val="32"/>
          <w:szCs w:val="32"/>
        </w:rPr>
      </w:pPr>
    </w:p>
    <w:p w14:paraId="6DD81E2C">
      <w:pPr>
        <w:autoSpaceDE w:val="0"/>
        <w:autoSpaceDN w:val="0"/>
        <w:jc w:val="center"/>
        <w:rPr>
          <w:rFonts w:ascii="宋体" w:hAnsi="宋体" w:cs="宋体"/>
          <w:b/>
          <w:color w:val="auto"/>
          <w:spacing w:val="6"/>
          <w:sz w:val="32"/>
          <w:szCs w:val="32"/>
        </w:rPr>
      </w:pPr>
    </w:p>
    <w:p w14:paraId="0A8C0056">
      <w:pPr>
        <w:autoSpaceDE w:val="0"/>
        <w:autoSpaceDN w:val="0"/>
        <w:jc w:val="center"/>
        <w:rPr>
          <w:rFonts w:ascii="宋体" w:hAnsi="宋体" w:cs="宋体"/>
          <w:b/>
          <w:color w:val="auto"/>
          <w:spacing w:val="6"/>
          <w:sz w:val="32"/>
          <w:szCs w:val="32"/>
        </w:rPr>
      </w:pPr>
    </w:p>
    <w:p w14:paraId="4EF74A41">
      <w:pPr>
        <w:spacing w:line="360" w:lineRule="auto"/>
        <w:rPr>
          <w:rFonts w:cs="仿宋_GB2312"/>
          <w:b/>
          <w:color w:va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C84D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C0E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CCC5">
    <w:pPr>
      <w:pStyle w:val="39"/>
      <w:framePr w:wrap="around" w:vAnchor="text" w:hAnchor="margin" w:xAlign="right" w:y="1"/>
      <w:rPr>
        <w:rStyle w:val="73"/>
      </w:rPr>
    </w:pPr>
    <w:r>
      <w:fldChar w:fldCharType="begin"/>
    </w:r>
    <w:r>
      <w:rPr>
        <w:rStyle w:val="73"/>
      </w:rPr>
      <w:instrText xml:space="preserve">PAGE  </w:instrText>
    </w:r>
    <w:r>
      <w:fldChar w:fldCharType="end"/>
    </w:r>
  </w:p>
  <w:p w14:paraId="35A6CD1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91E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8" w:name="_Toc91899912"/>
    <w:bookmarkStart w:id="409" w:name="_Toc36110187"/>
    <w:bookmarkStart w:id="410" w:name="_Toc164085800"/>
    <w:bookmarkStart w:id="411" w:name="_Toc13184514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8F2F">
    <w:pPr>
      <w:pStyle w:val="39"/>
      <w:framePr w:wrap="around" w:vAnchor="text" w:hAnchor="margin" w:xAlign="right" w:y="1"/>
      <w:rPr>
        <w:rStyle w:val="73"/>
      </w:rPr>
    </w:pPr>
    <w:r>
      <w:fldChar w:fldCharType="begin"/>
    </w:r>
    <w:r>
      <w:rPr>
        <w:rStyle w:val="73"/>
      </w:rPr>
      <w:instrText xml:space="preserve">PAGE  </w:instrText>
    </w:r>
    <w:r>
      <w:fldChar w:fldCharType="end"/>
    </w:r>
  </w:p>
  <w:p w14:paraId="0E5ACA9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77B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1A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8F8E1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68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595B6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114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6C875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6C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B616A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1D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F7886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BD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873E7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4073">
    <w:pPr>
      <w:pStyle w:val="41"/>
      <w:pBdr>
        <w:bottom w:val="single" w:color="auto" w:sz="4" w:space="4"/>
      </w:pBdr>
      <w:jc w:val="right"/>
    </w:pPr>
  </w:p>
  <w:p w14:paraId="23E1E3D8">
    <w:pPr>
      <w:pStyle w:val="41"/>
      <w:pBdr>
        <w:bottom w:val="single" w:color="auto" w:sz="4" w:space="4"/>
      </w:pBdr>
      <w:jc w:val="both"/>
    </w:pPr>
    <w:r>
      <w:t></w:t>
    </w:r>
  </w:p>
  <w:p w14:paraId="4EE5684A">
    <w:pPr>
      <w:pStyle w:val="41"/>
      <w:pBdr>
        <w:bottom w:val="single" w:color="auto" w:sz="4" w:space="4"/>
      </w:pBdr>
      <w:jc w:val="both"/>
      <w:rPr>
        <w:lang w:val="en-US"/>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BC93">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ED1C">
    <w:pPr>
      <w:pStyle w:val="41"/>
      <w:pBdr>
        <w:bottom w:val="single" w:color="auto" w:sz="4" w:space="0"/>
      </w:pBdr>
      <w:tabs>
        <w:tab w:val="center" w:pos="4535"/>
        <w:tab w:val="right" w:pos="9070"/>
        <w:tab w:val="clear" w:pos="4153"/>
        <w:tab w:val="clear" w:pos="8306"/>
      </w:tabs>
      <w:jc w:val="right"/>
      <w:rPr>
        <w:lang w:val="zh-CN"/>
      </w:rPr>
    </w:pPr>
  </w:p>
  <w:p w14:paraId="2317BF59">
    <w:pPr>
      <w:pStyle w:val="41"/>
      <w:pBdr>
        <w:bottom w:val="single" w:color="auto" w:sz="4" w:space="0"/>
      </w:pBdr>
      <w:tabs>
        <w:tab w:val="center" w:pos="4535"/>
        <w:tab w:val="right" w:pos="9070"/>
        <w:tab w:val="clear" w:pos="4153"/>
        <w:tab w:val="clear" w:pos="8306"/>
      </w:tabs>
      <w:jc w:val="right"/>
      <w:rPr>
        <w:lang w:val="zh-CN"/>
      </w:rPr>
    </w:pPr>
  </w:p>
  <w:p w14:paraId="148FBB8E">
    <w:pPr>
      <w:pStyle w:val="41"/>
      <w:pBdr>
        <w:bottom w:val="single" w:color="auto" w:sz="4"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FBE2">
    <w:pPr>
      <w:pStyle w:val="41"/>
      <w:rPr>
        <w:rFonts w:ascii="仿宋_GB2312" w:eastAsia="仿宋_GB2312"/>
        <w:b/>
        <w:i/>
        <w:u w:val="single"/>
      </w:rPr>
    </w:pPr>
    <w:r>
      <w:t></w:t>
    </w:r>
    <w:r>
      <w:rPr>
        <w:rFonts w:hint="eastAsia"/>
      </w:rPr>
      <w:t xml:space="preserve">                                                  </w:t>
    </w:r>
    <w:r>
      <w:t xml:space="preserve">          </w:t>
    </w:r>
  </w:p>
  <w:p w14:paraId="68BF7F2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A30E">
    <w:pPr>
      <w:pStyle w:val="41"/>
      <w:pBdr>
        <w:bottom w:val="single" w:color="auto" w:sz="4" w:space="1"/>
      </w:pBdr>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7E00">
    <w:pPr>
      <w:pBdr>
        <w:bottom w:val="single" w:color="auto" w:sz="4"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293C">
    <w:pPr>
      <w:pStyle w:val="41"/>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9DDE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64C8">
    <w:pPr>
      <w:pStyle w:val="41"/>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8AA7">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E0EC"/>
    <w:multiLevelType w:val="singleLevel"/>
    <w:tmpl w:val="F261E0EC"/>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5ZDA1M2ZkYjBjM2MxYmQ4MGZlMGM1NjQ5ZTkzZjIifQ=="/>
    <w:docVar w:name="KSO_WPS_MARK_KEY" w:val="edc15236-9e4c-41e1-8fc9-2c891b08eec8"/>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17989"/>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C8"/>
    <w:rsid w:val="001164F4"/>
    <w:rsid w:val="001168F8"/>
    <w:rsid w:val="001176FF"/>
    <w:rsid w:val="0012037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CDB"/>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2FE1"/>
    <w:rsid w:val="001B3DCD"/>
    <w:rsid w:val="001B45B9"/>
    <w:rsid w:val="001B46B2"/>
    <w:rsid w:val="001B4725"/>
    <w:rsid w:val="001B48B2"/>
    <w:rsid w:val="001B49DA"/>
    <w:rsid w:val="001B4CA8"/>
    <w:rsid w:val="001B533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6C"/>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2D"/>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436"/>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28F"/>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B3D"/>
    <w:rsid w:val="0034257E"/>
    <w:rsid w:val="003429A1"/>
    <w:rsid w:val="003429FC"/>
    <w:rsid w:val="00343079"/>
    <w:rsid w:val="00343127"/>
    <w:rsid w:val="00343320"/>
    <w:rsid w:val="00343404"/>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39"/>
    <w:rsid w:val="00375850"/>
    <w:rsid w:val="0037632F"/>
    <w:rsid w:val="003767ED"/>
    <w:rsid w:val="00377B26"/>
    <w:rsid w:val="00381014"/>
    <w:rsid w:val="00381604"/>
    <w:rsid w:val="00381C68"/>
    <w:rsid w:val="00381F60"/>
    <w:rsid w:val="00383204"/>
    <w:rsid w:val="00383AB0"/>
    <w:rsid w:val="00383D3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5DB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16D"/>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BBC"/>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9F"/>
    <w:rsid w:val="00442C12"/>
    <w:rsid w:val="004434DF"/>
    <w:rsid w:val="0044354B"/>
    <w:rsid w:val="0044493E"/>
    <w:rsid w:val="00444A1F"/>
    <w:rsid w:val="00444FC6"/>
    <w:rsid w:val="00445874"/>
    <w:rsid w:val="00445C38"/>
    <w:rsid w:val="0044606D"/>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7F"/>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947"/>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0A6"/>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7F1"/>
    <w:rsid w:val="00581AA8"/>
    <w:rsid w:val="00581D39"/>
    <w:rsid w:val="005827A7"/>
    <w:rsid w:val="005839D2"/>
    <w:rsid w:val="00583A4E"/>
    <w:rsid w:val="00583D43"/>
    <w:rsid w:val="005846C3"/>
    <w:rsid w:val="00584F04"/>
    <w:rsid w:val="0058544C"/>
    <w:rsid w:val="00585623"/>
    <w:rsid w:val="005857F7"/>
    <w:rsid w:val="005865E9"/>
    <w:rsid w:val="005868FD"/>
    <w:rsid w:val="00587D7B"/>
    <w:rsid w:val="005904DB"/>
    <w:rsid w:val="005905ED"/>
    <w:rsid w:val="00590D11"/>
    <w:rsid w:val="0059112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B3"/>
    <w:rsid w:val="005D01C3"/>
    <w:rsid w:val="005D05FF"/>
    <w:rsid w:val="005D0FB4"/>
    <w:rsid w:val="005D1176"/>
    <w:rsid w:val="005D1747"/>
    <w:rsid w:val="005D266D"/>
    <w:rsid w:val="005D306D"/>
    <w:rsid w:val="005D3327"/>
    <w:rsid w:val="005D4854"/>
    <w:rsid w:val="005D5BCF"/>
    <w:rsid w:val="005D65BF"/>
    <w:rsid w:val="005D6D84"/>
    <w:rsid w:val="005D70A1"/>
    <w:rsid w:val="005D7584"/>
    <w:rsid w:val="005D775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878"/>
    <w:rsid w:val="00623A5E"/>
    <w:rsid w:val="006241E9"/>
    <w:rsid w:val="00625008"/>
    <w:rsid w:val="0062548B"/>
    <w:rsid w:val="006262E9"/>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6F61"/>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55"/>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09"/>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6B"/>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8C5"/>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6F3F"/>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C4"/>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FA"/>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9B"/>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B73"/>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B5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F8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492"/>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C6A"/>
    <w:rsid w:val="008D5ED9"/>
    <w:rsid w:val="008D65BE"/>
    <w:rsid w:val="008D7247"/>
    <w:rsid w:val="008D7567"/>
    <w:rsid w:val="008E0EE4"/>
    <w:rsid w:val="008E12BE"/>
    <w:rsid w:val="008E13FD"/>
    <w:rsid w:val="008E1ACC"/>
    <w:rsid w:val="008E1C24"/>
    <w:rsid w:val="008E2626"/>
    <w:rsid w:val="008E27A9"/>
    <w:rsid w:val="008E323C"/>
    <w:rsid w:val="008E32E0"/>
    <w:rsid w:val="008E35A6"/>
    <w:rsid w:val="008E36D9"/>
    <w:rsid w:val="008E3A5C"/>
    <w:rsid w:val="008E3A9A"/>
    <w:rsid w:val="008E429E"/>
    <w:rsid w:val="008E58A3"/>
    <w:rsid w:val="008E5938"/>
    <w:rsid w:val="008E599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E16"/>
    <w:rsid w:val="00936EA5"/>
    <w:rsid w:val="00937114"/>
    <w:rsid w:val="0094015D"/>
    <w:rsid w:val="00940916"/>
    <w:rsid w:val="009412B7"/>
    <w:rsid w:val="00941B13"/>
    <w:rsid w:val="0094215C"/>
    <w:rsid w:val="00942A27"/>
    <w:rsid w:val="00942F8E"/>
    <w:rsid w:val="00943543"/>
    <w:rsid w:val="00944036"/>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EC6"/>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270"/>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A3A"/>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451"/>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BA1"/>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3E1B"/>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8B1"/>
    <w:rsid w:val="00A53785"/>
    <w:rsid w:val="00A53D28"/>
    <w:rsid w:val="00A5468F"/>
    <w:rsid w:val="00A54909"/>
    <w:rsid w:val="00A54DC0"/>
    <w:rsid w:val="00A550C9"/>
    <w:rsid w:val="00A55228"/>
    <w:rsid w:val="00A55410"/>
    <w:rsid w:val="00A55A04"/>
    <w:rsid w:val="00A564DE"/>
    <w:rsid w:val="00A56A15"/>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EA"/>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3CC"/>
    <w:rsid w:val="00A77828"/>
    <w:rsid w:val="00A77BAA"/>
    <w:rsid w:val="00A800F9"/>
    <w:rsid w:val="00A803A6"/>
    <w:rsid w:val="00A8073D"/>
    <w:rsid w:val="00A80D02"/>
    <w:rsid w:val="00A815FB"/>
    <w:rsid w:val="00A81AEB"/>
    <w:rsid w:val="00A82D32"/>
    <w:rsid w:val="00A82EAE"/>
    <w:rsid w:val="00A82FC7"/>
    <w:rsid w:val="00A83D8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E84"/>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5F0"/>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F94"/>
    <w:rsid w:val="00AE315E"/>
    <w:rsid w:val="00AE319F"/>
    <w:rsid w:val="00AE31D9"/>
    <w:rsid w:val="00AE3CF0"/>
    <w:rsid w:val="00AE4546"/>
    <w:rsid w:val="00AE6575"/>
    <w:rsid w:val="00AE71EE"/>
    <w:rsid w:val="00AF03CF"/>
    <w:rsid w:val="00AF0A0A"/>
    <w:rsid w:val="00AF14FC"/>
    <w:rsid w:val="00AF1ED2"/>
    <w:rsid w:val="00AF1F4E"/>
    <w:rsid w:val="00AF207F"/>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F15"/>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0CE"/>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26"/>
    <w:rsid w:val="00B66C7A"/>
    <w:rsid w:val="00B672EA"/>
    <w:rsid w:val="00B6747B"/>
    <w:rsid w:val="00B70200"/>
    <w:rsid w:val="00B702D7"/>
    <w:rsid w:val="00B70389"/>
    <w:rsid w:val="00B70E01"/>
    <w:rsid w:val="00B718FA"/>
    <w:rsid w:val="00B72A0B"/>
    <w:rsid w:val="00B72CF0"/>
    <w:rsid w:val="00B7380E"/>
    <w:rsid w:val="00B740F6"/>
    <w:rsid w:val="00B74278"/>
    <w:rsid w:val="00B74615"/>
    <w:rsid w:val="00B74789"/>
    <w:rsid w:val="00B74857"/>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6EF"/>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E29"/>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793"/>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94B"/>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A6"/>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6E10"/>
    <w:rsid w:val="00CD70DB"/>
    <w:rsid w:val="00CD7544"/>
    <w:rsid w:val="00CD78D4"/>
    <w:rsid w:val="00CE0697"/>
    <w:rsid w:val="00CE14CB"/>
    <w:rsid w:val="00CE26A5"/>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4C"/>
    <w:rsid w:val="00D25676"/>
    <w:rsid w:val="00D2579F"/>
    <w:rsid w:val="00D2580E"/>
    <w:rsid w:val="00D265A7"/>
    <w:rsid w:val="00D2690C"/>
    <w:rsid w:val="00D26F8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EF9"/>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D05"/>
    <w:rsid w:val="00E44B7D"/>
    <w:rsid w:val="00E45A2C"/>
    <w:rsid w:val="00E46A6B"/>
    <w:rsid w:val="00E46A9C"/>
    <w:rsid w:val="00E47DB1"/>
    <w:rsid w:val="00E50BDD"/>
    <w:rsid w:val="00E510CF"/>
    <w:rsid w:val="00E513D7"/>
    <w:rsid w:val="00E5182E"/>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6BE"/>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A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58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94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4CF5"/>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A2B"/>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E9B"/>
    <w:rsid w:val="00FC1269"/>
    <w:rsid w:val="00FC22D0"/>
    <w:rsid w:val="00FC38D4"/>
    <w:rsid w:val="00FC391E"/>
    <w:rsid w:val="00FC39B3"/>
    <w:rsid w:val="00FC3BB7"/>
    <w:rsid w:val="00FC4345"/>
    <w:rsid w:val="00FC444A"/>
    <w:rsid w:val="00FC453D"/>
    <w:rsid w:val="00FC4A89"/>
    <w:rsid w:val="00FC5856"/>
    <w:rsid w:val="00FC608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CDC"/>
    <w:rsid w:val="00FD54A8"/>
    <w:rsid w:val="00FD5573"/>
    <w:rsid w:val="00FD5AE4"/>
    <w:rsid w:val="00FD5F25"/>
    <w:rsid w:val="00FD60BE"/>
    <w:rsid w:val="00FD6894"/>
    <w:rsid w:val="00FD6AF0"/>
    <w:rsid w:val="00FD704D"/>
    <w:rsid w:val="00FD74EF"/>
    <w:rsid w:val="00FD79B8"/>
    <w:rsid w:val="00FD79F6"/>
    <w:rsid w:val="00FE033F"/>
    <w:rsid w:val="00FE07A8"/>
    <w:rsid w:val="00FE0A15"/>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E64FC"/>
    <w:rsid w:val="01520035"/>
    <w:rsid w:val="015B7696"/>
    <w:rsid w:val="017B273F"/>
    <w:rsid w:val="019F7441"/>
    <w:rsid w:val="01B37585"/>
    <w:rsid w:val="01D55165"/>
    <w:rsid w:val="01DF6BF8"/>
    <w:rsid w:val="01EC2C57"/>
    <w:rsid w:val="02551AC2"/>
    <w:rsid w:val="025F0711"/>
    <w:rsid w:val="02674F71"/>
    <w:rsid w:val="026B2E25"/>
    <w:rsid w:val="02824D4D"/>
    <w:rsid w:val="02DC4B10"/>
    <w:rsid w:val="02DD76CE"/>
    <w:rsid w:val="02F36323"/>
    <w:rsid w:val="02F5619C"/>
    <w:rsid w:val="0326446A"/>
    <w:rsid w:val="032D5555"/>
    <w:rsid w:val="035F57E5"/>
    <w:rsid w:val="036634D2"/>
    <w:rsid w:val="03DD35E4"/>
    <w:rsid w:val="04076900"/>
    <w:rsid w:val="041351EC"/>
    <w:rsid w:val="041A5A3B"/>
    <w:rsid w:val="042311BA"/>
    <w:rsid w:val="042A28FC"/>
    <w:rsid w:val="042B157A"/>
    <w:rsid w:val="048F763B"/>
    <w:rsid w:val="049F330E"/>
    <w:rsid w:val="04AA775C"/>
    <w:rsid w:val="04AF1889"/>
    <w:rsid w:val="04F66F48"/>
    <w:rsid w:val="05043453"/>
    <w:rsid w:val="05251E14"/>
    <w:rsid w:val="05571A59"/>
    <w:rsid w:val="05966074"/>
    <w:rsid w:val="05A16594"/>
    <w:rsid w:val="05A7762D"/>
    <w:rsid w:val="060E5941"/>
    <w:rsid w:val="06110FAF"/>
    <w:rsid w:val="06177C05"/>
    <w:rsid w:val="06493CA7"/>
    <w:rsid w:val="065A6178"/>
    <w:rsid w:val="066F1CF3"/>
    <w:rsid w:val="0675166F"/>
    <w:rsid w:val="06930BB8"/>
    <w:rsid w:val="07245D42"/>
    <w:rsid w:val="07264C62"/>
    <w:rsid w:val="0764344E"/>
    <w:rsid w:val="0779354C"/>
    <w:rsid w:val="07DD2D18"/>
    <w:rsid w:val="0803496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12894"/>
    <w:rsid w:val="09733572"/>
    <w:rsid w:val="09772C16"/>
    <w:rsid w:val="098353B5"/>
    <w:rsid w:val="0993651B"/>
    <w:rsid w:val="09A92330"/>
    <w:rsid w:val="09B06B87"/>
    <w:rsid w:val="09C13146"/>
    <w:rsid w:val="09E04166"/>
    <w:rsid w:val="09FF115C"/>
    <w:rsid w:val="0A1C0718"/>
    <w:rsid w:val="0A3E7710"/>
    <w:rsid w:val="0A5B7E63"/>
    <w:rsid w:val="0A5F3D79"/>
    <w:rsid w:val="0AA374A5"/>
    <w:rsid w:val="0AAB7649"/>
    <w:rsid w:val="0ABC5606"/>
    <w:rsid w:val="0B27547C"/>
    <w:rsid w:val="0B30404E"/>
    <w:rsid w:val="0B3D39A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07278"/>
    <w:rsid w:val="0CC617AC"/>
    <w:rsid w:val="0CCA2BB8"/>
    <w:rsid w:val="0CE618DF"/>
    <w:rsid w:val="0CFE707A"/>
    <w:rsid w:val="0D063BDA"/>
    <w:rsid w:val="0D08375F"/>
    <w:rsid w:val="0D184CFB"/>
    <w:rsid w:val="0D4A7419"/>
    <w:rsid w:val="0D566870"/>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07252"/>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16274A"/>
    <w:rsid w:val="12255233"/>
    <w:rsid w:val="12530213"/>
    <w:rsid w:val="127723A9"/>
    <w:rsid w:val="12862074"/>
    <w:rsid w:val="12883966"/>
    <w:rsid w:val="129E45B4"/>
    <w:rsid w:val="12D81596"/>
    <w:rsid w:val="13072A44"/>
    <w:rsid w:val="131B6699"/>
    <w:rsid w:val="135F4BE2"/>
    <w:rsid w:val="137D78E9"/>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9D471A7"/>
    <w:rsid w:val="19EA1142"/>
    <w:rsid w:val="1A071A03"/>
    <w:rsid w:val="1A1F16AE"/>
    <w:rsid w:val="1A3B5C77"/>
    <w:rsid w:val="1A984BAD"/>
    <w:rsid w:val="1AB8220E"/>
    <w:rsid w:val="1AC04DC6"/>
    <w:rsid w:val="1AE4166C"/>
    <w:rsid w:val="1AF06CFB"/>
    <w:rsid w:val="1AF11B8D"/>
    <w:rsid w:val="1B11359C"/>
    <w:rsid w:val="1B2A271F"/>
    <w:rsid w:val="1B530544"/>
    <w:rsid w:val="1B713184"/>
    <w:rsid w:val="1BA209CF"/>
    <w:rsid w:val="1BB4777D"/>
    <w:rsid w:val="1BD75AB8"/>
    <w:rsid w:val="1C0459C2"/>
    <w:rsid w:val="1C1B3B4A"/>
    <w:rsid w:val="1C88086E"/>
    <w:rsid w:val="1CE014EF"/>
    <w:rsid w:val="1D266CE1"/>
    <w:rsid w:val="1D3963AF"/>
    <w:rsid w:val="1D6A673C"/>
    <w:rsid w:val="1D7E2045"/>
    <w:rsid w:val="1D9247AE"/>
    <w:rsid w:val="1D9423DD"/>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7407CA"/>
    <w:rsid w:val="208921B3"/>
    <w:rsid w:val="20973DEB"/>
    <w:rsid w:val="20B26522"/>
    <w:rsid w:val="20B44310"/>
    <w:rsid w:val="20BA5305"/>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7A162F"/>
    <w:rsid w:val="258B00E2"/>
    <w:rsid w:val="25A917A6"/>
    <w:rsid w:val="25BE27CC"/>
    <w:rsid w:val="25F74A5C"/>
    <w:rsid w:val="2628662C"/>
    <w:rsid w:val="262D45DE"/>
    <w:rsid w:val="26871DC8"/>
    <w:rsid w:val="26A53EF9"/>
    <w:rsid w:val="26A94201"/>
    <w:rsid w:val="26AC274F"/>
    <w:rsid w:val="27044A29"/>
    <w:rsid w:val="271D34C8"/>
    <w:rsid w:val="272824FE"/>
    <w:rsid w:val="276142BF"/>
    <w:rsid w:val="27783712"/>
    <w:rsid w:val="278B23D9"/>
    <w:rsid w:val="27907362"/>
    <w:rsid w:val="27BB114C"/>
    <w:rsid w:val="27CF7A19"/>
    <w:rsid w:val="28333E1D"/>
    <w:rsid w:val="28454BD6"/>
    <w:rsid w:val="28455253"/>
    <w:rsid w:val="28461C9C"/>
    <w:rsid w:val="28551971"/>
    <w:rsid w:val="285B1C53"/>
    <w:rsid w:val="289F7086"/>
    <w:rsid w:val="28C32028"/>
    <w:rsid w:val="28C6215E"/>
    <w:rsid w:val="28CC490F"/>
    <w:rsid w:val="28DE40AA"/>
    <w:rsid w:val="29345E77"/>
    <w:rsid w:val="29350005"/>
    <w:rsid w:val="294C65AD"/>
    <w:rsid w:val="29806583"/>
    <w:rsid w:val="298B3C4C"/>
    <w:rsid w:val="29F26D24"/>
    <w:rsid w:val="2A15033F"/>
    <w:rsid w:val="2A1662C1"/>
    <w:rsid w:val="2A1C7367"/>
    <w:rsid w:val="2A2815FA"/>
    <w:rsid w:val="2A6D6092"/>
    <w:rsid w:val="2A7D126A"/>
    <w:rsid w:val="2A7D76B4"/>
    <w:rsid w:val="2B437463"/>
    <w:rsid w:val="2B5D2C79"/>
    <w:rsid w:val="2B7807EE"/>
    <w:rsid w:val="2BA50BF7"/>
    <w:rsid w:val="2BBF00EC"/>
    <w:rsid w:val="2BC37CFD"/>
    <w:rsid w:val="2BD5237F"/>
    <w:rsid w:val="2BE536CE"/>
    <w:rsid w:val="2BE758D9"/>
    <w:rsid w:val="2C09049E"/>
    <w:rsid w:val="2C0A653C"/>
    <w:rsid w:val="2C191F85"/>
    <w:rsid w:val="2C1A1476"/>
    <w:rsid w:val="2C68532E"/>
    <w:rsid w:val="2CE82D6F"/>
    <w:rsid w:val="2D343236"/>
    <w:rsid w:val="2DD15014"/>
    <w:rsid w:val="2DF72DE4"/>
    <w:rsid w:val="2E0220AF"/>
    <w:rsid w:val="2E4B082A"/>
    <w:rsid w:val="2E5D4E86"/>
    <w:rsid w:val="2E5D790B"/>
    <w:rsid w:val="2E9A3C18"/>
    <w:rsid w:val="2EBB0FEE"/>
    <w:rsid w:val="2EC63002"/>
    <w:rsid w:val="2F0A6B38"/>
    <w:rsid w:val="2F664825"/>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B23F0"/>
    <w:rsid w:val="38207438"/>
    <w:rsid w:val="38296C89"/>
    <w:rsid w:val="383002EB"/>
    <w:rsid w:val="38586797"/>
    <w:rsid w:val="38675A43"/>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9A6425"/>
    <w:rsid w:val="3BC01EFC"/>
    <w:rsid w:val="3BCA786A"/>
    <w:rsid w:val="3BD31E2F"/>
    <w:rsid w:val="3BF15831"/>
    <w:rsid w:val="3C105946"/>
    <w:rsid w:val="3C471448"/>
    <w:rsid w:val="3C5F759A"/>
    <w:rsid w:val="3C6C525A"/>
    <w:rsid w:val="3CCE23CB"/>
    <w:rsid w:val="3CD17D17"/>
    <w:rsid w:val="3D107AC3"/>
    <w:rsid w:val="3D1473F7"/>
    <w:rsid w:val="3D3C7F39"/>
    <w:rsid w:val="3D4226AA"/>
    <w:rsid w:val="3D440F09"/>
    <w:rsid w:val="3D4504A0"/>
    <w:rsid w:val="3D636C5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3FBB420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4B7A6C"/>
    <w:rsid w:val="4360274F"/>
    <w:rsid w:val="43977AB6"/>
    <w:rsid w:val="43A3342B"/>
    <w:rsid w:val="43C77C27"/>
    <w:rsid w:val="43DE09EE"/>
    <w:rsid w:val="44002FAD"/>
    <w:rsid w:val="444A2B12"/>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40796"/>
    <w:rsid w:val="477B778F"/>
    <w:rsid w:val="478203EC"/>
    <w:rsid w:val="47B025FA"/>
    <w:rsid w:val="47CB7453"/>
    <w:rsid w:val="4809698F"/>
    <w:rsid w:val="4811697D"/>
    <w:rsid w:val="4850203D"/>
    <w:rsid w:val="487A3E25"/>
    <w:rsid w:val="488B5503"/>
    <w:rsid w:val="48937E21"/>
    <w:rsid w:val="489A0361"/>
    <w:rsid w:val="48B94FF3"/>
    <w:rsid w:val="48E37AAB"/>
    <w:rsid w:val="48FD4B4C"/>
    <w:rsid w:val="490A68E0"/>
    <w:rsid w:val="491055FE"/>
    <w:rsid w:val="495F5B3E"/>
    <w:rsid w:val="4960068B"/>
    <w:rsid w:val="496F77D7"/>
    <w:rsid w:val="497654FD"/>
    <w:rsid w:val="49B64211"/>
    <w:rsid w:val="49E56AF9"/>
    <w:rsid w:val="49F6167F"/>
    <w:rsid w:val="4A064FA0"/>
    <w:rsid w:val="4A16615C"/>
    <w:rsid w:val="4A4424D7"/>
    <w:rsid w:val="4A602695"/>
    <w:rsid w:val="4A9B6C97"/>
    <w:rsid w:val="4AB82D0F"/>
    <w:rsid w:val="4AEB7664"/>
    <w:rsid w:val="4AFD7C19"/>
    <w:rsid w:val="4B0567D1"/>
    <w:rsid w:val="4B236AAE"/>
    <w:rsid w:val="4B363761"/>
    <w:rsid w:val="4B707271"/>
    <w:rsid w:val="4B9739F7"/>
    <w:rsid w:val="4BEE2503"/>
    <w:rsid w:val="4C245A30"/>
    <w:rsid w:val="4C4C1EA1"/>
    <w:rsid w:val="4C8372BC"/>
    <w:rsid w:val="4CB6685F"/>
    <w:rsid w:val="4CC367FE"/>
    <w:rsid w:val="4CE126CD"/>
    <w:rsid w:val="4D077F3C"/>
    <w:rsid w:val="4D123355"/>
    <w:rsid w:val="4D2A3B31"/>
    <w:rsid w:val="4D312C52"/>
    <w:rsid w:val="4D905305"/>
    <w:rsid w:val="4D964A72"/>
    <w:rsid w:val="4D9C1254"/>
    <w:rsid w:val="4DF25957"/>
    <w:rsid w:val="4E3A12B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A6FEF"/>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15C28"/>
    <w:rsid w:val="557A4C8B"/>
    <w:rsid w:val="558931E1"/>
    <w:rsid w:val="55923347"/>
    <w:rsid w:val="55925180"/>
    <w:rsid w:val="55983B1B"/>
    <w:rsid w:val="55A8376B"/>
    <w:rsid w:val="55DC29B6"/>
    <w:rsid w:val="55DD4241"/>
    <w:rsid w:val="565C42B5"/>
    <w:rsid w:val="566B6D1E"/>
    <w:rsid w:val="566E7F34"/>
    <w:rsid w:val="56795C41"/>
    <w:rsid w:val="56932C6A"/>
    <w:rsid w:val="56E05748"/>
    <w:rsid w:val="57032A2C"/>
    <w:rsid w:val="570F5219"/>
    <w:rsid w:val="57157979"/>
    <w:rsid w:val="57200A41"/>
    <w:rsid w:val="575D12B5"/>
    <w:rsid w:val="57610A87"/>
    <w:rsid w:val="577B1140"/>
    <w:rsid w:val="577B7F21"/>
    <w:rsid w:val="577F181B"/>
    <w:rsid w:val="579051E9"/>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014DC5"/>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97B2E"/>
    <w:rsid w:val="5E006862"/>
    <w:rsid w:val="5E0207B9"/>
    <w:rsid w:val="5E1834A1"/>
    <w:rsid w:val="5E261785"/>
    <w:rsid w:val="5E4A7017"/>
    <w:rsid w:val="5E552BBA"/>
    <w:rsid w:val="5E611C10"/>
    <w:rsid w:val="5E7A0F3F"/>
    <w:rsid w:val="5ECD4935"/>
    <w:rsid w:val="5EFC7377"/>
    <w:rsid w:val="5F06174D"/>
    <w:rsid w:val="5F3A3602"/>
    <w:rsid w:val="5F45733B"/>
    <w:rsid w:val="5F6277C6"/>
    <w:rsid w:val="5F6D0B1D"/>
    <w:rsid w:val="5F8D0B82"/>
    <w:rsid w:val="5FCC5339"/>
    <w:rsid w:val="5FE34A5B"/>
    <w:rsid w:val="5FFE1E36"/>
    <w:rsid w:val="60232584"/>
    <w:rsid w:val="60477D6A"/>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1B31EB"/>
    <w:rsid w:val="624F3E49"/>
    <w:rsid w:val="62632286"/>
    <w:rsid w:val="62885958"/>
    <w:rsid w:val="628F736A"/>
    <w:rsid w:val="62993EA2"/>
    <w:rsid w:val="62F40B65"/>
    <w:rsid w:val="62FC2CFE"/>
    <w:rsid w:val="63024505"/>
    <w:rsid w:val="631A0BAE"/>
    <w:rsid w:val="6321275B"/>
    <w:rsid w:val="634D51A7"/>
    <w:rsid w:val="635600A5"/>
    <w:rsid w:val="635B1DB5"/>
    <w:rsid w:val="63711FED"/>
    <w:rsid w:val="6374143E"/>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861F5"/>
    <w:rsid w:val="66195831"/>
    <w:rsid w:val="662E75B1"/>
    <w:rsid w:val="66342C2E"/>
    <w:rsid w:val="663E784C"/>
    <w:rsid w:val="668B6A45"/>
    <w:rsid w:val="66EF6951"/>
    <w:rsid w:val="67011F07"/>
    <w:rsid w:val="671F6528"/>
    <w:rsid w:val="672F3F24"/>
    <w:rsid w:val="673E055F"/>
    <w:rsid w:val="67551CE3"/>
    <w:rsid w:val="67A22552"/>
    <w:rsid w:val="67B22DCC"/>
    <w:rsid w:val="67BE71AA"/>
    <w:rsid w:val="67D90273"/>
    <w:rsid w:val="67DE5875"/>
    <w:rsid w:val="67E55852"/>
    <w:rsid w:val="67EB1AB4"/>
    <w:rsid w:val="67F83B47"/>
    <w:rsid w:val="67FA1285"/>
    <w:rsid w:val="68246CD5"/>
    <w:rsid w:val="68364B2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458DC"/>
    <w:rsid w:val="69FD55B8"/>
    <w:rsid w:val="6A0B1C62"/>
    <w:rsid w:val="6A2406C8"/>
    <w:rsid w:val="6A2F7DB8"/>
    <w:rsid w:val="6AC1261F"/>
    <w:rsid w:val="6ADE0BD1"/>
    <w:rsid w:val="6AE96859"/>
    <w:rsid w:val="6B147746"/>
    <w:rsid w:val="6B24787C"/>
    <w:rsid w:val="6B2D153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461D9"/>
    <w:rsid w:val="6E8335BD"/>
    <w:rsid w:val="6E8E12EF"/>
    <w:rsid w:val="6E972936"/>
    <w:rsid w:val="6ED446C5"/>
    <w:rsid w:val="6F2A7D94"/>
    <w:rsid w:val="6F8331F1"/>
    <w:rsid w:val="6FA900DD"/>
    <w:rsid w:val="6FAE1A09"/>
    <w:rsid w:val="6FD75BF8"/>
    <w:rsid w:val="707723D0"/>
    <w:rsid w:val="70E50CA0"/>
    <w:rsid w:val="70F5661B"/>
    <w:rsid w:val="71360107"/>
    <w:rsid w:val="713B688E"/>
    <w:rsid w:val="71D43752"/>
    <w:rsid w:val="71F1796A"/>
    <w:rsid w:val="72154626"/>
    <w:rsid w:val="721C0F4A"/>
    <w:rsid w:val="72262B5D"/>
    <w:rsid w:val="72283FF7"/>
    <w:rsid w:val="722E7212"/>
    <w:rsid w:val="723A0474"/>
    <w:rsid w:val="72485A07"/>
    <w:rsid w:val="725923E4"/>
    <w:rsid w:val="72864BF7"/>
    <w:rsid w:val="729023FC"/>
    <w:rsid w:val="72C86718"/>
    <w:rsid w:val="73155494"/>
    <w:rsid w:val="73C0646E"/>
    <w:rsid w:val="742222F5"/>
    <w:rsid w:val="74476126"/>
    <w:rsid w:val="74706664"/>
    <w:rsid w:val="747F3682"/>
    <w:rsid w:val="749C4185"/>
    <w:rsid w:val="75067759"/>
    <w:rsid w:val="750D491D"/>
    <w:rsid w:val="752E6DCD"/>
    <w:rsid w:val="7551380D"/>
    <w:rsid w:val="75600BE5"/>
    <w:rsid w:val="7564475C"/>
    <w:rsid w:val="757D004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342C3"/>
    <w:rsid w:val="777F31F2"/>
    <w:rsid w:val="77D1700D"/>
    <w:rsid w:val="77EC04CC"/>
    <w:rsid w:val="78177B2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2594C"/>
    <w:rsid w:val="7A1D1975"/>
    <w:rsid w:val="7A3E5150"/>
    <w:rsid w:val="7A4670D6"/>
    <w:rsid w:val="7A534B63"/>
    <w:rsid w:val="7A615382"/>
    <w:rsid w:val="7A67303B"/>
    <w:rsid w:val="7AAB1D04"/>
    <w:rsid w:val="7ABA4368"/>
    <w:rsid w:val="7AD05746"/>
    <w:rsid w:val="7AF93A92"/>
    <w:rsid w:val="7B0D5896"/>
    <w:rsid w:val="7B257FFD"/>
    <w:rsid w:val="7B273D20"/>
    <w:rsid w:val="7B343476"/>
    <w:rsid w:val="7B5A2978"/>
    <w:rsid w:val="7B5A7E4C"/>
    <w:rsid w:val="7B667AF9"/>
    <w:rsid w:val="7B702FC5"/>
    <w:rsid w:val="7B7468F8"/>
    <w:rsid w:val="7BA72653"/>
    <w:rsid w:val="7BE45216"/>
    <w:rsid w:val="7BEE0103"/>
    <w:rsid w:val="7C0A0FE4"/>
    <w:rsid w:val="7C254906"/>
    <w:rsid w:val="7C4A6411"/>
    <w:rsid w:val="7C590818"/>
    <w:rsid w:val="7C7C10F6"/>
    <w:rsid w:val="7C853BEA"/>
    <w:rsid w:val="7C881368"/>
    <w:rsid w:val="7CE27788"/>
    <w:rsid w:val="7D0C32F1"/>
    <w:rsid w:val="7D0F408D"/>
    <w:rsid w:val="7D491C6C"/>
    <w:rsid w:val="7D5429C0"/>
    <w:rsid w:val="7D6E6D43"/>
    <w:rsid w:val="7D8C645B"/>
    <w:rsid w:val="7DB57A34"/>
    <w:rsid w:val="7DE60973"/>
    <w:rsid w:val="7DEF0916"/>
    <w:rsid w:val="7E1E5218"/>
    <w:rsid w:val="7E9A4E1F"/>
    <w:rsid w:val="7EA7723A"/>
    <w:rsid w:val="7EF56FBB"/>
    <w:rsid w:val="7F0768EB"/>
    <w:rsid w:val="7F143BEC"/>
    <w:rsid w:val="7F715AF2"/>
    <w:rsid w:val="7F886E69"/>
    <w:rsid w:val="7F8F56A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6"/>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2"/>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w:basedOn w:val="23"/>
    <w:link w:val="319"/>
    <w:autoRedefine/>
    <w:qFormat/>
    <w:uiPriority w:val="0"/>
    <w:pPr>
      <w:ind w:firstLine="420"/>
    </w:pPr>
    <w:rPr>
      <w:rFonts w:hAnsi="Calibri" w:cs="Times New Roman"/>
      <w:snapToGrid/>
      <w:szCs w:val="20"/>
    </w:rPr>
  </w:style>
  <w:style w:type="paragraph" w:styleId="62">
    <w:name w:val="Body Text First Indent 2"/>
    <w:basedOn w:val="24"/>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styleId="8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2"/>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80"/>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4"/>
    <w:autoRedefine/>
    <w:qFormat/>
    <w:uiPriority w:val="99"/>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b/>
      <w:bCs/>
      <w:kern w:val="2"/>
      <w:sz w:val="24"/>
      <w:szCs w:val="24"/>
    </w:rPr>
  </w:style>
  <w:style w:type="character" w:customStyle="1" w:styleId="306">
    <w:name w:val="正文文本缩进 2 字符"/>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6"/>
    <w:autoRedefine/>
    <w:qFormat/>
    <w:uiPriority w:val="0"/>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99"/>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2"/>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character" w:customStyle="1" w:styleId="964">
    <w:name w:val="未处理的提及2"/>
    <w:basedOn w:val="70"/>
    <w:semiHidden/>
    <w:unhideWhenUsed/>
    <w:qFormat/>
    <w:uiPriority w:val="99"/>
    <w:rPr>
      <w:color w:val="605E5C"/>
      <w:shd w:val="clear" w:color="auto" w:fill="E1DFDD"/>
    </w:rPr>
  </w:style>
  <w:style w:type="paragraph" w:customStyle="1" w:styleId="96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96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67">
    <w:name w:val="PlainText"/>
    <w:basedOn w:val="1"/>
    <w:autoRedefine/>
    <w:qFormat/>
    <w:uiPriority w:val="0"/>
    <w:pPr>
      <w:jc w:val="both"/>
      <w:textAlignment w:val="baseline"/>
    </w:pPr>
    <w:rPr>
      <w:rFonts w:ascii="宋体" w:hAnsi="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40</Pages>
  <Words>16154</Words>
  <Characters>17338</Characters>
  <Lines>284</Lines>
  <Paragraphs>80</Paragraphs>
  <TotalTime>15</TotalTime>
  <ScaleCrop>false</ScaleCrop>
  <LinksUpToDate>false</LinksUpToDate>
  <CharactersWithSpaces>18387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2023-11-18T06:34:00Z</dcterms:created>
  <dc:creator>玥</dc:creator>
  <cp:lastModifiedBy>Tina</cp:lastModifiedBy>
  <cp:lastPrinted>2025-01-21T00:35:00Z</cp:lastPrinted>
  <dcterms:modified xsi:type="dcterms:W3CDTF">2025-02-18T01:04:15Z</dcterms:modified>
  <dc:title>杭州市市民卡扩大发卡工程</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0501BCCB59774FE588AE96F60F72C2F1_13</vt:lpwstr>
  </property>
  <property fmtid="{D5CDD505-2E9C-101B-9397-08002B2CF9AE}" pid="5" name="KSOTemplateDocerSaveRecord">
    <vt:lpwstr>eyJoZGlkIjoiZDQ4ZTM1YjY3Mzk0YjJkYjJhMzYyY2MwZGQ0ZDcyMGMiLCJ1c2VySWQiOiI2NzgyNTE4NDUifQ==</vt:lpwstr>
  </property>
</Properties>
</file>