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297CE5">
      <w:pPr>
        <w:jc w:val="center"/>
        <w:rPr>
          <w:rFonts w:hint="eastAsia" w:ascii="仿宋" w:eastAsia="仿宋"/>
          <w:b/>
          <w:bCs/>
          <w:color w:val="auto"/>
          <w:sz w:val="52"/>
          <w:szCs w:val="52"/>
          <w:highlight w:val="none"/>
        </w:rPr>
      </w:pPr>
      <w:r>
        <w:rPr>
          <w:rFonts w:hint="eastAsia" w:ascii="仿宋" w:eastAsia="仿宋"/>
          <w:b/>
          <w:bCs/>
          <w:color w:val="auto"/>
          <w:sz w:val="52"/>
          <w:szCs w:val="52"/>
          <w:highlight w:val="none"/>
          <w:u w:val="none"/>
          <w:lang w:val="en-US" w:eastAsia="zh-CN"/>
        </w:rPr>
        <w:t>绍兴市越城区公用资产运营有限公司大气检测技术改造采购项目</w:t>
      </w:r>
    </w:p>
    <w:p w14:paraId="771CA4DF">
      <w:pPr>
        <w:rPr>
          <w:rFonts w:hint="eastAsia" w:ascii="仿宋" w:eastAsia="仿宋"/>
          <w:color w:val="auto"/>
          <w:sz w:val="36"/>
          <w:szCs w:val="36"/>
          <w:highlight w:val="none"/>
        </w:rPr>
      </w:pPr>
    </w:p>
    <w:p w14:paraId="2A72CD00">
      <w:pPr>
        <w:rPr>
          <w:rFonts w:hint="eastAsia" w:ascii="仿宋" w:eastAsia="仿宋"/>
          <w:color w:val="auto"/>
          <w:sz w:val="36"/>
          <w:szCs w:val="36"/>
          <w:highlight w:val="none"/>
        </w:rPr>
      </w:pPr>
    </w:p>
    <w:p w14:paraId="25049807">
      <w:pPr>
        <w:rPr>
          <w:rFonts w:hint="eastAsia" w:ascii="仿宋" w:eastAsia="仿宋"/>
          <w:color w:val="auto"/>
          <w:sz w:val="36"/>
          <w:szCs w:val="36"/>
          <w:highlight w:val="none"/>
        </w:rPr>
      </w:pPr>
    </w:p>
    <w:p w14:paraId="38722DFA">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采</w:t>
      </w:r>
    </w:p>
    <w:p w14:paraId="5196A001">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购</w:t>
      </w:r>
    </w:p>
    <w:p w14:paraId="0BE21888">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文</w:t>
      </w:r>
    </w:p>
    <w:p w14:paraId="2460F08A">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件</w:t>
      </w:r>
    </w:p>
    <w:p w14:paraId="6A6595AA">
      <w:pPr>
        <w:rPr>
          <w:rFonts w:hint="eastAsia" w:ascii="仿宋" w:eastAsia="仿宋"/>
          <w:b/>
          <w:bCs/>
          <w:color w:val="auto"/>
          <w:sz w:val="36"/>
          <w:szCs w:val="36"/>
          <w:highlight w:val="none"/>
        </w:rPr>
      </w:pPr>
    </w:p>
    <w:p w14:paraId="638A3970">
      <w:pPr>
        <w:rPr>
          <w:rFonts w:hint="eastAsia" w:ascii="仿宋" w:eastAsia="仿宋"/>
          <w:color w:val="auto"/>
          <w:sz w:val="36"/>
          <w:szCs w:val="36"/>
          <w:highlight w:val="none"/>
        </w:rPr>
      </w:pPr>
    </w:p>
    <w:p w14:paraId="2F24EA07">
      <w:pPr>
        <w:rPr>
          <w:rFonts w:hint="eastAsia" w:ascii="仿宋" w:eastAsia="仿宋"/>
          <w:color w:val="auto"/>
          <w:sz w:val="36"/>
          <w:szCs w:val="36"/>
          <w:highlight w:val="none"/>
        </w:rPr>
      </w:pPr>
    </w:p>
    <w:tbl>
      <w:tblPr>
        <w:tblStyle w:val="28"/>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1FD846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75C4536">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noWrap/>
            <w:vAlign w:val="center"/>
          </w:tcPr>
          <w:p w14:paraId="7CE2D882">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u w:val="single"/>
              </w:rPr>
            </w:pPr>
            <w:r>
              <w:rPr>
                <w:rFonts w:hint="eastAsia" w:ascii="仿宋" w:eastAsia="仿宋"/>
                <w:color w:val="auto"/>
                <w:sz w:val="28"/>
                <w:highlight w:val="none"/>
                <w:lang w:eastAsia="zh-CN"/>
              </w:rPr>
              <w:t>YCDL2025-02-0004</w:t>
            </w:r>
          </w:p>
        </w:tc>
      </w:tr>
      <w:tr w14:paraId="524FB0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6346BEB1">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51EFCC49">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lang w:eastAsia="zh-CN"/>
              </w:rPr>
              <w:t>绍兴市越城区公用资产运营有限公司</w:t>
            </w:r>
          </w:p>
        </w:tc>
      </w:tr>
      <w:tr w14:paraId="642E01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60D3392D">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7DDB8300">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lang w:val="en-US" w:eastAsia="zh-CN"/>
              </w:rPr>
              <w:t>浙江大统建设项目管理有限公司</w:t>
            </w:r>
          </w:p>
        </w:tc>
      </w:tr>
      <w:tr w14:paraId="12160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0D85419">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noWrap/>
            <w:vAlign w:val="center"/>
          </w:tcPr>
          <w:p w14:paraId="6FA638DA">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lang w:val="en-US" w:eastAsia="zh-CN"/>
              </w:rPr>
              <w:t>绍兴市越城区公用事业集团有限公司</w:t>
            </w:r>
          </w:p>
        </w:tc>
      </w:tr>
    </w:tbl>
    <w:p w14:paraId="7ACCE74A">
      <w:pPr>
        <w:jc w:val="center"/>
        <w:rPr>
          <w:rFonts w:hint="eastAsia" w:ascii="仿宋" w:eastAsia="仿宋"/>
          <w:color w:val="auto"/>
          <w:sz w:val="28"/>
          <w:highlight w:val="none"/>
        </w:rPr>
      </w:pPr>
    </w:p>
    <w:p w14:paraId="0B2BFEEC">
      <w:pPr>
        <w:jc w:val="center"/>
        <w:rPr>
          <w:rFonts w:hint="eastAsia" w:ascii="仿宋" w:eastAsia="仿宋"/>
          <w:color w:val="auto"/>
          <w:sz w:val="28"/>
          <w:highlight w:val="none"/>
        </w:rPr>
      </w:pPr>
    </w:p>
    <w:p w14:paraId="5F65FCA1">
      <w:pPr>
        <w:jc w:val="center"/>
        <w:rPr>
          <w:rFonts w:hint="eastAsia" w:ascii="仿宋" w:eastAsia="仿宋"/>
          <w:color w:val="auto"/>
          <w:sz w:val="28"/>
          <w:highlight w:val="none"/>
        </w:rPr>
      </w:pPr>
      <w:r>
        <w:rPr>
          <w:rFonts w:hint="eastAsia" w:ascii="仿宋" w:eastAsia="仿宋"/>
          <w:color w:val="auto"/>
          <w:sz w:val="28"/>
          <w:highlight w:val="none"/>
          <w:u w:val="single" w:color="auto"/>
        </w:rPr>
        <w:t xml:space="preserve"> </w:t>
      </w:r>
      <w:r>
        <w:rPr>
          <w:rFonts w:hint="eastAsia" w:ascii="仿宋" w:eastAsia="仿宋"/>
          <w:color w:val="auto"/>
          <w:sz w:val="28"/>
          <w:highlight w:val="none"/>
          <w:u w:val="single" w:color="auto"/>
          <w:lang w:val="en-US" w:eastAsia="zh-CN"/>
        </w:rPr>
        <w:t>2025</w:t>
      </w:r>
      <w:r>
        <w:rPr>
          <w:rFonts w:hint="eastAsia" w:ascii="仿宋" w:eastAsia="仿宋"/>
          <w:color w:val="auto"/>
          <w:sz w:val="28"/>
          <w:highlight w:val="none"/>
          <w:u w:val="single" w:color="auto"/>
        </w:rPr>
        <w:t xml:space="preserve"> </w:t>
      </w:r>
      <w:r>
        <w:rPr>
          <w:rFonts w:hint="eastAsia" w:ascii="仿宋" w:eastAsia="仿宋"/>
          <w:color w:val="auto"/>
          <w:sz w:val="28"/>
          <w:highlight w:val="none"/>
        </w:rPr>
        <w:t>年</w:t>
      </w:r>
      <w:r>
        <w:rPr>
          <w:rFonts w:hint="eastAsia" w:ascii="仿宋" w:eastAsia="仿宋"/>
          <w:color w:val="auto"/>
          <w:sz w:val="28"/>
          <w:highlight w:val="none"/>
          <w:u w:val="single"/>
        </w:rPr>
        <w:t xml:space="preserve">  </w:t>
      </w:r>
      <w:r>
        <w:rPr>
          <w:rFonts w:hint="eastAsia" w:ascii="仿宋" w:eastAsia="仿宋"/>
          <w:color w:val="auto"/>
          <w:sz w:val="28"/>
          <w:highlight w:val="none"/>
          <w:u w:val="single"/>
          <w:lang w:val="en-US" w:eastAsia="zh-CN"/>
        </w:rPr>
        <w:t>2</w:t>
      </w:r>
      <w:r>
        <w:rPr>
          <w:rFonts w:hint="eastAsia" w:ascii="仿宋" w:eastAsia="仿宋"/>
          <w:color w:val="auto"/>
          <w:sz w:val="28"/>
          <w:highlight w:val="none"/>
          <w:u w:val="single"/>
        </w:rPr>
        <w:t xml:space="preserve"> </w:t>
      </w:r>
      <w:r>
        <w:rPr>
          <w:rFonts w:hint="eastAsia" w:ascii="仿宋" w:eastAsia="仿宋"/>
          <w:color w:val="auto"/>
          <w:sz w:val="28"/>
          <w:highlight w:val="none"/>
        </w:rPr>
        <w:t>月</w:t>
      </w:r>
    </w:p>
    <w:p w14:paraId="21E8ACF7">
      <w:pPr>
        <w:jc w:val="center"/>
        <w:rPr>
          <w:rFonts w:hint="eastAsia" w:ascii="仿宋" w:eastAsia="仿宋"/>
          <w:color w:val="auto"/>
          <w:sz w:val="28"/>
          <w:highlight w:val="none"/>
        </w:rPr>
      </w:pPr>
    </w:p>
    <w:p w14:paraId="171738E2">
      <w:pPr>
        <w:jc w:val="center"/>
        <w:rPr>
          <w:rFonts w:hint="eastAsia" w:ascii="仿宋" w:eastAsia="仿宋"/>
          <w:b/>
          <w:color w:val="auto"/>
          <w:sz w:val="44"/>
          <w:szCs w:val="44"/>
          <w:highlight w:val="none"/>
        </w:rPr>
        <w:sectPr>
          <w:footerReference r:id="rId5" w:type="even"/>
          <w:pgSz w:w="11907" w:h="16840"/>
          <w:pgMar w:top="1440" w:right="1463" w:bottom="1440" w:left="1803" w:header="851" w:footer="992" w:gutter="0"/>
          <w:cols w:space="720" w:num="1"/>
          <w:docGrid w:type="lines" w:linePitch="312" w:charSpace="0"/>
        </w:sectPr>
      </w:pPr>
    </w:p>
    <w:p w14:paraId="40314528">
      <w:pPr>
        <w:jc w:val="center"/>
        <w:rPr>
          <w:rFonts w:hint="eastAsia" w:ascii="仿宋" w:eastAsia="仿宋"/>
          <w:color w:val="auto"/>
          <w:sz w:val="28"/>
          <w:highlight w:val="none"/>
        </w:rPr>
      </w:pPr>
      <w:r>
        <w:rPr>
          <w:rFonts w:hint="eastAsia" w:ascii="仿宋" w:eastAsia="仿宋"/>
          <w:b/>
          <w:color w:val="auto"/>
          <w:sz w:val="44"/>
          <w:szCs w:val="44"/>
          <w:highlight w:val="none"/>
        </w:rPr>
        <w:t>目录</w:t>
      </w:r>
    </w:p>
    <w:p w14:paraId="2A89F8C9">
      <w:pPr>
        <w:jc w:val="center"/>
        <w:rPr>
          <w:rFonts w:hint="eastAsia" w:ascii="仿宋" w:eastAsia="仿宋"/>
          <w:b/>
          <w:color w:val="auto"/>
          <w:sz w:val="44"/>
          <w:szCs w:val="44"/>
          <w:highlight w:val="none"/>
        </w:rPr>
      </w:pPr>
    </w:p>
    <w:p w14:paraId="1CF582B6">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_Toc31112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_Toc31112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DCFC49D">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_Toc13472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_Toc13472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98CFF5F">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_Toc2607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E19A176">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_Toc27758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_Toc27758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7B8C4C1">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_Toc30368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_Toc30368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596606C">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_Toc30761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_Toc30761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8A0227D">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_Toc14944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_Toc14944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96CF94F">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_Toc27068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_Toc27068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EAEE78A">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_Toc23126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一、货物清单及技术要求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_Toc23126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4F59FAC">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_Toc10858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_Toc10858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0A19E97">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_Toc15027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_Toc15027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14CCD8F">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_Toc5561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_Toc5561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B33A163">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_Toc30897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_Toc30897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9599370">
      <w:pPr>
        <w:pStyle w:val="22"/>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_Toc27807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_Toc27807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EB99159">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_Toc3978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_Toc3978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4A88B0E">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_Toc27416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_Toc27416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EBFAFEF">
      <w:pPr>
        <w:pStyle w:val="24"/>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_Toc2605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BB7A164">
      <w:pPr>
        <w:pStyle w:val="24"/>
        <w:tabs>
          <w:tab w:val="right" w:leader="dot" w:pos="830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2FBC7479">
      <w:pPr>
        <w:rPr>
          <w:rFonts w:hint="eastAsia" w:ascii="仿宋" w:eastAsia="仿宋"/>
          <w:color w:val="auto"/>
          <w:highlight w:val="none"/>
        </w:rPr>
      </w:pPr>
    </w:p>
    <w:p w14:paraId="769A4ED1">
      <w:pPr>
        <w:pStyle w:val="3"/>
        <w:outlineLvl w:val="9"/>
        <w:rPr>
          <w:rFonts w:hint="eastAsia" w:ascii="仿宋"/>
          <w:color w:val="auto"/>
          <w:highlight w:val="none"/>
        </w:rPr>
        <w:sectPr>
          <w:footerReference r:id="rId6" w:type="default"/>
          <w:pgSz w:w="11907" w:h="16840"/>
          <w:pgMar w:top="1440" w:right="1463" w:bottom="1440" w:left="1803" w:header="851" w:footer="992" w:gutter="0"/>
          <w:cols w:space="720" w:num="1"/>
          <w:docGrid w:type="lines" w:linePitch="312" w:charSpace="0"/>
        </w:sectPr>
      </w:pPr>
    </w:p>
    <w:p w14:paraId="5928C345">
      <w:pPr>
        <w:pStyle w:val="3"/>
        <w:rPr>
          <w:rFonts w:hint="eastAsia" w:ascii="仿宋"/>
          <w:color w:val="auto"/>
          <w:highlight w:val="none"/>
        </w:rPr>
      </w:pPr>
      <w:bookmarkStart w:id="0" w:name="_Toc31112"/>
      <w:r>
        <w:rPr>
          <w:rFonts w:hint="eastAsia" w:ascii="仿宋"/>
          <w:color w:val="auto"/>
          <w:highlight w:val="none"/>
        </w:rPr>
        <w:t xml:space="preserve">第一章  </w:t>
      </w:r>
      <w:r>
        <w:rPr>
          <w:rFonts w:ascii="仿宋"/>
          <w:color w:val="auto"/>
          <w:highlight w:val="none"/>
        </w:rPr>
        <w:t>采购</w:t>
      </w:r>
      <w:r>
        <w:rPr>
          <w:rFonts w:hint="eastAsia" w:ascii="仿宋"/>
          <w:color w:val="auto"/>
          <w:highlight w:val="none"/>
        </w:rPr>
        <w:t>公告</w:t>
      </w:r>
      <w:bookmarkEnd w:id="0"/>
    </w:p>
    <w:p w14:paraId="655E968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3830178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u w:val="single"/>
        </w:rPr>
        <w:t xml:space="preserve"> </w:t>
      </w:r>
      <w:r>
        <w:rPr>
          <w:rFonts w:hint="eastAsia" w:ascii="仿宋" w:eastAsia="仿宋" w:cs="Times New Roman"/>
          <w:b w:val="0"/>
          <w:color w:val="auto"/>
          <w:sz w:val="24"/>
          <w:szCs w:val="24"/>
          <w:highlight w:val="none"/>
          <w:u w:val="single"/>
          <w:lang w:val="en-US" w:eastAsia="zh-CN"/>
        </w:rPr>
        <w:t>绍兴市越城区公用资产运营有限公司大气检测技术改造采购项目</w:t>
      </w:r>
      <w:r>
        <w:rPr>
          <w:rFonts w:hint="eastAsia" w:ascii="仿宋" w:eastAsia="仿宋"/>
          <w:color w:val="auto"/>
          <w:sz w:val="24"/>
          <w:szCs w:val="24"/>
          <w:highlight w:val="none"/>
        </w:rPr>
        <w:t xml:space="preserve"> </w:t>
      </w:r>
      <w:r>
        <w:rPr>
          <w:rFonts w:hint="eastAsia" w:ascii="仿宋" w:eastAsia="仿宋"/>
          <w:color w:val="auto"/>
          <w:sz w:val="24"/>
          <w:szCs w:val="24"/>
          <w:highlight w:val="none"/>
          <w:lang w:eastAsia="zh-CN"/>
        </w:rPr>
        <w:t>的</w:t>
      </w:r>
      <w:r>
        <w:rPr>
          <w:rFonts w:hint="eastAsia" w:ascii="仿宋" w:eastAsia="仿宋"/>
          <w:color w:val="auto"/>
          <w:sz w:val="24"/>
          <w:szCs w:val="24"/>
          <w:highlight w:val="none"/>
        </w:rPr>
        <w:t>潜在投标人应在</w:t>
      </w:r>
      <w:r>
        <w:rPr>
          <w:rFonts w:hint="eastAsia" w:ascii="仿宋" w:eastAsia="仿宋"/>
          <w:bCs/>
          <w:color w:val="auto"/>
          <w:sz w:val="24"/>
          <w:szCs w:val="24"/>
          <w:highlight w:val="none"/>
          <w:lang w:eastAsia="zh-CN"/>
        </w:rPr>
        <w:t>乐采云平台</w:t>
      </w:r>
      <w:r>
        <w:rPr>
          <w:rFonts w:hint="eastAsia" w:ascii="仿宋" w:eastAsia="仿宋"/>
          <w:bCs/>
          <w:color w:val="auto"/>
          <w:sz w:val="24"/>
          <w:szCs w:val="24"/>
          <w:highlight w:val="none"/>
        </w:rPr>
        <w:t>https://www.lecaiyun.com/</w:t>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lang w:val="en-US" w:eastAsia="zh-CN"/>
        </w:rPr>
        <w:t>2025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3</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20</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09</w:t>
      </w:r>
      <w:r>
        <w:rPr>
          <w:rFonts w:hint="eastAsia" w:ascii="仿宋" w:eastAsia="仿宋"/>
          <w:bCs/>
          <w:color w:val="auto"/>
          <w:sz w:val="24"/>
          <w:szCs w:val="24"/>
          <w:highlight w:val="none"/>
          <w:u w:val="single"/>
        </w:rPr>
        <w:t xml:space="preserve"> </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2B9F343D">
      <w:pPr>
        <w:rPr>
          <w:color w:val="auto"/>
          <w:sz w:val="24"/>
          <w:szCs w:val="24"/>
          <w:highlight w:val="none"/>
        </w:rPr>
      </w:pPr>
    </w:p>
    <w:p w14:paraId="620FAE21">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outlineLvl w:val="1"/>
        <w:rPr>
          <w:rFonts w:hint="eastAsia" w:ascii="仿宋" w:hAnsi="仿宋" w:eastAsia="仿宋" w:cs="仿宋"/>
          <w:b/>
          <w:bCs/>
          <w:color w:val="auto"/>
          <w:sz w:val="24"/>
          <w:szCs w:val="24"/>
          <w:highlight w:val="none"/>
        </w:rPr>
      </w:pPr>
      <w:bookmarkStart w:id="1" w:name="_Toc28359079"/>
      <w:bookmarkStart w:id="2" w:name="_Toc28359002"/>
      <w:bookmarkStart w:id="3" w:name="_Toc35393621"/>
      <w:bookmarkStart w:id="4" w:name="_Toc35393790"/>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050A2FC0">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项目编号：</w:t>
      </w:r>
      <w:r>
        <w:rPr>
          <w:rFonts w:ascii="仿宋" w:eastAsia="仿宋" w:cs="宋体"/>
          <w:bCs/>
          <w:color w:val="auto"/>
          <w:sz w:val="24"/>
          <w:szCs w:val="24"/>
          <w:highlight w:val="none"/>
          <w:u w:val="single"/>
        </w:rPr>
        <w:t xml:space="preserve">  </w:t>
      </w:r>
      <w:r>
        <w:rPr>
          <w:rFonts w:hint="eastAsia" w:ascii="仿宋" w:eastAsia="仿宋" w:cs="Arial"/>
          <w:bCs/>
          <w:color w:val="auto"/>
          <w:sz w:val="24"/>
          <w:highlight w:val="none"/>
          <w:u w:val="single"/>
          <w:lang w:eastAsia="zh-CN"/>
        </w:rPr>
        <w:t>YCDL2025-02-0004</w:t>
      </w:r>
      <w:r>
        <w:rPr>
          <w:rFonts w:ascii="仿宋" w:eastAsia="仿宋" w:cs="宋体"/>
          <w:bCs/>
          <w:color w:val="auto"/>
          <w:sz w:val="24"/>
          <w:szCs w:val="24"/>
          <w:highlight w:val="none"/>
          <w:u w:val="single"/>
        </w:rPr>
        <w:t xml:space="preserve"> </w:t>
      </w:r>
    </w:p>
    <w:p w14:paraId="05514253">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项目名称：</w:t>
      </w:r>
      <w:r>
        <w:rPr>
          <w:rFonts w:ascii="仿宋" w:eastAsia="仿宋" w:cs="宋体"/>
          <w:bCs/>
          <w:color w:val="auto"/>
          <w:sz w:val="24"/>
          <w:szCs w:val="24"/>
          <w:highlight w:val="none"/>
          <w:u w:val="single"/>
        </w:rPr>
        <w:t xml:space="preserve">  </w:t>
      </w:r>
      <w:r>
        <w:rPr>
          <w:rFonts w:hint="eastAsia" w:ascii="仿宋" w:eastAsia="仿宋" w:cs="Arial"/>
          <w:bCs/>
          <w:color w:val="auto"/>
          <w:sz w:val="24"/>
          <w:highlight w:val="none"/>
          <w:u w:val="single"/>
          <w:lang w:val="en-US" w:eastAsia="zh-CN"/>
        </w:rPr>
        <w:t>绍兴市越城区公用资产运营有限公司大气检测技术改造采购项目</w:t>
      </w:r>
      <w:r>
        <w:rPr>
          <w:rFonts w:ascii="仿宋" w:eastAsia="仿宋" w:cs="宋体"/>
          <w:bCs/>
          <w:color w:val="auto"/>
          <w:sz w:val="24"/>
          <w:szCs w:val="24"/>
          <w:highlight w:val="none"/>
          <w:u w:val="single"/>
        </w:rPr>
        <w:t xml:space="preserve"> </w:t>
      </w:r>
    </w:p>
    <w:bookmarkEnd w:id="5"/>
    <w:p w14:paraId="61A70ACF">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5015000</w:t>
      </w:r>
      <w:r>
        <w:rPr>
          <w:rFonts w:ascii="仿宋" w:eastAsia="仿宋" w:cs="宋体"/>
          <w:bCs/>
          <w:color w:val="auto"/>
          <w:sz w:val="24"/>
          <w:szCs w:val="24"/>
          <w:highlight w:val="none"/>
          <w:u w:val="single"/>
        </w:rPr>
        <w:t xml:space="preserve"> </w:t>
      </w:r>
    </w:p>
    <w:p w14:paraId="37F70C55">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5015000</w:t>
      </w:r>
      <w:r>
        <w:rPr>
          <w:rFonts w:ascii="仿宋" w:eastAsia="仿宋" w:cs="宋体"/>
          <w:bCs/>
          <w:color w:val="auto"/>
          <w:sz w:val="24"/>
          <w:szCs w:val="24"/>
          <w:highlight w:val="none"/>
          <w:u w:val="single"/>
        </w:rPr>
        <w:t xml:space="preserve"> </w:t>
      </w:r>
    </w:p>
    <w:p w14:paraId="1CD3EDC2">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316EEE63">
      <w:pPr>
        <w:spacing w:line="360" w:lineRule="auto"/>
        <w:ind w:firstLine="1020" w:firstLineChars="425"/>
        <w:rPr>
          <w:rFonts w:hint="eastAsia"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43E0C3EF">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Arial"/>
          <w:bCs/>
          <w:color w:val="auto"/>
          <w:sz w:val="24"/>
          <w:highlight w:val="none"/>
          <w:u w:val="single"/>
          <w:lang w:val="en-US" w:eastAsia="zh-CN"/>
        </w:rPr>
        <w:t xml:space="preserve"> 绍兴市越城区公用资产运营有限公司大气检测技术改造采购项目</w:t>
      </w:r>
      <w:r>
        <w:rPr>
          <w:rFonts w:ascii="仿宋" w:eastAsia="仿宋" w:cs="宋体"/>
          <w:bCs/>
          <w:color w:val="auto"/>
          <w:sz w:val="24"/>
          <w:szCs w:val="24"/>
          <w:highlight w:val="none"/>
          <w:u w:val="single"/>
        </w:rPr>
        <w:t xml:space="preserve"> </w:t>
      </w:r>
    </w:p>
    <w:p w14:paraId="7B7749F1">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1</w:t>
      </w:r>
      <w:r>
        <w:rPr>
          <w:rFonts w:ascii="仿宋" w:eastAsia="仿宋" w:cs="宋体"/>
          <w:bCs/>
          <w:color w:val="auto"/>
          <w:sz w:val="24"/>
          <w:szCs w:val="24"/>
          <w:highlight w:val="none"/>
          <w:u w:val="single"/>
        </w:rPr>
        <w:t xml:space="preserve">     </w:t>
      </w:r>
    </w:p>
    <w:p w14:paraId="782C930F">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5015000</w:t>
      </w:r>
      <w:r>
        <w:rPr>
          <w:rFonts w:ascii="仿宋" w:eastAsia="仿宋" w:cs="宋体"/>
          <w:bCs/>
          <w:color w:val="auto"/>
          <w:sz w:val="24"/>
          <w:szCs w:val="24"/>
          <w:highlight w:val="none"/>
          <w:u w:val="single"/>
        </w:rPr>
        <w:t xml:space="preserve"> </w:t>
      </w:r>
    </w:p>
    <w:p w14:paraId="4C51C27E">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4E3F1A13">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highlight w:val="none"/>
        </w:rPr>
        <w:t xml:space="preserve">    备注：</w:t>
      </w:r>
      <w:r>
        <w:rPr>
          <w:rFonts w:ascii="仿宋" w:eastAsia="仿宋" w:cs="宋体"/>
          <w:bCs/>
          <w:color w:val="auto"/>
          <w:sz w:val="24"/>
          <w:highlight w:val="none"/>
          <w:u w:val="single"/>
        </w:rPr>
        <w:t xml:space="preserve"> 无</w:t>
      </w:r>
    </w:p>
    <w:p w14:paraId="0B41B4FD">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合同履行期限：</w:t>
      </w:r>
      <w:r>
        <w:rPr>
          <w:rFonts w:ascii="仿宋" w:eastAsia="仿宋" w:cs="宋体"/>
          <w:bCs/>
          <w:color w:val="auto"/>
          <w:sz w:val="24"/>
          <w:szCs w:val="24"/>
          <w:highlight w:val="none"/>
          <w:u w:val="single"/>
        </w:rPr>
        <w:t xml:space="preserve">  </w:t>
      </w:r>
      <w:r>
        <w:rPr>
          <w:rFonts w:hint="eastAsia" w:ascii="仿宋" w:hAnsi="Times New Roman" w:eastAsia="仿宋" w:cs="宋体"/>
          <w:bCs/>
          <w:color w:val="auto"/>
          <w:sz w:val="24"/>
          <w:szCs w:val="24"/>
          <w:highlight w:val="none"/>
          <w:u w:val="single"/>
        </w:rPr>
        <w:t>按双方合同约定条款执行。</w:t>
      </w:r>
    </w:p>
    <w:p w14:paraId="213B1D28">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是</w:t>
      </w:r>
      <w:r>
        <w:rPr>
          <w:rFonts w:hint="eastAsia" w:ascii="仿宋" w:eastAsia="仿宋" w:cs="宋体"/>
          <w:bCs/>
          <w:color w:val="auto"/>
          <w:sz w:val="24"/>
          <w:szCs w:val="24"/>
          <w:highlight w:val="none"/>
        </w:rPr>
        <w:t>）接受联合体投标。</w:t>
      </w:r>
    </w:p>
    <w:p w14:paraId="275991DE">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outlineLvl w:val="1"/>
        <w:rPr>
          <w:rFonts w:hint="eastAsia" w:ascii="仿宋" w:hAnsi="仿宋" w:eastAsia="仿宋" w:cs="仿宋"/>
          <w:b/>
          <w:bCs/>
          <w:color w:val="auto"/>
          <w:sz w:val="24"/>
          <w:szCs w:val="24"/>
          <w:highlight w:val="none"/>
        </w:rPr>
      </w:pPr>
      <w:bookmarkStart w:id="6" w:name="_Toc28359003"/>
      <w:bookmarkStart w:id="7" w:name="_Toc35393622"/>
      <w:bookmarkStart w:id="8" w:name="_Toc35393791"/>
      <w:bookmarkStart w:id="9" w:name="_Toc28359080"/>
      <w:r>
        <w:rPr>
          <w:rFonts w:hint="eastAsia" w:ascii="仿宋" w:hAnsi="仿宋" w:eastAsia="仿宋" w:cs="仿宋"/>
          <w:b/>
          <w:bCs/>
          <w:color w:val="auto"/>
          <w:sz w:val="24"/>
          <w:szCs w:val="24"/>
          <w:highlight w:val="none"/>
        </w:rPr>
        <w:t>二、申请人的资格要求：</w:t>
      </w:r>
      <w:bookmarkEnd w:id="6"/>
      <w:bookmarkEnd w:id="7"/>
      <w:bookmarkEnd w:id="8"/>
      <w:bookmarkEnd w:id="9"/>
    </w:p>
    <w:p w14:paraId="5BF8689F">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0827B09">
      <w:pPr>
        <w:spacing w:line="360" w:lineRule="auto"/>
        <w:ind w:firstLine="540"/>
        <w:rPr>
          <w:rFonts w:hint="eastAsia" w:ascii="仿宋" w:eastAsia="仿宋" w:cs="宋体"/>
          <w:bCs/>
          <w:color w:val="auto"/>
          <w:sz w:val="24"/>
          <w:szCs w:val="24"/>
          <w:highlight w:val="none"/>
        </w:rPr>
      </w:pPr>
      <w:bookmarkStart w:id="10" w:name="_Toc28359081"/>
      <w:bookmarkStart w:id="11" w:name="_Toc28359004"/>
      <w:r>
        <w:rPr>
          <w:rFonts w:hint="eastAsia" w:ascii="仿宋" w:eastAsia="仿宋" w:cs="宋体"/>
          <w:bCs/>
          <w:color w:val="auto"/>
          <w:sz w:val="24"/>
          <w:szCs w:val="24"/>
          <w:highlight w:val="none"/>
        </w:rPr>
        <w:t xml:space="preserve">2.落实政府采购政策需满足的资格要求： </w:t>
      </w:r>
      <w:r>
        <w:rPr>
          <w:rFonts w:hint="eastAsia" w:ascii="仿宋" w:eastAsia="仿宋" w:cs="宋体"/>
          <w:bCs/>
          <w:color w:val="auto"/>
          <w:sz w:val="24"/>
          <w:szCs w:val="24"/>
          <w:highlight w:val="none"/>
          <w:u w:val="single"/>
        </w:rPr>
        <w:t xml:space="preserve"> /  </w:t>
      </w:r>
    </w:p>
    <w:p w14:paraId="6CC062D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highlight w:val="none"/>
        </w:rPr>
      </w:pPr>
      <w:r>
        <w:rPr>
          <w:rFonts w:hint="eastAsia" w:ascii="仿宋" w:eastAsia="仿宋" w:cs="宋体"/>
          <w:bCs/>
          <w:color w:val="auto"/>
          <w:sz w:val="24"/>
          <w:szCs w:val="24"/>
          <w:highlight w:val="none"/>
        </w:rPr>
        <w:t>3.本项目的特定资格要求：</w:t>
      </w:r>
      <w:r>
        <w:rPr>
          <w:rFonts w:hint="eastAsia" w:ascii="仿宋" w:eastAsia="仿宋" w:cs="宋体"/>
          <w:bCs/>
          <w:color w:val="auto"/>
          <w:sz w:val="24"/>
          <w:szCs w:val="24"/>
          <w:highlight w:val="none"/>
          <w:u w:val="single"/>
        </w:rPr>
        <w:t>（</w:t>
      </w:r>
      <w:r>
        <w:rPr>
          <w:rFonts w:hint="eastAsia" w:ascii="仿宋" w:eastAsia="仿宋" w:cs="宋体"/>
          <w:bCs/>
          <w:iCs/>
          <w:color w:val="auto"/>
          <w:sz w:val="24"/>
          <w:szCs w:val="24"/>
          <w:highlight w:val="none"/>
          <w:u w:val="single"/>
          <w:lang w:val="en-US" w:eastAsia="zh-CN"/>
        </w:rPr>
        <w:t>联合体组成最多不超过两家。</w:t>
      </w:r>
      <w:r>
        <w:rPr>
          <w:rFonts w:hint="eastAsia" w:ascii="仿宋" w:eastAsia="仿宋" w:cs="宋体"/>
          <w:bCs/>
          <w:iCs/>
          <w:color w:val="auto"/>
          <w:sz w:val="24"/>
          <w:szCs w:val="24"/>
          <w:highlight w:val="none"/>
          <w:u w:val="single"/>
        </w:rPr>
        <w:t>)</w:t>
      </w:r>
    </w:p>
    <w:p w14:paraId="467C5B5C">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outlineLvl w:val="1"/>
        <w:rPr>
          <w:rFonts w:hint="eastAsia" w:ascii="仿宋" w:hAnsi="仿宋" w:eastAsia="仿宋" w:cs="仿宋"/>
          <w:b/>
          <w:bCs/>
          <w:color w:val="auto"/>
          <w:sz w:val="24"/>
          <w:szCs w:val="24"/>
          <w:highlight w:val="none"/>
        </w:rPr>
      </w:pPr>
      <w:bookmarkStart w:id="12" w:name="_Toc35393623"/>
      <w:bookmarkStart w:id="13" w:name="_Toc35393792"/>
      <w:r>
        <w:rPr>
          <w:rFonts w:hint="eastAsia" w:ascii="仿宋" w:hAnsi="仿宋" w:eastAsia="仿宋" w:cs="仿宋"/>
          <w:b/>
          <w:bCs/>
          <w:color w:val="auto"/>
          <w:sz w:val="24"/>
          <w:szCs w:val="24"/>
          <w:highlight w:val="none"/>
        </w:rPr>
        <w:t>三、获取招标文件</w:t>
      </w:r>
      <w:bookmarkEnd w:id="10"/>
      <w:bookmarkEnd w:id="11"/>
      <w:bookmarkEnd w:id="12"/>
      <w:bookmarkEnd w:id="13"/>
    </w:p>
    <w:p w14:paraId="1B9FCD7A">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hint="eastAsia" w:ascii="仿宋" w:eastAsia="仿宋" w:cs="宋体"/>
          <w:color w:val="auto"/>
          <w:sz w:val="24"/>
          <w:szCs w:val="24"/>
          <w:highlight w:val="none"/>
          <w:u w:val="single"/>
          <w:lang w:eastAsia="zh-CN"/>
        </w:rPr>
        <w:t>投标截至时间前</w:t>
      </w:r>
      <w:r>
        <w:rPr>
          <w:rFonts w:ascii="仿宋" w:eastAsia="仿宋" w:cs="宋体"/>
          <w:color w:val="auto"/>
          <w:sz w:val="24"/>
          <w:szCs w:val="24"/>
          <w:highlight w:val="none"/>
        </w:rPr>
        <w:t xml:space="preserve"> （北京时间）。</w:t>
      </w:r>
    </w:p>
    <w:p w14:paraId="47178215">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lang w:eastAsia="zh-CN"/>
        </w:rPr>
        <w:t>乐采云平台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lang w:eastAsia="zh-CN"/>
        </w:rPr>
        <w:t>https://www.lecaiyun.com/</w:t>
      </w:r>
      <w:r>
        <w:rPr>
          <w:rFonts w:hint="eastAsia" w:ascii="仿宋" w:eastAsia="仿宋"/>
          <w:bCs/>
          <w:color w:val="auto"/>
          <w:sz w:val="24"/>
          <w:szCs w:val="24"/>
          <w:highlight w:val="none"/>
          <w:u w:val="single"/>
        </w:rPr>
        <w:fldChar w:fldCharType="end"/>
      </w:r>
    </w:p>
    <w:p w14:paraId="239F842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color w:val="auto"/>
          <w:sz w:val="24"/>
          <w:szCs w:val="24"/>
          <w:highlight w:val="none"/>
          <w:u w:val="single"/>
          <w:lang w:eastAsia="zh-CN"/>
        </w:rPr>
      </w:pPr>
      <w:r>
        <w:rPr>
          <w:rFonts w:hint="eastAsia" w:ascii="仿宋" w:eastAsia="仿宋" w:cs="宋体"/>
          <w:bCs/>
          <w:color w:val="auto"/>
          <w:sz w:val="24"/>
          <w:szCs w:val="24"/>
          <w:highlight w:val="none"/>
        </w:rPr>
        <w:t>方式：</w:t>
      </w:r>
      <w:r>
        <w:rPr>
          <w:rFonts w:hint="eastAsia" w:ascii="仿宋" w:eastAsia="仿宋" w:cs="宋体"/>
          <w:bCs/>
          <w:caps w:val="0"/>
          <w:smallCaps w:val="0"/>
          <w:snapToGrid/>
          <w:vanish w:val="0"/>
          <w:color w:val="auto"/>
          <w:sz w:val="24"/>
          <w:szCs w:val="24"/>
          <w:highlight w:val="none"/>
          <w:vertAlign w:val="baseline"/>
        </w:rPr>
        <w:t>供应商登陆</w:t>
      </w:r>
      <w:r>
        <w:rPr>
          <w:rFonts w:hint="eastAsia" w:ascii="仿宋" w:eastAsia="仿宋" w:cs="宋体"/>
          <w:bCs/>
          <w:caps w:val="0"/>
          <w:smallCaps w:val="0"/>
          <w:snapToGrid/>
          <w:vanish w:val="0"/>
          <w:color w:val="auto"/>
          <w:sz w:val="24"/>
          <w:szCs w:val="24"/>
          <w:highlight w:val="none"/>
          <w:vertAlign w:val="baseline"/>
          <w:lang w:eastAsia="zh-CN"/>
        </w:rPr>
        <w:t>乐采云平台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lang w:eastAsia="zh-CN"/>
        </w:rPr>
        <w:t>https://www.lecaiyun.com/</w:t>
      </w:r>
      <w:r>
        <w:rPr>
          <w:rFonts w:hint="eastAsia" w:ascii="仿宋" w:eastAsia="仿宋"/>
          <w:bCs/>
          <w:color w:val="auto"/>
          <w:sz w:val="24"/>
          <w:szCs w:val="24"/>
          <w:highlight w:val="none"/>
          <w:u w:val="single"/>
        </w:rPr>
        <w:fldChar w:fldCharType="end"/>
      </w:r>
      <w:r>
        <w:rPr>
          <w:rFonts w:hint="eastAsia" w:ascii="仿宋" w:eastAsia="仿宋" w:cs="宋体"/>
          <w:bCs/>
          <w:caps w:val="0"/>
          <w:smallCaps w:val="0"/>
          <w:snapToGrid/>
          <w:vanish w:val="0"/>
          <w:color w:val="auto"/>
          <w:sz w:val="24"/>
          <w:szCs w:val="24"/>
          <w:highlight w:val="none"/>
          <w:vertAlign w:val="baseline"/>
        </w:rPr>
        <w:t xml:space="preserve">在线申请获取采购文件（进入“项目采购”应用，在获取采购文件菜单中选择项目，申请获取采购文件） </w:t>
      </w:r>
      <w:r>
        <w:rPr>
          <w:rFonts w:ascii="仿宋" w:eastAsia="仿宋" w:cs="宋体"/>
          <w:bCs/>
          <w:color w:val="auto"/>
          <w:sz w:val="24"/>
          <w:szCs w:val="24"/>
          <w:highlight w:val="none"/>
        </w:rPr>
        <w:t>（如以联合体形式参加采购活动的，联合体牵头人须获取采购文件）</w:t>
      </w:r>
      <w:r>
        <w:rPr>
          <w:rFonts w:hint="eastAsia" w:ascii="仿宋" w:eastAsia="仿宋" w:cs="宋体"/>
          <w:bCs/>
          <w:color w:val="auto"/>
          <w:sz w:val="24"/>
          <w:szCs w:val="24"/>
          <w:highlight w:val="none"/>
          <w:lang w:eastAsia="zh-CN"/>
        </w:rPr>
        <w:t>，</w:t>
      </w:r>
      <w:r>
        <w:rPr>
          <w:rFonts w:hint="eastAsia" w:ascii="仿宋" w:eastAsia="仿宋"/>
          <w:b/>
          <w:bCs/>
          <w:color w:val="auto"/>
          <w:sz w:val="24"/>
          <w:highlight w:val="none"/>
        </w:rPr>
        <w:t>只网站下载不视为获取</w:t>
      </w:r>
    </w:p>
    <w:p w14:paraId="14C86D4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color w:val="auto"/>
          <w:sz w:val="24"/>
          <w:szCs w:val="24"/>
          <w:highlight w:val="none"/>
        </w:rPr>
      </w:pPr>
      <w:r>
        <w:rPr>
          <w:rFonts w:hint="eastAsia" w:ascii="仿宋" w:eastAsia="仿宋" w:cs="宋体"/>
          <w:color w:val="auto"/>
          <w:sz w:val="24"/>
          <w:szCs w:val="24"/>
          <w:highlight w:val="none"/>
        </w:rPr>
        <w:t>售价</w:t>
      </w:r>
      <w:r>
        <w:rPr>
          <w:rFonts w:hint="eastAsia" w:ascii="仿宋" w:eastAsia="仿宋" w:cs="宋体"/>
          <w:caps w:val="0"/>
          <w:smallCaps w:val="0"/>
          <w:snapToGrid/>
          <w:vanish w:val="0"/>
          <w:color w:val="auto"/>
          <w:sz w:val="24"/>
          <w:szCs w:val="24"/>
          <w:highlight w:val="none"/>
          <w:vertAlign w:val="baseline"/>
        </w:rPr>
        <w:t>（元）</w:t>
      </w:r>
      <w:r>
        <w:rPr>
          <w:rFonts w:hint="eastAsia" w:ascii="仿宋" w:eastAsia="仿宋" w:cs="宋体"/>
          <w:color w:val="auto"/>
          <w:sz w:val="24"/>
          <w:szCs w:val="24"/>
          <w:highlight w:val="none"/>
        </w:rPr>
        <w:t>：</w:t>
      </w:r>
      <w:r>
        <w:rPr>
          <w:rFonts w:ascii="仿宋" w:eastAsia="仿宋" w:cs="宋体"/>
          <w:color w:val="auto"/>
          <w:sz w:val="24"/>
          <w:szCs w:val="24"/>
          <w:highlight w:val="none"/>
        </w:rPr>
        <w:t>0</w:t>
      </w:r>
    </w:p>
    <w:p w14:paraId="74917EAB">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outlineLvl w:val="1"/>
        <w:rPr>
          <w:rFonts w:hint="eastAsia" w:ascii="仿宋" w:hAnsi="仿宋" w:eastAsia="仿宋" w:cs="仿宋"/>
          <w:b/>
          <w:bCs/>
          <w:color w:val="auto"/>
          <w:sz w:val="24"/>
          <w:szCs w:val="24"/>
          <w:highlight w:val="none"/>
        </w:rPr>
      </w:pPr>
      <w:bookmarkStart w:id="14" w:name="_Toc28359082"/>
      <w:bookmarkStart w:id="15" w:name="_Toc28359005"/>
      <w:bookmarkStart w:id="16" w:name="_Toc35393624"/>
      <w:bookmarkStart w:id="17" w:name="_Toc35393793"/>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680E89EF">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Cs/>
          <w:color w:val="auto"/>
          <w:sz w:val="24"/>
          <w:szCs w:val="24"/>
          <w:highlight w:val="none"/>
          <w:lang w:eastAsia="zh-CN"/>
        </w:rPr>
        <w:t>及开标时间</w:t>
      </w:r>
      <w:r>
        <w:rPr>
          <w:rFonts w:ascii="仿宋" w:eastAsia="仿宋"/>
          <w:bCs/>
          <w:color w:val="auto"/>
          <w:sz w:val="24"/>
          <w:szCs w:val="24"/>
          <w:highlight w:val="none"/>
        </w:rPr>
        <w:t>：</w:t>
      </w:r>
      <w:r>
        <w:rPr>
          <w:rFonts w:hint="eastAsia" w:ascii="仿宋" w:eastAsia="仿宋"/>
          <w:bCs/>
          <w:color w:val="auto"/>
          <w:sz w:val="24"/>
          <w:szCs w:val="24"/>
          <w:highlight w:val="none"/>
          <w:u w:val="single"/>
          <w:lang w:val="en-US" w:eastAsia="zh-CN"/>
        </w:rPr>
        <w:t>2025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3</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20</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09</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r>
        <w:rPr>
          <w:rFonts w:ascii="仿宋" w:eastAsia="仿宋"/>
          <w:bCs/>
          <w:color w:val="auto"/>
          <w:sz w:val="24"/>
          <w:szCs w:val="24"/>
          <w:highlight w:val="none"/>
          <w:u w:val="single"/>
        </w:rPr>
        <w:t xml:space="preserve">  </w:t>
      </w:r>
      <w:r>
        <w:rPr>
          <w:rFonts w:hint="eastAsia" w:ascii="仿宋" w:eastAsia="仿宋"/>
          <w:bCs/>
          <w:color w:val="auto"/>
          <w:sz w:val="24"/>
          <w:szCs w:val="24"/>
          <w:highlight w:val="none"/>
        </w:rPr>
        <w:t>（北京时间）</w:t>
      </w:r>
    </w:p>
    <w:p w14:paraId="14E8218E">
      <w:pPr>
        <w:spacing w:line="360" w:lineRule="auto"/>
        <w:ind w:firstLine="480" w:firstLineChars="200"/>
        <w:rPr>
          <w:rFonts w:ascii="仿宋" w:eastAsia="仿宋"/>
          <w:b w:val="0"/>
          <w:bCs w:val="0"/>
          <w:i w:val="0"/>
          <w:iCs w:val="0"/>
          <w:caps w:val="0"/>
          <w:smallCaps w:val="0"/>
          <w:color w:val="auto"/>
          <w:spacing w:val="0"/>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lang w:eastAsia="zh-CN"/>
        </w:rPr>
        <w:t>及开标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w:t>
      </w:r>
      <w:r>
        <w:rPr>
          <w:rFonts w:hint="eastAsia" w:ascii="仿宋" w:eastAsia="仿宋"/>
          <w:b w:val="0"/>
          <w:bCs w:val="0"/>
          <w:i w:val="0"/>
          <w:iCs w:val="0"/>
          <w:caps w:val="0"/>
          <w:smallCaps w:val="0"/>
          <w:color w:val="auto"/>
          <w:spacing w:val="0"/>
          <w:sz w:val="24"/>
          <w:szCs w:val="24"/>
          <w:highlight w:val="none"/>
          <w:lang w:eastAsia="zh-CN"/>
        </w:rPr>
        <w:t>乐采云平台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lang w:eastAsia="zh-CN"/>
        </w:rPr>
        <w:t>https://www.lecaiyun.com/</w:t>
      </w:r>
      <w:r>
        <w:rPr>
          <w:rFonts w:hint="eastAsia" w:ascii="仿宋" w:eastAsia="仿宋"/>
          <w:bCs/>
          <w:color w:val="auto"/>
          <w:sz w:val="24"/>
          <w:szCs w:val="24"/>
          <w:highlight w:val="none"/>
          <w:u w:val="single"/>
        </w:rPr>
        <w:fldChar w:fldCharType="end"/>
      </w:r>
      <w:r>
        <w:rPr>
          <w:rFonts w:ascii="仿宋" w:eastAsia="仿宋"/>
          <w:b w:val="0"/>
          <w:bCs w:val="0"/>
          <w:i w:val="0"/>
          <w:iCs w:val="0"/>
          <w:caps w:val="0"/>
          <w:smallCaps w:val="0"/>
          <w:color w:val="auto"/>
          <w:spacing w:val="0"/>
          <w:sz w:val="24"/>
          <w:szCs w:val="24"/>
          <w:highlight w:val="none"/>
        </w:rPr>
        <w:t>，</w:t>
      </w:r>
      <w:r>
        <w:rPr>
          <w:rFonts w:hint="eastAsia" w:ascii="仿宋" w:eastAsia="仿宋"/>
          <w:b w:val="0"/>
          <w:bCs w:val="0"/>
          <w:i w:val="0"/>
          <w:iCs w:val="0"/>
          <w:caps w:val="0"/>
          <w:smallCaps w:val="0"/>
          <w:color w:val="auto"/>
          <w:spacing w:val="0"/>
          <w:sz w:val="24"/>
          <w:szCs w:val="24"/>
          <w:highlight w:val="none"/>
          <w:lang w:eastAsia="zh-CN"/>
        </w:rPr>
        <w:t>在线提交投标文件，</w:t>
      </w:r>
      <w:r>
        <w:rPr>
          <w:rFonts w:ascii="仿宋" w:eastAsia="仿宋"/>
          <w:b w:val="0"/>
          <w:bCs w:val="0"/>
          <w:i w:val="0"/>
          <w:iCs w:val="0"/>
          <w:caps w:val="0"/>
          <w:smallCaps w:val="0"/>
          <w:color w:val="auto"/>
          <w:spacing w:val="0"/>
          <w:sz w:val="24"/>
          <w:szCs w:val="24"/>
          <w:highlight w:val="none"/>
        </w:rPr>
        <w:t>不接收纸质投标。</w:t>
      </w:r>
    </w:p>
    <w:p w14:paraId="3F26721D">
      <w:pPr>
        <w:spacing w:line="360" w:lineRule="auto"/>
        <w:ind w:firstLine="480" w:firstLineChars="200"/>
        <w:rPr>
          <w:rFonts w:ascii="仿宋" w:eastAsia="仿宋"/>
          <w:bCs/>
          <w:color w:val="auto"/>
          <w:sz w:val="24"/>
          <w:szCs w:val="24"/>
          <w:highlight w:val="none"/>
          <w:u w:val="single"/>
        </w:rPr>
      </w:pPr>
      <w:r>
        <w:rPr>
          <w:rFonts w:ascii="仿宋" w:eastAsia="仿宋"/>
          <w:b w:val="0"/>
          <w:bCs w:val="0"/>
          <w:i w:val="0"/>
          <w:iCs w:val="0"/>
          <w:caps w:val="0"/>
          <w:smallCaps w:val="0"/>
          <w:color w:val="auto"/>
          <w:spacing w:val="0"/>
          <w:sz w:val="24"/>
          <w:szCs w:val="24"/>
          <w:highlight w:val="none"/>
        </w:rPr>
        <w:t xml:space="preserve">现场开标地点：浙江省绍兴市越城区延安东路660号绍兴市公共资源交易中心越城区分中心 </w:t>
      </w:r>
      <w:r>
        <w:rPr>
          <w:rFonts w:hint="eastAsia" w:ascii="仿宋" w:eastAsia="仿宋"/>
          <w:b w:val="0"/>
          <w:bCs w:val="0"/>
          <w:i w:val="0"/>
          <w:iCs w:val="0"/>
          <w:caps w:val="0"/>
          <w:smallCaps w:val="0"/>
          <w:color w:val="auto"/>
          <w:spacing w:val="0"/>
          <w:sz w:val="24"/>
          <w:szCs w:val="24"/>
          <w:highlight w:val="none"/>
          <w:u w:val="single"/>
          <w:lang w:val="en-US" w:eastAsia="zh-CN"/>
        </w:rPr>
        <w:t>206</w:t>
      </w:r>
      <w:r>
        <w:rPr>
          <w:rFonts w:ascii="仿宋" w:eastAsia="仿宋"/>
          <w:b w:val="0"/>
          <w:bCs w:val="0"/>
          <w:i w:val="0"/>
          <w:iCs w:val="0"/>
          <w:caps w:val="0"/>
          <w:smallCaps w:val="0"/>
          <w:color w:val="auto"/>
          <w:spacing w:val="0"/>
          <w:sz w:val="24"/>
          <w:szCs w:val="24"/>
          <w:highlight w:val="none"/>
          <w:u w:val="single"/>
        </w:rPr>
        <w:t xml:space="preserve"> </w:t>
      </w:r>
      <w:r>
        <w:rPr>
          <w:rFonts w:ascii="仿宋" w:eastAsia="仿宋"/>
          <w:b w:val="0"/>
          <w:bCs w:val="0"/>
          <w:i w:val="0"/>
          <w:iCs w:val="0"/>
          <w:caps w:val="0"/>
          <w:smallCaps w:val="0"/>
          <w:color w:val="auto"/>
          <w:spacing w:val="0"/>
          <w:sz w:val="24"/>
          <w:szCs w:val="24"/>
          <w:highlight w:val="none"/>
        </w:rPr>
        <w:t>室。</w:t>
      </w:r>
    </w:p>
    <w:p w14:paraId="084F12FA">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outlineLvl w:val="1"/>
        <w:rPr>
          <w:rFonts w:hint="eastAsia" w:ascii="仿宋" w:hAnsi="仿宋" w:eastAsia="仿宋" w:cs="仿宋"/>
          <w:b/>
          <w:bCs/>
          <w:color w:val="auto"/>
          <w:sz w:val="24"/>
          <w:szCs w:val="24"/>
          <w:highlight w:val="none"/>
        </w:rPr>
      </w:pPr>
      <w:bookmarkStart w:id="18" w:name="_Toc35393794"/>
      <w:bookmarkStart w:id="19" w:name="_Toc35393625"/>
      <w:bookmarkStart w:id="20" w:name="_Toc28359007"/>
      <w:bookmarkStart w:id="21" w:name="_Toc28359084"/>
      <w:r>
        <w:rPr>
          <w:rFonts w:hint="eastAsia" w:ascii="仿宋" w:hAnsi="仿宋" w:eastAsia="仿宋" w:cs="仿宋"/>
          <w:b/>
          <w:bCs/>
          <w:color w:val="auto"/>
          <w:sz w:val="24"/>
          <w:szCs w:val="24"/>
          <w:highlight w:val="none"/>
        </w:rPr>
        <w:t>五、公告期限</w:t>
      </w:r>
      <w:bookmarkEnd w:id="18"/>
      <w:bookmarkEnd w:id="19"/>
      <w:bookmarkEnd w:id="20"/>
      <w:bookmarkEnd w:id="21"/>
    </w:p>
    <w:p w14:paraId="5099FE46">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037A9E6E">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outlineLvl w:val="1"/>
        <w:rPr>
          <w:rFonts w:hint="eastAsia" w:ascii="仿宋" w:hAnsi="仿宋" w:eastAsia="仿宋" w:cs="仿宋"/>
          <w:b/>
          <w:bCs/>
          <w:color w:val="auto"/>
          <w:sz w:val="24"/>
          <w:szCs w:val="24"/>
          <w:highlight w:val="none"/>
        </w:rPr>
      </w:pPr>
      <w:bookmarkStart w:id="22" w:name="_Toc35393626"/>
      <w:bookmarkStart w:id="23" w:name="_Toc35393795"/>
      <w:r>
        <w:rPr>
          <w:rFonts w:hint="eastAsia" w:ascii="仿宋" w:hAnsi="仿宋" w:eastAsia="仿宋" w:cs="仿宋"/>
          <w:b/>
          <w:bCs/>
          <w:color w:val="auto"/>
          <w:sz w:val="24"/>
          <w:szCs w:val="24"/>
          <w:highlight w:val="none"/>
        </w:rPr>
        <w:t>六、其他补充事宜</w:t>
      </w:r>
      <w:bookmarkEnd w:id="22"/>
      <w:bookmarkEnd w:id="23"/>
    </w:p>
    <w:p w14:paraId="5A26BD2E">
      <w:pPr>
        <w:spacing w:line="360" w:lineRule="auto"/>
        <w:ind w:left="0" w:firstLine="480" w:firstLineChars="200"/>
        <w:rPr>
          <w:rFonts w:ascii="仿宋" w:eastAsia="仿宋" w:cs="Times New Roman"/>
          <w:color w:val="auto"/>
          <w:kern w:val="2"/>
          <w:sz w:val="24"/>
          <w:szCs w:val="24"/>
          <w:highlight w:val="none"/>
        </w:rPr>
      </w:pPr>
      <w:r>
        <w:rPr>
          <w:rFonts w:ascii="仿宋" w:eastAsia="仿宋" w:cs="Times New Roman"/>
          <w:color w:val="auto"/>
          <w:kern w:val="2"/>
          <w:sz w:val="24"/>
          <w:szCs w:val="24"/>
          <w:highlight w:val="none"/>
        </w:rPr>
        <w:t>1.</w:t>
      </w:r>
      <w:r>
        <w:rPr>
          <w:rFonts w:hint="default" w:ascii="仿宋" w:eastAsia="仿宋" w:cs="Times New Roman"/>
          <w:color w:val="auto"/>
          <w:kern w:val="2"/>
          <w:sz w:val="24"/>
          <w:szCs w:val="24"/>
          <w:highlight w:val="none"/>
        </w:rPr>
        <w:t>单位负责人为同一人或者存在直接控股、管理关系的不同供应商，不得同时参加同一标项的投标。为项目提供整体设计、规范编制或者项目管理、监理、检测等服务的供应商，不得再参加该采购项目的其他采购活动。</w:t>
      </w:r>
    </w:p>
    <w:p w14:paraId="3FD70849">
      <w:pPr>
        <w:spacing w:line="360" w:lineRule="auto"/>
        <w:ind w:left="0" w:firstLine="480" w:firstLineChars="200"/>
        <w:rPr>
          <w:rFonts w:ascii="仿宋" w:eastAsia="仿宋" w:cs="Times New Roman"/>
          <w:color w:val="auto"/>
          <w:kern w:val="2"/>
          <w:sz w:val="24"/>
          <w:szCs w:val="24"/>
          <w:highlight w:val="none"/>
        </w:rPr>
      </w:pPr>
      <w:r>
        <w:rPr>
          <w:rFonts w:ascii="仿宋" w:eastAsia="仿宋" w:cs="Times New Roman"/>
          <w:color w:val="auto"/>
          <w:kern w:val="2"/>
          <w:sz w:val="24"/>
          <w:szCs w:val="24"/>
          <w:highlight w:val="none"/>
        </w:rPr>
        <w:t>2.根据《浙江省财政厅关于进一步促进政府采购公平竞争打造最优营商环境的通知》（浙财采监（2021）22号）文件关于“健全行政裁决机制”要求，鼓励供应商在线提起询问，路径为：</w:t>
      </w:r>
      <w:r>
        <w:rPr>
          <w:rFonts w:hint="default" w:ascii="仿宋" w:eastAsia="仿宋" w:cs="Times New Roman"/>
          <w:color w:val="auto"/>
          <w:kern w:val="2"/>
          <w:sz w:val="24"/>
          <w:szCs w:val="24"/>
          <w:highlight w:val="none"/>
          <w:lang w:eastAsia="zh-CN"/>
        </w:rPr>
        <w:t>乐采云</w:t>
      </w:r>
      <w:r>
        <w:rPr>
          <w:rFonts w:ascii="仿宋" w:eastAsia="仿宋" w:cs="Times New Roman"/>
          <w:color w:val="auto"/>
          <w:kern w:val="2"/>
          <w:sz w:val="24"/>
          <w:szCs w:val="24"/>
          <w:highlight w:val="none"/>
        </w:rPr>
        <w:t>-项目采购-询问质疑投诉-询问列表:鼓励供应商在线提起质疑，路径为：</w:t>
      </w:r>
      <w:r>
        <w:rPr>
          <w:rFonts w:hint="default" w:ascii="仿宋" w:eastAsia="仿宋" w:cs="Times New Roman"/>
          <w:color w:val="auto"/>
          <w:kern w:val="2"/>
          <w:sz w:val="24"/>
          <w:szCs w:val="24"/>
          <w:highlight w:val="none"/>
          <w:lang w:eastAsia="zh-CN"/>
        </w:rPr>
        <w:t>乐采云</w:t>
      </w:r>
      <w:r>
        <w:rPr>
          <w:rFonts w:ascii="仿宋" w:eastAsia="仿宋" w:cs="Times New Roman"/>
          <w:color w:val="auto"/>
          <w:kern w:val="2"/>
          <w:sz w:val="24"/>
          <w:szCs w:val="24"/>
          <w:highlight w:val="none"/>
        </w:rPr>
        <w:t>-项目采购-询问质疑投诉-质疑列表。质疑供应商对在线质疑答复不满意的，可在线提起投诉，路径为：</w:t>
      </w:r>
      <w:r>
        <w:rPr>
          <w:rFonts w:hint="default" w:ascii="仿宋" w:eastAsia="仿宋" w:cs="Times New Roman"/>
          <w:color w:val="auto"/>
          <w:kern w:val="2"/>
          <w:sz w:val="24"/>
          <w:szCs w:val="24"/>
          <w:highlight w:val="none"/>
          <w:lang w:eastAsia="zh-CN"/>
        </w:rPr>
        <w:t>乐采云</w:t>
      </w:r>
      <w:r>
        <w:rPr>
          <w:rFonts w:ascii="仿宋" w:eastAsia="仿宋" w:cs="Times New Roman"/>
          <w:color w:val="auto"/>
          <w:kern w:val="2"/>
          <w:sz w:val="24"/>
          <w:szCs w:val="24"/>
          <w:highlight w:val="none"/>
        </w:rPr>
        <w:t>-项目采购-询问质疑投诉-</w:t>
      </w:r>
      <w:r>
        <w:rPr>
          <w:rFonts w:hint="default" w:ascii="仿宋" w:eastAsia="仿宋" w:cs="Times New Roman"/>
          <w:color w:val="auto"/>
          <w:kern w:val="2"/>
          <w:sz w:val="24"/>
          <w:szCs w:val="24"/>
          <w:highlight w:val="none"/>
          <w:lang w:eastAsia="zh-CN"/>
        </w:rPr>
        <w:t>投诉</w:t>
      </w:r>
      <w:r>
        <w:rPr>
          <w:rFonts w:ascii="仿宋" w:eastAsia="仿宋" w:cs="Times New Roman"/>
          <w:color w:val="auto"/>
          <w:kern w:val="2"/>
          <w:sz w:val="24"/>
          <w:szCs w:val="24"/>
          <w:highlight w:val="none"/>
        </w:rPr>
        <w:t>列表。</w:t>
      </w:r>
      <w:r>
        <w:rPr>
          <w:rFonts w:hint="default" w:ascii="仿宋" w:eastAsia="仿宋"/>
          <w:b w:val="0"/>
          <w:bCs w:val="0"/>
          <w:color w:val="auto"/>
          <w:sz w:val="24"/>
          <w:szCs w:val="24"/>
          <w:highlight w:val="none"/>
        </w:rPr>
        <w:t>详见采购文件第七章。</w:t>
      </w:r>
    </w:p>
    <w:p w14:paraId="478974EF">
      <w:pPr>
        <w:spacing w:line="360" w:lineRule="auto"/>
        <w:ind w:left="0" w:firstLine="480" w:firstLineChars="200"/>
        <w:rPr>
          <w:rFonts w:hint="default" w:ascii="仿宋" w:eastAsia="仿宋" w:cs="Times New Roman"/>
          <w:color w:val="auto"/>
          <w:kern w:val="2"/>
          <w:sz w:val="24"/>
          <w:szCs w:val="24"/>
          <w:highlight w:val="none"/>
        </w:rPr>
      </w:pPr>
      <w:r>
        <w:rPr>
          <w:rFonts w:ascii="仿宋" w:eastAsia="仿宋" w:cs="Times New Roman"/>
          <w:color w:val="auto"/>
          <w:kern w:val="2"/>
          <w:sz w:val="24"/>
          <w:szCs w:val="24"/>
          <w:highlight w:val="none"/>
        </w:rPr>
        <w:t>3.其他事项：</w:t>
      </w:r>
      <w:r>
        <w:rPr>
          <w:rFonts w:hint="default" w:ascii="仿宋" w:eastAsia="仿宋" w:cs="Times New Roman"/>
          <w:color w:val="auto"/>
          <w:kern w:val="2"/>
          <w:sz w:val="24"/>
          <w:szCs w:val="24"/>
          <w:highlight w:val="none"/>
          <w:u w:val="none"/>
        </w:rPr>
        <w:t>详见采购文件“</w:t>
      </w:r>
      <w:r>
        <w:rPr>
          <w:rFonts w:ascii="仿宋" w:eastAsia="仿宋" w:cs="Times New Roman"/>
          <w:color w:val="auto"/>
          <w:kern w:val="2"/>
          <w:sz w:val="24"/>
          <w:szCs w:val="24"/>
          <w:highlight w:val="none"/>
          <w:u w:val="none"/>
        </w:rPr>
        <w:t>采购</w:t>
      </w:r>
      <w:r>
        <w:rPr>
          <w:rFonts w:hint="default" w:ascii="仿宋" w:eastAsia="仿宋" w:cs="Times New Roman"/>
          <w:color w:val="auto"/>
          <w:kern w:val="2"/>
          <w:sz w:val="24"/>
          <w:szCs w:val="24"/>
          <w:highlight w:val="none"/>
          <w:u w:val="none"/>
        </w:rPr>
        <w:t>公告补充事项”。</w:t>
      </w:r>
      <w:r>
        <w:rPr>
          <w:rFonts w:ascii="仿宋" w:eastAsia="仿宋" w:cs="Times New Roman"/>
          <w:color w:val="auto"/>
          <w:kern w:val="2"/>
          <w:sz w:val="24"/>
          <w:szCs w:val="24"/>
          <w:highlight w:val="none"/>
          <w:u w:val="none"/>
        </w:rPr>
        <w:t>（重要）</w:t>
      </w:r>
    </w:p>
    <w:p w14:paraId="40AA2B3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outlineLvl w:val="1"/>
        <w:rPr>
          <w:rFonts w:hint="eastAsia" w:ascii="仿宋" w:hAnsi="仿宋" w:eastAsia="仿宋" w:cs="仿宋"/>
          <w:b/>
          <w:bCs/>
          <w:color w:val="auto"/>
          <w:sz w:val="24"/>
          <w:szCs w:val="24"/>
          <w:highlight w:val="none"/>
        </w:rPr>
      </w:pPr>
      <w:bookmarkStart w:id="24" w:name="_Toc35393627"/>
      <w:bookmarkStart w:id="25" w:name="_Toc28359085"/>
      <w:bookmarkStart w:id="26" w:name="_Toc28359008"/>
      <w:bookmarkStart w:id="27" w:name="_Toc35393796"/>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12C5FEBA">
      <w:pPr>
        <w:widowControl/>
        <w:jc w:val="left"/>
        <w:outlineLvl w:val="2"/>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1C78785E">
      <w:pPr>
        <w:spacing w:line="360" w:lineRule="auto"/>
        <w:ind w:left="1079" w:leftChars="371" w:hanging="300" w:hangingChars="125"/>
        <w:jc w:val="left"/>
        <w:rPr>
          <w:rFonts w:ascii="仿宋" w:eastAsia="仿宋"/>
          <w:color w:val="auto"/>
          <w:sz w:val="24"/>
          <w:szCs w:val="24"/>
          <w:highlight w:val="none"/>
        </w:rPr>
      </w:pPr>
      <w:bookmarkStart w:id="28" w:name="_Toc28359086"/>
      <w:bookmarkStart w:id="29" w:name="_Toc28359009"/>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highlight w:val="none"/>
          <w:u w:val="single" w:color="auto"/>
          <w:lang w:eastAsia="zh-CN"/>
        </w:rPr>
        <w:t>绍兴市越城区公用资产运营有限公司</w:t>
      </w:r>
      <w:r>
        <w:rPr>
          <w:rFonts w:hint="eastAsia" w:ascii="仿宋" w:eastAsia="仿宋"/>
          <w:color w:val="auto"/>
          <w:sz w:val="24"/>
          <w:szCs w:val="24"/>
          <w:highlight w:val="none"/>
          <w:u w:val="single"/>
        </w:rPr>
        <w:t>　</w:t>
      </w:r>
    </w:p>
    <w:p w14:paraId="1D171846">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highlight w:val="none"/>
          <w:u w:val="single" w:color="auto"/>
          <w:lang w:eastAsia="zh-CN"/>
        </w:rPr>
        <w:t>浙江省绍兴市越城区府山街道东街687号301室</w:t>
      </w:r>
      <w:r>
        <w:rPr>
          <w:rFonts w:hint="eastAsia" w:ascii="仿宋" w:eastAsia="仿宋"/>
          <w:color w:val="auto"/>
          <w:sz w:val="24"/>
          <w:szCs w:val="24"/>
          <w:highlight w:val="none"/>
          <w:u w:val="single"/>
        </w:rPr>
        <w:t>　</w:t>
      </w:r>
    </w:p>
    <w:p w14:paraId="77081F1E">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p>
    <w:p w14:paraId="61543E7B">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default" w:ascii="仿宋" w:eastAsia="仿宋"/>
          <w:color w:val="auto"/>
          <w:sz w:val="24"/>
          <w:szCs w:val="24"/>
          <w:highlight w:val="none"/>
          <w:u w:val="single"/>
          <w:lang w:eastAsia="zh-CN"/>
        </w:rPr>
        <w:t>吴剑薇</w:t>
      </w:r>
    </w:p>
    <w:p w14:paraId="50017048">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w:t>
      </w:r>
      <w:r>
        <w:rPr>
          <w:rFonts w:hint="default" w:ascii="仿宋" w:eastAsia="仿宋"/>
          <w:color w:val="auto"/>
          <w:sz w:val="24"/>
          <w:szCs w:val="24"/>
          <w:highlight w:val="none"/>
          <w:u w:val="single"/>
          <w:lang w:eastAsia="zh-CN"/>
        </w:rPr>
        <w:t>85085605</w:t>
      </w:r>
    </w:p>
    <w:p w14:paraId="2CD9DFD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1079" w:leftChars="371" w:hanging="300" w:hangingChars="125"/>
        <w:contextualSpacing w:val="0"/>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陈泉霖　</w:t>
      </w:r>
    </w:p>
    <w:p w14:paraId="293302DB">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w:t>
      </w:r>
      <w:r>
        <w:rPr>
          <w:rFonts w:hint="eastAsia" w:ascii="仿宋" w:eastAsia="仿宋"/>
          <w:color w:val="auto"/>
          <w:sz w:val="24"/>
          <w:szCs w:val="24"/>
          <w:highlight w:val="none"/>
          <w:u w:val="single"/>
        </w:rPr>
        <w:t xml:space="preserve">88651630　　 </w:t>
      </w:r>
    </w:p>
    <w:p w14:paraId="5AA19BDD">
      <w:pPr>
        <w:spacing w:line="360" w:lineRule="auto"/>
        <w:ind w:left="1079" w:leftChars="371" w:hanging="300" w:hangingChars="125"/>
        <w:jc w:val="left"/>
        <w:outlineLvl w:val="2"/>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28"/>
      <w:bookmarkEnd w:id="29"/>
    </w:p>
    <w:p w14:paraId="6098B016">
      <w:pPr>
        <w:spacing w:line="360" w:lineRule="auto"/>
        <w:ind w:left="1079" w:leftChars="371" w:hanging="300" w:hangingChars="125"/>
        <w:jc w:val="left"/>
        <w:rPr>
          <w:rFonts w:ascii="仿宋" w:eastAsia="仿宋"/>
          <w:color w:val="auto"/>
          <w:sz w:val="24"/>
          <w:szCs w:val="24"/>
          <w:highlight w:val="none"/>
        </w:rPr>
      </w:pPr>
      <w:bookmarkStart w:id="30" w:name="_Toc28359010"/>
      <w:bookmarkStart w:id="31" w:name="_Toc28359087"/>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浙江大统建设项目管理有限公司</w:t>
      </w:r>
      <w:r>
        <w:rPr>
          <w:rFonts w:hint="eastAsia" w:ascii="仿宋" w:eastAsia="仿宋"/>
          <w:color w:val="auto"/>
          <w:sz w:val="24"/>
          <w:szCs w:val="24"/>
          <w:highlight w:val="none"/>
          <w:u w:val="single"/>
        </w:rPr>
        <w:t>　</w:t>
      </w:r>
    </w:p>
    <w:p w14:paraId="155C9789">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绍兴市越城区金丰大厦8楼</w:t>
      </w:r>
      <w:r>
        <w:rPr>
          <w:rFonts w:hint="eastAsia" w:ascii="仿宋" w:eastAsia="仿宋"/>
          <w:color w:val="auto"/>
          <w:sz w:val="24"/>
          <w:szCs w:val="24"/>
          <w:highlight w:val="none"/>
          <w:u w:val="single"/>
        </w:rPr>
        <w:t>　</w:t>
      </w:r>
    </w:p>
    <w:p w14:paraId="74CB4C75">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p>
    <w:p w14:paraId="2772E8C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俞姗姗</w:t>
      </w:r>
      <w:r>
        <w:rPr>
          <w:rFonts w:hint="eastAsia" w:ascii="仿宋" w:eastAsia="仿宋"/>
          <w:color w:val="auto"/>
          <w:sz w:val="24"/>
          <w:szCs w:val="24"/>
          <w:highlight w:val="none"/>
          <w:u w:val="single"/>
        </w:rPr>
        <w:t xml:space="preserve">　 </w:t>
      </w:r>
    </w:p>
    <w:p w14:paraId="00F1A249">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15757590351</w:t>
      </w:r>
      <w:r>
        <w:rPr>
          <w:rFonts w:hint="eastAsia" w:ascii="仿宋" w:eastAsia="仿宋"/>
          <w:color w:val="auto"/>
          <w:sz w:val="24"/>
          <w:szCs w:val="24"/>
          <w:highlight w:val="none"/>
          <w:u w:val="single"/>
        </w:rPr>
        <w:t>　</w:t>
      </w:r>
    </w:p>
    <w:p w14:paraId="77E762CE">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徐菊美</w:t>
      </w:r>
      <w:r>
        <w:rPr>
          <w:rFonts w:hint="eastAsia" w:ascii="仿宋" w:eastAsia="仿宋"/>
          <w:color w:val="auto"/>
          <w:sz w:val="24"/>
          <w:szCs w:val="24"/>
          <w:highlight w:val="none"/>
          <w:u w:val="single"/>
        </w:rPr>
        <w:t>　</w:t>
      </w:r>
    </w:p>
    <w:p w14:paraId="5BD9B885">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13386517055</w:t>
      </w:r>
      <w:r>
        <w:rPr>
          <w:rFonts w:hint="eastAsia" w:ascii="仿宋" w:eastAsia="仿宋"/>
          <w:color w:val="auto"/>
          <w:sz w:val="24"/>
          <w:szCs w:val="24"/>
          <w:highlight w:val="none"/>
          <w:u w:val="single"/>
        </w:rPr>
        <w:t xml:space="preserve">  </w:t>
      </w:r>
    </w:p>
    <w:p w14:paraId="04C42D6F">
      <w:pPr>
        <w:spacing w:line="360" w:lineRule="auto"/>
        <w:ind w:firstLine="720" w:firstLineChars="300"/>
        <w:outlineLvl w:val="2"/>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0"/>
      <w:bookmarkEnd w:id="31"/>
      <w:r>
        <w:rPr>
          <w:rFonts w:hint="eastAsia" w:ascii="仿宋" w:eastAsia="仿宋" w:cs="宋体"/>
          <w:color w:val="auto"/>
          <w:sz w:val="24"/>
          <w:szCs w:val="24"/>
          <w:highlight w:val="none"/>
          <w:lang w:eastAsia="zh-CN"/>
        </w:rPr>
        <w:t>本项目</w:t>
      </w:r>
      <w:r>
        <w:rPr>
          <w:rFonts w:ascii="仿宋" w:eastAsia="仿宋" w:cs="宋体"/>
          <w:color w:val="auto"/>
          <w:sz w:val="24"/>
          <w:szCs w:val="24"/>
          <w:highlight w:val="none"/>
        </w:rPr>
        <w:t>监督管理部门</w:t>
      </w:r>
    </w:p>
    <w:p w14:paraId="469A6166">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绍兴市越城区公用事业集团有限公司</w:t>
      </w:r>
      <w:r>
        <w:rPr>
          <w:rFonts w:hint="eastAsia" w:ascii="仿宋" w:eastAsia="仿宋"/>
          <w:color w:val="auto"/>
          <w:sz w:val="24"/>
          <w:szCs w:val="24"/>
          <w:highlight w:val="none"/>
          <w:u w:val="single"/>
        </w:rPr>
        <w:t>　</w:t>
      </w:r>
    </w:p>
    <w:p w14:paraId="323F6E92">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val="en-US" w:eastAsia="zh-CN"/>
        </w:rPr>
        <w:t>浙江省东街687号4层　</w:t>
      </w:r>
    </w:p>
    <w:p w14:paraId="0011C2E8">
      <w:pPr>
        <w:spacing w:line="360" w:lineRule="auto"/>
        <w:ind w:left="1079" w:leftChars="371" w:hanging="300" w:hangingChars="125"/>
        <w:jc w:val="left"/>
        <w:rPr>
          <w:rFonts w:hint="eastAsia"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p>
    <w:p w14:paraId="17226D9D">
      <w:pPr>
        <w:spacing w:line="360" w:lineRule="auto"/>
        <w:ind w:left="1079" w:leftChars="371" w:hanging="300" w:hangingChars="125"/>
        <w:jc w:val="left"/>
        <w:rPr>
          <w:rFonts w:hint="eastAsia" w:ascii="仿宋" w:eastAsia="仿宋"/>
          <w:color w:val="auto"/>
          <w:sz w:val="24"/>
          <w:szCs w:val="24"/>
          <w:highlight w:val="none"/>
          <w:lang w:eastAsia="zh-CN"/>
        </w:rPr>
      </w:pPr>
      <w:r>
        <w:rPr>
          <w:rFonts w:hint="eastAsia" w:ascii="仿宋" w:eastAsia="仿宋"/>
          <w:color w:val="auto"/>
          <w:sz w:val="24"/>
          <w:szCs w:val="24"/>
          <w:highlight w:val="none"/>
        </w:rPr>
        <w:t>联系人：</w:t>
      </w:r>
      <w:r>
        <w:rPr>
          <w:rFonts w:hint="eastAsia" w:ascii="仿宋" w:eastAsia="仿宋" w:cs="宋体"/>
          <w:color w:val="auto"/>
          <w:kern w:val="0"/>
          <w:sz w:val="24"/>
          <w:highlight w:val="none"/>
          <w:u w:val="single"/>
          <w:lang w:val="en-US" w:eastAsia="zh-CN" w:bidi="ar-SA"/>
        </w:rPr>
        <w:t>钱栋</w:t>
      </w:r>
    </w:p>
    <w:p w14:paraId="6E09EEA2">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　</w:t>
      </w:r>
      <w:r>
        <w:rPr>
          <w:rFonts w:hint="eastAsia" w:ascii="仿宋" w:eastAsia="仿宋" w:cs="宋体"/>
          <w:color w:val="auto"/>
          <w:kern w:val="0"/>
          <w:sz w:val="24"/>
          <w:highlight w:val="none"/>
          <w:u w:val="single"/>
          <w:lang w:bidi="ar-SA"/>
        </w:rPr>
        <w:t>0575-85151523</w:t>
      </w:r>
      <w:r>
        <w:rPr>
          <w:rFonts w:hint="eastAsia" w:ascii="仿宋" w:eastAsia="仿宋"/>
          <w:color w:val="auto"/>
          <w:sz w:val="24"/>
          <w:szCs w:val="24"/>
          <w:highlight w:val="none"/>
          <w:u w:val="single"/>
        </w:rPr>
        <w:t>　　</w:t>
      </w:r>
    </w:p>
    <w:p w14:paraId="6FED6DDE">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w:t>
      </w:r>
      <w:r>
        <w:rPr>
          <w:rFonts w:hint="eastAsia" w:ascii="仿宋" w:eastAsia="仿宋"/>
          <w:color w:val="auto"/>
          <w:szCs w:val="21"/>
          <w:highlight w:val="none"/>
          <w:lang w:eastAsia="zh-CN"/>
        </w:rPr>
        <w:t>乐采云</w:t>
      </w:r>
      <w:r>
        <w:rPr>
          <w:rFonts w:ascii="仿宋" w:eastAsia="仿宋"/>
          <w:color w:val="auto"/>
          <w:szCs w:val="21"/>
          <w:highlight w:val="none"/>
        </w:rPr>
        <w:t>（</w:t>
      </w:r>
      <w:r>
        <w:rPr>
          <w:rFonts w:hint="eastAsia" w:ascii="仿宋" w:eastAsia="仿宋"/>
          <w:color w:val="auto"/>
          <w:szCs w:val="21"/>
          <w:highlight w:val="none"/>
        </w:rPr>
        <w:t>https://www.lecaiyun.com/</w:t>
      </w:r>
      <w:r>
        <w:rPr>
          <w:rFonts w:ascii="仿宋" w:eastAsia="仿宋"/>
          <w:color w:val="auto"/>
          <w:szCs w:val="21"/>
          <w:highlight w:val="none"/>
        </w:rPr>
        <w:t>），点击右侧咨询小采，获取采小蜜智能服务管家帮助。</w:t>
      </w:r>
    </w:p>
    <w:p w14:paraId="0F8D84D9">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14:paraId="6A207E8F">
      <w:pPr>
        <w:widowControl/>
        <w:jc w:val="center"/>
        <w:outlineLvl w:val="1"/>
        <w:rPr>
          <w:rFonts w:hint="eastAsia" w:ascii="仿宋" w:eastAsia="仿宋"/>
          <w:b/>
          <w:bCs/>
          <w:color w:val="auto"/>
          <w:sz w:val="44"/>
          <w:szCs w:val="44"/>
          <w:highlight w:val="none"/>
        </w:rPr>
      </w:pPr>
      <w:r>
        <w:rPr>
          <w:rFonts w:ascii="仿宋" w:eastAsia="仿宋"/>
          <w:color w:val="auto"/>
          <w:sz w:val="28"/>
          <w:szCs w:val="28"/>
          <w:highlight w:val="none"/>
        </w:rPr>
        <w:br w:type="page"/>
      </w:r>
      <w:r>
        <w:rPr>
          <w:rFonts w:hint="eastAsia" w:ascii="仿宋" w:eastAsia="仿宋"/>
          <w:b/>
          <w:bCs/>
          <w:color w:val="auto"/>
          <w:sz w:val="44"/>
          <w:szCs w:val="44"/>
          <w:highlight w:val="none"/>
        </w:rPr>
        <w:t>采购公告补充事项</w:t>
      </w:r>
    </w:p>
    <w:p w14:paraId="333A10BC">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Cs/>
          <w:color w:val="auto"/>
          <w:sz w:val="24"/>
          <w:highlight w:val="none"/>
          <w:u w:val="single"/>
        </w:rPr>
        <w:t xml:space="preserve">   </w:t>
      </w:r>
      <w:r>
        <w:rPr>
          <w:rFonts w:hint="eastAsia" w:ascii="仿宋" w:eastAsia="仿宋" w:cs="Arial"/>
          <w:bCs/>
          <w:color w:val="auto"/>
          <w:sz w:val="24"/>
          <w:highlight w:val="none"/>
          <w:u w:val="single"/>
          <w:lang w:eastAsia="zh-CN"/>
        </w:rPr>
        <w:t>国企采购</w:t>
      </w:r>
      <w:r>
        <w:rPr>
          <w:rFonts w:ascii="仿宋" w:eastAsia="仿宋" w:cs="Arial"/>
          <w:bCs/>
          <w:color w:val="auto"/>
          <w:sz w:val="24"/>
          <w:highlight w:val="none"/>
          <w:u w:val="single"/>
        </w:rPr>
        <w:t xml:space="preserve">   </w:t>
      </w:r>
    </w:p>
    <w:p w14:paraId="7BC0DE67">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货物</w:t>
      </w:r>
      <w:r>
        <w:rPr>
          <w:rFonts w:ascii="仿宋" w:eastAsia="仿宋" w:cs="Arial"/>
          <w:b/>
          <w:bCs/>
          <w:color w:val="auto"/>
          <w:sz w:val="24"/>
          <w:highlight w:val="none"/>
          <w:u w:val="single"/>
        </w:rPr>
        <w:t xml:space="preserve">   </w:t>
      </w:r>
    </w:p>
    <w:p w14:paraId="13B20BA1">
      <w:pPr>
        <w:numPr>
          <w:ilvl w:val="0"/>
          <w:numId w:val="3"/>
        </w:numPr>
        <w:spacing w:line="360" w:lineRule="auto"/>
        <w:rPr>
          <w:rFonts w:hint="eastAsia"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3034C1B9">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7A5EE687">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注意事项：</w:t>
      </w:r>
    </w:p>
    <w:p w14:paraId="7306E4FA">
      <w:pPr>
        <w:spacing w:line="440" w:lineRule="exact"/>
        <w:ind w:firstLine="480" w:firstLineChars="200"/>
        <w:rPr>
          <w:rFonts w:hint="eastAsia" w:ascii="仿宋" w:eastAsia="仿宋" w:cs="Arial"/>
          <w:color w:val="auto"/>
          <w:sz w:val="24"/>
          <w:highlight w:val="none"/>
        </w:rPr>
      </w:pPr>
      <w:r>
        <w:rPr>
          <w:rFonts w:hint="eastAsia" w:ascii="仿宋" w:eastAsia="仿宋" w:cs="Arial"/>
          <w:color w:val="auto"/>
          <w:sz w:val="24"/>
          <w:highlight w:val="none"/>
          <w:lang w:val="en-US" w:eastAsia="zh-CN"/>
        </w:rPr>
        <w:t>1</w:t>
      </w:r>
      <w:r>
        <w:rPr>
          <w:rFonts w:hint="eastAsia" w:ascii="仿宋" w:eastAsia="仿宋" w:cs="Arial"/>
          <w:color w:val="auto"/>
          <w:sz w:val="24"/>
          <w:highlight w:val="none"/>
        </w:rPr>
        <w:t>、CA申领需要时间，请各潜在投标供应商及时办理和绑定。</w:t>
      </w:r>
    </w:p>
    <w:p w14:paraId="3DA2626F">
      <w:pPr>
        <w:spacing w:line="360" w:lineRule="exact"/>
        <w:ind w:left="0" w:firstLine="480" w:firstLineChars="200"/>
        <w:rPr>
          <w:rFonts w:hint="eastAsia" w:ascii="仿宋" w:eastAsia="仿宋" w:cs="Arial"/>
          <w:bCs/>
          <w:color w:val="auto"/>
          <w:sz w:val="24"/>
          <w:highlight w:val="none"/>
        </w:rPr>
      </w:pPr>
      <w:r>
        <w:rPr>
          <w:rFonts w:hint="eastAsia" w:ascii="仿宋" w:eastAsia="仿宋" w:cs="Arial"/>
          <w:bCs/>
          <w:color w:val="auto"/>
          <w:sz w:val="24"/>
          <w:highlight w:val="none"/>
          <w:lang w:val="en-US" w:eastAsia="zh-CN"/>
        </w:rPr>
        <w:t>2</w:t>
      </w:r>
      <w:r>
        <w:rPr>
          <w:rFonts w:ascii="仿宋" w:eastAsia="仿宋" w:cs="Arial"/>
          <w:bCs/>
          <w:color w:val="auto"/>
          <w:sz w:val="24"/>
          <w:highlight w:val="none"/>
        </w:rPr>
        <w:t>、</w:t>
      </w:r>
      <w:r>
        <w:rPr>
          <w:rFonts w:hint="eastAsia" w:ascii="仿宋" w:eastAsia="仿宋" w:cs="Arial"/>
          <w:bCs/>
          <w:color w:val="auto"/>
          <w:sz w:val="24"/>
          <w:highlight w:val="none"/>
        </w:rPr>
        <w:t>获取采购文件后不参加投标的供应商，须向采购代理机构提供书面说明。</w:t>
      </w:r>
    </w:p>
    <w:p w14:paraId="022E8D5D">
      <w:pPr>
        <w:spacing w:line="360" w:lineRule="exact"/>
        <w:ind w:left="0" w:firstLine="482" w:firstLineChars="200"/>
        <w:rPr>
          <w:rFonts w:hint="eastAsia" w:ascii="仿宋" w:eastAsia="仿宋"/>
          <w:color w:val="auto"/>
          <w:sz w:val="24"/>
          <w:highlight w:val="none"/>
        </w:rPr>
      </w:pPr>
      <w:r>
        <w:rPr>
          <w:rFonts w:hint="eastAsia" w:ascii="仿宋" w:eastAsia="仿宋"/>
          <w:b/>
          <w:bCs/>
          <w:color w:val="auto"/>
          <w:sz w:val="24"/>
          <w:highlight w:val="none"/>
          <w:lang w:val="en-US" w:eastAsia="zh-CN"/>
        </w:rPr>
        <w:t>3</w:t>
      </w:r>
      <w:r>
        <w:rPr>
          <w:rFonts w:ascii="仿宋" w:eastAsia="仿宋"/>
          <w:b/>
          <w:bCs/>
          <w:color w:val="auto"/>
          <w:sz w:val="24"/>
          <w:highlight w:val="none"/>
        </w:rPr>
        <w:t>、</w:t>
      </w:r>
      <w:r>
        <w:rPr>
          <w:rFonts w:hint="eastAsia" w:ascii="仿宋" w:eastAsia="仿宋"/>
          <w:b/>
          <w:bCs/>
          <w:color w:val="auto"/>
          <w:sz w:val="24"/>
          <w:highlight w:val="none"/>
        </w:rPr>
        <w:t>预留充足时间上传加密电子投标文件（建议提前一天，供应商解密电子投标文件前处于加密状态）。</w:t>
      </w:r>
    </w:p>
    <w:p w14:paraId="5EDEED83">
      <w:pPr>
        <w:spacing w:line="360" w:lineRule="auto"/>
        <w:ind w:left="0" w:firstLine="349" w:firstLineChars="150"/>
        <w:rPr>
          <w:rFonts w:hint="eastAsia"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2" w:name="_Hlt10553107"/>
      <w:bookmarkEnd w:id="32"/>
      <w:bookmarkStart w:id="33" w:name="_Hlt10553106"/>
      <w:bookmarkEnd w:id="33"/>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w:t>
      </w:r>
      <w:r>
        <w:rPr>
          <w:rFonts w:hint="eastAsia" w:ascii="仿宋" w:eastAsia="仿宋" w:cs="Arial"/>
          <w:bCs/>
          <w:color w:val="auto"/>
          <w:sz w:val="24"/>
          <w:highlight w:val="none"/>
          <w:lang w:eastAsia="zh-CN"/>
        </w:rPr>
        <w:t>乐采云平台</w:t>
      </w:r>
      <w:r>
        <w:rPr>
          <w:rFonts w:hint="eastAsia" w:ascii="仿宋" w:eastAsia="仿宋" w:cs="Arial"/>
          <w:bCs/>
          <w:color w:val="auto"/>
          <w:sz w:val="24"/>
          <w:highlight w:val="none"/>
        </w:rPr>
        <w:t>或在浙江政府采购网更正公告页面或越城区人民政府门户网站采购公告页面中下载。</w:t>
      </w:r>
    </w:p>
    <w:p w14:paraId="6288A47A">
      <w:pPr>
        <w:spacing w:line="360" w:lineRule="exact"/>
        <w:ind w:firstLine="482" w:firstLineChars="200"/>
        <w:rPr>
          <w:rFonts w:hint="eastAsia"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hint="eastAsia" w:ascii="仿宋" w:eastAsia="仿宋"/>
          <w:color w:val="auto"/>
          <w:sz w:val="24"/>
          <w:highlight w:val="none"/>
        </w:rPr>
        <w:t>（无需提交纸质资料现场审核）</w:t>
      </w:r>
      <w:r>
        <w:rPr>
          <w:rFonts w:hint="eastAsia" w:ascii="仿宋" w:eastAsia="仿宋"/>
          <w:b/>
          <w:color w:val="auto"/>
          <w:sz w:val="24"/>
          <w:highlight w:val="none"/>
        </w:rPr>
        <w:t>：</w:t>
      </w:r>
    </w:p>
    <w:p w14:paraId="0D541B57">
      <w:pPr>
        <w:spacing w:line="36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供应商可通过</w:t>
      </w:r>
      <w:r>
        <w:rPr>
          <w:rFonts w:hint="eastAsia" w:ascii="仿宋" w:eastAsia="仿宋"/>
          <w:color w:val="auto"/>
          <w:sz w:val="24"/>
          <w:highlight w:val="none"/>
          <w:lang w:eastAsia="zh-CN"/>
        </w:rPr>
        <w:t>乐采云平台</w:t>
      </w:r>
      <w:r>
        <w:rPr>
          <w:rFonts w:hint="eastAsia" w:ascii="仿宋" w:eastAsia="仿宋"/>
          <w:color w:val="auto"/>
          <w:sz w:val="24"/>
          <w:highlight w:val="none"/>
        </w:rPr>
        <w:t>（https://www.lecaiyun.com/）进行入驻申请，按规定审核后，登记加入</w:t>
      </w:r>
      <w:r>
        <w:rPr>
          <w:rFonts w:hint="eastAsia" w:ascii="仿宋" w:eastAsia="仿宋"/>
          <w:color w:val="auto"/>
          <w:sz w:val="24"/>
          <w:highlight w:val="none"/>
          <w:lang w:eastAsia="zh-CN"/>
        </w:rPr>
        <w:t>乐采云供应商库</w:t>
      </w:r>
      <w:r>
        <w:rPr>
          <w:rFonts w:hint="eastAsia" w:ascii="仿宋" w:eastAsia="仿宋"/>
          <w:color w:val="auto"/>
          <w:sz w:val="24"/>
          <w:highlight w:val="none"/>
        </w:rPr>
        <w:t>。</w:t>
      </w:r>
      <w:r>
        <w:rPr>
          <w:rFonts w:hint="eastAsia" w:ascii="仿宋" w:eastAsia="仿宋"/>
          <w:b/>
          <w:bCs/>
          <w:color w:val="auto"/>
          <w:sz w:val="24"/>
          <w:highlight w:val="none"/>
        </w:rPr>
        <w:t>入驻咨询电话：0575-89116928；</w:t>
      </w:r>
    </w:p>
    <w:p w14:paraId="7DE77211">
      <w:pPr>
        <w:spacing w:line="380" w:lineRule="exact"/>
        <w:rPr>
          <w:rFonts w:hint="eastAsia" w:ascii="仿宋" w:eastAsia="仿宋"/>
          <w:color w:val="auto"/>
          <w:highlight w:val="none"/>
        </w:rPr>
      </w:pPr>
    </w:p>
    <w:p w14:paraId="406BD62B">
      <w:pPr>
        <w:spacing w:line="380" w:lineRule="exact"/>
        <w:rPr>
          <w:rFonts w:hint="eastAsia" w:ascii="仿宋" w:eastAsia="仿宋"/>
          <w:color w:val="auto"/>
          <w:highlight w:val="none"/>
        </w:rPr>
      </w:pPr>
    </w:p>
    <w:p w14:paraId="0FF9C016">
      <w:pPr>
        <w:spacing w:line="380" w:lineRule="exact"/>
        <w:rPr>
          <w:rFonts w:hint="eastAsia" w:ascii="仿宋" w:eastAsia="仿宋"/>
          <w:color w:val="auto"/>
          <w:highlight w:val="none"/>
        </w:rPr>
      </w:pPr>
    </w:p>
    <w:p w14:paraId="048B098B">
      <w:pPr>
        <w:spacing w:line="380" w:lineRule="exact"/>
        <w:rPr>
          <w:rFonts w:hint="eastAsia" w:ascii="仿宋" w:eastAsia="仿宋"/>
          <w:color w:val="auto"/>
          <w:highlight w:val="none"/>
        </w:rPr>
      </w:pPr>
    </w:p>
    <w:p w14:paraId="1F9DB6C5">
      <w:pPr>
        <w:spacing w:line="380" w:lineRule="exact"/>
        <w:rPr>
          <w:rFonts w:hint="eastAsia" w:ascii="仿宋" w:eastAsia="仿宋"/>
          <w:color w:val="auto"/>
          <w:highlight w:val="none"/>
        </w:rPr>
      </w:pPr>
    </w:p>
    <w:p w14:paraId="3D0C077D">
      <w:pPr>
        <w:spacing w:line="380" w:lineRule="exact"/>
        <w:rPr>
          <w:rFonts w:hint="eastAsia" w:ascii="仿宋" w:eastAsia="仿宋"/>
          <w:color w:val="auto"/>
          <w:highlight w:val="none"/>
        </w:rPr>
      </w:pPr>
    </w:p>
    <w:p w14:paraId="3748B0E8">
      <w:pPr>
        <w:spacing w:line="380" w:lineRule="exact"/>
        <w:rPr>
          <w:rFonts w:hint="eastAsia" w:ascii="仿宋" w:eastAsia="仿宋"/>
          <w:color w:val="auto"/>
          <w:highlight w:val="none"/>
        </w:rPr>
      </w:pPr>
    </w:p>
    <w:p w14:paraId="1EDBF57E">
      <w:pPr>
        <w:spacing w:line="380" w:lineRule="exact"/>
        <w:rPr>
          <w:rFonts w:hint="eastAsia" w:ascii="仿宋" w:eastAsia="仿宋"/>
          <w:color w:val="auto"/>
          <w:highlight w:val="none"/>
        </w:rPr>
      </w:pPr>
    </w:p>
    <w:p w14:paraId="0192C871">
      <w:pPr>
        <w:spacing w:line="380" w:lineRule="exact"/>
        <w:rPr>
          <w:rFonts w:hint="eastAsia" w:ascii="仿宋" w:eastAsia="仿宋"/>
          <w:color w:val="auto"/>
          <w:highlight w:val="none"/>
        </w:rPr>
      </w:pPr>
    </w:p>
    <w:p w14:paraId="7A00FE8D">
      <w:pPr>
        <w:spacing w:line="380" w:lineRule="exact"/>
        <w:rPr>
          <w:rFonts w:hint="eastAsia" w:ascii="仿宋" w:eastAsia="仿宋"/>
          <w:color w:val="auto"/>
          <w:highlight w:val="none"/>
        </w:rPr>
      </w:pPr>
    </w:p>
    <w:p w14:paraId="0A26CE15">
      <w:pPr>
        <w:spacing w:line="380" w:lineRule="exact"/>
        <w:rPr>
          <w:rFonts w:hint="eastAsia" w:ascii="仿宋" w:eastAsia="仿宋"/>
          <w:color w:val="auto"/>
          <w:highlight w:val="none"/>
        </w:rPr>
      </w:pPr>
    </w:p>
    <w:p w14:paraId="1DF45727">
      <w:pPr>
        <w:pStyle w:val="3"/>
        <w:rPr>
          <w:rFonts w:hint="eastAsia" w:ascii="仿宋"/>
          <w:color w:val="auto"/>
          <w:highlight w:val="none"/>
        </w:rPr>
      </w:pPr>
      <w:bookmarkStart w:id="34" w:name="_Toc13472"/>
      <w:r>
        <w:rPr>
          <w:rFonts w:hint="eastAsia" w:ascii="仿宋"/>
          <w:color w:val="auto"/>
          <w:highlight w:val="none"/>
        </w:rPr>
        <w:t>第二章  投标人须知</w:t>
      </w:r>
      <w:bookmarkEnd w:id="34"/>
    </w:p>
    <w:p w14:paraId="709CDFC4">
      <w:pPr>
        <w:pStyle w:val="4"/>
        <w:rPr>
          <w:rFonts w:hint="eastAsia" w:ascii="仿宋"/>
          <w:color w:val="auto"/>
          <w:highlight w:val="none"/>
        </w:rPr>
      </w:pPr>
      <w:bookmarkStart w:id="35" w:name="_Toc2607"/>
      <w:r>
        <w:rPr>
          <w:rFonts w:hint="eastAsia" w:ascii="仿宋"/>
          <w:color w:val="auto"/>
          <w:highlight w:val="none"/>
        </w:rPr>
        <w:t>一、前附表</w:t>
      </w:r>
      <w:bookmarkEnd w:id="35"/>
    </w:p>
    <w:tbl>
      <w:tblPr>
        <w:tblStyle w:val="28"/>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2ED5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30ABDB7">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18BDE01">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内　　　　容</w:t>
            </w:r>
          </w:p>
        </w:tc>
      </w:tr>
      <w:tr w14:paraId="1322E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536FE94">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FB3D69A">
            <w:pPr>
              <w:spacing w:line="500" w:lineRule="exact"/>
              <w:rPr>
                <w:rFonts w:hint="eastAsia" w:ascii="仿宋" w:eastAsia="仿宋"/>
                <w:color w:val="auto"/>
                <w:sz w:val="24"/>
                <w:highlight w:val="none"/>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hAnsi="Times New Roman" w:eastAsia="仿宋" w:cs="Times New Roman"/>
                <w:color w:val="auto"/>
                <w:sz w:val="24"/>
                <w:highlight w:val="none"/>
                <w:u w:val="single"/>
              </w:rPr>
              <w:t xml:space="preserve"> </w:t>
            </w:r>
            <w:r>
              <w:rPr>
                <w:rFonts w:hint="eastAsia" w:ascii="仿宋" w:eastAsia="仿宋" w:cs="Times New Roman"/>
                <w:color w:val="auto"/>
                <w:sz w:val="24"/>
                <w:highlight w:val="none"/>
                <w:u w:val="single"/>
                <w:lang w:val="en-US" w:eastAsia="zh-CN"/>
              </w:rPr>
              <w:t>绍兴市越城区公用资产运营有限公司大气检测技术改造采购项目</w:t>
            </w:r>
            <w:r>
              <w:rPr>
                <w:rFonts w:hint="eastAsia" w:ascii="仿宋" w:hAnsi="Times New Roman" w:eastAsia="仿宋" w:cs="Times New Roman"/>
                <w:color w:val="auto"/>
                <w:sz w:val="24"/>
                <w:highlight w:val="none"/>
                <w:u w:val="single"/>
              </w:rPr>
              <w:t xml:space="preserve"> </w:t>
            </w:r>
          </w:p>
        </w:tc>
      </w:tr>
      <w:tr w14:paraId="25166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71D94C8">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8D1D788">
            <w:pPr>
              <w:autoSpaceDE w:val="0"/>
              <w:autoSpaceDN w:val="0"/>
              <w:spacing w:line="500" w:lineRule="exact"/>
              <w:textAlignment w:val="bottom"/>
              <w:rPr>
                <w:rFonts w:hint="eastAsia"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4050A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3613DCE">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6B5CE41">
            <w:pPr>
              <w:autoSpaceDE w:val="0"/>
              <w:autoSpaceDN w:val="0"/>
              <w:spacing w:line="500" w:lineRule="exact"/>
              <w:textAlignment w:val="bottom"/>
              <w:rPr>
                <w:rFonts w:hint="eastAsia" w:ascii="仿宋" w:eastAsia="仿宋" w:cs="Arial"/>
                <w:b/>
                <w:color w:val="auto"/>
                <w:sz w:val="24"/>
                <w:highlight w:val="none"/>
                <w:u w:val="singl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w:t>
            </w:r>
            <w:r>
              <w:rPr>
                <w:rFonts w:hint="eastAsia" w:ascii="仿宋" w:eastAsia="仿宋"/>
                <w:color w:val="auto"/>
                <w:sz w:val="24"/>
                <w:highlight w:val="none"/>
                <w:u w:val="single"/>
              </w:rPr>
              <w:t xml:space="preserve">    </w:t>
            </w:r>
          </w:p>
        </w:tc>
      </w:tr>
      <w:tr w14:paraId="5DAAA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FCCE4E3">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47EB74">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是，本项目投标人通过视频演示讲解，由投标人提前录制演示讲解内容，视频演示文件以U盘形式储存，密封包装并</w:t>
            </w:r>
            <w:r>
              <w:rPr>
                <w:rFonts w:hint="eastAsia" w:ascii="仿宋" w:hAnsi="Times New Roman" w:eastAsia="仿宋" w:cs="Times New Roman"/>
                <w:color w:val="auto"/>
                <w:sz w:val="24"/>
                <w:highlight w:val="none"/>
                <w:u w:val="single"/>
              </w:rPr>
              <w:t>标注投标供应商名称，与</w:t>
            </w:r>
            <w:r>
              <w:rPr>
                <w:rFonts w:hint="eastAsia" w:ascii="仿宋" w:eastAsia="仿宋"/>
                <w:color w:val="auto"/>
                <w:sz w:val="24"/>
                <w:highlight w:val="none"/>
                <w:u w:val="single"/>
              </w:rPr>
              <w:t xml:space="preserve">投标文件一同提交。未提供演示U盘，演示分按0分处理。视频演示U盘在评标时出现破损或者打不开等情况的，由投标人自行负责，同样演示分按0分处理。演示顺序以投标人递交投标文件的顺序为准。  </w:t>
            </w:r>
          </w:p>
        </w:tc>
      </w:tr>
      <w:tr w14:paraId="4D111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C37AD1F">
            <w:pPr>
              <w:spacing w:line="360" w:lineRule="auto"/>
              <w:jc w:val="center"/>
              <w:rPr>
                <w:rFonts w:hint="eastAsia" w:ascii="仿宋" w:eastAsia="仿宋"/>
                <w:b/>
                <w:color w:val="auto"/>
                <w:sz w:val="24"/>
                <w:highlight w:val="none"/>
              </w:rPr>
            </w:pPr>
            <w:r>
              <w:rPr>
                <w:rFonts w:hint="eastAsia" w:ascii="仿宋" w:eastAsia="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DAE75E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val="0"/>
              <w:autoSpaceDN w:val="0"/>
              <w:adjustRightInd/>
              <w:snapToGrid/>
              <w:ind w:left="0" w:firstLine="0"/>
              <w:contextualSpacing w:val="0"/>
              <w:textAlignment w:val="bottom"/>
              <w:rPr>
                <w:rFonts w:hint="eastAsia" w:ascii="仿宋" w:eastAsia="仿宋" w:cs="Arial"/>
                <w:b/>
                <w:color w:val="auto"/>
                <w:sz w:val="24"/>
                <w:highlight w:val="none"/>
              </w:rPr>
            </w:pPr>
            <w:r>
              <w:rPr>
                <w:rFonts w:hint="eastAsia" w:ascii="仿宋" w:eastAsia="仿宋"/>
                <w:b/>
                <w:color w:val="auto"/>
                <w:sz w:val="24"/>
                <w:highlight w:val="none"/>
              </w:rPr>
              <w:t>是否组织现场踏勘：</w:t>
            </w:r>
            <w:r>
              <w:rPr>
                <w:rFonts w:hint="eastAsia" w:ascii="仿宋" w:eastAsia="仿宋"/>
                <w:b/>
                <w:color w:val="auto"/>
                <w:sz w:val="24"/>
                <w:highlight w:val="none"/>
                <w:u w:val="single"/>
              </w:rPr>
              <w:t xml:space="preserve">    </w:t>
            </w:r>
            <w:r>
              <w:rPr>
                <w:rFonts w:hint="eastAsia" w:ascii="仿宋" w:eastAsia="仿宋"/>
                <w:caps w:val="0"/>
                <w:smallCaps w:val="0"/>
                <w:snapToGrid/>
                <w:vanish w:val="0"/>
                <w:color w:val="auto"/>
                <w:sz w:val="24"/>
                <w:szCs w:val="24"/>
                <w:highlight w:val="none"/>
                <w:u w:val="single"/>
                <w:vertAlign w:val="baseline"/>
              </w:rPr>
              <w:t>（否）</w:t>
            </w:r>
            <w:r>
              <w:rPr>
                <w:rFonts w:hint="eastAsia" w:ascii="仿宋" w:eastAsia="仿宋"/>
                <w:color w:val="auto"/>
                <w:sz w:val="24"/>
                <w:highlight w:val="none"/>
                <w:u w:val="single"/>
              </w:rPr>
              <w:t xml:space="preserve"> </w:t>
            </w:r>
            <w:r>
              <w:rPr>
                <w:rFonts w:hint="eastAsia" w:ascii="仿宋" w:eastAsia="仿宋"/>
                <w:b/>
                <w:color w:val="auto"/>
                <w:sz w:val="24"/>
                <w:highlight w:val="none"/>
                <w:u w:val="single"/>
              </w:rPr>
              <w:t xml:space="preserve">  </w:t>
            </w:r>
            <w:r>
              <w:rPr>
                <w:rFonts w:hint="eastAsia" w:ascii="仿宋" w:eastAsia="仿宋"/>
                <w:color w:val="auto"/>
                <w:sz w:val="24"/>
                <w:highlight w:val="none"/>
                <w:u w:val="single"/>
              </w:rPr>
              <w:t xml:space="preserve"> </w:t>
            </w:r>
            <w:r>
              <w:rPr>
                <w:rFonts w:hint="eastAsia" w:ascii="仿宋" w:eastAsia="仿宋"/>
                <w:b/>
                <w:color w:val="auto"/>
                <w:sz w:val="24"/>
                <w:highlight w:val="none"/>
                <w:u w:val="single"/>
              </w:rPr>
              <w:t xml:space="preserve">  </w:t>
            </w:r>
            <w:r>
              <w:rPr>
                <w:rFonts w:hint="eastAsia" w:ascii="仿宋" w:eastAsia="仿宋"/>
                <w:b/>
                <w:color w:val="auto"/>
                <w:sz w:val="24"/>
                <w:highlight w:val="none"/>
              </w:rPr>
              <w:t xml:space="preserve"> </w:t>
            </w:r>
          </w:p>
        </w:tc>
      </w:tr>
      <w:tr w14:paraId="56495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FC1AE3F">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195276D">
            <w:pPr>
              <w:spacing w:line="500" w:lineRule="exact"/>
              <w:rPr>
                <w:rFonts w:hint="eastAsia"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56BCF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D0CA4D0">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6D9065D">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履约保证金及缴退时间：</w:t>
            </w:r>
            <w:r>
              <w:rPr>
                <w:rFonts w:hint="eastAsia" w:ascii="仿宋" w:eastAsia="仿宋"/>
                <w:color w:val="auto"/>
                <w:sz w:val="24"/>
                <w:highlight w:val="none"/>
                <w:u w:val="single"/>
              </w:rPr>
              <w:t xml:space="preserve">  中标合同金额的</w:t>
            </w:r>
            <w:r>
              <w:rPr>
                <w:rFonts w:ascii="仿宋" w:eastAsia="仿宋"/>
                <w:color w:val="auto"/>
                <w:sz w:val="24"/>
                <w:highlight w:val="none"/>
                <w:u w:val="single"/>
              </w:rPr>
              <w:t>1</w:t>
            </w:r>
            <w:r>
              <w:rPr>
                <w:rFonts w:hint="eastAsia" w:ascii="仿宋" w:eastAsia="仿宋"/>
                <w:color w:val="auto"/>
                <w:sz w:val="24"/>
                <w:highlight w:val="none"/>
                <w:u w:val="single"/>
              </w:rPr>
              <w:t>%</w:t>
            </w:r>
            <w:r>
              <w:rPr>
                <w:rFonts w:hint="eastAsia" w:ascii="仿宋" w:eastAsia="仿宋"/>
                <w:caps w:val="0"/>
                <w:smallCaps w:val="0"/>
                <w:snapToGrid/>
                <w:vanish w:val="0"/>
                <w:color w:val="auto"/>
                <w:sz w:val="24"/>
                <w:szCs w:val="24"/>
                <w:highlight w:val="none"/>
                <w:u w:val="single"/>
                <w:vertAlign w:val="baseline"/>
              </w:rPr>
              <w:t>，</w:t>
            </w:r>
            <w:r>
              <w:rPr>
                <w:rFonts w:hint="eastAsia" w:ascii="仿宋" w:eastAsia="仿宋"/>
                <w:caps w:val="0"/>
                <w:smallCaps w:val="0"/>
                <w:snapToGrid/>
                <w:vanish w:val="0"/>
                <w:color w:val="auto"/>
                <w:sz w:val="24"/>
                <w:szCs w:val="24"/>
                <w:highlight w:val="none"/>
                <w:u w:val="single"/>
                <w:vertAlign w:val="baseline"/>
                <w:lang w:val="en-US" w:eastAsia="zh-CN"/>
              </w:rPr>
              <w:t>全部货物验收完成</w:t>
            </w:r>
            <w:r>
              <w:rPr>
                <w:rFonts w:hint="eastAsia" w:ascii="仿宋" w:eastAsia="仿宋"/>
                <w:color w:val="auto"/>
                <w:sz w:val="24"/>
                <w:highlight w:val="none"/>
                <w:u w:val="single"/>
                <w:lang w:val="en-US" w:eastAsia="zh-CN"/>
              </w:rPr>
              <w:t>后退还。</w:t>
            </w:r>
            <w:r>
              <w:rPr>
                <w:rFonts w:hint="eastAsia" w:ascii="仿宋" w:eastAsia="仿宋"/>
                <w:color w:val="auto"/>
                <w:sz w:val="24"/>
                <w:highlight w:val="none"/>
                <w:u w:val="single"/>
              </w:rPr>
              <w:t xml:space="preserve">    </w:t>
            </w:r>
          </w:p>
          <w:p w14:paraId="6ADA4563">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0CC02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D21F039">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23902DE">
            <w:pPr>
              <w:snapToGrid w:val="0"/>
              <w:jc w:val="left"/>
              <w:rPr>
                <w:rFonts w:hint="default" w:ascii="仿宋" w:eastAsia="仿宋"/>
                <w:color w:val="auto"/>
                <w:sz w:val="24"/>
                <w:highlight w:val="none"/>
                <w:lang w:val="en-US" w:eastAsia="zh-CN"/>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分包</w:t>
            </w:r>
            <w:r>
              <w:rPr>
                <w:rFonts w:hint="eastAsia" w:ascii="仿宋" w:eastAsia="仿宋"/>
                <w:color w:val="auto"/>
                <w:sz w:val="24"/>
                <w:highlight w:val="none"/>
                <w:lang w:eastAsia="zh-CN"/>
              </w:rPr>
              <w:t>，</w:t>
            </w:r>
            <w:r>
              <w:rPr>
                <w:rFonts w:hint="eastAsia" w:ascii="仿宋" w:eastAsia="仿宋"/>
                <w:color w:val="auto"/>
                <w:sz w:val="24"/>
                <w:highlight w:val="none"/>
                <w:u w:val="none"/>
              </w:rPr>
              <w:t xml:space="preserve"> 不允许</w:t>
            </w:r>
            <w:r>
              <w:rPr>
                <w:rFonts w:hint="eastAsia" w:ascii="仿宋" w:eastAsia="仿宋"/>
                <w:color w:val="auto"/>
                <w:sz w:val="24"/>
                <w:highlight w:val="none"/>
              </w:rPr>
              <w:t>转包。</w:t>
            </w:r>
          </w:p>
        </w:tc>
      </w:tr>
      <w:tr w14:paraId="0A3C1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EEAE1EE">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1FFF78F">
            <w:pPr>
              <w:snapToGrid w:val="0"/>
              <w:spacing w:line="360" w:lineRule="exact"/>
              <w:jc w:val="left"/>
              <w:rPr>
                <w:rFonts w:hint="eastAsia" w:ascii="仿宋" w:hAnsi="仿宋" w:eastAsia="仿宋" w:cs="仿宋"/>
                <w:color w:val="auto"/>
                <w:sz w:val="24"/>
                <w:szCs w:val="24"/>
                <w:highlight w:val="none"/>
                <w:shd w:val="clear" w:color="auto" w:fill="FFFFFF"/>
              </w:rPr>
            </w:pPr>
            <w:r>
              <w:rPr>
                <w:rFonts w:hint="eastAsia" w:ascii="仿宋" w:eastAsia="仿宋" w:cs="仿宋_GB2312"/>
                <w:b/>
                <w:bCs/>
                <w:color w:val="auto"/>
                <w:sz w:val="24"/>
                <w:highlight w:val="none"/>
              </w:rPr>
              <w:t>采购代理服务费：</w:t>
            </w:r>
            <w:r>
              <w:rPr>
                <w:rFonts w:hint="eastAsia" w:ascii="仿宋" w:eastAsia="仿宋" w:cs="仿宋_GB2312"/>
                <w:b/>
                <w:bCs/>
                <w:color w:val="auto"/>
                <w:sz w:val="24"/>
                <w:highlight w:val="none"/>
                <w:u w:val="single"/>
              </w:rPr>
              <w:t xml:space="preserve">  </w:t>
            </w:r>
            <w:r>
              <w:rPr>
                <w:rFonts w:hint="eastAsia" w:ascii="仿宋" w:hAnsi="仿宋" w:eastAsia="仿宋" w:cs="仿宋"/>
                <w:color w:val="auto"/>
                <w:sz w:val="24"/>
                <w:szCs w:val="24"/>
                <w:highlight w:val="none"/>
                <w:shd w:val="clear" w:color="auto" w:fill="FFFFFF"/>
              </w:rPr>
              <w:t>中标</w:t>
            </w:r>
            <w:r>
              <w:rPr>
                <w:rFonts w:hint="eastAsia" w:ascii="仿宋" w:hAnsi="仿宋" w:eastAsia="仿宋" w:cs="仿宋"/>
                <w:color w:val="auto"/>
                <w:sz w:val="24"/>
                <w:szCs w:val="24"/>
                <w:highlight w:val="none"/>
                <w:shd w:val="clear" w:color="auto" w:fill="FFFFFF"/>
                <w:lang w:val="en-US" w:eastAsia="zh-CN"/>
              </w:rPr>
              <w:t>人</w:t>
            </w:r>
            <w:r>
              <w:rPr>
                <w:rFonts w:hint="eastAsia" w:ascii="仿宋" w:hAnsi="仿宋" w:eastAsia="仿宋" w:cs="仿宋"/>
                <w:color w:val="auto"/>
                <w:sz w:val="24"/>
                <w:szCs w:val="24"/>
                <w:highlight w:val="none"/>
                <w:shd w:val="clear" w:color="auto" w:fill="FFFFFF"/>
              </w:rPr>
              <w:t>需支付以下费用，并在投标报价中自行考虑：</w:t>
            </w:r>
          </w:p>
          <w:p w14:paraId="3498E0D0">
            <w:pPr>
              <w:numPr>
                <w:ilvl w:val="0"/>
                <w:numId w:val="4"/>
              </w:numPr>
              <w:spacing w:line="360" w:lineRule="exact"/>
              <w:rPr>
                <w:rFonts w:hint="eastAsia" w:ascii="仿宋" w:hAnsi="仿宋" w:eastAsia="仿宋" w:cs="仿宋"/>
                <w:color w:val="auto"/>
                <w:sz w:val="24"/>
                <w:highlight w:val="none"/>
                <w:shd w:val="clear" w:color="auto" w:fill="FFFFFF"/>
              </w:rPr>
            </w:pPr>
            <w:bookmarkStart w:id="36" w:name="OLE_LINK5"/>
            <w:r>
              <w:rPr>
                <w:rFonts w:hint="eastAsia" w:ascii="仿宋" w:hAnsi="仿宋" w:eastAsia="仿宋" w:cs="仿宋"/>
                <w:b w:val="0"/>
                <w:bCs w:val="0"/>
                <w:color w:val="auto"/>
                <w:sz w:val="24"/>
                <w:highlight w:val="none"/>
              </w:rPr>
              <w:t>采购代理服务费</w:t>
            </w:r>
            <w:r>
              <w:rPr>
                <w:rFonts w:hint="eastAsia" w:ascii="仿宋" w:hAnsi="仿宋" w:eastAsia="仿宋" w:cs="仿宋"/>
                <w:color w:val="auto"/>
                <w:sz w:val="24"/>
                <w:szCs w:val="24"/>
                <w:highlight w:val="none"/>
                <w:shd w:val="clear" w:color="auto" w:fill="FFFFFF"/>
              </w:rPr>
              <w:t>：</w:t>
            </w:r>
            <w:r>
              <w:rPr>
                <w:rFonts w:hint="eastAsia" w:ascii="仿宋" w:hAnsi="仿宋" w:eastAsia="仿宋" w:cs="仿宋"/>
                <w:color w:val="auto"/>
                <w:sz w:val="24"/>
                <w:szCs w:val="24"/>
                <w:highlight w:val="none"/>
                <w:shd w:val="clear" w:color="auto" w:fill="FFFFFF"/>
                <w:lang w:val="en-US" w:eastAsia="zh-CN"/>
              </w:rPr>
              <w:t>以中标价为计费基数，按下表费率以差</w:t>
            </w:r>
            <w:bookmarkStart w:id="101" w:name="_GoBack"/>
            <w:bookmarkEnd w:id="101"/>
            <w:r>
              <w:rPr>
                <w:rFonts w:hint="eastAsia" w:ascii="仿宋" w:hAnsi="仿宋" w:eastAsia="仿宋" w:cs="仿宋"/>
                <w:color w:val="auto"/>
                <w:sz w:val="24"/>
                <w:szCs w:val="24"/>
                <w:highlight w:val="none"/>
                <w:shd w:val="clear" w:color="auto" w:fill="FFFFFF"/>
                <w:lang w:val="en-US" w:eastAsia="zh-CN"/>
              </w:rPr>
              <w:t>额定率累进法计算再</w:t>
            </w:r>
            <w:r>
              <w:rPr>
                <w:rFonts w:hint="eastAsia" w:ascii="仿宋" w:hAnsi="仿宋" w:eastAsia="仿宋" w:cs="仿宋"/>
                <w:color w:val="auto"/>
                <w:sz w:val="24"/>
                <w:highlight w:val="none"/>
                <w:shd w:val="clear" w:color="auto" w:fill="FFFFFF"/>
              </w:rPr>
              <w:t>×80%×</w:t>
            </w:r>
            <w:r>
              <w:rPr>
                <w:rFonts w:hint="eastAsia" w:ascii="仿宋" w:hAnsi="仿宋" w:eastAsia="仿宋" w:cs="仿宋"/>
                <w:color w:val="auto"/>
                <w:sz w:val="24"/>
                <w:highlight w:val="none"/>
                <w:shd w:val="clear" w:color="auto" w:fill="FFFFFF"/>
                <w:lang w:eastAsia="zh-CN"/>
              </w:rPr>
              <w:t>（</w:t>
            </w:r>
            <w:r>
              <w:rPr>
                <w:rFonts w:hint="eastAsia" w:ascii="仿宋" w:hAnsi="仿宋" w:eastAsia="仿宋" w:cs="仿宋"/>
                <w:color w:val="auto"/>
                <w:sz w:val="24"/>
                <w:highlight w:val="none"/>
                <w:shd w:val="clear" w:color="auto" w:fill="FFFFFF"/>
                <w:lang w:val="en-US" w:eastAsia="zh-CN"/>
              </w:rPr>
              <w:t>90.5%</w:t>
            </w:r>
            <w:r>
              <w:rPr>
                <w:rFonts w:hint="eastAsia" w:ascii="仿宋" w:hAnsi="仿宋" w:eastAsia="仿宋" w:cs="仿宋"/>
                <w:color w:val="auto"/>
                <w:sz w:val="24"/>
                <w:highlight w:val="none"/>
                <w:shd w:val="clear" w:color="auto" w:fill="FFFFFF"/>
                <w:lang w:eastAsia="zh-CN"/>
              </w:rPr>
              <w:t>）</w:t>
            </w:r>
            <w:r>
              <w:rPr>
                <w:rFonts w:hint="eastAsia" w:ascii="仿宋" w:hAnsi="仿宋" w:eastAsia="仿宋" w:cs="仿宋"/>
                <w:color w:val="auto"/>
                <w:sz w:val="24"/>
                <w:szCs w:val="24"/>
                <w:highlight w:val="none"/>
                <w:shd w:val="clear" w:color="auto" w:fill="FFFFFF"/>
                <w:lang w:val="en-US" w:eastAsia="zh-CN"/>
              </w:rPr>
              <w:t>。</w:t>
            </w:r>
          </w:p>
          <w:tbl>
            <w:tblPr>
              <w:tblStyle w:val="29"/>
              <w:tblW w:w="54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10"/>
              <w:gridCol w:w="2426"/>
            </w:tblGrid>
            <w:tr w14:paraId="049A5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10" w:type="dxa"/>
                  <w:vAlign w:val="center"/>
                </w:tcPr>
                <w:p w14:paraId="7DC5F19E">
                  <w:pPr>
                    <w:numPr>
                      <w:ilvl w:val="0"/>
                      <w:numId w:val="0"/>
                    </w:numPr>
                    <w:spacing w:line="360" w:lineRule="exact"/>
                    <w:jc w:val="center"/>
                    <w:rPr>
                      <w:rFonts w:hint="eastAsia"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中标金额（万元）</w:t>
                  </w:r>
                </w:p>
              </w:tc>
              <w:tc>
                <w:tcPr>
                  <w:tcW w:w="2426" w:type="dxa"/>
                  <w:vAlign w:val="center"/>
                </w:tcPr>
                <w:p w14:paraId="737F5128">
                  <w:pPr>
                    <w:numPr>
                      <w:ilvl w:val="0"/>
                      <w:numId w:val="0"/>
                    </w:numPr>
                    <w:spacing w:line="360" w:lineRule="exact"/>
                    <w:jc w:val="center"/>
                    <w:rPr>
                      <w:rFonts w:hint="eastAsia"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收费费率</w:t>
                  </w:r>
                </w:p>
              </w:tc>
            </w:tr>
            <w:tr w14:paraId="235BB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10" w:type="dxa"/>
                  <w:vAlign w:val="center"/>
                </w:tcPr>
                <w:p w14:paraId="57679067">
                  <w:pPr>
                    <w:numPr>
                      <w:ilvl w:val="0"/>
                      <w:numId w:val="0"/>
                    </w:numPr>
                    <w:spacing w:line="360" w:lineRule="exact"/>
                    <w:jc w:val="center"/>
                    <w:rPr>
                      <w:rFonts w:hint="eastAsia"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100及以下部分</w:t>
                  </w:r>
                </w:p>
              </w:tc>
              <w:tc>
                <w:tcPr>
                  <w:tcW w:w="2426" w:type="dxa"/>
                  <w:vAlign w:val="center"/>
                </w:tcPr>
                <w:p w14:paraId="1C2D4A87">
                  <w:pPr>
                    <w:numPr>
                      <w:ilvl w:val="0"/>
                      <w:numId w:val="0"/>
                    </w:numPr>
                    <w:spacing w:line="360" w:lineRule="exact"/>
                    <w:jc w:val="center"/>
                    <w:rPr>
                      <w:rFonts w:hint="eastAsia"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1.5%</w:t>
                  </w:r>
                </w:p>
              </w:tc>
            </w:tr>
            <w:tr w14:paraId="3E62F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10" w:type="dxa"/>
                  <w:vAlign w:val="center"/>
                </w:tcPr>
                <w:p w14:paraId="44142000">
                  <w:pPr>
                    <w:numPr>
                      <w:ilvl w:val="0"/>
                      <w:numId w:val="0"/>
                    </w:numPr>
                    <w:spacing w:line="360" w:lineRule="exact"/>
                    <w:jc w:val="center"/>
                    <w:rPr>
                      <w:rFonts w:hint="eastAsia"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100-500部分</w:t>
                  </w:r>
                </w:p>
              </w:tc>
              <w:tc>
                <w:tcPr>
                  <w:tcW w:w="2426" w:type="dxa"/>
                  <w:vAlign w:val="center"/>
                </w:tcPr>
                <w:p w14:paraId="1BA66F51">
                  <w:pPr>
                    <w:numPr>
                      <w:ilvl w:val="0"/>
                      <w:numId w:val="0"/>
                    </w:numPr>
                    <w:spacing w:line="360" w:lineRule="exact"/>
                    <w:jc w:val="center"/>
                    <w:rPr>
                      <w:rFonts w:hint="eastAsia"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1.1%</w:t>
                  </w:r>
                </w:p>
              </w:tc>
            </w:tr>
            <w:tr w14:paraId="71495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10" w:type="dxa"/>
                  <w:vAlign w:val="center"/>
                </w:tcPr>
                <w:p w14:paraId="79ABB023">
                  <w:pPr>
                    <w:numPr>
                      <w:ilvl w:val="0"/>
                      <w:numId w:val="0"/>
                    </w:numPr>
                    <w:spacing w:line="360" w:lineRule="exact"/>
                    <w:jc w:val="center"/>
                    <w:rPr>
                      <w:rFonts w:hint="default"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500-1000</w:t>
                  </w:r>
                </w:p>
              </w:tc>
              <w:tc>
                <w:tcPr>
                  <w:tcW w:w="2426" w:type="dxa"/>
                  <w:vAlign w:val="center"/>
                </w:tcPr>
                <w:p w14:paraId="3C126003">
                  <w:pPr>
                    <w:numPr>
                      <w:ilvl w:val="0"/>
                      <w:numId w:val="0"/>
                    </w:numPr>
                    <w:spacing w:line="360" w:lineRule="exact"/>
                    <w:jc w:val="center"/>
                    <w:rPr>
                      <w:rFonts w:hint="default" w:ascii="仿宋" w:hAnsi="仿宋" w:eastAsia="仿宋" w:cs="仿宋"/>
                      <w:color w:val="auto"/>
                      <w:sz w:val="24"/>
                      <w:highlight w:val="none"/>
                      <w:shd w:val="clear" w:color="auto" w:fill="FFFFFF"/>
                      <w:vertAlign w:val="baseline"/>
                      <w:lang w:val="en-US" w:eastAsia="zh-CN"/>
                    </w:rPr>
                  </w:pPr>
                  <w:r>
                    <w:rPr>
                      <w:rFonts w:hint="eastAsia" w:ascii="仿宋" w:hAnsi="仿宋" w:eastAsia="仿宋" w:cs="仿宋"/>
                      <w:color w:val="auto"/>
                      <w:sz w:val="24"/>
                      <w:highlight w:val="none"/>
                      <w:shd w:val="clear" w:color="auto" w:fill="FFFFFF"/>
                      <w:vertAlign w:val="baseline"/>
                      <w:lang w:val="en-US" w:eastAsia="zh-CN"/>
                    </w:rPr>
                    <w:t>0.8%</w:t>
                  </w:r>
                </w:p>
              </w:tc>
            </w:tr>
            <w:bookmarkEnd w:id="36"/>
          </w:tbl>
          <w:p w14:paraId="1DBEEC1B">
            <w:pPr>
              <w:spacing w:line="500" w:lineRule="exact"/>
              <w:jc w:val="left"/>
              <w:rPr>
                <w:rFonts w:hint="eastAsia" w:ascii="仿宋" w:eastAsia="仿宋" w:cs="仿宋_GB2312"/>
                <w:color w:val="auto"/>
                <w:sz w:val="24"/>
                <w:highlight w:val="none"/>
              </w:rPr>
            </w:pPr>
            <w:r>
              <w:rPr>
                <w:rFonts w:hint="eastAsia" w:ascii="仿宋" w:hAnsi="仿宋" w:eastAsia="仿宋" w:cs="仿宋"/>
                <w:color w:val="auto"/>
                <w:sz w:val="24"/>
                <w:szCs w:val="24"/>
                <w:highlight w:val="none"/>
                <w:shd w:val="clear" w:color="auto" w:fill="FFFFFF"/>
              </w:rPr>
              <w:t>（2）招标代理服务费的交纳方式：用银行支票、汇票、电汇、现金等付款方式直接交纳中标服务费。</w:t>
            </w:r>
          </w:p>
        </w:tc>
      </w:tr>
      <w:tr w14:paraId="1DFEC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5F589D6">
            <w:pPr>
              <w:spacing w:line="340" w:lineRule="exact"/>
              <w:jc w:val="center"/>
              <w:rPr>
                <w:rFonts w:ascii="仿宋" w:eastAsia="仿宋"/>
                <w:color w:val="auto"/>
                <w:sz w:val="24"/>
                <w:highlight w:val="none"/>
              </w:rPr>
            </w:pPr>
            <w:r>
              <w:rPr>
                <w:rFonts w:ascii="仿宋" w:eastAsia="仿宋"/>
                <w:color w:val="auto"/>
                <w:sz w:val="24"/>
                <w:highlight w:val="none"/>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12734D3">
            <w:pPr>
              <w:snapToGrid w:val="0"/>
              <w:jc w:val="left"/>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本项目采购标的（货物部分）所属行业：</w:t>
            </w:r>
          </w:p>
          <w:tbl>
            <w:tblPr>
              <w:tblStyle w:val="28"/>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8"/>
              <w:gridCol w:w="2367"/>
            </w:tblGrid>
            <w:tr w14:paraId="5A864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4DA48A1A">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采购标的名称</w:t>
                  </w:r>
                </w:p>
              </w:tc>
              <w:tc>
                <w:tcPr>
                  <w:tcW w:w="2367" w:type="dxa"/>
                  <w:noWrap w:val="0"/>
                  <w:vAlign w:val="center"/>
                </w:tcPr>
                <w:p w14:paraId="3A312903">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所属行业</w:t>
                  </w:r>
                </w:p>
              </w:tc>
            </w:tr>
            <w:tr w14:paraId="70E1C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1C3EE9C5">
                  <w:pPr>
                    <w:spacing w:before="100" w:beforeAutospacing="1" w:after="100" w:afterAutospacing="1"/>
                    <w:jc w:val="center"/>
                    <w:rPr>
                      <w:rFonts w:hint="eastAsia" w:ascii="仿宋" w:hAnsi="仿宋" w:eastAsia="仿宋" w:cs="仿宋"/>
                      <w:color w:val="auto"/>
                      <w:sz w:val="24"/>
                      <w:szCs w:val="24"/>
                      <w:highlight w:val="none"/>
                      <w:shd w:val="clear" w:color="auto" w:fill="FFFFFF"/>
                    </w:rPr>
                  </w:pPr>
                  <w:r>
                    <w:rPr>
                      <w:rFonts w:hint="eastAsia" w:ascii="仿宋" w:eastAsia="仿宋" w:cs="仿宋"/>
                      <w:color w:val="auto"/>
                      <w:sz w:val="24"/>
                      <w:highlight w:val="none"/>
                      <w:lang w:bidi="th-TH"/>
                    </w:rPr>
                    <w:t>VOCs飞行时间质谱仪</w:t>
                  </w:r>
                  <w:r>
                    <w:rPr>
                      <w:rFonts w:hint="eastAsia" w:ascii="仿宋" w:eastAsia="仿宋" w:cs="仿宋"/>
                      <w:color w:val="auto"/>
                      <w:sz w:val="24"/>
                      <w:highlight w:val="none"/>
                      <w:lang w:eastAsia="zh-CN" w:bidi="th-TH"/>
                    </w:rPr>
                    <w:t>（</w:t>
                  </w:r>
                  <w:r>
                    <w:rPr>
                      <w:rFonts w:hint="eastAsia" w:ascii="仿宋" w:eastAsia="仿宋" w:cs="仿宋"/>
                      <w:color w:val="auto"/>
                      <w:sz w:val="24"/>
                      <w:highlight w:val="none"/>
                      <w:lang w:val="en-US" w:eastAsia="zh-CN" w:bidi="th-TH"/>
                    </w:rPr>
                    <w:t>核心产品</w:t>
                  </w:r>
                  <w:r>
                    <w:rPr>
                      <w:rFonts w:hint="eastAsia" w:ascii="仿宋" w:eastAsia="仿宋" w:cs="仿宋"/>
                      <w:color w:val="auto"/>
                      <w:sz w:val="24"/>
                      <w:highlight w:val="none"/>
                      <w:lang w:eastAsia="zh-CN" w:bidi="th-TH"/>
                    </w:rPr>
                    <w:t>）</w:t>
                  </w:r>
                </w:p>
              </w:tc>
              <w:tc>
                <w:tcPr>
                  <w:tcW w:w="2367" w:type="dxa"/>
                  <w:noWrap w:val="0"/>
                  <w:vAlign w:val="center"/>
                </w:tcPr>
                <w:p w14:paraId="64ED665E">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6F42B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359AB802">
                  <w:pPr>
                    <w:spacing w:before="100" w:beforeAutospacing="1" w:after="100" w:afterAutospacing="1"/>
                    <w:jc w:val="center"/>
                    <w:rPr>
                      <w:rFonts w:hint="eastAsia" w:ascii="仿宋" w:hAnsi="仿宋" w:eastAsia="仿宋" w:cs="仿宋"/>
                      <w:color w:val="auto"/>
                      <w:sz w:val="24"/>
                      <w:szCs w:val="24"/>
                      <w:highlight w:val="none"/>
                      <w:shd w:val="clear" w:color="auto" w:fill="FFFFFF"/>
                      <w:lang w:eastAsia="zh-CN"/>
                    </w:rPr>
                  </w:pPr>
                  <w:r>
                    <w:rPr>
                      <w:rFonts w:hint="eastAsia" w:ascii="仿宋" w:hAnsi="仿宋" w:eastAsia="仿宋" w:cs="仿宋"/>
                      <w:color w:val="auto"/>
                      <w:sz w:val="24"/>
                      <w:highlight w:val="none"/>
                      <w:lang w:val="en-US" w:eastAsia="zh-CN" w:bidi="th-TH"/>
                    </w:rPr>
                    <w:t>颗粒物监测仪（PM2.5）</w:t>
                  </w:r>
                </w:p>
              </w:tc>
              <w:tc>
                <w:tcPr>
                  <w:tcW w:w="2367" w:type="dxa"/>
                  <w:noWrap w:val="0"/>
                  <w:vAlign w:val="center"/>
                </w:tcPr>
                <w:p w14:paraId="2F91AA30">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6621C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068D3D00">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颗粒物监测仪（PM10）</w:t>
                  </w:r>
                </w:p>
              </w:tc>
              <w:tc>
                <w:tcPr>
                  <w:tcW w:w="2367" w:type="dxa"/>
                  <w:noWrap w:val="0"/>
                  <w:vAlign w:val="center"/>
                </w:tcPr>
                <w:p w14:paraId="3442BD87">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14F72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4371FA3D">
                  <w:pPr>
                    <w:spacing w:before="100" w:beforeAutospacing="1" w:after="100" w:afterAutospacing="1"/>
                    <w:jc w:val="center"/>
                    <w:rPr>
                      <w:rFonts w:hint="eastAsia" w:ascii="仿宋" w:hAnsi="仿宋" w:eastAsia="仿宋" w:cs="仿宋"/>
                      <w:color w:val="auto"/>
                      <w:sz w:val="24"/>
                      <w:szCs w:val="24"/>
                      <w:highlight w:val="none"/>
                      <w:shd w:val="clear" w:color="auto" w:fill="FFFFFF"/>
                      <w:lang w:eastAsia="zh-CN"/>
                    </w:rPr>
                  </w:pPr>
                  <w:r>
                    <w:rPr>
                      <w:rFonts w:hint="eastAsia" w:ascii="仿宋" w:hAnsi="仿宋" w:eastAsia="仿宋" w:cs="仿宋"/>
                      <w:color w:val="auto"/>
                      <w:sz w:val="24"/>
                      <w:highlight w:val="none"/>
                      <w:lang w:val="en-US" w:eastAsia="zh-CN" w:bidi="th-TH"/>
                    </w:rPr>
                    <w:t>氮氧化物监测仪</w:t>
                  </w:r>
                </w:p>
              </w:tc>
              <w:tc>
                <w:tcPr>
                  <w:tcW w:w="2367" w:type="dxa"/>
                  <w:noWrap w:val="0"/>
                  <w:vAlign w:val="center"/>
                </w:tcPr>
                <w:p w14:paraId="05CF80AF">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789A5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00C4DC5F">
                  <w:pPr>
                    <w:spacing w:before="100" w:beforeAutospacing="1" w:after="100" w:afterAutospacing="1"/>
                    <w:jc w:val="center"/>
                    <w:rPr>
                      <w:rFonts w:hint="eastAsia" w:ascii="仿宋" w:hAnsi="仿宋" w:eastAsia="仿宋" w:cs="仿宋"/>
                      <w:color w:val="auto"/>
                      <w:sz w:val="24"/>
                      <w:szCs w:val="24"/>
                      <w:highlight w:val="none"/>
                      <w:shd w:val="clear" w:color="auto" w:fill="FFFFFF"/>
                      <w:lang w:eastAsia="zh-CN"/>
                    </w:rPr>
                  </w:pPr>
                  <w:r>
                    <w:rPr>
                      <w:rFonts w:hint="eastAsia" w:ascii="仿宋" w:hAnsi="仿宋" w:eastAsia="仿宋" w:cs="仿宋"/>
                      <w:color w:val="auto"/>
                      <w:sz w:val="24"/>
                      <w:highlight w:val="none"/>
                      <w:lang w:val="en-US" w:eastAsia="zh-CN" w:bidi="th-TH"/>
                    </w:rPr>
                    <w:t>臭氧监测仪</w:t>
                  </w:r>
                </w:p>
              </w:tc>
              <w:tc>
                <w:tcPr>
                  <w:tcW w:w="2367" w:type="dxa"/>
                  <w:noWrap w:val="0"/>
                  <w:vAlign w:val="center"/>
                </w:tcPr>
                <w:p w14:paraId="23D516DC">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3C15A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2F69A680">
                  <w:pPr>
                    <w:spacing w:before="100" w:beforeAutospacing="1" w:after="100" w:afterAutospacing="1"/>
                    <w:jc w:val="center"/>
                    <w:rPr>
                      <w:rFonts w:hint="eastAsia" w:ascii="仿宋" w:hAnsi="仿宋" w:eastAsia="仿宋" w:cs="仿宋"/>
                      <w:color w:val="auto"/>
                      <w:sz w:val="24"/>
                      <w:szCs w:val="24"/>
                      <w:highlight w:val="none"/>
                      <w:shd w:val="clear" w:color="auto" w:fill="FFFFFF"/>
                      <w:lang w:eastAsia="zh-CN"/>
                    </w:rPr>
                  </w:pPr>
                  <w:r>
                    <w:rPr>
                      <w:rFonts w:hint="eastAsia" w:ascii="仿宋" w:hAnsi="仿宋" w:eastAsia="仿宋" w:cs="仿宋"/>
                      <w:color w:val="auto"/>
                      <w:sz w:val="24"/>
                      <w:highlight w:val="none"/>
                      <w:lang w:val="en-US" w:eastAsia="zh-CN" w:bidi="th-TH"/>
                    </w:rPr>
                    <w:t>二氧化硫监测仪</w:t>
                  </w:r>
                </w:p>
              </w:tc>
              <w:tc>
                <w:tcPr>
                  <w:tcW w:w="2367" w:type="dxa"/>
                  <w:noWrap w:val="0"/>
                  <w:vAlign w:val="center"/>
                </w:tcPr>
                <w:p w14:paraId="1C6A8BE5">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7E382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3BCBF6E0">
                  <w:pPr>
                    <w:spacing w:before="100" w:beforeAutospacing="1" w:after="100" w:afterAutospacing="1"/>
                    <w:jc w:val="center"/>
                    <w:rPr>
                      <w:rFonts w:hint="eastAsia" w:ascii="仿宋" w:hAnsi="仿宋" w:eastAsia="仿宋" w:cs="仿宋"/>
                      <w:color w:val="auto"/>
                      <w:sz w:val="24"/>
                      <w:szCs w:val="24"/>
                      <w:highlight w:val="none"/>
                      <w:shd w:val="clear" w:color="auto" w:fill="FFFFFF"/>
                      <w:lang w:val="en-US" w:eastAsia="zh-CN"/>
                    </w:rPr>
                  </w:pPr>
                  <w:r>
                    <w:rPr>
                      <w:rFonts w:hint="eastAsia" w:ascii="仿宋" w:hAnsi="仿宋" w:eastAsia="仿宋" w:cs="仿宋"/>
                      <w:color w:val="auto"/>
                      <w:sz w:val="24"/>
                      <w:highlight w:val="none"/>
                      <w:lang w:val="en-US" w:eastAsia="zh-CN" w:bidi="th-TH"/>
                    </w:rPr>
                    <w:t>一氧化碳监测仪</w:t>
                  </w:r>
                </w:p>
              </w:tc>
              <w:tc>
                <w:tcPr>
                  <w:tcW w:w="2367" w:type="dxa"/>
                  <w:noWrap w:val="0"/>
                  <w:vAlign w:val="center"/>
                </w:tcPr>
                <w:p w14:paraId="1687DE5D">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6E851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164A94A0">
                  <w:pPr>
                    <w:spacing w:before="100" w:beforeAutospacing="1" w:after="100" w:afterAutospacing="1"/>
                    <w:jc w:val="center"/>
                    <w:rPr>
                      <w:rFonts w:hint="eastAsia" w:ascii="仿宋" w:hAnsi="仿宋" w:eastAsia="仿宋" w:cs="仿宋"/>
                      <w:color w:val="auto"/>
                      <w:sz w:val="24"/>
                      <w:szCs w:val="24"/>
                      <w:highlight w:val="none"/>
                      <w:shd w:val="clear" w:color="auto" w:fill="FFFFFF"/>
                      <w:lang w:eastAsia="zh-CN"/>
                    </w:rPr>
                  </w:pPr>
                  <w:r>
                    <w:rPr>
                      <w:rFonts w:hint="eastAsia" w:ascii="仿宋" w:hAnsi="仿宋" w:eastAsia="仿宋" w:cs="仿宋"/>
                      <w:color w:val="auto"/>
                      <w:sz w:val="24"/>
                      <w:highlight w:val="none"/>
                      <w:lang w:val="en-US" w:eastAsia="zh-CN" w:bidi="th-TH"/>
                    </w:rPr>
                    <w:t>多元气体校准仪</w:t>
                  </w:r>
                </w:p>
              </w:tc>
              <w:tc>
                <w:tcPr>
                  <w:tcW w:w="2367" w:type="dxa"/>
                  <w:noWrap w:val="0"/>
                  <w:vAlign w:val="center"/>
                </w:tcPr>
                <w:p w14:paraId="6BD0FF9C">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628B4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1B0E4E9D">
                  <w:pPr>
                    <w:spacing w:before="100" w:beforeAutospacing="1" w:after="100" w:afterAutospacing="1"/>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highlight w:val="none"/>
                      <w:lang w:bidi="th-TH"/>
                    </w:rPr>
                    <w:t>车载监控摄像云台</w:t>
                  </w:r>
                </w:p>
              </w:tc>
              <w:tc>
                <w:tcPr>
                  <w:tcW w:w="2367" w:type="dxa"/>
                  <w:noWrap w:val="0"/>
                  <w:vAlign w:val="center"/>
                </w:tcPr>
                <w:p w14:paraId="06E5F5F8">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0CFDC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139AA471">
                  <w:pPr>
                    <w:spacing w:before="100" w:beforeAutospacing="1" w:after="100" w:afterAutospacing="1"/>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highlight w:val="none"/>
                      <w:lang w:bidi="th-TH"/>
                    </w:rPr>
                    <w:t>无人机</w:t>
                  </w:r>
                  <w:r>
                    <w:rPr>
                      <w:rFonts w:hint="eastAsia" w:ascii="仿宋" w:hAnsi="仿宋" w:eastAsia="仿宋" w:cs="仿宋"/>
                      <w:color w:val="auto"/>
                      <w:sz w:val="24"/>
                      <w:highlight w:val="none"/>
                      <w:lang w:val="en-US" w:eastAsia="zh-CN" w:bidi="th-TH"/>
                    </w:rPr>
                    <w:t>及配套设备</w:t>
                  </w:r>
                </w:p>
              </w:tc>
              <w:tc>
                <w:tcPr>
                  <w:tcW w:w="2367" w:type="dxa"/>
                  <w:noWrap w:val="0"/>
                  <w:vAlign w:val="center"/>
                </w:tcPr>
                <w:p w14:paraId="59CA9C81">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1B02F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3DC4D052">
                  <w:pPr>
                    <w:spacing w:before="100" w:beforeAutospacing="1" w:after="100" w:afterAutospacing="1"/>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highlight w:val="none"/>
                      <w:lang w:bidi="th-TH"/>
                    </w:rPr>
                    <w:t>车载自动气象监测站</w:t>
                  </w:r>
                </w:p>
              </w:tc>
              <w:tc>
                <w:tcPr>
                  <w:tcW w:w="2367" w:type="dxa"/>
                  <w:noWrap w:val="0"/>
                  <w:vAlign w:val="center"/>
                </w:tcPr>
                <w:p w14:paraId="3D241382">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r w14:paraId="28874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0"/>
                  <w:vAlign w:val="center"/>
                </w:tcPr>
                <w:p w14:paraId="43F8A1AC">
                  <w:pPr>
                    <w:spacing w:before="100" w:beforeAutospacing="1" w:after="100" w:afterAutospacing="1"/>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highlight w:val="none"/>
                      <w:lang w:bidi="th-TH"/>
                    </w:rPr>
                    <w:t>车载移动空气监测</w:t>
                  </w:r>
                  <w:r>
                    <w:rPr>
                      <w:rFonts w:hint="eastAsia" w:ascii="仿宋" w:hAnsi="仿宋" w:eastAsia="仿宋" w:cs="仿宋"/>
                      <w:color w:val="auto"/>
                      <w:sz w:val="24"/>
                      <w:highlight w:val="none"/>
                      <w:lang w:val="en-US" w:eastAsia="zh-CN" w:bidi="th-TH"/>
                    </w:rPr>
                    <w:t>站</w:t>
                  </w:r>
                </w:p>
              </w:tc>
              <w:tc>
                <w:tcPr>
                  <w:tcW w:w="2367" w:type="dxa"/>
                  <w:noWrap w:val="0"/>
                  <w:vAlign w:val="center"/>
                </w:tcPr>
                <w:p w14:paraId="0F1B2E23">
                  <w:pPr>
                    <w:spacing w:line="500" w:lineRule="exact"/>
                    <w:jc w:val="center"/>
                    <w:rPr>
                      <w:rFonts w:hint="eastAsia"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rPr>
                    <w:t>工业</w:t>
                  </w:r>
                </w:p>
              </w:tc>
            </w:tr>
          </w:tbl>
          <w:p w14:paraId="15B6CA7D">
            <w:pPr>
              <w:spacing w:line="500" w:lineRule="exact"/>
              <w:jc w:val="left"/>
              <w:rPr>
                <w:rFonts w:ascii="仿宋" w:eastAsia="仿宋" w:cs="仿宋_GB2312"/>
                <w:b/>
                <w:bCs/>
                <w:color w:val="auto"/>
                <w:sz w:val="24"/>
                <w:highlight w:val="none"/>
              </w:rPr>
            </w:pPr>
          </w:p>
        </w:tc>
      </w:tr>
    </w:tbl>
    <w:p w14:paraId="7ECDDA4B">
      <w:pPr>
        <w:ind w:left="238"/>
        <w:jc w:val="center"/>
        <w:rPr>
          <w:rFonts w:hint="eastAsia" w:ascii="仿宋" w:eastAsia="仿宋"/>
          <w:color w:val="auto"/>
          <w:sz w:val="24"/>
          <w:highlight w:val="none"/>
        </w:rPr>
      </w:pPr>
    </w:p>
    <w:p w14:paraId="23A24453">
      <w:pPr>
        <w:pStyle w:val="4"/>
        <w:spacing w:line="415" w:lineRule="auto"/>
        <w:jc w:val="center"/>
        <w:rPr>
          <w:rFonts w:hint="eastAsia" w:ascii="仿宋"/>
          <w:color w:val="auto"/>
          <w:highlight w:val="none"/>
        </w:rPr>
      </w:pPr>
      <w:bookmarkStart w:id="37" w:name="_Toc27758"/>
      <w:r>
        <w:rPr>
          <w:rFonts w:hint="eastAsia" w:ascii="仿宋"/>
          <w:color w:val="auto"/>
          <w:highlight w:val="none"/>
        </w:rPr>
        <w:t>二、采购文件</w:t>
      </w:r>
      <w:bookmarkEnd w:id="37"/>
    </w:p>
    <w:p w14:paraId="19C94DF9">
      <w:pPr>
        <w:snapToGrid w:val="0"/>
        <w:spacing w:line="440" w:lineRule="exact"/>
        <w:jc w:val="left"/>
        <w:outlineLvl w:val="2"/>
        <w:rPr>
          <w:rFonts w:hint="eastAsia" w:ascii="仿宋" w:eastAsia="仿宋"/>
          <w:b/>
          <w:color w:val="auto"/>
          <w:sz w:val="24"/>
          <w:highlight w:val="none"/>
        </w:rPr>
      </w:pPr>
      <w:r>
        <w:rPr>
          <w:rFonts w:hint="eastAsia" w:ascii="仿宋" w:eastAsia="仿宋"/>
          <w:b/>
          <w:color w:val="auto"/>
          <w:sz w:val="24"/>
          <w:highlight w:val="none"/>
        </w:rPr>
        <w:t>1. 采购文件效力</w:t>
      </w:r>
    </w:p>
    <w:p w14:paraId="3825EF7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682FF70C">
      <w:pPr>
        <w:snapToGrid w:val="0"/>
        <w:spacing w:line="440" w:lineRule="exact"/>
        <w:jc w:val="left"/>
        <w:rPr>
          <w:rFonts w:hint="eastAsia"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7B7A9712">
      <w:pPr>
        <w:snapToGrid w:val="0"/>
        <w:spacing w:line="440" w:lineRule="exact"/>
        <w:jc w:val="left"/>
        <w:outlineLvl w:val="2"/>
        <w:rPr>
          <w:rFonts w:hint="eastAsia" w:ascii="仿宋" w:eastAsia="仿宋"/>
          <w:b/>
          <w:bCs/>
          <w:color w:val="auto"/>
          <w:sz w:val="24"/>
          <w:highlight w:val="none"/>
        </w:rPr>
      </w:pPr>
      <w:r>
        <w:rPr>
          <w:rFonts w:hint="eastAsia" w:ascii="仿宋" w:eastAsia="仿宋"/>
          <w:b/>
          <w:bCs/>
          <w:color w:val="auto"/>
          <w:sz w:val="24"/>
          <w:highlight w:val="none"/>
        </w:rPr>
        <w:t>2、名词定义</w:t>
      </w:r>
    </w:p>
    <w:p w14:paraId="3BEBC46B">
      <w:pPr>
        <w:snapToGrid w:val="0"/>
        <w:spacing w:line="44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w:t>
      </w:r>
      <w:r>
        <w:rPr>
          <w:rFonts w:ascii="仿宋" w:eastAsia="仿宋" w:cs="仿宋_GB2312"/>
          <w:color w:val="auto"/>
          <w:sz w:val="24"/>
          <w:highlight w:val="none"/>
        </w:rPr>
        <w:t>国企</w:t>
      </w:r>
      <w:r>
        <w:rPr>
          <w:rFonts w:hint="eastAsia" w:ascii="仿宋" w:eastAsia="仿宋" w:cs="仿宋_GB2312"/>
          <w:color w:val="auto"/>
          <w:sz w:val="24"/>
          <w:highlight w:val="none"/>
        </w:rPr>
        <w:t>采购项目的采购代理机构为社会中介代理机构。采购代理机构按照与采购人的采购代理合同约定行使采购活动组织等事宜。</w:t>
      </w:r>
    </w:p>
    <w:p w14:paraId="15F87FD5">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157FBA1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0273D7D1">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46D7BBC1">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2859596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”，指受投标供应商的法定代表人委托，办理本项目投标、质疑投诉、合同签订等整个采购活动的被授权委托人。个体工商户参与投标的，经营者等同于法定代表人。</w:t>
      </w:r>
    </w:p>
    <w:p w14:paraId="1E144864">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1DFE4AF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716CF48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2E025B71">
      <w:pPr>
        <w:snapToGrid w:val="0"/>
        <w:spacing w:line="440" w:lineRule="exact"/>
        <w:jc w:val="left"/>
        <w:outlineLvl w:val="2"/>
        <w:rPr>
          <w:rFonts w:hint="eastAsia" w:ascii="仿宋" w:eastAsia="仿宋"/>
          <w:b/>
          <w:bCs/>
          <w:color w:val="auto"/>
          <w:sz w:val="24"/>
          <w:highlight w:val="none"/>
        </w:rPr>
      </w:pPr>
      <w:r>
        <w:rPr>
          <w:rFonts w:hint="eastAsia" w:ascii="仿宋" w:eastAsia="仿宋"/>
          <w:b/>
          <w:bCs/>
          <w:color w:val="auto"/>
          <w:sz w:val="24"/>
          <w:highlight w:val="none"/>
        </w:rPr>
        <w:t>3、政府采购政策性规定</w:t>
      </w:r>
    </w:p>
    <w:p w14:paraId="3B4AAC7C">
      <w:pPr>
        <w:snapToGrid w:val="0"/>
        <w:spacing w:line="440" w:lineRule="exact"/>
        <w:jc w:val="left"/>
        <w:rPr>
          <w:rFonts w:ascii="仿宋" w:eastAsia="仿宋"/>
          <w:color w:val="auto"/>
          <w:sz w:val="24"/>
          <w:highlight w:val="none"/>
        </w:rPr>
      </w:pPr>
      <w:r>
        <w:rPr>
          <w:rFonts w:ascii="仿宋" w:eastAsia="仿宋"/>
          <w:b/>
          <w:bCs/>
          <w:color w:val="auto"/>
          <w:sz w:val="24"/>
          <w:highlight w:val="none"/>
        </w:rPr>
        <w:t>3.1采购本国产品</w:t>
      </w:r>
    </w:p>
    <w:p w14:paraId="6C13033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left="0" w:right="0" w:firstLine="482" w:firstLineChars="200"/>
        <w:contextualSpacing w:val="0"/>
        <w:jc w:val="left"/>
        <w:textAlignment w:val="auto"/>
        <w:outlineLvl w:val="9"/>
        <w:rPr>
          <w:rFonts w:hint="eastAsia" w:ascii="仿宋" w:eastAsia="仿宋"/>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除采购文件明确允许采购进口产品外，应当提供本国生产的产品，否则作无效投标处理。</w:t>
      </w:r>
      <w:r>
        <w:rPr>
          <w:rFonts w:hint="eastAsia" w:ascii="仿宋" w:eastAsia="仿宋"/>
          <w:caps w:val="0"/>
          <w:smallCaps w:val="0"/>
          <w:vanish w:val="0"/>
          <w:color w:val="auto"/>
          <w:sz w:val="24"/>
          <w:szCs w:val="24"/>
          <w:highlight w:val="none"/>
          <w:vertAlign w:val="baseline"/>
        </w:rPr>
        <w:t>采购进口产品的，不得限制潜在国产的同类产品参与投标。</w:t>
      </w:r>
    </w:p>
    <w:p w14:paraId="1ADD59E3">
      <w:pPr>
        <w:snapToGrid w:val="0"/>
        <w:spacing w:line="440" w:lineRule="exact"/>
        <w:jc w:val="left"/>
        <w:rPr>
          <w:rFonts w:ascii="仿宋" w:eastAsia="仿宋"/>
          <w:color w:val="auto"/>
          <w:sz w:val="24"/>
          <w:highlight w:val="none"/>
        </w:rPr>
      </w:pPr>
      <w:r>
        <w:rPr>
          <w:rFonts w:ascii="仿宋" w:eastAsia="仿宋"/>
          <w:b/>
          <w:bCs/>
          <w:color w:val="auto"/>
          <w:sz w:val="24"/>
          <w:highlight w:val="none"/>
        </w:rPr>
        <w:t>3.</w:t>
      </w:r>
      <w:r>
        <w:rPr>
          <w:rFonts w:hint="eastAsia" w:ascii="仿宋" w:eastAsia="仿宋"/>
          <w:b/>
          <w:bCs/>
          <w:color w:val="auto"/>
          <w:sz w:val="24"/>
          <w:highlight w:val="none"/>
          <w:lang w:val="en-US" w:eastAsia="zh-CN"/>
        </w:rPr>
        <w:t>2</w:t>
      </w:r>
      <w:r>
        <w:rPr>
          <w:rFonts w:ascii="仿宋" w:eastAsia="仿宋"/>
          <w:b/>
          <w:bCs/>
          <w:color w:val="auto"/>
          <w:sz w:val="24"/>
          <w:highlight w:val="none"/>
        </w:rPr>
        <w:t>扶持中小企业</w:t>
      </w:r>
    </w:p>
    <w:p w14:paraId="1FB951D9">
      <w:pPr>
        <w:snapToGrid w:val="0"/>
        <w:spacing w:line="420" w:lineRule="exact"/>
        <w:ind w:left="0"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lang w:eastAsia="zh-CN"/>
        </w:rPr>
        <w:t>本项目参照</w:t>
      </w:r>
      <w:r>
        <w:rPr>
          <w:rFonts w:ascii="仿宋" w:eastAsia="仿宋" w:cs="仿宋_GB2312"/>
          <w:color w:val="auto"/>
          <w:sz w:val="24"/>
          <w:highlight w:val="none"/>
        </w:rPr>
        <w:t>《政府采购促进中小企业发展管理办法》（</w:t>
      </w:r>
      <w:r>
        <w:rPr>
          <w:rFonts w:hint="eastAsia" w:ascii="楷体" w:eastAsia="楷体"/>
          <w:b w:val="0"/>
          <w:bCs w:val="0"/>
          <w:i w:val="0"/>
          <w:iCs w:val="0"/>
          <w:caps w:val="0"/>
          <w:smallCaps w:val="0"/>
          <w:color w:val="auto"/>
          <w:spacing w:val="0"/>
          <w:sz w:val="24"/>
          <w:szCs w:val="24"/>
          <w:highlight w:val="none"/>
          <w:shd w:val="clear" w:color="auto" w:fill="FFFFFF"/>
        </w:rPr>
        <w:t>财库〔2020〕46号</w:t>
      </w:r>
      <w:r>
        <w:rPr>
          <w:rFonts w:ascii="仿宋" w:eastAsia="仿宋" w:cs="仿宋_GB2312"/>
          <w:color w:val="auto"/>
          <w:sz w:val="24"/>
          <w:highlight w:val="none"/>
        </w:rPr>
        <w:t>）、</w:t>
      </w:r>
      <w:r>
        <w:rPr>
          <w:rFonts w:ascii="仿宋" w:eastAsia="仿宋" w:cs="宋体"/>
          <w:color w:val="auto"/>
          <w:kern w:val="0"/>
          <w:sz w:val="24"/>
          <w:szCs w:val="24"/>
          <w:highlight w:val="none"/>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highlight w:val="none"/>
          <w:shd w:val="clear" w:color="auto" w:fill="FFFFFF"/>
        </w:rPr>
        <w:t>〔202</w:t>
      </w:r>
      <w:r>
        <w:rPr>
          <w:rFonts w:ascii="楷体" w:eastAsia="楷体"/>
          <w:b w:val="0"/>
          <w:bCs w:val="0"/>
          <w:i w:val="0"/>
          <w:iCs w:val="0"/>
          <w:caps w:val="0"/>
          <w:smallCaps w:val="0"/>
          <w:color w:val="auto"/>
          <w:spacing w:val="0"/>
          <w:sz w:val="24"/>
          <w:szCs w:val="24"/>
          <w:highlight w:val="none"/>
          <w:shd w:val="clear" w:color="auto" w:fill="FFFFFF"/>
        </w:rPr>
        <w:t>2</w:t>
      </w:r>
      <w:r>
        <w:rPr>
          <w:rFonts w:hint="eastAsia" w:ascii="楷体" w:eastAsia="楷体"/>
          <w:b w:val="0"/>
          <w:bCs w:val="0"/>
          <w:i w:val="0"/>
          <w:iCs w:val="0"/>
          <w:caps w:val="0"/>
          <w:smallCaps w:val="0"/>
          <w:color w:val="auto"/>
          <w:spacing w:val="0"/>
          <w:sz w:val="24"/>
          <w:szCs w:val="24"/>
          <w:highlight w:val="none"/>
          <w:shd w:val="clear" w:color="auto" w:fill="FFFFFF"/>
        </w:rPr>
        <w:t>〕</w:t>
      </w:r>
      <w:r>
        <w:rPr>
          <w:rFonts w:ascii="楷体" w:eastAsia="楷体"/>
          <w:b w:val="0"/>
          <w:bCs w:val="0"/>
          <w:i w:val="0"/>
          <w:iCs w:val="0"/>
          <w:caps w:val="0"/>
          <w:smallCaps w:val="0"/>
          <w:color w:val="auto"/>
          <w:spacing w:val="0"/>
          <w:sz w:val="24"/>
          <w:szCs w:val="24"/>
          <w:highlight w:val="none"/>
          <w:shd w:val="clear" w:color="auto" w:fill="FFFFFF"/>
        </w:rPr>
        <w:t>14</w:t>
      </w:r>
      <w:r>
        <w:rPr>
          <w:rFonts w:ascii="仿宋" w:eastAsia="仿宋" w:cs="宋体"/>
          <w:color w:val="auto"/>
          <w:kern w:val="0"/>
          <w:sz w:val="24"/>
          <w:szCs w:val="24"/>
          <w:highlight w:val="none"/>
        </w:rPr>
        <w:t>号）等</w:t>
      </w:r>
      <w:r>
        <w:rPr>
          <w:rFonts w:hint="eastAsia" w:ascii="仿宋" w:eastAsia="仿宋" w:cs="仿宋_GB2312"/>
          <w:color w:val="auto"/>
          <w:sz w:val="24"/>
          <w:highlight w:val="none"/>
        </w:rPr>
        <w:t>规定</w:t>
      </w:r>
      <w:r>
        <w:rPr>
          <w:rFonts w:hint="eastAsia" w:ascii="仿宋" w:eastAsia="仿宋" w:cs="仿宋_GB2312"/>
          <w:color w:val="auto"/>
          <w:sz w:val="24"/>
          <w:highlight w:val="none"/>
          <w:lang w:eastAsia="zh-CN"/>
        </w:rPr>
        <w:t>，</w:t>
      </w:r>
      <w:r>
        <w:rPr>
          <w:rFonts w:hint="eastAsia" w:ascii="仿宋" w:eastAsia="仿宋" w:cs="仿宋_GB2312"/>
          <w:b w:val="0"/>
          <w:bCs w:val="0"/>
          <w:color w:val="auto"/>
          <w:sz w:val="24"/>
          <w:highlight w:val="none"/>
          <w:lang w:eastAsia="zh-CN"/>
        </w:rPr>
        <w:t>投标供应商</w:t>
      </w:r>
      <w:r>
        <w:rPr>
          <w:rFonts w:hint="eastAsia" w:ascii="仿宋" w:eastAsia="仿宋" w:cs="仿宋_GB2312"/>
          <w:b w:val="0"/>
          <w:bCs w:val="0"/>
          <w:color w:val="auto"/>
          <w:sz w:val="24"/>
          <w:highlight w:val="none"/>
        </w:rPr>
        <w:t>提供</w:t>
      </w:r>
      <w:r>
        <w:rPr>
          <w:rFonts w:hint="eastAsia" w:ascii="仿宋" w:eastAsia="仿宋" w:cs="仿宋_GB2312"/>
          <w:b w:val="0"/>
          <w:bCs w:val="0"/>
          <w:color w:val="auto"/>
          <w:sz w:val="24"/>
          <w:highlight w:val="none"/>
          <w:lang w:eastAsia="zh-CN"/>
        </w:rPr>
        <w:t>的</w:t>
      </w:r>
      <w:r>
        <w:rPr>
          <w:rFonts w:hint="eastAsia" w:ascii="仿宋" w:eastAsia="仿宋" w:cs="仿宋_GB2312"/>
          <w:b w:val="0"/>
          <w:bCs w:val="0"/>
          <w:color w:val="auto"/>
          <w:sz w:val="24"/>
          <w:highlight w:val="none"/>
        </w:rPr>
        <w:t>货物</w:t>
      </w:r>
      <w:r>
        <w:rPr>
          <w:rFonts w:hint="eastAsia" w:ascii="仿宋" w:eastAsia="仿宋" w:cs="仿宋_GB2312"/>
          <w:b w:val="0"/>
          <w:bCs w:val="0"/>
          <w:color w:val="auto"/>
          <w:sz w:val="24"/>
          <w:highlight w:val="none"/>
          <w:lang w:eastAsia="zh-CN"/>
        </w:rPr>
        <w:t>部分（不含服务部分，详见前附表）全部</w:t>
      </w:r>
      <w:r>
        <w:rPr>
          <w:rFonts w:hint="eastAsia" w:ascii="仿宋" w:eastAsia="仿宋" w:cs="仿宋_GB2312"/>
          <w:b w:val="0"/>
          <w:bCs w:val="0"/>
          <w:color w:val="auto"/>
          <w:sz w:val="24"/>
          <w:highlight w:val="none"/>
        </w:rPr>
        <w:t>为</w:t>
      </w:r>
      <w:r>
        <w:rPr>
          <w:rFonts w:hint="eastAsia" w:ascii="仿宋" w:eastAsia="仿宋" w:cs="仿宋_GB2312"/>
          <w:b w:val="0"/>
          <w:bCs w:val="0"/>
          <w:color w:val="auto"/>
          <w:sz w:val="24"/>
          <w:highlight w:val="none"/>
          <w:lang w:eastAsia="zh-CN"/>
        </w:rPr>
        <w:t>小微</w:t>
      </w:r>
      <w:r>
        <w:rPr>
          <w:rFonts w:hint="eastAsia" w:ascii="仿宋" w:eastAsia="仿宋" w:cs="仿宋_GB2312"/>
          <w:b w:val="0"/>
          <w:bCs w:val="0"/>
          <w:color w:val="auto"/>
          <w:sz w:val="24"/>
          <w:highlight w:val="none"/>
        </w:rPr>
        <w:t>企业制造</w:t>
      </w:r>
      <w:r>
        <w:rPr>
          <w:rFonts w:hint="eastAsia" w:ascii="仿宋" w:eastAsia="仿宋" w:cs="仿宋_GB2312"/>
          <w:b w:val="0"/>
          <w:bCs w:val="0"/>
          <w:color w:val="auto"/>
          <w:sz w:val="24"/>
          <w:highlight w:val="none"/>
          <w:lang w:eastAsia="zh-CN"/>
        </w:rPr>
        <w:t>的，</w:t>
      </w:r>
      <w:r>
        <w:rPr>
          <w:rFonts w:ascii="仿宋" w:eastAsia="仿宋" w:cs="仿宋_GB2312"/>
          <w:color w:val="auto"/>
          <w:sz w:val="24"/>
          <w:highlight w:val="none"/>
        </w:rPr>
        <w:t>对</w:t>
      </w:r>
      <w:r>
        <w:rPr>
          <w:rFonts w:hint="eastAsia" w:ascii="仿宋" w:eastAsia="仿宋" w:cs="仿宋_GB2312"/>
          <w:color w:val="auto"/>
          <w:sz w:val="24"/>
          <w:highlight w:val="none"/>
          <w:lang w:eastAsia="zh-CN"/>
        </w:rPr>
        <w:t>投标</w:t>
      </w:r>
      <w:r>
        <w:rPr>
          <w:rFonts w:hint="eastAsia" w:ascii="仿宋" w:eastAsia="仿宋" w:cs="仿宋_GB2312"/>
          <w:b w:val="0"/>
          <w:bCs w:val="0"/>
          <w:color w:val="auto"/>
          <w:sz w:val="24"/>
          <w:highlight w:val="none"/>
        </w:rPr>
        <w:t>报价给予</w:t>
      </w:r>
      <w:r>
        <w:rPr>
          <w:rFonts w:hint="eastAsia" w:ascii="仿宋" w:eastAsia="仿宋" w:cs="仿宋_GB2312"/>
          <w:b w:val="0"/>
          <w:bCs w:val="0"/>
          <w:color w:val="auto"/>
          <w:sz w:val="24"/>
          <w:highlight w:val="none"/>
          <w:lang w:val="en-US" w:eastAsia="zh-CN"/>
        </w:rPr>
        <w:t>1</w:t>
      </w:r>
      <w:r>
        <w:rPr>
          <w:rFonts w:ascii="仿宋" w:eastAsia="仿宋" w:cs="仿宋_GB2312"/>
          <w:b w:val="0"/>
          <w:bCs w:val="0"/>
          <w:color w:val="auto"/>
          <w:sz w:val="24"/>
          <w:highlight w:val="none"/>
        </w:rPr>
        <w:t>0</w:t>
      </w:r>
      <w:r>
        <w:rPr>
          <w:rFonts w:hint="eastAsia" w:ascii="仿宋" w:eastAsia="仿宋" w:cs="仿宋_GB2312"/>
          <w:b w:val="0"/>
          <w:bCs w:val="0"/>
          <w:color w:val="auto"/>
          <w:sz w:val="24"/>
          <w:highlight w:val="none"/>
        </w:rPr>
        <w:t>%</w:t>
      </w:r>
      <w:r>
        <w:rPr>
          <w:rFonts w:hint="eastAsia" w:ascii="仿宋" w:eastAsia="仿宋" w:cs="仿宋_GB2312"/>
          <w:color w:val="auto"/>
          <w:sz w:val="24"/>
          <w:highlight w:val="none"/>
        </w:rPr>
        <w:t>的扣除，用扣除后的价格参加评审。</w:t>
      </w:r>
    </w:p>
    <w:p w14:paraId="05F6908A">
      <w:pPr>
        <w:snapToGrid w:val="0"/>
        <w:spacing w:line="420" w:lineRule="exact"/>
        <w:ind w:left="0" w:firstLine="360" w:firstLineChars="150"/>
        <w:rPr>
          <w:rFonts w:hint="eastAsia" w:ascii="仿宋" w:eastAsia="仿宋" w:cs="仿宋_GB2312"/>
          <w:b w:val="0"/>
          <w:bCs w:val="0"/>
          <w:color w:val="auto"/>
          <w:sz w:val="24"/>
          <w:highlight w:val="none"/>
        </w:rPr>
      </w:pPr>
      <w:r>
        <w:rPr>
          <w:rFonts w:hint="eastAsia" w:ascii="仿宋" w:eastAsia="仿宋" w:cs="仿宋_GB2312"/>
          <w:b w:val="0"/>
          <w:bCs w:val="0"/>
          <w:color w:val="auto"/>
          <w:sz w:val="24"/>
          <w:highlight w:val="none"/>
          <w:lang w:eastAsia="zh-CN"/>
        </w:rPr>
        <w:t>以</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或分包方式参与政府采购活动的，</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w:t>
      </w:r>
      <w:r>
        <w:rPr>
          <w:rFonts w:hint="eastAsia" w:ascii="仿宋" w:eastAsia="仿宋" w:cs="仿宋_GB2312"/>
          <w:b w:val="0"/>
          <w:bCs w:val="0"/>
          <w:color w:val="auto"/>
          <w:sz w:val="24"/>
          <w:highlight w:val="none"/>
        </w:rPr>
        <w:t>中</w:t>
      </w:r>
      <w:r>
        <w:rPr>
          <w:rFonts w:hint="eastAsia" w:ascii="仿宋" w:eastAsia="仿宋" w:cs="仿宋_GB2312"/>
          <w:b w:val="0"/>
          <w:bCs w:val="0"/>
          <w:color w:val="auto"/>
          <w:sz w:val="24"/>
          <w:highlight w:val="none"/>
          <w:lang w:eastAsia="zh-CN"/>
        </w:rPr>
        <w:t>任意</w:t>
      </w:r>
      <w:r>
        <w:rPr>
          <w:rFonts w:hint="eastAsia" w:ascii="仿宋" w:eastAsia="仿宋" w:cs="仿宋_GB2312"/>
          <w:b w:val="0"/>
          <w:bCs w:val="0"/>
          <w:color w:val="auto"/>
          <w:sz w:val="24"/>
          <w:highlight w:val="none"/>
        </w:rPr>
        <w:t>一方</w:t>
      </w:r>
      <w:r>
        <w:rPr>
          <w:rFonts w:hint="eastAsia" w:ascii="仿宋" w:eastAsia="仿宋" w:cs="仿宋_GB2312"/>
          <w:b w:val="0"/>
          <w:bCs w:val="0"/>
          <w:color w:val="auto"/>
          <w:sz w:val="24"/>
          <w:highlight w:val="none"/>
          <w:lang w:eastAsia="zh-CN"/>
        </w:rPr>
        <w:t>（或多方）所</w:t>
      </w:r>
      <w:r>
        <w:rPr>
          <w:rFonts w:hint="eastAsia" w:ascii="仿宋" w:eastAsia="仿宋" w:cs="仿宋_GB2312"/>
          <w:b w:val="0"/>
          <w:bCs w:val="0"/>
          <w:color w:val="auto"/>
          <w:sz w:val="24"/>
          <w:highlight w:val="none"/>
        </w:rPr>
        <w:t>提供的全部货物为小微企业制造，</w:t>
      </w:r>
      <w:r>
        <w:rPr>
          <w:rFonts w:hint="eastAsia" w:ascii="仿宋" w:eastAsia="仿宋" w:cs="仿宋_GB2312"/>
          <w:b w:val="0"/>
          <w:bCs w:val="0"/>
          <w:color w:val="auto"/>
          <w:sz w:val="24"/>
          <w:highlight w:val="none"/>
          <w:lang w:eastAsia="zh-CN"/>
        </w:rPr>
        <w:t>则这一方（或多方）视为小微企业，其在联合体协议或分包意向协议中约定的</w:t>
      </w:r>
      <w:r>
        <w:rPr>
          <w:rFonts w:hint="eastAsia" w:ascii="仿宋" w:eastAsia="仿宋" w:cs="仿宋_GB2312"/>
          <w:b w:val="0"/>
          <w:bCs w:val="0"/>
          <w:color w:val="auto"/>
          <w:sz w:val="24"/>
          <w:highlight w:val="none"/>
        </w:rPr>
        <w:t>合同份额占到合同总金额30%以上的，可按规定享受</w:t>
      </w:r>
      <w:r>
        <w:rPr>
          <w:rFonts w:hint="eastAsia" w:ascii="仿宋" w:eastAsia="仿宋" w:cs="仿宋_GB2312"/>
          <w:b w:val="0"/>
          <w:bCs w:val="0"/>
          <w:color w:val="auto"/>
          <w:sz w:val="24"/>
          <w:highlight w:val="none"/>
          <w:lang w:val="en-US" w:eastAsia="zh-CN"/>
        </w:rPr>
        <w:t>4</w:t>
      </w:r>
      <w:r>
        <w:rPr>
          <w:rFonts w:hint="eastAsia" w:ascii="仿宋" w:eastAsia="仿宋" w:cs="仿宋_GB2312"/>
          <w:b w:val="0"/>
          <w:bCs w:val="0"/>
          <w:color w:val="auto"/>
          <w:sz w:val="24"/>
          <w:highlight w:val="none"/>
        </w:rPr>
        <w:t>%的价格扣除。</w:t>
      </w:r>
    </w:p>
    <w:p w14:paraId="7B155FBB">
      <w:pPr>
        <w:snapToGrid w:val="0"/>
        <w:spacing w:line="420" w:lineRule="exact"/>
        <w:ind w:firstLine="480" w:firstLineChars="200"/>
        <w:rPr>
          <w:rFonts w:hint="eastAsia" w:ascii="仿宋" w:eastAsia="仿宋" w:cs="仿宋_GB2312"/>
          <w:b w:val="0"/>
          <w:bCs w:val="0"/>
          <w:color w:val="auto"/>
          <w:sz w:val="24"/>
          <w:highlight w:val="none"/>
        </w:rPr>
      </w:pPr>
      <w:r>
        <w:rPr>
          <w:rFonts w:hint="eastAsia" w:ascii="仿宋" w:eastAsia="仿宋" w:cs="仿宋_GB2312"/>
          <w:color w:val="auto"/>
          <w:sz w:val="24"/>
          <w:highlight w:val="none"/>
          <w:lang w:eastAsia="zh-CN"/>
        </w:rPr>
        <w:t>供应商</w:t>
      </w:r>
      <w:r>
        <w:rPr>
          <w:rFonts w:hint="eastAsia" w:ascii="仿宋" w:eastAsia="仿宋" w:cs="仿宋_GB2312"/>
          <w:b w:val="0"/>
          <w:bCs w:val="0"/>
          <w:color w:val="auto"/>
          <w:sz w:val="24"/>
          <w:highlight w:val="none"/>
        </w:rPr>
        <w:t>应当在</w:t>
      </w:r>
      <w:r>
        <w:rPr>
          <w:rFonts w:hint="eastAsia" w:ascii="仿宋" w:eastAsia="仿宋" w:cs="仿宋_GB2312"/>
          <w:b w:val="0"/>
          <w:bCs w:val="0"/>
          <w:color w:val="auto"/>
          <w:sz w:val="24"/>
          <w:highlight w:val="none"/>
          <w:lang w:eastAsia="zh-CN"/>
        </w:rPr>
        <w:t>联合体协议或分包意向协议中约定各方承担的货物和服务内容以及各方的合同份额，并在</w:t>
      </w:r>
      <w:r>
        <w:rPr>
          <w:rFonts w:hint="eastAsia" w:ascii="仿宋" w:eastAsia="仿宋" w:cs="仿宋_GB2312"/>
          <w:b w:val="0"/>
          <w:bCs w:val="0"/>
          <w:color w:val="auto"/>
          <w:sz w:val="24"/>
          <w:highlight w:val="none"/>
        </w:rPr>
        <w:t>《中小企业声明函》</w:t>
      </w:r>
      <w:r>
        <w:rPr>
          <w:rFonts w:hint="eastAsia" w:ascii="仿宋" w:eastAsia="仿宋" w:cs="仿宋_GB2312"/>
          <w:b w:val="0"/>
          <w:bCs w:val="0"/>
          <w:color w:val="auto"/>
          <w:sz w:val="24"/>
          <w:highlight w:val="none"/>
          <w:lang w:eastAsia="zh-CN"/>
        </w:rPr>
        <w:t>中</w:t>
      </w:r>
      <w:r>
        <w:rPr>
          <w:rFonts w:hint="eastAsia" w:ascii="仿宋" w:eastAsia="仿宋" w:cs="仿宋_GB2312"/>
          <w:b w:val="0"/>
          <w:bCs w:val="0"/>
          <w:color w:val="auto"/>
          <w:sz w:val="24"/>
          <w:highlight w:val="none"/>
        </w:rPr>
        <w:t>填写所提供货物制造商的小微企业相关信息</w:t>
      </w:r>
      <w:r>
        <w:rPr>
          <w:rFonts w:hint="eastAsia" w:ascii="仿宋" w:eastAsia="仿宋" w:cs="仿宋_GB2312"/>
          <w:b w:val="0"/>
          <w:bCs w:val="0"/>
          <w:color w:val="auto"/>
          <w:sz w:val="24"/>
          <w:highlight w:val="none"/>
          <w:lang w:eastAsia="zh-CN"/>
        </w:rPr>
        <w:t>，否则不予享受价格扣除</w:t>
      </w:r>
      <w:r>
        <w:rPr>
          <w:rFonts w:hint="eastAsia" w:ascii="仿宋" w:eastAsia="仿宋" w:cs="仿宋_GB2312"/>
          <w:b w:val="0"/>
          <w:bCs w:val="0"/>
          <w:color w:val="auto"/>
          <w:sz w:val="24"/>
          <w:highlight w:val="none"/>
        </w:rPr>
        <w:t>。</w:t>
      </w:r>
    </w:p>
    <w:p w14:paraId="0853F830">
      <w:pPr>
        <w:snapToGrid w:val="0"/>
        <w:spacing w:line="420" w:lineRule="exact"/>
        <w:ind w:left="0" w:firstLine="480" w:firstLineChars="200"/>
        <w:rPr>
          <w:rFonts w:hint="eastAsia" w:ascii="仿宋" w:eastAsia="仿宋" w:cs="仿宋_GB2312"/>
          <w:color w:val="auto"/>
          <w:sz w:val="24"/>
          <w:highlight w:val="none"/>
        </w:rPr>
      </w:pPr>
      <w:r>
        <w:rPr>
          <w:rFonts w:ascii="仿宋" w:eastAsia="仿宋" w:cs="仿宋_GB2312"/>
          <w:color w:val="auto"/>
          <w:sz w:val="24"/>
          <w:highlight w:val="none"/>
        </w:rPr>
        <w:t>组成联合体或者接受分包的小微企业与联合体内其他企业、分包企业之间存在直接控股、管理关系的，不享受价格扣除优惠政策。</w:t>
      </w:r>
    </w:p>
    <w:p w14:paraId="0FA19328">
      <w:pPr>
        <w:snapToGrid w:val="0"/>
        <w:spacing w:line="440" w:lineRule="exact"/>
        <w:ind w:firstLine="480" w:firstLineChars="200"/>
        <w:jc w:val="left"/>
        <w:rPr>
          <w:rFonts w:hint="eastAsia" w:ascii="仿宋" w:eastAsia="仿宋" w:cs="仿宋_GB2312"/>
          <w:b w:val="0"/>
          <w:bCs w:val="0"/>
          <w:color w:val="auto"/>
          <w:sz w:val="24"/>
          <w:highlight w:val="none"/>
        </w:rPr>
      </w:pPr>
      <w:r>
        <w:rPr>
          <w:rFonts w:hint="eastAsia" w:ascii="仿宋" w:eastAsia="仿宋" w:cs="仿宋_GB2312"/>
          <w:color w:val="auto"/>
          <w:sz w:val="24"/>
          <w:highlight w:val="none"/>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highlight w:val="none"/>
        </w:rPr>
        <w:t>残疾人福利性单位视同小型、微型企业。</w:t>
      </w:r>
      <w:r>
        <w:rPr>
          <w:rFonts w:ascii="仿宋" w:eastAsia="仿宋" w:cs="仿宋_GB2312"/>
          <w:b w:val="0"/>
          <w:bCs w:val="0"/>
          <w:color w:val="auto"/>
          <w:sz w:val="24"/>
          <w:highlight w:val="none"/>
        </w:rPr>
        <w:t>供应商</w:t>
      </w:r>
      <w:r>
        <w:rPr>
          <w:rFonts w:hint="eastAsia" w:ascii="仿宋" w:eastAsia="仿宋" w:cs="仿宋_GB2312"/>
          <w:b w:val="0"/>
          <w:bCs w:val="0"/>
          <w:color w:val="auto"/>
          <w:sz w:val="24"/>
          <w:highlight w:val="none"/>
        </w:rPr>
        <w:t>提供由省级以上监狱管理局、戒毒管理局（含新疆生产建设兵团）出具的属于监狱企业的证明文件（格式自拟），视同为小型和微型企业。</w:t>
      </w:r>
    </w:p>
    <w:p w14:paraId="6BADA896">
      <w:pPr>
        <w:snapToGrid w:val="0"/>
        <w:spacing w:line="440" w:lineRule="exact"/>
        <w:jc w:val="left"/>
        <w:outlineLvl w:val="2"/>
        <w:rPr>
          <w:rFonts w:hint="eastAsia" w:ascii="仿宋" w:eastAsia="仿宋"/>
          <w:b/>
          <w:bCs/>
          <w:color w:val="auto"/>
          <w:sz w:val="24"/>
          <w:highlight w:val="none"/>
        </w:rPr>
      </w:pPr>
      <w:r>
        <w:rPr>
          <w:rFonts w:hint="eastAsia" w:ascii="仿宋" w:eastAsia="仿宋"/>
          <w:b/>
          <w:bCs/>
          <w:color w:val="auto"/>
          <w:sz w:val="24"/>
          <w:highlight w:val="none"/>
        </w:rPr>
        <w:t>4.采购文件的澄清与修改</w:t>
      </w:r>
    </w:p>
    <w:p w14:paraId="6EA07238">
      <w:pPr>
        <w:pStyle w:val="8"/>
        <w:widowControl w:val="0"/>
        <w:numPr>
          <w:ilvl w:val="0"/>
          <w:numId w:val="0"/>
        </w:numPr>
        <w:spacing w:after="0" w:afterLines="0" w:line="440" w:lineRule="exact"/>
        <w:rPr>
          <w:rFonts w:hint="eastAsia"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w:t>
      </w:r>
      <w:r>
        <w:rPr>
          <w:rFonts w:hint="eastAsia" w:ascii="仿宋" w:eastAsia="仿宋"/>
          <w:color w:val="auto"/>
          <w:highlight w:val="none"/>
          <w:lang w:eastAsia="zh-CN"/>
        </w:rPr>
        <w:t>乐采云平台</w:t>
      </w:r>
      <w:r>
        <w:rPr>
          <w:rFonts w:hint="eastAsia" w:ascii="仿宋" w:eastAsia="仿宋"/>
          <w:color w:val="auto"/>
          <w:highlight w:val="none"/>
        </w:rPr>
        <w:t>下载。</w:t>
      </w:r>
    </w:p>
    <w:p w14:paraId="34244D4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31BC606E">
      <w:pPr>
        <w:snapToGrid w:val="0"/>
        <w:spacing w:line="440" w:lineRule="exact"/>
        <w:jc w:val="left"/>
        <w:outlineLvl w:val="2"/>
        <w:rPr>
          <w:rFonts w:hint="eastAsia" w:ascii="仿宋" w:eastAsia="仿宋"/>
          <w:b/>
          <w:bCs/>
          <w:color w:val="auto"/>
          <w:sz w:val="24"/>
          <w:highlight w:val="none"/>
        </w:rPr>
      </w:pPr>
      <w:r>
        <w:rPr>
          <w:rFonts w:hint="eastAsia" w:ascii="仿宋" w:eastAsia="仿宋"/>
          <w:b/>
          <w:bCs/>
          <w:color w:val="auto"/>
          <w:sz w:val="24"/>
          <w:highlight w:val="none"/>
        </w:rPr>
        <w:t>5、参考品牌</w:t>
      </w:r>
    </w:p>
    <w:p w14:paraId="6065BF06">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1B741FD2">
      <w:pPr>
        <w:pStyle w:val="4"/>
        <w:spacing w:line="415" w:lineRule="auto"/>
        <w:jc w:val="center"/>
        <w:rPr>
          <w:rFonts w:hint="eastAsia" w:ascii="仿宋"/>
          <w:color w:val="auto"/>
          <w:highlight w:val="none"/>
        </w:rPr>
      </w:pPr>
      <w:bookmarkStart w:id="38" w:name="_Toc30368"/>
      <w:r>
        <w:rPr>
          <w:rFonts w:hint="eastAsia" w:ascii="仿宋"/>
          <w:color w:val="auto"/>
          <w:highlight w:val="none"/>
        </w:rPr>
        <w:t>三、投标文件</w:t>
      </w:r>
      <w:bookmarkEnd w:id="38"/>
    </w:p>
    <w:p w14:paraId="04F3F5DC">
      <w:pPr>
        <w:numPr>
          <w:ilvl w:val="0"/>
          <w:numId w:val="5"/>
        </w:numPr>
        <w:snapToGrid w:val="0"/>
        <w:spacing w:line="440" w:lineRule="exact"/>
        <w:jc w:val="left"/>
        <w:outlineLvl w:val="2"/>
        <w:rPr>
          <w:rFonts w:hint="eastAsia" w:ascii="仿宋" w:eastAsia="仿宋"/>
          <w:b/>
          <w:color w:val="auto"/>
          <w:sz w:val="24"/>
          <w:highlight w:val="none"/>
        </w:rPr>
      </w:pPr>
      <w:r>
        <w:rPr>
          <w:rFonts w:hint="eastAsia" w:ascii="仿宋" w:eastAsia="仿宋"/>
          <w:b/>
          <w:color w:val="auto"/>
          <w:sz w:val="24"/>
          <w:highlight w:val="none"/>
        </w:rPr>
        <w:t>投标文件的语言</w:t>
      </w:r>
    </w:p>
    <w:p w14:paraId="2A7171C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3C7DED79">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1.2投标文件以人民币元报价或以下浮率（优惠率）报价，具体详见《开标一览表》。</w:t>
      </w:r>
    </w:p>
    <w:p w14:paraId="3F7E7F1A">
      <w:pPr>
        <w:numPr>
          <w:ilvl w:val="0"/>
          <w:numId w:val="5"/>
        </w:numPr>
        <w:snapToGrid w:val="0"/>
        <w:spacing w:line="440" w:lineRule="exact"/>
        <w:jc w:val="left"/>
        <w:outlineLvl w:val="2"/>
        <w:rPr>
          <w:rFonts w:hint="eastAsia" w:ascii="仿宋" w:eastAsia="仿宋"/>
          <w:b/>
          <w:color w:val="auto"/>
          <w:sz w:val="24"/>
          <w:highlight w:val="none"/>
        </w:rPr>
      </w:pPr>
      <w:r>
        <w:rPr>
          <w:rFonts w:hint="eastAsia" w:ascii="仿宋" w:eastAsia="仿宋"/>
          <w:b/>
          <w:color w:val="auto"/>
          <w:sz w:val="24"/>
          <w:highlight w:val="none"/>
        </w:rPr>
        <w:t>投标文件的组成</w:t>
      </w:r>
      <w:r>
        <w:rPr>
          <w:rFonts w:ascii="仿宋" w:eastAsia="仿宋"/>
          <w:b/>
          <w:bCs/>
          <w:color w:val="auto"/>
          <w:sz w:val="24"/>
          <w:highlight w:val="none"/>
        </w:rPr>
        <w:t>（格式详见第六章附件）</w:t>
      </w:r>
    </w:p>
    <w:p w14:paraId="0EF53D8E">
      <w:pPr>
        <w:snapToGrid w:val="0"/>
        <w:spacing w:line="440" w:lineRule="exact"/>
        <w:ind w:firstLine="479"/>
        <w:jc w:val="left"/>
        <w:rPr>
          <w:rFonts w:hint="eastAsia"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39065916">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2.1“资格文件”包括以下内容：</w:t>
      </w:r>
    </w:p>
    <w:p w14:paraId="0721DC7A">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2.1.1投标声明函；</w:t>
      </w:r>
    </w:p>
    <w:p w14:paraId="58097791">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2.1.2联合体协议书（如有）；</w:t>
      </w:r>
    </w:p>
    <w:p w14:paraId="41425B81">
      <w:pPr>
        <w:snapToGrid w:val="0"/>
        <w:spacing w:line="440" w:lineRule="exact"/>
        <w:ind w:left="0"/>
        <w:jc w:val="left"/>
        <w:rPr>
          <w:rFonts w:hint="eastAsia" w:ascii="仿宋" w:eastAsia="仿宋" w:cs="仿宋_GB2312"/>
          <w:color w:val="auto"/>
          <w:sz w:val="24"/>
          <w:szCs w:val="24"/>
          <w:highlight w:val="none"/>
          <w:lang w:eastAsia="zh-CN"/>
        </w:rPr>
      </w:pPr>
      <w:r>
        <w:rPr>
          <w:rFonts w:hint="eastAsia" w:ascii="仿宋" w:eastAsia="仿宋"/>
          <w:color w:val="auto"/>
          <w:sz w:val="24"/>
          <w:highlight w:val="none"/>
        </w:rPr>
        <w:t>2.1.3</w:t>
      </w:r>
      <w:r>
        <w:rPr>
          <w:rFonts w:hint="eastAsia" w:ascii="仿宋" w:eastAsia="仿宋" w:cs="仿宋_GB2312"/>
          <w:color w:val="auto"/>
          <w:sz w:val="24"/>
          <w:szCs w:val="24"/>
          <w:highlight w:val="none"/>
          <w:lang w:eastAsia="zh-CN"/>
        </w:rPr>
        <w:t>分包意向协议（如有）；</w:t>
      </w:r>
    </w:p>
    <w:p w14:paraId="4A47A4DC">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4</w:t>
      </w:r>
      <w:r>
        <w:rPr>
          <w:rFonts w:hint="eastAsia" w:ascii="仿宋" w:eastAsia="仿宋"/>
          <w:color w:val="auto"/>
          <w:sz w:val="24"/>
          <w:highlight w:val="none"/>
        </w:rPr>
        <w:t>法定代表人授权委托书（个体工商户需经营者参与投标，不得授权）</w:t>
      </w:r>
      <w:r>
        <w:rPr>
          <w:rFonts w:hint="eastAsia" w:ascii="仿宋" w:eastAsia="仿宋" w:cs="Arial"/>
          <w:bCs/>
          <w:color w:val="auto"/>
          <w:sz w:val="24"/>
          <w:highlight w:val="none"/>
          <w:lang w:bidi="ar-SA"/>
        </w:rPr>
        <w:t>；</w:t>
      </w:r>
    </w:p>
    <w:p w14:paraId="60668A1F">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5</w:t>
      </w:r>
      <w:r>
        <w:rPr>
          <w:rFonts w:hint="eastAsia" w:ascii="仿宋" w:eastAsia="仿宋"/>
          <w:color w:val="auto"/>
          <w:sz w:val="24"/>
          <w:highlight w:val="none"/>
        </w:rPr>
        <w:t>法定代表人及其授权代表的身份证；</w:t>
      </w:r>
    </w:p>
    <w:p w14:paraId="6EE6FC40">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 xml:space="preserve"> 资格条件证明材料：</w:t>
      </w:r>
    </w:p>
    <w:p w14:paraId="32C2A369">
      <w:pPr>
        <w:snapToGrid w:val="0"/>
        <w:spacing w:line="440" w:lineRule="exact"/>
        <w:ind w:firstLine="600" w:firstLineChars="25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.1营业执照或事业单位法人登记证书；</w:t>
      </w:r>
    </w:p>
    <w:p w14:paraId="0E49C605">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.2特定资格条件证明材料（如有）。</w:t>
      </w:r>
    </w:p>
    <w:p w14:paraId="4BAF5AD3">
      <w:pPr>
        <w:snapToGrid w:val="0"/>
        <w:spacing w:line="440" w:lineRule="exact"/>
        <w:ind w:left="0"/>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5</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6</w:t>
      </w:r>
      <w:r>
        <w:rPr>
          <w:rFonts w:hint="eastAsia" w:ascii="仿宋" w:eastAsia="仿宋"/>
          <w:b/>
          <w:bCs/>
          <w:color w:val="auto"/>
          <w:sz w:val="32"/>
          <w:szCs w:val="32"/>
          <w:highlight w:val="none"/>
          <w:u w:val="single"/>
        </w:rPr>
        <w:t>均为原件彩色扫描件或图片，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6EE72AA3">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2.2“商务和技术文件”包括以下内容：</w:t>
      </w:r>
    </w:p>
    <w:p w14:paraId="1DC31253">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2.2.1项目明细清单；</w:t>
      </w:r>
    </w:p>
    <w:p w14:paraId="78A4708D">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w:t>
      </w:r>
      <w:r>
        <w:rPr>
          <w:rFonts w:hint="eastAsia" w:ascii="仿宋" w:eastAsia="仿宋"/>
          <w:color w:val="auto"/>
          <w:sz w:val="24"/>
          <w:highlight w:val="none"/>
        </w:rPr>
        <w:t>）；</w:t>
      </w:r>
    </w:p>
    <w:p w14:paraId="14FA79DA">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2.2.3商务响应表（需对采购文件中付款方式、供货期限等商务要求进行逐一答复、说明和解释，</w:t>
      </w:r>
      <w:r>
        <w:rPr>
          <w:rFonts w:hint="eastAsia" w:ascii="仿宋" w:eastAsia="仿宋" w:cs="仿宋_GB2312"/>
          <w:color w:val="auto"/>
          <w:kern w:val="0"/>
          <w:sz w:val="24"/>
          <w:highlight w:val="none"/>
          <w:lang w:val="zh-CN"/>
        </w:rPr>
        <w:t>正偏离的需详细说明）；</w:t>
      </w:r>
    </w:p>
    <w:p w14:paraId="5C184F75">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2.2.4项目实施方案；</w:t>
      </w:r>
    </w:p>
    <w:p w14:paraId="59B99FA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2.2.5项目实施人员清单；</w:t>
      </w:r>
    </w:p>
    <w:p w14:paraId="7CDECF11">
      <w:pPr>
        <w:pStyle w:val="40"/>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2.2.6消耗品、维修零配件及其价格清单（</w:t>
      </w:r>
      <w:r>
        <w:rPr>
          <w:rFonts w:hint="eastAsia" w:ascii="仿宋" w:eastAsia="仿宋" w:cs="仿宋_GB2312"/>
          <w:color w:val="auto"/>
          <w:szCs w:val="20"/>
          <w:highlight w:val="none"/>
          <w:lang w:val="en-US" w:eastAsia="zh-CN"/>
        </w:rPr>
        <w:t>如有</w:t>
      </w:r>
      <w:r>
        <w:rPr>
          <w:rFonts w:hint="eastAsia" w:ascii="仿宋" w:eastAsia="仿宋" w:cs="仿宋_GB2312"/>
          <w:color w:val="auto"/>
          <w:szCs w:val="20"/>
          <w:highlight w:val="none"/>
          <w:lang w:val="zh-CN"/>
        </w:rPr>
        <w:t>）；</w:t>
      </w:r>
    </w:p>
    <w:p w14:paraId="6DBF0A38">
      <w:pPr>
        <w:pStyle w:val="40"/>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rPr>
        <w:t>2.2.</w:t>
      </w:r>
      <w:r>
        <w:rPr>
          <w:rFonts w:hint="eastAsia" w:ascii="仿宋" w:eastAsia="仿宋" w:cs="仿宋_GB2312"/>
          <w:color w:val="auto"/>
          <w:szCs w:val="20"/>
          <w:highlight w:val="none"/>
          <w:lang w:val="en-US" w:eastAsia="zh-CN"/>
        </w:rPr>
        <w:t>7</w:t>
      </w:r>
      <w:r>
        <w:rPr>
          <w:rFonts w:hint="eastAsia" w:ascii="仿宋" w:eastAsia="仿宋" w:cs="仿宋_GB2312"/>
          <w:color w:val="auto"/>
          <w:szCs w:val="20"/>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7C778779">
      <w:pPr>
        <w:pStyle w:val="40"/>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w:t>
      </w:r>
      <w:r>
        <w:rPr>
          <w:rFonts w:hint="eastAsia" w:ascii="仿宋" w:eastAsia="仿宋" w:cs="仿宋_GB2312"/>
          <w:color w:val="auto"/>
          <w:szCs w:val="20"/>
          <w:highlight w:val="none"/>
          <w:lang w:val="zh-CN" w:eastAsia="zh"/>
        </w:rPr>
        <w:t>8</w:t>
      </w:r>
      <w:r>
        <w:rPr>
          <w:rFonts w:hint="eastAsia" w:ascii="仿宋" w:eastAsia="仿宋" w:cs="仿宋_GB2312"/>
          <w:color w:val="auto"/>
          <w:szCs w:val="20"/>
          <w:highlight w:val="none"/>
          <w:lang w:val="zh-CN"/>
        </w:rPr>
        <w:t>优惠条件及其他额外承诺；</w:t>
      </w:r>
    </w:p>
    <w:p w14:paraId="6497943B">
      <w:pPr>
        <w:snapToGrid w:val="0"/>
        <w:spacing w:line="440" w:lineRule="exact"/>
        <w:ind w:left="0"/>
        <w:jc w:val="left"/>
        <w:rPr>
          <w:rFonts w:hint="eastAsia"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hint="eastAsia" w:ascii="仿宋" w:eastAsia="仿宋" w:cs="仿宋_GB2312"/>
          <w:b/>
          <w:bCs/>
          <w:color w:val="auto"/>
          <w:kern w:val="0"/>
          <w:sz w:val="24"/>
          <w:highlight w:val="none"/>
          <w:lang w:val="zh-CN" w:eastAsia="zh"/>
        </w:rPr>
        <w:t>9</w:t>
      </w:r>
      <w:r>
        <w:rPr>
          <w:rFonts w:hint="eastAsia" w:ascii="仿宋" w:eastAsia="仿宋" w:cs="仿宋_GB2312"/>
          <w:b/>
          <w:bCs/>
          <w:color w:val="auto"/>
          <w:kern w:val="0"/>
          <w:sz w:val="24"/>
          <w:highlight w:val="none"/>
          <w:lang w:val="zh-CN"/>
        </w:rPr>
        <w:t>按评分细则中要求提供的其他资料（重要）；</w:t>
      </w:r>
    </w:p>
    <w:p w14:paraId="0D6476AB">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w:t>
      </w:r>
      <w:r>
        <w:rPr>
          <w:rFonts w:hint="eastAsia" w:ascii="仿宋" w:eastAsia="仿宋"/>
          <w:color w:val="auto"/>
          <w:sz w:val="24"/>
          <w:highlight w:val="none"/>
          <w:lang w:eastAsia="zh"/>
        </w:rPr>
        <w:t>0</w:t>
      </w:r>
      <w:r>
        <w:rPr>
          <w:rFonts w:hint="eastAsia" w:ascii="仿宋" w:eastAsia="仿宋"/>
          <w:color w:val="auto"/>
          <w:sz w:val="24"/>
          <w:highlight w:val="none"/>
        </w:rPr>
        <w:t>其他投标人认为需要提供的材料，如投标人简介等，格式自拟。</w:t>
      </w:r>
    </w:p>
    <w:p w14:paraId="2BA7C7CC">
      <w:pPr>
        <w:snapToGrid w:val="0"/>
        <w:spacing w:line="440" w:lineRule="exact"/>
        <w:ind w:left="0"/>
        <w:jc w:val="left"/>
        <w:rPr>
          <w:rFonts w:hint="eastAsia" w:ascii="仿宋" w:eastAsia="仿宋"/>
          <w:color w:val="auto"/>
          <w:sz w:val="24"/>
          <w:highlight w:val="non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val="en-US" w:eastAsia="zh-CN"/>
        </w:rPr>
        <w:t>供应商可对上述内容的</w:t>
      </w:r>
      <w:r>
        <w:rPr>
          <w:rFonts w:hint="eastAsia" w:ascii="仿宋" w:eastAsia="仿宋"/>
          <w:b/>
          <w:bCs/>
          <w:color w:val="auto"/>
          <w:sz w:val="32"/>
          <w:szCs w:val="32"/>
          <w:highlight w:val="none"/>
          <w:u w:val="single"/>
        </w:rPr>
        <w:t>格式</w:t>
      </w:r>
      <w:r>
        <w:rPr>
          <w:rFonts w:hint="eastAsia" w:ascii="仿宋" w:eastAsia="仿宋"/>
          <w:b/>
          <w:bCs/>
          <w:color w:val="auto"/>
          <w:sz w:val="32"/>
          <w:szCs w:val="32"/>
          <w:highlight w:val="none"/>
          <w:u w:val="single"/>
          <w:lang w:val="en-US" w:eastAsia="zh-CN"/>
        </w:rPr>
        <w:t>和内容</w:t>
      </w:r>
      <w:r>
        <w:rPr>
          <w:rFonts w:hint="eastAsia" w:ascii="仿宋" w:eastAsia="仿宋"/>
          <w:b/>
          <w:bCs/>
          <w:color w:val="auto"/>
          <w:sz w:val="32"/>
          <w:szCs w:val="32"/>
          <w:highlight w:val="none"/>
          <w:u w:val="single"/>
          <w:lang w:eastAsia="zh-CN"/>
        </w:rPr>
        <w:t>进行调整</w:t>
      </w:r>
      <w:r>
        <w:rPr>
          <w:rFonts w:hint="eastAsia" w:ascii="仿宋" w:eastAsia="仿宋"/>
          <w:b/>
          <w:bCs/>
          <w:color w:val="auto"/>
          <w:sz w:val="32"/>
          <w:szCs w:val="32"/>
          <w:highlight w:val="none"/>
          <w:u w:val="single"/>
        </w:rPr>
        <w:t>，以使“商务和技术文件”内容更加完备。供应商自有的各类证书、业绩等证明材料均为原件彩色扫描件或图片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7A33B146">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3</w:t>
      </w:r>
      <w:r>
        <w:rPr>
          <w:rFonts w:hint="eastAsia" w:ascii="仿宋" w:eastAsia="仿宋"/>
          <w:b/>
          <w:bCs/>
          <w:color w:val="auto"/>
          <w:sz w:val="24"/>
          <w:highlight w:val="none"/>
        </w:rPr>
        <w:t>“报价文件”包括以下内容：</w:t>
      </w:r>
    </w:p>
    <w:p w14:paraId="36B8B0E6">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.1开标一览表；</w:t>
      </w:r>
    </w:p>
    <w:p w14:paraId="365AB38D">
      <w:pPr>
        <w:widowControl/>
        <w:snapToGrid w:val="0"/>
        <w:spacing w:line="440" w:lineRule="exact"/>
        <w:jc w:val="left"/>
        <w:rPr>
          <w:rFonts w:hint="eastAsia" w:ascii="仿宋" w:eastAsia="仿宋"/>
          <w:color w:val="auto"/>
          <w:sz w:val="24"/>
          <w:highlight w:val="none"/>
        </w:rPr>
      </w:pPr>
      <w:r>
        <w:rPr>
          <w:rFonts w:ascii="仿宋" w:eastAsia="仿宋"/>
          <w:color w:val="auto"/>
          <w:sz w:val="24"/>
          <w:highlight w:val="none"/>
        </w:rPr>
        <w:t>2.</w:t>
      </w:r>
      <w:r>
        <w:rPr>
          <w:rFonts w:hint="eastAsia" w:ascii="仿宋" w:eastAsia="仿宋"/>
          <w:color w:val="auto"/>
          <w:sz w:val="24"/>
          <w:highlight w:val="none"/>
          <w:lang w:val="en-US" w:eastAsia="zh-CN"/>
        </w:rPr>
        <w:t>3.2</w:t>
      </w:r>
      <w:r>
        <w:rPr>
          <w:rFonts w:hint="eastAsia" w:ascii="仿宋" w:eastAsia="仿宋"/>
          <w:color w:val="auto"/>
          <w:sz w:val="24"/>
          <w:highlight w:val="none"/>
        </w:rPr>
        <w:t>中小企业声明函（如有）；</w:t>
      </w:r>
    </w:p>
    <w:p w14:paraId="153BC6FE">
      <w:pPr>
        <w:widowControl/>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3.3</w:t>
      </w:r>
      <w:r>
        <w:rPr>
          <w:rFonts w:hint="eastAsia" w:ascii="仿宋" w:eastAsia="仿宋"/>
          <w:color w:val="auto"/>
          <w:sz w:val="24"/>
          <w:highlight w:val="none"/>
        </w:rPr>
        <w:t>残疾人福利性单位声明函（如有）；</w:t>
      </w:r>
    </w:p>
    <w:p w14:paraId="5399CD9C">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w:t>
      </w:r>
      <w:r>
        <w:rPr>
          <w:rFonts w:hint="eastAsia" w:ascii="仿宋" w:eastAsia="仿宋"/>
          <w:color w:val="auto"/>
          <w:sz w:val="24"/>
          <w:highlight w:val="none"/>
          <w:lang w:val="en-US" w:eastAsia="zh-CN"/>
        </w:rPr>
        <w:t>4</w:t>
      </w:r>
      <w:r>
        <w:rPr>
          <w:rFonts w:hint="eastAsia" w:ascii="仿宋" w:eastAsia="仿宋"/>
          <w:color w:val="auto"/>
          <w:sz w:val="24"/>
          <w:highlight w:val="none"/>
        </w:rPr>
        <w:t>关于报价的其他说明（如有，格式自拟）。</w:t>
      </w:r>
    </w:p>
    <w:p w14:paraId="33BDCAA2">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eastAsia="zh-CN"/>
        </w:rPr>
        <w:t>开标一览表</w:t>
      </w:r>
      <w:r>
        <w:rPr>
          <w:rFonts w:hint="eastAsia" w:ascii="仿宋" w:eastAsia="仿宋"/>
          <w:b/>
          <w:bCs/>
          <w:color w:val="auto"/>
          <w:sz w:val="32"/>
          <w:szCs w:val="32"/>
          <w:highlight w:val="none"/>
          <w:u w:val="single"/>
        </w:rPr>
        <w:t>”需按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作无效投标处理。</w:t>
      </w:r>
    </w:p>
    <w:p w14:paraId="1C33A71B">
      <w:pPr>
        <w:snapToGrid w:val="0"/>
        <w:spacing w:line="440" w:lineRule="exact"/>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注：如联合体投标的，“资格文件”、“商务技术文件”、“报价文件”中除联合体协议外，所有盖章、签字部分仅需联合体牵头人盖章和签字。</w:t>
      </w:r>
    </w:p>
    <w:p w14:paraId="1999F118">
      <w:pPr>
        <w:numPr>
          <w:ilvl w:val="0"/>
          <w:numId w:val="5"/>
        </w:numPr>
        <w:snapToGrid w:val="0"/>
        <w:spacing w:line="440" w:lineRule="exact"/>
        <w:jc w:val="left"/>
        <w:outlineLvl w:val="2"/>
        <w:rPr>
          <w:rFonts w:hint="eastAsia" w:ascii="仿宋" w:eastAsia="仿宋"/>
          <w:b/>
          <w:color w:val="auto"/>
          <w:sz w:val="24"/>
          <w:highlight w:val="none"/>
        </w:rPr>
      </w:pPr>
      <w:r>
        <w:rPr>
          <w:rFonts w:hint="eastAsia" w:ascii="仿宋" w:eastAsia="仿宋"/>
          <w:b/>
          <w:color w:val="auto"/>
          <w:sz w:val="24"/>
          <w:highlight w:val="none"/>
        </w:rPr>
        <w:t>投标文件的制作要求</w:t>
      </w:r>
    </w:p>
    <w:p w14:paraId="4AD52B8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3.1电子投标文件</w:t>
      </w:r>
      <w:r>
        <w:rPr>
          <w:rFonts w:hint="eastAsia" w:ascii="仿宋" w:eastAsia="仿宋"/>
          <w:b/>
          <w:color w:val="auto"/>
          <w:sz w:val="24"/>
          <w:highlight w:val="none"/>
          <w:lang w:eastAsia="zh-CN"/>
        </w:rPr>
        <w:t>制作需登录乐采云平台后，点击</w:t>
      </w:r>
      <w:r>
        <w:rPr>
          <w:rFonts w:hint="eastAsia" w:ascii="仿宋" w:eastAsia="仿宋"/>
          <w:b/>
          <w:color w:val="auto"/>
          <w:sz w:val="24"/>
          <w:highlight w:val="none"/>
        </w:rPr>
        <w:t>【项目采购】-【获取采购文件】-右上角【更多说明】中下载对应的客户端</w:t>
      </w:r>
      <w:r>
        <w:rPr>
          <w:rFonts w:hint="eastAsia" w:ascii="仿宋" w:eastAsia="仿宋"/>
          <w:b/>
          <w:color w:val="auto"/>
          <w:sz w:val="24"/>
          <w:highlight w:val="none"/>
          <w:lang w:eastAsia="zh-CN"/>
        </w:rPr>
        <w:t>，按客户端及</w:t>
      </w:r>
      <w:r>
        <w:rPr>
          <w:rFonts w:hint="eastAsia" w:ascii="仿宋" w:eastAsia="仿宋"/>
          <w:b/>
          <w:color w:val="auto"/>
          <w:sz w:val="24"/>
          <w:highlight w:val="none"/>
        </w:rPr>
        <w:t>本采购文件要求制作、加密并上传，</w:t>
      </w:r>
      <w:r>
        <w:rPr>
          <w:rFonts w:hint="eastAsia" w:ascii="仿宋" w:eastAsia="仿宋"/>
          <w:b/>
          <w:bCs/>
          <w:color w:val="auto"/>
          <w:spacing w:val="-4"/>
          <w:sz w:val="24"/>
          <w:highlight w:val="none"/>
        </w:rPr>
        <w:t>未按“</w:t>
      </w:r>
      <w:r>
        <w:rPr>
          <w:rFonts w:hint="eastAsia" w:ascii="仿宋" w:eastAsia="仿宋"/>
          <w:b/>
          <w:bCs/>
          <w:color w:val="auto"/>
          <w:spacing w:val="-4"/>
          <w:sz w:val="24"/>
          <w:highlight w:val="none"/>
          <w:lang w:eastAsia="zh-CN"/>
        </w:rPr>
        <w:t>乐采云</w:t>
      </w:r>
      <w:r>
        <w:rPr>
          <w:rFonts w:hint="eastAsia" w:ascii="仿宋" w:eastAsia="仿宋"/>
          <w:b/>
          <w:bCs/>
          <w:color w:val="auto"/>
          <w:spacing w:val="-4"/>
          <w:sz w:val="24"/>
          <w:highlight w:val="none"/>
        </w:rPr>
        <w:t>”平台电子投标工具（</w:t>
      </w:r>
      <w:r>
        <w:rPr>
          <w:rFonts w:hint="eastAsia" w:ascii="仿宋" w:eastAsia="仿宋"/>
          <w:b/>
          <w:bCs/>
          <w:color w:val="auto"/>
          <w:spacing w:val="-4"/>
          <w:sz w:val="24"/>
          <w:highlight w:val="none"/>
          <w:lang w:eastAsia="zh-CN"/>
        </w:rPr>
        <w:t>政采云投标</w:t>
      </w:r>
      <w:r>
        <w:rPr>
          <w:rFonts w:hint="eastAsia" w:ascii="仿宋" w:eastAsia="仿宋"/>
          <w:b/>
          <w:bCs/>
          <w:color w:val="auto"/>
          <w:spacing w:val="-4"/>
          <w:sz w:val="24"/>
          <w:highlight w:val="none"/>
        </w:rPr>
        <w:t>客户端</w:t>
      </w:r>
      <w:r>
        <w:rPr>
          <w:rFonts w:hint="eastAsia" w:ascii="仿宋" w:eastAsia="仿宋"/>
          <w:b/>
          <w:bCs/>
          <w:color w:val="auto"/>
          <w:spacing w:val="-4"/>
          <w:sz w:val="24"/>
          <w:highlight w:val="none"/>
          <w:lang w:eastAsia="zh-CN"/>
        </w:rPr>
        <w:t>与乐采云投标客户端不互通</w:t>
      </w:r>
      <w:r>
        <w:rPr>
          <w:rFonts w:hint="eastAsia" w:ascii="仿宋" w:eastAsia="仿宋"/>
          <w:b/>
          <w:bCs/>
          <w:color w:val="auto"/>
          <w:spacing w:val="-4"/>
          <w:sz w:val="24"/>
          <w:highlight w:val="none"/>
        </w:rPr>
        <w:t>）制作将无法上传和解密</w:t>
      </w:r>
      <w:r>
        <w:rPr>
          <w:rFonts w:hint="eastAsia" w:ascii="仿宋" w:eastAsia="仿宋"/>
          <w:b/>
          <w:color w:val="auto"/>
          <w:sz w:val="24"/>
          <w:highlight w:val="none"/>
        </w:rPr>
        <w:t>。</w:t>
      </w:r>
    </w:p>
    <w:p w14:paraId="4C18105C">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3.2投标文件须为PDF格式文档。</w:t>
      </w:r>
    </w:p>
    <w:p w14:paraId="27203265">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3.3投标文件需做好“标书关联”（即设置关联点），未设置关联点而导致失分或无效投标处理的风险由投标人承担。</w:t>
      </w:r>
    </w:p>
    <w:p w14:paraId="1AD362F8">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281A6B0E">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7DAE9798">
      <w:pPr>
        <w:snapToGrid w:val="0"/>
        <w:spacing w:line="440" w:lineRule="exact"/>
        <w:jc w:val="left"/>
        <w:rPr>
          <w:rFonts w:hint="eastAsia"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友情提醒：在生成加密电子标书过程中，花费时间较长，预计需要10-20分钟时间，请供应商耐心等待，不要关闭投标客户端。</w:t>
      </w:r>
    </w:p>
    <w:p w14:paraId="487FC1B2">
      <w:pPr>
        <w:widowControl/>
        <w:snapToGrid w:val="0"/>
        <w:spacing w:line="440" w:lineRule="exact"/>
        <w:outlineLvl w:val="2"/>
        <w:rPr>
          <w:rFonts w:hint="eastAsia"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0451594A">
      <w:pPr>
        <w:widowControl/>
        <w:snapToGrid w:val="0"/>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323B358E">
      <w:pPr>
        <w:pStyle w:val="8"/>
        <w:numPr>
          <w:ilvl w:val="0"/>
          <w:numId w:val="0"/>
        </w:numPr>
        <w:spacing w:after="0" w:afterLines="0" w:line="440" w:lineRule="atLeast"/>
        <w:outlineLvl w:val="2"/>
        <w:rPr>
          <w:rFonts w:hint="eastAsia" w:ascii="仿宋" w:eastAsia="仿宋"/>
          <w:b/>
          <w:color w:val="auto"/>
          <w:szCs w:val="24"/>
          <w:highlight w:val="none"/>
        </w:rPr>
      </w:pPr>
      <w:r>
        <w:rPr>
          <w:rFonts w:hint="eastAsia" w:ascii="仿宋" w:eastAsia="仿宋"/>
          <w:b/>
          <w:color w:val="auto"/>
          <w:szCs w:val="24"/>
          <w:highlight w:val="none"/>
        </w:rPr>
        <w:t>5.投标文件的有效期</w:t>
      </w:r>
    </w:p>
    <w:p w14:paraId="0E1402FE">
      <w:pPr>
        <w:pStyle w:val="8"/>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2A1B8BA2">
      <w:pPr>
        <w:pStyle w:val="8"/>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124C48AA">
      <w:pPr>
        <w:pStyle w:val="8"/>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1F00F06E">
      <w:pPr>
        <w:pStyle w:val="8"/>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5.4投标文件不予退还。</w:t>
      </w:r>
    </w:p>
    <w:p w14:paraId="23358292">
      <w:pPr>
        <w:pStyle w:val="8"/>
        <w:numPr>
          <w:ilvl w:val="0"/>
          <w:numId w:val="0"/>
        </w:numPr>
        <w:spacing w:after="0" w:afterLines="0" w:line="440" w:lineRule="atLeast"/>
        <w:outlineLvl w:val="2"/>
        <w:rPr>
          <w:rFonts w:hint="eastAsia" w:ascii="仿宋" w:eastAsia="仿宋"/>
          <w:b/>
          <w:bCs/>
          <w:color w:val="auto"/>
          <w:szCs w:val="24"/>
          <w:highlight w:val="none"/>
        </w:rPr>
      </w:pPr>
      <w:r>
        <w:rPr>
          <w:rFonts w:hint="eastAsia" w:ascii="仿宋" w:eastAsia="仿宋"/>
          <w:b/>
          <w:bCs/>
          <w:color w:val="auto"/>
          <w:szCs w:val="24"/>
          <w:highlight w:val="none"/>
        </w:rPr>
        <w:t>6.投标文件的保密</w:t>
      </w:r>
    </w:p>
    <w:p w14:paraId="54ECB141">
      <w:pPr>
        <w:pStyle w:val="8"/>
        <w:numPr>
          <w:ilvl w:val="0"/>
          <w:numId w:val="0"/>
        </w:numPr>
        <w:spacing w:afterLines="0" w:line="440" w:lineRule="atLeast"/>
        <w:ind w:left="0"/>
        <w:jc w:val="left"/>
        <w:rPr>
          <w:rFonts w:hint="eastAsia" w:ascii="仿宋" w:eastAsia="仿宋"/>
          <w:color w:val="auto"/>
          <w:sz w:val="24"/>
          <w:szCs w:val="24"/>
          <w:highlight w:val="none"/>
        </w:rPr>
      </w:pPr>
      <w:r>
        <w:rPr>
          <w:rFonts w:hint="eastAsia" w:ascii="仿宋" w:eastAsia="仿宋"/>
          <w:color w:val="auto"/>
          <w:sz w:val="24"/>
          <w:szCs w:val="24"/>
          <w:highlight w:val="none"/>
        </w:rPr>
        <w:t>6.1备份电子投标文件在解密前处于保密状态。</w:t>
      </w:r>
    </w:p>
    <w:p w14:paraId="030C29CB">
      <w:pPr>
        <w:pStyle w:val="8"/>
        <w:numPr>
          <w:ilvl w:val="0"/>
          <w:numId w:val="0"/>
        </w:numPr>
        <w:spacing w:afterLines="0" w:line="440" w:lineRule="atLeast"/>
        <w:ind w:left="0"/>
        <w:jc w:val="left"/>
        <w:rPr>
          <w:rFonts w:hint="eastAsia" w:ascii="仿宋" w:eastAsia="仿宋"/>
          <w:color w:val="auto"/>
          <w:sz w:val="24"/>
          <w:szCs w:val="24"/>
          <w:highlight w:val="none"/>
        </w:rPr>
      </w:pPr>
      <w:r>
        <w:rPr>
          <w:rFonts w:hint="eastAsia" w:ascii="仿宋" w:eastAsia="仿宋"/>
          <w:color w:val="auto"/>
          <w:sz w:val="24"/>
          <w:szCs w:val="24"/>
          <w:highlight w:val="none"/>
        </w:rPr>
        <w:t>6.2解密成功后，“资格文件”、“商务和技术文件”、“报价文件”各自处于数据隔离状态，各部分信息只有在相关环节评审时可见，不受解密影响。</w:t>
      </w:r>
    </w:p>
    <w:p w14:paraId="557A29F4">
      <w:pPr>
        <w:pStyle w:val="4"/>
        <w:spacing w:line="415" w:lineRule="auto"/>
        <w:jc w:val="center"/>
        <w:rPr>
          <w:rFonts w:hint="eastAsia" w:ascii="仿宋"/>
          <w:color w:val="auto"/>
          <w:highlight w:val="none"/>
        </w:rPr>
      </w:pPr>
      <w:bookmarkStart w:id="39" w:name="_Toc30761"/>
      <w:r>
        <w:rPr>
          <w:rFonts w:hint="eastAsia" w:ascii="仿宋"/>
          <w:color w:val="auto"/>
          <w:highlight w:val="none"/>
        </w:rPr>
        <w:t>四、开标评标</w:t>
      </w:r>
      <w:bookmarkEnd w:id="39"/>
    </w:p>
    <w:p w14:paraId="5013A266">
      <w:pPr>
        <w:snapToGrid w:val="0"/>
        <w:spacing w:line="440" w:lineRule="exact"/>
        <w:jc w:val="left"/>
        <w:outlineLvl w:val="2"/>
        <w:rPr>
          <w:rFonts w:hint="eastAsia" w:ascii="仿宋" w:eastAsia="仿宋"/>
          <w:b/>
          <w:bCs/>
          <w:color w:val="auto"/>
          <w:sz w:val="24"/>
          <w:highlight w:val="none"/>
        </w:rPr>
      </w:pPr>
      <w:r>
        <w:rPr>
          <w:rFonts w:hint="eastAsia" w:ascii="仿宋" w:eastAsia="仿宋"/>
          <w:b/>
          <w:bCs/>
          <w:color w:val="auto"/>
          <w:sz w:val="24"/>
          <w:highlight w:val="none"/>
        </w:rPr>
        <w:t>1．开标出席</w:t>
      </w:r>
    </w:p>
    <w:p w14:paraId="052D0A69">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w:t>
      </w:r>
      <w:r>
        <w:rPr>
          <w:rFonts w:hint="eastAsia" w:ascii="仿宋" w:eastAsia="仿宋"/>
          <w:b/>
          <w:bCs/>
          <w:color w:val="auto"/>
          <w:sz w:val="24"/>
          <w:highlight w:val="none"/>
          <w:lang w:eastAsia="zh-CN"/>
        </w:rPr>
        <w:t>乐采云平台</w:t>
      </w:r>
      <w:r>
        <w:rPr>
          <w:rFonts w:hint="eastAsia" w:ascii="仿宋" w:eastAsia="仿宋"/>
          <w:b/>
          <w:bCs/>
          <w:color w:val="auto"/>
          <w:sz w:val="24"/>
          <w:highlight w:val="none"/>
        </w:rPr>
        <w:t>”在线参加开标，否则将导致投标文件无法按时解密、无法在线询标等。</w:t>
      </w:r>
    </w:p>
    <w:p w14:paraId="05B05BC1">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0A21AEBA">
      <w:pPr>
        <w:snapToGrid w:val="0"/>
        <w:spacing w:line="440" w:lineRule="exact"/>
        <w:jc w:val="left"/>
        <w:outlineLvl w:val="2"/>
        <w:rPr>
          <w:rFonts w:hint="eastAsia" w:ascii="仿宋" w:eastAsia="仿宋"/>
          <w:b/>
          <w:color w:val="auto"/>
          <w:sz w:val="24"/>
          <w:highlight w:val="none"/>
        </w:rPr>
      </w:pPr>
      <w:r>
        <w:rPr>
          <w:rFonts w:hint="eastAsia" w:ascii="仿宋" w:eastAsia="仿宋"/>
          <w:b/>
          <w:color w:val="auto"/>
          <w:sz w:val="24"/>
          <w:highlight w:val="none"/>
        </w:rPr>
        <w:t>2．开标大会程序</w:t>
      </w:r>
    </w:p>
    <w:p w14:paraId="07468CD6">
      <w:pPr>
        <w:snapToGrid w:val="0"/>
        <w:spacing w:line="440" w:lineRule="exact"/>
        <w:jc w:val="left"/>
        <w:rPr>
          <w:rFonts w:hint="eastAsia" w:ascii="仿宋" w:eastAsia="仿宋"/>
          <w:color w:val="auto"/>
          <w:sz w:val="24"/>
          <w:highlight w:val="none"/>
          <w:u w:val="none"/>
        </w:rPr>
      </w:pPr>
      <w:r>
        <w:rPr>
          <w:rFonts w:hint="eastAsia" w:ascii="仿宋" w:eastAsia="仿宋"/>
          <w:b w:val="0"/>
          <w:bCs w:val="0"/>
          <w:color w:val="auto"/>
          <w:sz w:val="24"/>
          <w:highlight w:val="none"/>
          <w:u w:val="none" w:color="auto"/>
        </w:rPr>
        <w:t>开标大会由采购代理机构主持：</w:t>
      </w:r>
    </w:p>
    <w:p w14:paraId="0A7FE3F3">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2.1主持人宣布开标会开始，介绍到会单位和人员（视情）。</w:t>
      </w:r>
    </w:p>
    <w:p w14:paraId="1591F138">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2.2宣读完成加密电子投标文件上传的供应商名单（视情）。</w:t>
      </w:r>
    </w:p>
    <w:p w14:paraId="0C26E64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1670A9A8">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2.4采购代理机构通过</w:t>
      </w:r>
      <w:r>
        <w:rPr>
          <w:rFonts w:hint="eastAsia" w:ascii="仿宋" w:eastAsia="仿宋"/>
          <w:color w:val="auto"/>
          <w:sz w:val="24"/>
          <w:highlight w:val="none"/>
          <w:lang w:eastAsia="zh-CN"/>
        </w:rPr>
        <w:t>乐采云平台</w:t>
      </w:r>
      <w:r>
        <w:rPr>
          <w:rFonts w:hint="eastAsia" w:ascii="仿宋" w:eastAsia="仿宋"/>
          <w:color w:val="auto"/>
          <w:sz w:val="24"/>
          <w:highlight w:val="none"/>
        </w:rPr>
        <w:t>和上传电子投标文件时登记的手机号发出解密指令，投标人对加密电子投标文件进行在线解密。</w:t>
      </w:r>
      <w:r>
        <w:rPr>
          <w:rFonts w:hint="eastAsia" w:ascii="仿宋" w:eastAsia="仿宋"/>
          <w:color w:val="auto"/>
          <w:sz w:val="24"/>
          <w:highlight w:val="none"/>
          <w:lang w:eastAsia="zh-CN"/>
        </w:rPr>
        <w:t>在系统规定时间内</w:t>
      </w:r>
      <w:r>
        <w:rPr>
          <w:rFonts w:hint="eastAsia" w:ascii="仿宋" w:eastAsia="仿宋"/>
          <w:color w:val="auto"/>
          <w:sz w:val="24"/>
          <w:highlight w:val="none"/>
        </w:rPr>
        <w:t>解密电子投标文件</w:t>
      </w:r>
      <w:r>
        <w:rPr>
          <w:rFonts w:hint="eastAsia" w:ascii="仿宋" w:eastAsia="仿宋"/>
          <w:color w:val="auto"/>
          <w:sz w:val="24"/>
          <w:highlight w:val="none"/>
          <w:lang w:eastAsia="zh-CN"/>
        </w:rPr>
        <w:t>，</w:t>
      </w:r>
      <w:r>
        <w:rPr>
          <w:rFonts w:hint="eastAsia" w:ascii="仿宋" w:eastAsia="仿宋"/>
          <w:color w:val="auto"/>
          <w:sz w:val="24"/>
          <w:highlight w:val="none"/>
        </w:rPr>
        <w:t>解密成功的，备份加密电子投标文件自动失效。若在规定时间内无法解密或解密失败，上传备份电子加密投标文件并解密。</w:t>
      </w:r>
    </w:p>
    <w:p w14:paraId="300AF4C8">
      <w:pPr>
        <w:snapToGrid w:val="0"/>
        <w:spacing w:line="480" w:lineRule="exact"/>
        <w:jc w:val="left"/>
        <w:rPr>
          <w:rFonts w:hint="eastAsia"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46F3B33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3E367128">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70A8B19D">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注：评审期间的询标、澄清都将在</w:t>
      </w:r>
      <w:r>
        <w:rPr>
          <w:rFonts w:hint="eastAsia" w:ascii="仿宋" w:eastAsia="仿宋"/>
          <w:color w:val="auto"/>
          <w:sz w:val="24"/>
          <w:highlight w:val="none"/>
          <w:lang w:eastAsia="zh-CN"/>
        </w:rPr>
        <w:t>乐采云平台</w:t>
      </w:r>
      <w:r>
        <w:rPr>
          <w:rFonts w:hint="eastAsia" w:ascii="仿宋" w:eastAsia="仿宋"/>
          <w:color w:val="auto"/>
          <w:sz w:val="24"/>
          <w:highlight w:val="none"/>
        </w:rPr>
        <w:t>上进行。</w:t>
      </w:r>
    </w:p>
    <w:p w14:paraId="7A69D3E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1B6CED25">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2.8汇总技术商务分、价格分，根据总得分</w:t>
      </w:r>
      <w:r>
        <w:rPr>
          <w:rFonts w:hint="eastAsia" w:ascii="仿宋" w:eastAsia="仿宋"/>
          <w:color w:val="auto"/>
          <w:sz w:val="24"/>
          <w:highlight w:val="none"/>
          <w:lang w:eastAsia="zh"/>
        </w:rPr>
        <w:t>由高到低</w:t>
      </w:r>
      <w:r>
        <w:rPr>
          <w:rFonts w:hint="eastAsia" w:ascii="仿宋" w:eastAsia="仿宋"/>
          <w:color w:val="auto"/>
          <w:sz w:val="24"/>
          <w:highlight w:val="none"/>
        </w:rPr>
        <w:t>排序</w:t>
      </w:r>
      <w:r>
        <w:rPr>
          <w:rFonts w:hint="eastAsia" w:ascii="仿宋" w:eastAsia="仿宋"/>
          <w:color w:val="auto"/>
          <w:sz w:val="24"/>
          <w:highlight w:val="none"/>
          <w:lang w:eastAsia="zh"/>
        </w:rPr>
        <w:t>并</w:t>
      </w:r>
      <w:r>
        <w:rPr>
          <w:rFonts w:hint="eastAsia" w:ascii="仿宋" w:eastAsia="仿宋"/>
          <w:color w:val="auto"/>
          <w:sz w:val="24"/>
          <w:highlight w:val="none"/>
        </w:rPr>
        <w:t>确定中标候选人，公布评审结果。</w:t>
      </w:r>
    </w:p>
    <w:p w14:paraId="08B58630">
      <w:pPr>
        <w:spacing w:line="480" w:lineRule="exact"/>
        <w:jc w:val="left"/>
        <w:outlineLvl w:val="2"/>
        <w:rPr>
          <w:rFonts w:hint="eastAsia" w:ascii="仿宋" w:eastAsia="仿宋"/>
          <w:b/>
          <w:bCs/>
          <w:color w:val="auto"/>
          <w:sz w:val="24"/>
          <w:highlight w:val="none"/>
        </w:rPr>
      </w:pPr>
      <w:r>
        <w:rPr>
          <w:rFonts w:hint="eastAsia" w:ascii="仿宋" w:eastAsia="仿宋"/>
          <w:b/>
          <w:bCs/>
          <w:color w:val="auto"/>
          <w:sz w:val="24"/>
          <w:highlight w:val="none"/>
        </w:rPr>
        <w:t>3.评审委员会的组成</w:t>
      </w:r>
    </w:p>
    <w:p w14:paraId="6BAAB26A">
      <w:pPr>
        <w:spacing w:line="480" w:lineRule="exact"/>
        <w:jc w:val="left"/>
        <w:rPr>
          <w:rFonts w:hint="eastAsia"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299F218C">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6522BE8C">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3.3采购人代表不担任评审组长。</w:t>
      </w:r>
    </w:p>
    <w:p w14:paraId="079D0650">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3.4经监督部门同意，由于专家库无相应专业专家或技术复杂等原因允许采购人自行组建或推荐抽取评审专家，相关操作规则需符合法律规定。</w:t>
      </w:r>
    </w:p>
    <w:p w14:paraId="1850D2A9">
      <w:pPr>
        <w:spacing w:line="480" w:lineRule="exact"/>
        <w:jc w:val="left"/>
        <w:outlineLvl w:val="2"/>
        <w:rPr>
          <w:rFonts w:hint="eastAsia" w:ascii="仿宋" w:eastAsia="仿宋" w:cs="宋体"/>
          <w:b/>
          <w:bCs/>
          <w:color w:val="auto"/>
          <w:sz w:val="24"/>
          <w:highlight w:val="none"/>
        </w:rPr>
      </w:pPr>
      <w:r>
        <w:rPr>
          <w:rFonts w:hint="eastAsia" w:ascii="仿宋" w:eastAsia="仿宋" w:cs="宋体"/>
          <w:b/>
          <w:bCs/>
          <w:color w:val="auto"/>
          <w:sz w:val="24"/>
          <w:highlight w:val="none"/>
        </w:rPr>
        <w:t>4.评审</w:t>
      </w:r>
    </w:p>
    <w:p w14:paraId="0B59FF21">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4.1评审程序：</w:t>
      </w:r>
    </w:p>
    <w:p w14:paraId="417D0D5F">
      <w:pPr>
        <w:spacing w:line="480" w:lineRule="exact"/>
        <w:ind w:firstLine="480" w:firstLineChars="200"/>
        <w:jc w:val="left"/>
        <w:rPr>
          <w:rFonts w:hint="eastAsia"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p>
    <w:p w14:paraId="2CE27CA1">
      <w:pPr>
        <w:spacing w:line="480" w:lineRule="exact"/>
        <w:ind w:firstLine="480" w:firstLineChars="200"/>
        <w:jc w:val="left"/>
        <w:rPr>
          <w:rFonts w:hint="eastAsia"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5410A306">
      <w:pPr>
        <w:spacing w:line="480" w:lineRule="exact"/>
        <w:ind w:firstLine="480" w:firstLineChars="200"/>
        <w:jc w:val="left"/>
        <w:rPr>
          <w:rFonts w:hint="eastAsia"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3BED28E7">
      <w:pPr>
        <w:spacing w:line="480" w:lineRule="exact"/>
        <w:ind w:firstLine="480" w:firstLineChars="200"/>
        <w:jc w:val="left"/>
        <w:rPr>
          <w:rFonts w:hint="eastAsia"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6CD96055">
      <w:pPr>
        <w:spacing w:line="480" w:lineRule="exact"/>
        <w:ind w:firstLine="480" w:firstLineChars="200"/>
        <w:jc w:val="left"/>
        <w:rPr>
          <w:rFonts w:hint="eastAsia"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18A5242C">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3572AC29">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51027F1A">
      <w:pPr>
        <w:spacing w:line="480" w:lineRule="exact"/>
        <w:jc w:val="left"/>
        <w:rPr>
          <w:rFonts w:hint="eastAsia"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w:t>
      </w:r>
      <w:r>
        <w:rPr>
          <w:rFonts w:hint="eastAsia" w:ascii="仿宋" w:eastAsia="仿宋"/>
          <w:color w:val="auto"/>
          <w:sz w:val="24"/>
          <w:highlight w:val="none"/>
          <w:lang w:eastAsia="zh-CN"/>
        </w:rPr>
        <w:t>乐采云平台</w:t>
      </w:r>
      <w:r>
        <w:rPr>
          <w:rFonts w:hint="eastAsia" w:ascii="仿宋" w:eastAsia="仿宋"/>
          <w:color w:val="auto"/>
          <w:sz w:val="24"/>
          <w:highlight w:val="none"/>
        </w:rPr>
        <w:t>中要求投标人作出必要的澄清、说明或者补正。投标人的澄清、说明或者补正应当在</w:t>
      </w:r>
      <w:r>
        <w:rPr>
          <w:rFonts w:hint="eastAsia" w:ascii="仿宋" w:eastAsia="仿宋"/>
          <w:color w:val="auto"/>
          <w:sz w:val="24"/>
          <w:highlight w:val="none"/>
          <w:lang w:eastAsia="zh-CN"/>
        </w:rPr>
        <w:t>乐采云平台</w:t>
      </w:r>
      <w:r>
        <w:rPr>
          <w:rFonts w:hint="eastAsia" w:ascii="仿宋" w:eastAsia="仿宋"/>
          <w:color w:val="auto"/>
          <w:sz w:val="24"/>
          <w:highlight w:val="none"/>
        </w:rPr>
        <w:t>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334DD438">
      <w:pPr>
        <w:widowControl/>
        <w:snapToGrid w:val="0"/>
        <w:spacing w:line="480" w:lineRule="exact"/>
        <w:rPr>
          <w:rFonts w:hint="eastAsia"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4E17328C">
      <w:pPr>
        <w:spacing w:line="440" w:lineRule="exact"/>
        <w:jc w:val="left"/>
        <w:outlineLvl w:val="2"/>
        <w:rPr>
          <w:rFonts w:hint="eastAsia" w:ascii="仿宋" w:eastAsia="仿宋" w:cs="宋体"/>
          <w:b/>
          <w:bCs/>
          <w:color w:val="auto"/>
          <w:sz w:val="24"/>
          <w:highlight w:val="none"/>
        </w:rPr>
      </w:pPr>
      <w:r>
        <w:rPr>
          <w:rFonts w:hint="eastAsia" w:ascii="仿宋" w:eastAsia="仿宋" w:cs="宋体"/>
          <w:b/>
          <w:bCs/>
          <w:color w:val="auto"/>
          <w:sz w:val="24"/>
          <w:highlight w:val="none"/>
        </w:rPr>
        <w:t>5.报价修正规则</w:t>
      </w:r>
    </w:p>
    <w:p w14:paraId="2DBA7A84">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3A24DD74">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14323C91">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7788CBA7">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41FD1D5D">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3B8950A4">
      <w:pPr>
        <w:pStyle w:val="18"/>
        <w:snapToGrid w:val="0"/>
        <w:spacing w:line="440" w:lineRule="exact"/>
        <w:jc w:val="left"/>
        <w:outlineLvl w:val="2"/>
        <w:rPr>
          <w:rFonts w:hint="eastAsia" w:ascii="仿宋" w:eastAsia="仿宋"/>
          <w:b/>
          <w:color w:val="auto"/>
          <w:sz w:val="24"/>
          <w:szCs w:val="24"/>
          <w:highlight w:val="none"/>
        </w:rPr>
      </w:pPr>
      <w:r>
        <w:rPr>
          <w:rFonts w:hint="eastAsia" w:ascii="仿宋" w:eastAsia="仿宋"/>
          <w:b/>
          <w:color w:val="auto"/>
          <w:sz w:val="24"/>
          <w:szCs w:val="24"/>
          <w:highlight w:val="none"/>
        </w:rPr>
        <w:t>6．无效投标的情形</w:t>
      </w:r>
    </w:p>
    <w:p w14:paraId="19279A61">
      <w:pPr>
        <w:tabs>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4DEE9A07">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6.1单位负责人为同一人或者存在直接控股、管理关系的不同供应商参加同一合同项（标项）下的采购活动的（双方均作无效投标处理）；</w:t>
      </w:r>
    </w:p>
    <w:p w14:paraId="3789721E">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0A1D7613">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2137BD5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eastAsia="仿宋"/>
          <w:b/>
          <w:color w:val="auto"/>
          <w:kern w:val="0"/>
          <w:sz w:val="24"/>
          <w:highlight w:val="none"/>
        </w:rPr>
        <w:t>；</w:t>
      </w:r>
    </w:p>
    <w:p w14:paraId="77B7EB0A">
      <w:pPr>
        <w:snapToGrid w:val="0"/>
        <w:spacing w:line="440" w:lineRule="exact"/>
        <w:jc w:val="left"/>
        <w:rPr>
          <w:rFonts w:hint="eastAsia"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7FCC34D9">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294DD27C">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004BA0C2">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3C1DD3ED">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szCs w:val="20"/>
          <w:highlight w:val="none"/>
        </w:rPr>
        <w:t>6.5.4对招标</w:t>
      </w:r>
      <w:r>
        <w:rPr>
          <w:rFonts w:hint="eastAsia" w:ascii="仿宋" w:eastAsia="仿宋"/>
          <w:color w:val="auto"/>
          <w:sz w:val="24"/>
          <w:highlight w:val="none"/>
        </w:rPr>
        <w:t>服务或技术或产品等要求</w:t>
      </w:r>
      <w:r>
        <w:rPr>
          <w:rFonts w:hint="eastAsia" w:ascii="仿宋" w:eastAsia="仿宋"/>
          <w:color w:val="auto"/>
          <w:sz w:val="24"/>
          <w:szCs w:val="20"/>
          <w:highlight w:val="none"/>
        </w:rPr>
        <w:t>未详细应答或应答</w:t>
      </w:r>
      <w:r>
        <w:rPr>
          <w:rFonts w:hint="eastAsia" w:ascii="仿宋" w:eastAsia="仿宋"/>
          <w:color w:val="auto"/>
          <w:sz w:val="24"/>
          <w:highlight w:val="none"/>
        </w:rPr>
        <w:t>内容不全、有缺失的,经评审委员会认定为无法评审的；</w:t>
      </w:r>
    </w:p>
    <w:p w14:paraId="26B4304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08FC1535">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09936779">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lang w:val="en-US" w:eastAsia="zh-CN"/>
        </w:rPr>
        <w:t>6</w:t>
      </w:r>
      <w:r>
        <w:rPr>
          <w:rFonts w:hint="eastAsia" w:ascii="仿宋" w:eastAsia="仿宋"/>
          <w:color w:val="auto"/>
          <w:sz w:val="24"/>
          <w:highlight w:val="none"/>
        </w:rPr>
        <w:t>.5.</w:t>
      </w:r>
      <w:r>
        <w:rPr>
          <w:rFonts w:hint="eastAsia" w:ascii="仿宋" w:eastAsia="仿宋"/>
          <w:color w:val="auto"/>
          <w:sz w:val="24"/>
          <w:highlight w:val="none"/>
          <w:lang w:val="en-US" w:eastAsia="zh-CN"/>
        </w:rPr>
        <w:t>7</w:t>
      </w:r>
      <w:r>
        <w:rPr>
          <w:rFonts w:hint="eastAsia" w:ascii="仿宋" w:eastAsia="仿宋"/>
          <w:color w:val="auto"/>
          <w:sz w:val="24"/>
          <w:highlight w:val="none"/>
        </w:rPr>
        <w:t>在</w:t>
      </w:r>
      <w:r>
        <w:rPr>
          <w:rFonts w:hint="eastAsia" w:ascii="仿宋" w:eastAsia="仿宋"/>
          <w:color w:val="auto"/>
          <w:sz w:val="24"/>
          <w:highlight w:val="none"/>
          <w:lang w:eastAsia="zh-CN"/>
        </w:rPr>
        <w:t>《开标一览表》</w:t>
      </w:r>
      <w:r>
        <w:rPr>
          <w:rFonts w:hint="eastAsia" w:ascii="仿宋" w:eastAsia="仿宋"/>
          <w:color w:val="auto"/>
          <w:sz w:val="24"/>
          <w:highlight w:val="none"/>
        </w:rPr>
        <w:t>中有2个（含）以上的报价或方案</w:t>
      </w:r>
      <w:r>
        <w:rPr>
          <w:rFonts w:hint="eastAsia" w:ascii="仿宋" w:eastAsia="仿宋"/>
          <w:color w:val="auto"/>
          <w:sz w:val="24"/>
          <w:highlight w:val="none"/>
          <w:lang w:eastAsia="zh-CN"/>
        </w:rPr>
        <w:t>的。</w:t>
      </w:r>
    </w:p>
    <w:p w14:paraId="0F9D81BC">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028F2A50">
      <w:pPr>
        <w:pStyle w:val="18"/>
        <w:snapToGrid w:val="0"/>
        <w:spacing w:line="440" w:lineRule="exact"/>
        <w:jc w:val="left"/>
        <w:rPr>
          <w:rFonts w:hint="eastAsia"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04D4EE96">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03E3F0F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w:t>
      </w:r>
      <w:r>
        <w:rPr>
          <w:rFonts w:hint="eastAsia" w:ascii="仿宋" w:eastAsia="仿宋"/>
          <w:color w:val="auto"/>
          <w:sz w:val="24"/>
          <w:highlight w:val="none"/>
          <w:lang w:eastAsia="zh"/>
        </w:rPr>
        <w:t>（或单价预算）</w:t>
      </w:r>
      <w:r>
        <w:rPr>
          <w:rFonts w:hint="eastAsia" w:ascii="仿宋" w:eastAsia="仿宋"/>
          <w:color w:val="auto"/>
          <w:sz w:val="24"/>
          <w:highlight w:val="none"/>
        </w:rPr>
        <w:t>50%</w:t>
      </w:r>
      <w:r>
        <w:rPr>
          <w:rFonts w:hint="eastAsia" w:ascii="仿宋" w:eastAsia="仿宋"/>
          <w:color w:val="auto"/>
          <w:sz w:val="24"/>
          <w:highlight w:val="none"/>
          <w:lang w:eastAsia="zh-CN"/>
        </w:rPr>
        <w:t>，但未能在报价文件中详细阐述不影响产品质量或者诚信履约的具体原因或具体原因未被评审委员会认可的；</w:t>
      </w:r>
    </w:p>
    <w:p w14:paraId="7F3118CE">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319776C2">
      <w:pPr>
        <w:tabs>
          <w:tab w:val="left" w:pos="3870"/>
          <w:tab w:val="left" w:pos="4085"/>
        </w:tabs>
        <w:snapToGrid w:val="0"/>
        <w:spacing w:line="440" w:lineRule="exact"/>
        <w:jc w:val="left"/>
        <w:rPr>
          <w:rFonts w:hint="eastAsia" w:ascii="仿宋" w:eastAsia="仿宋" w:cs="仿宋_GB2312"/>
          <w:color w:val="auto"/>
          <w:sz w:val="24"/>
          <w:szCs w:val="21"/>
          <w:highlight w:val="none"/>
        </w:rPr>
      </w:pPr>
      <w:r>
        <w:rPr>
          <w:rFonts w:hint="eastAsia" w:ascii="仿宋" w:eastAsia="仿宋" w:cs="仿宋_GB2312"/>
          <w:color w:val="auto"/>
          <w:sz w:val="24"/>
          <w:szCs w:val="21"/>
          <w:highlight w:val="none"/>
        </w:rPr>
        <w:t>6.11</w:t>
      </w:r>
      <w:r>
        <w:rPr>
          <w:rFonts w:hint="eastAsia" w:ascii="仿宋" w:eastAsia="仿宋"/>
          <w:color w:val="auto"/>
          <w:sz w:val="24"/>
          <w:highlight w:val="none"/>
          <w:lang w:val="en-US" w:eastAsia="zh-CN"/>
        </w:rPr>
        <w:t>电子响应文件解密失败，且未在规定时间内提交备份响应文件或备份响应文件无法读取的；</w:t>
      </w:r>
    </w:p>
    <w:p w14:paraId="492BF08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0B33AF0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4A0342DF">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5A20228F">
      <w:pPr>
        <w:tabs>
          <w:tab w:val="left" w:pos="3870"/>
          <w:tab w:val="left" w:pos="4085"/>
        </w:tabs>
        <w:snapToGrid w:val="0"/>
        <w:spacing w:line="440" w:lineRule="exact"/>
        <w:ind w:firstLine="470" w:firstLineChars="196"/>
        <w:jc w:val="left"/>
        <w:rPr>
          <w:rFonts w:hint="eastAsia" w:ascii="仿宋" w:eastAsia="仿宋"/>
          <w:color w:val="auto"/>
          <w:sz w:val="24"/>
          <w:highlight w:val="none"/>
        </w:rPr>
      </w:pPr>
      <w:r>
        <w:rPr>
          <w:rFonts w:hint="eastAsia" w:ascii="仿宋" w:eastAsia="仿宋"/>
          <w:color w:val="auto"/>
          <w:sz w:val="24"/>
          <w:highlight w:val="none"/>
        </w:rPr>
        <w:t>6.14.1使用伪造、变造的许可证件、资质证书；</w:t>
      </w:r>
    </w:p>
    <w:p w14:paraId="36C87324">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69B9F6B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1521ABDE">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6.14.4提供虚假的信用状况；</w:t>
      </w:r>
    </w:p>
    <w:p w14:paraId="6C794500">
      <w:pPr>
        <w:tabs>
          <w:tab w:val="left" w:pos="3870"/>
          <w:tab w:val="left" w:pos="4085"/>
        </w:tabs>
        <w:snapToGrid w:val="0"/>
        <w:spacing w:line="440" w:lineRule="exact"/>
        <w:ind w:firstLine="480"/>
        <w:jc w:val="left"/>
        <w:rPr>
          <w:rFonts w:hint="eastAsia" w:ascii="仿宋" w:eastAsia="仿宋"/>
          <w:color w:val="auto"/>
          <w:sz w:val="24"/>
          <w:highlight w:val="none"/>
        </w:rPr>
      </w:pPr>
      <w:r>
        <w:rPr>
          <w:rFonts w:hint="eastAsia" w:ascii="仿宋" w:eastAsia="仿宋"/>
          <w:color w:val="auto"/>
          <w:sz w:val="24"/>
          <w:highlight w:val="none"/>
        </w:rPr>
        <w:t>6.14.5其他弄虚作假的行为。</w:t>
      </w:r>
    </w:p>
    <w:p w14:paraId="2D8C6BC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6.15投标人串通投标的。</w:t>
      </w:r>
    </w:p>
    <w:p w14:paraId="295CEF17">
      <w:pPr>
        <w:tabs>
          <w:tab w:val="left" w:pos="3870"/>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372EA3EF">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40DC9390">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79282DAC">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7774DB9D">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6171112D">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6.15.5不同投标人的投标文件相互混装；</w:t>
      </w:r>
    </w:p>
    <w:p w14:paraId="39F3776A">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6.15.6法律规定的其他串通投标情形。</w:t>
      </w:r>
    </w:p>
    <w:p w14:paraId="3FF311B8">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74C090C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68A275A6">
      <w:pPr>
        <w:tabs>
          <w:tab w:val="left" w:pos="3870"/>
          <w:tab w:val="left" w:pos="4085"/>
        </w:tabs>
        <w:snapToGrid w:val="0"/>
        <w:spacing w:line="440" w:lineRule="exact"/>
        <w:jc w:val="left"/>
        <w:rPr>
          <w:rFonts w:hint="eastAsia" w:ascii="仿宋" w:eastAsia="仿宋"/>
          <w:color w:val="auto"/>
          <w:sz w:val="24"/>
          <w:highlight w:val="none"/>
          <w:lang w:eastAsia="zh"/>
        </w:rPr>
      </w:pPr>
      <w:r>
        <w:rPr>
          <w:rFonts w:hint="eastAsia" w:ascii="仿宋" w:eastAsia="仿宋"/>
          <w:color w:val="auto"/>
          <w:sz w:val="24"/>
          <w:highlight w:val="none"/>
        </w:rPr>
        <w:t>6.18</w:t>
      </w:r>
      <w:r>
        <w:rPr>
          <w:rFonts w:hint="eastAsia" w:ascii="仿宋_GB2312" w:eastAsia="仿宋_GB2312"/>
          <w:color w:val="auto"/>
          <w:kern w:val="0"/>
          <w:sz w:val="24"/>
          <w:highlight w:val="none"/>
          <w:lang w:eastAsia="zh-CN"/>
        </w:rPr>
        <w:t>联合体投标，但是未提供有效的联合体协议的</w:t>
      </w:r>
      <w:r>
        <w:rPr>
          <w:rFonts w:hint="eastAsia" w:ascii="仿宋" w:eastAsia="仿宋"/>
          <w:color w:val="auto"/>
          <w:sz w:val="24"/>
          <w:highlight w:val="none"/>
          <w:lang w:eastAsia="zh"/>
        </w:rPr>
        <w:t>；</w:t>
      </w:r>
    </w:p>
    <w:p w14:paraId="093C0A8F">
      <w:pPr>
        <w:tabs>
          <w:tab w:val="left" w:pos="3870"/>
          <w:tab w:val="left" w:pos="4085"/>
        </w:tabs>
        <w:snapToGrid w:val="0"/>
        <w:spacing w:line="440" w:lineRule="exact"/>
        <w:jc w:val="left"/>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6.19未提供样品或提供的样品不满足采购需求实质性要求的；</w:t>
      </w:r>
    </w:p>
    <w:p w14:paraId="2F1FB3E1">
      <w:pPr>
        <w:snapToGrid w:val="0"/>
        <w:spacing w:line="440" w:lineRule="exact"/>
        <w:rPr>
          <w:rFonts w:hint="eastAsia" w:ascii="仿宋" w:eastAsia="仿宋"/>
          <w:color w:val="auto"/>
          <w:sz w:val="24"/>
          <w:highlight w:val="none"/>
        </w:rPr>
      </w:pPr>
      <w:r>
        <w:rPr>
          <w:rFonts w:hint="eastAsia" w:ascii="仿宋" w:eastAsia="仿宋"/>
          <w:color w:val="auto"/>
          <w:sz w:val="24"/>
          <w:highlight w:val="none"/>
        </w:rPr>
        <w:t>6.</w:t>
      </w:r>
      <w:r>
        <w:rPr>
          <w:rFonts w:hint="eastAsia" w:ascii="仿宋" w:eastAsia="仿宋"/>
          <w:color w:val="auto"/>
          <w:sz w:val="24"/>
          <w:highlight w:val="none"/>
          <w:lang w:val="en-US" w:eastAsia="zh-CN"/>
        </w:rPr>
        <w:t>20</w:t>
      </w:r>
      <w:r>
        <w:rPr>
          <w:rFonts w:hint="eastAsia" w:ascii="仿宋" w:eastAsia="仿宋"/>
          <w:color w:val="auto"/>
          <w:sz w:val="24"/>
          <w:highlight w:val="none"/>
        </w:rPr>
        <w:t>违反法律、法规及本</w:t>
      </w:r>
      <w:r>
        <w:rPr>
          <w:rFonts w:hint="eastAsia" w:ascii="仿宋" w:eastAsia="仿宋"/>
          <w:color w:val="auto"/>
          <w:sz w:val="24"/>
          <w:highlight w:val="none"/>
          <w:lang w:eastAsia="zh-CN"/>
        </w:rPr>
        <w:t>采购</w:t>
      </w:r>
      <w:r>
        <w:rPr>
          <w:rFonts w:hint="eastAsia" w:ascii="仿宋" w:eastAsia="仿宋"/>
          <w:color w:val="auto"/>
          <w:sz w:val="24"/>
          <w:highlight w:val="none"/>
        </w:rPr>
        <w:t>文件规定的其他无效</w:t>
      </w:r>
      <w:r>
        <w:rPr>
          <w:rFonts w:hint="eastAsia" w:ascii="仿宋" w:eastAsia="仿宋"/>
          <w:color w:val="auto"/>
          <w:sz w:val="24"/>
          <w:highlight w:val="none"/>
          <w:lang w:eastAsia="zh-CN"/>
        </w:rPr>
        <w:t>投标</w:t>
      </w:r>
      <w:r>
        <w:rPr>
          <w:rFonts w:hint="eastAsia" w:ascii="仿宋" w:eastAsia="仿宋"/>
          <w:color w:val="auto"/>
          <w:sz w:val="24"/>
          <w:highlight w:val="none"/>
        </w:rPr>
        <w:t>情形。</w:t>
      </w:r>
    </w:p>
    <w:p w14:paraId="07E75972">
      <w:pPr>
        <w:spacing w:line="480" w:lineRule="exact"/>
        <w:jc w:val="left"/>
        <w:outlineLvl w:val="2"/>
        <w:rPr>
          <w:rFonts w:hint="eastAsia" w:ascii="仿宋" w:eastAsia="仿宋" w:cs="宋体"/>
          <w:b/>
          <w:bCs/>
          <w:color w:val="auto"/>
          <w:sz w:val="24"/>
          <w:highlight w:val="none"/>
        </w:rPr>
      </w:pPr>
      <w:r>
        <w:rPr>
          <w:rFonts w:hint="eastAsia" w:ascii="仿宋" w:eastAsia="仿宋" w:cs="宋体"/>
          <w:b/>
          <w:bCs/>
          <w:color w:val="auto"/>
          <w:sz w:val="24"/>
          <w:highlight w:val="none"/>
        </w:rPr>
        <w:t>7.定标</w:t>
      </w:r>
    </w:p>
    <w:p w14:paraId="5EC04800">
      <w:pPr>
        <w:widowControl/>
        <w:snapToGrid w:val="0"/>
        <w:spacing w:line="480" w:lineRule="exact"/>
        <w:ind w:left="0"/>
        <w:rPr>
          <w:rFonts w:hint="eastAsia"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4E10DB9E">
      <w:pPr>
        <w:widowControl/>
        <w:snapToGrid w:val="0"/>
        <w:spacing w:line="480" w:lineRule="exact"/>
        <w:ind w:left="0"/>
        <w:rPr>
          <w:rFonts w:hint="eastAsia"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5690A3CF">
      <w:pPr>
        <w:spacing w:line="480" w:lineRule="exact"/>
        <w:jc w:val="left"/>
        <w:outlineLvl w:val="2"/>
        <w:rPr>
          <w:rFonts w:hint="eastAsia"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5EB529A7">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w:t>
      </w:r>
      <w:r>
        <w:rPr>
          <w:rFonts w:hint="eastAsia" w:ascii="仿宋" w:eastAsia="仿宋"/>
          <w:color w:val="auto"/>
          <w:kern w:val="0"/>
          <w:sz w:val="24"/>
          <w:highlight w:val="none"/>
          <w:lang w:eastAsia="zh-CN"/>
        </w:rPr>
        <w:t>乐采云平台</w:t>
      </w:r>
      <w:r>
        <w:rPr>
          <w:rFonts w:hint="eastAsia" w:ascii="仿宋" w:eastAsia="仿宋"/>
          <w:color w:val="auto"/>
          <w:kern w:val="0"/>
          <w:sz w:val="24"/>
          <w:highlight w:val="none"/>
        </w:rPr>
        <w:t>中登陆后领取。</w:t>
      </w:r>
    </w:p>
    <w:p w14:paraId="231AD1B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7E4E5CB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7DF6DE1F">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09F6E65A">
      <w:pPr>
        <w:snapToGrid w:val="0"/>
        <w:spacing w:line="480" w:lineRule="exact"/>
        <w:jc w:val="left"/>
        <w:outlineLvl w:val="2"/>
        <w:rPr>
          <w:rFonts w:hint="eastAsia" w:ascii="仿宋" w:eastAsia="仿宋"/>
          <w:b/>
          <w:color w:val="auto"/>
          <w:sz w:val="24"/>
          <w:highlight w:val="none"/>
        </w:rPr>
      </w:pPr>
      <w:r>
        <w:rPr>
          <w:rFonts w:hint="eastAsia" w:ascii="仿宋" w:eastAsia="仿宋"/>
          <w:b/>
          <w:color w:val="auto"/>
          <w:sz w:val="24"/>
          <w:highlight w:val="none"/>
        </w:rPr>
        <w:t>9、中止电子交易的情形</w:t>
      </w:r>
    </w:p>
    <w:p w14:paraId="0333BEE3">
      <w:pPr>
        <w:snapToGrid w:val="0"/>
        <w:spacing w:line="48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07BA7A8F">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2A3831A8">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4F3F013E">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7B7805B8">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3FCE19FF">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0B06527E">
      <w:pPr>
        <w:widowControl/>
        <w:snapToGrid w:val="0"/>
        <w:spacing w:line="480" w:lineRule="exact"/>
        <w:rPr>
          <w:rFonts w:hint="eastAsia" w:ascii="仿宋" w:eastAsia="仿宋"/>
          <w:color w:val="auto"/>
          <w:kern w:val="0"/>
          <w:sz w:val="24"/>
          <w:highlight w:val="none"/>
        </w:rPr>
      </w:pPr>
      <w:r>
        <w:rPr>
          <w:rFonts w:hint="eastAsia" w:ascii="仿宋" w:eastAsia="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1809287B">
      <w:pPr>
        <w:pStyle w:val="4"/>
        <w:spacing w:line="415" w:lineRule="auto"/>
        <w:jc w:val="center"/>
        <w:rPr>
          <w:rFonts w:hint="eastAsia" w:ascii="仿宋"/>
          <w:color w:val="auto"/>
          <w:highlight w:val="none"/>
        </w:rPr>
      </w:pPr>
      <w:bookmarkStart w:id="40" w:name="_Toc14944"/>
      <w:r>
        <w:rPr>
          <w:rFonts w:hint="eastAsia" w:ascii="仿宋"/>
          <w:color w:val="auto"/>
          <w:highlight w:val="none"/>
        </w:rPr>
        <w:t>五、合同签订及履约</w:t>
      </w:r>
      <w:bookmarkEnd w:id="40"/>
    </w:p>
    <w:p w14:paraId="0DB515DE">
      <w:pPr>
        <w:spacing w:line="480" w:lineRule="exact"/>
        <w:jc w:val="left"/>
        <w:outlineLvl w:val="2"/>
        <w:rPr>
          <w:rFonts w:hint="eastAsia" w:ascii="仿宋" w:eastAsia="仿宋" w:cs="宋体"/>
          <w:b/>
          <w:bCs/>
          <w:color w:val="auto"/>
          <w:sz w:val="24"/>
          <w:highlight w:val="none"/>
        </w:rPr>
      </w:pPr>
      <w:r>
        <w:rPr>
          <w:rFonts w:hint="eastAsia" w:ascii="仿宋" w:eastAsia="仿宋" w:cs="宋体"/>
          <w:b/>
          <w:bCs/>
          <w:color w:val="auto"/>
          <w:sz w:val="24"/>
          <w:highlight w:val="none"/>
        </w:rPr>
        <w:t>1.合同签订</w:t>
      </w:r>
    </w:p>
    <w:p w14:paraId="2F2F576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3AA87EC0">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26B0CCD9">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1E0D3638">
      <w:pPr>
        <w:spacing w:line="440" w:lineRule="exact"/>
        <w:jc w:val="left"/>
        <w:outlineLvl w:val="2"/>
        <w:rPr>
          <w:rFonts w:hint="eastAsia" w:ascii="仿宋" w:eastAsia="仿宋"/>
          <w:b/>
          <w:color w:val="auto"/>
          <w:sz w:val="24"/>
          <w:highlight w:val="none"/>
        </w:rPr>
      </w:pPr>
      <w:r>
        <w:rPr>
          <w:rFonts w:hint="eastAsia" w:ascii="仿宋" w:eastAsia="仿宋"/>
          <w:b/>
          <w:color w:val="auto"/>
          <w:sz w:val="24"/>
          <w:highlight w:val="none"/>
        </w:rPr>
        <w:t>2．履约保证金</w:t>
      </w:r>
    </w:p>
    <w:p w14:paraId="3051EED4">
      <w:pPr>
        <w:spacing w:line="440" w:lineRule="exact"/>
        <w:jc w:val="left"/>
        <w:rPr>
          <w:rFonts w:hint="eastAsia" w:ascii="仿宋" w:eastAsia="仿宋"/>
          <w:color w:val="auto"/>
          <w:sz w:val="24"/>
          <w:highlight w:val="none"/>
        </w:rPr>
      </w:pPr>
      <w:r>
        <w:rPr>
          <w:rFonts w:hint="eastAsia" w:ascii="仿宋" w:eastAsia="仿宋"/>
          <w:color w:val="auto"/>
          <w:sz w:val="24"/>
          <w:highlight w:val="none"/>
        </w:rPr>
        <w:t>2.1采购合同签订的同时，中标人应当以支票、汇票、本票或者金融机构、担保机构出具的保函等非现金形式交纳履约保证金。</w:t>
      </w:r>
    </w:p>
    <w:p w14:paraId="0637EE20">
      <w:pPr>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_GB2312" w:eastAsia="仿宋_GB2312"/>
          <w:color w:val="auto"/>
          <w:sz w:val="24"/>
          <w:highlight w:val="none"/>
        </w:rPr>
        <w:t>供应商在履行完合同约定事项后，采购人应及时退还履约保证金</w:t>
      </w:r>
      <w:r>
        <w:rPr>
          <w:rFonts w:hint="eastAsia" w:ascii="仿宋" w:eastAsia="仿宋"/>
          <w:color w:val="auto"/>
          <w:sz w:val="24"/>
          <w:highlight w:val="none"/>
          <w:lang w:eastAsia="zh-CN"/>
        </w:rPr>
        <w:t>及其利息，利率在采购合同中约定</w:t>
      </w:r>
      <w:r>
        <w:rPr>
          <w:rFonts w:hint="eastAsia" w:ascii="仿宋_GB2312" w:eastAsia="仿宋_GB2312"/>
          <w:color w:val="auto"/>
          <w:sz w:val="24"/>
          <w:highlight w:val="none"/>
        </w:rPr>
        <w:t>。</w:t>
      </w:r>
      <w:r>
        <w:rPr>
          <w:rFonts w:ascii="仿宋_GB2312" w:eastAsia="仿宋_GB2312"/>
          <w:color w:val="auto"/>
          <w:sz w:val="24"/>
          <w:highlight w:val="none"/>
        </w:rPr>
        <w:t>采购人验收不合格的，不予退还履约保证金。</w:t>
      </w:r>
    </w:p>
    <w:p w14:paraId="3C446D2C">
      <w:pPr>
        <w:spacing w:line="440" w:lineRule="exact"/>
        <w:jc w:val="left"/>
        <w:rPr>
          <w:rFonts w:hint="eastAsia" w:ascii="仿宋" w:eastAsia="仿宋"/>
          <w:color w:val="auto"/>
          <w:sz w:val="24"/>
          <w:highlight w:val="none"/>
        </w:rPr>
      </w:pPr>
      <w:r>
        <w:rPr>
          <w:rFonts w:hint="eastAsia" w:ascii="仿宋" w:eastAsia="仿宋"/>
          <w:color w:val="auto"/>
          <w:sz w:val="24"/>
          <w:highlight w:val="none"/>
        </w:rPr>
        <w:t>2.3供应商以银行、保险公司出具保函形式提交履约保证金的，采购人不得拒收。</w:t>
      </w:r>
    </w:p>
    <w:p w14:paraId="0CDF6EF6">
      <w:pPr>
        <w:spacing w:line="440" w:lineRule="exact"/>
        <w:jc w:val="left"/>
        <w:outlineLvl w:val="2"/>
        <w:rPr>
          <w:rFonts w:hint="eastAsia" w:ascii="仿宋" w:eastAsia="仿宋"/>
          <w:b/>
          <w:color w:val="auto"/>
          <w:sz w:val="24"/>
          <w:highlight w:val="none"/>
        </w:rPr>
      </w:pPr>
      <w:r>
        <w:rPr>
          <w:rFonts w:hint="eastAsia" w:ascii="仿宋" w:eastAsia="仿宋"/>
          <w:b/>
          <w:color w:val="auto"/>
          <w:sz w:val="24"/>
          <w:highlight w:val="none"/>
          <w:lang w:val="en-US" w:eastAsia="zh-CN"/>
        </w:rPr>
        <w:t>3</w:t>
      </w:r>
      <w:r>
        <w:rPr>
          <w:rFonts w:hint="eastAsia" w:ascii="仿宋" w:eastAsia="仿宋"/>
          <w:b/>
          <w:color w:val="auto"/>
          <w:sz w:val="24"/>
          <w:highlight w:val="none"/>
        </w:rPr>
        <w:t>.履约验收</w:t>
      </w:r>
    </w:p>
    <w:p w14:paraId="6F7742E8">
      <w:pPr>
        <w:spacing w:line="440" w:lineRule="exact"/>
        <w:jc w:val="left"/>
        <w:rPr>
          <w:rFonts w:hint="eastAsia" w:ascii="仿宋" w:eastAsia="仿宋"/>
          <w:color w:val="auto"/>
          <w:sz w:val="24"/>
          <w:highlight w:val="none"/>
        </w:rPr>
      </w:pPr>
      <w:r>
        <w:rPr>
          <w:rFonts w:hint="eastAsia" w:ascii="仿宋" w:eastAsia="仿宋"/>
          <w:color w:val="auto"/>
          <w:sz w:val="24"/>
          <w:highlight w:val="none"/>
          <w:lang w:val="en-US" w:eastAsia="zh-CN"/>
        </w:rPr>
        <w:t>3</w:t>
      </w:r>
      <w:r>
        <w:rPr>
          <w:rFonts w:hint="eastAsia" w:ascii="仿宋" w:eastAsia="仿宋"/>
          <w:color w:val="auto"/>
          <w:sz w:val="24"/>
          <w:highlight w:val="none"/>
        </w:rPr>
        <w:t>.1采购人自行组织或委托</w:t>
      </w:r>
      <w:r>
        <w:rPr>
          <w:rFonts w:hint="eastAsia" w:ascii="仿宋" w:eastAsia="仿宋"/>
          <w:color w:val="auto"/>
          <w:sz w:val="24"/>
          <w:highlight w:val="none"/>
          <w:lang w:val="en-US" w:eastAsia="zh-CN"/>
        </w:rPr>
        <w:t>专业机构</w:t>
      </w:r>
      <w:r>
        <w:rPr>
          <w:rFonts w:hint="eastAsia" w:ascii="仿宋" w:eastAsia="仿宋"/>
          <w:color w:val="auto"/>
          <w:sz w:val="24"/>
          <w:highlight w:val="none"/>
        </w:rPr>
        <w:t>对供应商进行履约验收，出具验收书，存档备查。如果发现与合同中要求不符，供应商须承担由此发生的一切损失和费用，并承担相应的法律责任。</w:t>
      </w:r>
    </w:p>
    <w:p w14:paraId="7BAAA570">
      <w:pPr>
        <w:spacing w:line="440" w:lineRule="exact"/>
        <w:jc w:val="left"/>
        <w:rPr>
          <w:rFonts w:hint="eastAsia" w:ascii="仿宋" w:eastAsia="仿宋"/>
          <w:color w:val="auto"/>
          <w:sz w:val="24"/>
          <w:highlight w:val="none"/>
        </w:rPr>
      </w:pPr>
      <w:r>
        <w:rPr>
          <w:rFonts w:hint="eastAsia" w:ascii="仿宋" w:eastAsia="仿宋"/>
          <w:color w:val="auto"/>
          <w:sz w:val="24"/>
          <w:highlight w:val="none"/>
          <w:lang w:val="en-US" w:eastAsia="zh-CN"/>
        </w:rPr>
        <w:t>3</w:t>
      </w:r>
      <w:r>
        <w:rPr>
          <w:rFonts w:hint="eastAsia" w:ascii="仿宋" w:eastAsia="仿宋"/>
          <w:color w:val="auto"/>
          <w:sz w:val="24"/>
          <w:highlight w:val="none"/>
        </w:rPr>
        <w:t>.2服务类项目，可以根据项目特点对服务期内的服务实施情况进行分期考核，结合考核情况和服务效果进行验收。工程类项目应当按照行业管理部门规定的标准、方法和内容进行验收。</w:t>
      </w:r>
    </w:p>
    <w:p w14:paraId="2427BEE2">
      <w:pPr>
        <w:spacing w:line="440" w:lineRule="exact"/>
        <w:jc w:val="left"/>
        <w:rPr>
          <w:rFonts w:hint="eastAsia" w:ascii="仿宋" w:eastAsia="仿宋"/>
          <w:color w:val="auto"/>
          <w:sz w:val="24"/>
          <w:highlight w:val="none"/>
        </w:rPr>
      </w:pPr>
      <w:r>
        <w:rPr>
          <w:rFonts w:hint="eastAsia" w:ascii="仿宋" w:eastAsia="仿宋"/>
          <w:color w:val="auto"/>
          <w:sz w:val="24"/>
          <w:highlight w:val="none"/>
          <w:lang w:val="en-US" w:eastAsia="zh-CN"/>
        </w:rPr>
        <w:t>3</w:t>
      </w:r>
      <w:r>
        <w:rPr>
          <w:rFonts w:hint="eastAsia" w:ascii="仿宋" w:eastAsia="仿宋"/>
          <w:color w:val="auto"/>
          <w:sz w:val="24"/>
          <w:highlight w:val="none"/>
        </w:rPr>
        <w:t>.3采购人可以邀请参加本项目的其他投标人或者第三方机构参与验收。参与验收的投标人或者第三方机构的意见作为验收书的参考资料一并存档。</w:t>
      </w:r>
    </w:p>
    <w:p w14:paraId="46F92982">
      <w:pPr>
        <w:spacing w:line="440" w:lineRule="exact"/>
        <w:jc w:val="left"/>
        <w:rPr>
          <w:rFonts w:hint="eastAsia" w:ascii="仿宋" w:eastAsia="仿宋"/>
          <w:color w:val="auto"/>
          <w:sz w:val="24"/>
          <w:highlight w:val="none"/>
        </w:rPr>
      </w:pPr>
      <w:r>
        <w:rPr>
          <w:rFonts w:hint="eastAsia" w:ascii="仿宋" w:eastAsia="仿宋"/>
          <w:color w:val="auto"/>
          <w:sz w:val="24"/>
          <w:highlight w:val="none"/>
          <w:lang w:val="en-US" w:eastAsia="zh-CN"/>
        </w:rPr>
        <w:t>3</w:t>
      </w:r>
      <w:r>
        <w:rPr>
          <w:rFonts w:hint="eastAsia" w:ascii="仿宋" w:eastAsia="仿宋"/>
          <w:color w:val="auto"/>
          <w:sz w:val="24"/>
          <w:highlight w:val="none"/>
        </w:rPr>
        <w:t>.4政府向社会公众提供的公共服务项目验收时应当邀请服务对象参与并出具意见，验收结果应当向社会公告。</w:t>
      </w:r>
    </w:p>
    <w:p w14:paraId="00BC4F49">
      <w:pPr>
        <w:spacing w:line="440" w:lineRule="exact"/>
        <w:jc w:val="left"/>
        <w:rPr>
          <w:rFonts w:hint="eastAsia" w:ascii="仿宋" w:eastAsia="仿宋"/>
          <w:color w:val="auto"/>
          <w:sz w:val="24"/>
          <w:highlight w:val="none"/>
        </w:rPr>
      </w:pPr>
      <w:r>
        <w:rPr>
          <w:rFonts w:hint="eastAsia" w:ascii="仿宋" w:eastAsia="仿宋"/>
          <w:color w:val="auto"/>
          <w:sz w:val="24"/>
          <w:highlight w:val="none"/>
          <w:lang w:val="en-US" w:eastAsia="zh-CN"/>
        </w:rPr>
        <w:t>3</w:t>
      </w:r>
      <w:r>
        <w:rPr>
          <w:rFonts w:hint="eastAsia" w:ascii="仿宋" w:eastAsia="仿宋"/>
          <w:color w:val="auto"/>
          <w:sz w:val="24"/>
          <w:highlight w:val="none"/>
        </w:rPr>
        <w:t>.5 采购合同的履行、违约责任和解决争议的方式等适用《中华人民共和国民法典》。</w:t>
      </w:r>
    </w:p>
    <w:p w14:paraId="31CFF349">
      <w:pPr>
        <w:spacing w:line="440" w:lineRule="exact"/>
        <w:jc w:val="left"/>
        <w:rPr>
          <w:rFonts w:ascii="仿宋" w:eastAsia="仿宋"/>
          <w:color w:val="auto"/>
          <w:sz w:val="24"/>
          <w:highlight w:val="none"/>
        </w:rPr>
      </w:pPr>
      <w:r>
        <w:rPr>
          <w:rFonts w:hint="eastAsia" w:ascii="仿宋" w:eastAsia="仿宋"/>
          <w:color w:val="auto"/>
          <w:sz w:val="24"/>
          <w:highlight w:val="none"/>
          <w:lang w:val="en-US" w:eastAsia="zh-CN"/>
        </w:rPr>
        <w:t>3</w:t>
      </w:r>
      <w:r>
        <w:rPr>
          <w:rFonts w:hint="eastAsia" w:ascii="仿宋" w:eastAsia="仿宋"/>
          <w:color w:val="auto"/>
          <w:sz w:val="24"/>
          <w:highlight w:val="none"/>
        </w:rPr>
        <w:t>.6供应商在履约过程中有法律法规规定的违法违规情形的，采购人应当及时报告</w:t>
      </w:r>
      <w:r>
        <w:rPr>
          <w:rFonts w:hint="eastAsia" w:ascii="仿宋" w:eastAsia="仿宋"/>
          <w:color w:val="auto"/>
          <w:sz w:val="24"/>
          <w:highlight w:val="none"/>
          <w:lang w:val="en-US" w:eastAsia="zh-CN"/>
        </w:rPr>
        <w:t>本项目采购监督部门</w:t>
      </w:r>
      <w:r>
        <w:rPr>
          <w:rFonts w:hint="eastAsia" w:ascii="仿宋" w:eastAsia="仿宋"/>
          <w:color w:val="auto"/>
          <w:sz w:val="24"/>
          <w:highlight w:val="none"/>
        </w:rPr>
        <w:t>。</w:t>
      </w:r>
    </w:p>
    <w:p w14:paraId="0B06BC95">
      <w:pPr>
        <w:pStyle w:val="3"/>
        <w:jc w:val="center"/>
        <w:rPr>
          <w:rFonts w:hint="eastAsia" w:ascii="仿宋"/>
          <w:color w:val="auto"/>
          <w:highlight w:val="none"/>
        </w:rPr>
      </w:pPr>
      <w:bookmarkStart w:id="41" w:name="_Toc27068"/>
      <w:r>
        <w:rPr>
          <w:rFonts w:hint="eastAsia" w:ascii="仿宋"/>
          <w:color w:val="auto"/>
          <w:highlight w:val="none"/>
        </w:rPr>
        <w:t>第三章  采购需求</w:t>
      </w:r>
      <w:bookmarkEnd w:id="41"/>
    </w:p>
    <w:p w14:paraId="1D059147">
      <w:pPr>
        <w:pStyle w:val="4"/>
        <w:keepNext/>
        <w:keepLines/>
        <w:pageBreakBefore w:val="0"/>
        <w:widowControl w:val="0"/>
        <w:suppressLineNumbers w:val="0"/>
        <w:suppressAutoHyphens w:val="0"/>
        <w:spacing w:line="415" w:lineRule="auto"/>
        <w:rPr>
          <w:rFonts w:hint="eastAsia" w:ascii="仿宋"/>
          <w:color w:val="auto"/>
          <w:highlight w:val="none"/>
        </w:rPr>
      </w:pPr>
      <w:bookmarkStart w:id="42" w:name="_Toc23126"/>
      <w:r>
        <w:rPr>
          <w:rFonts w:hint="eastAsia" w:ascii="仿宋"/>
          <w:color w:val="auto"/>
          <w:highlight w:val="none"/>
        </w:rPr>
        <w:t>一、货物清单及技术要求</w:t>
      </w:r>
      <w:bookmarkEnd w:id="42"/>
    </w:p>
    <w:p w14:paraId="5F5237AE">
      <w:pPr>
        <w:tabs>
          <w:tab w:val="left" w:pos="0"/>
        </w:tabs>
        <w:spacing w:line="360" w:lineRule="auto"/>
        <w:ind w:firstLine="480"/>
        <w:rPr>
          <w:rFonts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一、项目概况</w:t>
      </w:r>
    </w:p>
    <w:p w14:paraId="06BA7FE9">
      <w:pPr>
        <w:tabs>
          <w:tab w:val="left" w:pos="0"/>
        </w:tabs>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本项目为</w:t>
      </w:r>
      <w:r>
        <w:rPr>
          <w:rFonts w:ascii="仿宋_GB2312" w:eastAsia="仿宋_GB2312" w:cs="Helvetica"/>
          <w:color w:val="auto"/>
          <w:kern w:val="0"/>
          <w:sz w:val="24"/>
          <w:highlight w:val="none"/>
        </w:rPr>
        <w:t>大气走航监测设备</w:t>
      </w:r>
      <w:r>
        <w:rPr>
          <w:rFonts w:hint="eastAsia" w:ascii="仿宋_GB2312" w:eastAsia="仿宋_GB2312" w:cs="Helvetica"/>
          <w:color w:val="auto"/>
          <w:kern w:val="0"/>
          <w:sz w:val="24"/>
          <w:highlight w:val="none"/>
        </w:rPr>
        <w:t>采购项目，通过对不同区域开展网格化走航监测，可全面、快速诊断VOCs和PM2.5污染的整体分布情况，准确锁定污染区域和污染源头，满足快速精准污染溯源的需求。投标人应根据招标文件所提出的设备技术规格、参数、数量和服务要求，综合考虑设备的适应性，选择具有最佳性能价格比的设备前来投标。希望投标人以精良的设备、优良的服务和合理的价格，充分显示自身的竞争实力。</w:t>
      </w:r>
    </w:p>
    <w:p w14:paraId="28743747">
      <w:pPr>
        <w:numPr>
          <w:ilvl w:val="0"/>
          <w:numId w:val="6"/>
        </w:numPr>
        <w:tabs>
          <w:tab w:val="left" w:pos="0"/>
        </w:tabs>
        <w:spacing w:line="360" w:lineRule="auto"/>
        <w:ind w:firstLine="48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项目清单</w:t>
      </w:r>
    </w:p>
    <w:p w14:paraId="0AA440DB">
      <w:pPr>
        <w:pStyle w:val="2"/>
        <w:widowControl w:val="0"/>
        <w:numPr>
          <w:ilvl w:val="0"/>
          <w:numId w:val="0"/>
        </w:numPr>
        <w:adjustRightInd w:val="0"/>
        <w:jc w:val="left"/>
        <w:rPr>
          <w:rFonts w:hint="eastAsia"/>
          <w:color w:val="auto"/>
          <w:highlight w:val="none"/>
        </w:rPr>
      </w:pPr>
    </w:p>
    <w:tbl>
      <w:tblPr>
        <w:tblStyle w:val="28"/>
        <w:tblW w:w="7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7"/>
        <w:gridCol w:w="3623"/>
        <w:gridCol w:w="1300"/>
        <w:gridCol w:w="1861"/>
      </w:tblGrid>
      <w:tr w14:paraId="05F39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00B2F24">
            <w:pPr>
              <w:spacing w:before="100" w:beforeAutospacing="1" w:after="100" w:afterAutospacing="1"/>
              <w:jc w:val="center"/>
              <w:rPr>
                <w:rFonts w:ascii="仿宋" w:eastAsia="仿宋" w:cs="仿宋"/>
                <w:color w:val="auto"/>
                <w:sz w:val="24"/>
                <w:highlight w:val="none"/>
                <w:lang w:bidi="th-TH"/>
              </w:rPr>
            </w:pPr>
            <w:r>
              <w:rPr>
                <w:rFonts w:hint="eastAsia" w:ascii="仿宋" w:eastAsia="仿宋" w:cs="仿宋"/>
                <w:color w:val="auto"/>
                <w:sz w:val="24"/>
                <w:highlight w:val="none"/>
                <w:lang w:bidi="th-TH"/>
              </w:rPr>
              <w:t>序号</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87275C3">
            <w:pPr>
              <w:spacing w:before="100" w:beforeAutospacing="1" w:after="100" w:afterAutospacing="1"/>
              <w:jc w:val="center"/>
              <w:rPr>
                <w:rFonts w:ascii="仿宋" w:eastAsia="仿宋" w:cs="仿宋"/>
                <w:color w:val="auto"/>
                <w:sz w:val="24"/>
                <w:highlight w:val="none"/>
                <w:lang w:bidi="th-TH"/>
              </w:rPr>
            </w:pPr>
            <w:r>
              <w:rPr>
                <w:rFonts w:hint="eastAsia" w:ascii="仿宋" w:eastAsia="仿宋" w:cs="仿宋"/>
                <w:color w:val="auto"/>
                <w:sz w:val="24"/>
                <w:highlight w:val="none"/>
                <w:lang w:bidi="th-TH"/>
              </w:rPr>
              <w:t>配置内容</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82BD999">
            <w:pPr>
              <w:spacing w:before="100" w:beforeAutospacing="1" w:after="100" w:afterAutospacing="1"/>
              <w:jc w:val="center"/>
              <w:rPr>
                <w:rFonts w:ascii="仿宋" w:eastAsia="仿宋" w:cs="仿宋"/>
                <w:color w:val="auto"/>
                <w:sz w:val="24"/>
                <w:highlight w:val="none"/>
                <w:lang w:bidi="th-TH"/>
              </w:rPr>
            </w:pPr>
            <w:r>
              <w:rPr>
                <w:rFonts w:hint="eastAsia" w:ascii="仿宋" w:eastAsia="仿宋" w:cs="仿宋"/>
                <w:color w:val="auto"/>
                <w:sz w:val="24"/>
                <w:highlight w:val="none"/>
                <w:lang w:bidi="th-TH"/>
              </w:rPr>
              <w:t>数量</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33CC9D4">
            <w:pPr>
              <w:spacing w:before="100" w:beforeAutospacing="1" w:after="100" w:afterAutospacing="1"/>
              <w:jc w:val="center"/>
              <w:rPr>
                <w:rFonts w:ascii="仿宋" w:eastAsia="仿宋" w:cs="仿宋"/>
                <w:color w:val="auto"/>
                <w:sz w:val="24"/>
                <w:highlight w:val="none"/>
                <w:lang w:bidi="th-TH"/>
              </w:rPr>
            </w:pPr>
            <w:r>
              <w:rPr>
                <w:rFonts w:hint="eastAsia" w:ascii="仿宋" w:eastAsia="仿宋" w:cs="仿宋"/>
                <w:color w:val="auto"/>
                <w:sz w:val="24"/>
                <w:highlight w:val="none"/>
                <w:lang w:bidi="th-TH"/>
              </w:rPr>
              <w:t>单位</w:t>
            </w:r>
          </w:p>
        </w:tc>
      </w:tr>
      <w:tr w14:paraId="66078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0B927ED">
            <w:pPr>
              <w:spacing w:before="100" w:beforeAutospacing="1" w:after="100" w:afterAutospacing="1"/>
              <w:jc w:val="center"/>
              <w:rPr>
                <w:rFonts w:ascii="仿宋" w:eastAsia="仿宋" w:cs="仿宋"/>
                <w:color w:val="auto"/>
                <w:sz w:val="24"/>
                <w:highlight w:val="none"/>
                <w:lang w:bidi="th-TH"/>
              </w:rPr>
            </w:pPr>
            <w:r>
              <w:rPr>
                <w:rFonts w:hint="eastAsia" w:ascii="仿宋" w:eastAsia="仿宋" w:cs="仿宋"/>
                <w:color w:val="auto"/>
                <w:sz w:val="24"/>
                <w:highlight w:val="none"/>
                <w:lang w:bidi="th-TH"/>
              </w:rPr>
              <w:t>1</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EBB9B02">
            <w:pPr>
              <w:spacing w:before="100" w:beforeAutospacing="1" w:after="100" w:afterAutospacing="1"/>
              <w:jc w:val="center"/>
              <w:rPr>
                <w:rFonts w:hint="eastAsia" w:ascii="仿宋" w:eastAsia="仿宋" w:cs="仿宋"/>
                <w:color w:val="auto"/>
                <w:sz w:val="24"/>
                <w:highlight w:val="none"/>
                <w:lang w:eastAsia="zh-CN" w:bidi="th-TH"/>
              </w:rPr>
            </w:pPr>
            <w:r>
              <w:rPr>
                <w:rFonts w:hint="eastAsia" w:ascii="仿宋" w:eastAsia="仿宋" w:cs="仿宋"/>
                <w:color w:val="auto"/>
                <w:sz w:val="24"/>
                <w:highlight w:val="none"/>
                <w:lang w:bidi="th-TH"/>
              </w:rPr>
              <w:t>VOCs飞行时间质谱仪</w:t>
            </w:r>
            <w:r>
              <w:rPr>
                <w:rFonts w:hint="eastAsia" w:ascii="仿宋" w:eastAsia="仿宋" w:cs="仿宋"/>
                <w:color w:val="auto"/>
                <w:sz w:val="24"/>
                <w:highlight w:val="none"/>
                <w:lang w:eastAsia="zh-CN" w:bidi="th-TH"/>
              </w:rPr>
              <w:t>（</w:t>
            </w:r>
            <w:r>
              <w:rPr>
                <w:rFonts w:hint="eastAsia" w:ascii="仿宋" w:eastAsia="仿宋" w:cs="仿宋"/>
                <w:color w:val="auto"/>
                <w:sz w:val="24"/>
                <w:highlight w:val="none"/>
                <w:lang w:val="en-US" w:eastAsia="zh-CN" w:bidi="th-TH"/>
              </w:rPr>
              <w:t>核心产品</w:t>
            </w:r>
            <w:r>
              <w:rPr>
                <w:rFonts w:hint="eastAsia" w:ascii="仿宋" w:eastAsia="仿宋" w:cs="仿宋"/>
                <w:color w:val="auto"/>
                <w:sz w:val="24"/>
                <w:highlight w:val="none"/>
                <w:lang w:eastAsia="zh-CN" w:bidi="th-TH"/>
              </w:rPr>
              <w:t>）</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4066139">
            <w:pPr>
              <w:spacing w:before="100" w:beforeAutospacing="1" w:after="100" w:afterAutospacing="1"/>
              <w:jc w:val="center"/>
              <w:rPr>
                <w:rFonts w:ascii="仿宋" w:eastAsia="仿宋" w:cs="仿宋"/>
                <w:color w:val="auto"/>
                <w:sz w:val="24"/>
                <w:highlight w:val="none"/>
                <w:lang w:bidi="th-TH"/>
              </w:rPr>
            </w:pPr>
            <w:r>
              <w:rPr>
                <w:rFonts w:hint="eastAsia" w:asci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DFC9B13">
            <w:pPr>
              <w:spacing w:before="100" w:beforeAutospacing="1" w:after="100" w:afterAutospacing="1"/>
              <w:jc w:val="center"/>
              <w:rPr>
                <w:rFonts w:ascii="仿宋" w:eastAsia="仿宋" w:cs="仿宋"/>
                <w:color w:val="auto"/>
                <w:sz w:val="24"/>
                <w:highlight w:val="none"/>
                <w:lang w:bidi="th-TH"/>
              </w:rPr>
            </w:pPr>
            <w:r>
              <w:rPr>
                <w:rFonts w:hint="eastAsia" w:ascii="仿宋" w:eastAsia="仿宋" w:cs="仿宋"/>
                <w:color w:val="auto"/>
                <w:sz w:val="24"/>
                <w:highlight w:val="none"/>
                <w:lang w:bidi="th-TH"/>
              </w:rPr>
              <w:t>台</w:t>
            </w:r>
          </w:p>
        </w:tc>
      </w:tr>
      <w:tr w14:paraId="13DCF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BB1998">
            <w:pPr>
              <w:spacing w:before="100" w:beforeAutospacing="1" w:after="100" w:afterAutospacing="1"/>
              <w:jc w:val="center"/>
              <w:rPr>
                <w:rFonts w:hint="eastAsia" w:ascii="仿宋" w:eastAsia="仿宋" w:cs="仿宋"/>
                <w:color w:val="auto"/>
                <w:sz w:val="24"/>
                <w:highlight w:val="none"/>
                <w:lang w:val="en-US" w:eastAsia="zh-CN" w:bidi="th-TH"/>
              </w:rPr>
            </w:pPr>
            <w:r>
              <w:rPr>
                <w:rFonts w:hint="eastAsia" w:ascii="仿宋" w:eastAsia="仿宋" w:cs="仿宋"/>
                <w:color w:val="auto"/>
                <w:sz w:val="24"/>
                <w:highlight w:val="none"/>
                <w:lang w:val="en-US" w:eastAsia="zh-CN" w:bidi="th-TH"/>
              </w:rPr>
              <w:t>2</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95F2A59">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颗粒物监测仪（PM2.5）</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5932E4A">
            <w:pPr>
              <w:spacing w:before="100" w:beforeAutospacing="1" w:after="100" w:afterAutospacing="1"/>
              <w:jc w:val="center"/>
              <w:rPr>
                <w:rFonts w:hint="eastAsia" w:ascii="仿宋" w:hAnsi="Times New Roman" w:eastAsia="仿宋" w:cs="仿宋"/>
                <w:color w:val="auto"/>
                <w:kern w:val="2"/>
                <w:sz w:val="24"/>
                <w:szCs w:val="24"/>
                <w:highlight w:val="none"/>
                <w:lang w:val="en-US" w:eastAsia="zh-CN" w:bidi="th-TH"/>
              </w:rPr>
            </w:pPr>
            <w:r>
              <w:rPr>
                <w:rFonts w:hint="eastAsia" w:asci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27BBDF6">
            <w:pPr>
              <w:spacing w:before="100" w:beforeAutospacing="1" w:after="100" w:afterAutospacing="1"/>
              <w:jc w:val="center"/>
              <w:rPr>
                <w:rFonts w:hint="eastAsia" w:ascii="仿宋" w:hAnsi="Times New Roman" w:eastAsia="仿宋" w:cs="仿宋"/>
                <w:color w:val="auto"/>
                <w:kern w:val="2"/>
                <w:sz w:val="24"/>
                <w:szCs w:val="24"/>
                <w:highlight w:val="none"/>
                <w:lang w:val="en-US" w:eastAsia="zh-CN" w:bidi="th-TH"/>
              </w:rPr>
            </w:pPr>
            <w:r>
              <w:rPr>
                <w:rFonts w:hint="eastAsia" w:ascii="仿宋" w:eastAsia="仿宋" w:cs="仿宋"/>
                <w:color w:val="auto"/>
                <w:sz w:val="24"/>
                <w:highlight w:val="none"/>
                <w:lang w:bidi="th-TH"/>
              </w:rPr>
              <w:t>台</w:t>
            </w:r>
          </w:p>
        </w:tc>
      </w:tr>
      <w:tr w14:paraId="08618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4F528C96">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3</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4132D5A">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颗粒物监测仪（PM10）</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19F4ACA">
            <w:pPr>
              <w:spacing w:before="100" w:beforeAutospacing="1" w:after="100" w:afterAutospacing="1"/>
              <w:jc w:val="center"/>
              <w:rPr>
                <w:rFonts w:hint="eastAsia" w:ascii="仿宋" w:eastAsia="仿宋" w:cs="仿宋"/>
                <w:color w:val="auto"/>
                <w:sz w:val="24"/>
                <w:highlight w:val="none"/>
                <w:lang w:bidi="th-TH"/>
              </w:rPr>
            </w:pPr>
            <w:r>
              <w:rPr>
                <w:rFonts w:hint="eastAsia" w:asci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0EE7205">
            <w:pPr>
              <w:spacing w:before="100" w:beforeAutospacing="1" w:after="100" w:afterAutospacing="1"/>
              <w:jc w:val="center"/>
              <w:rPr>
                <w:rFonts w:hint="eastAsia" w:ascii="仿宋" w:eastAsia="仿宋" w:cs="仿宋"/>
                <w:color w:val="auto"/>
                <w:sz w:val="24"/>
                <w:highlight w:val="none"/>
                <w:lang w:bidi="th-TH"/>
              </w:rPr>
            </w:pPr>
            <w:r>
              <w:rPr>
                <w:rFonts w:hint="eastAsia" w:ascii="仿宋" w:eastAsia="仿宋" w:cs="仿宋"/>
                <w:color w:val="auto"/>
                <w:sz w:val="24"/>
                <w:highlight w:val="none"/>
                <w:lang w:bidi="th-TH"/>
              </w:rPr>
              <w:t>台</w:t>
            </w:r>
          </w:p>
        </w:tc>
      </w:tr>
      <w:tr w14:paraId="31281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4112D11D">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4</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67AF60">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氮氧化物监测仪</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F729D9C">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7CF16BA">
            <w:pPr>
              <w:spacing w:before="100" w:beforeAutospacing="1" w:after="100" w:afterAutospacing="1"/>
              <w:jc w:val="center"/>
              <w:rPr>
                <w:rFonts w:hint="eastAsia" w:ascii="仿宋" w:hAnsi="仿宋" w:eastAsia="仿宋" w:cs="仿宋"/>
                <w:color w:val="auto"/>
                <w:sz w:val="24"/>
                <w:highlight w:val="none"/>
                <w:lang w:bidi="th-TH"/>
              </w:rPr>
            </w:pPr>
            <w:r>
              <w:rPr>
                <w:rFonts w:hint="eastAsia" w:ascii="仿宋" w:eastAsia="仿宋" w:cs="仿宋"/>
                <w:color w:val="auto"/>
                <w:sz w:val="24"/>
                <w:highlight w:val="none"/>
                <w:lang w:bidi="th-TH"/>
              </w:rPr>
              <w:t>台</w:t>
            </w:r>
          </w:p>
        </w:tc>
      </w:tr>
      <w:tr w14:paraId="6C800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26CBDA78">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5</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F6C1BF1">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臭氧监测仪</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F1244F">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E02143">
            <w:pPr>
              <w:spacing w:before="100" w:beforeAutospacing="1" w:after="100" w:afterAutospacing="1"/>
              <w:jc w:val="center"/>
              <w:rPr>
                <w:rFonts w:hint="eastAsia" w:ascii="仿宋" w:hAnsi="仿宋" w:eastAsia="仿宋" w:cs="仿宋"/>
                <w:color w:val="auto"/>
                <w:sz w:val="24"/>
                <w:highlight w:val="none"/>
                <w:lang w:bidi="th-TH"/>
              </w:rPr>
            </w:pPr>
            <w:r>
              <w:rPr>
                <w:rFonts w:hint="eastAsia" w:ascii="仿宋" w:eastAsia="仿宋" w:cs="仿宋"/>
                <w:color w:val="auto"/>
                <w:sz w:val="24"/>
                <w:highlight w:val="none"/>
                <w:lang w:bidi="th-TH"/>
              </w:rPr>
              <w:t>台</w:t>
            </w:r>
          </w:p>
        </w:tc>
      </w:tr>
      <w:tr w14:paraId="18D7B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26824017">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6</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182137C">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二氧化硫监测仪</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6FF0861">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C47D3C">
            <w:pPr>
              <w:spacing w:before="100" w:beforeAutospacing="1" w:after="100" w:afterAutospacing="1"/>
              <w:jc w:val="center"/>
              <w:rPr>
                <w:rFonts w:hint="eastAsia" w:ascii="仿宋" w:hAnsi="仿宋" w:eastAsia="仿宋" w:cs="仿宋"/>
                <w:color w:val="auto"/>
                <w:sz w:val="24"/>
                <w:highlight w:val="none"/>
                <w:lang w:bidi="th-TH"/>
              </w:rPr>
            </w:pPr>
            <w:r>
              <w:rPr>
                <w:rFonts w:hint="eastAsia" w:ascii="仿宋" w:eastAsia="仿宋" w:cs="仿宋"/>
                <w:color w:val="auto"/>
                <w:sz w:val="24"/>
                <w:highlight w:val="none"/>
                <w:lang w:bidi="th-TH"/>
              </w:rPr>
              <w:t>台</w:t>
            </w:r>
          </w:p>
        </w:tc>
      </w:tr>
      <w:tr w14:paraId="641A2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499143F2">
            <w:pPr>
              <w:spacing w:before="100" w:beforeAutospacing="1" w:after="100" w:afterAutospacing="1"/>
              <w:jc w:val="center"/>
              <w:rPr>
                <w:rFonts w:hint="eastAsia" w:ascii="仿宋" w:hAnsi="仿宋" w:eastAsia="仿宋" w:cs="仿宋"/>
                <w:color w:val="auto"/>
                <w:kern w:val="2"/>
                <w:sz w:val="24"/>
                <w:szCs w:val="20"/>
                <w:highlight w:val="none"/>
                <w:lang w:val="en-US" w:eastAsia="zh-CN" w:bidi="th-TH"/>
              </w:rPr>
            </w:pPr>
            <w:r>
              <w:rPr>
                <w:rFonts w:hint="eastAsia" w:ascii="仿宋" w:hAnsi="仿宋" w:eastAsia="仿宋" w:cs="仿宋"/>
                <w:color w:val="auto"/>
                <w:sz w:val="24"/>
                <w:highlight w:val="none"/>
                <w:lang w:val="en-US" w:eastAsia="zh-CN" w:bidi="th-TH"/>
              </w:rPr>
              <w:t>7</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10315E2">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一氧化碳监测仪</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3CA7BD">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026FC20">
            <w:pPr>
              <w:spacing w:before="100" w:beforeAutospacing="1" w:after="100" w:afterAutospacing="1"/>
              <w:jc w:val="center"/>
              <w:rPr>
                <w:rFonts w:hint="eastAsia" w:ascii="仿宋" w:hAnsi="仿宋" w:eastAsia="仿宋" w:cs="仿宋"/>
                <w:color w:val="auto"/>
                <w:sz w:val="24"/>
                <w:highlight w:val="none"/>
                <w:lang w:bidi="th-TH"/>
              </w:rPr>
            </w:pPr>
            <w:r>
              <w:rPr>
                <w:rFonts w:hint="eastAsia" w:ascii="仿宋" w:eastAsia="仿宋" w:cs="仿宋"/>
                <w:color w:val="auto"/>
                <w:sz w:val="24"/>
                <w:highlight w:val="none"/>
                <w:lang w:bidi="th-TH"/>
              </w:rPr>
              <w:t>台</w:t>
            </w:r>
          </w:p>
        </w:tc>
      </w:tr>
      <w:tr w14:paraId="4D239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64206610">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8</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A6296AC">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多元气体校准仪</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B8E5D41">
            <w:pPr>
              <w:spacing w:before="100" w:beforeAutospacing="1" w:after="100" w:afterAutospacing="1"/>
              <w:jc w:val="center"/>
              <w:rPr>
                <w:rFonts w:hint="eastAsia" w:ascii="仿宋" w:hAnsi="仿宋" w:eastAsia="仿宋" w:cs="仿宋"/>
                <w:color w:val="auto"/>
                <w:sz w:val="24"/>
                <w:highlight w:val="none"/>
                <w:lang w:val="en-US" w:eastAsia="zh-CN" w:bidi="th-TH"/>
              </w:rPr>
            </w:pPr>
            <w:r>
              <w:rPr>
                <w:rFonts w:hint="eastAsia" w:ascii="仿宋" w:hAnsi="仿宋" w:eastAsia="仿宋" w:cs="仿宋"/>
                <w:color w:val="auto"/>
                <w:sz w:val="24"/>
                <w:highlight w:val="none"/>
                <w:lang w:val="en-US" w:eastAsia="zh-CN"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CA4E695">
            <w:pPr>
              <w:spacing w:before="100" w:beforeAutospacing="1" w:after="100" w:afterAutospacing="1"/>
              <w:jc w:val="center"/>
              <w:rPr>
                <w:rFonts w:hint="eastAsia" w:ascii="仿宋" w:hAnsi="仿宋" w:eastAsia="仿宋" w:cs="仿宋"/>
                <w:color w:val="auto"/>
                <w:sz w:val="24"/>
                <w:highlight w:val="none"/>
                <w:lang w:bidi="th-TH"/>
              </w:rPr>
            </w:pPr>
            <w:r>
              <w:rPr>
                <w:rFonts w:hint="eastAsia" w:ascii="仿宋" w:eastAsia="仿宋" w:cs="仿宋"/>
                <w:color w:val="auto"/>
                <w:sz w:val="24"/>
                <w:highlight w:val="none"/>
                <w:lang w:bidi="th-TH"/>
              </w:rPr>
              <w:t>台</w:t>
            </w:r>
          </w:p>
        </w:tc>
      </w:tr>
      <w:tr w14:paraId="414F4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30CB242D">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9</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B8F692">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车载监控摄像云台</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C129735">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D121185">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套</w:t>
            </w:r>
          </w:p>
        </w:tc>
      </w:tr>
      <w:tr w14:paraId="3A912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38B79135">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10</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C601011">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无人机</w:t>
            </w:r>
            <w:r>
              <w:rPr>
                <w:rFonts w:hint="eastAsia" w:ascii="仿宋" w:hAnsi="仿宋" w:eastAsia="仿宋" w:cs="仿宋"/>
                <w:color w:val="auto"/>
                <w:sz w:val="24"/>
                <w:highlight w:val="none"/>
                <w:lang w:val="en-US" w:eastAsia="zh-CN" w:bidi="th-TH"/>
              </w:rPr>
              <w:t>及配套设备</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260E695">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EF65D1">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kern w:val="2"/>
                <w:sz w:val="24"/>
                <w:szCs w:val="24"/>
                <w:highlight w:val="none"/>
                <w:lang w:val="en-US" w:eastAsia="zh-CN" w:bidi="th-TH"/>
              </w:rPr>
              <w:t>套</w:t>
            </w:r>
          </w:p>
        </w:tc>
      </w:tr>
      <w:tr w14:paraId="3FFD0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0"/>
            <w:vAlign w:val="center"/>
          </w:tcPr>
          <w:p w14:paraId="655ADF9B">
            <w:pPr>
              <w:spacing w:before="100" w:beforeAutospacing="1" w:after="100" w:afterAutospacing="1"/>
              <w:jc w:val="center"/>
              <w:rPr>
                <w:rFonts w:hint="default"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11</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8CBA6C1">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车载自动气象监测站</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7DC25D3">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F984A5">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台</w:t>
            </w:r>
          </w:p>
        </w:tc>
      </w:tr>
      <w:tr w14:paraId="7EEA7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7996A60">
            <w:pPr>
              <w:spacing w:before="100" w:beforeAutospacing="1" w:after="100" w:afterAutospacing="1"/>
              <w:jc w:val="center"/>
              <w:rPr>
                <w:rFonts w:hint="default" w:ascii="仿宋" w:hAnsi="仿宋" w:eastAsia="仿宋" w:cs="仿宋"/>
                <w:color w:val="auto"/>
                <w:kern w:val="2"/>
                <w:sz w:val="24"/>
                <w:szCs w:val="24"/>
                <w:highlight w:val="none"/>
                <w:lang w:val="en-US" w:eastAsia="zh-CN" w:bidi="th-TH"/>
              </w:rPr>
            </w:pPr>
            <w:r>
              <w:rPr>
                <w:rFonts w:hint="eastAsia" w:ascii="仿宋" w:hAnsi="仿宋" w:eastAsia="仿宋" w:cs="仿宋"/>
                <w:color w:val="auto"/>
                <w:kern w:val="2"/>
                <w:sz w:val="24"/>
                <w:szCs w:val="24"/>
                <w:highlight w:val="none"/>
                <w:lang w:val="en-US" w:eastAsia="zh-CN" w:bidi="th-TH"/>
              </w:rPr>
              <w:t>12</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30720C9">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车载移动空气监测</w:t>
            </w:r>
            <w:r>
              <w:rPr>
                <w:rFonts w:hint="eastAsia" w:ascii="仿宋" w:hAnsi="仿宋" w:eastAsia="仿宋" w:cs="仿宋"/>
                <w:color w:val="auto"/>
                <w:sz w:val="24"/>
                <w:highlight w:val="none"/>
                <w:lang w:val="en-US" w:eastAsia="zh-CN" w:bidi="th-TH"/>
              </w:rPr>
              <w:t>站</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FF46476">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45DE420">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台</w:t>
            </w:r>
          </w:p>
        </w:tc>
      </w:tr>
      <w:tr w14:paraId="4BCA4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6ED689">
            <w:pPr>
              <w:spacing w:before="100" w:beforeAutospacing="1" w:after="100" w:afterAutospacing="1"/>
              <w:jc w:val="center"/>
              <w:rPr>
                <w:rFonts w:hint="default"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13</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057B75F">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大气走航监测分析平台</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1922833C">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3B60659">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套</w:t>
            </w:r>
          </w:p>
        </w:tc>
      </w:tr>
      <w:tr w14:paraId="61535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EE4548B">
            <w:pPr>
              <w:spacing w:before="100" w:beforeAutospacing="1" w:after="100" w:afterAutospacing="1"/>
              <w:jc w:val="center"/>
              <w:rPr>
                <w:rFonts w:hint="default"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14</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C52BF39">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走航及数据分析服务</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DBA7291">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A7EE906">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年</w:t>
            </w:r>
          </w:p>
        </w:tc>
      </w:tr>
      <w:tr w14:paraId="5E2D8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4F80DDF">
            <w:pPr>
              <w:spacing w:before="100" w:beforeAutospacing="1" w:after="100" w:afterAutospacing="1"/>
              <w:jc w:val="center"/>
              <w:rPr>
                <w:rFonts w:hint="default"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15</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DBEDC04">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设备运维服务</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73BF370">
            <w:pPr>
              <w:spacing w:before="100" w:beforeAutospacing="1" w:after="100" w:afterAutospacing="1"/>
              <w:jc w:val="center"/>
              <w:rPr>
                <w:rFonts w:hint="eastAsia"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val="en-US" w:eastAsia="zh-CN" w:bidi="th-TH"/>
              </w:rPr>
              <w:t>2</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3039048">
            <w:pPr>
              <w:spacing w:before="100" w:beforeAutospacing="1" w:after="100" w:afterAutospacing="1"/>
              <w:jc w:val="center"/>
              <w:rPr>
                <w:rFonts w:ascii="仿宋" w:hAnsi="仿宋" w:eastAsia="仿宋" w:cs="仿宋"/>
                <w:color w:val="auto"/>
                <w:kern w:val="2"/>
                <w:sz w:val="24"/>
                <w:szCs w:val="24"/>
                <w:highlight w:val="none"/>
                <w:lang w:val="en-US" w:eastAsia="zh-CN" w:bidi="th-TH"/>
              </w:rPr>
            </w:pPr>
            <w:r>
              <w:rPr>
                <w:rFonts w:hint="eastAsia" w:ascii="仿宋" w:hAnsi="仿宋" w:eastAsia="仿宋" w:cs="仿宋"/>
                <w:color w:val="auto"/>
                <w:sz w:val="24"/>
                <w:highlight w:val="none"/>
                <w:lang w:bidi="th-TH"/>
              </w:rPr>
              <w:t>年</w:t>
            </w:r>
          </w:p>
        </w:tc>
      </w:tr>
      <w:tr w14:paraId="54B81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C3D627">
            <w:pPr>
              <w:spacing w:before="100" w:beforeAutospacing="1" w:after="100" w:afterAutospacing="1"/>
              <w:jc w:val="center"/>
              <w:rPr>
                <w:rFonts w:hint="default" w:ascii="仿宋" w:hAnsi="Times New Roman" w:eastAsia="仿宋" w:cs="仿宋"/>
                <w:color w:val="auto"/>
                <w:kern w:val="2"/>
                <w:sz w:val="24"/>
                <w:szCs w:val="24"/>
                <w:highlight w:val="none"/>
                <w:lang w:val="en-US" w:eastAsia="zh-CN" w:bidi="th-TH"/>
              </w:rPr>
            </w:pPr>
            <w:r>
              <w:rPr>
                <w:rFonts w:hint="eastAsia" w:ascii="仿宋" w:eastAsia="仿宋" w:cs="仿宋"/>
                <w:color w:val="auto"/>
                <w:sz w:val="24"/>
                <w:highlight w:val="none"/>
                <w:lang w:val="en-US" w:eastAsia="zh-CN" w:bidi="th-TH"/>
              </w:rPr>
              <w:t>16</w:t>
            </w:r>
          </w:p>
        </w:tc>
        <w:tc>
          <w:tcPr>
            <w:tcW w:w="3623"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0D8C799">
            <w:pPr>
              <w:spacing w:before="100" w:beforeAutospacing="1" w:after="100" w:afterAutospacing="1"/>
              <w:jc w:val="center"/>
              <w:rPr>
                <w:rFonts w:hint="eastAsia" w:ascii="仿宋" w:hAnsi="Times New Roman" w:eastAsia="仿宋" w:cs="仿宋"/>
                <w:color w:val="auto"/>
                <w:kern w:val="2"/>
                <w:sz w:val="24"/>
                <w:szCs w:val="24"/>
                <w:highlight w:val="none"/>
                <w:lang w:val="en-US" w:eastAsia="zh-CN" w:bidi="th-TH"/>
              </w:rPr>
            </w:pPr>
            <w:r>
              <w:rPr>
                <w:rFonts w:ascii="仿宋" w:eastAsia="仿宋" w:cs="仿宋"/>
                <w:color w:val="auto"/>
                <w:sz w:val="24"/>
                <w:highlight w:val="none"/>
                <w:lang w:bidi="th-TH"/>
              </w:rPr>
              <w:t>移动监测</w:t>
            </w:r>
            <w:r>
              <w:rPr>
                <w:rFonts w:hint="eastAsia" w:ascii="仿宋" w:eastAsia="仿宋" w:cs="仿宋"/>
                <w:color w:val="auto"/>
                <w:sz w:val="24"/>
                <w:highlight w:val="none"/>
                <w:lang w:bidi="th-TH"/>
              </w:rPr>
              <w:t>车</w:t>
            </w:r>
            <w:r>
              <w:rPr>
                <w:rFonts w:ascii="仿宋" w:eastAsia="仿宋" w:cs="仿宋"/>
                <w:color w:val="auto"/>
                <w:sz w:val="24"/>
                <w:highlight w:val="none"/>
                <w:lang w:bidi="th-TH"/>
              </w:rPr>
              <w:t>及车改服务</w:t>
            </w:r>
          </w:p>
        </w:tc>
        <w:tc>
          <w:tcPr>
            <w:tcW w:w="1300"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6E22735">
            <w:pPr>
              <w:spacing w:before="100" w:beforeAutospacing="1" w:after="100" w:afterAutospacing="1"/>
              <w:jc w:val="center"/>
              <w:rPr>
                <w:rFonts w:hint="eastAsia" w:ascii="仿宋" w:hAnsi="Times New Roman" w:eastAsia="仿宋" w:cs="仿宋"/>
                <w:color w:val="auto"/>
                <w:kern w:val="2"/>
                <w:sz w:val="24"/>
                <w:szCs w:val="24"/>
                <w:highlight w:val="none"/>
                <w:lang w:val="en-US" w:eastAsia="zh-CN" w:bidi="th-TH"/>
              </w:rPr>
            </w:pPr>
            <w:r>
              <w:rPr>
                <w:rFonts w:hint="eastAsia" w:ascii="仿宋" w:eastAsia="仿宋" w:cs="仿宋"/>
                <w:color w:val="auto"/>
                <w:sz w:val="24"/>
                <w:highlight w:val="none"/>
                <w:lang w:bidi="th-TH"/>
              </w:rPr>
              <w:t>1</w:t>
            </w:r>
          </w:p>
        </w:tc>
        <w:tc>
          <w:tcPr>
            <w:tcW w:w="186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230E2E4">
            <w:pPr>
              <w:spacing w:before="100" w:beforeAutospacing="1" w:after="100" w:afterAutospacing="1"/>
              <w:jc w:val="center"/>
              <w:rPr>
                <w:rFonts w:hint="eastAsia" w:ascii="仿宋" w:hAnsi="Times New Roman" w:eastAsia="仿宋" w:cs="仿宋"/>
                <w:color w:val="auto"/>
                <w:kern w:val="2"/>
                <w:sz w:val="24"/>
                <w:szCs w:val="24"/>
                <w:highlight w:val="none"/>
                <w:lang w:val="en-US" w:eastAsia="zh-CN" w:bidi="th-TH"/>
              </w:rPr>
            </w:pPr>
            <w:r>
              <w:rPr>
                <w:rFonts w:hint="eastAsia" w:ascii="仿宋" w:eastAsia="仿宋" w:cs="仿宋"/>
                <w:color w:val="auto"/>
                <w:sz w:val="24"/>
                <w:highlight w:val="none"/>
                <w:lang w:bidi="th-TH"/>
              </w:rPr>
              <w:t>套</w:t>
            </w:r>
          </w:p>
        </w:tc>
      </w:tr>
    </w:tbl>
    <w:p w14:paraId="635CA3B5">
      <w:pPr>
        <w:tabs>
          <w:tab w:val="left" w:pos="0"/>
        </w:tabs>
        <w:spacing w:line="360" w:lineRule="auto"/>
        <w:ind w:firstLine="480"/>
        <w:rPr>
          <w:rFonts w:hint="eastAsia" w:ascii="仿宋_GB2312" w:eastAsia="仿宋_GB2312" w:cs="Helvetica"/>
          <w:b/>
          <w:bCs/>
          <w:color w:val="auto"/>
          <w:kern w:val="0"/>
          <w:sz w:val="24"/>
          <w:highlight w:val="none"/>
        </w:rPr>
      </w:pPr>
      <w:bookmarkStart w:id="43" w:name="_Toc53913291"/>
      <w:r>
        <w:rPr>
          <w:rFonts w:hint="eastAsia" w:ascii="仿宋_GB2312" w:eastAsia="仿宋_GB2312" w:cs="Helvetica"/>
          <w:b/>
          <w:bCs/>
          <w:color w:val="auto"/>
          <w:kern w:val="0"/>
          <w:sz w:val="24"/>
          <w:highlight w:val="none"/>
        </w:rPr>
        <w:t>三、技术规格要求</w:t>
      </w:r>
      <w:bookmarkEnd w:id="43"/>
    </w:p>
    <w:p w14:paraId="3D8A1068">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1.VOCs飞行时间质谱仪</w:t>
      </w:r>
      <w:r>
        <w:rPr>
          <w:rFonts w:hint="eastAsia" w:ascii="仿宋" w:eastAsia="仿宋"/>
          <w:b/>
          <w:bCs/>
          <w:caps w:val="0"/>
          <w:smallCaps w:val="0"/>
          <w:vanish w:val="0"/>
          <w:color w:val="auto"/>
          <w:sz w:val="24"/>
          <w:szCs w:val="24"/>
          <w:highlight w:val="none"/>
          <w:vertAlign w:val="baseline"/>
          <w:lang w:val="en-US" w:eastAsia="zh-CN"/>
        </w:rPr>
        <w:t>（核心产品）</w:t>
      </w:r>
    </w:p>
    <w:p w14:paraId="232AF0AE">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1.1 基本要求</w:t>
      </w:r>
    </w:p>
    <w:p w14:paraId="129CDEF7">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1)系统具备环境空气走航监测，污染溯源能力。要求系统具备现场定性和定量的能力。</w:t>
      </w:r>
    </w:p>
    <w:p w14:paraId="6FA45DA3">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2)设备分析方法满足《长三角生态绿</w:t>
      </w:r>
      <w:r>
        <w:rPr>
          <w:rFonts w:hint="eastAsia" w:ascii="仿宋_GB2312" w:eastAsia="仿宋_GB2312" w:cs="Helvetica"/>
          <w:b w:val="0"/>
          <w:bCs w:val="0"/>
          <w:color w:val="auto"/>
          <w:kern w:val="0"/>
          <w:sz w:val="24"/>
          <w:highlight w:val="none"/>
          <w:lang w:val="en-US" w:eastAsia="zh-CN"/>
        </w:rPr>
        <w:t>色</w:t>
      </w:r>
      <w:r>
        <w:rPr>
          <w:rFonts w:hint="eastAsia" w:ascii="仿宋_GB2312" w:eastAsia="仿宋_GB2312" w:cs="Helvetica"/>
          <w:b w:val="0"/>
          <w:bCs w:val="0"/>
          <w:color w:val="auto"/>
          <w:kern w:val="0"/>
          <w:sz w:val="24"/>
          <w:highlight w:val="none"/>
        </w:rPr>
        <w:t>一体化发展示范区挥发性有机物走航监测技术规范》（DB31/T310002-2021、DB32/T310002-2021、DB33/T310002-2021）的要求。</w:t>
      </w:r>
    </w:p>
    <w:p w14:paraId="2CF1ADB8">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1.2 系统性能</w:t>
      </w:r>
    </w:p>
    <w:p w14:paraId="0C0B4FE9">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1)★技术原理：采用质子转移反应飞行时间质谱仪（即质子转移技术PTR-TOF-MS）,可实时在线监测环境空气中VOCs组分，可检测物种应在100种以上；</w:t>
      </w:r>
    </w:p>
    <w:p w14:paraId="68A2BCE4">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2)▲信噪比：≥1100（苯） ；（</w:t>
      </w:r>
      <w:r>
        <w:rPr>
          <w:rFonts w:hint="eastAsia" w:ascii="仿宋_GB2312" w:eastAsia="仿宋_GB2312" w:cs="Helvetica"/>
          <w:b w:val="0"/>
          <w:bCs w:val="0"/>
          <w:color w:val="auto"/>
          <w:kern w:val="0"/>
          <w:sz w:val="24"/>
          <w:highlight w:val="none"/>
          <w:lang w:eastAsia="zh-CN"/>
        </w:rPr>
        <w:t>提供具备由经过CMA认证的计量部门出具的检测报告或官网截图或产品说明书</w:t>
      </w:r>
      <w:r>
        <w:rPr>
          <w:rFonts w:hint="eastAsia" w:ascii="仿宋_GB2312" w:eastAsia="仿宋_GB2312" w:cs="Helvetica"/>
          <w:b w:val="0"/>
          <w:bCs w:val="0"/>
          <w:color w:val="auto"/>
          <w:kern w:val="0"/>
          <w:sz w:val="24"/>
          <w:highlight w:val="none"/>
        </w:rPr>
        <w:t>）</w:t>
      </w:r>
    </w:p>
    <w:p w14:paraId="0999022C">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3)▲检测限：1分钟平均，≤0.015nmol/mol（苯）； （</w:t>
      </w:r>
      <w:r>
        <w:rPr>
          <w:rFonts w:hint="eastAsia" w:ascii="仿宋_GB2312" w:eastAsia="仿宋_GB2312" w:cs="Helvetica"/>
          <w:b w:val="0"/>
          <w:bCs w:val="0"/>
          <w:color w:val="auto"/>
          <w:kern w:val="0"/>
          <w:sz w:val="24"/>
          <w:highlight w:val="none"/>
          <w:lang w:eastAsia="zh-CN"/>
        </w:rPr>
        <w:t>提供具备由经过CMA认证的计量部门出具的检测报告或官网截图或产品说明书</w:t>
      </w:r>
      <w:r>
        <w:rPr>
          <w:rFonts w:hint="eastAsia" w:ascii="仿宋_GB2312" w:eastAsia="仿宋_GB2312" w:cs="Helvetica"/>
          <w:b w:val="0"/>
          <w:bCs w:val="0"/>
          <w:color w:val="auto"/>
          <w:kern w:val="0"/>
          <w:sz w:val="24"/>
          <w:highlight w:val="none"/>
        </w:rPr>
        <w:t>）</w:t>
      </w:r>
    </w:p>
    <w:p w14:paraId="7AB68D0A">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4)响应时间：≤300ms；</w:t>
      </w:r>
    </w:p>
    <w:p w14:paraId="400EECA0">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5)▲质量分辨率：≥3000FWHM（苯）；（</w:t>
      </w:r>
      <w:r>
        <w:rPr>
          <w:rFonts w:hint="eastAsia" w:ascii="仿宋_GB2312" w:eastAsia="仿宋_GB2312" w:cs="Helvetica"/>
          <w:b w:val="0"/>
          <w:bCs w:val="0"/>
          <w:color w:val="auto"/>
          <w:kern w:val="0"/>
          <w:sz w:val="24"/>
          <w:highlight w:val="none"/>
          <w:lang w:eastAsia="zh-CN"/>
        </w:rPr>
        <w:t>提供具备由经过CMA认证的计量部门出具的检测报告或官网截图或产品说明书</w:t>
      </w:r>
      <w:r>
        <w:rPr>
          <w:rFonts w:hint="eastAsia" w:ascii="仿宋_GB2312" w:eastAsia="仿宋_GB2312" w:cs="Helvetica"/>
          <w:b w:val="0"/>
          <w:bCs w:val="0"/>
          <w:color w:val="auto"/>
          <w:kern w:val="0"/>
          <w:sz w:val="24"/>
          <w:highlight w:val="none"/>
        </w:rPr>
        <w:t>）</w:t>
      </w:r>
    </w:p>
    <w:p w14:paraId="61932A58">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6)▲质量准确性：≤±0.002amu（苯）；</w:t>
      </w:r>
    </w:p>
    <w:p w14:paraId="65B5D118">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7)质量稳定性：≤±0.01amu（苯）；</w:t>
      </w:r>
    </w:p>
    <w:p w14:paraId="7676118F">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1.3 PTR 离子源模块</w:t>
      </w:r>
    </w:p>
    <w:p w14:paraId="2E171F5F">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1)离子分子反应室可控温度区间：至少满足40-120摄氏度区间范围；</w:t>
      </w:r>
    </w:p>
    <w:p w14:paraId="2BC09797">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2)要求使用质量流量控制器或同类装置实现对高纯水蒸汽流量进行精确控制，从而产生高纯反应离子，例如H3O+；</w:t>
      </w:r>
    </w:p>
    <w:p w14:paraId="09D81BAB">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3)要求进样气路为惰性材料组成；</w:t>
      </w:r>
    </w:p>
    <w:p w14:paraId="11BE0E58">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4)★要求同时配备H3O+和O2+双离子源，可针对走航监测物质的检测需要实现离子源切换。</w:t>
      </w:r>
    </w:p>
    <w:p w14:paraId="258ED2B4">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1.4 传输模块</w:t>
      </w:r>
    </w:p>
    <w:p w14:paraId="666C5802">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要求离子分子反应室和TOF检测器之间使用差分泵真空接口，以及静电透镜或多频四极杆等同等功能的结构设计，作为离子导向传输系统。</w:t>
      </w:r>
    </w:p>
    <w:p w14:paraId="4F0164DA">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1.5 质量分析器</w:t>
      </w:r>
    </w:p>
    <w:p w14:paraId="11CACC44">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1)质量分析器为飞行时间质谱仪；</w:t>
      </w:r>
    </w:p>
    <w:p w14:paraId="3AFAEB91">
      <w:pPr>
        <w:tabs>
          <w:tab w:val="left" w:pos="0"/>
        </w:tabs>
        <w:spacing w:line="360" w:lineRule="auto"/>
        <w:ind w:firstLine="480" w:firstLineChars="200"/>
        <w:rPr>
          <w:rFonts w:hint="eastAsia" w:ascii="仿宋_GB2312" w:eastAsia="仿宋_GB2312" w:cs="Helvetica"/>
          <w:b/>
          <w:bCs/>
          <w:color w:val="auto"/>
          <w:kern w:val="0"/>
          <w:sz w:val="24"/>
          <w:highlight w:val="none"/>
        </w:rPr>
      </w:pPr>
      <w:r>
        <w:rPr>
          <w:rFonts w:hint="eastAsia" w:ascii="仿宋_GB2312" w:eastAsia="仿宋_GB2312" w:cs="Helvetica"/>
          <w:b w:val="0"/>
          <w:bCs w:val="0"/>
          <w:color w:val="auto"/>
          <w:kern w:val="0"/>
          <w:sz w:val="24"/>
          <w:highlight w:val="none"/>
        </w:rPr>
        <w:t>2)质量检测范围：大于4~700amu。</w:t>
      </w:r>
    </w:p>
    <w:p w14:paraId="1C05E109">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1.6 质控系统及附属设备</w:t>
      </w:r>
    </w:p>
    <w:p w14:paraId="26F7B7B2">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1)要求配有气体标定及空白系统或模块，包括外标气路和空白气路，分别通过质量流量控制器MFC和气体阀门对各气路气流进行精确控制，实现仪器自动化校零校标；</w:t>
      </w:r>
    </w:p>
    <w:p w14:paraId="26D5D8D8">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2)标定空白模块，要求支持用户自定义设置浓度、频率、时间等，并实现实时在线自动标定和校零；</w:t>
      </w:r>
    </w:p>
    <w:p w14:paraId="6031A7D6">
      <w:pPr>
        <w:tabs>
          <w:tab w:val="left" w:pos="0"/>
        </w:tabs>
        <w:spacing w:line="360" w:lineRule="auto"/>
        <w:ind w:firstLine="480" w:firstLineChars="200"/>
        <w:rPr>
          <w:rFonts w:hint="eastAsia" w:ascii="仿宋_GB2312" w:eastAsia="仿宋_GB2312" w:cs="Helvetica"/>
          <w:b/>
          <w:bCs/>
          <w:color w:val="auto"/>
          <w:kern w:val="0"/>
          <w:sz w:val="24"/>
          <w:highlight w:val="none"/>
        </w:rPr>
      </w:pPr>
      <w:r>
        <w:rPr>
          <w:rFonts w:hint="eastAsia" w:ascii="仿宋_GB2312" w:eastAsia="仿宋_GB2312" w:cs="Helvetica"/>
          <w:b w:val="0"/>
          <w:bCs w:val="0"/>
          <w:color w:val="auto"/>
          <w:kern w:val="0"/>
          <w:sz w:val="24"/>
          <w:highlight w:val="none"/>
        </w:rPr>
        <w:t>3)要求质控系统中的所有阀门均由电脑控制，由惰性材料组成。</w:t>
      </w:r>
    </w:p>
    <w:p w14:paraId="4759F124">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1.6.1.动态校准仪</w:t>
      </w:r>
    </w:p>
    <w:p w14:paraId="559885D2">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1）要求外标气路的MFC量程至少为0-20ml/min，零气气路的MFC量程至少为0-2L/min；</w:t>
      </w:r>
    </w:p>
    <w:p w14:paraId="46C5CC01">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2）动态校准仪可与走航软件平台实现通信，接受平台控制指令，实现全自动操作。</w:t>
      </w:r>
    </w:p>
    <w:p w14:paraId="5835235E">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1.6.2.零气发生器</w:t>
      </w:r>
    </w:p>
    <w:p w14:paraId="42E5DD16">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功能：可通过催化剂在高温下将烃类物质完全催化氧化成水和CO2，过滤掉水和颗粒物得到超高纯净度的除烃空气，用于校准仪器及吹扫气路；</w:t>
      </w:r>
    </w:p>
    <w:p w14:paraId="56D3795F">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电源：100~230V，50/60Hz。</w:t>
      </w:r>
    </w:p>
    <w:p w14:paraId="4ACFE85A">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1.6.3.标气及配套</w:t>
      </w:r>
    </w:p>
    <w:p w14:paraId="1B9BA982">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按需配备VOCs标准气体，包括116种化合物、氮气。</w:t>
      </w:r>
    </w:p>
    <w:p w14:paraId="23DA3A8B">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采用有证标气或有资质单位生产的标准气体。4LPAMS的57种组分、TO-15的66种组分和13种醛酮类组分混合标气各1瓶；</w:t>
      </w:r>
    </w:p>
    <w:p w14:paraId="42B9B3D3">
      <w:pPr>
        <w:tabs>
          <w:tab w:val="left" w:pos="0"/>
        </w:tabs>
        <w:spacing w:line="360" w:lineRule="auto"/>
        <w:ind w:firstLine="480" w:firstLineChars="200"/>
        <w:rPr>
          <w:rFonts w:hint="eastAsia" w:ascii="仿宋_GB2312" w:eastAsia="仿宋_GB2312" w:cs="Helvetica"/>
          <w:b/>
          <w:bCs/>
          <w:color w:val="auto"/>
          <w:kern w:val="0"/>
          <w:sz w:val="24"/>
          <w:highlight w:val="none"/>
        </w:rPr>
      </w:pPr>
      <w:r>
        <w:rPr>
          <w:rFonts w:hint="eastAsia" w:ascii="仿宋_GB2312" w:eastAsia="仿宋_GB2312" w:cs="Helvetica"/>
          <w:b w:val="0"/>
          <w:bCs w:val="0"/>
          <w:color w:val="auto"/>
          <w:kern w:val="0"/>
          <w:sz w:val="24"/>
          <w:highlight w:val="none"/>
        </w:rPr>
        <w:t>高纯氮气：1瓶，8L；纯度≥99.999%；</w:t>
      </w:r>
    </w:p>
    <w:p w14:paraId="63843A01">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1.7配置质谱工作站软件一套</w:t>
      </w:r>
    </w:p>
    <w:p w14:paraId="0C0B7960">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1)质谱工作站软件需为全中文操作界面，可在不联网状态下实现对仪器的控制、数据采集及管理；</w:t>
      </w:r>
    </w:p>
    <w:p w14:paraId="7BDA5734">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2)具有数据质量自动校检，仪器状态性能自检功能；</w:t>
      </w:r>
    </w:p>
    <w:p w14:paraId="657D8C46">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3)具备对仪器AEC全自动电路控制功能(启动关闭仪器，真空压力显示、电参数读取与控制、故障判别及故障信息查询等)；</w:t>
      </w:r>
    </w:p>
    <w:p w14:paraId="44F94BEA">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4)质谱采集参数设置、质谱质量轴自动校正功能、自动定性判断、自动定性定量分析、碎片离子搜索功能、谱图物质识别、浓度时间趋势线分析、试剂峰消隐、多终端使用等功能；</w:t>
      </w:r>
    </w:p>
    <w:p w14:paraId="4F77ACF9">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5)可进行自动校准，实时进行浓度分析：采集软件能够对挥发性有机物在线实时定量分析，并对数据进行显示和保存；</w:t>
      </w:r>
    </w:p>
    <w:p w14:paraId="11558E82">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6)数据格式：谱图文件数据格式包括通用电子表CSV数据格式、文本格式；</w:t>
      </w:r>
    </w:p>
    <w:p w14:paraId="78C47B28">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7)软件具备质谱峰跟踪功能，可自动跟踪800种以上组分的质谱峰并显示相关参数，跟踪过程中还可选择不同的电离模式以适应多种离子源；</w:t>
      </w:r>
    </w:p>
    <w:p w14:paraId="4F71E805">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8)▲具备智能化全自动质控功能，可根据预先设定的校准时间间隔，实现无人值守状态下的全自动校准和仪器各项指标的自动计算评价，提高运维质量，简化运维流程，降低运维成本；（</w:t>
      </w:r>
      <w:r>
        <w:rPr>
          <w:rFonts w:hint="eastAsia" w:ascii="仿宋_GB2312" w:eastAsia="仿宋_GB2312" w:cs="Helvetica"/>
          <w:b w:val="0"/>
          <w:bCs w:val="0"/>
          <w:color w:val="auto"/>
          <w:kern w:val="0"/>
          <w:sz w:val="24"/>
          <w:highlight w:val="none"/>
          <w:lang w:eastAsia="zh-CN"/>
        </w:rPr>
        <w:t>提供具备由经过CMA认证的计量部门出具的检测报告或官网截图或产品说明书或软件截图</w:t>
      </w:r>
      <w:r>
        <w:rPr>
          <w:rFonts w:hint="eastAsia" w:ascii="仿宋_GB2312" w:eastAsia="仿宋_GB2312" w:cs="Helvetica"/>
          <w:b w:val="0"/>
          <w:bCs w:val="0"/>
          <w:color w:val="auto"/>
          <w:kern w:val="0"/>
          <w:sz w:val="24"/>
          <w:highlight w:val="none"/>
        </w:rPr>
        <w:t>）</w:t>
      </w:r>
    </w:p>
    <w:p w14:paraId="5A55C56F">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8.1）自动质控系统具备图形化全自动质控功能，可运行校准/性能指标多种测试工作模式下。</w:t>
      </w:r>
    </w:p>
    <w:p w14:paraId="32B4903F">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8.2）自动质控系统用户界面友好，质控项目全面（包括但不限于检出限、精密度、准确度等），校准及指标测试任务内容设计全面；</w:t>
      </w:r>
    </w:p>
    <w:p w14:paraId="2EA21716">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8.3）自动质控系统可实现全自动无人化运行，历史记录清晰全面、便于查询和完整；</w:t>
      </w:r>
    </w:p>
    <w:p w14:paraId="13522C11">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8.4）自动质控系统可实现动态校准仪自动输出样品功能；可实现定时的标准气体自动输出功能，无需人员干预；</w:t>
      </w:r>
    </w:p>
    <w:p w14:paraId="546AF564">
      <w:pPr>
        <w:tabs>
          <w:tab w:val="left" w:pos="0"/>
        </w:tabs>
        <w:spacing w:line="360" w:lineRule="auto"/>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8.5）自动质控系统可实现自动校准功能，校准结果可实现闭环管理，校准结果可自动验证；</w:t>
      </w:r>
    </w:p>
    <w:p w14:paraId="23DB4373">
      <w:pPr>
        <w:numPr>
          <w:ilvl w:val="0"/>
          <w:numId w:val="0"/>
        </w:numPr>
        <w:ind w:firstLine="480" w:firstLineChars="20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8.6）自动质控系统可依据评价方法和标准进行定时性能指标测试，并对测试结果进行评价和上传。</w:t>
      </w:r>
    </w:p>
    <w:p w14:paraId="66BFA7DE">
      <w:pPr>
        <w:pStyle w:val="14"/>
        <w:rPr>
          <w:rFonts w:hint="eastAsia" w:ascii="仿宋" w:hAnsi="Times New Roman" w:eastAsia="仿宋" w:cs="Times New Roman"/>
          <w:b/>
          <w:bCs/>
          <w:color w:val="auto"/>
          <w:kern w:val="0"/>
          <w:sz w:val="24"/>
          <w:szCs w:val="20"/>
          <w:highlight w:val="none"/>
          <w:lang w:val="en-US" w:eastAsia="zh-CN" w:bidi="ar-SA"/>
        </w:rPr>
      </w:pPr>
      <w:r>
        <w:rPr>
          <w:rFonts w:hint="eastAsia" w:ascii="仿宋" w:hAnsi="Times New Roman" w:eastAsia="仿宋" w:cs="Times New Roman"/>
          <w:b/>
          <w:bCs/>
          <w:color w:val="auto"/>
          <w:kern w:val="0"/>
          <w:sz w:val="24"/>
          <w:szCs w:val="20"/>
          <w:highlight w:val="none"/>
          <w:lang w:val="en-US" w:eastAsia="zh-CN" w:bidi="ar-SA"/>
        </w:rPr>
        <w:t>2.</w:t>
      </w:r>
      <w:r>
        <w:rPr>
          <w:rFonts w:hint="eastAsia" w:ascii="仿宋" w:eastAsia="仿宋" w:cs="Times New Roman"/>
          <w:b/>
          <w:bCs/>
          <w:color w:val="auto"/>
          <w:kern w:val="0"/>
          <w:sz w:val="24"/>
          <w:szCs w:val="20"/>
          <w:highlight w:val="none"/>
          <w:lang w:val="en-US" w:eastAsia="zh-CN" w:bidi="ar-SA"/>
        </w:rPr>
        <w:t>颗粒物监测仪（PM2.5/PM10）</w:t>
      </w:r>
    </w:p>
    <w:p w14:paraId="1E23E18C">
      <w:pPr>
        <w:spacing w:line="240" w:lineRule="auto"/>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2</w:t>
      </w:r>
      <w:r>
        <w:rPr>
          <w:rFonts w:hint="eastAsia" w:ascii="仿宋" w:hAnsi="Times New Roman" w:eastAsia="仿宋" w:cs="Times New Roman"/>
          <w:b/>
          <w:bCs/>
          <w:color w:val="auto"/>
          <w:kern w:val="0"/>
          <w:sz w:val="24"/>
          <w:szCs w:val="20"/>
          <w:highlight w:val="none"/>
          <w:lang w:val="en-US" w:eastAsia="zh-CN" w:bidi="ar-SA"/>
        </w:rPr>
        <w:t>.1 基本要求</w:t>
      </w:r>
    </w:p>
    <w:p w14:paraId="3C1DB6FB">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适用于走航监测，设备需保证在车辆行进时可对环境空气、污染源无组织废气中的污染物浓度开展连续自动监测，秒级数据。</w:t>
      </w:r>
    </w:p>
    <w:p w14:paraId="77BC982A">
      <w:pPr>
        <w:spacing w:line="240" w:lineRule="auto"/>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2</w:t>
      </w:r>
      <w:r>
        <w:rPr>
          <w:rFonts w:hint="eastAsia" w:ascii="仿宋" w:hAnsi="Times New Roman" w:eastAsia="仿宋" w:cs="Times New Roman"/>
          <w:b/>
          <w:bCs/>
          <w:color w:val="auto"/>
          <w:kern w:val="0"/>
          <w:sz w:val="24"/>
          <w:szCs w:val="20"/>
          <w:highlight w:val="none"/>
          <w:lang w:val="en-US" w:eastAsia="zh-CN" w:bidi="ar-SA"/>
        </w:rPr>
        <w:t>.2分析方法</w:t>
      </w:r>
    </w:p>
    <w:p w14:paraId="0652A477">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β射线吸收和光散射法联用法。</w:t>
      </w:r>
    </w:p>
    <w:p w14:paraId="5AAC0F75">
      <w:pPr>
        <w:spacing w:line="240" w:lineRule="auto"/>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2</w:t>
      </w:r>
      <w:r>
        <w:rPr>
          <w:rFonts w:hint="eastAsia" w:ascii="仿宋" w:hAnsi="Times New Roman" w:eastAsia="仿宋" w:cs="Times New Roman"/>
          <w:b/>
          <w:bCs/>
          <w:color w:val="auto"/>
          <w:kern w:val="0"/>
          <w:sz w:val="24"/>
          <w:szCs w:val="20"/>
          <w:highlight w:val="none"/>
          <w:lang w:val="en-US" w:eastAsia="zh-CN" w:bidi="ar-SA"/>
        </w:rPr>
        <w:t>.3 技术参数</w:t>
      </w:r>
    </w:p>
    <w:p w14:paraId="4B67C77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监测仪正常工作环境条件。环境温度：15℃~35℃。相对湿度：≤85%。大气压：80 kPa～106 kPa。</w:t>
      </w:r>
    </w:p>
    <w:p w14:paraId="440770E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电源要求。监测系统应配有稳压电源，供电电压符合AC 220 V±22 V，50 Hz±1 Hz。</w:t>
      </w:r>
    </w:p>
    <w:p w14:paraId="2410F3D2">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安全要求。在环境温度为15℃～35℃，相对湿度≤85%条件下，设备电源端子对地或机壳的绝缘电阻不小于20MΩ。在环境温度为15℃～35℃，相对湿度≤85%条件下，设备在1500 V（有效值）、50 Hz正弦波实验电压下持续1 min，不应出现击穿或飞弧现象。使用的β射线源应符合《放射性同位素与射线装置安全和防护管理办法》的要求。</w:t>
      </w:r>
    </w:p>
    <w:p w14:paraId="43EC0F78">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数据显示、记录和输出要求。具备显示、记录和输出测量数据的功能。具备数字信号输出功能。具备数据的标记功能，应能标记维护、校准、故障或其他异常情况。应能显示软件版本号，软件应对全部人员控制操作均自动记录、保存，形成系统操作记录日志，不可修改，并可查询。</w:t>
      </w:r>
    </w:p>
    <w:p w14:paraId="5CB86BC4">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参数显示、记录和输出要求。具备显示、记录和输出参数的功能。具备参数修改后留痕功能，应能记录和输出被修改的参数名称、修改用户、修改时间、修改前参数值和修改后参数值，每项参数的修改记录保存时间不少于1 a，且保存次数不少于50次。</w:t>
      </w:r>
    </w:p>
    <w:p w14:paraId="2837D192">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断电恢复功能要求。仪器断电后，应能自动保存数据；恢复供电后系统应自动启动，并恢复正常工作状态。</w:t>
      </w:r>
    </w:p>
    <w:p w14:paraId="3833A6F7">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性能指标要求。</w:t>
      </w:r>
    </w:p>
    <w:p w14:paraId="23088092">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测量范围：0~1000 μg/m3或0~10000 μg/m3（可选），最小显示单位为0.1μg/m3。</w:t>
      </w:r>
    </w:p>
    <w:p w14:paraId="4EEF2C6D">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流量：平均流量偏差：≤±5%。流量相对标准偏差：≤2%。平均流量示值误差：≤2%。</w:t>
      </w:r>
    </w:p>
    <w:p w14:paraId="5A2DEA12">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零点偏差：±10 μg/m3。</w:t>
      </w:r>
    </w:p>
    <w:p w14:paraId="4EC4AB4C">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平行性：≤15%。</w:t>
      </w:r>
    </w:p>
    <w:p w14:paraId="7EE5933D">
      <w:pPr>
        <w:rPr>
          <w:rFonts w:hint="eastAsia"/>
          <w:color w:val="auto"/>
          <w:highlight w:val="none"/>
          <w:lang w:val="en-US" w:eastAsia="zh-CN"/>
        </w:rPr>
      </w:pPr>
    </w:p>
    <w:p w14:paraId="696C5689">
      <w:pPr>
        <w:rPr>
          <w:rFonts w:hint="default"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 xml:space="preserve">   3</w:t>
      </w:r>
      <w:r>
        <w:rPr>
          <w:rFonts w:hint="eastAsia" w:ascii="仿宋" w:hAnsi="Times New Roman" w:eastAsia="仿宋" w:cs="Times New Roman"/>
          <w:b/>
          <w:bCs/>
          <w:color w:val="auto"/>
          <w:kern w:val="0"/>
          <w:sz w:val="24"/>
          <w:szCs w:val="20"/>
          <w:highlight w:val="none"/>
          <w:lang w:val="en-US" w:eastAsia="zh-CN" w:bidi="ar-SA"/>
        </w:rPr>
        <w:t>.</w:t>
      </w:r>
      <w:r>
        <w:rPr>
          <w:rFonts w:hint="eastAsia" w:ascii="仿宋" w:eastAsia="仿宋" w:cs="Times New Roman"/>
          <w:b/>
          <w:bCs/>
          <w:color w:val="auto"/>
          <w:kern w:val="0"/>
          <w:sz w:val="24"/>
          <w:szCs w:val="20"/>
          <w:highlight w:val="none"/>
          <w:lang w:val="en-US" w:eastAsia="zh-CN" w:bidi="ar-SA"/>
        </w:rPr>
        <w:t>氮氧化物监测仪</w:t>
      </w:r>
    </w:p>
    <w:p w14:paraId="0CAC047E">
      <w:pPr>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3</w:t>
      </w:r>
      <w:r>
        <w:rPr>
          <w:rFonts w:hint="eastAsia" w:ascii="仿宋" w:hAnsi="Times New Roman" w:eastAsia="仿宋" w:cs="Times New Roman"/>
          <w:b/>
          <w:bCs/>
          <w:color w:val="auto"/>
          <w:kern w:val="0"/>
          <w:sz w:val="24"/>
          <w:szCs w:val="20"/>
          <w:highlight w:val="none"/>
          <w:lang w:val="en-US" w:eastAsia="zh-CN" w:bidi="ar-SA"/>
        </w:rPr>
        <w:t>.1 基本要求</w:t>
      </w:r>
    </w:p>
    <w:p w14:paraId="5D638F11">
      <w:pPr>
        <w:spacing w:line="360" w:lineRule="auto"/>
        <w:ind w:firstLine="480"/>
        <w:rPr>
          <w:color w:val="auto"/>
          <w:kern w:val="0"/>
          <w:sz w:val="24"/>
          <w:highlight w:val="none"/>
        </w:rPr>
      </w:pPr>
      <w:r>
        <w:rPr>
          <w:rFonts w:hint="eastAsia" w:ascii="仿宋_GB2312" w:eastAsia="仿宋_GB2312" w:cs="Helvetica"/>
          <w:b w:val="0"/>
          <w:bCs w:val="0"/>
          <w:color w:val="auto"/>
          <w:kern w:val="0"/>
          <w:sz w:val="24"/>
          <w:highlight w:val="none"/>
        </w:rPr>
        <w:t>适用于走航监测，设备需保证在车辆行进时可对环境空气、污染源无组织废气中的污染物浓度开展连续自动监测，秒级数据。</w:t>
      </w:r>
    </w:p>
    <w:p w14:paraId="46345780">
      <w:pPr>
        <w:numPr>
          <w:ilvl w:val="3"/>
          <w:numId w:val="0"/>
        </w:numPr>
        <w:spacing w:line="360" w:lineRule="auto"/>
        <w:outlineLvl w:val="3"/>
        <w:rPr>
          <w:b/>
          <w:color w:val="auto"/>
          <w:sz w:val="24"/>
          <w:highlight w:val="none"/>
        </w:rPr>
      </w:pPr>
      <w:r>
        <w:rPr>
          <w:rFonts w:hint="eastAsia" w:ascii="仿宋" w:eastAsia="仿宋" w:cs="Times New Roman"/>
          <w:b/>
          <w:bCs/>
          <w:color w:val="auto"/>
          <w:kern w:val="0"/>
          <w:sz w:val="24"/>
          <w:szCs w:val="20"/>
          <w:highlight w:val="none"/>
          <w:lang w:val="en-US" w:eastAsia="zh-CN" w:bidi="ar-SA"/>
        </w:rPr>
        <w:t>3.2 分析方法</w:t>
      </w:r>
    </w:p>
    <w:p w14:paraId="475FB19B">
      <w:pPr>
        <w:spacing w:line="360" w:lineRule="auto"/>
        <w:ind w:firstLine="480"/>
        <w:rPr>
          <w:color w:val="auto"/>
          <w:kern w:val="0"/>
          <w:sz w:val="24"/>
          <w:highlight w:val="none"/>
        </w:rPr>
      </w:pPr>
      <w:r>
        <w:rPr>
          <w:rFonts w:hint="eastAsia" w:ascii="仿宋_GB2312" w:eastAsia="仿宋_GB2312" w:cs="Helvetica"/>
          <w:b w:val="0"/>
          <w:bCs w:val="0"/>
          <w:color w:val="auto"/>
          <w:kern w:val="0"/>
          <w:sz w:val="24"/>
          <w:highlight w:val="none"/>
        </w:rPr>
        <w:t>化学发光法。</w:t>
      </w:r>
    </w:p>
    <w:p w14:paraId="0FAE6FF0">
      <w:pPr>
        <w:numPr>
          <w:ilvl w:val="3"/>
          <w:numId w:val="0"/>
        </w:numPr>
        <w:spacing w:line="360" w:lineRule="auto"/>
        <w:outlineLvl w:val="3"/>
        <w:rPr>
          <w:b/>
          <w:color w:val="auto"/>
          <w:sz w:val="24"/>
          <w:highlight w:val="none"/>
        </w:rPr>
      </w:pPr>
      <w:r>
        <w:rPr>
          <w:rFonts w:hint="eastAsia" w:ascii="仿宋" w:eastAsia="仿宋" w:cs="Times New Roman"/>
          <w:b/>
          <w:bCs/>
          <w:color w:val="auto"/>
          <w:kern w:val="0"/>
          <w:sz w:val="24"/>
          <w:szCs w:val="20"/>
          <w:highlight w:val="none"/>
          <w:lang w:val="en-US" w:eastAsia="zh-CN" w:bidi="ar-SA"/>
        </w:rPr>
        <w:t>3.3 技术参数</w:t>
      </w:r>
    </w:p>
    <w:p w14:paraId="0BB0464A">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监测仪正常工作环境条件。环境温度：15℃~35℃。相对湿度：≤85%。大气压：80 kPa～106 kPa。</w:t>
      </w:r>
    </w:p>
    <w:p w14:paraId="7365D1B4">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电源要求：监测系统应配有稳压电源，供电电压符合AC 220V±22V，50 Hz±1 Hz。</w:t>
      </w:r>
    </w:p>
    <w:p w14:paraId="10911079">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分析仪器与数据采集和传输设备。能够显示和设置系统时间。能够显示仪器内部工作状态的参数信息。能够显示实时数据，并能够记录存储至少3个月以上的有效数据，并具备查询历史数据的功能。具备时间标签功能，数据为设置时段的平均值。具备数字信号输出功能。具有中文数据采集和控制软件。对各监测数据实时采集、存储、计算，并能以报表或报告形式输出，具备质量浓度和体积浓度单位切换功能。</w:t>
      </w:r>
    </w:p>
    <w:p w14:paraId="321571A5">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断电恢复功能要求。仪器断电后，应能自动保存数据；恢复供电后系统应自动启动，并恢复正常工作状态。</w:t>
      </w:r>
    </w:p>
    <w:p w14:paraId="26951F89">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性能指标要求。</w:t>
      </w:r>
    </w:p>
    <w:p w14:paraId="3E30FF24">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测量范围：0~500ppb（需要可调节）。</w:t>
      </w:r>
    </w:p>
    <w:p w14:paraId="1079FE2A">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零点噪声：≤1ppb。</w:t>
      </w:r>
    </w:p>
    <w:p w14:paraId="18C98883">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最低检出限：≤2ppb。</w:t>
      </w:r>
    </w:p>
    <w:p w14:paraId="51374B5F">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量程噪声：≤5ppb。</w:t>
      </w:r>
    </w:p>
    <w:p w14:paraId="3DF222CE">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示值误差：≤±2%满量程。</w:t>
      </w:r>
    </w:p>
    <w:p w14:paraId="6264E56E">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20%量程精密度：≤5ppb。</w:t>
      </w:r>
    </w:p>
    <w:p w14:paraId="64F61883">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80%量程精密度：≤10ppb。</w:t>
      </w:r>
    </w:p>
    <w:p w14:paraId="738D2C1B">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响应时间（上升/下降）：≤60s。</w:t>
      </w:r>
    </w:p>
    <w:p w14:paraId="255D3B38">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量程漂移：≤±10ppb。</w:t>
      </w:r>
    </w:p>
    <w:p w14:paraId="00BAFCB7">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24h 零点漂移：≤±5ppb。</w:t>
      </w:r>
    </w:p>
    <w:p w14:paraId="747ED7C5">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长期零点漂移：≤±10ppb。</w:t>
      </w:r>
    </w:p>
    <w:p w14:paraId="69792CD3">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流量稳定性：±10%。</w:t>
      </w:r>
    </w:p>
    <w:p w14:paraId="36A5AED8">
      <w:pPr>
        <w:spacing w:line="360" w:lineRule="auto"/>
        <w:ind w:firstLine="480"/>
        <w:rPr>
          <w:rFonts w:hint="eastAsia" w:ascii="仿宋_GB2312" w:eastAsia="仿宋_GB2312" w:cs="Helvetica"/>
          <w:b w:val="0"/>
          <w:bCs w:val="0"/>
          <w:color w:val="auto"/>
          <w:kern w:val="0"/>
          <w:sz w:val="24"/>
          <w:highlight w:val="none"/>
        </w:rPr>
      </w:pPr>
      <w:r>
        <w:rPr>
          <w:rFonts w:hint="eastAsia" w:ascii="仿宋_GB2312" w:eastAsia="仿宋_GB2312" w:cs="Helvetica"/>
          <w:b w:val="0"/>
          <w:bCs w:val="0"/>
          <w:color w:val="auto"/>
          <w:kern w:val="0"/>
          <w:sz w:val="24"/>
          <w:highlight w:val="none"/>
        </w:rPr>
        <w:t>校准曲线：线性相关系数（r）≥0.995。</w:t>
      </w:r>
    </w:p>
    <w:p w14:paraId="4D15E7DB">
      <w:pPr>
        <w:numPr>
          <w:ilvl w:val="2"/>
          <w:numId w:val="0"/>
        </w:numPr>
        <w:spacing w:line="360" w:lineRule="auto"/>
        <w:outlineLvl w:val="2"/>
        <w:rPr>
          <w:rFonts w:hint="default" w:eastAsia="宋体"/>
          <w:b/>
          <w:color w:val="auto"/>
          <w:sz w:val="24"/>
          <w:highlight w:val="none"/>
          <w:lang w:val="en-US" w:eastAsia="zh-CN"/>
        </w:rPr>
      </w:pPr>
      <w:r>
        <w:rPr>
          <w:rFonts w:hint="eastAsia"/>
          <w:b/>
          <w:color w:val="auto"/>
          <w:sz w:val="24"/>
          <w:highlight w:val="none"/>
          <w:lang w:val="en-US" w:eastAsia="zh-CN"/>
        </w:rPr>
        <w:t>4.臭氧</w:t>
      </w:r>
      <w:r>
        <w:rPr>
          <w:b/>
          <w:color w:val="auto"/>
          <w:sz w:val="24"/>
          <w:highlight w:val="none"/>
        </w:rPr>
        <w:t>监测仪</w:t>
      </w:r>
    </w:p>
    <w:p w14:paraId="5E633ED0">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4</w:t>
      </w:r>
      <w:r>
        <w:rPr>
          <w:rFonts w:hint="eastAsia" w:ascii="仿宋" w:hAnsi="Times New Roman" w:eastAsia="仿宋" w:cs="Times New Roman"/>
          <w:b/>
          <w:bCs/>
          <w:color w:val="auto"/>
          <w:kern w:val="0"/>
          <w:sz w:val="24"/>
          <w:szCs w:val="20"/>
          <w:highlight w:val="none"/>
          <w:lang w:val="en-US" w:eastAsia="zh-CN" w:bidi="ar-SA"/>
        </w:rPr>
        <w:t>.1 基本要求</w:t>
      </w:r>
    </w:p>
    <w:p w14:paraId="07BBA5D7">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适用于走航监测，设备需保证在车辆行进时可对环境空气中的污染物浓度开展连续自动监测，秒级数据。</w:t>
      </w:r>
    </w:p>
    <w:p w14:paraId="567F871B">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4</w:t>
      </w:r>
      <w:r>
        <w:rPr>
          <w:rFonts w:hint="eastAsia" w:ascii="仿宋" w:hAnsi="Times New Roman" w:eastAsia="仿宋" w:cs="Times New Roman"/>
          <w:b/>
          <w:bCs/>
          <w:color w:val="auto"/>
          <w:kern w:val="0"/>
          <w:sz w:val="24"/>
          <w:szCs w:val="20"/>
          <w:highlight w:val="none"/>
          <w:lang w:val="en-US" w:eastAsia="zh-CN" w:bidi="ar-SA"/>
        </w:rPr>
        <w:t>.2 分析方法</w:t>
      </w:r>
    </w:p>
    <w:p w14:paraId="62DE5028">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紫外吸收法。</w:t>
      </w:r>
    </w:p>
    <w:p w14:paraId="4D194288">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4</w:t>
      </w:r>
      <w:r>
        <w:rPr>
          <w:rFonts w:hint="eastAsia" w:ascii="仿宋" w:hAnsi="Times New Roman" w:eastAsia="仿宋" w:cs="Times New Roman"/>
          <w:b/>
          <w:bCs/>
          <w:color w:val="auto"/>
          <w:kern w:val="0"/>
          <w:sz w:val="24"/>
          <w:szCs w:val="20"/>
          <w:highlight w:val="none"/>
          <w:lang w:val="en-US" w:eastAsia="zh-CN" w:bidi="ar-SA"/>
        </w:rPr>
        <w:t>.3 技术参数</w:t>
      </w:r>
    </w:p>
    <w:p w14:paraId="4E2A8554">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监测仪正常工作环境条件。环境温度：15℃~35℃。相对湿度：≤85%。大气压：80 kPa～106 kPa。</w:t>
      </w:r>
    </w:p>
    <w:p w14:paraId="488C8C99">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电源要求：监测系统应配有稳压电源，供电电压符合AC 220 V±22 V，50 Hz±1 Hz。</w:t>
      </w:r>
    </w:p>
    <w:p w14:paraId="1B2BA87E">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分析仪器与数据采集和传输设备。能够显示和设置系统时间。能够显示仪器内部工作状态的参数信息。能够显示实时数据，并能够记录存储至少3个月以上的有效数据，并具备查询历史数据的功能。具备时间标签功能，数据为设置时段的平均值。具备数字信号输出功能。具有中文数据采集和控制软件。对各监测数据实时采集、存储、计算，并能以报表或报告形式输出，具备质量浓度和体积浓度单位切换功能。</w:t>
      </w:r>
    </w:p>
    <w:p w14:paraId="28254EAE">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断电恢复功能要求。仪器断电后，应能自动保存数据；恢复供电后系统应自动启动，并恢复正常工作状态。</w:t>
      </w:r>
    </w:p>
    <w:p w14:paraId="44FEE9AE">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性能指标要求。</w:t>
      </w:r>
    </w:p>
    <w:p w14:paraId="41ED019D">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测量范围：0~500 ppb（需要可调节）。</w:t>
      </w:r>
    </w:p>
    <w:p w14:paraId="26A97794">
      <w:pPr>
        <w:spacing w:line="360" w:lineRule="auto"/>
        <w:ind w:firstLine="480"/>
        <w:rPr>
          <w:rFonts w:hint="eastAsia" w:ascii="仿宋_GB2312" w:hAnsi="Times New Roman" w:eastAsia="仿宋_GB2312" w:cs="Helvetica"/>
          <w:b w:val="0"/>
          <w:bCs w:val="0"/>
          <w:color w:val="auto"/>
          <w:kern w:val="0"/>
          <w:sz w:val="24"/>
          <w:szCs w:val="20"/>
          <w:highlight w:val="none"/>
        </w:rPr>
      </w:pPr>
      <w:bookmarkStart w:id="44" w:name="_SO2监测仪"/>
      <w:bookmarkEnd w:id="44"/>
      <w:r>
        <w:rPr>
          <w:rFonts w:hint="eastAsia" w:ascii="仿宋_GB2312" w:hAnsi="Times New Roman" w:eastAsia="仿宋_GB2312" w:cs="Helvetica"/>
          <w:b w:val="0"/>
          <w:bCs w:val="0"/>
          <w:color w:val="auto"/>
          <w:kern w:val="0"/>
          <w:sz w:val="24"/>
          <w:szCs w:val="20"/>
          <w:highlight w:val="none"/>
        </w:rPr>
        <w:t>零点噪声：≤1 ppb。</w:t>
      </w:r>
    </w:p>
    <w:p w14:paraId="4A6D974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最低检出限：≤2 ppb。</w:t>
      </w:r>
    </w:p>
    <w:p w14:paraId="4DEF67E3">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量程噪声：≤5 ppb。</w:t>
      </w:r>
    </w:p>
    <w:p w14:paraId="5BAAD300">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示值误差：±2%满量程。</w:t>
      </w:r>
    </w:p>
    <w:p w14:paraId="4365A1EE">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20%量程精密度：≤5 ppb。</w:t>
      </w:r>
    </w:p>
    <w:p w14:paraId="5B836D83">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80%量程精密度：≤10 ppb。</w:t>
      </w:r>
    </w:p>
    <w:p w14:paraId="3EBBC14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零点漂移（24小时）：±5 ppb。</w:t>
      </w:r>
    </w:p>
    <w:p w14:paraId="60B969F3">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20%量程漂移（24小时）：±5 ppb。</w:t>
      </w:r>
    </w:p>
    <w:p w14:paraId="53AEA2F6">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80%量程漂移（24小时）：±10 ppb。</w:t>
      </w:r>
    </w:p>
    <w:p w14:paraId="5FB184C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响应时间（上升时间/下降时间）：≤60s。</w:t>
      </w:r>
    </w:p>
    <w:p w14:paraId="19E4B492">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流量稳定性：±10%。</w:t>
      </w:r>
    </w:p>
    <w:p w14:paraId="38FFBF8C">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校准曲线：线性相关系数（r）≥0.995。</w:t>
      </w:r>
    </w:p>
    <w:p w14:paraId="048C319E">
      <w:pPr>
        <w:numPr>
          <w:ilvl w:val="3"/>
          <w:numId w:val="0"/>
        </w:numPr>
        <w:spacing w:line="360" w:lineRule="auto"/>
        <w:outlineLvl w:val="3"/>
        <w:rPr>
          <w:rFonts w:hint="default" w:ascii="仿宋" w:hAnsi="Times New Roman" w:eastAsia="仿宋" w:cs="Times New Roman"/>
          <w:b/>
          <w:bCs/>
          <w:color w:val="auto"/>
          <w:kern w:val="0"/>
          <w:sz w:val="24"/>
          <w:szCs w:val="20"/>
          <w:highlight w:val="none"/>
          <w:lang w:val="en-US" w:eastAsia="zh-CN" w:bidi="ar-SA"/>
        </w:rPr>
      </w:pPr>
      <w:r>
        <w:rPr>
          <w:rFonts w:hint="eastAsia" w:ascii="仿宋" w:hAnsi="Times New Roman" w:eastAsia="仿宋" w:cs="Times New Roman"/>
          <w:b/>
          <w:bCs/>
          <w:color w:val="auto"/>
          <w:kern w:val="0"/>
          <w:sz w:val="24"/>
          <w:szCs w:val="20"/>
          <w:highlight w:val="none"/>
          <w:lang w:val="en-US" w:eastAsia="zh-CN" w:bidi="ar-SA"/>
        </w:rPr>
        <w:t>5.二氧化硫监测仪</w:t>
      </w:r>
    </w:p>
    <w:p w14:paraId="0F670E3B">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5</w:t>
      </w:r>
      <w:r>
        <w:rPr>
          <w:rFonts w:hint="eastAsia" w:ascii="仿宋" w:hAnsi="Times New Roman" w:eastAsia="仿宋" w:cs="Times New Roman"/>
          <w:b/>
          <w:bCs/>
          <w:color w:val="auto"/>
          <w:kern w:val="0"/>
          <w:sz w:val="24"/>
          <w:szCs w:val="20"/>
          <w:highlight w:val="none"/>
          <w:lang w:val="en-US" w:eastAsia="zh-CN" w:bidi="ar-SA"/>
        </w:rPr>
        <w:t>.1 基本要求</w:t>
      </w:r>
    </w:p>
    <w:p w14:paraId="287B7B70">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适用于走航监测，设备需保证在车辆行进时可对环境空气、污染源无组织废气中的污染物浓度开展连续自动监测，秒级数据。</w:t>
      </w:r>
    </w:p>
    <w:p w14:paraId="0632ECDF">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5</w:t>
      </w:r>
      <w:r>
        <w:rPr>
          <w:rFonts w:hint="eastAsia" w:ascii="仿宋" w:hAnsi="Times New Roman" w:eastAsia="仿宋" w:cs="Times New Roman"/>
          <w:b/>
          <w:bCs/>
          <w:color w:val="auto"/>
          <w:kern w:val="0"/>
          <w:sz w:val="24"/>
          <w:szCs w:val="20"/>
          <w:highlight w:val="none"/>
          <w:lang w:val="en-US" w:eastAsia="zh-CN" w:bidi="ar-SA"/>
        </w:rPr>
        <w:t>.2 分析方法</w:t>
      </w:r>
    </w:p>
    <w:p w14:paraId="3DFE1FC5">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紫外荧光法。</w:t>
      </w:r>
    </w:p>
    <w:p w14:paraId="4AA7BB4B">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5</w:t>
      </w:r>
      <w:r>
        <w:rPr>
          <w:rFonts w:hint="eastAsia" w:ascii="仿宋" w:hAnsi="Times New Roman" w:eastAsia="仿宋" w:cs="Times New Roman"/>
          <w:b/>
          <w:bCs/>
          <w:color w:val="auto"/>
          <w:kern w:val="0"/>
          <w:sz w:val="24"/>
          <w:szCs w:val="20"/>
          <w:highlight w:val="none"/>
          <w:lang w:val="en-US" w:eastAsia="zh-CN" w:bidi="ar-SA"/>
        </w:rPr>
        <w:t>.3 技术参数</w:t>
      </w:r>
    </w:p>
    <w:p w14:paraId="1F094226">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监测仪正常工作环境条件。环境温度：15℃~35℃。相对湿度：≤85%。大气压：80 kPa～106 kPa。</w:t>
      </w:r>
    </w:p>
    <w:p w14:paraId="0F48126D">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电源要求：监测系统应配有稳压电源，供电电压符合AC 220V±22V，50 Hz±1 Hz。</w:t>
      </w:r>
    </w:p>
    <w:p w14:paraId="1DFEA6FB">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分析仪器与数据采集和传输设备。能够显示和设置系统时间。能够显示仪器内部工作状态的参数信息。能够显示实时数据，并能够记录存储至少3个月以上的有效数据，并具备查询历史数据的功能。具备时间标签功能，数据为设置时段的平均值。具备数字信号输出功能。具有中文数据采集和控制软件。对各监测数据实时采集、存储、计算，并能以报表或报告形式输出，具备质量浓度和体积浓度单位切换功能。</w:t>
      </w:r>
    </w:p>
    <w:p w14:paraId="19EEF0F4">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断电恢复功能要求。仪器断电后，应能自动保存数据；恢复供电后系统应自动启动，并恢复正常工作状态。</w:t>
      </w:r>
    </w:p>
    <w:p w14:paraId="04681505">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性能指标要求。</w:t>
      </w:r>
    </w:p>
    <w:p w14:paraId="26B0D737">
      <w:pPr>
        <w:spacing w:line="360" w:lineRule="auto"/>
        <w:ind w:firstLine="480"/>
        <w:rPr>
          <w:rFonts w:hint="eastAsia" w:ascii="仿宋_GB2312" w:hAnsi="Times New Roman" w:eastAsia="仿宋_GB2312" w:cs="Helvetica"/>
          <w:b w:val="0"/>
          <w:bCs w:val="0"/>
          <w:color w:val="auto"/>
          <w:kern w:val="0"/>
          <w:sz w:val="24"/>
          <w:szCs w:val="20"/>
          <w:highlight w:val="none"/>
        </w:rPr>
      </w:pPr>
      <w:bookmarkStart w:id="45" w:name="_双通道VOCs监测仪(直接质谱模式+气质联用模式)"/>
      <w:bookmarkEnd w:id="45"/>
      <w:r>
        <w:rPr>
          <w:rFonts w:hint="eastAsia" w:ascii="仿宋_GB2312" w:hAnsi="Times New Roman" w:eastAsia="仿宋_GB2312" w:cs="Helvetica"/>
          <w:b w:val="0"/>
          <w:bCs w:val="0"/>
          <w:color w:val="auto"/>
          <w:kern w:val="0"/>
          <w:sz w:val="24"/>
          <w:szCs w:val="20"/>
          <w:highlight w:val="none"/>
        </w:rPr>
        <w:t>测量范围：0~500ppb（需要可调节）。</w:t>
      </w:r>
    </w:p>
    <w:p w14:paraId="5C85A584">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零点噪声：≤1 ppb。</w:t>
      </w:r>
    </w:p>
    <w:p w14:paraId="553D70A5">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最低检出限：≤2ppb。</w:t>
      </w:r>
    </w:p>
    <w:p w14:paraId="30A101C6">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量程噪声：≤5ppb。</w:t>
      </w:r>
    </w:p>
    <w:p w14:paraId="1A57A15C">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示值误差：±2%满量程。</w:t>
      </w:r>
    </w:p>
    <w:p w14:paraId="46E36E1F">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20%量程精密度：≤5ppb。</w:t>
      </w:r>
    </w:p>
    <w:p w14:paraId="2E17432B">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80%量程精密度：≤10ppb。</w:t>
      </w:r>
    </w:p>
    <w:p w14:paraId="487CCCEC">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零点漂移（24小时）：±5 ppb。</w:t>
      </w:r>
    </w:p>
    <w:p w14:paraId="5C773F3E">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20%量程漂移（24小时）：±5ppb。</w:t>
      </w:r>
    </w:p>
    <w:p w14:paraId="49FD8CDC">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80%量程漂移（24小时）：±10ppb。</w:t>
      </w:r>
    </w:p>
    <w:p w14:paraId="591210E3">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响应时间（上升时间/下降时间）：≤60s。</w:t>
      </w:r>
    </w:p>
    <w:p w14:paraId="13330585">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流量稳定性：±10%。</w:t>
      </w:r>
    </w:p>
    <w:p w14:paraId="35C2D382">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校准曲线：线性相关系数（r）≥0.995。</w:t>
      </w:r>
    </w:p>
    <w:p w14:paraId="5E58979E">
      <w:pPr>
        <w:numPr>
          <w:ilvl w:val="3"/>
          <w:numId w:val="0"/>
        </w:numPr>
        <w:spacing w:line="360" w:lineRule="auto"/>
        <w:outlineLvl w:val="3"/>
        <w:rPr>
          <w:rFonts w:hint="default" w:ascii="仿宋" w:hAnsi="Times New Roman" w:eastAsia="仿宋" w:cs="Times New Roman"/>
          <w:b/>
          <w:bCs/>
          <w:color w:val="auto"/>
          <w:kern w:val="0"/>
          <w:sz w:val="24"/>
          <w:szCs w:val="20"/>
          <w:highlight w:val="none"/>
          <w:lang w:val="en-US" w:eastAsia="zh-CN" w:bidi="ar-SA"/>
        </w:rPr>
      </w:pPr>
      <w:r>
        <w:rPr>
          <w:rFonts w:hint="eastAsia" w:ascii="仿宋" w:hAnsi="Times New Roman" w:eastAsia="仿宋" w:cs="Times New Roman"/>
          <w:b/>
          <w:bCs/>
          <w:color w:val="auto"/>
          <w:kern w:val="0"/>
          <w:sz w:val="24"/>
          <w:szCs w:val="20"/>
          <w:highlight w:val="none"/>
          <w:lang w:val="en-US" w:eastAsia="zh-CN" w:bidi="ar-SA"/>
        </w:rPr>
        <w:t>6.</w:t>
      </w:r>
      <w:bookmarkStart w:id="46" w:name="_Toc165836808"/>
      <w:bookmarkStart w:id="47" w:name="_Toc161576156"/>
      <w:r>
        <w:rPr>
          <w:rFonts w:hint="eastAsia" w:ascii="仿宋" w:hAnsi="Times New Roman" w:eastAsia="仿宋" w:cs="Times New Roman"/>
          <w:b/>
          <w:bCs/>
          <w:color w:val="auto"/>
          <w:kern w:val="0"/>
          <w:sz w:val="24"/>
          <w:szCs w:val="20"/>
          <w:highlight w:val="none"/>
          <w:lang w:val="en-US" w:eastAsia="zh-CN" w:bidi="ar-SA"/>
        </w:rPr>
        <w:t xml:space="preserve"> 一氧化碳监测仪</w:t>
      </w:r>
      <w:bookmarkEnd w:id="46"/>
      <w:bookmarkEnd w:id="47"/>
    </w:p>
    <w:p w14:paraId="3EC2CCF0">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6</w:t>
      </w:r>
      <w:r>
        <w:rPr>
          <w:rFonts w:hint="eastAsia" w:ascii="仿宋" w:hAnsi="Times New Roman" w:eastAsia="仿宋" w:cs="Times New Roman"/>
          <w:b/>
          <w:bCs/>
          <w:color w:val="auto"/>
          <w:kern w:val="0"/>
          <w:sz w:val="24"/>
          <w:szCs w:val="20"/>
          <w:highlight w:val="none"/>
          <w:lang w:val="en-US" w:eastAsia="zh-CN" w:bidi="ar-SA"/>
        </w:rPr>
        <w:t>.1 基本要求</w:t>
      </w:r>
    </w:p>
    <w:p w14:paraId="5CC175D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适用于走航监测，设备需保证在车辆行进时可对环境空气、污染源无组织废气中的污染物浓度开展连续自动监测，秒级数据。</w:t>
      </w:r>
    </w:p>
    <w:p w14:paraId="37BE602A">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6</w:t>
      </w:r>
      <w:r>
        <w:rPr>
          <w:rFonts w:hint="eastAsia" w:ascii="仿宋" w:hAnsi="Times New Roman" w:eastAsia="仿宋" w:cs="Times New Roman"/>
          <w:b/>
          <w:bCs/>
          <w:color w:val="auto"/>
          <w:kern w:val="0"/>
          <w:sz w:val="24"/>
          <w:szCs w:val="20"/>
          <w:highlight w:val="none"/>
          <w:lang w:val="en-US" w:eastAsia="zh-CN" w:bidi="ar-SA"/>
        </w:rPr>
        <w:t>.2 分析方法</w:t>
      </w:r>
    </w:p>
    <w:p w14:paraId="6B9099C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气体滤波相关红外吸收法。</w:t>
      </w:r>
    </w:p>
    <w:p w14:paraId="77723838">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6</w:t>
      </w:r>
      <w:r>
        <w:rPr>
          <w:rFonts w:hint="eastAsia" w:ascii="仿宋" w:hAnsi="Times New Roman" w:eastAsia="仿宋" w:cs="Times New Roman"/>
          <w:b/>
          <w:bCs/>
          <w:color w:val="auto"/>
          <w:kern w:val="0"/>
          <w:sz w:val="24"/>
          <w:szCs w:val="20"/>
          <w:highlight w:val="none"/>
          <w:lang w:val="en-US" w:eastAsia="zh-CN" w:bidi="ar-SA"/>
        </w:rPr>
        <w:t>.3 技术参数</w:t>
      </w:r>
    </w:p>
    <w:p w14:paraId="3AD74A10">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监测仪正常工作环境条件。环境温度：15℃~35℃。相对湿度：≤85%。大气压：80 kPa～106 kPa。</w:t>
      </w:r>
    </w:p>
    <w:p w14:paraId="47D11FFC">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电源要求：监测系统应配有稳压电源，供电电压符合AC 220V±22V，50 Hz±1 Hz。</w:t>
      </w:r>
    </w:p>
    <w:p w14:paraId="22CC321B">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分析仪器与数据采集和传输设备。能够显示和设置系统时间。能够显示仪器内部工作状态的参数信息。能够显示实时数据，并能够记录存储至少3个月以上的有效数据，并具备查询历史数据的功能。具备时间标签功能，数据为设置时段的平均值。具备数字信号输出功能。具有中文数据采集和控制软件。对各监测数据实时采集、存储、计算，并能以报表或报告形式输出，具备质量浓度和体积浓度单位切换功能。</w:t>
      </w:r>
    </w:p>
    <w:p w14:paraId="189CF9F0">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断电恢复功能要求。仪器断电后，应能自动保存数据；恢复供电后系统应自动启动，并恢复正常工作状态。</w:t>
      </w:r>
    </w:p>
    <w:p w14:paraId="47659458">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性能指标要求。</w:t>
      </w:r>
    </w:p>
    <w:p w14:paraId="2E4503BF">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测量范围：0～5 ppm（需要可调节）</w:t>
      </w:r>
    </w:p>
    <w:p w14:paraId="6AE317D2">
      <w:pPr>
        <w:spacing w:line="360" w:lineRule="auto"/>
        <w:ind w:firstLine="480"/>
        <w:rPr>
          <w:rFonts w:hint="eastAsia" w:ascii="仿宋_GB2312" w:hAnsi="Times New Roman" w:eastAsia="仿宋_GB2312" w:cs="Helvetica"/>
          <w:b w:val="0"/>
          <w:bCs w:val="0"/>
          <w:color w:val="auto"/>
          <w:kern w:val="0"/>
          <w:sz w:val="24"/>
          <w:szCs w:val="20"/>
          <w:highlight w:val="none"/>
        </w:rPr>
      </w:pPr>
      <w:bookmarkStart w:id="48" w:name="_O3监测仪"/>
      <w:bookmarkEnd w:id="48"/>
      <w:bookmarkStart w:id="49" w:name="_Toc161576157"/>
      <w:r>
        <w:rPr>
          <w:rFonts w:hint="eastAsia" w:ascii="仿宋_GB2312" w:hAnsi="Times New Roman" w:eastAsia="仿宋_GB2312" w:cs="Helvetica"/>
          <w:b w:val="0"/>
          <w:bCs w:val="0"/>
          <w:color w:val="auto"/>
          <w:kern w:val="0"/>
          <w:sz w:val="24"/>
          <w:szCs w:val="20"/>
          <w:highlight w:val="none"/>
        </w:rPr>
        <w:t>零点噪声：≤0.1ppm。</w:t>
      </w:r>
    </w:p>
    <w:p w14:paraId="1E19FD11">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最低检出限：≤0.2ppm。</w:t>
      </w:r>
    </w:p>
    <w:p w14:paraId="02C4299C">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零点漂移（24小时）：±0.5ppm。</w:t>
      </w:r>
    </w:p>
    <w:p w14:paraId="422A9206">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响应时间（上升时间/下降时间）：≤60s。</w:t>
      </w:r>
    </w:p>
    <w:p w14:paraId="5707D6F5">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流量稳定性：±10%。</w:t>
      </w:r>
    </w:p>
    <w:p w14:paraId="78773C88">
      <w:pPr>
        <w:spacing w:line="360" w:lineRule="auto"/>
        <w:ind w:firstLine="480"/>
        <w:rPr>
          <w:rFonts w:hint="eastAsia" w:ascii="仿宋_GB2312" w:hAnsi="Times New Roman" w:eastAsia="仿宋_GB2312" w:cs="Helvetica"/>
          <w:b w:val="0"/>
          <w:bCs w:val="0"/>
          <w:color w:val="auto"/>
          <w:kern w:val="0"/>
          <w:sz w:val="24"/>
          <w:szCs w:val="20"/>
          <w:highlight w:val="none"/>
        </w:rPr>
      </w:pPr>
      <w:r>
        <w:rPr>
          <w:rFonts w:hint="eastAsia" w:ascii="仿宋_GB2312" w:hAnsi="Times New Roman" w:eastAsia="仿宋_GB2312" w:cs="Helvetica"/>
          <w:b w:val="0"/>
          <w:bCs w:val="0"/>
          <w:color w:val="auto"/>
          <w:kern w:val="0"/>
          <w:sz w:val="24"/>
          <w:szCs w:val="20"/>
          <w:highlight w:val="none"/>
        </w:rPr>
        <w:t>校准曲线：线性相关系数（r）≥0.995。</w:t>
      </w:r>
    </w:p>
    <w:bookmarkEnd w:id="49"/>
    <w:p w14:paraId="315DD149">
      <w:pPr>
        <w:numPr>
          <w:ilvl w:val="3"/>
          <w:numId w:val="0"/>
        </w:numPr>
        <w:spacing w:line="360" w:lineRule="auto"/>
        <w:outlineLvl w:val="3"/>
        <w:rPr>
          <w:rFonts w:hint="default" w:ascii="仿宋" w:hAnsi="Times New Roman" w:eastAsia="仿宋" w:cs="Times New Roman"/>
          <w:b/>
          <w:bCs/>
          <w:color w:val="auto"/>
          <w:kern w:val="0"/>
          <w:sz w:val="24"/>
          <w:szCs w:val="20"/>
          <w:highlight w:val="none"/>
          <w:lang w:val="en-US" w:eastAsia="zh-CN" w:bidi="ar-SA"/>
        </w:rPr>
      </w:pPr>
      <w:r>
        <w:rPr>
          <w:rFonts w:hint="eastAsia" w:ascii="仿宋" w:hAnsi="Times New Roman" w:eastAsia="仿宋" w:cs="Times New Roman"/>
          <w:b/>
          <w:bCs/>
          <w:color w:val="auto"/>
          <w:kern w:val="0"/>
          <w:sz w:val="24"/>
          <w:szCs w:val="20"/>
          <w:highlight w:val="none"/>
          <w:lang w:val="en-US" w:eastAsia="zh-CN" w:bidi="ar-SA"/>
        </w:rPr>
        <w:t>7.多元气体校准仪</w:t>
      </w:r>
    </w:p>
    <w:p w14:paraId="0B61F511">
      <w:pPr>
        <w:tabs>
          <w:tab w:val="left" w:pos="0"/>
        </w:tabs>
        <w:spacing w:line="360" w:lineRule="auto"/>
        <w:ind w:firstLine="480" w:firstLineChars="200"/>
        <w:rPr>
          <w:rFonts w:hint="eastAsia" w:ascii="仿宋_GB2312" w:hAnsi="仿宋" w:eastAsia="仿宋_GB2312" w:cs="Helvetica"/>
          <w:color w:val="auto"/>
          <w:kern w:val="0"/>
          <w:sz w:val="24"/>
          <w:szCs w:val="20"/>
          <w:highlight w:val="none"/>
          <w:lang w:val="en-US" w:eastAsia="zh-CN"/>
        </w:rPr>
      </w:pPr>
      <w:r>
        <w:rPr>
          <w:rFonts w:hint="eastAsia" w:ascii="仿宋_GB2312" w:hAnsi="仿宋" w:eastAsia="仿宋_GB2312" w:cs="Helvetica"/>
          <w:color w:val="auto"/>
          <w:kern w:val="0"/>
          <w:sz w:val="24"/>
          <w:szCs w:val="20"/>
          <w:highlight w:val="none"/>
          <w:lang w:val="en-US" w:eastAsia="zh-CN"/>
        </w:rPr>
        <w:t>①用途：可提供浓度精确的O3、CO、SO2、NO/NO2或其它用户需要的气体，各种浓度的气体可用于气体分析仪器的零点校准、跨点校准/检查、多点检查和性能审核。</w:t>
      </w:r>
    </w:p>
    <w:p w14:paraId="76632DB2">
      <w:pPr>
        <w:tabs>
          <w:tab w:val="left" w:pos="0"/>
        </w:tabs>
        <w:spacing w:line="360" w:lineRule="auto"/>
        <w:ind w:firstLine="480" w:firstLineChars="200"/>
        <w:rPr>
          <w:rFonts w:hint="eastAsia" w:ascii="仿宋_GB2312" w:hAnsi="仿宋" w:eastAsia="仿宋_GB2312" w:cs="Helvetica"/>
          <w:color w:val="auto"/>
          <w:kern w:val="0"/>
          <w:sz w:val="24"/>
          <w:szCs w:val="20"/>
          <w:highlight w:val="none"/>
          <w:lang w:val="en-US" w:eastAsia="zh-CN"/>
        </w:rPr>
      </w:pPr>
      <w:r>
        <w:rPr>
          <w:rFonts w:hint="eastAsia" w:ascii="仿宋_GB2312" w:hAnsi="仿宋" w:eastAsia="仿宋_GB2312" w:cs="Helvetica"/>
          <w:color w:val="auto"/>
          <w:kern w:val="0"/>
          <w:sz w:val="24"/>
          <w:szCs w:val="20"/>
          <w:highlight w:val="none"/>
          <w:lang w:val="en-US" w:eastAsia="zh-CN"/>
        </w:rPr>
        <w:t>②功能：具有标气稀释功能、臭氧生成功能和气相滴定功能。</w:t>
      </w:r>
    </w:p>
    <w:p w14:paraId="5BB186FC">
      <w:pPr>
        <w:tabs>
          <w:tab w:val="left" w:pos="0"/>
        </w:tabs>
        <w:spacing w:line="360" w:lineRule="auto"/>
        <w:ind w:firstLine="480" w:firstLineChars="200"/>
        <w:rPr>
          <w:rFonts w:hint="eastAsia" w:ascii="仿宋_GB2312" w:hAnsi="仿宋" w:eastAsia="仿宋_GB2312" w:cs="Helvetica"/>
          <w:color w:val="auto"/>
          <w:kern w:val="0"/>
          <w:sz w:val="24"/>
          <w:szCs w:val="20"/>
          <w:highlight w:val="none"/>
          <w:lang w:val="en-US" w:eastAsia="zh-CN"/>
        </w:rPr>
      </w:pPr>
      <w:r>
        <w:rPr>
          <w:rFonts w:hint="eastAsia" w:ascii="仿宋_GB2312" w:hAnsi="仿宋" w:eastAsia="仿宋_GB2312" w:cs="Helvetica"/>
          <w:color w:val="auto"/>
          <w:kern w:val="0"/>
          <w:sz w:val="24"/>
          <w:szCs w:val="20"/>
          <w:highlight w:val="none"/>
          <w:lang w:val="en-US" w:eastAsia="zh-CN"/>
        </w:rPr>
        <w:t>③流量测量准确度：±1%满量程。</w:t>
      </w:r>
    </w:p>
    <w:p w14:paraId="320BCD43">
      <w:pPr>
        <w:tabs>
          <w:tab w:val="left" w:pos="0"/>
        </w:tabs>
        <w:spacing w:line="360" w:lineRule="auto"/>
        <w:ind w:firstLine="480" w:firstLineChars="200"/>
        <w:rPr>
          <w:rFonts w:hint="eastAsia" w:ascii="仿宋_GB2312" w:hAnsi="仿宋" w:eastAsia="仿宋_GB2312" w:cs="Helvetica"/>
          <w:color w:val="auto"/>
          <w:kern w:val="0"/>
          <w:sz w:val="24"/>
          <w:szCs w:val="20"/>
          <w:highlight w:val="none"/>
          <w:lang w:val="en-US" w:eastAsia="zh-CN"/>
        </w:rPr>
      </w:pPr>
      <w:r>
        <w:rPr>
          <w:rFonts w:hint="eastAsia" w:ascii="仿宋_GB2312" w:hAnsi="仿宋" w:eastAsia="仿宋_GB2312" w:cs="Helvetica"/>
          <w:color w:val="auto"/>
          <w:kern w:val="0"/>
          <w:sz w:val="24"/>
          <w:szCs w:val="20"/>
          <w:highlight w:val="none"/>
          <w:lang w:val="en-US" w:eastAsia="zh-CN"/>
        </w:rPr>
        <w:t>④质量流量测量线性：±0.5%满量程。</w:t>
      </w:r>
    </w:p>
    <w:p w14:paraId="64E264DC">
      <w:pPr>
        <w:tabs>
          <w:tab w:val="left" w:pos="0"/>
        </w:tabs>
        <w:spacing w:line="360" w:lineRule="auto"/>
        <w:ind w:firstLine="480" w:firstLineChars="200"/>
        <w:rPr>
          <w:rFonts w:hint="eastAsia" w:ascii="仿宋_GB2312" w:hAnsi="仿宋" w:eastAsia="仿宋_GB2312" w:cs="Helvetica"/>
          <w:color w:val="auto"/>
          <w:kern w:val="0"/>
          <w:sz w:val="24"/>
          <w:szCs w:val="20"/>
          <w:highlight w:val="none"/>
          <w:lang w:val="en-US" w:eastAsia="zh-CN"/>
        </w:rPr>
      </w:pPr>
      <w:r>
        <w:rPr>
          <w:rFonts w:hint="eastAsia" w:ascii="仿宋_GB2312" w:hAnsi="仿宋" w:eastAsia="仿宋_GB2312" w:cs="Helvetica"/>
          <w:color w:val="auto"/>
          <w:kern w:val="0"/>
          <w:sz w:val="24"/>
          <w:szCs w:val="20"/>
          <w:highlight w:val="none"/>
          <w:lang w:val="en-US" w:eastAsia="zh-CN"/>
        </w:rPr>
        <w:t>⑤质量流量测量重复性：±2%满量程。</w:t>
      </w:r>
    </w:p>
    <w:p w14:paraId="4715A213">
      <w:pPr>
        <w:tabs>
          <w:tab w:val="left" w:pos="0"/>
        </w:tabs>
        <w:spacing w:line="360" w:lineRule="auto"/>
        <w:ind w:firstLine="480" w:firstLineChars="200"/>
        <w:rPr>
          <w:rFonts w:hint="eastAsia" w:ascii="仿宋_GB2312" w:hAnsi="仿宋" w:eastAsia="仿宋_GB2312" w:cs="Helvetica"/>
          <w:color w:val="auto"/>
          <w:kern w:val="0"/>
          <w:sz w:val="24"/>
          <w:szCs w:val="20"/>
          <w:highlight w:val="none"/>
          <w:lang w:val="en-US" w:eastAsia="zh-CN"/>
        </w:rPr>
      </w:pPr>
      <w:r>
        <w:rPr>
          <w:rFonts w:hint="eastAsia" w:ascii="仿宋_GB2312" w:hAnsi="仿宋" w:eastAsia="仿宋_GB2312" w:cs="Helvetica"/>
          <w:color w:val="auto"/>
          <w:kern w:val="0"/>
          <w:sz w:val="24"/>
          <w:szCs w:val="20"/>
          <w:highlight w:val="none"/>
          <w:lang w:val="en-US" w:eastAsia="zh-CN"/>
        </w:rPr>
        <w:t>⑥标准气输入口：3个或以上。</w:t>
      </w:r>
    </w:p>
    <w:p w14:paraId="0D8A7D33">
      <w:pPr>
        <w:pStyle w:val="14"/>
        <w:ind w:left="0" w:leftChars="0" w:firstLine="480" w:firstLineChars="200"/>
        <w:rPr>
          <w:rFonts w:hint="default" w:ascii="仿宋_GB2312" w:eastAsia="仿宋_GB2312" w:cs="Helvetica"/>
          <w:b w:val="0"/>
          <w:bCs w:val="0"/>
          <w:color w:val="auto"/>
          <w:kern w:val="0"/>
          <w:sz w:val="24"/>
          <w:highlight w:val="none"/>
          <w:lang w:val="en-US" w:eastAsia="zh-CN"/>
        </w:rPr>
      </w:pPr>
      <w:r>
        <w:rPr>
          <w:rFonts w:hint="eastAsia" w:ascii="仿宋_GB2312" w:hAnsi="仿宋" w:eastAsia="仿宋_GB2312" w:cs="Helvetica"/>
          <w:color w:val="auto"/>
          <w:kern w:val="0"/>
          <w:sz w:val="24"/>
          <w:szCs w:val="20"/>
          <w:highlight w:val="none"/>
          <w:lang w:val="en-US" w:eastAsia="zh-CN"/>
        </w:rPr>
        <w:t>⑦臭氧发生器最大输出：1ppm @ 6SLPM。</w:t>
      </w:r>
    </w:p>
    <w:p w14:paraId="10751949">
      <w:pPr>
        <w:numPr>
          <w:ilvl w:val="3"/>
          <w:numId w:val="0"/>
        </w:numPr>
        <w:spacing w:line="360" w:lineRule="auto"/>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hAnsi="Times New Roman" w:eastAsia="仿宋" w:cs="Times New Roman"/>
          <w:b/>
          <w:bCs/>
          <w:color w:val="auto"/>
          <w:kern w:val="0"/>
          <w:sz w:val="24"/>
          <w:szCs w:val="20"/>
          <w:highlight w:val="none"/>
          <w:lang w:val="en-US" w:eastAsia="zh-CN" w:bidi="ar-SA"/>
        </w:rPr>
        <w:t>8.</w:t>
      </w:r>
      <w:r>
        <w:rPr>
          <w:rFonts w:hint="eastAsia" w:ascii="仿宋_GB2312" w:hAnsi="仿宋" w:eastAsia="仿宋_GB2312" w:cs="Helvetica"/>
          <w:b/>
          <w:bCs/>
          <w:color w:val="auto"/>
          <w:kern w:val="0"/>
          <w:sz w:val="24"/>
          <w:highlight w:val="none"/>
          <w:lang w:val="zh-CN"/>
        </w:rPr>
        <w:t>车载监控摄像云台</w:t>
      </w:r>
    </w:p>
    <w:p w14:paraId="75B4F4A6">
      <w:pPr>
        <w:numPr>
          <w:ilvl w:val="3"/>
          <w:numId w:val="0"/>
        </w:numPr>
        <w:spacing w:line="360" w:lineRule="auto"/>
        <w:ind w:firstLine="482" w:firstLineChars="200"/>
        <w:outlineLvl w:val="3"/>
        <w:rPr>
          <w:rFonts w:hint="eastAsia" w:ascii="仿宋" w:hAnsi="Times New Roman" w:eastAsia="仿宋" w:cs="Times New Roman"/>
          <w:b/>
          <w:bCs/>
          <w:color w:val="auto"/>
          <w:kern w:val="0"/>
          <w:sz w:val="24"/>
          <w:szCs w:val="20"/>
          <w:highlight w:val="none"/>
          <w:lang w:val="en-US" w:eastAsia="zh-CN" w:bidi="ar-SA"/>
        </w:rPr>
      </w:pPr>
      <w:r>
        <w:rPr>
          <w:rFonts w:hint="eastAsia" w:ascii="仿宋" w:eastAsia="仿宋" w:cs="Times New Roman"/>
          <w:b/>
          <w:bCs/>
          <w:color w:val="auto"/>
          <w:kern w:val="0"/>
          <w:sz w:val="24"/>
          <w:szCs w:val="20"/>
          <w:highlight w:val="none"/>
          <w:lang w:val="en-US" w:eastAsia="zh-CN" w:bidi="ar-SA"/>
        </w:rPr>
        <w:t>8</w:t>
      </w:r>
      <w:r>
        <w:rPr>
          <w:rFonts w:hint="eastAsia" w:ascii="仿宋" w:hAnsi="Times New Roman" w:eastAsia="仿宋" w:cs="Times New Roman"/>
          <w:b/>
          <w:bCs/>
          <w:color w:val="auto"/>
          <w:kern w:val="0"/>
          <w:sz w:val="24"/>
          <w:szCs w:val="20"/>
          <w:highlight w:val="none"/>
          <w:lang w:val="en-US" w:eastAsia="zh-CN" w:bidi="ar-SA"/>
        </w:rPr>
        <w:t>.1 基本要求</w:t>
      </w:r>
    </w:p>
    <w:p w14:paraId="2020E0D7">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车载监控摄像云台可加载≥30倍变焦高清智能摄像头，支持录制“实时画面”、查看录像，录像可传送至设备终端，进行云端的记录。</w:t>
      </w:r>
    </w:p>
    <w:p w14:paraId="77BA0145">
      <w:pPr>
        <w:tabs>
          <w:tab w:val="left" w:pos="0"/>
        </w:tabs>
        <w:spacing w:line="360" w:lineRule="auto"/>
        <w:ind w:firstLine="482" w:firstLineChars="200"/>
        <w:rPr>
          <w:rFonts w:hint="eastAsia" w:ascii="仿宋_GB2312" w:hAnsi="仿宋" w:eastAsia="仿宋_GB2312" w:cs="Helvetica"/>
          <w:b/>
          <w:bCs/>
          <w:color w:val="auto"/>
          <w:kern w:val="0"/>
          <w:sz w:val="24"/>
          <w:highlight w:val="none"/>
        </w:rPr>
      </w:pPr>
      <w:r>
        <w:rPr>
          <w:rFonts w:hint="eastAsia" w:ascii="仿宋_GB2312" w:hAnsi="仿宋" w:eastAsia="仿宋_GB2312" w:cs="Helvetica"/>
          <w:b/>
          <w:bCs/>
          <w:color w:val="auto"/>
          <w:kern w:val="0"/>
          <w:sz w:val="24"/>
          <w:highlight w:val="none"/>
          <w:lang w:val="en-US" w:eastAsia="zh-CN"/>
        </w:rPr>
        <w:t>8</w:t>
      </w:r>
      <w:r>
        <w:rPr>
          <w:rFonts w:hint="eastAsia" w:ascii="仿宋_GB2312" w:hAnsi="仿宋" w:eastAsia="仿宋_GB2312" w:cs="Helvetica"/>
          <w:b/>
          <w:bCs/>
          <w:color w:val="auto"/>
          <w:kern w:val="0"/>
          <w:sz w:val="24"/>
          <w:highlight w:val="none"/>
        </w:rPr>
        <w:t>.2 技术指标</w:t>
      </w:r>
    </w:p>
    <w:p w14:paraId="2B19ED64">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要求监控摄像头可以与路由直接连接，只要保证监控摄像头和路由IP地址在同一网段，就可以实时监控，路由器的硬盘至少支持储存三个月。</w:t>
      </w:r>
    </w:p>
    <w:p w14:paraId="6F5E3F02">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要求支持GPS/BD定位功能</w:t>
      </w:r>
    </w:p>
    <w:p w14:paraId="68D21CDF">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要求支持识别抓拍功能，4G及以上全网通模块；</w:t>
      </w:r>
    </w:p>
    <w:p w14:paraId="2B50B6C0">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要求显示屏分辨率≥1024×600；</w:t>
      </w:r>
    </w:p>
    <w:p w14:paraId="7361B478">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要求支持触控式操作。</w:t>
      </w:r>
    </w:p>
    <w:p w14:paraId="6CA1964F">
      <w:pPr>
        <w:tabs>
          <w:tab w:val="left" w:pos="0"/>
        </w:tabs>
        <w:spacing w:line="360" w:lineRule="auto"/>
        <w:rPr>
          <w:rFonts w:hint="default" w:ascii="仿宋_GB2312" w:hAnsi="仿宋" w:eastAsia="仿宋_GB2312" w:cs="Helvetica"/>
          <w:b/>
          <w:bCs/>
          <w:color w:val="auto"/>
          <w:kern w:val="0"/>
          <w:sz w:val="24"/>
          <w:highlight w:val="none"/>
          <w:lang w:val="en-US" w:eastAsia="zh-CN"/>
        </w:rPr>
      </w:pPr>
      <w:r>
        <w:rPr>
          <w:rFonts w:hint="eastAsia" w:ascii="仿宋_GB2312" w:hAnsi="仿宋" w:eastAsia="仿宋_GB2312" w:cs="Helvetica"/>
          <w:b/>
          <w:bCs/>
          <w:color w:val="auto"/>
          <w:kern w:val="0"/>
          <w:sz w:val="24"/>
          <w:highlight w:val="none"/>
          <w:lang w:val="en-US" w:eastAsia="zh-CN"/>
        </w:rPr>
        <w:t>9.</w:t>
      </w:r>
      <w:r>
        <w:rPr>
          <w:rFonts w:hint="eastAsia" w:ascii="仿宋_GB2312" w:hAnsi="仿宋" w:eastAsia="仿宋_GB2312" w:cs="Helvetica"/>
          <w:b/>
          <w:bCs/>
          <w:color w:val="auto"/>
          <w:kern w:val="0"/>
          <w:sz w:val="24"/>
          <w:highlight w:val="none"/>
          <w:lang w:val="zh-CN"/>
        </w:rPr>
        <w:t>无人机及</w:t>
      </w:r>
      <w:r>
        <w:rPr>
          <w:rFonts w:hint="eastAsia" w:ascii="仿宋_GB2312" w:hAnsi="仿宋" w:eastAsia="仿宋_GB2312" w:cs="Helvetica"/>
          <w:b/>
          <w:bCs/>
          <w:color w:val="auto"/>
          <w:kern w:val="0"/>
          <w:sz w:val="24"/>
          <w:highlight w:val="none"/>
          <w:lang w:val="en-US" w:eastAsia="zh-CN"/>
        </w:rPr>
        <w:t>配套设备</w:t>
      </w:r>
    </w:p>
    <w:p w14:paraId="590040C4">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w:t>
      </w:r>
      <w:r>
        <w:rPr>
          <w:rFonts w:hint="default" w:ascii="仿宋_GB2312" w:hAnsi="仿宋" w:eastAsia="仿宋_GB2312" w:cs="Helvetica"/>
          <w:color w:val="auto"/>
          <w:kern w:val="0"/>
          <w:sz w:val="24"/>
          <w:highlight w:val="none"/>
          <w:lang w:val="en-US" w:eastAsia="zh-CN"/>
        </w:rPr>
        <w:t>对称电机轴距</w:t>
      </w:r>
      <w:r>
        <w:rPr>
          <w:rFonts w:hint="default" w:ascii="仿宋_GB2312" w:hAnsi="仿宋" w:eastAsia="仿宋_GB2312" w:cs="Helvetica"/>
          <w:color w:val="auto"/>
          <w:kern w:val="0"/>
          <w:sz w:val="24"/>
          <w:highlight w:val="none"/>
          <w:lang w:val="en-US" w:eastAsia="zh-CN"/>
        </w:rPr>
        <w:tab/>
      </w:r>
      <w:r>
        <w:rPr>
          <w:rFonts w:hint="default" w:ascii="仿宋_GB2312" w:hAnsi="仿宋" w:eastAsia="仿宋_GB2312" w:cs="Helvetica"/>
          <w:color w:val="auto"/>
          <w:kern w:val="0"/>
          <w:sz w:val="24"/>
          <w:highlight w:val="none"/>
          <w:lang w:val="en-US" w:eastAsia="zh-CN"/>
        </w:rPr>
        <w:t>小于等于700mm</w:t>
      </w:r>
    </w:p>
    <w:p w14:paraId="7F3388B3">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 xml:space="preserve">9.2 </w:t>
      </w:r>
      <w:r>
        <w:rPr>
          <w:rFonts w:hint="default" w:ascii="仿宋_GB2312" w:hAnsi="仿宋" w:eastAsia="仿宋_GB2312" w:cs="Helvetica"/>
          <w:color w:val="auto"/>
          <w:kern w:val="0"/>
          <w:sz w:val="24"/>
          <w:highlight w:val="none"/>
          <w:lang w:val="en-US" w:eastAsia="zh-CN"/>
        </w:rPr>
        <w:t>GNSS系统</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支持GPS、GLONASS、BEIDOU、GALILEO四种导航系统，支持RTK高精度定位，并且在关闭RTK的情况下至少支持三模搜星</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支持仅用北斗定位系统进行搜星定位</w:t>
      </w:r>
    </w:p>
    <w:p w14:paraId="3BBCBB0D">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 xml:space="preserve">9.3 </w:t>
      </w:r>
      <w:r>
        <w:rPr>
          <w:rFonts w:hint="default" w:ascii="仿宋_GB2312" w:hAnsi="仿宋" w:eastAsia="仿宋_GB2312" w:cs="Helvetica"/>
          <w:color w:val="auto"/>
          <w:kern w:val="0"/>
          <w:sz w:val="24"/>
          <w:highlight w:val="none"/>
          <w:lang w:val="en-US" w:eastAsia="zh-CN"/>
        </w:rPr>
        <w:t>RTK模式悬停精度</w:t>
      </w:r>
      <w:r>
        <w:rPr>
          <w:rFonts w:hint="default" w:ascii="仿宋_GB2312" w:hAnsi="仿宋" w:eastAsia="仿宋_GB2312" w:cs="Helvetica"/>
          <w:color w:val="auto"/>
          <w:kern w:val="0"/>
          <w:sz w:val="24"/>
          <w:highlight w:val="none"/>
          <w:lang w:val="en-US" w:eastAsia="zh-CN"/>
        </w:rPr>
        <w:tab/>
      </w:r>
      <w:r>
        <w:rPr>
          <w:rFonts w:hint="default" w:ascii="仿宋_GB2312" w:hAnsi="仿宋" w:eastAsia="仿宋_GB2312" w:cs="Helvetica"/>
          <w:color w:val="auto"/>
          <w:kern w:val="0"/>
          <w:sz w:val="24"/>
          <w:highlight w:val="none"/>
          <w:lang w:val="en-US" w:eastAsia="zh-CN"/>
        </w:rPr>
        <w:t>"RTK模式下飞行器悬停精度满足：垂直小于等于±0.1 m</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水平小于等于±0.1 m"</w:t>
      </w:r>
    </w:p>
    <w:p w14:paraId="5168D085">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9.4</w:t>
      </w:r>
      <w:r>
        <w:rPr>
          <w:rFonts w:hint="default" w:ascii="仿宋_GB2312" w:hAnsi="仿宋" w:eastAsia="仿宋_GB2312" w:cs="Helvetica"/>
          <w:color w:val="auto"/>
          <w:kern w:val="0"/>
          <w:sz w:val="24"/>
          <w:highlight w:val="none"/>
          <w:lang w:val="en-US" w:eastAsia="zh-CN"/>
        </w:rPr>
        <w:t>飞行速度</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"最大上升速度大于等于6 m/s</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最大下降速度大于等于5 m/s</w:t>
      </w:r>
    </w:p>
    <w:p w14:paraId="1E716F8E">
      <w:pPr>
        <w:tabs>
          <w:tab w:val="left" w:pos="0"/>
        </w:tabs>
        <w:spacing w:line="360" w:lineRule="auto"/>
        <w:ind w:firstLine="480" w:firstLineChars="200"/>
        <w:rPr>
          <w:rFonts w:hint="eastAsia"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最大倾斜下降速度大于等于7 m/s</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最大水平飞行速度大于等于23 m/s"</w:t>
      </w:r>
      <w:r>
        <w:rPr>
          <w:rFonts w:hint="eastAsia" w:ascii="仿宋_GB2312" w:hAnsi="仿宋" w:eastAsia="仿宋_GB2312" w:cs="Helvetica"/>
          <w:color w:val="auto"/>
          <w:kern w:val="0"/>
          <w:sz w:val="24"/>
          <w:highlight w:val="none"/>
          <w:lang w:val="en-US" w:eastAsia="zh-CN"/>
        </w:rPr>
        <w:t>；</w:t>
      </w:r>
    </w:p>
    <w:p w14:paraId="47EEB1A2">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9.5</w:t>
      </w:r>
      <w:r>
        <w:rPr>
          <w:rFonts w:hint="default" w:ascii="仿宋_GB2312" w:hAnsi="仿宋" w:eastAsia="仿宋_GB2312" w:cs="Helvetica"/>
          <w:color w:val="auto"/>
          <w:kern w:val="0"/>
          <w:sz w:val="24"/>
          <w:highlight w:val="none"/>
          <w:lang w:val="en-US" w:eastAsia="zh-CN"/>
        </w:rPr>
        <w:t>最大飞行海拔高度</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大于等于7000m</w:t>
      </w:r>
    </w:p>
    <w:p w14:paraId="249A963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9.6</w:t>
      </w:r>
      <w:r>
        <w:rPr>
          <w:rFonts w:hint="default" w:ascii="仿宋_GB2312" w:hAnsi="仿宋" w:eastAsia="仿宋_GB2312" w:cs="Helvetica"/>
          <w:color w:val="auto"/>
          <w:kern w:val="0"/>
          <w:sz w:val="24"/>
          <w:highlight w:val="none"/>
          <w:lang w:val="en-US" w:eastAsia="zh-CN"/>
        </w:rPr>
        <w:t>最大可承受风速</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6级风</w:t>
      </w:r>
    </w:p>
    <w:p w14:paraId="152403F0">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9.7</w:t>
      </w:r>
      <w:r>
        <w:rPr>
          <w:rFonts w:hint="default" w:ascii="仿宋_GB2312" w:hAnsi="仿宋" w:eastAsia="仿宋_GB2312" w:cs="Helvetica"/>
          <w:color w:val="auto"/>
          <w:kern w:val="0"/>
          <w:sz w:val="24"/>
          <w:highlight w:val="none"/>
          <w:lang w:val="en-US" w:eastAsia="zh-CN"/>
        </w:rPr>
        <w:t>最大飞行时间</w:t>
      </w:r>
      <w:r>
        <w:rPr>
          <w:rFonts w:hint="default" w:ascii="仿宋_GB2312" w:hAnsi="仿宋" w:eastAsia="仿宋_GB2312" w:cs="Helvetica"/>
          <w:color w:val="auto"/>
          <w:kern w:val="0"/>
          <w:sz w:val="24"/>
          <w:highlight w:val="none"/>
          <w:lang w:val="en-US" w:eastAsia="zh-CN"/>
        </w:rPr>
        <w:tab/>
      </w:r>
      <w:r>
        <w:rPr>
          <w:rFonts w:hint="default" w:ascii="仿宋_GB2312" w:hAnsi="仿宋" w:eastAsia="仿宋_GB2312" w:cs="Helvetica"/>
          <w:color w:val="auto"/>
          <w:kern w:val="0"/>
          <w:sz w:val="24"/>
          <w:highlight w:val="none"/>
          <w:lang w:val="en-US" w:eastAsia="zh-CN"/>
        </w:rPr>
        <w:t>大于等于40分钟</w:t>
      </w:r>
    </w:p>
    <w:p w14:paraId="3A90657B">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9.8</w:t>
      </w:r>
      <w:r>
        <w:rPr>
          <w:rFonts w:hint="default" w:ascii="仿宋_GB2312" w:hAnsi="仿宋" w:eastAsia="仿宋_GB2312" w:cs="Helvetica"/>
          <w:color w:val="auto"/>
          <w:kern w:val="0"/>
          <w:sz w:val="24"/>
          <w:highlight w:val="none"/>
          <w:lang w:val="en-US" w:eastAsia="zh-CN"/>
        </w:rPr>
        <w:t>工作环境温度</w:t>
      </w: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-20°C 至 50° C</w:t>
      </w:r>
    </w:p>
    <w:p w14:paraId="4D0232A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9.9</w:t>
      </w:r>
      <w:r>
        <w:rPr>
          <w:rFonts w:hint="default" w:ascii="仿宋_GB2312" w:hAnsi="仿宋" w:eastAsia="仿宋_GB2312" w:cs="Helvetica"/>
          <w:color w:val="auto"/>
          <w:kern w:val="0"/>
          <w:sz w:val="24"/>
          <w:highlight w:val="none"/>
          <w:lang w:val="en-US" w:eastAsia="zh-CN"/>
        </w:rPr>
        <w:t>电池热替换</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飞行器支持电池热替换，更换电池过程中飞行器无需重启。</w:t>
      </w:r>
    </w:p>
    <w:p w14:paraId="5FAC4DDD">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9.10</w:t>
      </w:r>
      <w:r>
        <w:rPr>
          <w:rFonts w:hint="default" w:ascii="仿宋_GB2312" w:hAnsi="仿宋" w:eastAsia="仿宋_GB2312" w:cs="Helvetica"/>
          <w:color w:val="auto"/>
          <w:kern w:val="0"/>
          <w:sz w:val="24"/>
          <w:highlight w:val="none"/>
          <w:lang w:val="en-US" w:eastAsia="zh-CN"/>
        </w:rPr>
        <w:t>机体结构</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使用按压式机臂锁，支持机臂到位检测，能够检测机臂是否展开到位</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使用一体化脚架</w:t>
      </w:r>
      <w:r>
        <w:rPr>
          <w:rFonts w:hint="eastAsia" w:ascii="仿宋_GB2312" w:hAnsi="仿宋" w:eastAsia="仿宋_GB2312" w:cs="Helvetica"/>
          <w:color w:val="auto"/>
          <w:kern w:val="0"/>
          <w:sz w:val="24"/>
          <w:highlight w:val="none"/>
          <w:lang w:val="en-US" w:eastAsia="zh-CN"/>
        </w:rPr>
        <w:t>；</w:t>
      </w:r>
    </w:p>
    <w:p w14:paraId="518F522F">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9.11</w:t>
      </w:r>
      <w:r>
        <w:rPr>
          <w:rFonts w:hint="default" w:ascii="仿宋_GB2312" w:hAnsi="仿宋" w:eastAsia="仿宋_GB2312" w:cs="Helvetica"/>
          <w:color w:val="auto"/>
          <w:kern w:val="0"/>
          <w:sz w:val="24"/>
          <w:highlight w:val="none"/>
          <w:lang w:val="en-US" w:eastAsia="zh-CN"/>
        </w:rPr>
        <w:t>视觉系统</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飞行器的前、后、上、下、左、右均具备双目视觉系统。探测到附近障碍物时，飞行器能通过地面站软件发出警示信息；距离障碍物距离较近时，飞行器能主动刹停。视觉系统的探测范围大于等于30m</w:t>
      </w:r>
      <w:r>
        <w:rPr>
          <w:rFonts w:hint="eastAsia" w:ascii="仿宋_GB2312" w:hAnsi="仿宋" w:eastAsia="仿宋_GB2312" w:cs="Helvetica"/>
          <w:color w:val="auto"/>
          <w:kern w:val="0"/>
          <w:sz w:val="24"/>
          <w:highlight w:val="none"/>
          <w:lang w:val="en-US" w:eastAsia="zh-CN"/>
        </w:rPr>
        <w:t>；</w:t>
      </w:r>
    </w:p>
    <w:p w14:paraId="0DAE32D6">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9.12</w:t>
      </w:r>
      <w:r>
        <w:rPr>
          <w:rFonts w:hint="default" w:ascii="仿宋_GB2312" w:hAnsi="仿宋" w:eastAsia="仿宋_GB2312" w:cs="Helvetica"/>
          <w:color w:val="auto"/>
          <w:kern w:val="0"/>
          <w:sz w:val="24"/>
          <w:highlight w:val="none"/>
          <w:lang w:val="en-US" w:eastAsia="zh-CN"/>
        </w:rPr>
        <w:t>红外障碍感知</w:t>
      </w:r>
      <w:r>
        <w:rPr>
          <w:rFonts w:hint="default" w:ascii="仿宋_GB2312" w:hAnsi="仿宋" w:eastAsia="仿宋_GB2312" w:cs="Helvetica"/>
          <w:color w:val="auto"/>
          <w:kern w:val="0"/>
          <w:sz w:val="24"/>
          <w:highlight w:val="none"/>
          <w:lang w:val="en-US" w:eastAsia="zh-CN"/>
        </w:rPr>
        <w:tab/>
      </w:r>
      <w:r>
        <w:rPr>
          <w:rFonts w:hint="default" w:ascii="仿宋_GB2312" w:hAnsi="仿宋" w:eastAsia="仿宋_GB2312" w:cs="Helvetica"/>
          <w:color w:val="auto"/>
          <w:kern w:val="0"/>
          <w:sz w:val="24"/>
          <w:highlight w:val="none"/>
          <w:lang w:val="en-US" w:eastAsia="zh-CN"/>
        </w:rPr>
        <w:t>飞行器具备六向红外TOF传感器</w:t>
      </w:r>
    </w:p>
    <w:p w14:paraId="3E2033ED">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9.13</w:t>
      </w:r>
      <w:r>
        <w:rPr>
          <w:rFonts w:hint="default" w:ascii="仿宋_GB2312" w:hAnsi="仿宋" w:eastAsia="仿宋_GB2312" w:cs="Helvetica"/>
          <w:color w:val="auto"/>
          <w:kern w:val="0"/>
          <w:sz w:val="24"/>
          <w:highlight w:val="none"/>
          <w:lang w:val="en-US" w:eastAsia="zh-CN"/>
        </w:rPr>
        <w:t>降落保护</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在自主降落过程中，无人机飞行器能够检测下方地形。当下方地形为不平整地面或水面，飞行器保持悬停，同时通过地面站软件向用户发出警示信息</w:t>
      </w:r>
    </w:p>
    <w:p w14:paraId="1464D0DE">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9.14</w:t>
      </w:r>
      <w:r>
        <w:rPr>
          <w:rFonts w:hint="default" w:ascii="仿宋_GB2312" w:hAnsi="仿宋" w:eastAsia="仿宋_GB2312" w:cs="Helvetica"/>
          <w:color w:val="auto"/>
          <w:kern w:val="0"/>
          <w:sz w:val="24"/>
          <w:highlight w:val="none"/>
          <w:lang w:val="en-US" w:eastAsia="zh-CN"/>
        </w:rPr>
        <w:t>传感器冗余</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飞行器具备双IMU（惯性测量单元）、双气压计、双指南针、双RTK冗余</w:t>
      </w:r>
    </w:p>
    <w:p w14:paraId="1C5E53E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9.15</w:t>
      </w:r>
      <w:r>
        <w:rPr>
          <w:rFonts w:hint="default" w:ascii="仿宋_GB2312" w:hAnsi="仿宋" w:eastAsia="仿宋_GB2312" w:cs="Helvetica"/>
          <w:color w:val="auto"/>
          <w:kern w:val="0"/>
          <w:sz w:val="24"/>
          <w:highlight w:val="none"/>
          <w:lang w:val="en-US" w:eastAsia="zh-CN"/>
        </w:rPr>
        <w:t>FPV摄像头</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飞行器配置FPV摄像头，画面分辨率大于等于1080p。</w:t>
      </w:r>
    </w:p>
    <w:p w14:paraId="18E68CA8">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9.16</w:t>
      </w:r>
      <w:r>
        <w:rPr>
          <w:rFonts w:hint="default" w:ascii="仿宋_GB2312" w:hAnsi="仿宋" w:eastAsia="仿宋_GB2312" w:cs="Helvetica"/>
          <w:color w:val="auto"/>
          <w:kern w:val="0"/>
          <w:sz w:val="24"/>
          <w:highlight w:val="none"/>
          <w:lang w:val="en-US" w:eastAsia="zh-CN"/>
        </w:rPr>
        <w:t>额外挂载硬件</w:t>
      </w:r>
      <w:r>
        <w:rPr>
          <w:rFonts w:hint="default" w:ascii="仿宋_GB2312" w:hAnsi="仿宋" w:eastAsia="仿宋_GB2312" w:cs="Helvetica"/>
          <w:color w:val="auto"/>
          <w:kern w:val="0"/>
          <w:sz w:val="24"/>
          <w:highlight w:val="none"/>
          <w:lang w:val="en-US" w:eastAsia="zh-CN"/>
        </w:rPr>
        <w:tab/>
      </w:r>
      <w:r>
        <w:rPr>
          <w:rFonts w:hint="default" w:ascii="仿宋_GB2312" w:hAnsi="仿宋" w:eastAsia="仿宋_GB2312" w:cs="Helvetica"/>
          <w:color w:val="auto"/>
          <w:kern w:val="0"/>
          <w:sz w:val="24"/>
          <w:highlight w:val="none"/>
          <w:lang w:val="en-US" w:eastAsia="zh-CN"/>
        </w:rPr>
        <w:t>支持在飞行器顶部挂载喊话器、探照灯等硬件，挂载的硬件支持通过遥控器控制。</w:t>
      </w:r>
    </w:p>
    <w:p w14:paraId="6427234E">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9.17</w:t>
      </w:r>
      <w:r>
        <w:rPr>
          <w:rFonts w:hint="default" w:ascii="仿宋_GB2312" w:hAnsi="仿宋" w:eastAsia="仿宋_GB2312" w:cs="Helvetica"/>
          <w:color w:val="auto"/>
          <w:kern w:val="0"/>
          <w:sz w:val="24"/>
          <w:highlight w:val="none"/>
          <w:lang w:val="en-US" w:eastAsia="zh-CN"/>
        </w:rPr>
        <w:t>无人机防护等级</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飞行器及其配套相机具备IP55防护等级</w:t>
      </w:r>
    </w:p>
    <w:p w14:paraId="7D5FA9D2">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9.18</w:t>
      </w:r>
      <w:r>
        <w:rPr>
          <w:rFonts w:hint="default" w:ascii="仿宋_GB2312" w:hAnsi="仿宋" w:eastAsia="仿宋_GB2312" w:cs="Helvetica"/>
          <w:color w:val="auto"/>
          <w:kern w:val="0"/>
          <w:sz w:val="24"/>
          <w:highlight w:val="none"/>
          <w:lang w:val="en-US" w:eastAsia="zh-CN"/>
        </w:rPr>
        <w:t>夜航灯</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具备夜航灯，并可通过App控制夜航灯开关，提升夜间飞行的安全性</w:t>
      </w:r>
    </w:p>
    <w:p w14:paraId="41EE8774">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9.19</w:t>
      </w:r>
      <w:r>
        <w:rPr>
          <w:rFonts w:hint="default" w:ascii="仿宋_GB2312" w:hAnsi="仿宋" w:eastAsia="仿宋_GB2312" w:cs="Helvetica"/>
          <w:color w:val="auto"/>
          <w:kern w:val="0"/>
          <w:sz w:val="24"/>
          <w:highlight w:val="none"/>
          <w:lang w:val="en-US" w:eastAsia="zh-CN"/>
        </w:rPr>
        <w:t>隐蔽模式</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支持关闭全部飞机指示灯</w:t>
      </w:r>
    </w:p>
    <w:p w14:paraId="33EF3CEB">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9.20</w:t>
      </w:r>
      <w:r>
        <w:rPr>
          <w:rFonts w:hint="default" w:ascii="仿宋_GB2312" w:hAnsi="仿宋" w:eastAsia="仿宋_GB2312" w:cs="Helvetica"/>
          <w:color w:val="auto"/>
          <w:kern w:val="0"/>
          <w:sz w:val="24"/>
          <w:highlight w:val="none"/>
          <w:lang w:val="en-US" w:eastAsia="zh-CN"/>
        </w:rPr>
        <w:t>图传加密</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为保证数据安全，图传链路需通过AES-256技术进行加密</w:t>
      </w:r>
    </w:p>
    <w:p w14:paraId="6B2F1B74">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9.21</w:t>
      </w:r>
      <w:r>
        <w:rPr>
          <w:rFonts w:hint="default" w:ascii="仿宋_GB2312" w:hAnsi="仿宋" w:eastAsia="仿宋_GB2312" w:cs="Helvetica"/>
          <w:color w:val="auto"/>
          <w:kern w:val="0"/>
          <w:sz w:val="24"/>
          <w:highlight w:val="none"/>
          <w:lang w:val="en-US" w:eastAsia="zh-CN"/>
        </w:rPr>
        <w:t>最大信号有效距离（无干扰、无遮挡）</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大于等于15km</w:t>
      </w:r>
    </w:p>
    <w:p w14:paraId="061F149F">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9.22</w:t>
      </w:r>
      <w:r>
        <w:rPr>
          <w:rFonts w:hint="default" w:ascii="仿宋_GB2312" w:hAnsi="仿宋" w:eastAsia="仿宋_GB2312" w:cs="Helvetica"/>
          <w:color w:val="auto"/>
          <w:kern w:val="0"/>
          <w:sz w:val="24"/>
          <w:highlight w:val="none"/>
          <w:lang w:val="en-US" w:eastAsia="zh-CN"/>
        </w:rPr>
        <w:t>双信号控制传输</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支持2.4GHz和5.8GHz双频通信</w:t>
      </w:r>
    </w:p>
    <w:p w14:paraId="3C644F03">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w:t>
      </w:r>
      <w:r>
        <w:rPr>
          <w:rFonts w:hint="default" w:ascii="仿宋_GB2312" w:hAnsi="仿宋" w:eastAsia="仿宋_GB2312" w:cs="Helvetica"/>
          <w:color w:val="auto"/>
          <w:kern w:val="0"/>
          <w:sz w:val="24"/>
          <w:highlight w:val="none"/>
          <w:lang w:val="en-US" w:eastAsia="zh-CN"/>
        </w:rPr>
        <w:t>遥控器</w:t>
      </w:r>
      <w:r>
        <w:rPr>
          <w:rFonts w:hint="default" w:ascii="仿宋_GB2312" w:hAnsi="仿宋" w:eastAsia="仿宋_GB2312" w:cs="Helvetica"/>
          <w:color w:val="auto"/>
          <w:kern w:val="0"/>
          <w:sz w:val="24"/>
          <w:highlight w:val="none"/>
          <w:lang w:val="en-US" w:eastAsia="zh-CN"/>
        </w:rPr>
        <w:tab/>
      </w:r>
    </w:p>
    <w:p w14:paraId="6EB6F493">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9.23.1</w:t>
      </w:r>
      <w:r>
        <w:rPr>
          <w:rFonts w:hint="default" w:ascii="仿宋_GB2312" w:hAnsi="仿宋" w:eastAsia="仿宋_GB2312" w:cs="Helvetica"/>
          <w:color w:val="auto"/>
          <w:kern w:val="0"/>
          <w:sz w:val="24"/>
          <w:highlight w:val="none"/>
          <w:lang w:val="en-US" w:eastAsia="zh-CN"/>
        </w:rPr>
        <w:t>IP防护等级至少达到IP54，环境工作温度-20℃ 至 50℃</w:t>
      </w:r>
    </w:p>
    <w:p w14:paraId="7274D4C7">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9.23.2</w:t>
      </w:r>
      <w:r>
        <w:rPr>
          <w:rFonts w:hint="default" w:ascii="仿宋_GB2312" w:hAnsi="仿宋" w:eastAsia="仿宋_GB2312" w:cs="Helvetica"/>
          <w:color w:val="auto"/>
          <w:kern w:val="0"/>
          <w:sz w:val="24"/>
          <w:highlight w:val="none"/>
          <w:lang w:val="en-US" w:eastAsia="zh-CN"/>
        </w:rPr>
        <w:t>遥控器具备内置电池，并支持外置可更换电池，内置+外置电池最大续航时间需大于等于6小时</w:t>
      </w:r>
    </w:p>
    <w:p w14:paraId="20929AAA">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9.23.3</w:t>
      </w:r>
      <w:r>
        <w:rPr>
          <w:rFonts w:hint="default" w:ascii="仿宋_GB2312" w:hAnsi="仿宋" w:eastAsia="仿宋_GB2312" w:cs="Helvetica"/>
          <w:color w:val="auto"/>
          <w:kern w:val="0"/>
          <w:sz w:val="24"/>
          <w:highlight w:val="none"/>
          <w:lang w:val="en-US" w:eastAsia="zh-CN"/>
        </w:rPr>
        <w:tab/>
      </w:r>
      <w:r>
        <w:rPr>
          <w:rFonts w:hint="default" w:ascii="仿宋_GB2312" w:hAnsi="仿宋" w:eastAsia="仿宋_GB2312" w:cs="Helvetica"/>
          <w:color w:val="auto"/>
          <w:kern w:val="0"/>
          <w:sz w:val="24"/>
          <w:highlight w:val="none"/>
          <w:lang w:val="en-US" w:eastAsia="zh-CN"/>
        </w:rPr>
        <w:t>外置电池支持热替换，并可用于对内置电池充电。</w:t>
      </w:r>
    </w:p>
    <w:p w14:paraId="67D6FB50">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9.23.5</w:t>
      </w:r>
      <w:r>
        <w:rPr>
          <w:rFonts w:hint="default" w:ascii="仿宋_GB2312" w:hAnsi="仿宋" w:eastAsia="仿宋_GB2312" w:cs="Helvetica"/>
          <w:color w:val="auto"/>
          <w:kern w:val="0"/>
          <w:sz w:val="24"/>
          <w:highlight w:val="none"/>
          <w:lang w:val="en-US" w:eastAsia="zh-CN"/>
        </w:rPr>
        <w:t>支持4G模块可用于上网。</w:t>
      </w:r>
    </w:p>
    <w:p w14:paraId="67028D00">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9.23.6</w:t>
      </w:r>
      <w:r>
        <w:rPr>
          <w:rFonts w:hint="default" w:ascii="仿宋_GB2312" w:hAnsi="仿宋" w:eastAsia="仿宋_GB2312" w:cs="Helvetica"/>
          <w:color w:val="auto"/>
          <w:kern w:val="0"/>
          <w:sz w:val="24"/>
          <w:highlight w:val="none"/>
          <w:lang w:val="en-US" w:eastAsia="zh-CN"/>
        </w:rPr>
        <w:t>支持65W的快充接口，该充电接口可对内外置电池同时充电，充满电的时长小于等于2小时</w:t>
      </w:r>
    </w:p>
    <w:p w14:paraId="4FCA3FD8">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9.23.8</w:t>
      </w:r>
      <w:r>
        <w:rPr>
          <w:rFonts w:hint="default" w:ascii="仿宋_GB2312" w:hAnsi="仿宋" w:eastAsia="仿宋_GB2312" w:cs="Helvetica"/>
          <w:color w:val="auto"/>
          <w:kern w:val="0"/>
          <w:sz w:val="24"/>
          <w:highlight w:val="none"/>
          <w:lang w:val="en-US" w:eastAsia="zh-CN"/>
        </w:rPr>
        <w:t>遥控器屏幕的尺寸大于等于7英寸，分辨率大于等于1080p</w:t>
      </w:r>
    </w:p>
    <w:p w14:paraId="295E5ED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9.23.9</w:t>
      </w:r>
      <w:r>
        <w:rPr>
          <w:rFonts w:hint="default" w:ascii="仿宋_GB2312" w:hAnsi="仿宋" w:eastAsia="仿宋_GB2312" w:cs="Helvetica"/>
          <w:color w:val="auto"/>
          <w:kern w:val="0"/>
          <w:sz w:val="24"/>
          <w:highlight w:val="none"/>
          <w:lang w:val="en-US" w:eastAsia="zh-CN"/>
        </w:rPr>
        <w:t>支持HDMI、USB-C、USB-A接口及SD卡插槽</w:t>
      </w:r>
    </w:p>
    <w:p w14:paraId="4DB2479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w:t>
      </w:r>
      <w:r>
        <w:rPr>
          <w:rFonts w:hint="default" w:ascii="仿宋_GB2312" w:hAnsi="仿宋" w:eastAsia="仿宋_GB2312" w:cs="Helvetica"/>
          <w:color w:val="auto"/>
          <w:kern w:val="0"/>
          <w:sz w:val="24"/>
          <w:highlight w:val="none"/>
          <w:lang w:val="en-US" w:eastAsia="zh-CN"/>
        </w:rPr>
        <w:t>软件功能</w:t>
      </w:r>
      <w:r>
        <w:rPr>
          <w:rFonts w:hint="default" w:ascii="仿宋_GB2312" w:hAnsi="仿宋" w:eastAsia="仿宋_GB2312" w:cs="Helvetica"/>
          <w:color w:val="auto"/>
          <w:kern w:val="0"/>
          <w:sz w:val="24"/>
          <w:highlight w:val="none"/>
          <w:lang w:val="en-US" w:eastAsia="zh-CN"/>
        </w:rPr>
        <w:tab/>
      </w:r>
    </w:p>
    <w:p w14:paraId="0E73BE68">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w:t>
      </w:r>
      <w:r>
        <w:rPr>
          <w:rFonts w:hint="default" w:ascii="仿宋_GB2312" w:hAnsi="仿宋" w:eastAsia="仿宋_GB2312" w:cs="Helvetica"/>
          <w:color w:val="auto"/>
          <w:kern w:val="0"/>
          <w:sz w:val="24"/>
          <w:highlight w:val="none"/>
          <w:lang w:val="en-US" w:eastAsia="zh-CN"/>
        </w:rPr>
        <w:t>民航客机信息告警</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能够接收民航客机的ADS-B广播信息，并能过地面端软件向用户发出附近民航客机预警信息</w:t>
      </w:r>
    </w:p>
    <w:p w14:paraId="75AD7CCB">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9.24.2</w:t>
      </w:r>
      <w:r>
        <w:rPr>
          <w:rFonts w:hint="default" w:ascii="仿宋_GB2312" w:hAnsi="仿宋" w:eastAsia="仿宋_GB2312" w:cs="Helvetica"/>
          <w:color w:val="auto"/>
          <w:kern w:val="0"/>
          <w:sz w:val="24"/>
          <w:highlight w:val="none"/>
          <w:lang w:val="en-US" w:eastAsia="zh-CN"/>
        </w:rPr>
        <w:t>高级双控功能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支持两个遥控器同时与同一台飞行器连接，且都能对飞行器、云台进行操控，控制权限可在两个遥控器之间切换。</w:t>
      </w:r>
    </w:p>
    <w:p w14:paraId="4A9383C6">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9.24.3</w:t>
      </w:r>
      <w:r>
        <w:rPr>
          <w:rFonts w:hint="default" w:ascii="仿宋_GB2312" w:hAnsi="仿宋" w:eastAsia="仿宋_GB2312" w:cs="Helvetica"/>
          <w:color w:val="auto"/>
          <w:kern w:val="0"/>
          <w:sz w:val="24"/>
          <w:highlight w:val="none"/>
          <w:lang w:val="en-US" w:eastAsia="zh-CN"/>
        </w:rPr>
        <w:t>飞行辅助界面</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地面端软件能够实时显示飞行器的速度、高度、飞行器朝向、云台朝向等信息</w:t>
      </w:r>
    </w:p>
    <w:p w14:paraId="42EE2152">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9.24.4</w:t>
      </w:r>
      <w:r>
        <w:rPr>
          <w:rFonts w:hint="default" w:ascii="仿宋_GB2312" w:hAnsi="仿宋" w:eastAsia="仿宋_GB2312" w:cs="Helvetica"/>
          <w:color w:val="auto"/>
          <w:kern w:val="0"/>
          <w:sz w:val="24"/>
          <w:highlight w:val="none"/>
          <w:lang w:val="en-US" w:eastAsia="zh-CN"/>
        </w:rPr>
        <w:t>飞行辅助界面</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地面端软件能够实时显示风速和风向</w:t>
      </w:r>
    </w:p>
    <w:p w14:paraId="458DB89F">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9.24.5</w:t>
      </w:r>
      <w:r>
        <w:rPr>
          <w:rFonts w:hint="default" w:ascii="仿宋_GB2312" w:hAnsi="仿宋" w:eastAsia="仿宋_GB2312" w:cs="Helvetica"/>
          <w:color w:val="auto"/>
          <w:kern w:val="0"/>
          <w:sz w:val="24"/>
          <w:highlight w:val="none"/>
          <w:lang w:val="en-US" w:eastAsia="zh-CN"/>
        </w:rPr>
        <w:t>飞行辅助界面</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地面端软件能够实时显示飞行器前、后、左、右的障碍物地图，并能够设置避障提醒距离，当距离内有障碍物时进行语音提醒。</w:t>
      </w:r>
    </w:p>
    <w:p w14:paraId="693F1AA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9.24.6</w:t>
      </w:r>
      <w:r>
        <w:rPr>
          <w:rFonts w:hint="default" w:ascii="仿宋_GB2312" w:hAnsi="仿宋" w:eastAsia="仿宋_GB2312" w:cs="Helvetica"/>
          <w:color w:val="auto"/>
          <w:kern w:val="0"/>
          <w:sz w:val="24"/>
          <w:highlight w:val="none"/>
          <w:lang w:val="en-US" w:eastAsia="zh-CN"/>
        </w:rPr>
        <w:t>健康管理系统</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飞行器能够记录从出厂开始的累计飞行时长、起降次数、飞行里程，并能够通过遥控器APP进行查看，可显示飞行器各模块的健康状态，并保存异常记录</w:t>
      </w:r>
    </w:p>
    <w:p w14:paraId="083A9CA6">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9.24.7</w:t>
      </w:r>
      <w:r>
        <w:rPr>
          <w:rFonts w:hint="default" w:ascii="仿宋_GB2312" w:hAnsi="仿宋" w:eastAsia="仿宋_GB2312" w:cs="Helvetica"/>
          <w:color w:val="auto"/>
          <w:kern w:val="0"/>
          <w:sz w:val="24"/>
          <w:highlight w:val="none"/>
          <w:lang w:val="en-US" w:eastAsia="zh-CN"/>
        </w:rPr>
        <w:t>航线飞行</w:t>
      </w:r>
    </w:p>
    <w:p w14:paraId="7B6E69D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9.24.7.1</w:t>
      </w:r>
      <w:r>
        <w:rPr>
          <w:rFonts w:hint="default" w:ascii="仿宋_GB2312" w:hAnsi="仿宋" w:eastAsia="仿宋_GB2312" w:cs="Helvetica"/>
          <w:color w:val="auto"/>
          <w:kern w:val="0"/>
          <w:sz w:val="24"/>
          <w:highlight w:val="none"/>
          <w:lang w:val="en-US" w:eastAsia="zh-CN"/>
        </w:rPr>
        <w:t>支持在地图上选点，然后对航点动作和航线高度、速度等参数进行编辑，能够实现自动飞行。</w:t>
      </w:r>
    </w:p>
    <w:p w14:paraId="02A1AA6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9.24.7.2</w:t>
      </w:r>
      <w:r>
        <w:rPr>
          <w:rFonts w:hint="default" w:ascii="仿宋_GB2312" w:hAnsi="仿宋" w:eastAsia="仿宋_GB2312" w:cs="Helvetica"/>
          <w:color w:val="auto"/>
          <w:kern w:val="0"/>
          <w:sz w:val="24"/>
          <w:highlight w:val="none"/>
          <w:lang w:val="en-US" w:eastAsia="zh-CN"/>
        </w:rPr>
        <w:t>航点的高度可选绝对高度/相对高度</w:t>
      </w:r>
    </w:p>
    <w:p w14:paraId="36E9DE0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9.24.7.3</w:t>
      </w:r>
      <w:r>
        <w:rPr>
          <w:rFonts w:hint="default" w:ascii="仿宋_GB2312" w:hAnsi="仿宋" w:eastAsia="仿宋_GB2312" w:cs="Helvetica"/>
          <w:color w:val="auto"/>
          <w:kern w:val="0"/>
          <w:sz w:val="24"/>
          <w:highlight w:val="none"/>
          <w:lang w:val="en-US" w:eastAsia="zh-CN"/>
        </w:rPr>
        <w:t>可设置不少于60000个智能航点</w:t>
      </w:r>
    </w:p>
    <w:p w14:paraId="3C35D16A">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9.24.8</w:t>
      </w:r>
      <w:r>
        <w:rPr>
          <w:rFonts w:hint="default" w:ascii="仿宋_GB2312" w:hAnsi="仿宋" w:eastAsia="仿宋_GB2312" w:cs="Helvetica"/>
          <w:color w:val="auto"/>
          <w:kern w:val="0"/>
          <w:sz w:val="24"/>
          <w:highlight w:val="none"/>
          <w:lang w:val="en-US" w:eastAsia="zh-CN"/>
        </w:rPr>
        <w:t>智能定位跟踪</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系统能够自动识别人、车、船，并进行框选，也可手动框选兴趣目标，并支持自动调节镜头焦距保持物体在画面中的比例固定</w:t>
      </w:r>
    </w:p>
    <w:p w14:paraId="05B00E41">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9.24.9</w:t>
      </w:r>
      <w:r>
        <w:rPr>
          <w:rFonts w:hint="default" w:ascii="仿宋_GB2312" w:hAnsi="仿宋" w:eastAsia="仿宋_GB2312" w:cs="Helvetica"/>
          <w:color w:val="auto"/>
          <w:kern w:val="0"/>
          <w:sz w:val="24"/>
          <w:highlight w:val="none"/>
          <w:lang w:val="en-US" w:eastAsia="zh-CN"/>
        </w:rPr>
        <w:t>智能定位跟踪</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支持用户通过云台相机进行打点定位标识功能</w:t>
      </w:r>
    </w:p>
    <w:p w14:paraId="67066A54">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9.24.10</w:t>
      </w:r>
      <w:r>
        <w:rPr>
          <w:rFonts w:hint="default" w:ascii="仿宋_GB2312" w:hAnsi="仿宋" w:eastAsia="仿宋_GB2312" w:cs="Helvetica"/>
          <w:color w:val="auto"/>
          <w:kern w:val="0"/>
          <w:sz w:val="24"/>
          <w:highlight w:val="none"/>
          <w:lang w:val="en-US" w:eastAsia="zh-CN"/>
        </w:rPr>
        <w:t>安全隐私</w:t>
      </w:r>
    </w:p>
    <w:p w14:paraId="3952BFE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9.24.10.1</w:t>
      </w:r>
      <w:r>
        <w:rPr>
          <w:rFonts w:hint="default" w:ascii="仿宋_GB2312" w:hAnsi="仿宋" w:eastAsia="仿宋_GB2312" w:cs="Helvetica"/>
          <w:color w:val="auto"/>
          <w:kern w:val="0"/>
          <w:sz w:val="24"/>
          <w:highlight w:val="none"/>
          <w:lang w:val="en-US" w:eastAsia="zh-CN"/>
        </w:rPr>
        <w:t>支持对无人机拍摄的数据进行加密，防止飞机丢失后，其他人获取到拍摄的数据</w:t>
      </w:r>
    </w:p>
    <w:p w14:paraId="2E9DC52E">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9.24.10.2</w:t>
      </w:r>
      <w:r>
        <w:rPr>
          <w:rFonts w:hint="default" w:ascii="仿宋_GB2312" w:hAnsi="仿宋" w:eastAsia="仿宋_GB2312" w:cs="Helvetica"/>
          <w:color w:val="auto"/>
          <w:kern w:val="0"/>
          <w:sz w:val="24"/>
          <w:highlight w:val="none"/>
          <w:lang w:val="en-US" w:eastAsia="zh-CN"/>
        </w:rPr>
        <w:t>支持清除飞机的飞行日志，避免作业信息外泄</w:t>
      </w:r>
    </w:p>
    <w:p w14:paraId="6151AFA6">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9.24.10.3</w:t>
      </w:r>
      <w:r>
        <w:rPr>
          <w:rFonts w:hint="default" w:ascii="仿宋_GB2312" w:hAnsi="仿宋" w:eastAsia="仿宋_GB2312" w:cs="Helvetica"/>
          <w:color w:val="auto"/>
          <w:kern w:val="0"/>
          <w:sz w:val="24"/>
          <w:highlight w:val="none"/>
          <w:lang w:val="en-US" w:eastAsia="zh-CN"/>
        </w:rPr>
        <w:t>无人机支持离线模式（完全不联网），并支持自定开关各种网络服务（RTK、地图、直播等）</w:t>
      </w:r>
    </w:p>
    <w:p w14:paraId="45E78E0F">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9.24.11</w:t>
      </w:r>
      <w:r>
        <w:rPr>
          <w:rFonts w:hint="default" w:ascii="仿宋_GB2312" w:hAnsi="仿宋" w:eastAsia="仿宋_GB2312" w:cs="Helvetica"/>
          <w:color w:val="auto"/>
          <w:kern w:val="0"/>
          <w:sz w:val="24"/>
          <w:highlight w:val="none"/>
          <w:lang w:val="en-US" w:eastAsia="zh-CN"/>
        </w:rPr>
        <w:t>精准降落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具备精准降落功能：开启后，一键返航时会精准降落到起飞点</w:t>
      </w:r>
    </w:p>
    <w:p w14:paraId="14D44A48">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9.24.12</w:t>
      </w:r>
      <w:r>
        <w:rPr>
          <w:rFonts w:hint="default" w:ascii="仿宋_GB2312" w:hAnsi="仿宋" w:eastAsia="仿宋_GB2312" w:cs="Helvetica"/>
          <w:color w:val="auto"/>
          <w:kern w:val="0"/>
          <w:sz w:val="24"/>
          <w:highlight w:val="none"/>
          <w:lang w:val="en-US" w:eastAsia="zh-CN"/>
        </w:rPr>
        <w:t>低电量返航功能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能通过地面端软件实时查看电池电量。电量不足时，地面站软件能提示用户执行返航。若用户在设定时间内未做选择，则飞行器将自动返航。</w:t>
      </w:r>
    </w:p>
    <w:p w14:paraId="792FB92F">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9.24.13</w:t>
      </w:r>
      <w:r>
        <w:rPr>
          <w:rFonts w:hint="default" w:ascii="仿宋_GB2312" w:hAnsi="仿宋" w:eastAsia="仿宋_GB2312" w:cs="Helvetica"/>
          <w:color w:val="auto"/>
          <w:kern w:val="0"/>
          <w:sz w:val="24"/>
          <w:highlight w:val="none"/>
          <w:lang w:val="en-US" w:eastAsia="zh-CN"/>
        </w:rPr>
        <w:t>失控返航功能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当飞行器与遥控器失去通讯信号时，飞行器能够终止飞行任务并按照原路径自动返回航点并降落；在返航过程中，如信号恢复正常，用户可以通过遥控器取消返航。</w:t>
      </w:r>
    </w:p>
    <w:p w14:paraId="5B04C1E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9.24.14</w:t>
      </w:r>
      <w:r>
        <w:rPr>
          <w:rFonts w:hint="default" w:ascii="仿宋_GB2312" w:hAnsi="仿宋" w:eastAsia="仿宋_GB2312" w:cs="Helvetica"/>
          <w:color w:val="auto"/>
          <w:kern w:val="0"/>
          <w:sz w:val="24"/>
          <w:highlight w:val="none"/>
          <w:lang w:val="en-US" w:eastAsia="zh-CN"/>
        </w:rPr>
        <w:t>异常情况报警功能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当无人机发生电量不足、超速或失速飞行、姿态角超过规定范围、定位卫星数量不足、发动机异常、通信中断等情况时，控制站应能进行声、光报警</w:t>
      </w:r>
      <w:r>
        <w:rPr>
          <w:rFonts w:hint="eastAsia" w:ascii="仿宋_GB2312" w:hAnsi="仿宋" w:eastAsia="仿宋_GB2312" w:cs="Helvetica"/>
          <w:color w:val="auto"/>
          <w:kern w:val="0"/>
          <w:sz w:val="24"/>
          <w:highlight w:val="none"/>
          <w:lang w:val="en-US" w:eastAsia="zh-CN"/>
        </w:rPr>
        <w:t>。</w:t>
      </w:r>
    </w:p>
    <w:p w14:paraId="120268C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9.24.15</w:t>
      </w:r>
      <w:r>
        <w:rPr>
          <w:rFonts w:hint="default" w:ascii="仿宋_GB2312" w:hAnsi="仿宋" w:eastAsia="仿宋_GB2312" w:cs="Helvetica"/>
          <w:color w:val="auto"/>
          <w:kern w:val="0"/>
          <w:sz w:val="24"/>
          <w:highlight w:val="none"/>
          <w:lang w:val="en-US" w:eastAsia="zh-CN"/>
        </w:rPr>
        <w:t>建图航拍</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支持通过遥控器APP实现建图航拍。</w:t>
      </w:r>
    </w:p>
    <w:p w14:paraId="52A5A062">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9.24.16</w:t>
      </w:r>
      <w:r>
        <w:rPr>
          <w:rFonts w:hint="default" w:ascii="仿宋_GB2312" w:hAnsi="仿宋" w:eastAsia="仿宋_GB2312" w:cs="Helvetica"/>
          <w:color w:val="auto"/>
          <w:kern w:val="0"/>
          <w:sz w:val="24"/>
          <w:highlight w:val="none"/>
          <w:lang w:val="en-US" w:eastAsia="zh-CN"/>
        </w:rPr>
        <w:t>SDK开发功能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支持SDK接口二次开发。</w:t>
      </w:r>
    </w:p>
    <w:p w14:paraId="1946517A">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9.25</w:t>
      </w:r>
      <w:r>
        <w:rPr>
          <w:rFonts w:hint="default" w:ascii="仿宋_GB2312" w:hAnsi="仿宋" w:eastAsia="仿宋_GB2312" w:cs="Helvetica"/>
          <w:color w:val="auto"/>
          <w:kern w:val="0"/>
          <w:sz w:val="24"/>
          <w:highlight w:val="none"/>
          <w:lang w:val="en-US" w:eastAsia="zh-CN"/>
        </w:rPr>
        <w:t>智能电池</w:t>
      </w:r>
      <w:r>
        <w:rPr>
          <w:rFonts w:hint="default" w:ascii="仿宋_GB2312" w:hAnsi="仿宋" w:eastAsia="仿宋_GB2312" w:cs="Helvetica"/>
          <w:color w:val="auto"/>
          <w:kern w:val="0"/>
          <w:sz w:val="24"/>
          <w:highlight w:val="none"/>
          <w:lang w:val="en-US" w:eastAsia="zh-CN"/>
        </w:rPr>
        <w:tab/>
      </w:r>
    </w:p>
    <w:p w14:paraId="16FA7A51">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9.25.1</w:t>
      </w:r>
      <w:r>
        <w:rPr>
          <w:rFonts w:hint="default" w:ascii="仿宋_GB2312" w:hAnsi="仿宋" w:eastAsia="仿宋_GB2312" w:cs="Helvetica"/>
          <w:color w:val="auto"/>
          <w:kern w:val="0"/>
          <w:sz w:val="24"/>
          <w:highlight w:val="none"/>
          <w:lang w:val="en-US" w:eastAsia="zh-CN"/>
        </w:rPr>
        <w:t>容量及能量</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容量大于等于5800mAh，能量大于等于130Wh</w:t>
      </w:r>
      <w:r>
        <w:rPr>
          <w:rFonts w:hint="eastAsia" w:ascii="仿宋_GB2312" w:hAnsi="仿宋" w:eastAsia="仿宋_GB2312" w:cs="Helvetica"/>
          <w:color w:val="auto"/>
          <w:kern w:val="0"/>
          <w:sz w:val="24"/>
          <w:highlight w:val="none"/>
          <w:lang w:val="en-US" w:eastAsia="zh-CN"/>
        </w:rPr>
        <w:t>。</w:t>
      </w:r>
    </w:p>
    <w:p w14:paraId="4348A29E">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9.25.2</w:t>
      </w:r>
      <w:r>
        <w:rPr>
          <w:rFonts w:hint="default" w:ascii="仿宋_GB2312" w:hAnsi="仿宋" w:eastAsia="仿宋_GB2312" w:cs="Helvetica"/>
          <w:color w:val="auto"/>
          <w:kern w:val="0"/>
          <w:sz w:val="24"/>
          <w:highlight w:val="none"/>
          <w:lang w:val="en-US" w:eastAsia="zh-CN"/>
        </w:rPr>
        <w:t>电池剩余电量显示功能</w:t>
      </w:r>
      <w:r>
        <w:rPr>
          <w:rFonts w:hint="default" w:ascii="仿宋_GB2312" w:hAnsi="仿宋" w:eastAsia="仿宋_GB2312" w:cs="Helvetica"/>
          <w:color w:val="auto"/>
          <w:kern w:val="0"/>
          <w:sz w:val="24"/>
          <w:highlight w:val="none"/>
          <w:lang w:val="en-US" w:eastAsia="zh-CN"/>
        </w:rPr>
        <w:tab/>
      </w:r>
      <w:r>
        <w:rPr>
          <w:rFonts w:hint="default" w:ascii="仿宋_GB2312" w:hAnsi="仿宋" w:eastAsia="仿宋_GB2312" w:cs="Helvetica"/>
          <w:color w:val="auto"/>
          <w:kern w:val="0"/>
          <w:sz w:val="24"/>
          <w:highlight w:val="none"/>
          <w:lang w:val="en-US" w:eastAsia="zh-CN"/>
        </w:rPr>
        <w:t>电池自带电量指示灯，可以显示电池当前电量</w:t>
      </w:r>
      <w:r>
        <w:rPr>
          <w:rFonts w:hint="eastAsia" w:ascii="仿宋_GB2312" w:hAnsi="仿宋" w:eastAsia="仿宋_GB2312" w:cs="Helvetica"/>
          <w:color w:val="auto"/>
          <w:kern w:val="0"/>
          <w:sz w:val="24"/>
          <w:highlight w:val="none"/>
          <w:lang w:val="en-US" w:eastAsia="zh-CN"/>
        </w:rPr>
        <w:t>。</w:t>
      </w:r>
    </w:p>
    <w:p w14:paraId="30C13D61">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9.25.3</w:t>
      </w:r>
      <w:r>
        <w:rPr>
          <w:rFonts w:hint="default" w:ascii="仿宋_GB2312" w:hAnsi="仿宋" w:eastAsia="仿宋_GB2312" w:cs="Helvetica"/>
          <w:color w:val="auto"/>
          <w:kern w:val="0"/>
          <w:sz w:val="24"/>
          <w:highlight w:val="none"/>
          <w:lang w:val="en-US" w:eastAsia="zh-CN"/>
        </w:rPr>
        <w:t>过充保护功能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具有过充保护功能。当充电电压过高时，充电设备能断开充电电路</w:t>
      </w:r>
      <w:r>
        <w:rPr>
          <w:rFonts w:hint="eastAsia" w:ascii="仿宋_GB2312" w:hAnsi="仿宋" w:eastAsia="仿宋_GB2312" w:cs="Helvetica"/>
          <w:color w:val="auto"/>
          <w:kern w:val="0"/>
          <w:sz w:val="24"/>
          <w:highlight w:val="none"/>
          <w:lang w:val="en-US" w:eastAsia="zh-CN"/>
        </w:rPr>
        <w:t>。</w:t>
      </w:r>
    </w:p>
    <w:p w14:paraId="4A3EC1E4">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9.25.4</w:t>
      </w:r>
      <w:r>
        <w:rPr>
          <w:rFonts w:hint="default" w:ascii="仿宋_GB2312" w:hAnsi="仿宋" w:eastAsia="仿宋_GB2312" w:cs="Helvetica"/>
          <w:color w:val="auto"/>
          <w:kern w:val="0"/>
          <w:sz w:val="24"/>
          <w:highlight w:val="none"/>
          <w:lang w:val="en-US" w:eastAsia="zh-CN"/>
        </w:rPr>
        <w:t>电池自加热功能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电池安装到飞行器且开启电源之后，当环境温度较低时能自动加热，使电池能够支持-20°C到50°C的工作温度</w:t>
      </w:r>
      <w:r>
        <w:rPr>
          <w:rFonts w:hint="eastAsia" w:ascii="仿宋_GB2312" w:hAnsi="仿宋" w:eastAsia="仿宋_GB2312" w:cs="Helvetica"/>
          <w:color w:val="auto"/>
          <w:kern w:val="0"/>
          <w:sz w:val="24"/>
          <w:highlight w:val="none"/>
          <w:lang w:val="en-US" w:eastAsia="zh-CN"/>
        </w:rPr>
        <w:t>。</w:t>
      </w:r>
    </w:p>
    <w:p w14:paraId="4691204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9.25.5</w:t>
      </w:r>
      <w:r>
        <w:rPr>
          <w:rFonts w:hint="default" w:ascii="仿宋_GB2312" w:hAnsi="仿宋" w:eastAsia="仿宋_GB2312" w:cs="Helvetica"/>
          <w:color w:val="auto"/>
          <w:kern w:val="0"/>
          <w:sz w:val="24"/>
          <w:highlight w:val="none"/>
          <w:lang w:val="en-US" w:eastAsia="zh-CN"/>
        </w:rPr>
        <w:t>电芯损坏检测功能</w:t>
      </w:r>
      <w:r>
        <w:rPr>
          <w:rFonts w:hint="eastAsia" w:ascii="仿宋_GB2312" w:hAnsi="仿宋" w:eastAsia="仿宋_GB2312" w:cs="Helvetica"/>
          <w:color w:val="auto"/>
          <w:kern w:val="0"/>
          <w:sz w:val="24"/>
          <w:highlight w:val="none"/>
          <w:lang w:val="en-US" w:eastAsia="zh-CN"/>
        </w:rPr>
        <w:t>：</w:t>
      </w:r>
      <w:r>
        <w:rPr>
          <w:rFonts w:hint="default" w:ascii="仿宋_GB2312" w:hAnsi="仿宋" w:eastAsia="仿宋_GB2312" w:cs="Helvetica"/>
          <w:color w:val="auto"/>
          <w:kern w:val="0"/>
          <w:sz w:val="24"/>
          <w:highlight w:val="none"/>
          <w:lang w:val="en-US" w:eastAsia="zh-CN"/>
        </w:rPr>
        <w:t>飞行器电池电芯损坏或电芯严重不平衡的情况下，地面端软件能进行提示</w:t>
      </w:r>
      <w:r>
        <w:rPr>
          <w:rFonts w:hint="eastAsia" w:ascii="仿宋_GB2312" w:hAnsi="仿宋" w:eastAsia="仿宋_GB2312" w:cs="Helvetica"/>
          <w:color w:val="auto"/>
          <w:kern w:val="0"/>
          <w:sz w:val="24"/>
          <w:highlight w:val="none"/>
          <w:lang w:val="en-US" w:eastAsia="zh-CN"/>
        </w:rPr>
        <w:t>。</w:t>
      </w:r>
    </w:p>
    <w:p w14:paraId="147BFE5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9.26</w:t>
      </w:r>
      <w:r>
        <w:rPr>
          <w:rFonts w:hint="default" w:ascii="仿宋_GB2312" w:hAnsi="仿宋" w:eastAsia="仿宋_GB2312" w:cs="Helvetica"/>
          <w:color w:val="auto"/>
          <w:kern w:val="0"/>
          <w:sz w:val="24"/>
          <w:highlight w:val="none"/>
          <w:lang w:val="en-US" w:eastAsia="zh-CN"/>
        </w:rPr>
        <w:t>云台相机</w:t>
      </w:r>
      <w:r>
        <w:rPr>
          <w:rFonts w:hint="default" w:ascii="仿宋_GB2312" w:hAnsi="仿宋" w:eastAsia="仿宋_GB2312" w:cs="Helvetica"/>
          <w:color w:val="auto"/>
          <w:kern w:val="0"/>
          <w:sz w:val="24"/>
          <w:highlight w:val="none"/>
          <w:lang w:val="en-US" w:eastAsia="zh-CN"/>
        </w:rPr>
        <w:tab/>
      </w:r>
    </w:p>
    <w:p w14:paraId="7393BA6F">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9.26.1</w:t>
      </w:r>
      <w:r>
        <w:rPr>
          <w:rFonts w:hint="default" w:ascii="仿宋_GB2312" w:hAnsi="仿宋" w:eastAsia="仿宋_GB2312" w:cs="Helvetica"/>
          <w:color w:val="auto"/>
          <w:kern w:val="0"/>
          <w:sz w:val="24"/>
          <w:highlight w:val="none"/>
          <w:lang w:val="en-US" w:eastAsia="zh-CN"/>
        </w:rPr>
        <w:t>支持夜景模式</w:t>
      </w:r>
    </w:p>
    <w:p w14:paraId="4A4E2B7A">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9.26.2</w:t>
      </w:r>
      <w:r>
        <w:rPr>
          <w:rFonts w:hint="default" w:ascii="仿宋_GB2312" w:hAnsi="仿宋" w:eastAsia="仿宋_GB2312" w:cs="Helvetica"/>
          <w:color w:val="auto"/>
          <w:kern w:val="0"/>
          <w:sz w:val="24"/>
          <w:highlight w:val="none"/>
          <w:lang w:val="en-US" w:eastAsia="zh-CN"/>
        </w:rPr>
        <w:t>支持同时显示可见光和红外画面，并且两个画面可以同时变焦。</w:t>
      </w:r>
    </w:p>
    <w:p w14:paraId="1EC34541">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9.26.3</w:t>
      </w:r>
      <w:r>
        <w:rPr>
          <w:rFonts w:hint="default" w:ascii="仿宋_GB2312" w:hAnsi="仿宋" w:eastAsia="仿宋_GB2312" w:cs="Helvetica"/>
          <w:color w:val="auto"/>
          <w:kern w:val="0"/>
          <w:sz w:val="24"/>
          <w:highlight w:val="none"/>
          <w:lang w:val="en-US" w:eastAsia="zh-CN"/>
        </w:rPr>
        <w:t>支持自定义水印功能</w:t>
      </w:r>
    </w:p>
    <w:p w14:paraId="7EC5549A">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9.26.4</w:t>
      </w:r>
      <w:r>
        <w:rPr>
          <w:rFonts w:hint="default" w:ascii="仿宋_GB2312" w:hAnsi="仿宋" w:eastAsia="仿宋_GB2312" w:cs="Helvetica"/>
          <w:color w:val="auto"/>
          <w:kern w:val="0"/>
          <w:sz w:val="24"/>
          <w:highlight w:val="none"/>
          <w:lang w:val="en-US" w:eastAsia="zh-CN"/>
        </w:rPr>
        <w:t>支持低光拍照模式，可以自动根据环境光线匹配优化策略及算法，在低光、逆光场景拍照更清晰</w:t>
      </w:r>
      <w:r>
        <w:rPr>
          <w:rFonts w:hint="eastAsia" w:ascii="仿宋_GB2312" w:hAnsi="仿宋" w:eastAsia="仿宋_GB2312" w:cs="Helvetica"/>
          <w:color w:val="auto"/>
          <w:kern w:val="0"/>
          <w:sz w:val="24"/>
          <w:highlight w:val="none"/>
          <w:lang w:val="en-US" w:eastAsia="zh-CN"/>
        </w:rPr>
        <w:t>。</w:t>
      </w:r>
    </w:p>
    <w:p w14:paraId="63E083FE">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9.26.5</w:t>
      </w:r>
      <w:r>
        <w:rPr>
          <w:rFonts w:hint="default" w:ascii="仿宋_GB2312" w:hAnsi="仿宋" w:eastAsia="仿宋_GB2312" w:cs="Helvetica"/>
          <w:color w:val="auto"/>
          <w:kern w:val="0"/>
          <w:sz w:val="24"/>
          <w:highlight w:val="none"/>
          <w:lang w:val="en-US" w:eastAsia="zh-CN"/>
        </w:rPr>
        <w:t>支持拍摄360°全景照片。</w:t>
      </w:r>
    </w:p>
    <w:p w14:paraId="6E3F969A">
      <w:pPr>
        <w:tabs>
          <w:tab w:val="left" w:pos="0"/>
        </w:tabs>
        <w:spacing w:line="360" w:lineRule="auto"/>
        <w:ind w:firstLine="720" w:firstLineChars="3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9.26.6</w:t>
      </w:r>
      <w:r>
        <w:rPr>
          <w:rFonts w:hint="default" w:ascii="仿宋_GB2312" w:hAnsi="仿宋" w:eastAsia="仿宋_GB2312" w:cs="Helvetica"/>
          <w:color w:val="auto"/>
          <w:kern w:val="0"/>
          <w:sz w:val="24"/>
          <w:highlight w:val="none"/>
          <w:lang w:val="en-US" w:eastAsia="zh-CN"/>
        </w:rPr>
        <w:t>变焦相机</w:t>
      </w:r>
    </w:p>
    <w:p w14:paraId="40B78A5A">
      <w:pPr>
        <w:tabs>
          <w:tab w:val="left" w:pos="0"/>
        </w:tabs>
        <w:spacing w:line="360" w:lineRule="auto"/>
        <w:ind w:firstLine="720" w:firstLineChars="3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9.26.6.1</w:t>
      </w:r>
      <w:r>
        <w:rPr>
          <w:rFonts w:hint="default" w:ascii="仿宋_GB2312" w:hAnsi="仿宋" w:eastAsia="仿宋_GB2312" w:cs="Helvetica"/>
          <w:color w:val="auto"/>
          <w:kern w:val="0"/>
          <w:sz w:val="24"/>
          <w:highlight w:val="none"/>
          <w:lang w:val="en-US" w:eastAsia="zh-CN"/>
        </w:rPr>
        <w:t>有效像素大于等于4000万</w:t>
      </w:r>
      <w:r>
        <w:rPr>
          <w:rFonts w:hint="eastAsia" w:ascii="仿宋_GB2312" w:hAnsi="仿宋" w:eastAsia="仿宋_GB2312" w:cs="Helvetica"/>
          <w:color w:val="auto"/>
          <w:kern w:val="0"/>
          <w:sz w:val="24"/>
          <w:highlight w:val="none"/>
          <w:lang w:val="en-US" w:eastAsia="zh-CN"/>
        </w:rPr>
        <w:t>。</w:t>
      </w:r>
    </w:p>
    <w:p w14:paraId="2F36D3FF">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9.26.6.2</w:t>
      </w:r>
      <w:r>
        <w:rPr>
          <w:rFonts w:hint="default" w:ascii="仿宋_GB2312" w:hAnsi="仿宋" w:eastAsia="仿宋_GB2312" w:cs="Helvetica"/>
          <w:color w:val="auto"/>
          <w:kern w:val="0"/>
          <w:sz w:val="24"/>
          <w:highlight w:val="none"/>
          <w:lang w:val="en-US" w:eastAsia="zh-CN"/>
        </w:rPr>
        <w:t>等效焦距段覆盖范围包含120mm-400mm</w:t>
      </w:r>
      <w:r>
        <w:rPr>
          <w:rFonts w:hint="eastAsia" w:ascii="仿宋_GB2312" w:hAnsi="仿宋" w:eastAsia="仿宋_GB2312" w:cs="Helvetica"/>
          <w:color w:val="auto"/>
          <w:kern w:val="0"/>
          <w:sz w:val="24"/>
          <w:highlight w:val="none"/>
          <w:lang w:val="en-US" w:eastAsia="zh-CN"/>
        </w:rPr>
        <w:t>。</w:t>
      </w:r>
    </w:p>
    <w:p w14:paraId="46FFFA44">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9.26.6.3</w:t>
      </w:r>
      <w:r>
        <w:rPr>
          <w:rFonts w:hint="default" w:ascii="仿宋_GB2312" w:hAnsi="仿宋" w:eastAsia="仿宋_GB2312" w:cs="Helvetica"/>
          <w:color w:val="auto"/>
          <w:kern w:val="0"/>
          <w:sz w:val="24"/>
          <w:highlight w:val="none"/>
          <w:lang w:val="en-US" w:eastAsia="zh-CN"/>
        </w:rPr>
        <w:t>视频分辨率大于等于3840×2160@30Hz，支持MP4格式</w:t>
      </w:r>
      <w:r>
        <w:rPr>
          <w:rFonts w:hint="eastAsia" w:ascii="仿宋_GB2312" w:hAnsi="仿宋" w:eastAsia="仿宋_GB2312" w:cs="Helvetica"/>
          <w:color w:val="auto"/>
          <w:kern w:val="0"/>
          <w:sz w:val="24"/>
          <w:highlight w:val="none"/>
          <w:lang w:val="en-US" w:eastAsia="zh-CN"/>
        </w:rPr>
        <w:t>。</w:t>
      </w:r>
    </w:p>
    <w:p w14:paraId="3C966AC0">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9.26.6.4</w:t>
      </w:r>
      <w:r>
        <w:rPr>
          <w:rFonts w:hint="default" w:ascii="仿宋_GB2312" w:hAnsi="仿宋" w:eastAsia="仿宋_GB2312" w:cs="Helvetica"/>
          <w:color w:val="auto"/>
          <w:kern w:val="0"/>
          <w:sz w:val="24"/>
          <w:highlight w:val="none"/>
          <w:lang w:val="en-US" w:eastAsia="zh-CN"/>
        </w:rPr>
        <w:t>照片分辨率大于等于8000×6000，支持jpg格式</w:t>
      </w:r>
      <w:r>
        <w:rPr>
          <w:rFonts w:hint="eastAsia" w:ascii="仿宋_GB2312" w:hAnsi="仿宋" w:eastAsia="仿宋_GB2312" w:cs="Helvetica"/>
          <w:color w:val="auto"/>
          <w:kern w:val="0"/>
          <w:sz w:val="24"/>
          <w:highlight w:val="none"/>
          <w:lang w:val="en-US" w:eastAsia="zh-CN"/>
        </w:rPr>
        <w:t>。</w:t>
      </w:r>
    </w:p>
    <w:p w14:paraId="721EA56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9.26.6.5</w:t>
      </w:r>
      <w:r>
        <w:rPr>
          <w:rFonts w:hint="default" w:ascii="仿宋_GB2312" w:hAnsi="仿宋" w:eastAsia="仿宋_GB2312" w:cs="Helvetica"/>
          <w:color w:val="auto"/>
          <w:kern w:val="0"/>
          <w:sz w:val="24"/>
          <w:highlight w:val="none"/>
          <w:lang w:val="en-US" w:eastAsia="zh-CN"/>
        </w:rPr>
        <w:t>最大变焦倍数大于等于200倍</w:t>
      </w:r>
      <w:r>
        <w:rPr>
          <w:rFonts w:hint="eastAsia" w:ascii="仿宋_GB2312" w:hAnsi="仿宋" w:eastAsia="仿宋_GB2312" w:cs="Helvetica"/>
          <w:color w:val="auto"/>
          <w:kern w:val="0"/>
          <w:sz w:val="24"/>
          <w:highlight w:val="none"/>
          <w:lang w:val="en-US" w:eastAsia="zh-CN"/>
        </w:rPr>
        <w:t>。</w:t>
      </w:r>
    </w:p>
    <w:p w14:paraId="587F8DD7">
      <w:pPr>
        <w:tabs>
          <w:tab w:val="left" w:pos="0"/>
        </w:tabs>
        <w:spacing w:line="360" w:lineRule="auto"/>
        <w:ind w:firstLine="720" w:firstLineChars="3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9.26.7</w:t>
      </w:r>
      <w:r>
        <w:rPr>
          <w:rFonts w:hint="default" w:ascii="仿宋_GB2312" w:hAnsi="仿宋" w:eastAsia="仿宋_GB2312" w:cs="Helvetica"/>
          <w:color w:val="auto"/>
          <w:kern w:val="0"/>
          <w:sz w:val="24"/>
          <w:highlight w:val="none"/>
          <w:lang w:val="en-US" w:eastAsia="zh-CN"/>
        </w:rPr>
        <w:t>广角相机</w:t>
      </w:r>
    </w:p>
    <w:p w14:paraId="7FC5FD12">
      <w:pPr>
        <w:tabs>
          <w:tab w:val="left" w:pos="0"/>
        </w:tabs>
        <w:spacing w:line="360" w:lineRule="auto"/>
        <w:ind w:firstLine="720" w:firstLineChars="3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9.26.7.1</w:t>
      </w:r>
      <w:r>
        <w:rPr>
          <w:rFonts w:hint="default" w:ascii="仿宋_GB2312" w:hAnsi="仿宋" w:eastAsia="仿宋_GB2312" w:cs="Helvetica"/>
          <w:color w:val="auto"/>
          <w:kern w:val="0"/>
          <w:sz w:val="24"/>
          <w:highlight w:val="none"/>
          <w:lang w:val="en-US" w:eastAsia="zh-CN"/>
        </w:rPr>
        <w:t>有效像素大于等于1200万</w:t>
      </w:r>
      <w:r>
        <w:rPr>
          <w:rFonts w:hint="eastAsia" w:ascii="仿宋_GB2312" w:hAnsi="仿宋" w:eastAsia="仿宋_GB2312" w:cs="Helvetica"/>
          <w:color w:val="auto"/>
          <w:kern w:val="0"/>
          <w:sz w:val="24"/>
          <w:highlight w:val="none"/>
          <w:lang w:val="en-US" w:eastAsia="zh-CN"/>
        </w:rPr>
        <w:t>。</w:t>
      </w:r>
    </w:p>
    <w:p w14:paraId="1F7B8A6E">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9.26.7.2</w:t>
      </w:r>
      <w:r>
        <w:rPr>
          <w:rFonts w:hint="default" w:ascii="仿宋_GB2312" w:hAnsi="仿宋" w:eastAsia="仿宋_GB2312" w:cs="Helvetica"/>
          <w:color w:val="auto"/>
          <w:kern w:val="0"/>
          <w:sz w:val="24"/>
          <w:highlight w:val="none"/>
          <w:lang w:val="en-US" w:eastAsia="zh-CN"/>
        </w:rPr>
        <w:t>视频分辨率大于等于3840×2160@30Hz，支持MP4格式</w:t>
      </w:r>
      <w:r>
        <w:rPr>
          <w:rFonts w:hint="eastAsia" w:ascii="仿宋_GB2312" w:hAnsi="仿宋" w:eastAsia="仿宋_GB2312" w:cs="Helvetica"/>
          <w:color w:val="auto"/>
          <w:kern w:val="0"/>
          <w:sz w:val="24"/>
          <w:highlight w:val="none"/>
          <w:lang w:val="en-US" w:eastAsia="zh-CN"/>
        </w:rPr>
        <w:t>。</w:t>
      </w:r>
    </w:p>
    <w:p w14:paraId="5DD00409">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9.26.7.3</w:t>
      </w:r>
      <w:r>
        <w:rPr>
          <w:rFonts w:hint="default" w:ascii="仿宋_GB2312" w:hAnsi="仿宋" w:eastAsia="仿宋_GB2312" w:cs="Helvetica"/>
          <w:color w:val="auto"/>
          <w:kern w:val="0"/>
          <w:sz w:val="24"/>
          <w:highlight w:val="none"/>
          <w:lang w:val="en-US" w:eastAsia="zh-CN"/>
        </w:rPr>
        <w:t>照片分辨率大于等于4000×3000，支持jpg格式</w:t>
      </w:r>
      <w:r>
        <w:rPr>
          <w:rFonts w:hint="eastAsia" w:ascii="仿宋_GB2312" w:hAnsi="仿宋" w:eastAsia="仿宋_GB2312" w:cs="Helvetica"/>
          <w:color w:val="auto"/>
          <w:kern w:val="0"/>
          <w:sz w:val="24"/>
          <w:highlight w:val="none"/>
          <w:lang w:val="en-US" w:eastAsia="zh-CN"/>
        </w:rPr>
        <w:t>。</w:t>
      </w:r>
    </w:p>
    <w:p w14:paraId="47C7BBE1">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default" w:ascii="仿宋_GB2312" w:hAnsi="仿宋" w:eastAsia="仿宋_GB2312" w:cs="Helvetica"/>
          <w:color w:val="auto"/>
          <w:kern w:val="0"/>
          <w:sz w:val="24"/>
          <w:highlight w:val="none"/>
          <w:lang w:val="en-US" w:eastAsia="zh-CN"/>
        </w:rPr>
        <w:tab/>
      </w:r>
      <w:r>
        <w:rPr>
          <w:rFonts w:hint="eastAsia" w:ascii="仿宋_GB2312" w:hAnsi="仿宋" w:eastAsia="仿宋_GB2312" w:cs="Helvetica"/>
          <w:color w:val="auto"/>
          <w:kern w:val="0"/>
          <w:sz w:val="24"/>
          <w:highlight w:val="none"/>
          <w:lang w:val="en-US" w:eastAsia="zh-CN"/>
        </w:rPr>
        <w:t>9.26.7.4</w:t>
      </w:r>
      <w:r>
        <w:rPr>
          <w:rFonts w:hint="default" w:ascii="仿宋_GB2312" w:hAnsi="仿宋" w:eastAsia="仿宋_GB2312" w:cs="Helvetica"/>
          <w:color w:val="auto"/>
          <w:kern w:val="0"/>
          <w:sz w:val="24"/>
          <w:highlight w:val="none"/>
          <w:lang w:val="en-US" w:eastAsia="zh-CN"/>
        </w:rPr>
        <w:t>镜头DFOV大于等于80°</w:t>
      </w:r>
      <w:r>
        <w:rPr>
          <w:rFonts w:hint="eastAsia" w:ascii="仿宋_GB2312" w:hAnsi="仿宋" w:eastAsia="仿宋_GB2312" w:cs="Helvetica"/>
          <w:color w:val="auto"/>
          <w:kern w:val="0"/>
          <w:sz w:val="24"/>
          <w:highlight w:val="none"/>
          <w:lang w:val="en-US" w:eastAsia="zh-CN"/>
        </w:rPr>
        <w:t>。</w:t>
      </w:r>
    </w:p>
    <w:p w14:paraId="23753FA3">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9.27</w:t>
      </w:r>
      <w:r>
        <w:rPr>
          <w:rFonts w:hint="default" w:ascii="仿宋_GB2312" w:hAnsi="仿宋" w:eastAsia="仿宋_GB2312" w:cs="Helvetica"/>
          <w:color w:val="auto"/>
          <w:kern w:val="0"/>
          <w:sz w:val="24"/>
          <w:highlight w:val="none"/>
          <w:lang w:val="en-US" w:eastAsia="zh-CN"/>
        </w:rPr>
        <w:t>激光测距仪</w:t>
      </w:r>
      <w:r>
        <w:rPr>
          <w:rFonts w:hint="default" w:ascii="仿宋_GB2312" w:hAnsi="仿宋" w:eastAsia="仿宋_GB2312" w:cs="Helvetica"/>
          <w:color w:val="auto"/>
          <w:kern w:val="0"/>
          <w:sz w:val="24"/>
          <w:highlight w:val="none"/>
          <w:lang w:val="en-US" w:eastAsia="zh-CN"/>
        </w:rPr>
        <w:tab/>
      </w:r>
    </w:p>
    <w:p w14:paraId="4C16B17C">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9.27.1</w:t>
      </w:r>
      <w:r>
        <w:rPr>
          <w:rFonts w:hint="default" w:ascii="仿宋_GB2312" w:hAnsi="仿宋" w:eastAsia="仿宋_GB2312" w:cs="Helvetica"/>
          <w:color w:val="auto"/>
          <w:kern w:val="0"/>
          <w:sz w:val="24"/>
          <w:highlight w:val="none"/>
          <w:lang w:val="en-US" w:eastAsia="zh-CN"/>
        </w:rPr>
        <w:t>测量范围大于等于1km</w:t>
      </w:r>
      <w:r>
        <w:rPr>
          <w:rFonts w:hint="eastAsia" w:ascii="仿宋_GB2312" w:hAnsi="仿宋" w:eastAsia="仿宋_GB2312" w:cs="Helvetica"/>
          <w:color w:val="auto"/>
          <w:kern w:val="0"/>
          <w:sz w:val="24"/>
          <w:highlight w:val="none"/>
          <w:lang w:val="en-US" w:eastAsia="zh-CN"/>
        </w:rPr>
        <w:t>。</w:t>
      </w:r>
    </w:p>
    <w:p w14:paraId="0DB3F173">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9.27.2</w:t>
      </w:r>
      <w:r>
        <w:rPr>
          <w:rFonts w:hint="default" w:ascii="仿宋_GB2312" w:hAnsi="仿宋" w:eastAsia="仿宋_GB2312" w:cs="Helvetica"/>
          <w:color w:val="auto"/>
          <w:kern w:val="0"/>
          <w:sz w:val="24"/>
          <w:highlight w:val="none"/>
          <w:lang w:val="en-US" w:eastAsia="zh-CN"/>
        </w:rPr>
        <w:t>测量精度1公里内偏差小于等于2m</w:t>
      </w:r>
      <w:r>
        <w:rPr>
          <w:rFonts w:hint="eastAsia" w:ascii="仿宋_GB2312" w:hAnsi="仿宋" w:eastAsia="仿宋_GB2312" w:cs="Helvetica"/>
          <w:color w:val="auto"/>
          <w:kern w:val="0"/>
          <w:sz w:val="24"/>
          <w:highlight w:val="none"/>
          <w:lang w:val="en-US" w:eastAsia="zh-CN"/>
        </w:rPr>
        <w:t>。</w:t>
      </w:r>
    </w:p>
    <w:p w14:paraId="7E9EBA96">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w:t>
      </w:r>
      <w:r>
        <w:rPr>
          <w:rFonts w:hint="default" w:ascii="仿宋_GB2312" w:hAnsi="仿宋" w:eastAsia="仿宋_GB2312" w:cs="Helvetica"/>
          <w:color w:val="auto"/>
          <w:kern w:val="0"/>
          <w:sz w:val="24"/>
          <w:highlight w:val="none"/>
          <w:lang w:val="en-US" w:eastAsia="zh-CN"/>
        </w:rPr>
        <w:t>红外相机</w:t>
      </w:r>
    </w:p>
    <w:p w14:paraId="653ABB38">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9.28.1</w:t>
      </w:r>
      <w:r>
        <w:rPr>
          <w:rFonts w:hint="default" w:ascii="仿宋_GB2312" w:hAnsi="仿宋" w:eastAsia="仿宋_GB2312" w:cs="Helvetica"/>
          <w:color w:val="auto"/>
          <w:kern w:val="0"/>
          <w:sz w:val="24"/>
          <w:highlight w:val="none"/>
          <w:lang w:val="en-US" w:eastAsia="zh-CN"/>
        </w:rPr>
        <w:t>支持点测温、区域测温</w:t>
      </w:r>
      <w:r>
        <w:rPr>
          <w:rFonts w:hint="eastAsia" w:ascii="仿宋_GB2312" w:hAnsi="仿宋" w:eastAsia="仿宋_GB2312" w:cs="Helvetica"/>
          <w:color w:val="auto"/>
          <w:kern w:val="0"/>
          <w:sz w:val="24"/>
          <w:highlight w:val="none"/>
          <w:lang w:val="en-US" w:eastAsia="zh-CN"/>
        </w:rPr>
        <w:t>。</w:t>
      </w:r>
    </w:p>
    <w:p w14:paraId="3F78E617">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9.28.2</w:t>
      </w:r>
      <w:r>
        <w:rPr>
          <w:rFonts w:hint="default" w:ascii="仿宋_GB2312" w:hAnsi="仿宋" w:eastAsia="仿宋_GB2312" w:cs="Helvetica"/>
          <w:color w:val="auto"/>
          <w:kern w:val="0"/>
          <w:sz w:val="24"/>
          <w:highlight w:val="none"/>
          <w:lang w:val="en-US" w:eastAsia="zh-CN"/>
        </w:rPr>
        <w:t>最大支持20倍数字变焦</w:t>
      </w:r>
      <w:r>
        <w:rPr>
          <w:rFonts w:hint="eastAsia" w:ascii="仿宋_GB2312" w:hAnsi="仿宋" w:eastAsia="仿宋_GB2312" w:cs="Helvetica"/>
          <w:color w:val="auto"/>
          <w:kern w:val="0"/>
          <w:sz w:val="24"/>
          <w:highlight w:val="none"/>
          <w:lang w:val="en-US" w:eastAsia="zh-CN"/>
        </w:rPr>
        <w:t>。</w:t>
      </w:r>
    </w:p>
    <w:p w14:paraId="40D4218E">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9.28.3</w:t>
      </w:r>
      <w:r>
        <w:rPr>
          <w:rFonts w:hint="default" w:ascii="仿宋_GB2312" w:hAnsi="仿宋" w:eastAsia="仿宋_GB2312" w:cs="Helvetica"/>
          <w:color w:val="auto"/>
          <w:kern w:val="0"/>
          <w:sz w:val="24"/>
          <w:highlight w:val="none"/>
          <w:lang w:val="en-US" w:eastAsia="zh-CN"/>
        </w:rPr>
        <w:t>视频分辨率大于等于640×512@30Hz，支持MP4格式</w:t>
      </w:r>
      <w:r>
        <w:rPr>
          <w:rFonts w:hint="eastAsia" w:ascii="仿宋_GB2312" w:hAnsi="仿宋" w:eastAsia="仿宋_GB2312" w:cs="Helvetica"/>
          <w:color w:val="auto"/>
          <w:kern w:val="0"/>
          <w:sz w:val="24"/>
          <w:highlight w:val="none"/>
          <w:lang w:val="en-US" w:eastAsia="zh-CN"/>
        </w:rPr>
        <w:t>。</w:t>
      </w:r>
    </w:p>
    <w:p w14:paraId="108F207D">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9.28.4</w:t>
      </w:r>
      <w:r>
        <w:rPr>
          <w:rFonts w:hint="default" w:ascii="仿宋_GB2312" w:hAnsi="仿宋" w:eastAsia="仿宋_GB2312" w:cs="Helvetica"/>
          <w:color w:val="auto"/>
          <w:kern w:val="0"/>
          <w:sz w:val="24"/>
          <w:highlight w:val="none"/>
          <w:lang w:val="en-US" w:eastAsia="zh-CN"/>
        </w:rPr>
        <w:t>照片分辨率大于等于640×512，支持红外超分辨率功能扩展分辨率到1280*1024，提升画面质量</w:t>
      </w:r>
      <w:r>
        <w:rPr>
          <w:rFonts w:hint="eastAsia" w:ascii="仿宋_GB2312" w:hAnsi="仿宋" w:eastAsia="仿宋_GB2312" w:cs="Helvetica"/>
          <w:color w:val="auto"/>
          <w:kern w:val="0"/>
          <w:sz w:val="24"/>
          <w:highlight w:val="none"/>
          <w:lang w:val="en-US" w:eastAsia="zh-CN"/>
        </w:rPr>
        <w:t>。</w:t>
      </w:r>
    </w:p>
    <w:p w14:paraId="0264D818">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9.28.5</w:t>
      </w:r>
      <w:r>
        <w:rPr>
          <w:rFonts w:hint="default" w:ascii="仿宋_GB2312" w:hAnsi="仿宋" w:eastAsia="仿宋_GB2312" w:cs="Helvetica"/>
          <w:color w:val="auto"/>
          <w:kern w:val="0"/>
          <w:sz w:val="24"/>
          <w:highlight w:val="none"/>
          <w:lang w:val="en-US" w:eastAsia="zh-CN"/>
        </w:rPr>
        <w:t>支持拍摄带有红外信息的照片，用软件进行后处理测温</w:t>
      </w:r>
    </w:p>
    <w:p w14:paraId="79D73968">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9.28.6</w:t>
      </w:r>
      <w:r>
        <w:rPr>
          <w:rFonts w:hint="default" w:ascii="仿宋_GB2312" w:hAnsi="仿宋" w:eastAsia="仿宋_GB2312" w:cs="Helvetica"/>
          <w:color w:val="auto"/>
          <w:kern w:val="0"/>
          <w:sz w:val="24"/>
          <w:highlight w:val="none"/>
          <w:lang w:val="en-US" w:eastAsia="zh-CN"/>
        </w:rPr>
        <w:t>具备调色板功能</w:t>
      </w:r>
    </w:p>
    <w:p w14:paraId="3703E5A0">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9.28.7</w:t>
      </w:r>
      <w:r>
        <w:rPr>
          <w:rFonts w:hint="default" w:ascii="仿宋_GB2312" w:hAnsi="仿宋" w:eastAsia="仿宋_GB2312" w:cs="Helvetica"/>
          <w:color w:val="auto"/>
          <w:kern w:val="0"/>
          <w:sz w:val="24"/>
          <w:highlight w:val="none"/>
          <w:lang w:val="en-US" w:eastAsia="zh-CN"/>
        </w:rPr>
        <w:t>支持高温警报功能</w:t>
      </w:r>
    </w:p>
    <w:p w14:paraId="6F75971B">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9.28.8</w:t>
      </w:r>
      <w:r>
        <w:rPr>
          <w:rFonts w:hint="default" w:ascii="仿宋_GB2312" w:hAnsi="仿宋" w:eastAsia="仿宋_GB2312" w:cs="Helvetica"/>
          <w:color w:val="auto"/>
          <w:kern w:val="0"/>
          <w:sz w:val="24"/>
          <w:highlight w:val="none"/>
          <w:lang w:val="en-US" w:eastAsia="zh-CN"/>
        </w:rPr>
        <w:t>支持等温线功能</w:t>
      </w:r>
    </w:p>
    <w:p w14:paraId="23E78B94">
      <w:pPr>
        <w:tabs>
          <w:tab w:val="left" w:pos="0"/>
        </w:tabs>
        <w:spacing w:line="360" w:lineRule="auto"/>
        <w:ind w:firstLine="480" w:firstLineChars="200"/>
        <w:rPr>
          <w:rFonts w:hint="default" w:ascii="仿宋_GB2312" w:hAnsi="仿宋" w:eastAsia="仿宋_GB2312" w:cs="Helvetica"/>
          <w:color w:val="auto"/>
          <w:kern w:val="0"/>
          <w:sz w:val="24"/>
          <w:highlight w:val="none"/>
          <w:lang w:val="en-US" w:eastAsia="zh-CN"/>
        </w:rPr>
      </w:pPr>
      <w:r>
        <w:rPr>
          <w:rFonts w:hint="eastAsia" w:ascii="仿宋_GB2312" w:hAnsi="仿宋" w:eastAsia="仿宋_GB2312" w:cs="Helvetica"/>
          <w:color w:val="auto"/>
          <w:kern w:val="0"/>
          <w:sz w:val="24"/>
          <w:highlight w:val="none"/>
          <w:lang w:val="en-US" w:eastAsia="zh-CN"/>
        </w:rPr>
        <w:t>9.28.9</w:t>
      </w:r>
      <w:r>
        <w:rPr>
          <w:rFonts w:hint="default" w:ascii="仿宋_GB2312" w:hAnsi="仿宋" w:eastAsia="仿宋_GB2312" w:cs="Helvetica"/>
          <w:color w:val="auto"/>
          <w:kern w:val="0"/>
          <w:sz w:val="24"/>
          <w:highlight w:val="none"/>
          <w:lang w:val="en-US" w:eastAsia="zh-CN"/>
        </w:rPr>
        <w:t>支持高低增益模式</w:t>
      </w:r>
    </w:p>
    <w:p w14:paraId="55BE3405">
      <w:pPr>
        <w:tabs>
          <w:tab w:val="left" w:pos="0"/>
        </w:tabs>
        <w:spacing w:line="360" w:lineRule="auto"/>
        <w:ind w:firstLine="482" w:firstLineChars="200"/>
        <w:rPr>
          <w:rFonts w:hint="eastAsia" w:ascii="仿宋_GB2312" w:hAnsi="仿宋" w:eastAsia="仿宋_GB2312" w:cs="Helvetica"/>
          <w:b/>
          <w:bCs/>
          <w:color w:val="auto"/>
          <w:kern w:val="0"/>
          <w:sz w:val="24"/>
          <w:highlight w:val="none"/>
          <w:lang w:val="zh-CN"/>
        </w:rPr>
      </w:pPr>
      <w:r>
        <w:rPr>
          <w:rFonts w:hint="eastAsia" w:ascii="仿宋_GB2312" w:hAnsi="仿宋" w:eastAsia="仿宋_GB2312" w:cs="Helvetica"/>
          <w:b/>
          <w:bCs/>
          <w:color w:val="auto"/>
          <w:kern w:val="0"/>
          <w:sz w:val="24"/>
          <w:highlight w:val="none"/>
          <w:lang w:val="en-US" w:eastAsia="zh-CN"/>
        </w:rPr>
        <w:t>10</w:t>
      </w:r>
      <w:r>
        <w:rPr>
          <w:rFonts w:hint="eastAsia" w:ascii="仿宋_GB2312" w:hAnsi="仿宋" w:eastAsia="仿宋_GB2312" w:cs="Helvetica"/>
          <w:b/>
          <w:bCs/>
          <w:color w:val="auto"/>
          <w:kern w:val="0"/>
          <w:sz w:val="24"/>
          <w:highlight w:val="none"/>
          <w:lang w:val="zh-CN"/>
        </w:rPr>
        <w:t>.车载自动气象监测站</w:t>
      </w:r>
    </w:p>
    <w:p w14:paraId="284F3AA8">
      <w:pPr>
        <w:tabs>
          <w:tab w:val="left" w:pos="0"/>
        </w:tabs>
        <w:spacing w:line="360" w:lineRule="auto"/>
        <w:ind w:firstLine="482" w:firstLineChars="200"/>
        <w:rPr>
          <w:rFonts w:hint="eastAsia" w:ascii="仿宋_GB2312" w:hAnsi="仿宋" w:eastAsia="仿宋_GB2312" w:cs="Helvetica"/>
          <w:b/>
          <w:bCs/>
          <w:color w:val="auto"/>
          <w:kern w:val="0"/>
          <w:sz w:val="24"/>
          <w:highlight w:val="none"/>
        </w:rPr>
      </w:pPr>
      <w:r>
        <w:rPr>
          <w:rFonts w:hint="eastAsia" w:ascii="仿宋_GB2312" w:hAnsi="仿宋" w:eastAsia="仿宋_GB2312" w:cs="Helvetica"/>
          <w:b/>
          <w:bCs/>
          <w:color w:val="auto"/>
          <w:kern w:val="0"/>
          <w:sz w:val="24"/>
          <w:highlight w:val="none"/>
          <w:lang w:val="en-US" w:eastAsia="zh-CN"/>
        </w:rPr>
        <w:t>10</w:t>
      </w:r>
      <w:r>
        <w:rPr>
          <w:rFonts w:hint="eastAsia" w:ascii="仿宋_GB2312" w:hAnsi="仿宋" w:eastAsia="仿宋_GB2312" w:cs="Helvetica"/>
          <w:b/>
          <w:bCs/>
          <w:color w:val="auto"/>
          <w:kern w:val="0"/>
          <w:sz w:val="24"/>
          <w:highlight w:val="none"/>
        </w:rPr>
        <w:t>.1 基本要求</w:t>
      </w:r>
    </w:p>
    <w:p w14:paraId="72035F9A">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要求车载气象站可以对风向、风速、气温、相对湿度、气压等要素进行全天现场监测，将气象数据传输到采集仪中通过计算机终端显示。</w:t>
      </w:r>
    </w:p>
    <w:p w14:paraId="510F5035">
      <w:pPr>
        <w:tabs>
          <w:tab w:val="left" w:pos="0"/>
        </w:tabs>
        <w:spacing w:line="360" w:lineRule="auto"/>
        <w:ind w:firstLine="482" w:firstLineChars="200"/>
        <w:rPr>
          <w:rFonts w:hint="eastAsia" w:ascii="仿宋_GB2312" w:hAnsi="仿宋" w:eastAsia="仿宋_GB2312" w:cs="Helvetica"/>
          <w:b/>
          <w:bCs/>
          <w:color w:val="auto"/>
          <w:kern w:val="0"/>
          <w:sz w:val="24"/>
          <w:highlight w:val="none"/>
        </w:rPr>
      </w:pPr>
      <w:r>
        <w:rPr>
          <w:rFonts w:hint="eastAsia" w:ascii="仿宋_GB2312" w:hAnsi="仿宋" w:eastAsia="仿宋_GB2312" w:cs="Helvetica"/>
          <w:b/>
          <w:bCs/>
          <w:color w:val="auto"/>
          <w:kern w:val="0"/>
          <w:sz w:val="24"/>
          <w:highlight w:val="none"/>
          <w:lang w:val="en-US" w:eastAsia="zh-CN"/>
        </w:rPr>
        <w:t>10</w:t>
      </w:r>
      <w:r>
        <w:rPr>
          <w:rFonts w:hint="eastAsia" w:ascii="仿宋_GB2312" w:hAnsi="仿宋" w:eastAsia="仿宋_GB2312" w:cs="Helvetica"/>
          <w:b/>
          <w:bCs/>
          <w:color w:val="auto"/>
          <w:kern w:val="0"/>
          <w:sz w:val="24"/>
          <w:highlight w:val="none"/>
        </w:rPr>
        <w:t>.2技术指标</w:t>
      </w:r>
    </w:p>
    <w:p w14:paraId="02379A62">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风速范围：0~70m/s；</w:t>
      </w:r>
    </w:p>
    <w:p w14:paraId="25B6B066">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精度：优于或等于±(0.3±0.03V)m/s；</w:t>
      </w:r>
    </w:p>
    <w:p w14:paraId="60DED1F1">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风速分辨率：≥0.1m/s；</w:t>
      </w:r>
    </w:p>
    <w:p w14:paraId="553F180C">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风向范围：0~360°；</w:t>
      </w:r>
    </w:p>
    <w:p w14:paraId="0D4B5CA8">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精度：优于或等于±1°；</w:t>
      </w:r>
    </w:p>
    <w:p w14:paraId="6CCE97C5">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风向分辨率：优于或等于1°；</w:t>
      </w:r>
    </w:p>
    <w:p w14:paraId="13C6EAD5">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温度范围：-50~+100℃；</w:t>
      </w:r>
    </w:p>
    <w:p w14:paraId="33406322">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相对湿度范围：0~100%RH；</w:t>
      </w:r>
    </w:p>
    <w:p w14:paraId="40CE6DB8">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气压范围：10~1100hPa；</w:t>
      </w:r>
    </w:p>
    <w:p w14:paraId="5500F996">
      <w:pPr>
        <w:tabs>
          <w:tab w:val="left" w:pos="0"/>
        </w:tabs>
        <w:spacing w:line="360" w:lineRule="auto"/>
        <w:ind w:firstLine="480" w:firstLineChars="200"/>
        <w:rPr>
          <w:rFonts w:hint="eastAsia" w:ascii="仿宋_GB2312" w:hAnsi="仿宋" w:eastAsia="仿宋_GB2312" w:cs="Helvetica"/>
          <w:color w:val="auto"/>
          <w:kern w:val="0"/>
          <w:sz w:val="24"/>
          <w:highlight w:val="none"/>
        </w:rPr>
      </w:pPr>
      <w:r>
        <w:rPr>
          <w:rFonts w:hint="eastAsia" w:ascii="仿宋_GB2312" w:hAnsi="仿宋" w:eastAsia="仿宋_GB2312" w:cs="Helvetica"/>
          <w:color w:val="auto"/>
          <w:kern w:val="0"/>
          <w:sz w:val="24"/>
          <w:highlight w:val="none"/>
        </w:rPr>
        <w:t>电源：12~24VDC。</w:t>
      </w:r>
    </w:p>
    <w:p w14:paraId="59785BF5">
      <w:pPr>
        <w:tabs>
          <w:tab w:val="left" w:pos="0"/>
        </w:tabs>
        <w:spacing w:line="360" w:lineRule="auto"/>
        <w:ind w:firstLine="482" w:firstLineChars="200"/>
        <w:rPr>
          <w:rFonts w:hint="eastAsia" w:ascii="仿宋_GB2312" w:hAnsi="仿宋" w:eastAsia="仿宋_GB2312" w:cs="Helvetica"/>
          <w:b/>
          <w:bCs/>
          <w:color w:val="auto"/>
          <w:kern w:val="0"/>
          <w:sz w:val="24"/>
          <w:highlight w:val="none"/>
          <w:lang w:val="zh-CN" w:eastAsia="zh-CN"/>
        </w:rPr>
      </w:pPr>
      <w:r>
        <w:rPr>
          <w:rFonts w:hint="eastAsia" w:ascii="仿宋_GB2312" w:hAnsi="仿宋" w:eastAsia="仿宋_GB2312" w:cs="Helvetica"/>
          <w:b/>
          <w:bCs/>
          <w:color w:val="auto"/>
          <w:kern w:val="0"/>
          <w:sz w:val="24"/>
          <w:highlight w:val="none"/>
          <w:lang w:val="en-US" w:eastAsia="zh-CN"/>
        </w:rPr>
        <w:t>11</w:t>
      </w:r>
      <w:r>
        <w:rPr>
          <w:rFonts w:hint="eastAsia" w:ascii="仿宋_GB2312" w:hAnsi="仿宋" w:eastAsia="仿宋_GB2312" w:cs="Helvetica"/>
          <w:b/>
          <w:bCs/>
          <w:color w:val="auto"/>
          <w:kern w:val="0"/>
          <w:sz w:val="24"/>
          <w:highlight w:val="none"/>
          <w:lang w:val="zh-CN"/>
        </w:rPr>
        <w:t>.</w:t>
      </w:r>
      <w:r>
        <w:rPr>
          <w:rFonts w:hint="eastAsia"/>
          <w:color w:val="auto"/>
          <w:highlight w:val="none"/>
        </w:rPr>
        <w:t xml:space="preserve"> </w:t>
      </w:r>
      <w:r>
        <w:rPr>
          <w:rFonts w:hint="eastAsia" w:ascii="仿宋_GB2312" w:hAnsi="仿宋" w:eastAsia="仿宋_GB2312" w:cs="Helvetica"/>
          <w:b/>
          <w:bCs/>
          <w:color w:val="auto"/>
          <w:kern w:val="0"/>
          <w:sz w:val="24"/>
          <w:highlight w:val="none"/>
          <w:lang w:val="zh-CN"/>
        </w:rPr>
        <w:t>车载移动空气监测</w:t>
      </w:r>
      <w:r>
        <w:rPr>
          <w:rFonts w:hint="eastAsia" w:ascii="仿宋_GB2312" w:hAnsi="仿宋" w:eastAsia="仿宋_GB2312" w:cs="Helvetica"/>
          <w:b/>
          <w:bCs/>
          <w:color w:val="auto"/>
          <w:kern w:val="0"/>
          <w:sz w:val="24"/>
          <w:highlight w:val="none"/>
          <w:lang w:val="en-US" w:eastAsia="zh-CN"/>
        </w:rPr>
        <w:t>站</w:t>
      </w:r>
    </w:p>
    <w:p w14:paraId="253454E0">
      <w:pPr>
        <w:tabs>
          <w:tab w:val="left" w:pos="0"/>
        </w:tabs>
        <w:spacing w:line="360" w:lineRule="auto"/>
        <w:ind w:firstLine="482" w:firstLineChars="200"/>
        <w:rPr>
          <w:rFonts w:hint="eastAsia" w:ascii="仿宋_GB2312" w:hAnsi="仿宋" w:eastAsia="仿宋_GB2312" w:cs="Helvetica"/>
          <w:b/>
          <w:bCs/>
          <w:color w:val="auto"/>
          <w:kern w:val="0"/>
          <w:sz w:val="24"/>
          <w:highlight w:val="none"/>
          <w:lang w:val="zh-CN"/>
        </w:rPr>
      </w:pPr>
      <w:r>
        <w:rPr>
          <w:rFonts w:hint="eastAsia" w:ascii="仿宋_GB2312" w:hAnsi="仿宋" w:eastAsia="仿宋_GB2312" w:cs="Helvetica"/>
          <w:b/>
          <w:bCs/>
          <w:color w:val="auto"/>
          <w:kern w:val="0"/>
          <w:sz w:val="24"/>
          <w:highlight w:val="none"/>
          <w:lang w:val="en-US" w:eastAsia="zh-CN"/>
        </w:rPr>
        <w:t>11.</w:t>
      </w:r>
      <w:r>
        <w:rPr>
          <w:rFonts w:hint="eastAsia" w:ascii="仿宋_GB2312" w:hAnsi="仿宋" w:eastAsia="仿宋_GB2312" w:cs="Helvetica"/>
          <w:b/>
          <w:bCs/>
          <w:color w:val="auto"/>
          <w:kern w:val="0"/>
          <w:sz w:val="24"/>
          <w:highlight w:val="none"/>
          <w:lang w:val="zh-CN"/>
        </w:rPr>
        <w:t>1、总体要求</w:t>
      </w:r>
    </w:p>
    <w:p w14:paraId="5B5325B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1）该项目所应用的微型空气自动监测站技术参数务应符合生态环境部《大气PM2.5网格化监测技术要求和检验方法技术指南（试行）》；</w:t>
      </w:r>
    </w:p>
    <w:p w14:paraId="1643DC9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2）微型空气自动监测站具有中国环境保护产品认证证书（CCEP），认证因子需包含本项目中PM10、PM2.5、SO2、NO2、CO、O3，认证依据为《网格化环境空气质量监测仪认证技术规范》（RJGF 008-2021）。</w:t>
      </w:r>
    </w:p>
    <w:p w14:paraId="391094DD">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en-US" w:eastAsia="zh-CN"/>
        </w:rPr>
        <w:t>11.</w:t>
      </w:r>
      <w:r>
        <w:rPr>
          <w:rFonts w:hint="eastAsia" w:ascii="仿宋_GB2312" w:hAnsi="Times New Roman" w:eastAsia="仿宋_GB2312" w:cs="Helvetica"/>
          <w:b/>
          <w:bCs/>
          <w:color w:val="auto"/>
          <w:kern w:val="0"/>
          <w:sz w:val="24"/>
          <w:highlight w:val="none"/>
          <w:lang w:val="zh-CN" w:eastAsia="zh-CN"/>
        </w:rPr>
        <w:t>2、功能要求</w:t>
      </w:r>
    </w:p>
    <w:p w14:paraId="54245702">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1）整机功耗</w:t>
      </w:r>
    </w:p>
    <w:p w14:paraId="74287394">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不大于50W。</w:t>
      </w:r>
    </w:p>
    <w:p w14:paraId="668F615B">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2）零点校准（颗粒物）</w:t>
      </w:r>
    </w:p>
    <w:p w14:paraId="1C301CAE">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颗粒物具有零点校准功能。</w:t>
      </w:r>
    </w:p>
    <w:p w14:paraId="42027043">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3）切割装置（颗粒物）</w:t>
      </w:r>
    </w:p>
    <w:p w14:paraId="2C917AC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设备采用物理切割方式，具有PM2.5切割器。</w:t>
      </w:r>
    </w:p>
    <w:p w14:paraId="3200023B">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en-US" w:eastAsia="zh-CN"/>
        </w:rPr>
        <w:t>11.</w:t>
      </w:r>
      <w:r>
        <w:rPr>
          <w:rFonts w:hint="eastAsia" w:ascii="仿宋_GB2312" w:hAnsi="Times New Roman" w:eastAsia="仿宋_GB2312" w:cs="Helvetica"/>
          <w:b/>
          <w:bCs/>
          <w:color w:val="auto"/>
          <w:kern w:val="0"/>
          <w:sz w:val="24"/>
          <w:highlight w:val="none"/>
          <w:lang w:val="zh-CN" w:eastAsia="zh-CN"/>
        </w:rPr>
        <w:t>3、性能指标要求</w:t>
      </w:r>
    </w:p>
    <w:p w14:paraId="70628A48">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1）PM2.5性能指标</w:t>
      </w:r>
    </w:p>
    <w:p w14:paraId="050A8B3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测量范围：（0～1000）μg/m3</w:t>
      </w:r>
    </w:p>
    <w:p w14:paraId="796FE164">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监测原理：光散射法</w:t>
      </w:r>
    </w:p>
    <w:p w14:paraId="6933605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平行性：≤7%</w:t>
      </w:r>
    </w:p>
    <w:p w14:paraId="435B748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重复性：≤4%</w:t>
      </w:r>
    </w:p>
    <w:p w14:paraId="4CCFD3A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相关系数：≥0.97</w:t>
      </w:r>
    </w:p>
    <w:p w14:paraId="192552E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测量误差：≤100μg/m3：±15μg/m3</w:t>
      </w:r>
    </w:p>
    <w:p w14:paraId="3F7DAF5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 xml:space="preserve">                       &gt;100μg/m3：±15%</w:t>
      </w:r>
    </w:p>
    <w:p w14:paraId="2EF79558">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2）PM10性能指标</w:t>
      </w:r>
    </w:p>
    <w:p w14:paraId="315D35BF">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测量范围：（0～1000）μg/m3</w:t>
      </w:r>
    </w:p>
    <w:p w14:paraId="508CA2F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监测原理：光散射法</w:t>
      </w:r>
    </w:p>
    <w:p w14:paraId="08DA28D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平行性：≤6%</w:t>
      </w:r>
    </w:p>
    <w:p w14:paraId="02B7C67F">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重复性：≤4%</w:t>
      </w:r>
    </w:p>
    <w:p w14:paraId="33F0373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相关系数：≥0.97</w:t>
      </w:r>
    </w:p>
    <w:p w14:paraId="73B990F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测量误差：≤100μg/m3：±15μg/m3</w:t>
      </w:r>
    </w:p>
    <w:p w14:paraId="009DF5AA">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 xml:space="preserve">                       &gt;100μg/m3：±15%</w:t>
      </w:r>
    </w:p>
    <w:p w14:paraId="65C9F5B7">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3）SO2性能指标</w:t>
      </w:r>
    </w:p>
    <w:p w14:paraId="5770903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测量范围：（0～500）nmol/mol</w:t>
      </w:r>
    </w:p>
    <w:p w14:paraId="04E847E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监测原理：电化学法</w:t>
      </w:r>
    </w:p>
    <w:p w14:paraId="44857CE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示值误差：±5%</w:t>
      </w:r>
    </w:p>
    <w:p w14:paraId="3BA0FA7E">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重复性：≤5%</w:t>
      </w:r>
    </w:p>
    <w:p w14:paraId="4A023FC2">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响应时间:≤120s（T90），≤120s（T10）</w:t>
      </w:r>
    </w:p>
    <w:p w14:paraId="05EC0254">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零点漂移：±1%FS/6h</w:t>
      </w:r>
    </w:p>
    <w:p w14:paraId="3D8F1B9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量程漂移：±4%FS/6h</w:t>
      </w:r>
    </w:p>
    <w:p w14:paraId="0066622E">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24h漂移：零点漂移：±15%FS，量程漂移：±15%FS</w:t>
      </w:r>
    </w:p>
    <w:p w14:paraId="6E107BD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低温试验示值误差：±15%</w:t>
      </w:r>
    </w:p>
    <w:p w14:paraId="705AF76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高温试验示值误差：±15%</w:t>
      </w:r>
    </w:p>
    <w:p w14:paraId="4C9BF032">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恒定湿热试验示值误差：±15%</w:t>
      </w:r>
    </w:p>
    <w:p w14:paraId="100DA33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测量误差：≤100nmol/mol：±20nmol/mol</w:t>
      </w:r>
    </w:p>
    <w:p w14:paraId="6ECFDA6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 xml:space="preserve">                       &gt;100nmol/mol：±20%</w:t>
      </w:r>
    </w:p>
    <w:p w14:paraId="31DEE0FC">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4）CO性能指标</w:t>
      </w:r>
    </w:p>
    <w:p w14:paraId="71182FB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测量范围：（0～5）μmol/mol</w:t>
      </w:r>
    </w:p>
    <w:p w14:paraId="1511844A">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监测原理：电化学法</w:t>
      </w:r>
    </w:p>
    <w:p w14:paraId="52371798">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示值误差：±6%</w:t>
      </w:r>
    </w:p>
    <w:p w14:paraId="795220C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重复性：≤5%</w:t>
      </w:r>
    </w:p>
    <w:p w14:paraId="4FFA8A7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响应时间:≤120s（T90），≤120s（T10）</w:t>
      </w:r>
    </w:p>
    <w:p w14:paraId="3C09D58E">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零点漂移：±2%FS/6h</w:t>
      </w:r>
    </w:p>
    <w:p w14:paraId="351DC08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量程漂移：±4%FS/6h</w:t>
      </w:r>
    </w:p>
    <w:p w14:paraId="1EC52C3F">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24h漂移：零点漂移：±15%FS，量程漂移：±15%FS</w:t>
      </w:r>
    </w:p>
    <w:p w14:paraId="54991498">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低温试验示值误差：±15%</w:t>
      </w:r>
    </w:p>
    <w:p w14:paraId="14DF737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高温试验示值误差：±15%</w:t>
      </w:r>
    </w:p>
    <w:p w14:paraId="6FB64814">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恒定湿热试验示值误差：±15%</w:t>
      </w:r>
    </w:p>
    <w:p w14:paraId="24F71F53">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测量误差：≤100nmol/mol：±20nmol/mol</w:t>
      </w:r>
    </w:p>
    <w:p w14:paraId="7EE8FBBD">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 xml:space="preserve">                       &gt;100nmol/mol：±20%</w:t>
      </w:r>
    </w:p>
    <w:p w14:paraId="39B3226A">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5）O3性能指标</w:t>
      </w:r>
    </w:p>
    <w:p w14:paraId="54D27C5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测量范围：（0～500）nmol/mol</w:t>
      </w:r>
    </w:p>
    <w:p w14:paraId="46A2726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监测原理：电化学法</w:t>
      </w:r>
    </w:p>
    <w:p w14:paraId="65677D34">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示值误差：±5%</w:t>
      </w:r>
    </w:p>
    <w:p w14:paraId="53320A5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重复性：≤5%</w:t>
      </w:r>
    </w:p>
    <w:p w14:paraId="4A6C017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响应时间:≤120s（T90），≤120s（T10）</w:t>
      </w:r>
    </w:p>
    <w:p w14:paraId="10D8461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零点漂移：±1%FS/6h</w:t>
      </w:r>
    </w:p>
    <w:p w14:paraId="69CCB0F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量程漂移：±4%FS/6h</w:t>
      </w:r>
    </w:p>
    <w:p w14:paraId="22DEF09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24h漂移：零点漂移：±15%FS，量程漂移：±15%FS</w:t>
      </w:r>
    </w:p>
    <w:p w14:paraId="50FB146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低温试验示值误差：±15%</w:t>
      </w:r>
    </w:p>
    <w:p w14:paraId="61A5AAF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高温试验示值误差：±15%</w:t>
      </w:r>
    </w:p>
    <w:p w14:paraId="5C9D7DC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恒定湿热试验示值误差：±15%</w:t>
      </w:r>
    </w:p>
    <w:p w14:paraId="2D69D46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测量误差：≤100nmol/mol：±20nmol/mol</w:t>
      </w:r>
    </w:p>
    <w:p w14:paraId="42588D9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 xml:space="preserve">                       &gt;100nmol/mol：±20%</w:t>
      </w:r>
    </w:p>
    <w:p w14:paraId="46C6FEE4">
      <w:pPr>
        <w:tabs>
          <w:tab w:val="left" w:pos="0"/>
        </w:tabs>
        <w:spacing w:line="360" w:lineRule="auto"/>
        <w:ind w:firstLine="482" w:firstLineChars="200"/>
        <w:rPr>
          <w:rFonts w:hint="eastAsia" w:ascii="仿宋_GB2312" w:hAnsi="Times New Roman" w:eastAsia="仿宋_GB2312" w:cs="Helvetica"/>
          <w:b/>
          <w:bCs/>
          <w:color w:val="auto"/>
          <w:kern w:val="0"/>
          <w:sz w:val="24"/>
          <w:highlight w:val="none"/>
          <w:lang w:val="zh-CN" w:eastAsia="zh-CN"/>
        </w:rPr>
      </w:pPr>
      <w:r>
        <w:rPr>
          <w:rFonts w:hint="eastAsia" w:ascii="仿宋_GB2312" w:hAnsi="Times New Roman" w:eastAsia="仿宋_GB2312" w:cs="Helvetica"/>
          <w:b/>
          <w:bCs/>
          <w:color w:val="auto"/>
          <w:kern w:val="0"/>
          <w:sz w:val="24"/>
          <w:highlight w:val="none"/>
          <w:lang w:val="zh-CN" w:eastAsia="zh-CN"/>
        </w:rPr>
        <w:t>6）NO2性能指标</w:t>
      </w:r>
    </w:p>
    <w:p w14:paraId="3CC63AC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测量范围：（0～500）nmol/mol</w:t>
      </w:r>
    </w:p>
    <w:p w14:paraId="7398D8C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监测原理：电化学法</w:t>
      </w:r>
    </w:p>
    <w:p w14:paraId="42067E5A">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示值误差：±5%</w:t>
      </w:r>
    </w:p>
    <w:p w14:paraId="336E5604">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重复性：≤5%</w:t>
      </w:r>
    </w:p>
    <w:p w14:paraId="683BF74F">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响应时间:≤120s（T90），≤120s（T10）</w:t>
      </w:r>
    </w:p>
    <w:p w14:paraId="3CAC2774">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零点漂移：±1%FS/6h</w:t>
      </w:r>
    </w:p>
    <w:p w14:paraId="0A10E9AD">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量程漂移：±4%FS/6h</w:t>
      </w:r>
    </w:p>
    <w:p w14:paraId="5AAB1FB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24h漂移：零点漂移：±15%FS，量程漂移：±15%FS</w:t>
      </w:r>
    </w:p>
    <w:p w14:paraId="1A851BD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低温试验示值误差：±15%</w:t>
      </w:r>
    </w:p>
    <w:p w14:paraId="7471957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高温试验示值误差：±15%</w:t>
      </w:r>
    </w:p>
    <w:p w14:paraId="4B7B25E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恒定湿热试验示值误差：±15%</w:t>
      </w:r>
    </w:p>
    <w:p w14:paraId="4F6F9B3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测量误差：≤100nmol/mol：±20nmol/mol</w:t>
      </w:r>
    </w:p>
    <w:p w14:paraId="0AE3F57E">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zh-CN" w:eastAsia="zh-CN"/>
        </w:rPr>
      </w:pPr>
      <w:r>
        <w:rPr>
          <w:rFonts w:hint="eastAsia" w:ascii="仿宋_GB2312" w:hAnsi="Times New Roman" w:eastAsia="仿宋_GB2312" w:cs="Helvetica"/>
          <w:color w:val="auto"/>
          <w:kern w:val="0"/>
          <w:sz w:val="24"/>
          <w:highlight w:val="none"/>
          <w:lang w:val="zh-CN" w:eastAsia="zh-CN"/>
        </w:rPr>
        <w:t xml:space="preserve">                       &gt;100nmol/mol：±20%"</w:t>
      </w:r>
    </w:p>
    <w:p w14:paraId="118093BA">
      <w:pPr>
        <w:tabs>
          <w:tab w:val="left" w:pos="0"/>
        </w:tabs>
        <w:spacing w:line="360" w:lineRule="auto"/>
        <w:ind w:firstLine="482" w:firstLineChars="200"/>
        <w:outlineLvl w:val="2"/>
        <w:rPr>
          <w:rFonts w:hint="eastAsia" w:ascii="仿宋_GB2312" w:eastAsia="仿宋_GB2312" w:cs="Helvetica"/>
          <w:b/>
          <w:bCs/>
          <w:color w:val="auto"/>
          <w:kern w:val="0"/>
          <w:sz w:val="24"/>
          <w:highlight w:val="none"/>
          <w:lang w:val="zh-CN"/>
        </w:rPr>
      </w:pPr>
      <w:r>
        <w:rPr>
          <w:rFonts w:hint="eastAsia" w:ascii="仿宋_GB2312" w:eastAsia="仿宋_GB2312" w:cs="Helvetica"/>
          <w:b/>
          <w:bCs/>
          <w:color w:val="auto"/>
          <w:kern w:val="0"/>
          <w:sz w:val="24"/>
          <w:highlight w:val="none"/>
          <w:lang w:val="en-US" w:eastAsia="zh-CN"/>
        </w:rPr>
        <w:t>12</w:t>
      </w:r>
      <w:r>
        <w:rPr>
          <w:rFonts w:hint="eastAsia" w:ascii="仿宋_GB2312" w:eastAsia="仿宋_GB2312" w:cs="Helvetica"/>
          <w:b/>
          <w:bCs/>
          <w:color w:val="auto"/>
          <w:kern w:val="0"/>
          <w:sz w:val="24"/>
          <w:highlight w:val="none"/>
          <w:lang w:val="zh-CN"/>
        </w:rPr>
        <w:t>、大气走航监测分析平台</w:t>
      </w:r>
    </w:p>
    <w:p w14:paraId="3FDB57D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大气污染走航监测系统针对当前环境突出问题，对走航车进行科学合理的改装及设备配置，配备可秒级出数的核心</w:t>
      </w:r>
      <w:r>
        <w:rPr>
          <w:rFonts w:hint="eastAsia" w:ascii="仿宋" w:eastAsia="仿宋" w:cs="仿宋"/>
          <w:color w:val="auto"/>
          <w:sz w:val="24"/>
          <w:highlight w:val="none"/>
          <w:lang w:val="en-US" w:eastAsia="zh-CN" w:bidi="th-TH"/>
        </w:rPr>
        <w:t>产品</w:t>
      </w:r>
      <w:r>
        <w:rPr>
          <w:rFonts w:hint="eastAsia" w:ascii="仿宋_GB2312" w:hAnsi="Times New Roman" w:eastAsia="仿宋_GB2312" w:cs="Helvetica"/>
          <w:color w:val="auto"/>
          <w:kern w:val="0"/>
          <w:sz w:val="24"/>
          <w:highlight w:val="none"/>
          <w:lang w:val="en-US" w:eastAsia="zh-CN"/>
        </w:rPr>
        <w:t>PTR-TOF质子转移反应飞行时间质谱仪，结合大气VOCs溯源走航监测平台及大气VOCs溯源走航监测服务，实现城市环境空气VOCs组分溯源走航监测、污染调查与臭氧成因分析、国控站/敏感点/污染源等点位周边环境大气VOCs溯源走航监测。</w:t>
      </w:r>
    </w:p>
    <w:p w14:paraId="4A130A7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系统具有全中文操作界面，人机交互友好。可集成气象监测仪，GPS，恶臭，微站，PTR，空气站，等监测数据。</w:t>
      </w:r>
    </w:p>
    <w:p w14:paraId="6213C02E">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12.1系统特点</w:t>
      </w:r>
    </w:p>
    <w:p w14:paraId="4B79BFD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12.1.1.响应速度快，可在1秒内快速甄别污染物，实时上传、实时分析，无需停车可直接边走边实时展示VOCs和每个VOC物种的全途时空分布图；</w:t>
      </w:r>
    </w:p>
    <w:p w14:paraId="5B3398C3">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12.1.2.2D/3D GIS结合的数据可视化形式让分析更加直观；</w:t>
      </w:r>
    </w:p>
    <w:p w14:paraId="62281C7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12.1.3.多组分同时在线实时监测，可快速对区域进行物种成分分析，掌握区域的VOCs排放物种特征；</w:t>
      </w:r>
    </w:p>
    <w:p w14:paraId="10FA61E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12.1.4.可提供数据转发服务，走航监测数据根据不同服务对象外接数据平台；</w:t>
      </w:r>
    </w:p>
    <w:p w14:paraId="4C299E28">
      <w:pPr>
        <w:tabs>
          <w:tab w:val="left" w:pos="0"/>
        </w:tabs>
        <w:spacing w:line="360" w:lineRule="auto"/>
        <w:ind w:firstLine="480" w:firstLineChars="200"/>
        <w:rPr>
          <w:rFonts w:hint="eastAsia" w:ascii="仿宋_GB2312" w:eastAsia="仿宋_GB2312" w:cs="Helvetica"/>
          <w:b/>
          <w:bCs/>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w:t>
      </w:r>
      <w:r>
        <w:rPr>
          <w:rFonts w:hint="eastAsia" w:ascii="仿宋_GB2312" w:eastAsia="仿宋_GB2312" w:cs="Helvetica"/>
          <w:b/>
          <w:bCs/>
          <w:color w:val="auto"/>
          <w:kern w:val="0"/>
          <w:sz w:val="24"/>
          <w:highlight w:val="none"/>
          <w:lang w:val="en-US" w:eastAsia="zh-CN"/>
        </w:rPr>
        <w:t>.2走航前路线规划</w:t>
      </w:r>
    </w:p>
    <w:p w14:paraId="01F27BBF">
      <w:pPr>
        <w:tabs>
          <w:tab w:val="left" w:pos="0"/>
        </w:tabs>
        <w:spacing w:line="360" w:lineRule="auto"/>
        <w:ind w:firstLine="480" w:firstLineChars="200"/>
        <w:rPr>
          <w:rFonts w:hint="eastAsia" w:ascii="仿宋_GB2312" w:eastAsia="仿宋_GB2312" w:cs="Helvetica"/>
          <w:b/>
          <w:bCs/>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可利用国控、省控站点监测数据以及污染物前后向轨迹分析数据，提供车辆大概的走航方向，并在走航系统内划定走航起始点、途经点和终点，进行走航路径规划，也可根据经验调整走航路线。</w:t>
      </w:r>
    </w:p>
    <w:p w14:paraId="19366868">
      <w:pPr>
        <w:tabs>
          <w:tab w:val="left" w:pos="0"/>
        </w:tabs>
        <w:spacing w:line="360" w:lineRule="auto"/>
        <w:ind w:firstLine="480" w:firstLineChars="200"/>
        <w:rPr>
          <w:rFonts w:hint="eastAsia" w:ascii="仿宋_GB2312" w:eastAsia="仿宋_GB2312" w:cs="Helvetica"/>
          <w:b/>
          <w:bCs/>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w:t>
      </w:r>
      <w:r>
        <w:rPr>
          <w:rFonts w:hint="eastAsia" w:ascii="仿宋_GB2312" w:eastAsia="仿宋_GB2312" w:cs="Helvetica"/>
          <w:b/>
          <w:bCs/>
          <w:color w:val="auto"/>
          <w:kern w:val="0"/>
          <w:sz w:val="24"/>
          <w:highlight w:val="none"/>
          <w:lang w:val="en-US" w:eastAsia="zh-CN"/>
        </w:rPr>
        <w:t>.3、实时/历史走航监测分析</w:t>
      </w:r>
    </w:p>
    <w:p w14:paraId="587F42E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12.3.1、走航路线图以3D-GIS可视化的形式实时展示浓度数据，可实现VOCs各组分和总量的“边走边测”的走航监测需求，快速直观展示区域VOCs及各类污染物空间分布情况，实时捕获污染高值，直观展示重点污染因子。</w:t>
      </w:r>
    </w:p>
    <w:p w14:paraId="46232F7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12.3.2、提供多种地图底图查看模式，满足不同场景，不同人群的查看数据需求，集成园区场景，对园区进行清晰的展示</w:t>
      </w:r>
    </w:p>
    <w:p w14:paraId="587B7CD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12.3.2.1  标准地图：提供走航监测数据路线的的概览，直观显示监测情况。</w:t>
      </w:r>
    </w:p>
    <w:p w14:paraId="32D56C8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12.3.3、‘堆叠柱状图’以3D展示数据模式，可提供同一时刻不同监测物质的数值大小，可直观同时对比监测物质的占比情况。</w:t>
      </w:r>
    </w:p>
    <w:p w14:paraId="4808CA1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12.3.4、‘矩阵插值图’根据走航区域国控站点的数据，利用邻近像素点的灰度值，呈现更高分辨率的图像，对污染高值点及周边污染情况提供高度识别，为确定城市高值点提供有效数据。</w:t>
      </w:r>
    </w:p>
    <w:p w14:paraId="552531F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12.3.5、异常点位溯源：走航实时显示监测到的异常点位，做到边走边测边溯源，找到污染源的高值区域分布情况。</w:t>
      </w:r>
    </w:p>
    <w:p w14:paraId="0E8CA0D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12.3.5.1 根据走航线路图结合当地实际情况，在走航前对异常点位监测进行专业化数据设置，保证走航中监测到的异常点位的有效性。</w:t>
      </w:r>
    </w:p>
    <w:p w14:paraId="5CF419BE">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12.3.5.2实时走航，发现异常点位随时在地图上提醒，并且利用相关企业收录表及排污许可证平台，罗列出周边所有相关企业，并且提供有排污许可证的相关企业，并查看企业相关信息，确定异常点位位置的坐标值，对疑似污染企业进行实地督察，为污染找到源头，提供有效依据，为执法提供可靠数据。</w:t>
      </w:r>
    </w:p>
    <w:p w14:paraId="569A8443">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12.3.5.3历史走航异常点位回顾，对历史数据发生的异常点位进行总揽，宏观的掌握本次路线的异常情况，且可对关注的异常点位进行详细的信息查看，包括发生异常的地点，时间，监测到的异常值，结合气象等信息，划定异常企业，进行重点排查，提供异常点位信息的一键复制，为共享信息提供便捷。</w:t>
      </w:r>
    </w:p>
    <w:p w14:paraId="6BF2C6A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12.3.6、以‘线浓度’图的表现形式，快速直观展示区域各类污染物空间分布情况，实时捕获污染高值，直观展示重点污染因子。</w:t>
      </w:r>
    </w:p>
    <w:p w14:paraId="5102F94A">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12.3.7、时刻、时段数据信息面板，对实时走航信息，边测边查看，进行数据的实时采集和统计，监测到的VOCs进行组分构成分析，VOCs臭氧生成潜势分析，VOCs二次有机气溶胶生成潜势分析，直观展示TOP20特征组分，可实时查看各组分的OU值，对恶臭的监测提供一定的数据支撑，同时能实时展现其他设备如大气标准站、气象仪数据，并统计各监测指标在该路段范围。并支持一组数据快速复制、粘贴，实现实时信息的快速共享分发。</w:t>
      </w:r>
    </w:p>
    <w:p w14:paraId="0FD1360A">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12.3.8、监测设备数据可同屏展示，实现PTR及</w:t>
      </w:r>
      <w:r>
        <w:rPr>
          <w:rFonts w:hint="eastAsia" w:ascii="仿宋_GB2312" w:eastAsia="仿宋_GB2312" w:cs="Helvetica"/>
          <w:color w:val="auto"/>
          <w:kern w:val="0"/>
          <w:sz w:val="24"/>
          <w:highlight w:val="none"/>
          <w:lang w:val="en-US" w:eastAsia="zh-CN"/>
        </w:rPr>
        <w:t>空气站</w:t>
      </w:r>
      <w:r>
        <w:rPr>
          <w:rFonts w:hint="eastAsia" w:ascii="仿宋_GB2312" w:hAnsi="Times New Roman" w:eastAsia="仿宋_GB2312" w:cs="Helvetica"/>
          <w:color w:val="auto"/>
          <w:kern w:val="0"/>
          <w:sz w:val="24"/>
          <w:highlight w:val="none"/>
          <w:lang w:val="en-US" w:eastAsia="zh-CN"/>
        </w:rPr>
        <w:t xml:space="preserve">数据同一时间，不同空间上的查看。 </w:t>
      </w:r>
    </w:p>
    <w:p w14:paraId="65B56674">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12.4历史走航数据回放</w:t>
      </w:r>
    </w:p>
    <w:p w14:paraId="79B6535E">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12.4.1. VOCs组分分析</w:t>
      </w:r>
    </w:p>
    <w:p w14:paraId="777FADE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对走航任务VOCs监测数据进行分析，展示VOCs浓度时间序列，总浓度分类占比图以及各组分实测数据和均值，抓住重点管控成份，对污染治理提供可行性建议。</w:t>
      </w:r>
    </w:p>
    <w:p w14:paraId="7F0F605E">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12.4.2.气象仪</w:t>
      </w:r>
    </w:p>
    <w:p w14:paraId="4447D3B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回顾车载气象数据，可以查看气象六参在任务时段内的监测数据的变化趋势，展示任务时段内，VOCs的污染风玫瑰图辅助污染数据追踪。</w:t>
      </w:r>
    </w:p>
    <w:p w14:paraId="115F85FD">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12.5污染特征指纹识别及来源分析</w:t>
      </w:r>
    </w:p>
    <w:p w14:paraId="1D48048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VOCs图谱溯源分析，平台对已完成的走航监测数据进行溯源分析，利用快速质谱开展对污染源源成分谱的采集，汇总不同污染来源、不同行业、不同工艺过程的VOCs特征指纹图谱，建立典型污染源源谱库，利用监测数据，根据特征指示物种、指纹识别或者受体模型开展对污染来源的识别，达到定点定源，快速实现管控响应。</w:t>
      </w:r>
    </w:p>
    <w:p w14:paraId="114B087A">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12.5.1、生成指纹谱库</w:t>
      </w:r>
    </w:p>
    <w:p w14:paraId="637C24D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选定走航任务时段，根据测量结果中的特征污染组分，生成特征指纹图谱。汇总各污染源特征指纹谱，建立不同污染来源、不同行业、工艺过程的VOCs特征指纹图谱库。</w:t>
      </w:r>
    </w:p>
    <w:p w14:paraId="662ADFDC">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12.5.2、指纹谱库识别</w:t>
      </w:r>
    </w:p>
    <w:p w14:paraId="492106FA">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对污染源源成分谱的采集，汇总不同污染来源、不同行业、不同工艺过程的VOCs特征指纹图谱，建立典型污染源源谱库，利用监测数据，根据特征指示物种、指纹识别或者受体模型开展对污染来源的识别。</w:t>
      </w:r>
    </w:p>
    <w:p w14:paraId="435662E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根据待测试图谱与已有指纹库的多次对比，分别采用空间向量法，皮尔逊相关系数，余弦夹角等三种计算方式，找到相似度最高的一组指纹图谱，根据相似度计算结果排名，分析VOCs可能的污染来源；根据污染来源分析结果，可进一步通过走航监测前往污染源进行验证监测。</w:t>
      </w:r>
    </w:p>
    <w:p w14:paraId="2D9A0F83">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针对当前或历史走航监测结果，将待测试指纹图谱与指纹库中已有的各个正式图谱分别进行比对，可以通过多图谱多图对比，多图谱单图对比，分别计算图谱的相似度并进行多图查看；</w:t>
      </w:r>
    </w:p>
    <w:p w14:paraId="23533807">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12.5.3、本地指纹谱库管理</w:t>
      </w:r>
    </w:p>
    <w:p w14:paraId="57EC7068">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建立本地指纹图谱库，对图谱进行信息化管理，实现查看、编辑分析本地图谱等功能。</w:t>
      </w:r>
    </w:p>
    <w:p w14:paraId="6F0B1D92">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12.5.4、走航实时比对</w:t>
      </w:r>
    </w:p>
    <w:p w14:paraId="73C16A92">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走航过程中，可开启企业信息框，如遇污染情况比较严重时，点击污染点位，可在地图上展示本地指纹谱库位置、名称和相似度信息。同时按相似度对本地指纹图谱进行展示，可查看相似度最高的指纹图谱，从而确定污染源。</w:t>
      </w:r>
    </w:p>
    <w:p w14:paraId="7E324DBC">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12.6臭氧敏感性分析</w:t>
      </w:r>
    </w:p>
    <w:p w14:paraId="2444CA75">
      <w:pPr>
        <w:tabs>
          <w:tab w:val="left" w:pos="0"/>
        </w:tabs>
        <w:spacing w:line="360" w:lineRule="auto"/>
        <w:ind w:firstLine="482" w:firstLineChars="200"/>
        <w:rPr>
          <w:rFonts w:hint="default"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12.6.1、臭氧等浓度曲线分析-</w:t>
      </w:r>
    </w:p>
    <w:p w14:paraId="0991C81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利用实测数据（NO2、VOCs、O3等）自动绘制臭氧等浓度曲线。</w:t>
      </w:r>
    </w:p>
    <w:p w14:paraId="743DF43B">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12.7臭氧生成潜势分析</w:t>
      </w:r>
    </w:p>
    <w:p w14:paraId="265AF89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分组分计算臭氧生成潜势，甄别臭氧控制的关键前驱物。</w:t>
      </w:r>
    </w:p>
    <w:p w14:paraId="11E53A4F">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12.8二次有机气溶胶生成潜势分析</w:t>
      </w:r>
    </w:p>
    <w:p w14:paraId="6BB3235F">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分组分计算二次有机气溶胶生成潜势，甄别二次有机气溶胶控制的关键前驱物。</w:t>
      </w:r>
    </w:p>
    <w:p w14:paraId="2CF6A8EC">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12.9气象研判分析</w:t>
      </w:r>
    </w:p>
    <w:p w14:paraId="66366C3A">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基于GIS叠加展示污染物浓度分布、温度、湿度、云量、粒子风效果。监测站点基于GIS地图实时显示，点击任意监测站点可对该站点的监测因子数值及统计图进行查看。同时走航过程中，还可以叠加区域“云量”数据、区域 “温度”，区域 “湿度”等空气质量状况、以及叠加区域“风场”区域信息对污染扩散情况进行综合分析。</w:t>
      </w:r>
    </w:p>
    <w:p w14:paraId="5AA15E1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以折线图结合列表形式展示气象仪在某次任务内的各项监测数据变化趋势，支持导出excel表格及图片；展示所选时段风玫瑰图；</w:t>
      </w:r>
    </w:p>
    <w:p w14:paraId="39327797">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12.10臭氧污染成因分析</w:t>
      </w:r>
    </w:p>
    <w:p w14:paraId="2381F63B">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12.10.1、驻点连续监测找到活性有机物</w:t>
      </w:r>
    </w:p>
    <w:p w14:paraId="5621AAC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通过在多个高值点位附近连续定点监测，对监测物质排序，列出与O3负相关的监测物质，最负相关的物质排在最前，并且筛选出变化量最高的前10种物质，计算出累积量，通过累积量和O3累积变化的对比，找出最接近O3累种变化量的物质，并且以特殊的颜色表示，以上操作后可找到需要被管控的活性有机物，帮助环境管理者诊断臭氧污染成因，用于判断VOCs优先控制方向。</w:t>
      </w:r>
    </w:p>
    <w:p w14:paraId="63074D73">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12.10.2、VOCs组分占比分析</w:t>
      </w:r>
    </w:p>
    <w:p w14:paraId="700D572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以饼图形式展示VOCs组分占比分析结果，以及每种组分TOP10物种。</w:t>
      </w:r>
    </w:p>
    <w:p w14:paraId="036F7005">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12.10.3、臭氧生成速率</w:t>
      </w:r>
    </w:p>
    <w:p w14:paraId="5AD5A7C4">
      <w:pPr>
        <w:tabs>
          <w:tab w:val="left" w:pos="0"/>
        </w:tabs>
        <w:spacing w:line="360" w:lineRule="auto"/>
        <w:ind w:firstLine="480" w:firstLineChars="200"/>
        <w:rPr>
          <w:rFonts w:hint="eastAsia" w:ascii="仿宋_GB2312" w:eastAsia="仿宋_GB2312" w:cs="Helvetica"/>
          <w:b/>
          <w:bCs/>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 xml:space="preserve">可对VOCs物种进行日变化趋势的分析，太阳辐射，臭氧为数据目标，计算不同太阳辐射强度下臭氧的生成速率图，结合太阳辐射强度变化和臭氧变化关系，研究变化的潜在规律，并可批量生成对比分析结果图，让数据分析报告编写更为便捷。 </w:t>
      </w:r>
      <w:r>
        <w:rPr>
          <w:rFonts w:hint="eastAsia" w:ascii="仿宋_GB2312" w:eastAsia="仿宋_GB2312" w:cs="Helvetica"/>
          <w:b/>
          <w:bCs/>
          <w:color w:val="auto"/>
          <w:kern w:val="0"/>
          <w:sz w:val="24"/>
          <w:highlight w:val="none"/>
          <w:lang w:val="en-US" w:eastAsia="zh-CN"/>
        </w:rPr>
        <w:t xml:space="preserve">               </w:t>
      </w:r>
    </w:p>
    <w:p w14:paraId="12DC0D1F">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12.11数据审核</w:t>
      </w:r>
    </w:p>
    <w:p w14:paraId="25F4C03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 xml:space="preserve"> 对走航后数据进行预处理，避免因外界因素如路况不好，车辆颠簸，电磁场信号干扰等影响下导致数据的差异，确保数据有效性，给走航数据报告提供便利。</w:t>
      </w:r>
    </w:p>
    <w:p w14:paraId="743ACBF3">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12.12辅助功能</w:t>
      </w:r>
    </w:p>
    <w:p w14:paraId="08F4C592">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12.12.1、开始任务前检查</w:t>
      </w:r>
    </w:p>
    <w:p w14:paraId="3F9AFF4A">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在走航任务开始前，需要做整体的检查工作：1. 备联网状态进行检查，保证设备正常运行，正常传输数据；通过勾选决定参与本次走航监测任务的设备类型，明确走航目的；2. 对异常点位监测设置阈值，确保走航监测中能准确的捕获到异常点，从而找到污染源，帮助环境管理者诊断污染成因；3.  GPS设备选择，提供多经纬度选择，绘制走航轨迹，适应不同监测需求。</w:t>
      </w:r>
    </w:p>
    <w:p w14:paraId="70FD3CFC">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12.12.2、地图工具</w:t>
      </w:r>
    </w:p>
    <w:p w14:paraId="65F1F838">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检查功能：对设备的在线情况进行检测；</w:t>
      </w:r>
    </w:p>
    <w:p w14:paraId="7AF1CBA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标记功能：可对地图轨迹上的污染因子浓度进行标记，显示轨迹具体数值；</w:t>
      </w:r>
    </w:p>
    <w:p w14:paraId="32224E8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 xml:space="preserve"> 测距功能：点击测量两点间的距离；</w:t>
      </w:r>
    </w:p>
    <w:p w14:paraId="70D80CD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 xml:space="preserve"> 手动功能：点击此按钮可在实时走航的同时回看具体某一地点的监测详情，不受地图自动跟踪缩放的影响；</w:t>
      </w:r>
    </w:p>
    <w:p w14:paraId="313BC0E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 xml:space="preserve"> 小地图功能：为多个监测物质展示走航轨迹；</w:t>
      </w:r>
    </w:p>
    <w:p w14:paraId="2C1C286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全屏功能：扩大可视范围，对所有轨迹进行全揽；</w:t>
      </w:r>
    </w:p>
    <w:p w14:paraId="09A4A1BD">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国控点选择：地图上集成国控站点，根据走航需求，围绕国控点进行监测，确定城市臭氧高值点。</w:t>
      </w:r>
    </w:p>
    <w:p w14:paraId="1711E1A3">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12.12.3、图例设置</w:t>
      </w:r>
    </w:p>
    <w:p w14:paraId="5261D8C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可对监测因子显示的上下限进行调整，并可通过此处切换地图中显示的监测因子。</w:t>
      </w:r>
    </w:p>
    <w:p w14:paraId="667E7BF5">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12.12.4、自定义地图窗口</w:t>
      </w:r>
    </w:p>
    <w:p w14:paraId="06B29903">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可根据走航需要，为各监测因子定制多个地图窗口以进行实时或历史的走航轨迹显示，为用户提供时间、空间、因子等不同维度的对比分析，最多支持6个地图窗口的显示。</w:t>
      </w:r>
    </w:p>
    <w:p w14:paraId="7C458F1F">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12.12.5、数据查询导出</w:t>
      </w:r>
    </w:p>
    <w:p w14:paraId="0B36493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可通过选择走航任务、监测时段，将设备监测数据导出excel表到本地。</w:t>
      </w:r>
    </w:p>
    <w:p w14:paraId="2349922B">
      <w:pPr>
        <w:tabs>
          <w:tab w:val="left" w:pos="0"/>
        </w:tabs>
        <w:spacing w:line="360" w:lineRule="auto"/>
        <w:ind w:firstLine="482" w:firstLineChars="200"/>
        <w:rPr>
          <w:rFonts w:hint="eastAsia" w:ascii="仿宋_GB2312" w:hAnsi="仿宋" w:eastAsia="仿宋_GB2312" w:cs="Helvetica"/>
          <w:b/>
          <w:bCs/>
          <w:color w:val="auto"/>
          <w:kern w:val="0"/>
          <w:sz w:val="24"/>
          <w:highlight w:val="none"/>
          <w:lang w:val="zh-CN" w:eastAsia="zh-CN"/>
        </w:rPr>
      </w:pPr>
      <w:r>
        <w:rPr>
          <w:rFonts w:hint="eastAsia" w:ascii="仿宋_GB2312" w:hAnsi="仿宋" w:eastAsia="仿宋_GB2312" w:cs="Helvetica"/>
          <w:b/>
          <w:bCs/>
          <w:color w:val="auto"/>
          <w:kern w:val="0"/>
          <w:sz w:val="24"/>
          <w:highlight w:val="none"/>
          <w:lang w:val="en-US" w:eastAsia="zh-CN"/>
        </w:rPr>
        <w:t>13</w:t>
      </w:r>
      <w:r>
        <w:rPr>
          <w:rFonts w:hint="eastAsia" w:ascii="仿宋_GB2312" w:hAnsi="仿宋" w:eastAsia="仿宋_GB2312" w:cs="Helvetica"/>
          <w:b/>
          <w:bCs/>
          <w:color w:val="auto"/>
          <w:kern w:val="0"/>
          <w:sz w:val="24"/>
          <w:highlight w:val="none"/>
          <w:lang w:val="zh-CN" w:eastAsia="zh-CN"/>
        </w:rPr>
        <w:t>. 走航及数据分析服务</w:t>
      </w:r>
    </w:p>
    <w:p w14:paraId="097B5B3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项目</w:t>
      </w:r>
      <w:r>
        <w:rPr>
          <w:rFonts w:hint="eastAsia" w:ascii="仿宋_GB2312" w:eastAsia="仿宋_GB2312" w:cs="Helvetica"/>
          <w:color w:val="auto"/>
          <w:kern w:val="0"/>
          <w:sz w:val="24"/>
          <w:highlight w:val="none"/>
          <w:lang w:val="en-US" w:eastAsia="zh-CN"/>
        </w:rPr>
        <w:t>初次</w:t>
      </w:r>
      <w:r>
        <w:rPr>
          <w:rFonts w:hint="eastAsia" w:ascii="仿宋_GB2312" w:hAnsi="Times New Roman" w:eastAsia="仿宋_GB2312" w:cs="Helvetica"/>
          <w:color w:val="auto"/>
          <w:kern w:val="0"/>
          <w:sz w:val="24"/>
          <w:highlight w:val="none"/>
          <w:lang w:val="en-US" w:eastAsia="zh-CN"/>
        </w:rPr>
        <w:t>验收合格后中标方提供1年的走航服务，每年天数不少于120天，具体走航时间由采购人指定。</w:t>
      </w:r>
    </w:p>
    <w:p w14:paraId="0ABA91F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eastAsia="仿宋_GB2312" w:cs="Helvetica"/>
          <w:b w:val="0"/>
          <w:bCs w:val="0"/>
          <w:color w:val="auto"/>
          <w:kern w:val="0"/>
          <w:sz w:val="24"/>
          <w:highlight w:val="none"/>
        </w:rPr>
        <w:t>★</w:t>
      </w:r>
      <w:r>
        <w:rPr>
          <w:rFonts w:hint="eastAsia" w:ascii="仿宋_GB2312" w:hAnsi="Times New Roman" w:eastAsia="仿宋_GB2312" w:cs="Helvetica"/>
          <w:color w:val="auto"/>
          <w:kern w:val="0"/>
          <w:sz w:val="24"/>
          <w:highlight w:val="none"/>
          <w:lang w:val="en-US" w:eastAsia="zh-CN"/>
        </w:rPr>
        <w:t>走航服务要求配备2名技术工程师</w:t>
      </w:r>
      <w:r>
        <w:rPr>
          <w:rFonts w:hint="eastAsia" w:ascii="仿宋_GB2312" w:eastAsia="仿宋_GB2312" w:cs="Helvetica"/>
          <w:color w:val="auto"/>
          <w:kern w:val="0"/>
          <w:sz w:val="24"/>
          <w:highlight w:val="none"/>
          <w:lang w:val="en-US" w:eastAsia="zh-CN"/>
        </w:rPr>
        <w:t>（须提供相应工程师证书）</w:t>
      </w:r>
      <w:r>
        <w:rPr>
          <w:rFonts w:hint="eastAsia" w:ascii="仿宋_GB2312" w:hAnsi="Times New Roman" w:eastAsia="仿宋_GB2312" w:cs="Helvetica"/>
          <w:color w:val="auto"/>
          <w:kern w:val="0"/>
          <w:sz w:val="24"/>
          <w:highlight w:val="none"/>
          <w:lang w:val="en-US" w:eastAsia="zh-CN"/>
        </w:rPr>
        <w:t>驻点（</w:t>
      </w:r>
      <w:r>
        <w:rPr>
          <w:rFonts w:hint="eastAsia" w:ascii="仿宋" w:eastAsia="仿宋" w:cs="仿宋"/>
          <w:color w:val="auto"/>
          <w:sz w:val="24"/>
          <w:highlight w:val="none"/>
          <w:lang w:val="en-US" w:eastAsia="zh-CN"/>
        </w:rPr>
        <w:t>须</w:t>
      </w:r>
      <w:r>
        <w:rPr>
          <w:rFonts w:hint="eastAsia" w:ascii="仿宋" w:eastAsia="仿宋" w:cs="仿宋"/>
          <w:color w:val="auto"/>
          <w:sz w:val="24"/>
          <w:highlight w:val="none"/>
        </w:rPr>
        <w:t>具备2年及以上VOCs走航</w:t>
      </w:r>
      <w:r>
        <w:rPr>
          <w:rFonts w:hint="eastAsia" w:ascii="仿宋" w:eastAsia="仿宋" w:cs="仿宋"/>
          <w:color w:val="auto"/>
          <w:sz w:val="24"/>
          <w:highlight w:val="none"/>
          <w:lang w:val="en-US" w:eastAsia="zh-CN"/>
        </w:rPr>
        <w:t>服务</w:t>
      </w:r>
      <w:r>
        <w:rPr>
          <w:rFonts w:hint="eastAsia" w:ascii="仿宋" w:eastAsia="仿宋" w:cs="仿宋"/>
          <w:color w:val="auto"/>
          <w:sz w:val="24"/>
          <w:highlight w:val="none"/>
        </w:rPr>
        <w:t>工作经验</w:t>
      </w:r>
      <w:r>
        <w:rPr>
          <w:rFonts w:hint="eastAsia" w:ascii="仿宋" w:eastAsia="仿宋" w:cs="仿宋"/>
          <w:color w:val="auto"/>
          <w:sz w:val="24"/>
          <w:highlight w:val="none"/>
          <w:lang w:eastAsia="zh-CN"/>
        </w:rPr>
        <w:t>，</w:t>
      </w:r>
      <w:r>
        <w:rPr>
          <w:rFonts w:hint="eastAsia" w:ascii="仿宋_GB2312" w:hAnsi="Times New Roman" w:eastAsia="仿宋_GB2312" w:cs="Helvetica"/>
          <w:color w:val="auto"/>
          <w:kern w:val="0"/>
          <w:sz w:val="24"/>
          <w:highlight w:val="none"/>
          <w:lang w:val="en-US" w:eastAsia="zh-CN"/>
        </w:rPr>
        <w:t>负责设备的运行维护工作，其中一名兼职司机，需具有B1以上驾照，采购人指定地点），服务时间为1年，工作内容包括但不限于配合采购人完成日常走航巡查监管、专项环保督察、重大活动保障、环境突发应急等日常工作，并按要求提供设备运维服务和售后服务。</w:t>
      </w:r>
    </w:p>
    <w:p w14:paraId="027267AA">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13.1走航</w:t>
      </w:r>
      <w:r>
        <w:rPr>
          <w:rFonts w:hint="default" w:ascii="仿宋_GB2312" w:eastAsia="仿宋_GB2312" w:cs="Helvetica"/>
          <w:b/>
          <w:bCs/>
          <w:color w:val="auto"/>
          <w:kern w:val="0"/>
          <w:sz w:val="24"/>
          <w:highlight w:val="none"/>
          <w:lang w:eastAsia="zh-CN"/>
        </w:rPr>
        <w:t>服务</w:t>
      </w:r>
      <w:r>
        <w:rPr>
          <w:rFonts w:hint="eastAsia" w:ascii="仿宋_GB2312" w:eastAsia="仿宋_GB2312" w:cs="Helvetica"/>
          <w:b/>
          <w:bCs/>
          <w:color w:val="auto"/>
          <w:kern w:val="0"/>
          <w:sz w:val="24"/>
          <w:highlight w:val="none"/>
          <w:lang w:val="en-US" w:eastAsia="zh-CN"/>
        </w:rPr>
        <w:t>要求</w:t>
      </w:r>
    </w:p>
    <w:p w14:paraId="51AAA32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走航服务期内，每天走航结束后原则上1个工作日内提供分析报告，特殊情况按照采购方指定时限提供。技术工程师应综合</w:t>
      </w:r>
      <w:r>
        <w:rPr>
          <w:rFonts w:hint="eastAsia" w:ascii="仿宋_GB2312" w:eastAsia="仿宋_GB2312" w:cs="Helvetica"/>
          <w:color w:val="auto"/>
          <w:kern w:val="0"/>
          <w:sz w:val="24"/>
          <w:highlight w:val="none"/>
          <w:lang w:val="en-US" w:eastAsia="zh-CN"/>
        </w:rPr>
        <w:t>空气站</w:t>
      </w:r>
      <w:r>
        <w:rPr>
          <w:rFonts w:hint="eastAsia" w:ascii="仿宋_GB2312" w:hAnsi="Times New Roman" w:eastAsia="仿宋_GB2312" w:cs="Helvetica"/>
          <w:color w:val="auto"/>
          <w:kern w:val="0"/>
          <w:sz w:val="24"/>
          <w:highlight w:val="none"/>
          <w:lang w:val="en-US" w:eastAsia="zh-CN"/>
        </w:rPr>
        <w:t>、VOCs走航及车载气象等监测数据，提供当天走航监测分析报告。内容包含但不限于走航监测概况、污染物溯源分析、结论及管控建议等。</w:t>
      </w:r>
    </w:p>
    <w:p w14:paraId="4C50CD4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重污染天气及重大活动保障：如遇重污染天气及重大活动时，要求额外配备工作人员</w:t>
      </w:r>
      <w:r>
        <w:rPr>
          <w:rFonts w:hint="eastAsia" w:ascii="仿宋_GB2312" w:eastAsia="仿宋_GB2312" w:cs="Helvetica"/>
          <w:color w:val="auto"/>
          <w:kern w:val="0"/>
          <w:sz w:val="24"/>
          <w:highlight w:val="none"/>
          <w:lang w:val="en-US" w:eastAsia="zh-CN"/>
        </w:rPr>
        <w:t>至少3人</w:t>
      </w:r>
      <w:r>
        <w:rPr>
          <w:rFonts w:hint="eastAsia" w:ascii="仿宋_GB2312" w:hAnsi="Times New Roman" w:eastAsia="仿宋_GB2312" w:cs="Helvetica"/>
          <w:color w:val="auto"/>
          <w:kern w:val="0"/>
          <w:sz w:val="24"/>
          <w:highlight w:val="none"/>
          <w:lang w:val="en-US" w:eastAsia="zh-CN"/>
        </w:rPr>
        <w:t>，工作人员须具有重大活动或重污染天气走航服务数据分析工作经验。污染事件发生后，对环境监测数据及气象数据进行深入挖掘，快速锁定重点污染来源区域，锁定污染来源企业。</w:t>
      </w:r>
    </w:p>
    <w:p w14:paraId="6BA9D9C6">
      <w:pPr>
        <w:spacing w:line="360" w:lineRule="auto"/>
        <w:ind w:firstLine="482" w:firstLineChars="200"/>
        <w:rPr>
          <w:rFonts w:hint="default" w:ascii="仿宋_GB2312" w:eastAsia="仿宋_GB2312" w:cs="Helvetica"/>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13.2数据分析要求</w:t>
      </w:r>
    </w:p>
    <w:p w14:paraId="42CF9FE0">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（1）场景应用</w:t>
      </w:r>
    </w:p>
    <w:p w14:paraId="6182C73D">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a.走航监测分析一图指挥：</w:t>
      </w:r>
    </w:p>
    <w:p w14:paraId="5611F0D8">
      <w:pPr>
        <w:adjustRightInd/>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除满足数据实时归集外，实现走航监测数据和分析数据上图；并配合每日管控调度、中轻度污染期应急管控调度、重点区域环境巡查调度等指挥调度场景</w:t>
      </w:r>
      <w:r>
        <w:rPr>
          <w:rFonts w:ascii="仿宋_GB2312" w:eastAsia="仿宋_GB2312" w:cs="Helvetica"/>
          <w:color w:val="auto"/>
          <w:kern w:val="0"/>
          <w:sz w:val="24"/>
          <w:highlight w:val="none"/>
        </w:rPr>
        <w:t>的开发</w:t>
      </w:r>
      <w:r>
        <w:rPr>
          <w:rFonts w:hint="eastAsia" w:ascii="仿宋_GB2312" w:eastAsia="仿宋_GB2312" w:cs="Helvetica"/>
          <w:color w:val="auto"/>
          <w:kern w:val="0"/>
          <w:sz w:val="24"/>
          <w:highlight w:val="none"/>
        </w:rPr>
        <w:t>，实时反馈巡查路线和监测结果，自主判断巡查高值，绘制巡查浓度图。</w:t>
      </w:r>
    </w:p>
    <w:p w14:paraId="7F36040B">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b.</w:t>
      </w:r>
      <w:r>
        <w:rPr>
          <w:rFonts w:ascii="仿宋_GB2312" w:eastAsia="仿宋_GB2312" w:cs="Helvetica"/>
          <w:color w:val="auto"/>
          <w:kern w:val="0"/>
          <w:sz w:val="24"/>
          <w:highlight w:val="none"/>
        </w:rPr>
        <w:t xml:space="preserve"> 辅助</w:t>
      </w:r>
      <w:r>
        <w:rPr>
          <w:rFonts w:hint="eastAsia" w:ascii="仿宋_GB2312" w:eastAsia="仿宋_GB2312" w:cs="Helvetica"/>
          <w:color w:val="auto"/>
          <w:kern w:val="0"/>
          <w:sz w:val="24"/>
          <w:highlight w:val="none"/>
        </w:rPr>
        <w:t>溯源分析</w:t>
      </w:r>
    </w:p>
    <w:p w14:paraId="5079689B">
      <w:pPr>
        <w:adjustRightInd/>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结合污染源排放特征数据，污染源、空气站点实时监测数据，历史数据，利用走航实时数据，利用大气扩散模型等进行辅助溯源分析。</w:t>
      </w:r>
    </w:p>
    <w:p w14:paraId="7F54ECBD">
      <w:pPr>
        <w:adjustRightInd/>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c. 辅助复盘分析</w:t>
      </w:r>
    </w:p>
    <w:p w14:paraId="748F666C">
      <w:pPr>
        <w:adjustRightInd/>
        <w:spacing w:line="360" w:lineRule="auto"/>
        <w:ind w:firstLine="480" w:firstLineChars="200"/>
        <w:rPr>
          <w:rFonts w:hint="default" w:ascii="仿宋_GB2312" w:eastAsia="仿宋_GB2312" w:cs="Helvetica"/>
          <w:color w:val="auto"/>
          <w:kern w:val="0"/>
          <w:sz w:val="24"/>
          <w:highlight w:val="none"/>
          <w:lang w:val="en-US" w:eastAsia="zh-CN"/>
        </w:rPr>
      </w:pPr>
      <w:r>
        <w:rPr>
          <w:rFonts w:hint="eastAsia" w:ascii="仿宋_GB2312" w:eastAsia="仿宋_GB2312" w:cs="Helvetica"/>
          <w:color w:val="auto"/>
          <w:kern w:val="0"/>
          <w:sz w:val="24"/>
          <w:highlight w:val="none"/>
        </w:rPr>
        <w:t>对污染治理的重点区域、敏感区域开展走航监测，辅助开展治理措施效果评估、治理效果复盘、分析VOCs成分贡献比例，支撑污染精准溯源。</w:t>
      </w:r>
    </w:p>
    <w:p w14:paraId="5A8DE476">
      <w:pPr>
        <w:tabs>
          <w:tab w:val="left" w:pos="0"/>
        </w:tabs>
        <w:spacing w:line="360" w:lineRule="auto"/>
        <w:ind w:firstLine="482" w:firstLineChars="200"/>
        <w:rPr>
          <w:rFonts w:hint="eastAsia" w:ascii="仿宋_GB2312" w:hAnsi="仿宋" w:eastAsia="仿宋_GB2312" w:cs="Helvetica"/>
          <w:b/>
          <w:bCs/>
          <w:color w:val="auto"/>
          <w:kern w:val="0"/>
          <w:sz w:val="24"/>
          <w:highlight w:val="none"/>
          <w:lang w:val="en-US" w:eastAsia="zh-CN"/>
        </w:rPr>
      </w:pPr>
      <w:r>
        <w:rPr>
          <w:rFonts w:hint="eastAsia" w:ascii="仿宋_GB2312" w:hAnsi="仿宋" w:eastAsia="仿宋_GB2312" w:cs="Helvetica"/>
          <w:b/>
          <w:bCs/>
          <w:color w:val="auto"/>
          <w:kern w:val="0"/>
          <w:sz w:val="24"/>
          <w:highlight w:val="none"/>
          <w:lang w:val="en-US" w:eastAsia="zh-CN"/>
        </w:rPr>
        <w:t>14</w:t>
      </w:r>
      <w:r>
        <w:rPr>
          <w:rFonts w:hint="eastAsia" w:ascii="仿宋_GB2312" w:hAnsi="仿宋" w:eastAsia="仿宋_GB2312" w:cs="Helvetica"/>
          <w:b/>
          <w:bCs/>
          <w:color w:val="auto"/>
          <w:kern w:val="0"/>
          <w:sz w:val="24"/>
          <w:highlight w:val="none"/>
          <w:lang w:val="zh-CN" w:eastAsia="zh-CN"/>
        </w:rPr>
        <w:t>.设备运维服务</w:t>
      </w:r>
      <w:r>
        <w:rPr>
          <w:rFonts w:hint="eastAsia" w:ascii="仿宋_GB2312" w:hAnsi="仿宋" w:eastAsia="仿宋_GB2312" w:cs="Helvetica"/>
          <w:b/>
          <w:bCs/>
          <w:color w:val="auto"/>
          <w:kern w:val="0"/>
          <w:sz w:val="24"/>
          <w:highlight w:val="none"/>
          <w:lang w:val="en-US" w:eastAsia="zh-CN"/>
        </w:rPr>
        <w:t>要求</w:t>
      </w:r>
    </w:p>
    <w:p w14:paraId="0C66AFBF">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项目</w:t>
      </w:r>
      <w:r>
        <w:rPr>
          <w:rFonts w:hint="eastAsia" w:ascii="仿宋_GB2312" w:eastAsia="仿宋_GB2312" w:cs="Helvetica"/>
          <w:color w:val="auto"/>
          <w:kern w:val="0"/>
          <w:sz w:val="24"/>
          <w:highlight w:val="none"/>
          <w:lang w:val="en-US" w:eastAsia="zh-CN"/>
        </w:rPr>
        <w:t>初次</w:t>
      </w:r>
      <w:r>
        <w:rPr>
          <w:rFonts w:hint="eastAsia" w:ascii="仿宋_GB2312" w:hAnsi="Times New Roman" w:eastAsia="仿宋_GB2312" w:cs="Helvetica"/>
          <w:color w:val="auto"/>
          <w:kern w:val="0"/>
          <w:sz w:val="24"/>
          <w:highlight w:val="none"/>
          <w:lang w:val="en-US" w:eastAsia="zh-CN"/>
        </w:rPr>
        <w:t>验收合格后中标方提供2年的设备运维服务，服务期内做好全部设备的运维和质控工作，运维期内所有设备耗材、备品备件、标准物质、设备维修费用等均由中标人承担。</w:t>
      </w:r>
    </w:p>
    <w:p w14:paraId="2C94799A">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14.1 VOCs飞行时间质谱仪运维要求</w:t>
      </w:r>
    </w:p>
    <w:p w14:paraId="1122C97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要求走航观测期间每天进行1次仪器性能状态、信号值检查、质量轴校正，仪器浓度校准，至少每周进行1次仪器运行工况检查、仪器重新校准和标准曲线更新，每季度进行1次进样管路清洗、过滤器清洗，过滤膜更换，每半年进行1次系统重要单元维护；按需进行仪器故障维修、突发事故应急。</w:t>
      </w:r>
    </w:p>
    <w:p w14:paraId="20A634C6">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_GB2312" w:eastAsia="仿宋_GB2312" w:cs="Helvetica"/>
          <w:b/>
          <w:bCs/>
          <w:color w:val="auto"/>
          <w:kern w:val="0"/>
          <w:sz w:val="24"/>
          <w:highlight w:val="none"/>
          <w:lang w:val="en-US" w:eastAsia="zh-CN"/>
        </w:rPr>
        <w:t>14.2其他设备运维要求</w:t>
      </w:r>
    </w:p>
    <w:p w14:paraId="14AB2DE5">
      <w:pPr>
        <w:tabs>
          <w:tab w:val="left" w:pos="0"/>
        </w:tabs>
        <w:spacing w:line="360" w:lineRule="auto"/>
        <w:ind w:firstLine="480" w:firstLineChars="200"/>
        <w:rPr>
          <w:rFonts w:hint="eastAsia" w:ascii="仿宋_GB2312" w:eastAsia="仿宋_GB2312" w:cs="Helvetica"/>
          <w:b w:val="0"/>
          <w:bCs w:val="0"/>
          <w:color w:val="auto"/>
          <w:kern w:val="0"/>
          <w:sz w:val="24"/>
          <w:highlight w:val="none"/>
          <w:lang w:val="en-US" w:eastAsia="zh-CN"/>
        </w:rPr>
      </w:pPr>
      <w:r>
        <w:rPr>
          <w:rFonts w:hint="eastAsia" w:ascii="仿宋_GB2312" w:eastAsia="仿宋_GB2312" w:cs="Helvetica"/>
          <w:b w:val="0"/>
          <w:bCs w:val="0"/>
          <w:color w:val="auto"/>
          <w:kern w:val="0"/>
          <w:sz w:val="24"/>
          <w:highlight w:val="none"/>
          <w:lang w:val="en-US" w:eastAsia="zh-CN"/>
        </w:rPr>
        <w:t>按规定执行</w:t>
      </w:r>
    </w:p>
    <w:p w14:paraId="0C78BBC9">
      <w:pPr>
        <w:widowControl/>
        <w:snapToGrid w:val="0"/>
        <w:spacing w:line="480" w:lineRule="exact"/>
        <w:ind w:firstLine="482" w:firstLineChars="200"/>
        <w:rPr>
          <w:rFonts w:hint="eastAsia" w:ascii="仿宋" w:hAnsi="仿宋" w:eastAsia="仿宋" w:cs="仿宋"/>
          <w:color w:val="auto"/>
          <w:sz w:val="24"/>
          <w:highlight w:val="none"/>
        </w:rPr>
      </w:pPr>
      <w:r>
        <w:rPr>
          <w:rFonts w:hint="eastAsia" w:ascii="仿宋_GB2312" w:eastAsia="仿宋_GB2312" w:cs="Helvetica"/>
          <w:b/>
          <w:bCs/>
          <w:color w:val="auto"/>
          <w:kern w:val="0"/>
          <w:sz w:val="24"/>
          <w:highlight w:val="none"/>
          <w:lang w:val="en-US" w:eastAsia="zh-CN"/>
        </w:rPr>
        <w:t>14.2.1运维服务要求：</w:t>
      </w:r>
    </w:p>
    <w:p w14:paraId="553574F8">
      <w:pPr>
        <w:widowControl/>
        <w:snapToGrid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14.2.1.1</w:t>
      </w:r>
      <w:r>
        <w:rPr>
          <w:rFonts w:hint="eastAsia" w:ascii="仿宋" w:hAnsi="仿宋" w:eastAsia="仿宋" w:cs="仿宋"/>
          <w:color w:val="auto"/>
          <w:sz w:val="24"/>
          <w:highlight w:val="none"/>
        </w:rPr>
        <w:t>运维方必须聘用足够的运行维护专业技术人员，专业技术人员队伍应保持相对稳定。运维方应至少为本项目配置2名专业技术人员。</w:t>
      </w:r>
    </w:p>
    <w:p w14:paraId="13272262">
      <w:pPr>
        <w:widowControl/>
        <w:snapToGrid w:val="0"/>
        <w:spacing w:line="48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14.2.1.2</w:t>
      </w:r>
      <w:r>
        <w:rPr>
          <w:rFonts w:hint="eastAsia" w:ascii="仿宋" w:hAnsi="仿宋" w:eastAsia="仿宋" w:cs="仿宋"/>
          <w:color w:val="auto"/>
          <w:sz w:val="24"/>
          <w:highlight w:val="none"/>
        </w:rPr>
        <w:t>投标产品</w:t>
      </w:r>
      <w:r>
        <w:rPr>
          <w:rFonts w:hint="eastAsia" w:ascii="仿宋" w:hAnsi="仿宋" w:eastAsia="仿宋" w:cs="仿宋"/>
          <w:color w:val="auto"/>
          <w:sz w:val="24"/>
          <w:highlight w:val="none"/>
          <w:lang w:val="en-US" w:eastAsia="zh-CN"/>
        </w:rPr>
        <w:t>中分析仪器（二、项目清单中序号1-12）</w:t>
      </w:r>
      <w:r>
        <w:rPr>
          <w:rFonts w:hint="eastAsia" w:ascii="仿宋" w:hAnsi="仿宋" w:eastAsia="仿宋" w:cs="仿宋"/>
          <w:color w:val="auto"/>
          <w:sz w:val="24"/>
          <w:highlight w:val="none"/>
        </w:rPr>
        <w:t>必须</w:t>
      </w:r>
      <w:r>
        <w:rPr>
          <w:rFonts w:hint="eastAsia" w:ascii="仿宋" w:hAnsi="仿宋" w:eastAsia="仿宋" w:cs="仿宋"/>
          <w:color w:val="auto"/>
          <w:sz w:val="24"/>
          <w:highlight w:val="none"/>
          <w:lang w:val="en-US" w:eastAsia="zh-CN"/>
        </w:rPr>
        <w:t>带有原厂商提供的</w:t>
      </w:r>
      <w:r>
        <w:rPr>
          <w:rFonts w:hint="eastAsia" w:ascii="仿宋" w:hAnsi="仿宋" w:eastAsia="仿宋" w:cs="仿宋"/>
          <w:color w:val="auto"/>
          <w:sz w:val="24"/>
          <w:highlight w:val="none"/>
        </w:rPr>
        <w:t>一年运行所需耗材及备件（投标时提供详细的清单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加盖投标人公章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p>
    <w:p w14:paraId="7AC7B790">
      <w:pPr>
        <w:widowControl/>
        <w:snapToGrid w:val="0"/>
        <w:spacing w:line="48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14.2.1.3</w:t>
      </w:r>
      <w:r>
        <w:rPr>
          <w:rFonts w:hint="eastAsia" w:ascii="仿宋" w:hAnsi="仿宋" w:eastAsia="仿宋" w:cs="仿宋"/>
          <w:color w:val="auto"/>
          <w:sz w:val="24"/>
          <w:highlight w:val="none"/>
        </w:rPr>
        <w:t>在运维及管理期间，在合同约束范围内运维方拥有管理自主权；不能以任何形式外包合同规定的运行维护任务</w:t>
      </w:r>
      <w:r>
        <w:rPr>
          <w:rFonts w:hint="eastAsia" w:ascii="仿宋" w:hAnsi="仿宋" w:eastAsia="仿宋" w:cs="仿宋"/>
          <w:color w:val="auto"/>
          <w:sz w:val="24"/>
          <w:highlight w:val="none"/>
          <w:lang w:eastAsia="zh-CN"/>
        </w:rPr>
        <w:t>。</w:t>
      </w:r>
    </w:p>
    <w:p w14:paraId="79A88C1B">
      <w:pPr>
        <w:widowControl/>
        <w:snapToGrid w:val="0"/>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14.2.1.4 </w:t>
      </w:r>
      <w:r>
        <w:rPr>
          <w:rFonts w:hint="eastAsia" w:ascii="仿宋" w:hAnsi="仿宋" w:eastAsia="仿宋" w:cs="仿宋"/>
          <w:color w:val="auto"/>
          <w:sz w:val="24"/>
          <w:highlight w:val="none"/>
        </w:rPr>
        <w:t>运维方应承担监测数据的保密责任；运维方应按照业主的要求，报告和传输监测数据，不得以任何方式和渠道向外界传递任何监测数据。</w:t>
      </w:r>
    </w:p>
    <w:p w14:paraId="3D7F45BF">
      <w:pPr>
        <w:widowControl/>
        <w:snapToGrid w:val="0"/>
        <w:spacing w:line="48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14.2.1.5</w:t>
      </w:r>
      <w:r>
        <w:rPr>
          <w:rFonts w:hint="eastAsia" w:ascii="仿宋" w:hAnsi="仿宋" w:eastAsia="仿宋" w:cs="仿宋"/>
          <w:color w:val="auto"/>
          <w:sz w:val="24"/>
          <w:highlight w:val="none"/>
        </w:rPr>
        <w:t>委托运营维护及管理的全部资产（包括全部产权和建筑物、设备、软件、配套设施、自动站和配套监控系统产生的各类数据信息及相关文档资料）属业主方所有。未经业主方同意，运维方不得以任何方式对各类财产进行出售、抵押或转移；在委托运营及管理期间，运维方有责任保证上述全部资产的完整、安全并处于良好状态。</w:t>
      </w:r>
    </w:p>
    <w:p w14:paraId="0576755C">
      <w:pPr>
        <w:tabs>
          <w:tab w:val="left" w:pos="0"/>
        </w:tabs>
        <w:spacing w:line="360" w:lineRule="auto"/>
        <w:ind w:firstLine="482" w:firstLineChars="200"/>
        <w:rPr>
          <w:rFonts w:hint="eastAsia" w:ascii="仿宋_GB2312" w:eastAsia="仿宋_GB2312" w:cs="Helvetica"/>
          <w:b/>
          <w:bCs/>
          <w:color w:val="auto"/>
          <w:kern w:val="0"/>
          <w:sz w:val="24"/>
          <w:highlight w:val="none"/>
          <w:lang w:val="zh-CN"/>
        </w:rPr>
      </w:pPr>
      <w:r>
        <w:rPr>
          <w:rFonts w:hint="eastAsia" w:ascii="仿宋_GB2312" w:eastAsia="仿宋_GB2312" w:cs="Helvetica"/>
          <w:b/>
          <w:bCs/>
          <w:color w:val="auto"/>
          <w:kern w:val="0"/>
          <w:sz w:val="24"/>
          <w:highlight w:val="none"/>
          <w:lang w:val="en-US" w:eastAsia="zh-CN"/>
        </w:rPr>
        <w:t>15.</w:t>
      </w:r>
      <w:r>
        <w:rPr>
          <w:rFonts w:ascii="仿宋_GB2312" w:eastAsia="仿宋_GB2312" w:cs="Helvetica"/>
          <w:b/>
          <w:bCs/>
          <w:color w:val="auto"/>
          <w:kern w:val="0"/>
          <w:sz w:val="24"/>
          <w:highlight w:val="none"/>
          <w:lang w:val="zh-CN"/>
        </w:rPr>
        <w:t>车辆及改装技术规格、参数要求</w:t>
      </w:r>
    </w:p>
    <w:p w14:paraId="60E01616">
      <w:pPr>
        <w:tabs>
          <w:tab w:val="left" w:pos="0"/>
        </w:tabs>
        <w:spacing w:line="360" w:lineRule="auto"/>
        <w:ind w:firstLine="482"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b/>
          <w:bCs/>
          <w:color w:val="auto"/>
          <w:kern w:val="0"/>
          <w:sz w:val="24"/>
          <w:highlight w:val="none"/>
          <w:lang w:val="en-US" w:eastAsia="zh-CN"/>
        </w:rPr>
        <w:t>1</w:t>
      </w:r>
      <w:r>
        <w:rPr>
          <w:rFonts w:hint="eastAsia" w:ascii="仿宋_GB2312" w:eastAsia="仿宋_GB2312" w:cs="Helvetica"/>
          <w:b/>
          <w:bCs/>
          <w:color w:val="auto"/>
          <w:kern w:val="0"/>
          <w:sz w:val="24"/>
          <w:highlight w:val="none"/>
          <w:lang w:val="en-US" w:eastAsia="zh-CN"/>
        </w:rPr>
        <w:t>5</w:t>
      </w:r>
      <w:r>
        <w:rPr>
          <w:rFonts w:hint="eastAsia" w:ascii="仿宋_GB2312" w:hAnsi="Times New Roman" w:eastAsia="仿宋_GB2312" w:cs="Helvetica"/>
          <w:b/>
          <w:bCs/>
          <w:color w:val="auto"/>
          <w:kern w:val="0"/>
          <w:sz w:val="24"/>
          <w:highlight w:val="none"/>
          <w:lang w:val="en-US" w:eastAsia="zh-CN"/>
        </w:rPr>
        <w:t>.</w:t>
      </w:r>
      <w:r>
        <w:rPr>
          <w:rFonts w:hint="eastAsia" w:ascii="仿宋_GB2312" w:hAnsi="Times New Roman" w:eastAsia="仿宋_GB2312" w:cs="Helvetica"/>
          <w:b/>
          <w:bCs/>
          <w:color w:val="auto"/>
          <w:kern w:val="0"/>
          <w:sz w:val="24"/>
          <w:highlight w:val="none"/>
          <w:lang w:val="zh-CN"/>
        </w:rPr>
        <w:t>1、车辆要求（</w:t>
      </w:r>
      <w:r>
        <w:rPr>
          <w:rFonts w:hint="eastAsia" w:ascii="仿宋_GB2312" w:hAnsi="Times New Roman" w:eastAsia="仿宋_GB2312" w:cs="Helvetica"/>
          <w:b/>
          <w:bCs/>
          <w:color w:val="auto"/>
          <w:kern w:val="0"/>
          <w:sz w:val="24"/>
          <w:highlight w:val="none"/>
          <w:lang w:val="en-US" w:eastAsia="zh-CN"/>
        </w:rPr>
        <w:t>推荐品牌：红旗国悦、丰田考斯特、宇通T7等同类型及以上</w:t>
      </w:r>
      <w:r>
        <w:rPr>
          <w:rFonts w:hint="eastAsia" w:ascii="仿宋_GB2312" w:hAnsi="Times New Roman" w:eastAsia="仿宋_GB2312" w:cs="Helvetica"/>
          <w:b/>
          <w:bCs/>
          <w:color w:val="auto"/>
          <w:kern w:val="0"/>
          <w:sz w:val="24"/>
          <w:highlight w:val="none"/>
          <w:lang w:val="zh-CN"/>
        </w:rPr>
        <w:t>）</w:t>
      </w:r>
    </w:p>
    <w:p w14:paraId="6DF67E1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最大功率(kW)</w:t>
      </w:r>
      <w:r>
        <w:rPr>
          <w:rFonts w:hint="eastAsia" w:ascii="仿宋_GB2312" w:hAnsi="Times New Roman" w:eastAsia="仿宋_GB2312" w:cs="Helvetica"/>
          <w:color w:val="auto"/>
          <w:kern w:val="0"/>
          <w:sz w:val="24"/>
          <w:highlight w:val="none"/>
          <w:lang w:val="en-US" w:eastAsia="zh-CN"/>
        </w:rPr>
        <w:t>：≥151</w:t>
      </w:r>
    </w:p>
    <w:p w14:paraId="164C0D98">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最大扭矩(N·m)</w:t>
      </w:r>
      <w:r>
        <w:rPr>
          <w:rFonts w:hint="eastAsia" w:ascii="仿宋_GB2312" w:hAnsi="Times New Roman" w:eastAsia="仿宋_GB2312" w:cs="Helvetica"/>
          <w:color w:val="auto"/>
          <w:kern w:val="0"/>
          <w:sz w:val="24"/>
          <w:highlight w:val="none"/>
          <w:lang w:val="en-US" w:eastAsia="zh-CN"/>
        </w:rPr>
        <w:t>：≥344</w:t>
      </w:r>
    </w:p>
    <w:p w14:paraId="47CECDC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发动机</w:t>
      </w:r>
      <w:r>
        <w:rPr>
          <w:rFonts w:hint="eastAsia" w:ascii="仿宋_GB2312" w:hAnsi="Times New Roman" w:eastAsia="仿宋_GB2312" w:cs="Helvetica"/>
          <w:color w:val="auto"/>
          <w:kern w:val="0"/>
          <w:sz w:val="24"/>
          <w:highlight w:val="none"/>
          <w:lang w:val="en-US" w:eastAsia="zh-CN"/>
        </w:rPr>
        <w:t>：优于或等于4.0L 205马力 V6</w:t>
      </w:r>
    </w:p>
    <w:p w14:paraId="4F71EFA9">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进气形式：自然吸气、涡轮增压或机械增压</w:t>
      </w:r>
    </w:p>
    <w:p w14:paraId="79A0395D">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eastAsia="仿宋_GB2312" w:cs="Helvetica"/>
          <w:color w:val="auto"/>
          <w:kern w:val="0"/>
          <w:sz w:val="24"/>
          <w:highlight w:val="none"/>
          <w:lang w:val="en-US" w:eastAsia="zh-CN"/>
        </w:rPr>
        <w:t>尾气</w:t>
      </w:r>
      <w:r>
        <w:rPr>
          <w:rFonts w:hint="eastAsia" w:ascii="仿宋_GB2312" w:hAnsi="Times New Roman" w:eastAsia="仿宋_GB2312" w:cs="Helvetica"/>
          <w:color w:val="auto"/>
          <w:kern w:val="0"/>
          <w:sz w:val="24"/>
          <w:highlight w:val="none"/>
          <w:lang w:val="en-US" w:eastAsia="zh-CN"/>
        </w:rPr>
        <w:t>排放依据标准：GB14762-2008国Ⅳ</w:t>
      </w:r>
    </w:p>
    <w:p w14:paraId="6E60986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供油方式</w:t>
      </w:r>
      <w:r>
        <w:rPr>
          <w:rFonts w:hint="eastAsia" w:ascii="仿宋_GB2312" w:hAnsi="Times New Roman" w:eastAsia="仿宋_GB2312" w:cs="Helvetica"/>
          <w:color w:val="auto"/>
          <w:kern w:val="0"/>
          <w:sz w:val="24"/>
          <w:highlight w:val="none"/>
          <w:lang w:val="en-US" w:eastAsia="zh-CN"/>
        </w:rPr>
        <w:t>：多点电喷或直喷</w:t>
      </w:r>
    </w:p>
    <w:p w14:paraId="64EFFFF2">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变速箱类型：手动变速箱(MT)、自动变速箱(AT)或手自一体变速箱(AT)</w:t>
      </w:r>
    </w:p>
    <w:p w14:paraId="2FE524F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变速箱</w:t>
      </w:r>
      <w:r>
        <w:rPr>
          <w:rFonts w:hint="eastAsia" w:ascii="仿宋_GB2312" w:hAnsi="Times New Roman" w:eastAsia="仿宋_GB2312" w:cs="Helvetica"/>
          <w:color w:val="auto"/>
          <w:kern w:val="0"/>
          <w:sz w:val="24"/>
          <w:highlight w:val="none"/>
          <w:lang w:val="en-US" w:eastAsia="zh-CN"/>
        </w:rPr>
        <w:t>：优于或等于5挡手动</w:t>
      </w:r>
    </w:p>
    <w:p w14:paraId="1FA68B98">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前悬架类型</w:t>
      </w:r>
      <w:r>
        <w:rPr>
          <w:rFonts w:hint="eastAsia" w:ascii="仿宋_GB2312" w:hAnsi="Times New Roman" w:eastAsia="仿宋_GB2312" w:cs="Helvetica"/>
          <w:color w:val="auto"/>
          <w:kern w:val="0"/>
          <w:sz w:val="24"/>
          <w:highlight w:val="none"/>
          <w:lang w:val="en-US" w:eastAsia="zh-CN"/>
        </w:rPr>
        <w:t>：双叉臂式扭杆弹簧独立悬架</w:t>
      </w:r>
    </w:p>
    <w:p w14:paraId="1783F908">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后悬架类型</w:t>
      </w:r>
      <w:r>
        <w:rPr>
          <w:rFonts w:hint="eastAsia" w:ascii="仿宋_GB2312" w:hAnsi="Times New Roman" w:eastAsia="仿宋_GB2312" w:cs="Helvetica"/>
          <w:color w:val="auto"/>
          <w:kern w:val="0"/>
          <w:sz w:val="24"/>
          <w:highlight w:val="none"/>
          <w:lang w:val="en-US" w:eastAsia="zh-CN"/>
        </w:rPr>
        <w:t>：钢板弹簧非独立悬架</w:t>
      </w:r>
    </w:p>
    <w:p w14:paraId="738248BC">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制动系统（前/后）：盘式/盘式</w:t>
      </w:r>
    </w:p>
    <w:p w14:paraId="1F05D971">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转向器：循环球式，动力转向；</w:t>
      </w:r>
    </w:p>
    <w:p w14:paraId="5319C306">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方向盘：可调；</w:t>
      </w:r>
    </w:p>
    <w:p w14:paraId="32D6B97F">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空调：具备空调系统，非独立暖风；</w:t>
      </w:r>
    </w:p>
    <w:p w14:paraId="6EBDD544">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color w:val="auto"/>
          <w:kern w:val="0"/>
          <w:sz w:val="24"/>
          <w:highlight w:val="none"/>
        </w:rPr>
        <w:t>轴距（mm）</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lang w:val="en-US" w:eastAsia="zh-CN"/>
        </w:rPr>
        <w:t>≥</w:t>
      </w:r>
      <w:r>
        <w:rPr>
          <w:rFonts w:hint="eastAsia" w:ascii="仿宋_GB2312" w:hAnsi="Times New Roman" w:eastAsia="仿宋_GB2312" w:cs="Helvetica"/>
          <w:color w:val="auto"/>
          <w:kern w:val="0"/>
          <w:sz w:val="24"/>
          <w:highlight w:val="none"/>
        </w:rPr>
        <w:t>3935</w:t>
      </w:r>
    </w:p>
    <w:p w14:paraId="1076381D">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default" w:ascii="仿宋_GB2312" w:hAnsi="Times New Roman" w:eastAsia="仿宋_GB2312" w:cs="Helvetica"/>
          <w:color w:val="auto"/>
          <w:kern w:val="0"/>
          <w:sz w:val="24"/>
          <w:highlight w:val="none"/>
          <w:lang w:val="en-US" w:eastAsia="zh-CN"/>
        </w:rPr>
        <w:t>最小离地间隙（mm）</w:t>
      </w:r>
      <w:r>
        <w:rPr>
          <w:rFonts w:hint="eastAsia" w:ascii="仿宋_GB2312" w:hAnsi="Times New Roman" w:eastAsia="仿宋_GB2312" w:cs="Helvetica"/>
          <w:color w:val="auto"/>
          <w:kern w:val="0"/>
          <w:sz w:val="24"/>
          <w:highlight w:val="none"/>
          <w:lang w:val="en-US" w:eastAsia="zh-CN"/>
        </w:rPr>
        <w:t>：</w:t>
      </w:r>
      <w:r>
        <w:rPr>
          <w:rFonts w:hint="eastAsia" w:ascii="仿宋_GB2312" w:hAnsi="Times New Roman" w:eastAsia="仿宋_GB2312" w:cs="Helvetica"/>
          <w:color w:val="auto"/>
          <w:kern w:val="0"/>
          <w:sz w:val="24"/>
          <w:highlight w:val="none"/>
        </w:rPr>
        <w:t>≥175</w:t>
      </w:r>
    </w:p>
    <w:p w14:paraId="135A2CC4">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color w:val="auto"/>
          <w:kern w:val="0"/>
          <w:sz w:val="24"/>
          <w:highlight w:val="none"/>
        </w:rPr>
        <w:t>最小转弯半径（m）</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rPr>
        <w:t>≤7.2</w:t>
      </w:r>
    </w:p>
    <w:p w14:paraId="05972D6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rPr>
        <w:t>最大爬坡度</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rPr>
        <w:t>≥30</w:t>
      </w:r>
    </w:p>
    <w:p w14:paraId="4BD70B95">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最高车速(km/h)</w:t>
      </w:r>
      <w:r>
        <w:rPr>
          <w:rFonts w:hint="eastAsia" w:ascii="仿宋_GB2312" w:hAnsi="Times New Roman" w:eastAsia="仿宋_GB2312" w:cs="Helvetica"/>
          <w:color w:val="auto"/>
          <w:kern w:val="0"/>
          <w:sz w:val="24"/>
          <w:highlight w:val="none"/>
          <w:lang w:val="en-US" w:eastAsia="zh-CN"/>
        </w:rPr>
        <w:t>：≥130</w:t>
      </w:r>
    </w:p>
    <w:p w14:paraId="7E9A1872">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油箱容积(L)：≥92</w:t>
      </w:r>
    </w:p>
    <w:p w14:paraId="17520041">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color w:val="auto"/>
          <w:kern w:val="0"/>
          <w:sz w:val="24"/>
          <w:highlight w:val="none"/>
        </w:rPr>
        <w:t>转向助力</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rPr>
        <w:t>循环球式，动力转向</w:t>
      </w:r>
    </w:p>
    <w:p w14:paraId="1892BB78">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color w:val="auto"/>
          <w:kern w:val="0"/>
          <w:sz w:val="24"/>
          <w:highlight w:val="none"/>
        </w:rPr>
        <w:t>制动方式（前/后）</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rPr>
        <w:t>前盘式/后盘式</w:t>
      </w:r>
    </w:p>
    <w:p w14:paraId="5083705C">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color w:val="auto"/>
          <w:kern w:val="0"/>
          <w:sz w:val="24"/>
          <w:highlight w:val="none"/>
        </w:rPr>
        <w:t>车轮</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lang w:val="en-US" w:eastAsia="zh-CN"/>
        </w:rPr>
        <w:t>≥</w:t>
      </w:r>
      <w:r>
        <w:rPr>
          <w:rFonts w:hint="eastAsia" w:ascii="仿宋_GB2312" w:hAnsi="Times New Roman" w:eastAsia="仿宋_GB2312" w:cs="Helvetica"/>
          <w:color w:val="auto"/>
          <w:kern w:val="0"/>
          <w:sz w:val="24"/>
          <w:highlight w:val="none"/>
        </w:rPr>
        <w:t>6</w:t>
      </w:r>
    </w:p>
    <w:p w14:paraId="78F4345E">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color w:val="auto"/>
          <w:kern w:val="0"/>
          <w:sz w:val="24"/>
          <w:highlight w:val="none"/>
        </w:rPr>
        <w:t>轮胎</w:t>
      </w:r>
      <w:r>
        <w:rPr>
          <w:rFonts w:hint="eastAsia" w:ascii="仿宋_GB2312" w:hAnsi="Times New Roman" w:eastAsia="仿宋_GB2312" w:cs="Helvetica"/>
          <w:color w:val="auto"/>
          <w:kern w:val="0"/>
          <w:sz w:val="24"/>
          <w:highlight w:val="none"/>
          <w:lang w:val="en-US" w:eastAsia="zh-CN"/>
        </w:rPr>
        <w:t>尺寸：≥</w:t>
      </w:r>
      <w:r>
        <w:rPr>
          <w:rFonts w:hint="eastAsia" w:ascii="仿宋_GB2312" w:hAnsi="Times New Roman" w:eastAsia="仿宋_GB2312" w:cs="Helvetica"/>
          <w:color w:val="auto"/>
          <w:kern w:val="0"/>
          <w:sz w:val="24"/>
          <w:highlight w:val="none"/>
        </w:rPr>
        <w:t>215/70 R17.5</w:t>
      </w:r>
    </w:p>
    <w:p w14:paraId="2D75FCEE">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轮圈材质：钢或铝合金</w:t>
      </w:r>
    </w:p>
    <w:p w14:paraId="5124814C">
      <w:pPr>
        <w:tabs>
          <w:tab w:val="left" w:pos="0"/>
        </w:tabs>
        <w:spacing w:line="360" w:lineRule="auto"/>
        <w:ind w:firstLine="480"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color w:val="auto"/>
          <w:kern w:val="0"/>
          <w:sz w:val="24"/>
          <w:highlight w:val="none"/>
        </w:rPr>
        <w:t>乘客门：自动外摆门+防夹功能。</w:t>
      </w:r>
    </w:p>
    <w:p w14:paraId="3172847C">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rPr>
        <w:t>ABS防抱死</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lang w:val="en-US" w:eastAsia="zh-CN"/>
        </w:rPr>
        <w:t>有</w:t>
      </w:r>
    </w:p>
    <w:p w14:paraId="084CD7D7">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侧窗玻璃：绿色强化+滑动玻璃</w:t>
      </w:r>
    </w:p>
    <w:p w14:paraId="576EA903">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车厢内地板：PVC</w:t>
      </w:r>
    </w:p>
    <w:p w14:paraId="1F12166B">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行李箱灯：配备</w:t>
      </w:r>
    </w:p>
    <w:p w14:paraId="41E07006">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ABS+LSP、BV：配备</w:t>
      </w:r>
    </w:p>
    <w:p w14:paraId="55DB37D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刹车优先系统：配备</w:t>
      </w:r>
    </w:p>
    <w:p w14:paraId="03FE4941">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全系ELR三点式安全带：配备</w:t>
      </w:r>
    </w:p>
    <w:p w14:paraId="527F2E8F">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音响系统：AM/FM、CD机、带麦克风、4个扬声器</w:t>
      </w:r>
    </w:p>
    <w:p w14:paraId="4BA7CEE0">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脚下供暖：配备</w:t>
      </w:r>
    </w:p>
    <w:p w14:paraId="41FF8CFE">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倒车警告音：配备</w:t>
      </w:r>
    </w:p>
    <w:p w14:paraId="27022A1D">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车速报警音：配备</w:t>
      </w:r>
    </w:p>
    <w:p w14:paraId="7262BCD3">
      <w:pPr>
        <w:tabs>
          <w:tab w:val="left" w:pos="0"/>
        </w:tabs>
        <w:spacing w:line="360" w:lineRule="auto"/>
        <w:ind w:firstLine="480" w:firstLineChars="20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电子稳定系统：配备</w:t>
      </w:r>
    </w:p>
    <w:p w14:paraId="506492BA">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空调温度控制方式</w:t>
      </w:r>
      <w:r>
        <w:rPr>
          <w:rFonts w:hint="eastAsia" w:ascii="仿宋_GB2312" w:hAnsi="Times New Roman" w:eastAsia="仿宋_GB2312" w:cs="Helvetica"/>
          <w:color w:val="auto"/>
          <w:kern w:val="0"/>
          <w:sz w:val="24"/>
          <w:highlight w:val="none"/>
          <w:lang w:val="en-US" w:eastAsia="zh-CN"/>
        </w:rPr>
        <w:t>：手动或自动</w:t>
      </w:r>
    </w:p>
    <w:p w14:paraId="4B1269EA">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其他要求：主驾安全气囊、主驾驶电动窗、收音机、倒车雷达、电动侧门、后行李厢门、车窗贴膜、全尺寸备胎、随车工具、三角警示牌等；</w:t>
      </w:r>
      <w:r>
        <w:rPr>
          <w:rFonts w:hint="eastAsia" w:ascii="仿宋_GB2312" w:eastAsia="仿宋_GB2312" w:cs="Helvetica"/>
          <w:color w:val="auto"/>
          <w:kern w:val="0"/>
          <w:sz w:val="24"/>
          <w:highlight w:val="none"/>
          <w:lang w:val="en-US" w:eastAsia="zh-CN"/>
        </w:rPr>
        <w:t>本项目车辆采购需求不涉及</w:t>
      </w:r>
      <w:r>
        <w:rPr>
          <w:rFonts w:hint="eastAsia" w:ascii="仿宋" w:eastAsia="仿宋"/>
          <w:caps w:val="0"/>
          <w:smallCaps w:val="0"/>
          <w:vanish w:val="0"/>
          <w:color w:val="auto"/>
          <w:sz w:val="24"/>
          <w:szCs w:val="24"/>
          <w:highlight w:val="none"/>
          <w:vertAlign w:val="baseline"/>
        </w:rPr>
        <w:t>以柴油作为动力来源的</w:t>
      </w:r>
      <w:r>
        <w:rPr>
          <w:rFonts w:hint="eastAsia" w:ascii="仿宋_GB2312" w:eastAsia="仿宋_GB2312" w:cs="Helvetica"/>
          <w:color w:val="auto"/>
          <w:kern w:val="0"/>
          <w:sz w:val="24"/>
          <w:highlight w:val="none"/>
          <w:lang w:val="en-US" w:eastAsia="zh-CN"/>
        </w:rPr>
        <w:t>车辆。</w:t>
      </w:r>
    </w:p>
    <w:p w14:paraId="66149F83">
      <w:pPr>
        <w:tabs>
          <w:tab w:val="left" w:pos="0"/>
        </w:tabs>
        <w:spacing w:line="360" w:lineRule="auto"/>
        <w:ind w:firstLine="482" w:firstLineChars="200"/>
        <w:rPr>
          <w:rFonts w:hint="eastAsia" w:ascii="仿宋_GB2312" w:hAnsi="Times New Roman" w:eastAsia="仿宋_GB2312" w:cs="Helvetica"/>
          <w:color w:val="auto"/>
          <w:kern w:val="0"/>
          <w:sz w:val="24"/>
          <w:highlight w:val="none"/>
        </w:rPr>
      </w:pPr>
      <w:r>
        <w:rPr>
          <w:rFonts w:hint="eastAsia" w:ascii="仿宋_GB2312" w:hAnsi="Times New Roman" w:eastAsia="仿宋_GB2312" w:cs="Helvetica"/>
          <w:b/>
          <w:bCs/>
          <w:color w:val="auto"/>
          <w:kern w:val="0"/>
          <w:sz w:val="24"/>
          <w:highlight w:val="none"/>
          <w:lang w:val="en-US" w:eastAsia="zh-CN"/>
        </w:rPr>
        <w:t>1</w:t>
      </w:r>
      <w:r>
        <w:rPr>
          <w:rFonts w:hint="eastAsia" w:ascii="仿宋_GB2312" w:eastAsia="仿宋_GB2312" w:cs="Helvetica"/>
          <w:b/>
          <w:bCs/>
          <w:color w:val="auto"/>
          <w:kern w:val="0"/>
          <w:sz w:val="24"/>
          <w:highlight w:val="none"/>
          <w:lang w:val="en-US" w:eastAsia="zh-CN"/>
        </w:rPr>
        <w:t>5</w:t>
      </w:r>
      <w:r>
        <w:rPr>
          <w:rFonts w:hint="eastAsia" w:ascii="仿宋_GB2312" w:hAnsi="Times New Roman" w:eastAsia="仿宋_GB2312" w:cs="Helvetica"/>
          <w:b/>
          <w:bCs/>
          <w:color w:val="auto"/>
          <w:kern w:val="0"/>
          <w:sz w:val="24"/>
          <w:highlight w:val="none"/>
          <w:lang w:val="en-US" w:eastAsia="zh-CN"/>
        </w:rPr>
        <w:t>.2、改装要求</w:t>
      </w:r>
    </w:p>
    <w:p w14:paraId="59FC4E90">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2.1总体要求：投标人需在投标文件内提供与本项目适配的搭载设备的走航监测车辆改装方案，需确保仪器设备都可合理安装，可保证所搭载设备连续工作，其他功能包括但不限于应具备防震、固定、安全和便于日常使用维护等功能。</w:t>
      </w:r>
    </w:p>
    <w:p w14:paraId="7245FC98">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.2.2走航监测车改装需包含但不限于以下内容：车载供电系统、车载试验台、空调系统、加强型减振器，隔音隔热、车身结构密封防水，高顶车身，电磁屏蔽等。</w:t>
      </w:r>
    </w:p>
    <w:p w14:paraId="0659D854">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.2.3外饰：车后部安装爬梯，折叠或固定式，踏步进行防滑处理。</w:t>
      </w:r>
    </w:p>
    <w:p w14:paraId="5BBD059B">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.2.4供电系统组成：配置漏电保护、过载保护、防水市电接口、稳压电源、配电柜。</w:t>
      </w:r>
    </w:p>
    <w:p w14:paraId="25D83ED3">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.2.5供电方式：行车供电、外接市电供电，车辆需配备取力发电机，发电机功率不小于3KW，在不接市电的情况下，车辆自身需能给设备持续供电，保证设备可连续不间断工作。</w:t>
      </w:r>
    </w:p>
    <w:p w14:paraId="64C5436B">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.2.6电源控制：配电箱对输入电源进行分路控制包含空调和其他设备 2 路，确保各系统用电不相互干扰，控制电路显示系统可以观测各路供电情况。</w:t>
      </w:r>
    </w:p>
    <w:p w14:paraId="40727C2C">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2.7整车布线：车内布线整齐、合理、安全、可靠，车厢顶部及侧壁穿线孔均采用过线护套，并涂胶密封，接线头和线缆部分有标识，并与说明书原理图相对应,便于检修，车内设备电缆和电源电缆走线采用明线暗装方式，在外部看不到明线，布线中并行的导线除有明确的规定外不绞合。</w:t>
      </w:r>
    </w:p>
    <w:p w14:paraId="1F527680">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.2.8车体接地：驻车时使用接地钳安装电源防雷避雷器。</w:t>
      </w:r>
    </w:p>
    <w:p w14:paraId="7EC5F796">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.2.9两套空调：行车空调为原车空调系统，驻车空调为冷暖型。</w:t>
      </w:r>
    </w:p>
    <w:p w14:paraId="712FBE1E">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10其他配套要求：配有本地存储监控系统、车载摄像云台、照明系统（含车内照明6盏灯和车外照明4盏灯）、Wi-Fi系统（含4G路由和交换机）、环境监测系统（含温湿度仪、烟雾报警器等）、后备电源、工作台、工作站、接地保护装置等。</w:t>
      </w:r>
    </w:p>
    <w:p w14:paraId="78914A02">
      <w:pPr>
        <w:tabs>
          <w:tab w:val="left" w:pos="0"/>
        </w:tabs>
        <w:spacing w:line="360" w:lineRule="auto"/>
        <w:ind w:firstLine="480" w:firstLineChars="200"/>
        <w:rPr>
          <w:rFonts w:hint="default" w:ascii="仿宋_GB2312" w:hAnsi="Times New Roman" w:eastAsia="仿宋_GB2312" w:cs="Helvetica"/>
          <w:color w:val="auto"/>
          <w:kern w:val="0"/>
          <w:sz w:val="24"/>
          <w:highlight w:val="none"/>
          <w:lang w:val="en-US" w:eastAsia="zh-CN"/>
        </w:rPr>
      </w:pPr>
      <w:r>
        <w:rPr>
          <w:rFonts w:hint="default" w:ascii="仿宋_GB2312" w:hAnsi="Times New Roman" w:eastAsia="仿宋_GB2312" w:cs="Helvetica"/>
          <w:color w:val="auto"/>
          <w:kern w:val="0"/>
          <w:sz w:val="24"/>
          <w:highlight w:val="none"/>
          <w:lang w:val="en-US" w:eastAsia="zh-CN"/>
        </w:rPr>
        <w:t>★</w:t>
      </w:r>
      <w:r>
        <w:rPr>
          <w:rFonts w:hint="eastAsia" w:ascii="仿宋_GB2312" w:hAnsi="Times New Roman" w:eastAsia="仿宋_GB2312" w:cs="Helvetica"/>
          <w:color w:val="auto"/>
          <w:kern w:val="0"/>
          <w:sz w:val="24"/>
          <w:highlight w:val="none"/>
          <w:lang w:val="en-US" w:eastAsia="zh-CN"/>
        </w:rPr>
        <w:t>1</w:t>
      </w:r>
      <w:r>
        <w:rPr>
          <w:rFonts w:hint="eastAsia" w:ascii="仿宋_GB2312" w:eastAsia="仿宋_GB2312" w:cs="Helvetica"/>
          <w:color w:val="auto"/>
          <w:kern w:val="0"/>
          <w:sz w:val="24"/>
          <w:highlight w:val="none"/>
          <w:lang w:val="en-US" w:eastAsia="zh-CN"/>
        </w:rPr>
        <w:t>5</w:t>
      </w:r>
      <w:r>
        <w:rPr>
          <w:rFonts w:hint="default" w:ascii="仿宋_GB2312" w:hAnsi="Times New Roman" w:eastAsia="仿宋_GB2312" w:cs="Helvetica"/>
          <w:color w:val="auto"/>
          <w:kern w:val="0"/>
          <w:sz w:val="24"/>
          <w:highlight w:val="none"/>
          <w:lang w:val="en-US" w:eastAsia="zh-CN"/>
        </w:rPr>
        <w:t>.11必须包含车辆（改装完成后包含所有设备的）的上牌和年检，</w:t>
      </w:r>
      <w:r>
        <w:rPr>
          <w:rFonts w:hint="eastAsia" w:ascii="仿宋_GB2312" w:hAnsi="Times New Roman" w:eastAsia="仿宋_GB2312" w:cs="Helvetica"/>
          <w:color w:val="auto"/>
          <w:kern w:val="0"/>
          <w:sz w:val="24"/>
          <w:highlight w:val="none"/>
          <w:lang w:val="en-US" w:eastAsia="zh-CN"/>
        </w:rPr>
        <w:t>整体项目试运行结束后需完成上牌工作，</w:t>
      </w:r>
      <w:r>
        <w:rPr>
          <w:rFonts w:hint="default" w:ascii="仿宋_GB2312" w:hAnsi="Times New Roman" w:eastAsia="仿宋_GB2312" w:cs="Helvetica"/>
          <w:color w:val="auto"/>
          <w:kern w:val="0"/>
          <w:sz w:val="24"/>
          <w:highlight w:val="none"/>
          <w:lang w:val="en-US" w:eastAsia="zh-CN"/>
        </w:rPr>
        <w:t>必须满足正常的使用要求。（须提供相关内容的承诺书加盖公章）</w:t>
      </w:r>
      <w:r>
        <w:rPr>
          <w:rFonts w:hint="eastAsia" w:ascii="仿宋_GB2312" w:hAnsi="Times New Roman" w:eastAsia="仿宋_GB2312" w:cs="Helvetica"/>
          <w:color w:val="auto"/>
          <w:kern w:val="0"/>
          <w:sz w:val="24"/>
          <w:highlight w:val="none"/>
          <w:lang w:val="en-US" w:eastAsia="zh-CN"/>
        </w:rPr>
        <w:t>。</w:t>
      </w:r>
    </w:p>
    <w:p w14:paraId="064A4760">
      <w:pPr>
        <w:tabs>
          <w:tab w:val="left" w:pos="0"/>
        </w:tabs>
        <w:spacing w:line="360" w:lineRule="auto"/>
        <w:ind w:firstLine="482" w:firstLineChars="200"/>
        <w:rPr>
          <w:rFonts w:hint="eastAsia" w:ascii="仿宋_GB2312" w:eastAsia="仿宋_GB2312" w:cs="Helvetica"/>
          <w:b/>
          <w:bCs/>
          <w:color w:val="auto"/>
          <w:kern w:val="0"/>
          <w:sz w:val="24"/>
          <w:highlight w:val="none"/>
        </w:rPr>
      </w:pPr>
      <w:r>
        <w:rPr>
          <w:rFonts w:hint="eastAsia" w:ascii="仿宋_GB2312" w:eastAsia="仿宋_GB2312" w:cs="Helvetica"/>
          <w:b/>
          <w:bCs/>
          <w:color w:val="auto"/>
          <w:kern w:val="0"/>
          <w:sz w:val="24"/>
          <w:highlight w:val="none"/>
        </w:rPr>
        <w:t>四、项目实施要求</w:t>
      </w:r>
    </w:p>
    <w:p w14:paraId="28C89633">
      <w:pPr>
        <w:tabs>
          <w:tab w:val="left" w:pos="0"/>
        </w:tabs>
        <w:spacing w:line="360" w:lineRule="auto"/>
        <w:ind w:firstLine="482" w:firstLineChars="200"/>
        <w:rPr>
          <w:rFonts w:hint="eastAsia" w:ascii="仿宋_GB2312" w:eastAsia="仿宋_GB2312" w:cs="Helvetica"/>
          <w:b/>
          <w:bCs/>
          <w:color w:val="auto"/>
          <w:kern w:val="0"/>
          <w:sz w:val="24"/>
          <w:highlight w:val="none"/>
          <w:lang w:val="zh-CN"/>
        </w:rPr>
      </w:pPr>
      <w:r>
        <w:rPr>
          <w:rFonts w:hint="eastAsia" w:ascii="仿宋_GB2312" w:eastAsia="仿宋_GB2312" w:cs="Helvetica"/>
          <w:b/>
          <w:bCs/>
          <w:color w:val="auto"/>
          <w:kern w:val="0"/>
          <w:sz w:val="24"/>
          <w:highlight w:val="none"/>
          <w:lang w:val="zh-CN"/>
        </w:rPr>
        <w:t>1</w:t>
      </w:r>
      <w:r>
        <w:rPr>
          <w:rFonts w:hint="eastAsia" w:ascii="仿宋_GB2312" w:eastAsia="仿宋_GB2312" w:cs="Helvetica"/>
          <w:b/>
          <w:bCs/>
          <w:color w:val="auto"/>
          <w:kern w:val="0"/>
          <w:sz w:val="24"/>
          <w:highlight w:val="none"/>
        </w:rPr>
        <w:t>.</w:t>
      </w:r>
      <w:r>
        <w:rPr>
          <w:rFonts w:hint="eastAsia" w:ascii="仿宋_GB2312" w:eastAsia="仿宋_GB2312" w:cs="Helvetica"/>
          <w:b/>
          <w:bCs/>
          <w:color w:val="auto"/>
          <w:kern w:val="0"/>
          <w:sz w:val="24"/>
          <w:highlight w:val="none"/>
          <w:lang w:val="zh-CN"/>
        </w:rPr>
        <w:t>质量保证要求</w:t>
      </w:r>
    </w:p>
    <w:p w14:paraId="66CA78A6">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1）中标方按国家有关规定及标准完成本次采购设备的供货、运输、装卸、检验、通过有关部门验收、质保期上门服务、设备终身维修等各项工作，并保证设备使用的安全性能与检测结果的可靠性。货物验收过程中，由于质量不合格或运输等原因所造成的一切费用均由中标方负责。</w:t>
      </w:r>
    </w:p>
    <w:p w14:paraId="75671EAC">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（2）中标方所提供的货物应保证是全新的和未使用过的原厂合格正品。</w:t>
      </w:r>
    </w:p>
    <w:p w14:paraId="5D438D02">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（3）产品（材料）及其辅助装置铭牌、使用指示、警告指示应以中文来表示；应准确无误地标明货物之型号、规格、制造厂及生产或出厂日期。</w:t>
      </w:r>
    </w:p>
    <w:p w14:paraId="09CE4F03">
      <w:pPr>
        <w:tabs>
          <w:tab w:val="left" w:pos="0"/>
        </w:tabs>
        <w:spacing w:line="360" w:lineRule="auto"/>
        <w:ind w:firstLine="480" w:firstLineChars="200"/>
        <w:rPr>
          <w:rFonts w:hint="eastAsia" w:ascii="仿宋_GB2312" w:eastAsia="仿宋_GB2312" w:cs="Helvetica"/>
          <w:color w:val="auto"/>
          <w:kern w:val="0"/>
          <w:sz w:val="24"/>
          <w:highlight w:val="none"/>
          <w:lang w:eastAsia="zh-CN"/>
        </w:rPr>
      </w:pPr>
      <w:r>
        <w:rPr>
          <w:rFonts w:hint="eastAsia" w:ascii="仿宋_GB2312" w:eastAsia="仿宋_GB2312" w:cs="Helvetica"/>
          <w:color w:val="auto"/>
          <w:kern w:val="0"/>
          <w:sz w:val="24"/>
          <w:highlight w:val="none"/>
        </w:rPr>
        <w:t>（4）中标方和制造商对成交材料使用的安全性能与可靠性负全部责任。</w:t>
      </w:r>
      <w:r>
        <w:rPr>
          <w:rFonts w:hint="eastAsia" w:ascii="仿宋_GB2312" w:eastAsia="仿宋_GB2312" w:cs="Helvetica"/>
          <w:color w:val="auto"/>
          <w:kern w:val="0"/>
          <w:sz w:val="24"/>
          <w:highlight w:val="none"/>
          <w:lang w:eastAsia="zh-CN"/>
        </w:rPr>
        <w:t>，</w:t>
      </w:r>
    </w:p>
    <w:p w14:paraId="1B94776A">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（5）中标方按照进度表施工并及时书面报告采购人。</w:t>
      </w:r>
    </w:p>
    <w:p w14:paraId="7D631378">
      <w:pPr>
        <w:tabs>
          <w:tab w:val="left" w:pos="0"/>
        </w:tabs>
        <w:spacing w:line="360" w:lineRule="auto"/>
        <w:ind w:firstLine="482" w:firstLineChars="200"/>
        <w:rPr>
          <w:rFonts w:hint="eastAsia" w:ascii="仿宋_GB2312" w:eastAsia="仿宋_GB2312" w:cs="Helvetica"/>
          <w:b/>
          <w:bCs/>
          <w:color w:val="auto"/>
          <w:kern w:val="0"/>
          <w:sz w:val="24"/>
          <w:highlight w:val="none"/>
          <w:lang w:val="zh-CN"/>
        </w:rPr>
      </w:pPr>
      <w:r>
        <w:rPr>
          <w:rFonts w:hint="eastAsia" w:ascii="仿宋_GB2312" w:eastAsia="仿宋_GB2312" w:cs="Helvetica"/>
          <w:b/>
          <w:bCs/>
          <w:color w:val="auto"/>
          <w:kern w:val="0"/>
          <w:sz w:val="24"/>
          <w:highlight w:val="none"/>
          <w:lang w:val="zh-CN"/>
        </w:rPr>
        <w:t>2</w:t>
      </w:r>
      <w:r>
        <w:rPr>
          <w:rFonts w:hint="eastAsia" w:ascii="仿宋_GB2312" w:eastAsia="仿宋_GB2312" w:cs="Helvetica"/>
          <w:b/>
          <w:bCs/>
          <w:color w:val="auto"/>
          <w:kern w:val="0"/>
          <w:sz w:val="24"/>
          <w:highlight w:val="none"/>
        </w:rPr>
        <w:t>.</w:t>
      </w:r>
      <w:r>
        <w:rPr>
          <w:rFonts w:hint="eastAsia" w:ascii="仿宋_GB2312" w:eastAsia="仿宋_GB2312" w:cs="Helvetica"/>
          <w:b/>
          <w:bCs/>
          <w:color w:val="auto"/>
          <w:kern w:val="0"/>
          <w:sz w:val="24"/>
          <w:highlight w:val="none"/>
          <w:lang w:val="en-US" w:eastAsia="zh-CN"/>
        </w:rPr>
        <w:t>其他</w:t>
      </w:r>
      <w:r>
        <w:rPr>
          <w:rFonts w:hint="eastAsia" w:ascii="仿宋_GB2312" w:eastAsia="仿宋_GB2312" w:cs="Helvetica"/>
          <w:b/>
          <w:bCs/>
          <w:color w:val="auto"/>
          <w:kern w:val="0"/>
          <w:sz w:val="24"/>
          <w:highlight w:val="none"/>
          <w:lang w:val="zh-CN"/>
        </w:rPr>
        <w:t>要求</w:t>
      </w:r>
    </w:p>
    <w:p w14:paraId="61FBE784">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中标方在服务期间发生网络安全重大问题的，应即时向采购人口头报告，随后进行书面报告。</w:t>
      </w:r>
    </w:p>
    <w:p w14:paraId="12C1B254">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中标方不能在境外使用、处理和存储该项目所包含的数据。</w:t>
      </w:r>
    </w:p>
    <w:p w14:paraId="3A1EEC6D">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中标方的项目人员应与采购人签署年度网络安全、保密等协议。中标方项目相关人员离职或调离，应该完成工作交接并留有记录，确保相关人员知晓网络安全管理规定和岗位网络安全责任。</w:t>
      </w:r>
    </w:p>
    <w:p w14:paraId="756C573C">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中标方应确保监测设备、数采平台、传输线路、监测数据等各个方面的网络信息安全。</w:t>
      </w:r>
    </w:p>
    <w:p w14:paraId="59E18216">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做好设备工控机服务器等终端设备的杀毒工作，确保病毒特征库不超期1个月（如果上级有规定可以不装的，以行业规定为准）。</w:t>
      </w:r>
    </w:p>
    <w:p w14:paraId="70F889F7">
      <w:pPr>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中标方须保证所提供产品（包括但不限于产品运行所需的操作系统、数据库软件、办公软件、杀毒软件、工业软件）具有合法的版权或授权。中标方所提供的产品，如在本项目范围内使用过程中出现版权或使用权纠纷，应由中标方负责，采购人不承担责任。</w:t>
      </w:r>
    </w:p>
    <w:p w14:paraId="3CF46689">
      <w:pPr>
        <w:tabs>
          <w:tab w:val="left" w:pos="0"/>
        </w:tabs>
        <w:spacing w:line="360" w:lineRule="auto"/>
        <w:ind w:firstLine="482" w:firstLineChars="200"/>
        <w:rPr>
          <w:rFonts w:hint="eastAsia" w:ascii="仿宋_GB2312" w:eastAsia="仿宋_GB2312" w:cs="Helvetica"/>
          <w:b/>
          <w:bCs/>
          <w:color w:val="auto"/>
          <w:kern w:val="0"/>
          <w:sz w:val="24"/>
          <w:highlight w:val="none"/>
          <w:lang w:val="zh-CN"/>
        </w:rPr>
      </w:pPr>
      <w:r>
        <w:rPr>
          <w:rFonts w:hint="eastAsia" w:ascii="仿宋_GB2312" w:eastAsia="仿宋_GB2312" w:cs="Helvetica"/>
          <w:b/>
          <w:bCs/>
          <w:color w:val="auto"/>
          <w:kern w:val="0"/>
          <w:sz w:val="24"/>
          <w:highlight w:val="none"/>
          <w:lang w:val="en-US" w:eastAsia="zh-CN"/>
        </w:rPr>
        <w:t>3</w:t>
      </w:r>
      <w:r>
        <w:rPr>
          <w:rFonts w:hint="eastAsia" w:ascii="仿宋_GB2312" w:eastAsia="仿宋_GB2312" w:cs="Helvetica"/>
          <w:b/>
          <w:bCs/>
          <w:color w:val="auto"/>
          <w:kern w:val="0"/>
          <w:sz w:val="24"/>
          <w:highlight w:val="none"/>
        </w:rPr>
        <w:t>.</w:t>
      </w:r>
      <w:r>
        <w:rPr>
          <w:rFonts w:hint="eastAsia" w:ascii="仿宋_GB2312" w:eastAsia="仿宋_GB2312" w:cs="Helvetica"/>
          <w:b/>
          <w:bCs/>
          <w:color w:val="auto"/>
          <w:kern w:val="0"/>
          <w:sz w:val="24"/>
          <w:highlight w:val="none"/>
          <w:lang w:val="zh-CN"/>
        </w:rPr>
        <w:t>保密要求及知识产权</w:t>
      </w:r>
    </w:p>
    <w:p w14:paraId="60F2C098">
      <w:pPr>
        <w:tabs>
          <w:tab w:val="left" w:pos="0"/>
        </w:tabs>
        <w:spacing w:line="360" w:lineRule="auto"/>
        <w:ind w:firstLine="480" w:firstLineChars="200"/>
        <w:rPr>
          <w:rFonts w:hint="eastAsia" w:ascii="仿宋" w:eastAsia="仿宋"/>
          <w:b/>
          <w:bCs/>
          <w:color w:val="auto"/>
          <w:kern w:val="0"/>
          <w:sz w:val="24"/>
          <w:highlight w:val="none"/>
        </w:rPr>
      </w:pPr>
      <w:r>
        <w:rPr>
          <w:rFonts w:hint="eastAsia" w:ascii="仿宋_GB2312" w:eastAsia="仿宋_GB2312" w:cs="Helvetica"/>
          <w:color w:val="auto"/>
          <w:kern w:val="0"/>
          <w:sz w:val="24"/>
          <w:highlight w:val="none"/>
        </w:rPr>
        <w:t>本项目执行过程中所产生的数据资料和技术报告均为采购人所有，中标方未经同意不得擅自使用，由此产生的一切后果由中标方承担。中标方需和采购人签订相应的保密协议。中标方对在服务过程中接触到的采购人的任何资料、文件、数据以及对服务形成的任何交付物负有保密责任，未经采购人书面同意，中标方不得以任何形式进行利用，不得以任何方式向任何第三方提供或透露。中标方如违反上述保密规定，应承担相应违约责任。本保密义务不因本项目合同期满、解除或终止而终止，除非采购人书面通知中标方解密，否则，中标方在合同终止后仍然负有保密义务。</w:t>
      </w:r>
    </w:p>
    <w:p w14:paraId="23110D9A">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highlight w:val="none"/>
          <w:vertAlign w:val="baseline"/>
          <w:lang w:val="en-US" w:eastAsia="zh-CN"/>
        </w:rPr>
      </w:pPr>
      <w:bookmarkStart w:id="50" w:name="_Toc10858"/>
      <w:r>
        <w:rPr>
          <w:rFonts w:hint="eastAsia" w:ascii="仿宋" w:eastAsia="仿宋"/>
          <w:b/>
          <w:bCs/>
          <w:caps w:val="0"/>
          <w:smallCaps w:val="0"/>
          <w:vanish w:val="0"/>
          <w:color w:val="auto"/>
          <w:sz w:val="24"/>
          <w:szCs w:val="24"/>
          <w:highlight w:val="none"/>
          <w:vertAlign w:val="baseline"/>
          <w:lang w:val="en-US" w:eastAsia="zh-CN"/>
        </w:rPr>
        <w:t>提示：柴油动力源低排放要求</w:t>
      </w:r>
    </w:p>
    <w:p w14:paraId="5EDCA5E6">
      <w:pPr>
        <w:widowControl/>
        <w:snapToGrid w:val="0"/>
        <w:spacing w:line="480" w:lineRule="exact"/>
        <w:ind w:firstLine="480" w:firstLineChars="200"/>
        <w:rPr>
          <w:rFonts w:ascii="仿宋" w:eastAsia="仿宋"/>
          <w:b/>
          <w:bCs/>
          <w:color w:val="auto"/>
          <w:sz w:val="24"/>
          <w:highlight w:val="none"/>
        </w:rPr>
      </w:pPr>
      <w:r>
        <w:rPr>
          <w:rFonts w:hint="eastAsia" w:ascii="仿宋" w:eastAsia="仿宋"/>
          <w:caps w:val="0"/>
          <w:smallCaps w:val="0"/>
          <w:vanish w:val="0"/>
          <w:color w:val="auto"/>
          <w:sz w:val="24"/>
          <w:szCs w:val="24"/>
          <w:highlight w:val="none"/>
          <w:vertAlign w:val="baseline"/>
        </w:rPr>
        <w:t>根据《绍兴市柴油动力移动源排气污染防治办法》，采购需求中涉及以柴油作为动力来源的重型柴油车、船舶和非道路移动机械，则</w:t>
      </w:r>
      <w:r>
        <w:rPr>
          <w:rFonts w:hint="eastAsia" w:ascii="仿宋" w:eastAsia="仿宋"/>
          <w:caps w:val="0"/>
          <w:smallCaps w:val="0"/>
          <w:vanish w:val="0"/>
          <w:color w:val="auto"/>
          <w:sz w:val="24"/>
          <w:szCs w:val="24"/>
          <w:highlight w:val="none"/>
          <w:vertAlign w:val="baseline"/>
          <w:lang w:eastAsia="zh-CN"/>
        </w:rPr>
        <w:t>需要求</w:t>
      </w:r>
      <w:r>
        <w:rPr>
          <w:rFonts w:hint="eastAsia" w:ascii="仿宋" w:eastAsia="仿宋"/>
          <w:caps w:val="0"/>
          <w:smallCaps w:val="0"/>
          <w:vanish w:val="0"/>
          <w:color w:val="auto"/>
          <w:sz w:val="24"/>
          <w:szCs w:val="24"/>
          <w:highlight w:val="none"/>
          <w:vertAlign w:val="baseline"/>
        </w:rPr>
        <w:t>该动力源（发动机、发电机等）应当符合国家低排放要求并已向生态环境部门申领绿色编码。</w:t>
      </w:r>
    </w:p>
    <w:p w14:paraId="6E7A3E50">
      <w:pPr>
        <w:pStyle w:val="4"/>
        <w:keepNext/>
        <w:keepLines/>
        <w:pageBreakBefore w:val="0"/>
        <w:widowControl w:val="0"/>
        <w:suppressLineNumbers w:val="0"/>
        <w:suppressAutoHyphens w:val="0"/>
        <w:spacing w:line="415" w:lineRule="auto"/>
        <w:rPr>
          <w:rFonts w:hint="eastAsia" w:ascii="仿宋"/>
          <w:color w:val="auto"/>
          <w:highlight w:val="none"/>
        </w:rPr>
      </w:pPr>
      <w:r>
        <w:rPr>
          <w:rFonts w:hint="eastAsia" w:ascii="仿宋"/>
          <w:color w:val="auto"/>
          <w:highlight w:val="none"/>
        </w:rPr>
        <w:t>二、商务要求</w:t>
      </w:r>
      <w:bookmarkEnd w:id="50"/>
    </w:p>
    <w:p w14:paraId="1EBA4396">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★2.1供货期</w:t>
      </w:r>
    </w:p>
    <w:p w14:paraId="44DE4054">
      <w:pPr>
        <w:widowControl/>
        <w:snapToGrid w:val="0"/>
        <w:spacing w:line="480" w:lineRule="exact"/>
        <w:ind w:firstLine="0"/>
        <w:rPr>
          <w:rFonts w:hint="eastAsia" w:ascii="仿宋_GB2312" w:eastAsia="仿宋_GB2312" w:cs="Helvetica"/>
          <w:color w:val="auto"/>
          <w:kern w:val="0"/>
          <w:sz w:val="24"/>
          <w:highlight w:val="none"/>
        </w:rPr>
      </w:pPr>
      <w:r>
        <w:rPr>
          <w:rFonts w:ascii="仿宋_GB2312" w:eastAsia="仿宋_GB2312" w:cs="Helvetica"/>
          <w:color w:val="auto"/>
          <w:kern w:val="0"/>
          <w:sz w:val="24"/>
          <w:highlight w:val="none"/>
        </w:rPr>
        <w:t>合同签订后2个月内</w:t>
      </w:r>
      <w:r>
        <w:rPr>
          <w:rFonts w:hint="eastAsia" w:ascii="仿宋_GB2312" w:eastAsia="仿宋_GB2312" w:cs="Helvetica"/>
          <w:color w:val="auto"/>
          <w:kern w:val="0"/>
          <w:sz w:val="24"/>
          <w:highlight w:val="none"/>
        </w:rPr>
        <w:t>按采购</w:t>
      </w:r>
      <w:r>
        <w:rPr>
          <w:rFonts w:hint="eastAsia" w:ascii="仿宋_GB2312" w:hAnsi="Times New Roman" w:eastAsia="仿宋_GB2312" w:cs="Helvetica"/>
          <w:color w:val="auto"/>
          <w:kern w:val="0"/>
          <w:sz w:val="24"/>
          <w:highlight w:val="none"/>
        </w:rPr>
        <w:t>人要求完成设备供货、走航车的车辆改装及调试</w:t>
      </w:r>
      <w:r>
        <w:rPr>
          <w:rFonts w:hint="eastAsia" w:ascii="仿宋_GB2312" w:hAnsi="Times New Roman" w:eastAsia="仿宋_GB2312" w:cs="Helvetica"/>
          <w:color w:val="auto"/>
          <w:kern w:val="0"/>
          <w:sz w:val="24"/>
          <w:highlight w:val="none"/>
          <w:lang w:eastAsia="zh-CN"/>
        </w:rPr>
        <w:t>，</w:t>
      </w:r>
      <w:r>
        <w:rPr>
          <w:rFonts w:ascii="仿宋_GB2312" w:eastAsia="仿宋_GB2312" w:cs="Helvetica"/>
          <w:color w:val="auto"/>
          <w:kern w:val="0"/>
          <w:sz w:val="24"/>
          <w:highlight w:val="none"/>
        </w:rPr>
        <w:t>合同签订后</w:t>
      </w:r>
      <w:r>
        <w:rPr>
          <w:rFonts w:hint="eastAsia" w:ascii="仿宋_GB2312" w:hAnsi="Times New Roman" w:eastAsia="仿宋_GB2312" w:cs="Helvetica"/>
          <w:color w:val="auto"/>
          <w:kern w:val="0"/>
          <w:sz w:val="24"/>
          <w:highlight w:val="none"/>
          <w:lang w:val="en-US" w:eastAsia="zh-CN"/>
        </w:rPr>
        <w:t>5个月内完成车辆的上牌工作</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lang w:val="en-US" w:eastAsia="zh-CN"/>
        </w:rPr>
        <w:t>合同签订后，在本项目具备走航能力前，中标方需提供可满足采购人需求的同类型设备</w:t>
      </w:r>
      <w:r>
        <w:rPr>
          <w:rFonts w:hint="eastAsia" w:ascii="仿宋_GB2312" w:eastAsia="仿宋_GB2312" w:cs="Helvetica"/>
          <w:color w:val="auto"/>
          <w:kern w:val="0"/>
          <w:sz w:val="24"/>
          <w:highlight w:val="none"/>
          <w:lang w:val="en-US" w:eastAsia="zh-CN"/>
        </w:rPr>
        <w:t>并</w:t>
      </w:r>
      <w:r>
        <w:rPr>
          <w:rFonts w:hint="eastAsia" w:ascii="仿宋_GB2312" w:hAnsi="Times New Roman" w:eastAsia="仿宋_GB2312" w:cs="Helvetica"/>
          <w:color w:val="auto"/>
          <w:kern w:val="0"/>
          <w:sz w:val="24"/>
          <w:highlight w:val="none"/>
          <w:lang w:val="en-US" w:eastAsia="zh-CN"/>
        </w:rPr>
        <w:t>提供走航服务</w:t>
      </w:r>
      <w:r>
        <w:rPr>
          <w:rFonts w:hint="eastAsia" w:ascii="仿宋_GB2312" w:eastAsia="仿宋_GB2312" w:cs="Helvetica"/>
          <w:color w:val="auto"/>
          <w:kern w:val="0"/>
          <w:sz w:val="24"/>
          <w:highlight w:val="none"/>
          <w:lang w:val="en-US" w:eastAsia="zh-CN"/>
        </w:rPr>
        <w:t>，</w:t>
      </w:r>
      <w:r>
        <w:rPr>
          <w:rFonts w:hint="eastAsia" w:ascii="仿宋_GB2312" w:hAnsi="Times New Roman" w:eastAsia="仿宋_GB2312" w:cs="Helvetica"/>
          <w:color w:val="auto"/>
          <w:kern w:val="0"/>
          <w:sz w:val="24"/>
          <w:highlight w:val="none"/>
          <w:lang w:val="en-US" w:eastAsia="zh-CN"/>
        </w:rPr>
        <w:t>相关费用不再另行支付</w:t>
      </w:r>
      <w:r>
        <w:rPr>
          <w:rFonts w:hint="eastAsia" w:ascii="仿宋_GB2312" w:hAnsi="Times New Roman" w:eastAsia="仿宋_GB2312" w:cs="Helvetica"/>
          <w:color w:val="auto"/>
          <w:kern w:val="0"/>
          <w:sz w:val="24"/>
          <w:highlight w:val="none"/>
          <w:lang w:eastAsia="zh-CN"/>
        </w:rPr>
        <w:t>）</w:t>
      </w:r>
      <w:r>
        <w:rPr>
          <w:rFonts w:hint="eastAsia" w:ascii="仿宋_GB2312" w:hAnsi="Times New Roman" w:eastAsia="仿宋_GB2312" w:cs="Helvetica"/>
          <w:color w:val="auto"/>
          <w:kern w:val="0"/>
          <w:sz w:val="24"/>
          <w:highlight w:val="none"/>
        </w:rPr>
        <w:t>。</w:t>
      </w:r>
      <w:r>
        <w:rPr>
          <w:rFonts w:hint="eastAsia" w:ascii="仿宋_GB2312" w:hAnsi="Times New Roman" w:eastAsia="仿宋_GB2312" w:cs="Helvetica"/>
          <w:color w:val="auto"/>
          <w:kern w:val="0"/>
          <w:sz w:val="24"/>
          <w:highlight w:val="none"/>
          <w:lang w:val="en-US" w:eastAsia="zh-CN"/>
        </w:rPr>
        <w:t>上牌</w:t>
      </w:r>
      <w:r>
        <w:rPr>
          <w:rFonts w:hint="eastAsia" w:ascii="仿宋_GB2312" w:eastAsia="仿宋_GB2312" w:cs="Helvetica"/>
          <w:color w:val="auto"/>
          <w:kern w:val="0"/>
          <w:sz w:val="24"/>
          <w:highlight w:val="none"/>
          <w:lang w:val="en-US" w:eastAsia="zh-CN"/>
        </w:rPr>
        <w:t>完成并</w:t>
      </w:r>
      <w:r>
        <w:rPr>
          <w:rFonts w:hint="eastAsia" w:ascii="仿宋_GB2312" w:hAnsi="Times New Roman" w:eastAsia="仿宋_GB2312" w:cs="Helvetica"/>
          <w:color w:val="auto"/>
          <w:kern w:val="0"/>
          <w:sz w:val="24"/>
          <w:highlight w:val="none"/>
        </w:rPr>
        <w:t>正常运行</w:t>
      </w:r>
      <w:r>
        <w:rPr>
          <w:rFonts w:ascii="仿宋_GB2312" w:eastAsia="仿宋_GB2312" w:cs="Helvetica"/>
          <w:color w:val="auto"/>
          <w:kern w:val="0"/>
          <w:sz w:val="24"/>
          <w:highlight w:val="none"/>
        </w:rPr>
        <w:t>5</w:t>
      </w:r>
      <w:r>
        <w:rPr>
          <w:rFonts w:hint="eastAsia" w:ascii="仿宋_GB2312" w:eastAsia="仿宋_GB2312" w:cs="Helvetica"/>
          <w:color w:val="auto"/>
          <w:kern w:val="0"/>
          <w:sz w:val="24"/>
          <w:highlight w:val="none"/>
        </w:rPr>
        <w:t>个工作日后，由中标方提出初步验收申请，采购方应于</w:t>
      </w:r>
      <w:r>
        <w:rPr>
          <w:rFonts w:ascii="仿宋_GB2312" w:eastAsia="仿宋_GB2312" w:cs="Helvetica"/>
          <w:color w:val="auto"/>
          <w:kern w:val="0"/>
          <w:sz w:val="24"/>
          <w:highlight w:val="none"/>
        </w:rPr>
        <w:t>中标</w:t>
      </w:r>
      <w:r>
        <w:rPr>
          <w:rFonts w:hint="eastAsia" w:ascii="仿宋_GB2312" w:eastAsia="仿宋_GB2312" w:cs="Helvetica"/>
          <w:color w:val="auto"/>
          <w:kern w:val="0"/>
          <w:sz w:val="24"/>
          <w:highlight w:val="none"/>
        </w:rPr>
        <w:t>方提出验收申请后组织初步验收</w:t>
      </w:r>
      <w:r>
        <w:rPr>
          <w:rFonts w:ascii="仿宋_GB2312" w:eastAsia="仿宋_GB2312" w:cs="Helvetica"/>
          <w:color w:val="auto"/>
          <w:kern w:val="0"/>
          <w:sz w:val="24"/>
          <w:highlight w:val="none"/>
        </w:rPr>
        <w:t>。</w:t>
      </w:r>
      <w:r>
        <w:rPr>
          <w:rFonts w:hint="eastAsia" w:ascii="仿宋_GB2312" w:eastAsia="仿宋_GB2312" w:cs="Helvetica"/>
          <w:color w:val="auto"/>
          <w:kern w:val="0"/>
          <w:sz w:val="24"/>
          <w:highlight w:val="none"/>
        </w:rPr>
        <w:t>初步验收</w:t>
      </w:r>
      <w:r>
        <w:rPr>
          <w:rFonts w:hint="eastAsia" w:ascii="仿宋_GB2312" w:eastAsia="仿宋_GB2312" w:cs="Helvetica"/>
          <w:color w:val="auto"/>
          <w:kern w:val="0"/>
          <w:sz w:val="24"/>
          <w:highlight w:val="none"/>
          <w:lang w:val="en-US" w:eastAsia="zh-CN"/>
        </w:rPr>
        <w:t>通过并</w:t>
      </w:r>
      <w:r>
        <w:rPr>
          <w:rFonts w:hint="eastAsia" w:ascii="仿宋_GB2312" w:eastAsia="仿宋_GB2312" w:cs="Helvetica"/>
          <w:color w:val="auto"/>
          <w:kern w:val="0"/>
          <w:sz w:val="24"/>
          <w:highlight w:val="none"/>
        </w:rPr>
        <w:t>成功试运行三个月后，</w:t>
      </w:r>
      <w:r>
        <w:rPr>
          <w:rFonts w:ascii="仿宋_GB2312" w:eastAsia="仿宋_GB2312" w:cs="Helvetica"/>
          <w:color w:val="auto"/>
          <w:kern w:val="0"/>
          <w:sz w:val="24"/>
          <w:highlight w:val="none"/>
        </w:rPr>
        <w:t>采购方</w:t>
      </w:r>
      <w:r>
        <w:rPr>
          <w:rFonts w:hint="eastAsia" w:ascii="仿宋_GB2312" w:eastAsia="仿宋_GB2312" w:cs="Helvetica"/>
          <w:color w:val="auto"/>
          <w:kern w:val="0"/>
          <w:sz w:val="24"/>
          <w:highlight w:val="none"/>
        </w:rPr>
        <w:t>进行二次验收。</w:t>
      </w:r>
    </w:p>
    <w:p w14:paraId="3B6D5BB2">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2.2安装调试：</w:t>
      </w:r>
    </w:p>
    <w:p w14:paraId="0DA57EC2">
      <w:pPr>
        <w:widowControl/>
        <w:snapToGrid w:val="0"/>
        <w:spacing w:line="48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中标人负责设备的安装、调试，费用由中标人承担，请考虑到本次投标报价中。</w:t>
      </w:r>
    </w:p>
    <w:p w14:paraId="2510C8DF">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kern w:val="0"/>
          <w:sz w:val="24"/>
          <w:highlight w:val="none"/>
        </w:rPr>
        <w:t>★</w:t>
      </w:r>
      <w:r>
        <w:rPr>
          <w:rFonts w:hint="eastAsia" w:ascii="仿宋" w:eastAsia="仿宋"/>
          <w:b/>
          <w:bCs/>
          <w:color w:val="auto"/>
          <w:sz w:val="24"/>
          <w:highlight w:val="none"/>
        </w:rPr>
        <w:t>2.3质保期</w:t>
      </w:r>
    </w:p>
    <w:p w14:paraId="001B37CF">
      <w:pPr>
        <w:widowControl/>
        <w:snapToGrid w:val="0"/>
        <w:spacing w:line="480" w:lineRule="exact"/>
        <w:ind w:firstLine="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本项目产品质保期2年，自项目二次验收合格次日起计算。</w:t>
      </w:r>
    </w:p>
    <w:p w14:paraId="644A37D8">
      <w:pPr>
        <w:widowControl/>
        <w:snapToGrid w:val="0"/>
        <w:spacing w:line="480" w:lineRule="exact"/>
        <w:ind w:firstLine="0"/>
        <w:rPr>
          <w:rFonts w:hint="eastAsia" w:ascii="仿宋_GB2312" w:hAnsi="Times New Roman" w:eastAsia="仿宋_GB2312" w:cs="Helvetica"/>
          <w:color w:val="auto"/>
          <w:kern w:val="0"/>
          <w:sz w:val="24"/>
          <w:highlight w:val="none"/>
          <w:lang w:val="en-US" w:eastAsia="zh-CN"/>
        </w:rPr>
      </w:pPr>
      <w:r>
        <w:rPr>
          <w:rFonts w:hint="eastAsia" w:ascii="仿宋_GB2312" w:hAnsi="Times New Roman" w:eastAsia="仿宋_GB2312" w:cs="Helvetica"/>
          <w:color w:val="auto"/>
          <w:kern w:val="0"/>
          <w:sz w:val="24"/>
          <w:highlight w:val="none"/>
          <w:lang w:val="en-US" w:eastAsia="zh-CN"/>
        </w:rPr>
        <w:t>质保期内因产品本身缺陷（非人为因素）造成各种故障应由中标人免费技术服务、维修，以及故障部件的无偿更换（若中标人的质保期高于本要求的，按中标人承诺实行）。质保期后</w:t>
      </w:r>
      <w:r>
        <w:rPr>
          <w:rFonts w:hint="eastAsia" w:ascii="仿宋_GB2312" w:eastAsia="仿宋_GB2312" w:cs="Helvetica"/>
          <w:color w:val="auto"/>
          <w:kern w:val="0"/>
          <w:sz w:val="24"/>
          <w:highlight w:val="none"/>
          <w:lang w:val="en-US" w:eastAsia="zh-CN"/>
        </w:rPr>
        <w:t>根据采购人需求</w:t>
      </w:r>
      <w:r>
        <w:rPr>
          <w:rFonts w:hint="eastAsia" w:ascii="仿宋_GB2312" w:hAnsi="Times New Roman" w:eastAsia="仿宋_GB2312" w:cs="Helvetica"/>
          <w:color w:val="auto"/>
          <w:kern w:val="0"/>
          <w:sz w:val="24"/>
          <w:highlight w:val="none"/>
          <w:lang w:val="en-US" w:eastAsia="zh-CN"/>
        </w:rPr>
        <w:t>提供长期有偿优惠维修。</w:t>
      </w:r>
    </w:p>
    <w:p w14:paraId="59B057BE">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2.4技术培训</w:t>
      </w:r>
    </w:p>
    <w:p w14:paraId="3F727771">
      <w:pPr>
        <w:widowControl/>
        <w:snapToGrid w:val="0"/>
        <w:spacing w:line="48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中标人需针对该项目提供相应技术培训服务(至少15天30人次)，包括系统的安装、调试、日常操作、管理维护、数据分析等，并确保达到预定的培训目标。 投标人根据采购人需求所制定的目标和范围，提出相应的培训方案，包括培训目标、流程、人员、方式、内容、预期成效等内容，并作为投标文件的一部分提交。培训费用包含在项目总价内。</w:t>
      </w:r>
    </w:p>
    <w:p w14:paraId="7D128D13">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kern w:val="0"/>
          <w:sz w:val="24"/>
          <w:highlight w:val="none"/>
        </w:rPr>
        <w:t>★</w:t>
      </w:r>
      <w:r>
        <w:rPr>
          <w:rFonts w:hint="eastAsia" w:ascii="仿宋" w:eastAsia="仿宋"/>
          <w:b/>
          <w:bCs/>
          <w:color w:val="auto"/>
          <w:sz w:val="24"/>
          <w:highlight w:val="none"/>
        </w:rPr>
        <w:t>2.5付款方式</w:t>
      </w:r>
    </w:p>
    <w:p w14:paraId="0957CB7A">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在合同签订后</w:t>
      </w:r>
      <w:r>
        <w:rPr>
          <w:rFonts w:ascii="仿宋_GB2312" w:eastAsia="仿宋_GB2312" w:cs="Helvetica"/>
          <w:color w:val="auto"/>
          <w:kern w:val="0"/>
          <w:sz w:val="24"/>
          <w:highlight w:val="none"/>
        </w:rPr>
        <w:t>1</w:t>
      </w:r>
      <w:r>
        <w:rPr>
          <w:rFonts w:hint="eastAsia" w:ascii="仿宋_GB2312" w:eastAsia="仿宋_GB2312" w:cs="Helvetica"/>
          <w:color w:val="auto"/>
          <w:kern w:val="0"/>
          <w:sz w:val="24"/>
          <w:highlight w:val="none"/>
        </w:rPr>
        <w:t>5个工作日内支付给中标方合同价款总金额的</w:t>
      </w:r>
      <w:r>
        <w:rPr>
          <w:rFonts w:hint="eastAsia" w:ascii="仿宋_GB2312" w:eastAsia="仿宋_GB2312" w:cs="Helvetica"/>
          <w:color w:val="auto"/>
          <w:kern w:val="0"/>
          <w:sz w:val="24"/>
          <w:highlight w:val="none"/>
          <w:lang w:val="en-US" w:eastAsia="zh-CN"/>
        </w:rPr>
        <w:t>2</w:t>
      </w:r>
      <w:r>
        <w:rPr>
          <w:rFonts w:hint="eastAsia" w:ascii="仿宋_GB2312" w:eastAsia="仿宋_GB2312" w:cs="Helvetica"/>
          <w:color w:val="auto"/>
          <w:kern w:val="0"/>
          <w:sz w:val="24"/>
          <w:highlight w:val="none"/>
        </w:rPr>
        <w:t>0%作为预付款；完成设备供货、走航车的车辆改装及调试，正常运行</w:t>
      </w:r>
      <w:r>
        <w:rPr>
          <w:rFonts w:ascii="仿宋_GB2312" w:eastAsia="仿宋_GB2312" w:cs="Helvetica"/>
          <w:color w:val="auto"/>
          <w:kern w:val="0"/>
          <w:sz w:val="24"/>
          <w:highlight w:val="none"/>
        </w:rPr>
        <w:t>5</w:t>
      </w:r>
      <w:r>
        <w:rPr>
          <w:rFonts w:hint="eastAsia" w:ascii="仿宋_GB2312" w:eastAsia="仿宋_GB2312" w:cs="Helvetica"/>
          <w:color w:val="auto"/>
          <w:kern w:val="0"/>
          <w:sz w:val="24"/>
          <w:highlight w:val="none"/>
        </w:rPr>
        <w:t>个工作日后，进行初次验收，验收合格后</w:t>
      </w:r>
      <w:r>
        <w:rPr>
          <w:rFonts w:ascii="仿宋_GB2312" w:eastAsia="仿宋_GB2312" w:cs="Helvetica"/>
          <w:color w:val="auto"/>
          <w:kern w:val="0"/>
          <w:sz w:val="24"/>
          <w:highlight w:val="none"/>
        </w:rPr>
        <w:t>1</w:t>
      </w:r>
      <w:r>
        <w:rPr>
          <w:rFonts w:hint="eastAsia" w:ascii="仿宋_GB2312" w:eastAsia="仿宋_GB2312" w:cs="Helvetica"/>
          <w:color w:val="auto"/>
          <w:kern w:val="0"/>
          <w:sz w:val="24"/>
          <w:highlight w:val="none"/>
        </w:rPr>
        <w:t>5个工作日内支付合同价款总金额的</w:t>
      </w:r>
      <w:r>
        <w:rPr>
          <w:rFonts w:ascii="仿宋_GB2312" w:eastAsia="仿宋_GB2312" w:cs="Helvetica"/>
          <w:color w:val="auto"/>
          <w:kern w:val="0"/>
          <w:sz w:val="24"/>
          <w:highlight w:val="none"/>
        </w:rPr>
        <w:t>3</w:t>
      </w:r>
      <w:r>
        <w:rPr>
          <w:rFonts w:hint="eastAsia" w:ascii="仿宋_GB2312" w:eastAsia="仿宋_GB2312" w:cs="Helvetica"/>
          <w:color w:val="auto"/>
          <w:kern w:val="0"/>
          <w:sz w:val="24"/>
          <w:highlight w:val="none"/>
        </w:rPr>
        <w:t>0%</w:t>
      </w:r>
      <w:r>
        <w:rPr>
          <w:rFonts w:ascii="仿宋_GB2312" w:eastAsia="仿宋_GB2312" w:cs="Helvetica"/>
          <w:color w:val="auto"/>
          <w:kern w:val="0"/>
          <w:sz w:val="24"/>
          <w:highlight w:val="none"/>
        </w:rPr>
        <w:t>；</w:t>
      </w:r>
      <w:r>
        <w:rPr>
          <w:rFonts w:hint="eastAsia" w:ascii="仿宋_GB2312" w:eastAsia="仿宋_GB2312" w:cs="Helvetica"/>
          <w:color w:val="auto"/>
          <w:kern w:val="0"/>
          <w:sz w:val="24"/>
          <w:highlight w:val="none"/>
        </w:rPr>
        <w:t>走航车试运行三个月后，进行二次验收，验收合格后支付合同价款总金额的</w:t>
      </w:r>
      <w:r>
        <w:rPr>
          <w:rFonts w:hint="eastAsia" w:ascii="仿宋_GB2312" w:eastAsia="仿宋_GB2312" w:cs="Helvetica"/>
          <w:color w:val="auto"/>
          <w:kern w:val="0"/>
          <w:sz w:val="24"/>
          <w:highlight w:val="none"/>
          <w:lang w:val="en-US" w:eastAsia="zh-CN"/>
        </w:rPr>
        <w:t>3</w:t>
      </w:r>
      <w:r>
        <w:rPr>
          <w:rFonts w:hint="eastAsia" w:ascii="仿宋_GB2312" w:eastAsia="仿宋_GB2312" w:cs="Helvetica"/>
          <w:color w:val="auto"/>
          <w:kern w:val="0"/>
          <w:sz w:val="24"/>
          <w:highlight w:val="none"/>
        </w:rPr>
        <w:t>0%</w:t>
      </w:r>
      <w:r>
        <w:rPr>
          <w:rFonts w:ascii="仿宋_GB2312" w:eastAsia="仿宋_GB2312" w:cs="Helvetica"/>
          <w:color w:val="auto"/>
          <w:kern w:val="0"/>
          <w:sz w:val="24"/>
          <w:highlight w:val="none"/>
        </w:rPr>
        <w:t>，运维服务期满，根据考核结果结算项目尾款</w:t>
      </w:r>
      <w:r>
        <w:rPr>
          <w:rFonts w:hint="eastAsia" w:ascii="仿宋_GB2312" w:eastAsia="仿宋_GB2312" w:cs="Helvetica"/>
          <w:color w:val="auto"/>
          <w:kern w:val="0"/>
          <w:sz w:val="24"/>
          <w:highlight w:val="none"/>
        </w:rPr>
        <w:t>。</w:t>
      </w:r>
    </w:p>
    <w:p w14:paraId="480BEBAD">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合同签订后</w:t>
      </w:r>
      <w:r>
        <w:rPr>
          <w:rFonts w:ascii="仿宋_GB2312" w:eastAsia="仿宋_GB2312" w:cs="Helvetica"/>
          <w:color w:val="auto"/>
          <w:kern w:val="0"/>
          <w:sz w:val="24"/>
          <w:highlight w:val="none"/>
        </w:rPr>
        <w:t>1</w:t>
      </w:r>
      <w:r>
        <w:rPr>
          <w:rFonts w:hint="eastAsia" w:ascii="仿宋_GB2312" w:eastAsia="仿宋_GB2312" w:cs="Helvetica"/>
          <w:color w:val="auto"/>
          <w:kern w:val="0"/>
          <w:sz w:val="24"/>
          <w:highlight w:val="none"/>
        </w:rPr>
        <w:t>5个工作日内，中标方应以支票/汇票/电汇/或金融机构、担保机构出据的保函等非现金形式，向采购人提交合同金额1%的履约保证金。</w:t>
      </w:r>
    </w:p>
    <w:p w14:paraId="2CD06499">
      <w:pPr>
        <w:widowControl/>
        <w:snapToGrid w:val="0"/>
        <w:spacing w:line="480" w:lineRule="exact"/>
        <w:rPr>
          <w:rFonts w:hint="eastAsia" w:ascii="仿宋" w:eastAsia="仿宋"/>
          <w:b/>
          <w:bCs/>
          <w:color w:val="auto"/>
          <w:sz w:val="24"/>
          <w:highlight w:val="none"/>
        </w:rPr>
      </w:pPr>
      <w:r>
        <w:rPr>
          <w:rFonts w:hint="eastAsia" w:ascii="仿宋" w:eastAsia="仿宋"/>
          <w:b/>
          <w:bCs/>
          <w:color w:val="auto"/>
          <w:sz w:val="24"/>
          <w:highlight w:val="none"/>
        </w:rPr>
        <w:t>2.6售后服务</w:t>
      </w:r>
    </w:p>
    <w:p w14:paraId="3C8A2070">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（1）中标方需根据本次招标文件所制定的目标和范围，提出相应的技术及售后服务方案。只有经安装调试并且技术性能达到采购需求所述的技术要求后，采购人才能接受全部货物。</w:t>
      </w:r>
    </w:p>
    <w:p w14:paraId="5BAFF1EB">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2</w:t>
      </w:r>
      <w:r>
        <w:rPr>
          <w:rFonts w:hint="eastAsia" w:ascii="仿宋_GB2312" w:eastAsia="仿宋_GB2312" w:cs="Helvetica"/>
          <w:color w:val="auto"/>
          <w:kern w:val="0"/>
          <w:sz w:val="24"/>
          <w:highlight w:val="none"/>
        </w:rPr>
        <w:t>）质保期内在设备出现故障的2小时内给予问题的解答，如需现场解决，在故障发生的24小时内，中标方派技术人员到达现场，软件问题48小时解决，硬件问题72小时解决，如果72小时内还不能解决的提供备品备件或备机。</w:t>
      </w:r>
    </w:p>
    <w:p w14:paraId="13DDC0DC">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3</w:t>
      </w:r>
      <w:r>
        <w:rPr>
          <w:rFonts w:hint="eastAsia" w:ascii="仿宋_GB2312" w:eastAsia="仿宋_GB2312" w:cs="Helvetica"/>
          <w:color w:val="auto"/>
          <w:kern w:val="0"/>
          <w:sz w:val="24"/>
          <w:highlight w:val="none"/>
        </w:rPr>
        <w:t>）中标方应编制备品备件及耗材件等清单（详细列出所需的常用备品、备件和耗材清单以及日常维护所需的各种专用工具清单及价格，价格应不高于投标文件中同类产品的报价）。</w:t>
      </w:r>
    </w:p>
    <w:p w14:paraId="569CE7DC">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4</w:t>
      </w:r>
      <w:r>
        <w:rPr>
          <w:rFonts w:hint="eastAsia" w:ascii="仿宋_GB2312" w:eastAsia="仿宋_GB2312" w:cs="Helvetica"/>
          <w:color w:val="auto"/>
          <w:kern w:val="0"/>
          <w:sz w:val="24"/>
          <w:highlight w:val="none"/>
        </w:rPr>
        <w:t>）中标方</w:t>
      </w:r>
      <w:r>
        <w:rPr>
          <w:rFonts w:hint="eastAsia" w:ascii="仿宋_GB2312" w:eastAsia="仿宋_GB2312" w:cs="Helvetica"/>
          <w:color w:val="auto"/>
          <w:kern w:val="0"/>
          <w:sz w:val="24"/>
          <w:highlight w:val="none"/>
          <w:lang w:val="en-US" w:eastAsia="zh-CN"/>
        </w:rPr>
        <w:t>须</w:t>
      </w:r>
      <w:r>
        <w:rPr>
          <w:rFonts w:hint="eastAsia" w:ascii="仿宋_GB2312" w:eastAsia="仿宋_GB2312" w:cs="Helvetica"/>
          <w:color w:val="auto"/>
          <w:kern w:val="0"/>
          <w:sz w:val="24"/>
          <w:highlight w:val="none"/>
        </w:rPr>
        <w:t>对产品软件提供升级服务。升级服务包括主要版本的故障排除、版本维护、故障修复、补丁和主要版本升级等技术支持。</w:t>
      </w:r>
    </w:p>
    <w:p w14:paraId="3CED9FCA">
      <w:pPr>
        <w:pStyle w:val="14"/>
        <w:rPr>
          <w:rFonts w:hint="eastAsia"/>
          <w:color w:val="auto"/>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5</w:t>
      </w:r>
      <w:r>
        <w:rPr>
          <w:rFonts w:hint="eastAsia" w:ascii="仿宋_GB2312" w:eastAsia="仿宋_GB2312" w:cs="Helvetica"/>
          <w:color w:val="auto"/>
          <w:kern w:val="0"/>
          <w:sz w:val="24"/>
          <w:highlight w:val="none"/>
        </w:rPr>
        <w:t>）投标人有更优惠的售后服务承诺，请在投标书中单独列出。</w:t>
      </w:r>
    </w:p>
    <w:p w14:paraId="5846F054">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2.7数量调整</w:t>
      </w:r>
    </w:p>
    <w:p w14:paraId="446CE354">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招标人保留在签约时</w:t>
      </w:r>
      <w:r>
        <w:rPr>
          <w:rFonts w:ascii="仿宋" w:eastAsia="仿宋"/>
          <w:color w:val="auto"/>
          <w:kern w:val="0"/>
          <w:sz w:val="24"/>
          <w:highlight w:val="none"/>
          <w:u w:val="none"/>
        </w:rPr>
        <w:t>微调</w:t>
      </w:r>
      <w:r>
        <w:rPr>
          <w:rFonts w:hint="eastAsia" w:ascii="仿宋" w:eastAsia="仿宋"/>
          <w:color w:val="auto"/>
          <w:kern w:val="0"/>
          <w:sz w:val="24"/>
          <w:highlight w:val="none"/>
          <w:u w:val="none"/>
        </w:rPr>
        <w:t>部分方案及定购设备数量和服务的权力，投标人应对系统方案中设备和服务明细报价，按投标单价不变的前提下进行调整，双方不得拒绝。采购合同履行中追加与合同标的相同的货物、工程或者服务的采购金额不得超过原合同采购金额10%</w:t>
      </w:r>
      <w:r>
        <w:rPr>
          <w:rFonts w:ascii="仿宋" w:eastAsia="仿宋"/>
          <w:color w:val="auto"/>
          <w:kern w:val="0"/>
          <w:sz w:val="24"/>
          <w:highlight w:val="none"/>
          <w:u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u w:val="none"/>
        </w:rPr>
        <w:t>。</w:t>
      </w:r>
    </w:p>
    <w:p w14:paraId="68F03818">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如遇本次招标没有涉及的设备或服务时，由中标人提供申请，招标人确认后实施。</w:t>
      </w:r>
    </w:p>
    <w:p w14:paraId="74FB1117">
      <w:pPr>
        <w:tabs>
          <w:tab w:val="left" w:pos="0"/>
        </w:tabs>
        <w:spacing w:line="360" w:lineRule="auto"/>
        <w:ind w:firstLine="482" w:firstLineChars="200"/>
        <w:rPr>
          <w:rFonts w:hint="default" w:ascii="仿宋" w:hAnsi="仿宋" w:eastAsia="仿宋" w:cs="仿宋"/>
          <w:b/>
          <w:bCs/>
          <w:color w:val="auto"/>
          <w:sz w:val="24"/>
          <w:highlight w:val="none"/>
          <w:lang w:val="en-US" w:eastAsia="zh-CN"/>
        </w:rPr>
      </w:pPr>
      <w:r>
        <w:rPr>
          <w:rFonts w:hint="eastAsia" w:ascii="仿宋" w:eastAsia="仿宋"/>
          <w:b/>
          <w:bCs/>
          <w:color w:val="auto"/>
          <w:kern w:val="0"/>
          <w:sz w:val="24"/>
          <w:highlight w:val="none"/>
          <w:u w:val="none"/>
        </w:rPr>
        <w:t>2.8</w:t>
      </w:r>
      <w:r>
        <w:rPr>
          <w:rFonts w:hint="eastAsia" w:ascii="仿宋" w:hAnsi="仿宋" w:eastAsia="仿宋" w:cs="仿宋"/>
          <w:b/>
          <w:bCs/>
          <w:color w:val="auto"/>
          <w:sz w:val="24"/>
          <w:highlight w:val="none"/>
          <w:lang w:val="en-US" w:eastAsia="zh-CN"/>
        </w:rPr>
        <w:t>项目要求</w:t>
      </w:r>
    </w:p>
    <w:p w14:paraId="59597EDC">
      <w:pPr>
        <w:tabs>
          <w:tab w:val="left" w:pos="0"/>
        </w:tabs>
        <w:spacing w:line="360" w:lineRule="auto"/>
        <w:ind w:firstLine="482" w:firstLineChars="200"/>
        <w:rPr>
          <w:rFonts w:hint="eastAsia" w:ascii="仿宋_GB2312" w:eastAsia="仿宋_GB2312" w:cs="Helvetica"/>
          <w:b/>
          <w:bCs/>
          <w:color w:val="auto"/>
          <w:kern w:val="0"/>
          <w:sz w:val="24"/>
          <w:highlight w:val="none"/>
          <w:lang w:val="en-US" w:eastAsia="zh-CN"/>
        </w:rPr>
      </w:pPr>
      <w:r>
        <w:rPr>
          <w:rFonts w:hint="eastAsia" w:ascii="仿宋" w:hAnsi="仿宋" w:eastAsia="仿宋" w:cs="仿宋"/>
          <w:b/>
          <w:bCs/>
          <w:color w:val="auto"/>
          <w:sz w:val="24"/>
          <w:highlight w:val="none"/>
          <w:lang w:val="en-US" w:eastAsia="zh-CN"/>
        </w:rPr>
        <w:t>2.7.1</w:t>
      </w:r>
      <w:r>
        <w:rPr>
          <w:rFonts w:hint="eastAsia" w:ascii="仿宋_GB2312" w:eastAsia="仿宋_GB2312" w:cs="Helvetica"/>
          <w:b/>
          <w:bCs/>
          <w:color w:val="auto"/>
          <w:kern w:val="0"/>
          <w:sz w:val="24"/>
          <w:highlight w:val="none"/>
          <w:lang w:val="zh-CN"/>
        </w:rPr>
        <w:t>履约验收</w:t>
      </w:r>
      <w:r>
        <w:rPr>
          <w:rFonts w:hint="eastAsia" w:ascii="仿宋_GB2312" w:eastAsia="仿宋_GB2312" w:cs="Helvetica"/>
          <w:b/>
          <w:bCs/>
          <w:color w:val="auto"/>
          <w:kern w:val="0"/>
          <w:sz w:val="24"/>
          <w:highlight w:val="none"/>
          <w:lang w:val="en-US" w:eastAsia="zh-CN"/>
        </w:rPr>
        <w:t>要求</w:t>
      </w:r>
    </w:p>
    <w:p w14:paraId="67B83038">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（1）验收方式：本项目</w:t>
      </w:r>
      <w:r>
        <w:rPr>
          <w:rFonts w:ascii="仿宋_GB2312" w:eastAsia="仿宋_GB2312" w:cs="Helvetica"/>
          <w:color w:val="auto"/>
          <w:kern w:val="0"/>
          <w:sz w:val="24"/>
          <w:highlight w:val="none"/>
        </w:rPr>
        <w:t>初次验收由采购人邀请</w:t>
      </w:r>
      <w:r>
        <w:rPr>
          <w:rFonts w:hint="eastAsia" w:ascii="仿宋_GB2312" w:eastAsia="仿宋_GB2312" w:cs="Helvetica"/>
          <w:color w:val="auto"/>
          <w:kern w:val="0"/>
          <w:sz w:val="24"/>
          <w:highlight w:val="none"/>
          <w:lang w:val="en-US" w:eastAsia="zh-CN"/>
        </w:rPr>
        <w:t>相关行业专家或</w:t>
      </w:r>
      <w:r>
        <w:rPr>
          <w:rFonts w:ascii="仿宋_GB2312" w:eastAsia="仿宋_GB2312" w:cs="Helvetica"/>
          <w:color w:val="auto"/>
          <w:kern w:val="0"/>
          <w:sz w:val="24"/>
          <w:highlight w:val="none"/>
        </w:rPr>
        <w:t>国家认可的专业检测机构参与，并由其出具质量检测报告。二次验收</w:t>
      </w:r>
      <w:r>
        <w:rPr>
          <w:rFonts w:hint="eastAsia" w:ascii="仿宋_GB2312" w:eastAsia="仿宋_GB2312" w:cs="Helvetica"/>
          <w:color w:val="auto"/>
          <w:kern w:val="0"/>
          <w:sz w:val="24"/>
          <w:highlight w:val="none"/>
        </w:rPr>
        <w:t>采用专家评审方式，由验收组出具验收证明。</w:t>
      </w:r>
    </w:p>
    <w:p w14:paraId="729A22D9">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（2）验收标准：验收参考长三角区域地方标准《长三角生态绿色一体化发展示范区挥发性有机物走航监测技术规范》、《大气气溶胶激光雷达技术要求及检测方法作业指导书》。</w:t>
      </w:r>
    </w:p>
    <w:p w14:paraId="52D8DFEB">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本合同货物到达采购人指定现场后，由采购人和中标方共同根据货物装箱单及本合同设备配置清单对货物进行开箱检查，检查内容</w:t>
      </w:r>
      <w:r>
        <w:rPr>
          <w:rFonts w:ascii="仿宋_GB2312" w:eastAsia="仿宋_GB2312" w:cs="Helvetica"/>
          <w:color w:val="auto"/>
          <w:kern w:val="0"/>
          <w:sz w:val="24"/>
          <w:highlight w:val="none"/>
        </w:rPr>
        <w:t>包括但不限于</w:t>
      </w:r>
      <w:r>
        <w:rPr>
          <w:rFonts w:hint="eastAsia" w:ascii="仿宋_GB2312" w:eastAsia="仿宋_GB2312" w:cs="Helvetica"/>
          <w:color w:val="auto"/>
          <w:kern w:val="0"/>
          <w:sz w:val="24"/>
          <w:highlight w:val="none"/>
        </w:rPr>
        <w:t>：</w:t>
      </w:r>
    </w:p>
    <w:p w14:paraId="63A5BF1D">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a.核对仪器配置、备件的名称、型号、规格、数量、产地、订货号是否符合合同要求，检查仪器及备件外观是否完好无损。</w:t>
      </w:r>
    </w:p>
    <w:p w14:paraId="148C0D87">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b.检查仪器技术资料，仪器出厂测试数据表、产品说明书、产品合格证、保修保养证书、设备原理图是否配备齐全。</w:t>
      </w:r>
    </w:p>
    <w:p w14:paraId="2F347036">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c.开箱检查结果双方应在开箱验收单上作完整记录。</w:t>
      </w:r>
    </w:p>
    <w:p w14:paraId="26DF3453">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d.完成设备集成、安装及调试工作，并顺利试运行。</w:t>
      </w:r>
    </w:p>
    <w:p w14:paraId="27AFFD58">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3）中标方在提供服务过程中如存在违反合同相关约定情况的，采购人有权要求中标方立即整改，中标方未按要求整改的，采购人有权拒绝验收，并可中止合同履行，中标方承担因此发生的一切损失、费用及延误责任。</w:t>
      </w:r>
    </w:p>
    <w:p w14:paraId="2465AC62">
      <w:pPr>
        <w:tabs>
          <w:tab w:val="left" w:pos="0"/>
        </w:tabs>
        <w:spacing w:line="360" w:lineRule="auto"/>
        <w:ind w:firstLine="482" w:firstLineChars="200"/>
        <w:rPr>
          <w:rFonts w:hint="eastAsia" w:ascii="仿宋_GB2312" w:eastAsia="仿宋_GB2312" w:cs="Helvetica"/>
          <w:b/>
          <w:bCs/>
          <w:color w:val="auto"/>
          <w:kern w:val="0"/>
          <w:sz w:val="24"/>
          <w:highlight w:val="none"/>
          <w:lang w:val="zh-CN"/>
        </w:rPr>
      </w:pPr>
      <w:r>
        <w:rPr>
          <w:rFonts w:hint="eastAsia" w:ascii="仿宋" w:hAnsi="仿宋" w:eastAsia="仿宋" w:cs="仿宋"/>
          <w:b/>
          <w:bCs/>
          <w:color w:val="auto"/>
          <w:sz w:val="24"/>
          <w:highlight w:val="none"/>
          <w:lang w:val="en-US" w:eastAsia="zh-CN"/>
        </w:rPr>
        <w:t>2.7.2</w:t>
      </w:r>
      <w:r>
        <w:rPr>
          <w:rFonts w:hint="eastAsia" w:ascii="仿宋_GB2312" w:eastAsia="仿宋_GB2312" w:cs="Helvetica"/>
          <w:b/>
          <w:bCs/>
          <w:color w:val="auto"/>
          <w:kern w:val="0"/>
          <w:sz w:val="24"/>
          <w:highlight w:val="none"/>
          <w:lang w:val="zh-CN"/>
        </w:rPr>
        <w:t>项目其它要求</w:t>
      </w:r>
    </w:p>
    <w:p w14:paraId="67D26514">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1）投标人根据采购需求内容对整个项目按国家相关标准做深化设计，将本项目涉及所有线缆、软件、硬件设备等全部配齐，并列出具体清单。采购内容中未明确品牌的相关产品，投标人在选择投标产品时应充分考虑其与本项目其它设备的配套性和合理性。</w:t>
      </w:r>
    </w:p>
    <w:p w14:paraId="0011AB7A">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2</w:t>
      </w:r>
      <w:r>
        <w:rPr>
          <w:rFonts w:hint="eastAsia" w:ascii="仿宋_GB2312" w:eastAsia="仿宋_GB2312" w:cs="Helvetica"/>
          <w:color w:val="auto"/>
          <w:kern w:val="0"/>
          <w:sz w:val="24"/>
          <w:highlight w:val="none"/>
        </w:rPr>
        <w:t>）项目实施人员按招标文件要求确定，确定后不得随意更改，如对其他实施人员进行变更，应经过采购人书面同意；如果投标人认为有必要，可以增加项目实施人员。</w:t>
      </w:r>
    </w:p>
    <w:p w14:paraId="70F3B861">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3</w:t>
      </w:r>
      <w:r>
        <w:rPr>
          <w:rFonts w:hint="eastAsia" w:ascii="仿宋_GB2312" w:eastAsia="仿宋_GB2312" w:cs="Helvetica"/>
          <w:color w:val="auto"/>
          <w:kern w:val="0"/>
          <w:sz w:val="24"/>
          <w:highlight w:val="none"/>
        </w:rPr>
        <w:t>）中标方按项目需求及国家有关规范标准进行安装调试，确保安全生产，中标方在项目施工过程中如造成人员伤亡、财产损失的，有关责任均由中标方承担。</w:t>
      </w:r>
    </w:p>
    <w:p w14:paraId="23DB1BC1">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4</w:t>
      </w:r>
      <w:r>
        <w:rPr>
          <w:rFonts w:hint="eastAsia" w:ascii="仿宋_GB2312" w:eastAsia="仿宋_GB2312" w:cs="Helvetica"/>
          <w:color w:val="auto"/>
          <w:kern w:val="0"/>
          <w:sz w:val="24"/>
          <w:highlight w:val="none"/>
        </w:rPr>
        <w:t>）本项目完工后，中标方要作详细的验收资料，以便日后管理和维护。</w:t>
      </w:r>
    </w:p>
    <w:p w14:paraId="0F360276">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w:t>
      </w:r>
      <w:r>
        <w:rPr>
          <w:rFonts w:hint="eastAsia" w:ascii="仿宋_GB2312" w:eastAsia="仿宋_GB2312" w:cs="Helvetica"/>
          <w:color w:val="auto"/>
          <w:kern w:val="0"/>
          <w:sz w:val="24"/>
          <w:highlight w:val="none"/>
          <w:lang w:val="en-US" w:eastAsia="zh-CN"/>
        </w:rPr>
        <w:t>5</w:t>
      </w:r>
      <w:r>
        <w:rPr>
          <w:rFonts w:hint="eastAsia" w:ascii="仿宋_GB2312" w:eastAsia="仿宋_GB2312" w:cs="Helvetica"/>
          <w:color w:val="auto"/>
          <w:kern w:val="0"/>
          <w:sz w:val="24"/>
          <w:highlight w:val="none"/>
        </w:rPr>
        <w:t>）中标方应负责完成车辆改装、设备集成安装、调试运行直到二次验收合格并承担相应费用。</w:t>
      </w:r>
    </w:p>
    <w:p w14:paraId="09A71B26">
      <w:pPr>
        <w:widowControl/>
        <w:snapToGrid w:val="0"/>
        <w:spacing w:line="48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其他</w:t>
      </w:r>
    </w:p>
    <w:p w14:paraId="3163080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中标人提供的设备应符合现有国家有关规范标准，若国家出台新规范标准，应符合新规范标准。</w:t>
      </w:r>
    </w:p>
    <w:p w14:paraId="0CEA358A">
      <w:pPr>
        <w:widowControl/>
        <w:snapToGrid w:val="0"/>
        <w:spacing w:line="480" w:lineRule="exact"/>
        <w:rPr>
          <w:rFonts w:hint="eastAsia" w:ascii="仿宋_GB2312" w:eastAsia="仿宋_GB2312" w:cs="Helvetica"/>
          <w:b/>
          <w:bCs/>
          <w:color w:val="auto"/>
          <w:kern w:val="0"/>
          <w:sz w:val="24"/>
          <w:highlight w:val="none"/>
          <w:lang w:val="zh-CN"/>
        </w:rPr>
      </w:pPr>
      <w:r>
        <w:rPr>
          <w:rFonts w:hint="eastAsia" w:ascii="仿宋" w:hAnsi="仿宋" w:eastAsia="仿宋" w:cs="仿宋"/>
          <w:b/>
          <w:bCs/>
          <w:color w:val="auto"/>
          <w:sz w:val="24"/>
          <w:highlight w:val="none"/>
          <w:lang w:val="en-US" w:eastAsia="zh-CN"/>
        </w:rPr>
        <w:t>2.9</w:t>
      </w:r>
      <w:r>
        <w:rPr>
          <w:rFonts w:hint="eastAsia" w:ascii="仿宋_GB2312" w:eastAsia="仿宋_GB2312" w:cs="Helvetica"/>
          <w:b/>
          <w:bCs/>
          <w:color w:val="auto"/>
          <w:kern w:val="0"/>
          <w:sz w:val="24"/>
          <w:highlight w:val="none"/>
          <w:lang w:val="zh-CN"/>
        </w:rPr>
        <w:t>考核</w:t>
      </w:r>
      <w:r>
        <w:rPr>
          <w:rFonts w:ascii="仿宋_GB2312" w:eastAsia="仿宋_GB2312" w:cs="Helvetica"/>
          <w:b/>
          <w:bCs/>
          <w:color w:val="auto"/>
          <w:kern w:val="0"/>
          <w:sz w:val="24"/>
          <w:highlight w:val="none"/>
          <w:lang w:val="zh-CN"/>
        </w:rPr>
        <w:t>要求</w:t>
      </w:r>
    </w:p>
    <w:p w14:paraId="6CF7BC4D">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运维</w:t>
      </w:r>
      <w:r>
        <w:rPr>
          <w:rFonts w:ascii="仿宋_GB2312" w:eastAsia="仿宋_GB2312" w:cs="Helvetica"/>
          <w:color w:val="auto"/>
          <w:kern w:val="0"/>
          <w:sz w:val="24"/>
          <w:highlight w:val="none"/>
        </w:rPr>
        <w:t>服务期满，</w:t>
      </w:r>
      <w:r>
        <w:rPr>
          <w:rFonts w:hint="eastAsia" w:ascii="仿宋_GB2312" w:eastAsia="仿宋_GB2312" w:cs="Helvetica"/>
          <w:color w:val="auto"/>
          <w:kern w:val="0"/>
          <w:sz w:val="24"/>
          <w:highlight w:val="none"/>
        </w:rPr>
        <w:t>采购人组织开展对中标方的走航服务天数、数据分析服务成果数量及质量</w:t>
      </w:r>
      <w:r>
        <w:rPr>
          <w:rFonts w:hint="eastAsia" w:ascii="仿宋_GB2312" w:eastAsia="仿宋_GB2312" w:cs="Helvetica"/>
          <w:color w:val="auto"/>
          <w:kern w:val="0"/>
          <w:sz w:val="24"/>
          <w:highlight w:val="none"/>
          <w:lang w:eastAsia="zh-CN"/>
        </w:rPr>
        <w:t>、</w:t>
      </w:r>
      <w:r>
        <w:rPr>
          <w:rFonts w:hint="eastAsia" w:ascii="仿宋_GB2312" w:eastAsia="仿宋_GB2312" w:cs="Helvetica"/>
          <w:color w:val="auto"/>
          <w:kern w:val="0"/>
          <w:sz w:val="24"/>
          <w:highlight w:val="none"/>
        </w:rPr>
        <w:t>运维服务进行考核。</w:t>
      </w:r>
    </w:p>
    <w:p w14:paraId="31A593EB">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考核总分=走航服务天数得分+数据分析报告得分+运维得分</w:t>
      </w:r>
    </w:p>
    <w:p w14:paraId="3A50F11E">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（1）走航服务天数得分（30分）</w:t>
      </w:r>
    </w:p>
    <w:p w14:paraId="20F2B210">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达到或超过采购人要求走航天数的，得30分，每少一天扣2分，扣完为止。</w:t>
      </w:r>
    </w:p>
    <w:p w14:paraId="1945AAC2">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（2）数据分析报告得分（40分）</w:t>
      </w:r>
    </w:p>
    <w:p w14:paraId="33ABADF6">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数据分析报告检查内容主要为报告数量和质量，要求在</w:t>
      </w:r>
      <w:r>
        <w:rPr>
          <w:rFonts w:ascii="仿宋_GB2312" w:eastAsia="仿宋_GB2312" w:cs="Helvetica"/>
          <w:color w:val="auto"/>
          <w:kern w:val="0"/>
          <w:sz w:val="24"/>
          <w:highlight w:val="none"/>
        </w:rPr>
        <w:t>1</w:t>
      </w:r>
      <w:r>
        <w:rPr>
          <w:rFonts w:hint="eastAsia" w:ascii="仿宋_GB2312" w:eastAsia="仿宋_GB2312" w:cs="Helvetica"/>
          <w:color w:val="auto"/>
          <w:kern w:val="0"/>
          <w:sz w:val="24"/>
          <w:highlight w:val="none"/>
        </w:rPr>
        <w:t>年服务期内提供至少1</w:t>
      </w:r>
      <w:r>
        <w:rPr>
          <w:rFonts w:ascii="仿宋_GB2312" w:eastAsia="仿宋_GB2312" w:cs="Helvetica"/>
          <w:color w:val="auto"/>
          <w:kern w:val="0"/>
          <w:sz w:val="24"/>
          <w:highlight w:val="none"/>
        </w:rPr>
        <w:t>2</w:t>
      </w:r>
      <w:r>
        <w:rPr>
          <w:rFonts w:hint="eastAsia" w:ascii="仿宋_GB2312" w:eastAsia="仿宋_GB2312" w:cs="Helvetica"/>
          <w:color w:val="auto"/>
          <w:kern w:val="0"/>
          <w:sz w:val="24"/>
          <w:highlight w:val="none"/>
        </w:rPr>
        <w:t>0份走航监测分析报告，并严格按照用户的数据分析要求进行报告编写，只有报告质量符合要求的报告方可计入考核报告总数中，满足得40分，缺少1份扣3分，扣完为止。</w:t>
      </w:r>
    </w:p>
    <w:p w14:paraId="5BFAE464">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（3）运维得分(30分)</w:t>
      </w:r>
    </w:p>
    <w:p w14:paraId="059E0AE7">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运维检查内容包括日常运维任务完成情况、异常情况处理情况、仪器日常维护效果、质控考核情况、人员与档案记录管理情况等，每项分值20分。检查满分100 分，考核时运维得分=检查得分×0.3。</w:t>
      </w:r>
    </w:p>
    <w:p w14:paraId="7BF7D7BA">
      <w:pPr>
        <w:tabs>
          <w:tab w:val="left" w:pos="0"/>
        </w:tabs>
        <w:spacing w:line="360" w:lineRule="auto"/>
        <w:ind w:firstLine="480" w:firstLineChars="200"/>
        <w:rPr>
          <w:rFonts w:hint="eastAsia" w:ascii="仿宋_GB2312" w:eastAsia="仿宋_GB2312" w:cs="Helvetica"/>
          <w:color w:val="auto"/>
          <w:kern w:val="0"/>
          <w:sz w:val="24"/>
          <w:highlight w:val="none"/>
        </w:rPr>
      </w:pPr>
      <w:r>
        <w:rPr>
          <w:rFonts w:hint="eastAsia" w:ascii="仿宋_GB2312" w:eastAsia="仿宋_GB2312" w:cs="Helvetica"/>
          <w:color w:val="auto"/>
          <w:kern w:val="0"/>
          <w:sz w:val="24"/>
          <w:highlight w:val="none"/>
        </w:rPr>
        <w:t>考核结果在 90分（含）以上的为合格。</w:t>
      </w:r>
    </w:p>
    <w:p w14:paraId="54031202">
      <w:pPr>
        <w:tabs>
          <w:tab w:val="left" w:pos="0"/>
        </w:tabs>
        <w:spacing w:line="360" w:lineRule="auto"/>
        <w:ind w:firstLine="480" w:firstLineChars="200"/>
        <w:rPr>
          <w:rFonts w:ascii="仿宋_GB2312" w:eastAsia="仿宋_GB2312" w:cs="Helvetica"/>
          <w:color w:val="auto"/>
          <w:kern w:val="0"/>
          <w:sz w:val="24"/>
          <w:highlight w:val="none"/>
        </w:rPr>
      </w:pPr>
      <w:r>
        <w:rPr>
          <w:rFonts w:hint="eastAsia" w:ascii="仿宋_GB2312" w:eastAsia="仿宋_GB2312" w:cs="Helvetica"/>
          <w:color w:val="auto"/>
          <w:kern w:val="0"/>
          <w:sz w:val="24"/>
          <w:highlight w:val="none"/>
        </w:rPr>
        <w:t>考核结果在</w:t>
      </w:r>
      <w:r>
        <w:rPr>
          <w:rFonts w:ascii="仿宋_GB2312" w:eastAsia="仿宋_GB2312" w:cs="Helvetica"/>
          <w:color w:val="auto"/>
          <w:kern w:val="0"/>
          <w:sz w:val="24"/>
          <w:highlight w:val="none"/>
        </w:rPr>
        <w:t>90</w:t>
      </w:r>
      <w:r>
        <w:rPr>
          <w:rFonts w:hint="eastAsia" w:ascii="仿宋_GB2312" w:eastAsia="仿宋_GB2312" w:cs="Helvetica"/>
          <w:color w:val="auto"/>
          <w:kern w:val="0"/>
          <w:sz w:val="24"/>
          <w:highlight w:val="none"/>
        </w:rPr>
        <w:t>分以下</w:t>
      </w:r>
      <w:r>
        <w:rPr>
          <w:rFonts w:ascii="仿宋_GB2312" w:eastAsia="仿宋_GB2312" w:cs="Helvetica"/>
          <w:color w:val="auto"/>
          <w:kern w:val="0"/>
          <w:sz w:val="24"/>
          <w:highlight w:val="none"/>
        </w:rPr>
        <w:t>的</w:t>
      </w:r>
      <w:r>
        <w:rPr>
          <w:rFonts w:hint="eastAsia" w:ascii="仿宋_GB2312" w:eastAsia="仿宋_GB2312" w:cs="Helvetica"/>
          <w:color w:val="auto"/>
          <w:kern w:val="0"/>
          <w:sz w:val="24"/>
          <w:highlight w:val="none"/>
        </w:rPr>
        <w:t>，</w:t>
      </w:r>
      <w:r>
        <w:rPr>
          <w:rFonts w:ascii="仿宋_GB2312" w:eastAsia="仿宋_GB2312" w:cs="Helvetica"/>
          <w:color w:val="auto"/>
          <w:kern w:val="0"/>
          <w:sz w:val="24"/>
          <w:highlight w:val="none"/>
        </w:rPr>
        <w:t>为不合格，采购人有权根据不合格得分按比例扣除项目尾款。</w:t>
      </w:r>
    </w:p>
    <w:p w14:paraId="6711026A">
      <w:pPr>
        <w:widowControl/>
        <w:snapToGrid w:val="0"/>
        <w:spacing w:line="480" w:lineRule="exact"/>
        <w:ind w:firstLine="480" w:firstLineChars="200"/>
        <w:rPr>
          <w:rFonts w:ascii="仿宋" w:eastAsia="仿宋"/>
          <w:color w:val="auto"/>
          <w:kern w:val="0"/>
          <w:sz w:val="24"/>
          <w:highlight w:val="none"/>
          <w:u w:val="none"/>
        </w:rPr>
      </w:pPr>
      <w:r>
        <w:rPr>
          <w:rFonts w:ascii="仿宋_GB2312" w:eastAsia="仿宋_GB2312" w:cs="Helvetica"/>
          <w:color w:val="auto"/>
          <w:kern w:val="0"/>
          <w:sz w:val="24"/>
          <w:highlight w:val="none"/>
        </w:rPr>
        <w:t>具体计算公式：设实际考核得分为A，当A＜90时,实际支付尾款金额=</w:t>
      </w:r>
      <w:r>
        <w:rPr>
          <w:rFonts w:hint="eastAsia" w:ascii="仿宋_GB2312" w:eastAsia="仿宋_GB2312" w:cs="Helvetica"/>
          <w:color w:val="auto"/>
          <w:kern w:val="0"/>
          <w:sz w:val="24"/>
          <w:highlight w:val="none"/>
          <w:lang w:eastAsia="zh-CN"/>
        </w:rPr>
        <w:t>剩余</w:t>
      </w:r>
      <w:r>
        <w:rPr>
          <w:rFonts w:ascii="仿宋_GB2312" w:eastAsia="仿宋_GB2312" w:cs="Helvetica"/>
          <w:color w:val="auto"/>
          <w:kern w:val="0"/>
          <w:sz w:val="24"/>
          <w:highlight w:val="none"/>
        </w:rPr>
        <w:t>尾款金额*A/90</w:t>
      </w:r>
      <w:r>
        <w:rPr>
          <w:rFonts w:hint="eastAsia" w:ascii="仿宋_GB2312" w:eastAsia="仿宋_GB2312" w:cs="Helvetica"/>
          <w:color w:val="auto"/>
          <w:kern w:val="0"/>
          <w:sz w:val="24"/>
          <w:highlight w:val="none"/>
          <w:lang w:eastAsia="zh-CN"/>
        </w:rPr>
        <w:t>，金额精确到分</w:t>
      </w:r>
      <w:r>
        <w:rPr>
          <w:rFonts w:hint="eastAsia" w:ascii="仿宋_GB2312" w:eastAsia="仿宋_GB2312" w:cs="Helvetica"/>
          <w:color w:val="auto"/>
          <w:kern w:val="0"/>
          <w:sz w:val="24"/>
          <w:highlight w:val="none"/>
        </w:rPr>
        <w:t>。</w:t>
      </w:r>
    </w:p>
    <w:p w14:paraId="34AC9431">
      <w:pPr>
        <w:widowControl/>
        <w:snapToGrid w:val="0"/>
        <w:spacing w:line="480" w:lineRule="exact"/>
        <w:ind w:firstLine="480" w:firstLineChars="200"/>
        <w:rPr>
          <w:rFonts w:ascii="仿宋" w:eastAsia="仿宋"/>
          <w:color w:val="auto"/>
          <w:kern w:val="0"/>
          <w:sz w:val="24"/>
          <w:highlight w:val="none"/>
          <w:u w:val="none"/>
        </w:rPr>
      </w:pPr>
    </w:p>
    <w:p w14:paraId="51FDF017">
      <w:pPr>
        <w:widowControl/>
        <w:snapToGrid w:val="0"/>
        <w:spacing w:line="480" w:lineRule="exact"/>
        <w:ind w:firstLine="480" w:firstLineChars="200"/>
        <w:rPr>
          <w:rFonts w:ascii="仿宋" w:eastAsia="仿宋"/>
          <w:color w:val="auto"/>
          <w:kern w:val="0"/>
          <w:sz w:val="24"/>
          <w:highlight w:val="none"/>
          <w:u w:val="none"/>
        </w:rPr>
      </w:pPr>
    </w:p>
    <w:p w14:paraId="6983DD2A">
      <w:pPr>
        <w:widowControl/>
        <w:snapToGrid w:val="0"/>
        <w:spacing w:line="480" w:lineRule="exact"/>
        <w:ind w:firstLine="480" w:firstLineChars="200"/>
        <w:rPr>
          <w:rFonts w:ascii="仿宋" w:eastAsia="仿宋"/>
          <w:color w:val="auto"/>
          <w:kern w:val="0"/>
          <w:sz w:val="24"/>
          <w:highlight w:val="none"/>
          <w:u w:val="none"/>
        </w:rPr>
      </w:pPr>
    </w:p>
    <w:p w14:paraId="473F3E3A">
      <w:pPr>
        <w:widowControl/>
        <w:snapToGrid w:val="0"/>
        <w:spacing w:line="480" w:lineRule="exact"/>
        <w:ind w:firstLine="480" w:firstLineChars="200"/>
        <w:rPr>
          <w:rFonts w:ascii="仿宋" w:eastAsia="仿宋"/>
          <w:color w:val="auto"/>
          <w:kern w:val="0"/>
          <w:sz w:val="24"/>
          <w:highlight w:val="none"/>
          <w:u w:val="none"/>
        </w:rPr>
      </w:pPr>
    </w:p>
    <w:p w14:paraId="69D196B2">
      <w:pPr>
        <w:widowControl/>
        <w:snapToGrid w:val="0"/>
        <w:spacing w:line="480" w:lineRule="exact"/>
        <w:ind w:firstLine="480" w:firstLineChars="200"/>
        <w:rPr>
          <w:rFonts w:ascii="仿宋" w:eastAsia="仿宋"/>
          <w:color w:val="auto"/>
          <w:kern w:val="0"/>
          <w:sz w:val="24"/>
          <w:highlight w:val="none"/>
          <w:u w:val="none"/>
        </w:rPr>
      </w:pPr>
    </w:p>
    <w:p w14:paraId="6548C8D0">
      <w:pPr>
        <w:widowControl/>
        <w:snapToGrid w:val="0"/>
        <w:spacing w:line="480" w:lineRule="exact"/>
        <w:ind w:firstLine="480" w:firstLineChars="200"/>
        <w:rPr>
          <w:rFonts w:hint="eastAsia" w:ascii="仿宋" w:eastAsia="仿宋"/>
          <w:color w:val="auto"/>
          <w:kern w:val="0"/>
          <w:sz w:val="24"/>
          <w:highlight w:val="none"/>
          <w:u w:val="none"/>
        </w:rPr>
      </w:pPr>
    </w:p>
    <w:p w14:paraId="3A45C774">
      <w:pPr>
        <w:pStyle w:val="3"/>
        <w:keepNext/>
        <w:keepLines/>
        <w:pageBreakBefore w:val="0"/>
        <w:widowControl w:val="0"/>
        <w:suppressLineNumbers w:val="0"/>
        <w:suppressAutoHyphens w:val="0"/>
        <w:spacing w:line="578" w:lineRule="auto"/>
        <w:jc w:val="center"/>
        <w:rPr>
          <w:rFonts w:hint="eastAsia" w:ascii="仿宋"/>
          <w:color w:val="auto"/>
          <w:highlight w:val="none"/>
        </w:rPr>
      </w:pPr>
      <w:bookmarkStart w:id="51" w:name="_Toc15027"/>
      <w:r>
        <w:rPr>
          <w:rFonts w:hint="eastAsia" w:ascii="仿宋"/>
          <w:color w:val="auto"/>
          <w:highlight w:val="none"/>
        </w:rPr>
        <w:t>第四章  拟签订合同的主要条款</w:t>
      </w:r>
      <w:bookmarkEnd w:id="51"/>
    </w:p>
    <w:p w14:paraId="2CD17D3A">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w:t>
      </w:r>
      <w:r>
        <w:rPr>
          <w:rFonts w:hint="eastAsia" w:ascii="仿宋" w:eastAsia="仿宋"/>
          <w:b/>
          <w:bCs/>
          <w:color w:val="auto"/>
          <w:kern w:val="0"/>
          <w:sz w:val="24"/>
          <w:highlight w:val="none"/>
          <w:u w:val="single"/>
          <w:lang w:val="en-US" w:eastAsia="zh-CN"/>
        </w:rPr>
        <w:t>参考</w:t>
      </w:r>
      <w:r>
        <w:rPr>
          <w:rFonts w:hint="eastAsia" w:ascii="仿宋" w:eastAsia="仿宋"/>
          <w:b/>
          <w:bCs/>
          <w:color w:val="auto"/>
          <w:kern w:val="0"/>
          <w:sz w:val="24"/>
          <w:highlight w:val="none"/>
          <w:u w:val="single"/>
        </w:rPr>
        <w:t>条款）</w:t>
      </w:r>
    </w:p>
    <w:p w14:paraId="6B5D552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合同编号：</w:t>
      </w:r>
    </w:p>
    <w:p w14:paraId="4F5A5EF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确认书号：</w:t>
      </w:r>
    </w:p>
    <w:p w14:paraId="18F0773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甲方（采购人）： </w:t>
      </w:r>
    </w:p>
    <w:p w14:paraId="1F68722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乙方（供应商）： </w:t>
      </w:r>
    </w:p>
    <w:p w14:paraId="531F594F">
      <w:pPr>
        <w:widowControl/>
        <w:snapToGrid w:val="0"/>
        <w:spacing w:line="480" w:lineRule="exact"/>
        <w:ind w:firstLine="480" w:firstLineChars="200"/>
        <w:rPr>
          <w:rFonts w:hint="eastAsia" w:ascii="仿宋" w:eastAsia="仿宋"/>
          <w:color w:val="auto"/>
          <w:kern w:val="0"/>
          <w:sz w:val="24"/>
          <w:highlight w:val="none"/>
          <w:u w:val="none"/>
        </w:rPr>
      </w:pPr>
    </w:p>
    <w:p w14:paraId="529B804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甲、乙双方根据项目编号为      的</w:t>
      </w:r>
      <w:r>
        <w:rPr>
          <w:rFonts w:hint="eastAsia" w:ascii="仿宋" w:eastAsia="仿宋"/>
          <w:color w:val="auto"/>
          <w:kern w:val="0"/>
          <w:sz w:val="24"/>
          <w:highlight w:val="none"/>
          <w:u w:val="single"/>
        </w:rPr>
        <w:t>（</w:t>
      </w:r>
      <w:r>
        <w:rPr>
          <w:rFonts w:hint="eastAsia" w:ascii="仿宋" w:eastAsia="仿宋"/>
          <w:color w:val="auto"/>
          <w:kern w:val="0"/>
          <w:sz w:val="24"/>
          <w:highlight w:val="none"/>
          <w:u w:val="single"/>
          <w:lang w:val="en-US" w:eastAsia="zh-CN"/>
        </w:rPr>
        <w:t>填写</w:t>
      </w:r>
      <w:r>
        <w:rPr>
          <w:rFonts w:hint="eastAsia" w:ascii="仿宋" w:eastAsia="仿宋"/>
          <w:color w:val="auto"/>
          <w:kern w:val="0"/>
          <w:sz w:val="24"/>
          <w:highlight w:val="none"/>
          <w:u w:val="single"/>
        </w:rPr>
        <w:t>标项</w:t>
      </w:r>
      <w:r>
        <w:rPr>
          <w:rFonts w:hint="eastAsia" w:ascii="仿宋" w:eastAsia="仿宋"/>
          <w:color w:val="auto"/>
          <w:kern w:val="0"/>
          <w:sz w:val="24"/>
          <w:highlight w:val="none"/>
          <w:u w:val="single"/>
          <w:lang w:val="en-US" w:eastAsia="zh-CN"/>
        </w:rPr>
        <w:t>或项目</w:t>
      </w:r>
      <w:r>
        <w:rPr>
          <w:rFonts w:hint="eastAsia" w:ascii="仿宋" w:eastAsia="仿宋"/>
          <w:color w:val="auto"/>
          <w:kern w:val="0"/>
          <w:sz w:val="24"/>
          <w:highlight w:val="none"/>
          <w:u w:val="single"/>
        </w:rPr>
        <w:t>名称）</w:t>
      </w:r>
      <w:r>
        <w:rPr>
          <w:rFonts w:hint="eastAsia" w:ascii="仿宋" w:eastAsia="仿宋"/>
          <w:color w:val="auto"/>
          <w:kern w:val="0"/>
          <w:sz w:val="24"/>
          <w:highlight w:val="none"/>
          <w:u w:val="none"/>
        </w:rPr>
        <w:t>项目的交易结果，签署本合同。</w:t>
      </w:r>
    </w:p>
    <w:p w14:paraId="1E78683A">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一、项目内容及合同价格</w:t>
      </w:r>
    </w:p>
    <w:p w14:paraId="2E8823C1">
      <w:pPr>
        <w:widowControl/>
        <w:snapToGrid w:val="0"/>
        <w:spacing w:line="480" w:lineRule="exact"/>
        <w:ind w:firstLine="480" w:firstLineChars="200"/>
        <w:jc w:val="right"/>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金额单位：元 </w:t>
      </w:r>
    </w:p>
    <w:tbl>
      <w:tblPr>
        <w:tblStyle w:val="28"/>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14:paraId="46830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4" w:hRule="atLeast"/>
        </w:trPr>
        <w:tc>
          <w:tcPr>
            <w:tcW w:w="2340" w:type="dxa"/>
            <w:tcBorders>
              <w:top w:val="single" w:color="auto" w:sz="4" w:space="0"/>
              <w:left w:val="single" w:color="auto" w:sz="4" w:space="0"/>
              <w:bottom w:val="single" w:color="auto" w:sz="4" w:space="0"/>
              <w:right w:val="single" w:color="auto" w:sz="4" w:space="0"/>
            </w:tcBorders>
            <w:noWrap/>
            <w:vAlign w:val="center"/>
          </w:tcPr>
          <w:p w14:paraId="491D8F6B">
            <w:pPr>
              <w:pStyle w:val="18"/>
              <w:snapToGrid w:val="0"/>
              <w:spacing w:before="120" w:after="120" w:line="460" w:lineRule="exact"/>
              <w:jc w:val="center"/>
              <w:rPr>
                <w:rFonts w:hint="eastAsia" w:ascii="仿宋" w:eastAsia="仿宋"/>
                <w:color w:val="auto"/>
                <w:sz w:val="24"/>
                <w:szCs w:val="24"/>
                <w:highlight w:val="none"/>
              </w:rPr>
            </w:pPr>
            <w:r>
              <w:rPr>
                <w:rFonts w:hint="eastAsia" w:ascii="仿宋" w:eastAsia="仿宋"/>
                <w:color w:val="auto"/>
                <w:sz w:val="24"/>
                <w:szCs w:val="24"/>
                <w:highlight w:val="none"/>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14:paraId="593E76D3">
            <w:pPr>
              <w:pStyle w:val="18"/>
              <w:snapToGrid w:val="0"/>
              <w:spacing w:before="120" w:after="120" w:line="460" w:lineRule="exact"/>
              <w:jc w:val="center"/>
              <w:rPr>
                <w:rFonts w:hint="eastAsia" w:ascii="仿宋" w:eastAsia="仿宋"/>
                <w:color w:val="auto"/>
                <w:sz w:val="24"/>
                <w:szCs w:val="24"/>
                <w:highlight w:val="none"/>
              </w:rPr>
            </w:pPr>
            <w:r>
              <w:rPr>
                <w:rFonts w:hint="eastAsia" w:ascii="仿宋" w:eastAsia="仿宋"/>
                <w:color w:val="auto"/>
                <w:sz w:val="24"/>
                <w:szCs w:val="24"/>
                <w:highlight w:val="none"/>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1BF6EA0B">
            <w:pPr>
              <w:pStyle w:val="18"/>
              <w:snapToGrid w:val="0"/>
              <w:spacing w:before="120" w:after="120" w:line="460" w:lineRule="exact"/>
              <w:ind w:left="-108"/>
              <w:jc w:val="center"/>
              <w:rPr>
                <w:rFonts w:hint="eastAsia" w:ascii="仿宋" w:eastAsia="仿宋"/>
                <w:color w:val="auto"/>
                <w:sz w:val="24"/>
                <w:szCs w:val="24"/>
                <w:highlight w:val="none"/>
              </w:rPr>
            </w:pPr>
            <w:r>
              <w:rPr>
                <w:rFonts w:hint="eastAsia" w:ascii="仿宋" w:eastAsia="仿宋"/>
                <w:color w:val="auto"/>
                <w:sz w:val="24"/>
                <w:szCs w:val="24"/>
                <w:highlight w:val="none"/>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06CC0C4E">
            <w:pPr>
              <w:pStyle w:val="18"/>
              <w:snapToGrid w:val="0"/>
              <w:spacing w:before="120" w:after="120" w:line="460" w:lineRule="exact"/>
              <w:ind w:left="-108"/>
              <w:jc w:val="center"/>
              <w:rPr>
                <w:rFonts w:hint="eastAsia" w:ascii="仿宋" w:eastAsia="仿宋"/>
                <w:color w:val="auto"/>
                <w:sz w:val="24"/>
                <w:szCs w:val="24"/>
                <w:highlight w:val="none"/>
              </w:rPr>
            </w:pPr>
            <w:r>
              <w:rPr>
                <w:rFonts w:hint="eastAsia" w:ascii="仿宋" w:eastAsia="仿宋"/>
                <w:color w:val="auto"/>
                <w:sz w:val="24"/>
                <w:szCs w:val="24"/>
                <w:highlight w:val="none"/>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14:paraId="58777696">
            <w:pPr>
              <w:pStyle w:val="18"/>
              <w:snapToGrid w:val="0"/>
              <w:spacing w:before="120" w:after="120" w:line="460" w:lineRule="exact"/>
              <w:jc w:val="center"/>
              <w:rPr>
                <w:rFonts w:hint="eastAsia" w:ascii="仿宋" w:eastAsia="仿宋"/>
                <w:color w:val="auto"/>
                <w:sz w:val="24"/>
                <w:szCs w:val="24"/>
                <w:highlight w:val="none"/>
              </w:rPr>
            </w:pPr>
            <w:r>
              <w:rPr>
                <w:rFonts w:hint="eastAsia" w:ascii="仿宋" w:eastAsia="仿宋"/>
                <w:color w:val="auto"/>
                <w:sz w:val="24"/>
                <w:szCs w:val="24"/>
                <w:highlight w:val="none"/>
              </w:rPr>
              <w:t>总价</w:t>
            </w:r>
          </w:p>
        </w:tc>
      </w:tr>
      <w:tr w14:paraId="6FE73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noWrap/>
          </w:tcPr>
          <w:p w14:paraId="235A137F">
            <w:pPr>
              <w:spacing w:line="460" w:lineRule="exact"/>
              <w:ind w:firstLine="511" w:firstLineChars="213"/>
              <w:rPr>
                <w:rFonts w:hint="eastAsia" w:ascii="仿宋" w:eastAsia="仿宋"/>
                <w:color w:val="auto"/>
                <w:sz w:val="24"/>
                <w:szCs w:val="24"/>
                <w:highlight w:val="none"/>
              </w:rPr>
            </w:pPr>
          </w:p>
        </w:tc>
        <w:tc>
          <w:tcPr>
            <w:tcW w:w="3240" w:type="dxa"/>
            <w:tcBorders>
              <w:top w:val="single" w:color="auto" w:sz="4" w:space="0"/>
              <w:left w:val="single" w:color="auto" w:sz="4" w:space="0"/>
              <w:bottom w:val="single" w:color="auto" w:sz="4" w:space="0"/>
              <w:right w:val="single" w:color="auto" w:sz="4" w:space="0"/>
            </w:tcBorders>
            <w:noWrap/>
          </w:tcPr>
          <w:p w14:paraId="1BED43DF">
            <w:pPr>
              <w:spacing w:line="460" w:lineRule="exact"/>
              <w:rPr>
                <w:rFonts w:hint="eastAsia" w:ascii="仿宋" w:eastAsia="仿宋"/>
                <w:color w:val="auto"/>
                <w:sz w:val="24"/>
                <w:szCs w:val="24"/>
                <w:highlight w:val="none"/>
              </w:rPr>
            </w:pPr>
            <w:r>
              <w:rPr>
                <w:rFonts w:hint="eastAsia" w:ascii="仿宋" w:eastAsia="仿宋"/>
                <w:color w:val="auto"/>
                <w:sz w:val="24"/>
                <w:szCs w:val="24"/>
                <w:highlight w:val="none"/>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14:paraId="03AE40BF">
            <w:pPr>
              <w:spacing w:line="460" w:lineRule="exact"/>
              <w:ind w:firstLine="511" w:firstLineChars="213"/>
              <w:rPr>
                <w:rFonts w:hint="eastAsia" w:ascii="仿宋" w:eastAsia="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2506D454">
            <w:pPr>
              <w:pStyle w:val="36"/>
              <w:spacing w:after="120" w:line="460" w:lineRule="exact"/>
              <w:ind w:firstLine="511" w:firstLineChars="213"/>
              <w:rPr>
                <w:rFonts w:hint="eastAsia" w:ascii="仿宋" w:eastAsia="仿宋"/>
                <w:color w:val="auto"/>
                <w:kern w:val="2"/>
                <w:szCs w:val="24"/>
                <w:highlight w:val="none"/>
              </w:rPr>
            </w:pPr>
          </w:p>
        </w:tc>
        <w:tc>
          <w:tcPr>
            <w:tcW w:w="1212" w:type="dxa"/>
            <w:tcBorders>
              <w:top w:val="single" w:color="auto" w:sz="4" w:space="0"/>
              <w:left w:val="single" w:color="auto" w:sz="4" w:space="0"/>
              <w:bottom w:val="single" w:color="auto" w:sz="4" w:space="0"/>
              <w:right w:val="single" w:color="auto" w:sz="4" w:space="0"/>
            </w:tcBorders>
            <w:noWrap/>
          </w:tcPr>
          <w:p w14:paraId="505ECD35">
            <w:pPr>
              <w:pStyle w:val="36"/>
              <w:spacing w:after="120" w:line="460" w:lineRule="exact"/>
              <w:ind w:left="570"/>
              <w:rPr>
                <w:rFonts w:hint="eastAsia" w:ascii="仿宋" w:eastAsia="仿宋"/>
                <w:color w:val="auto"/>
                <w:kern w:val="2"/>
                <w:szCs w:val="24"/>
                <w:highlight w:val="none"/>
              </w:rPr>
            </w:pPr>
          </w:p>
        </w:tc>
      </w:tr>
      <w:tr w14:paraId="56A35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noWrap/>
          </w:tcPr>
          <w:p w14:paraId="03EAB1CF">
            <w:pPr>
              <w:pStyle w:val="18"/>
              <w:snapToGrid w:val="0"/>
              <w:spacing w:before="120" w:after="120" w:line="460" w:lineRule="exact"/>
              <w:ind w:firstLine="511" w:firstLineChars="213"/>
              <w:jc w:val="center"/>
              <w:rPr>
                <w:rFonts w:hint="eastAsia" w:ascii="仿宋" w:eastAsia="仿宋"/>
                <w:color w:val="auto"/>
                <w:sz w:val="24"/>
                <w:szCs w:val="24"/>
                <w:highlight w:val="none"/>
              </w:rPr>
            </w:pPr>
            <w:r>
              <w:rPr>
                <w:rFonts w:hint="eastAsia" w:ascii="仿宋" w:eastAsia="仿宋"/>
                <w:color w:val="auto"/>
                <w:sz w:val="24"/>
                <w:szCs w:val="24"/>
                <w:highlight w:val="none"/>
              </w:rPr>
              <w:t>合            计</w:t>
            </w:r>
          </w:p>
        </w:tc>
        <w:tc>
          <w:tcPr>
            <w:tcW w:w="1080" w:type="dxa"/>
            <w:tcBorders>
              <w:top w:val="single" w:color="auto" w:sz="4" w:space="0"/>
              <w:left w:val="single" w:color="auto" w:sz="4" w:space="0"/>
              <w:bottom w:val="single" w:color="auto" w:sz="4" w:space="0"/>
              <w:right w:val="single" w:color="auto" w:sz="4" w:space="0"/>
            </w:tcBorders>
            <w:noWrap/>
          </w:tcPr>
          <w:p w14:paraId="2519031C">
            <w:pPr>
              <w:pStyle w:val="18"/>
              <w:snapToGrid w:val="0"/>
              <w:spacing w:before="120" w:after="120" w:line="460" w:lineRule="exact"/>
              <w:ind w:firstLine="511" w:firstLineChars="213"/>
              <w:jc w:val="center"/>
              <w:rPr>
                <w:rFonts w:hint="eastAsia" w:ascii="仿宋" w:eastAsia="仿宋"/>
                <w:color w:val="auto"/>
                <w:sz w:val="24"/>
                <w:szCs w:val="24"/>
                <w:highlight w:val="none"/>
              </w:rPr>
            </w:pPr>
          </w:p>
        </w:tc>
        <w:tc>
          <w:tcPr>
            <w:tcW w:w="2472" w:type="dxa"/>
            <w:gridSpan w:val="2"/>
            <w:tcBorders>
              <w:top w:val="single" w:color="auto" w:sz="4" w:space="0"/>
              <w:left w:val="single" w:color="auto" w:sz="4" w:space="0"/>
              <w:bottom w:val="single" w:color="auto" w:sz="4" w:space="0"/>
              <w:right w:val="single" w:color="auto" w:sz="4" w:space="0"/>
            </w:tcBorders>
            <w:noWrap/>
          </w:tcPr>
          <w:p w14:paraId="03C60550">
            <w:pPr>
              <w:pStyle w:val="36"/>
              <w:spacing w:after="120" w:line="460" w:lineRule="exact"/>
              <w:ind w:firstLine="511" w:firstLineChars="213"/>
              <w:rPr>
                <w:rFonts w:hint="eastAsia" w:ascii="仿宋" w:eastAsia="仿宋"/>
                <w:color w:val="auto"/>
                <w:kern w:val="2"/>
                <w:szCs w:val="24"/>
                <w:highlight w:val="none"/>
              </w:rPr>
            </w:pPr>
          </w:p>
        </w:tc>
      </w:tr>
      <w:tr w14:paraId="3047D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noWrap/>
          </w:tcPr>
          <w:p w14:paraId="3747D0CD">
            <w:pPr>
              <w:pStyle w:val="18"/>
              <w:snapToGrid w:val="0"/>
              <w:spacing w:before="120" w:after="120" w:line="460" w:lineRule="exact"/>
              <w:rPr>
                <w:rFonts w:hint="eastAsia" w:ascii="仿宋" w:eastAsia="仿宋"/>
                <w:color w:val="auto"/>
                <w:sz w:val="24"/>
                <w:szCs w:val="24"/>
                <w:highlight w:val="none"/>
              </w:rPr>
            </w:pPr>
            <w:r>
              <w:rPr>
                <w:rFonts w:hint="eastAsia" w:ascii="仿宋" w:eastAsia="仿宋"/>
                <w:color w:val="auto"/>
                <w:sz w:val="24"/>
                <w:szCs w:val="24"/>
                <w:highlight w:val="none"/>
              </w:rPr>
              <w:t>合同总价大写：                                      小写：￥</w:t>
            </w:r>
            <w:r>
              <w:rPr>
                <w:rFonts w:hint="eastAsia" w:ascii="仿宋" w:eastAsia="仿宋"/>
                <w:color w:val="auto"/>
                <w:sz w:val="24"/>
                <w:szCs w:val="24"/>
                <w:highlight w:val="none"/>
                <w:u w:val="single"/>
              </w:rPr>
              <w:t xml:space="preserve">      </w:t>
            </w:r>
          </w:p>
        </w:tc>
      </w:tr>
    </w:tbl>
    <w:p w14:paraId="16AF70D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注：1.项目具体技术需求详见采购文件、投标文件以及询标记录。</w:t>
      </w:r>
    </w:p>
    <w:p w14:paraId="6BF5E8F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2.以上合同总价包含项目达到预期使用效果所需的一切费用。</w:t>
      </w:r>
    </w:p>
    <w:p w14:paraId="061091C5">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二、技术资料</w:t>
      </w:r>
    </w:p>
    <w:p w14:paraId="3B58CA7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1.乙方应按采购文件规定的时间向甲方提供使用项目的有关技术资料。</w:t>
      </w:r>
    </w:p>
    <w:p w14:paraId="3537AFC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6CD9DDC">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三、知识产权</w:t>
      </w:r>
    </w:p>
    <w:p w14:paraId="6C77511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乙方应保证所提供的货物或其任何一部分均不会侵犯任何第三方的知识产权。</w:t>
      </w:r>
    </w:p>
    <w:p w14:paraId="062EC6B9">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四、产权担保</w:t>
      </w:r>
    </w:p>
    <w:p w14:paraId="12B1E0D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乙方保证所交付的货物的所有权完全属于乙方且无任何抵押、查封等产权瑕疵。</w:t>
      </w:r>
    </w:p>
    <w:p w14:paraId="13A09E21">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五、转包或分包</w:t>
      </w:r>
    </w:p>
    <w:p w14:paraId="1FAD543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不允许转包。</w:t>
      </w:r>
    </w:p>
    <w:p w14:paraId="43DA01F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w:t>
      </w:r>
    </w:p>
    <w:p w14:paraId="142171F2">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如乙方将项目转包或将不允许分包部分进行了分包，甲方有权解除合同，没收履约保证金并追究乙方的违约责任。</w:t>
      </w:r>
    </w:p>
    <w:p w14:paraId="2D21D33E">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六、质保期和履约保证金</w:t>
      </w:r>
    </w:p>
    <w:p w14:paraId="71BB8BB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1.质保期 </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年。（自项目验收合格交付使用之日起计）</w:t>
      </w:r>
    </w:p>
    <w:p w14:paraId="250C76F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2.履约保证金</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元。[履约保证金交至采购人处，在合同约定交货</w:t>
      </w:r>
      <w:r>
        <w:rPr>
          <w:rFonts w:ascii="仿宋" w:eastAsia="仿宋"/>
          <w:color w:val="auto"/>
          <w:kern w:val="0"/>
          <w:sz w:val="24"/>
          <w:highlight w:val="none"/>
          <w:u w:val="none"/>
        </w:rPr>
        <w:t>并</w:t>
      </w:r>
      <w:r>
        <w:rPr>
          <w:rFonts w:hint="eastAsia" w:ascii="仿宋" w:eastAsia="仿宋"/>
          <w:color w:val="auto"/>
          <w:kern w:val="0"/>
          <w:sz w:val="24"/>
          <w:highlight w:val="none"/>
          <w:u w:val="none"/>
        </w:rPr>
        <w:t>验收合格</w:t>
      </w:r>
      <w:r>
        <w:rPr>
          <w:rFonts w:ascii="仿宋" w:eastAsia="仿宋"/>
          <w:color w:val="auto"/>
          <w:kern w:val="0"/>
          <w:sz w:val="24"/>
          <w:highlight w:val="none"/>
          <w:u w:val="none"/>
        </w:rPr>
        <w:t>后</w:t>
      </w:r>
      <w:r>
        <w:rPr>
          <w:rFonts w:hint="eastAsia" w:ascii="仿宋" w:eastAsia="仿宋"/>
          <w:color w:val="auto"/>
          <w:kern w:val="0"/>
          <w:sz w:val="24"/>
          <w:highlight w:val="none"/>
          <w:u w:val="none"/>
        </w:rPr>
        <w:t>（   ）个工作日内无息退还]</w:t>
      </w:r>
    </w:p>
    <w:p w14:paraId="24414211">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七、项目工期及实施地点</w:t>
      </w:r>
    </w:p>
    <w:p w14:paraId="681CFC5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1.交货期：</w:t>
      </w:r>
    </w:p>
    <w:p w14:paraId="0FC0749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2.实施地点：</w:t>
      </w:r>
    </w:p>
    <w:p w14:paraId="10A3A1B5">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八、货款支付</w:t>
      </w:r>
    </w:p>
    <w:p w14:paraId="142FB1A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付款方式：</w:t>
      </w:r>
    </w:p>
    <w:p w14:paraId="50CAB066">
      <w:pPr>
        <w:snapToGrid w:val="0"/>
        <w:spacing w:line="440" w:lineRule="exact"/>
        <w:ind w:firstLine="482" w:firstLineChars="200"/>
        <w:jc w:val="left"/>
        <w:outlineLvl w:val="1"/>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5A2C6ECA">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67639CBD">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ascii="仿宋" w:eastAsia="仿宋"/>
          <w:b/>
          <w:bCs/>
          <w:color w:val="auto"/>
          <w:kern w:val="0"/>
          <w:sz w:val="24"/>
          <w:highlight w:val="none"/>
          <w:u w:val="none"/>
        </w:rPr>
        <w:t>十</w:t>
      </w:r>
      <w:r>
        <w:rPr>
          <w:rFonts w:hint="eastAsia" w:ascii="仿宋" w:eastAsia="仿宋"/>
          <w:b/>
          <w:bCs/>
          <w:color w:val="auto"/>
          <w:kern w:val="0"/>
          <w:sz w:val="24"/>
          <w:highlight w:val="none"/>
          <w:u w:val="none"/>
        </w:rPr>
        <w:t>、税费</w:t>
      </w:r>
    </w:p>
    <w:p w14:paraId="5B64EBC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本合同执行中相关的一切税费均由乙方负担。</w:t>
      </w:r>
    </w:p>
    <w:p w14:paraId="025EBBBD">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一</w:t>
      </w:r>
      <w:r>
        <w:rPr>
          <w:rFonts w:hint="eastAsia" w:ascii="仿宋" w:eastAsia="仿宋"/>
          <w:b/>
          <w:bCs/>
          <w:color w:val="auto"/>
          <w:kern w:val="0"/>
          <w:sz w:val="24"/>
          <w:highlight w:val="none"/>
          <w:u w:val="none"/>
        </w:rPr>
        <w:t>、质量保证及售后服务</w:t>
      </w:r>
    </w:p>
    <w:p w14:paraId="20CDC5C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详见采购文件（签订时需细化）。</w:t>
      </w:r>
    </w:p>
    <w:p w14:paraId="41AF17CC">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二</w:t>
      </w:r>
      <w:r>
        <w:rPr>
          <w:rFonts w:hint="eastAsia" w:ascii="仿宋" w:eastAsia="仿宋"/>
          <w:b/>
          <w:bCs/>
          <w:color w:val="auto"/>
          <w:kern w:val="0"/>
          <w:sz w:val="24"/>
          <w:highlight w:val="none"/>
          <w:u w:val="none"/>
        </w:rPr>
        <w:t>、调试和验收</w:t>
      </w:r>
    </w:p>
    <w:p w14:paraId="30A956A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详见采购文件（签订时需细化）。</w:t>
      </w:r>
    </w:p>
    <w:p w14:paraId="7B9649B6">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三</w:t>
      </w:r>
      <w:r>
        <w:rPr>
          <w:rFonts w:hint="eastAsia" w:ascii="仿宋" w:eastAsia="仿宋"/>
          <w:b/>
          <w:bCs/>
          <w:color w:val="auto"/>
          <w:kern w:val="0"/>
          <w:sz w:val="24"/>
          <w:highlight w:val="none"/>
          <w:u w:val="none"/>
        </w:rPr>
        <w:t>、货物包装</w:t>
      </w:r>
    </w:p>
    <w:p w14:paraId="42C8439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详见采购文件（签订时需细化）。</w:t>
      </w:r>
    </w:p>
    <w:p w14:paraId="1894B82D">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四</w:t>
      </w:r>
      <w:r>
        <w:rPr>
          <w:rFonts w:hint="eastAsia" w:ascii="仿宋" w:eastAsia="仿宋"/>
          <w:b/>
          <w:bCs/>
          <w:color w:val="auto"/>
          <w:kern w:val="0"/>
          <w:sz w:val="24"/>
          <w:highlight w:val="none"/>
          <w:u w:val="none"/>
        </w:rPr>
        <w:t>、违约责任</w:t>
      </w:r>
    </w:p>
    <w:p w14:paraId="1F2E8E9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1.甲方无正当理由拒收验收项目的，甲方向乙方偿付拒收合同总价的百分之五违约金。</w:t>
      </w:r>
    </w:p>
    <w:p w14:paraId="1CE2AA4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2.甲方无故逾期验收和办理合同款项支付手续的,甲方应按逾期付款总额每日万分之五向乙方支付违约金。</w:t>
      </w:r>
    </w:p>
    <w:p w14:paraId="376F695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204AE2C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6B45787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5.解除合同应向财政备案。</w:t>
      </w:r>
    </w:p>
    <w:p w14:paraId="16211B11">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五</w:t>
      </w:r>
      <w:r>
        <w:rPr>
          <w:rFonts w:hint="eastAsia" w:ascii="仿宋" w:eastAsia="仿宋"/>
          <w:b/>
          <w:bCs/>
          <w:color w:val="auto"/>
          <w:kern w:val="0"/>
          <w:sz w:val="24"/>
          <w:highlight w:val="none"/>
          <w:u w:val="none"/>
        </w:rPr>
        <w:t>、不可抗力事件处理</w:t>
      </w:r>
    </w:p>
    <w:p w14:paraId="10B21B5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1.在合同有效期内，任何一方因不可抗力事件导致不能履行合同，则合同履行期可延长，其延长期与不可抗力影响期相同。</w:t>
      </w:r>
    </w:p>
    <w:p w14:paraId="1AC2048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2.不可抗力事件发生后，应立即通知对方，并寄送有关权威机构出具的证明。</w:t>
      </w:r>
    </w:p>
    <w:p w14:paraId="184A725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3.不可抗力事件延续120天以上，双方应通过友好协商，确定是否继续履行合同。</w:t>
      </w:r>
    </w:p>
    <w:p w14:paraId="085FE1C6">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六</w:t>
      </w:r>
      <w:r>
        <w:rPr>
          <w:rFonts w:hint="eastAsia" w:ascii="仿宋" w:eastAsia="仿宋"/>
          <w:b/>
          <w:bCs/>
          <w:color w:val="auto"/>
          <w:kern w:val="0"/>
          <w:sz w:val="24"/>
          <w:highlight w:val="none"/>
          <w:u w:val="none"/>
        </w:rPr>
        <w:t>、诉讼</w:t>
      </w:r>
    </w:p>
    <w:p w14:paraId="77C19D7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双方在执行合同中所发生的一切争议，应通过协商解决。如协商不成，可向甲方所在地法院起诉。</w:t>
      </w:r>
    </w:p>
    <w:p w14:paraId="4B0CAE71">
      <w:pPr>
        <w:widowControl/>
        <w:snapToGrid w:val="0"/>
        <w:spacing w:line="480" w:lineRule="exact"/>
        <w:ind w:firstLine="482" w:firstLineChars="200"/>
        <w:outlineLvl w:val="1"/>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七</w:t>
      </w:r>
      <w:r>
        <w:rPr>
          <w:rFonts w:hint="eastAsia" w:ascii="仿宋" w:eastAsia="仿宋"/>
          <w:b/>
          <w:bCs/>
          <w:color w:val="auto"/>
          <w:kern w:val="0"/>
          <w:sz w:val="24"/>
          <w:highlight w:val="none"/>
          <w:u w:val="none"/>
        </w:rPr>
        <w:t>、合同生效及其他</w:t>
      </w:r>
    </w:p>
    <w:p w14:paraId="1DD1454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1.合同经甲、乙双方签名并加盖单位公章后生效。</w:t>
      </w:r>
    </w:p>
    <w:p w14:paraId="3B5EC41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2.合同执行中涉及采购资金和采购内容修改或补充的，须经</w:t>
      </w:r>
      <w:r>
        <w:rPr>
          <w:rFonts w:hint="eastAsia" w:ascii="仿宋" w:eastAsia="仿宋"/>
          <w:color w:val="auto"/>
          <w:kern w:val="0"/>
          <w:sz w:val="24"/>
          <w:highlight w:val="none"/>
          <w:u w:val="none"/>
          <w:lang w:eastAsia="zh"/>
        </w:rPr>
        <w:t>本项目监督部门</w:t>
      </w:r>
      <w:r>
        <w:rPr>
          <w:rFonts w:hint="eastAsia" w:ascii="仿宋" w:eastAsia="仿宋"/>
          <w:color w:val="auto"/>
          <w:kern w:val="0"/>
          <w:sz w:val="24"/>
          <w:highlight w:val="none"/>
          <w:u w:val="none"/>
        </w:rPr>
        <w:t>审批，并签书面补充协议，经报采购监督管理部门备案后，方可作为主合同不可分割的一部分。</w:t>
      </w:r>
    </w:p>
    <w:p w14:paraId="5423063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3.采购文件、投标文件与本合同具有同等法律效力。</w:t>
      </w:r>
    </w:p>
    <w:p w14:paraId="6A03B5E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4.本合同未尽事宜，遵照《民法典》有关条文执行。</w:t>
      </w:r>
    </w:p>
    <w:p w14:paraId="265E4F4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5.本合同一式五份，具有同等法律效力，甲、乙双方各执二份，采购代理机构一份。</w:t>
      </w:r>
    </w:p>
    <w:p w14:paraId="08840436">
      <w:pPr>
        <w:widowControl/>
        <w:snapToGrid w:val="0"/>
        <w:spacing w:line="480" w:lineRule="exact"/>
        <w:ind w:firstLine="480" w:firstLineChars="200"/>
        <w:rPr>
          <w:rFonts w:hint="eastAsia" w:ascii="仿宋" w:eastAsia="仿宋"/>
          <w:color w:val="auto"/>
          <w:kern w:val="0"/>
          <w:sz w:val="24"/>
          <w:highlight w:val="none"/>
          <w:u w:val="none"/>
        </w:rPr>
      </w:pPr>
    </w:p>
    <w:p w14:paraId="26E86FA2">
      <w:pPr>
        <w:widowControl/>
        <w:snapToGrid w:val="0"/>
        <w:spacing w:line="480" w:lineRule="exact"/>
        <w:ind w:firstLine="480" w:firstLineChars="200"/>
        <w:rPr>
          <w:rFonts w:hint="eastAsia" w:ascii="仿宋" w:eastAsia="仿宋"/>
          <w:color w:val="auto"/>
          <w:kern w:val="0"/>
          <w:sz w:val="24"/>
          <w:highlight w:val="none"/>
          <w:u w:val="none"/>
        </w:rPr>
      </w:pPr>
    </w:p>
    <w:p w14:paraId="6ED9AE30">
      <w:pPr>
        <w:widowControl/>
        <w:snapToGrid w:val="0"/>
        <w:spacing w:line="480" w:lineRule="exact"/>
        <w:ind w:firstLine="480" w:firstLineChars="200"/>
        <w:rPr>
          <w:rFonts w:hint="eastAsia" w:ascii="仿宋" w:eastAsia="仿宋"/>
          <w:color w:val="auto"/>
          <w:kern w:val="0"/>
          <w:sz w:val="24"/>
          <w:highlight w:val="none"/>
          <w:u w:val="none"/>
        </w:rPr>
      </w:pPr>
    </w:p>
    <w:p w14:paraId="4E0EDC3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甲方（盖章）：                                   </w:t>
      </w:r>
    </w:p>
    <w:p w14:paraId="35D752B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27AF622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法定（授权）代表人：                   </w:t>
      </w:r>
    </w:p>
    <w:p w14:paraId="6A6C4D9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签名日期：     年   月   日           </w:t>
      </w:r>
    </w:p>
    <w:p w14:paraId="5170732C">
      <w:pPr>
        <w:widowControl/>
        <w:snapToGrid w:val="0"/>
        <w:spacing w:line="480" w:lineRule="exact"/>
        <w:ind w:firstLine="480" w:firstLineChars="200"/>
        <w:rPr>
          <w:rFonts w:hint="eastAsia" w:ascii="仿宋" w:eastAsia="仿宋"/>
          <w:color w:val="auto"/>
          <w:kern w:val="0"/>
          <w:sz w:val="24"/>
          <w:highlight w:val="none"/>
          <w:u w:val="none"/>
        </w:rPr>
      </w:pPr>
    </w:p>
    <w:p w14:paraId="55AC703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乙方（盖章）：</w:t>
      </w:r>
    </w:p>
    <w:p w14:paraId="102555C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27D8ED5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开户行：</w:t>
      </w:r>
    </w:p>
    <w:p w14:paraId="6A3D54C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开户账号：</w:t>
      </w:r>
    </w:p>
    <w:p w14:paraId="68F3323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法定（授权）代表人：</w:t>
      </w:r>
    </w:p>
    <w:p w14:paraId="79172A9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签名日期：      年   月   日</w:t>
      </w:r>
    </w:p>
    <w:p w14:paraId="159B43AB">
      <w:pPr>
        <w:widowControl/>
        <w:snapToGrid w:val="0"/>
        <w:spacing w:line="480" w:lineRule="exact"/>
        <w:ind w:firstLine="480" w:firstLineChars="200"/>
        <w:rPr>
          <w:rFonts w:ascii="仿宋" w:eastAsia="仿宋"/>
          <w:color w:val="auto"/>
          <w:kern w:val="0"/>
          <w:sz w:val="24"/>
          <w:highlight w:val="none"/>
          <w:u w:val="none"/>
        </w:rPr>
      </w:pPr>
    </w:p>
    <w:p w14:paraId="35128473">
      <w:pPr>
        <w:pStyle w:val="3"/>
        <w:keepNext/>
        <w:keepLines/>
        <w:pageBreakBefore w:val="0"/>
        <w:widowControl w:val="0"/>
        <w:suppressLineNumbers w:val="0"/>
        <w:suppressAutoHyphens w:val="0"/>
        <w:spacing w:line="578" w:lineRule="auto"/>
        <w:jc w:val="center"/>
        <w:rPr>
          <w:rFonts w:hint="eastAsia" w:ascii="仿宋"/>
          <w:color w:val="auto"/>
          <w:highlight w:val="none"/>
        </w:rPr>
      </w:pPr>
      <w:bookmarkStart w:id="52" w:name="_Toc5561"/>
      <w:r>
        <w:rPr>
          <w:rFonts w:hint="eastAsia" w:ascii="仿宋"/>
          <w:color w:val="auto"/>
          <w:highlight w:val="none"/>
        </w:rPr>
        <w:t>第五章  评标办法及标准</w:t>
      </w:r>
      <w:bookmarkEnd w:id="52"/>
    </w:p>
    <w:p w14:paraId="2D1146C5">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2278C98E">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46357F47">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5A9CEF53">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20F3A36E">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395835A1">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60</w:t>
      </w:r>
      <w:r>
        <w:rPr>
          <w:rFonts w:hint="eastAsia" w:ascii="仿宋" w:eastAsia="仿宋"/>
          <w:color w:val="auto"/>
          <w:sz w:val="24"/>
          <w:highlight w:val="none"/>
          <w:u w:val="single"/>
        </w:rPr>
        <w:t xml:space="preserve"> </w:t>
      </w:r>
      <w:r>
        <w:rPr>
          <w:rFonts w:hint="eastAsia" w:ascii="仿宋" w:eastAsia="仿宋"/>
          <w:color w:val="auto"/>
          <w:sz w:val="24"/>
          <w:highlight w:val="none"/>
        </w:rPr>
        <w:t>分，价格分</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40</w:t>
      </w:r>
      <w:r>
        <w:rPr>
          <w:rFonts w:hint="eastAsia" w:ascii="仿宋" w:eastAsia="仿宋"/>
          <w:color w:val="auto"/>
          <w:sz w:val="24"/>
          <w:highlight w:val="none"/>
          <w:u w:val="single"/>
        </w:rPr>
        <w:t xml:space="preserve"> </w:t>
      </w:r>
      <w:r>
        <w:rPr>
          <w:rFonts w:hint="eastAsia" w:ascii="仿宋" w:eastAsia="仿宋"/>
          <w:color w:val="auto"/>
          <w:sz w:val="24"/>
          <w:highlight w:val="none"/>
        </w:rPr>
        <w:t>分。下述所列为评分依据，分值如下（计算分值时，按其算术平均值保留小数2位）。</w:t>
      </w:r>
    </w:p>
    <w:p w14:paraId="75444623">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8"/>
        <w:tblW w:w="97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905"/>
        <w:gridCol w:w="6195"/>
        <w:gridCol w:w="832"/>
      </w:tblGrid>
      <w:tr w14:paraId="386BF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780" w:type="dxa"/>
            <w:tcBorders>
              <w:tl2br w:val="nil"/>
              <w:tr2bl w:val="nil"/>
            </w:tcBorders>
            <w:noWrap w:val="0"/>
            <w:vAlign w:val="center"/>
          </w:tcPr>
          <w:p w14:paraId="0B163E17">
            <w:pPr>
              <w:spacing w:line="360" w:lineRule="exact"/>
              <w:jc w:val="center"/>
              <w:rPr>
                <w:rFonts w:ascii="仿宋" w:eastAsia="仿宋" w:cs="仿宋"/>
                <w:color w:val="auto"/>
                <w:sz w:val="24"/>
                <w:highlight w:val="none"/>
              </w:rPr>
            </w:pPr>
            <w:r>
              <w:rPr>
                <w:rFonts w:hint="eastAsia" w:ascii="仿宋" w:eastAsia="仿宋" w:cs="仿宋"/>
                <w:color w:val="auto"/>
                <w:kern w:val="0"/>
                <w:sz w:val="24"/>
                <w:highlight w:val="none"/>
              </w:rPr>
              <w:t>序号</w:t>
            </w:r>
          </w:p>
        </w:tc>
        <w:tc>
          <w:tcPr>
            <w:tcW w:w="1905" w:type="dxa"/>
            <w:tcBorders>
              <w:tl2br w:val="nil"/>
              <w:tr2bl w:val="nil"/>
            </w:tcBorders>
            <w:noWrap w:val="0"/>
            <w:vAlign w:val="center"/>
          </w:tcPr>
          <w:p w14:paraId="6B5536DB">
            <w:pPr>
              <w:spacing w:line="360" w:lineRule="exact"/>
              <w:jc w:val="center"/>
              <w:rPr>
                <w:rFonts w:ascii="仿宋" w:eastAsia="仿宋" w:cs="仿宋"/>
                <w:color w:val="auto"/>
                <w:sz w:val="24"/>
                <w:highlight w:val="none"/>
              </w:rPr>
            </w:pPr>
            <w:r>
              <w:rPr>
                <w:rFonts w:hint="eastAsia" w:ascii="仿宋" w:eastAsia="仿宋" w:cs="仿宋"/>
                <w:color w:val="auto"/>
                <w:kern w:val="0"/>
                <w:sz w:val="24"/>
                <w:highlight w:val="none"/>
              </w:rPr>
              <w:t>评分类型</w:t>
            </w:r>
          </w:p>
        </w:tc>
        <w:tc>
          <w:tcPr>
            <w:tcW w:w="6195" w:type="dxa"/>
            <w:tcBorders>
              <w:tl2br w:val="nil"/>
              <w:tr2bl w:val="nil"/>
            </w:tcBorders>
            <w:noWrap w:val="0"/>
            <w:vAlign w:val="center"/>
          </w:tcPr>
          <w:p w14:paraId="7C85A307">
            <w:pPr>
              <w:spacing w:line="360" w:lineRule="exact"/>
              <w:jc w:val="center"/>
              <w:rPr>
                <w:rFonts w:ascii="仿宋" w:eastAsia="仿宋" w:cs="仿宋"/>
                <w:color w:val="auto"/>
                <w:sz w:val="24"/>
                <w:highlight w:val="none"/>
              </w:rPr>
            </w:pPr>
            <w:r>
              <w:rPr>
                <w:rFonts w:hint="eastAsia" w:ascii="仿宋" w:eastAsia="仿宋" w:cs="仿宋"/>
                <w:color w:val="auto"/>
                <w:kern w:val="0"/>
                <w:sz w:val="24"/>
                <w:highlight w:val="none"/>
              </w:rPr>
              <w:t>评分标准</w:t>
            </w:r>
          </w:p>
        </w:tc>
        <w:tc>
          <w:tcPr>
            <w:tcW w:w="832" w:type="dxa"/>
            <w:tcBorders>
              <w:tl2br w:val="nil"/>
              <w:tr2bl w:val="nil"/>
            </w:tcBorders>
            <w:noWrap w:val="0"/>
            <w:vAlign w:val="center"/>
          </w:tcPr>
          <w:p w14:paraId="5007E607">
            <w:pPr>
              <w:spacing w:line="360" w:lineRule="exact"/>
              <w:jc w:val="center"/>
              <w:rPr>
                <w:rFonts w:ascii="仿宋" w:eastAsia="仿宋" w:cs="仿宋"/>
                <w:color w:val="auto"/>
                <w:sz w:val="24"/>
                <w:highlight w:val="none"/>
              </w:rPr>
            </w:pPr>
            <w:r>
              <w:rPr>
                <w:rFonts w:hint="eastAsia" w:ascii="仿宋" w:eastAsia="仿宋" w:cs="仿宋"/>
                <w:color w:val="auto"/>
                <w:kern w:val="0"/>
                <w:sz w:val="24"/>
                <w:highlight w:val="none"/>
              </w:rPr>
              <w:t>分值</w:t>
            </w:r>
          </w:p>
        </w:tc>
      </w:tr>
      <w:tr w14:paraId="4C259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jc w:val="center"/>
        </w:trPr>
        <w:tc>
          <w:tcPr>
            <w:tcW w:w="780" w:type="dxa"/>
            <w:vMerge w:val="restart"/>
            <w:tcBorders>
              <w:tl2br w:val="nil"/>
              <w:tr2bl w:val="nil"/>
            </w:tcBorders>
            <w:noWrap w:val="0"/>
            <w:vAlign w:val="center"/>
          </w:tcPr>
          <w:p w14:paraId="66927E44">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rPr>
              <w:t>1</w:t>
            </w:r>
          </w:p>
        </w:tc>
        <w:tc>
          <w:tcPr>
            <w:tcW w:w="1905" w:type="dxa"/>
            <w:vMerge w:val="restart"/>
            <w:tcBorders>
              <w:tl2br w:val="nil"/>
              <w:tr2bl w:val="nil"/>
            </w:tcBorders>
            <w:noWrap w:val="0"/>
            <w:vAlign w:val="center"/>
          </w:tcPr>
          <w:p w14:paraId="009DB8CA">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同类项目业绩</w:t>
            </w:r>
          </w:p>
        </w:tc>
        <w:tc>
          <w:tcPr>
            <w:tcW w:w="6195" w:type="dxa"/>
            <w:tcBorders>
              <w:tl2br w:val="nil"/>
              <w:tr2bl w:val="nil"/>
            </w:tcBorders>
            <w:noWrap w:val="0"/>
            <w:vAlign w:val="center"/>
          </w:tcPr>
          <w:p w14:paraId="2E0478AF">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1.1投标人</w:t>
            </w:r>
            <w:r>
              <w:rPr>
                <w:rFonts w:hint="eastAsia" w:ascii="仿宋" w:eastAsia="仿宋" w:cs="仿宋"/>
                <w:color w:val="auto"/>
                <w:sz w:val="24"/>
                <w:highlight w:val="none"/>
                <w:lang w:val="en-US" w:eastAsia="zh-CN"/>
              </w:rPr>
              <w:t>2020年1月1日至今（以合同签订时间为准）</w:t>
            </w:r>
            <w:r>
              <w:rPr>
                <w:rFonts w:hint="eastAsia" w:ascii="仿宋" w:eastAsia="仿宋" w:cs="仿宋"/>
                <w:color w:val="auto"/>
                <w:sz w:val="24"/>
                <w:highlight w:val="none"/>
              </w:rPr>
              <w:t>具有</w:t>
            </w:r>
            <w:r>
              <w:rPr>
                <w:rFonts w:hint="eastAsia" w:ascii="仿宋" w:eastAsia="仿宋" w:cs="仿宋"/>
                <w:color w:val="auto"/>
                <w:sz w:val="24"/>
                <w:highlight w:val="none"/>
                <w:lang w:val="en-US" w:eastAsia="zh-CN"/>
              </w:rPr>
              <w:t>大气</w:t>
            </w:r>
            <w:r>
              <w:rPr>
                <w:rFonts w:hint="eastAsia" w:ascii="仿宋" w:eastAsia="仿宋" w:cs="仿宋"/>
                <w:color w:val="auto"/>
                <w:sz w:val="24"/>
                <w:highlight w:val="none"/>
              </w:rPr>
              <w:t>走航工作经验</w:t>
            </w:r>
            <w:r>
              <w:rPr>
                <w:rFonts w:hint="eastAsia" w:ascii="仿宋" w:eastAsia="仿宋" w:cs="仿宋"/>
                <w:color w:val="auto"/>
                <w:sz w:val="24"/>
                <w:highlight w:val="none"/>
                <w:lang w:val="en-US" w:eastAsia="zh-CN"/>
              </w:rPr>
              <w:t>的</w:t>
            </w:r>
            <w:r>
              <w:rPr>
                <w:rFonts w:hint="eastAsia" w:ascii="仿宋" w:eastAsia="仿宋" w:cs="仿宋"/>
                <w:color w:val="auto"/>
                <w:sz w:val="24"/>
                <w:highlight w:val="none"/>
              </w:rPr>
              <w:t>，每</w:t>
            </w:r>
            <w:r>
              <w:rPr>
                <w:rFonts w:hint="eastAsia" w:ascii="仿宋" w:eastAsia="仿宋" w:cs="仿宋"/>
                <w:color w:val="auto"/>
                <w:sz w:val="24"/>
                <w:highlight w:val="none"/>
                <w:lang w:val="en-US" w:eastAsia="zh-CN"/>
              </w:rPr>
              <w:t>个项目</w:t>
            </w:r>
            <w:r>
              <w:rPr>
                <w:rFonts w:hint="eastAsia" w:ascii="仿宋" w:eastAsia="仿宋" w:cs="仿宋"/>
                <w:color w:val="auto"/>
                <w:sz w:val="24"/>
                <w:highlight w:val="none"/>
              </w:rPr>
              <w:t>得0.5分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须</w:t>
            </w:r>
            <w:r>
              <w:rPr>
                <w:rFonts w:hint="eastAsia" w:ascii="仿宋" w:eastAsia="仿宋" w:cs="仿宋"/>
                <w:color w:val="auto"/>
                <w:sz w:val="24"/>
                <w:highlight w:val="none"/>
              </w:rPr>
              <w:t>提供中标通知书或合同复印件等证明材料，并加盖投标人公章</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不得重复计分，本项最高得1</w:t>
            </w:r>
            <w:r>
              <w:rPr>
                <w:rFonts w:hint="eastAsia" w:ascii="仿宋" w:eastAsia="仿宋" w:cs="仿宋"/>
                <w:color w:val="auto"/>
                <w:sz w:val="24"/>
                <w:highlight w:val="none"/>
              </w:rPr>
              <w:t>分。</w:t>
            </w:r>
          </w:p>
        </w:tc>
        <w:tc>
          <w:tcPr>
            <w:tcW w:w="832" w:type="dxa"/>
            <w:tcBorders>
              <w:tl2br w:val="nil"/>
              <w:tr2bl w:val="nil"/>
            </w:tcBorders>
            <w:noWrap w:val="0"/>
            <w:vAlign w:val="center"/>
          </w:tcPr>
          <w:p w14:paraId="3E16491B">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分</w:t>
            </w:r>
          </w:p>
        </w:tc>
      </w:tr>
      <w:tr w14:paraId="17499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780" w:type="dxa"/>
            <w:vMerge w:val="continue"/>
            <w:tcBorders>
              <w:tl2br w:val="nil"/>
              <w:tr2bl w:val="nil"/>
            </w:tcBorders>
            <w:noWrap w:val="0"/>
            <w:vAlign w:val="center"/>
          </w:tcPr>
          <w:p w14:paraId="0ACC2E7A">
            <w:pPr>
              <w:rPr>
                <w:color w:val="auto"/>
                <w:highlight w:val="none"/>
              </w:rPr>
            </w:pPr>
          </w:p>
        </w:tc>
        <w:tc>
          <w:tcPr>
            <w:tcW w:w="1905" w:type="dxa"/>
            <w:vMerge w:val="continue"/>
            <w:tcBorders>
              <w:tl2br w:val="nil"/>
              <w:tr2bl w:val="nil"/>
            </w:tcBorders>
            <w:noWrap w:val="0"/>
            <w:vAlign w:val="center"/>
          </w:tcPr>
          <w:p w14:paraId="668EE9CF">
            <w:pPr>
              <w:rPr>
                <w:color w:val="auto"/>
                <w:highlight w:val="none"/>
              </w:rPr>
            </w:pPr>
          </w:p>
        </w:tc>
        <w:tc>
          <w:tcPr>
            <w:tcW w:w="6195" w:type="dxa"/>
            <w:tcBorders>
              <w:tl2br w:val="nil"/>
              <w:tr2bl w:val="nil"/>
            </w:tcBorders>
            <w:noWrap w:val="0"/>
            <w:vAlign w:val="center"/>
          </w:tcPr>
          <w:p w14:paraId="43A24647">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1.2投标人所投设备（</w:t>
            </w:r>
            <w:r>
              <w:rPr>
                <w:rFonts w:hint="eastAsia" w:ascii="仿宋" w:eastAsia="仿宋" w:cs="仿宋"/>
                <w:color w:val="auto"/>
                <w:sz w:val="24"/>
                <w:highlight w:val="none"/>
                <w:lang w:val="en-US" w:eastAsia="zh-CN"/>
              </w:rPr>
              <w:t>须</w:t>
            </w:r>
            <w:r>
              <w:rPr>
                <w:rFonts w:hint="eastAsia" w:ascii="仿宋" w:eastAsia="仿宋" w:cs="仿宋"/>
                <w:color w:val="auto"/>
                <w:sz w:val="24"/>
                <w:highlight w:val="none"/>
              </w:rPr>
              <w:t>包括VOCs走航设备）采购项目案例，提供中标通知书或合同复印件等证明材料，并加盖投标人公章，每提供一份得1分，满分共</w:t>
            </w:r>
            <w:r>
              <w:rPr>
                <w:rFonts w:hint="eastAsia" w:ascii="仿宋" w:eastAsia="仿宋" w:cs="仿宋"/>
                <w:color w:val="auto"/>
                <w:sz w:val="24"/>
                <w:highlight w:val="none"/>
                <w:lang w:val="en-US" w:eastAsia="zh-CN"/>
              </w:rPr>
              <w:t>3</w:t>
            </w:r>
            <w:r>
              <w:rPr>
                <w:rFonts w:hint="eastAsia" w:ascii="仿宋" w:eastAsia="仿宋" w:cs="仿宋"/>
                <w:color w:val="auto"/>
                <w:sz w:val="24"/>
                <w:highlight w:val="none"/>
              </w:rPr>
              <w:t>分。</w:t>
            </w:r>
          </w:p>
        </w:tc>
        <w:tc>
          <w:tcPr>
            <w:tcW w:w="832" w:type="dxa"/>
            <w:tcBorders>
              <w:tl2br w:val="nil"/>
              <w:tr2bl w:val="nil"/>
            </w:tcBorders>
            <w:noWrap w:val="0"/>
            <w:vAlign w:val="center"/>
          </w:tcPr>
          <w:p w14:paraId="61FA6ED0">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3</w:t>
            </w:r>
            <w:r>
              <w:rPr>
                <w:rFonts w:hint="eastAsia" w:ascii="仿宋" w:eastAsia="仿宋" w:cs="仿宋"/>
                <w:color w:val="auto"/>
                <w:sz w:val="24"/>
                <w:highlight w:val="none"/>
              </w:rPr>
              <w:t>分</w:t>
            </w:r>
          </w:p>
        </w:tc>
      </w:tr>
      <w:tr w14:paraId="2095B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780" w:type="dxa"/>
            <w:tcBorders>
              <w:tl2br w:val="nil"/>
              <w:tr2bl w:val="nil"/>
            </w:tcBorders>
            <w:noWrap w:val="0"/>
            <w:vAlign w:val="center"/>
          </w:tcPr>
          <w:p w14:paraId="63A79D9E">
            <w:pPr>
              <w:jc w:val="center"/>
              <w:rPr>
                <w:rFonts w:hint="eastAsia" w:eastAsia="宋体"/>
                <w:color w:val="auto"/>
                <w:highlight w:val="none"/>
                <w:lang w:val="en-US" w:eastAsia="zh-CN"/>
              </w:rPr>
            </w:pPr>
            <w:r>
              <w:rPr>
                <w:rFonts w:hint="eastAsia" w:ascii="仿宋" w:eastAsia="仿宋" w:cs="仿宋"/>
                <w:color w:val="auto"/>
                <w:sz w:val="24"/>
                <w:highlight w:val="none"/>
                <w:lang w:val="en-US" w:eastAsia="zh-CN"/>
              </w:rPr>
              <w:t>2</w:t>
            </w:r>
          </w:p>
        </w:tc>
        <w:tc>
          <w:tcPr>
            <w:tcW w:w="1905" w:type="dxa"/>
            <w:tcBorders>
              <w:tl2br w:val="nil"/>
              <w:tr2bl w:val="nil"/>
            </w:tcBorders>
            <w:noWrap w:val="0"/>
            <w:vAlign w:val="center"/>
          </w:tcPr>
          <w:p w14:paraId="6F20EBA3">
            <w:pPr>
              <w:jc w:val="center"/>
              <w:rPr>
                <w:rFonts w:hint="eastAsia" w:eastAsia="宋体"/>
                <w:color w:val="auto"/>
                <w:highlight w:val="none"/>
                <w:lang w:val="en-US" w:eastAsia="zh-CN"/>
              </w:rPr>
            </w:pPr>
            <w:r>
              <w:rPr>
                <w:rFonts w:hint="eastAsia" w:ascii="仿宋" w:eastAsia="仿宋" w:cs="仿宋"/>
                <w:color w:val="auto"/>
                <w:sz w:val="24"/>
                <w:highlight w:val="none"/>
                <w:lang w:val="en-US" w:eastAsia="zh-CN"/>
              </w:rPr>
              <w:t>荣誉</w:t>
            </w:r>
          </w:p>
        </w:tc>
        <w:tc>
          <w:tcPr>
            <w:tcW w:w="6195" w:type="dxa"/>
            <w:tcBorders>
              <w:tl2br w:val="nil"/>
              <w:tr2bl w:val="nil"/>
            </w:tcBorders>
            <w:noWrap w:val="0"/>
            <w:vAlign w:val="center"/>
          </w:tcPr>
          <w:p w14:paraId="2206D9B0">
            <w:pPr>
              <w:adjustRightInd w:val="0"/>
              <w:snapToGrid w:val="0"/>
              <w:spacing w:line="360" w:lineRule="exact"/>
              <w:rPr>
                <w:rFonts w:hint="eastAsia" w:ascii="仿宋" w:eastAsia="仿宋" w:cs="仿宋"/>
                <w:color w:val="auto"/>
                <w:sz w:val="24"/>
                <w:highlight w:val="none"/>
              </w:rPr>
            </w:pPr>
            <w:r>
              <w:rPr>
                <w:rFonts w:ascii="仿宋" w:eastAsia="仿宋" w:cs="仿宋"/>
                <w:color w:val="auto"/>
                <w:sz w:val="24"/>
                <w:highlight w:val="none"/>
              </w:rPr>
              <w:t>投标人202</w:t>
            </w:r>
            <w:r>
              <w:rPr>
                <w:rFonts w:hint="eastAsia" w:ascii="仿宋" w:eastAsia="仿宋" w:cs="仿宋"/>
                <w:color w:val="auto"/>
                <w:sz w:val="24"/>
                <w:highlight w:val="none"/>
                <w:lang w:val="en-US" w:eastAsia="zh-CN"/>
              </w:rPr>
              <w:t>0</w:t>
            </w:r>
            <w:r>
              <w:rPr>
                <w:rFonts w:ascii="仿宋" w:eastAsia="仿宋" w:cs="仿宋"/>
                <w:color w:val="auto"/>
                <w:sz w:val="24"/>
                <w:highlight w:val="none"/>
              </w:rPr>
              <w:t>年以来获得过</w:t>
            </w:r>
            <w:r>
              <w:rPr>
                <w:rFonts w:hint="eastAsia" w:ascii="仿宋" w:eastAsia="仿宋" w:cs="仿宋"/>
                <w:color w:val="auto"/>
                <w:sz w:val="24"/>
                <w:highlight w:val="none"/>
                <w:lang w:val="en-US" w:eastAsia="zh-CN"/>
              </w:rPr>
              <w:t>市级</w:t>
            </w:r>
            <w:r>
              <w:rPr>
                <w:rFonts w:hint="eastAsia" w:ascii="仿宋" w:eastAsia="仿宋" w:cs="仿宋"/>
                <w:color w:val="auto"/>
                <w:sz w:val="24"/>
                <w:highlight w:val="none"/>
              </w:rPr>
              <w:t>环境监测技术相关奖项</w:t>
            </w:r>
            <w:r>
              <w:rPr>
                <w:rFonts w:ascii="仿宋" w:eastAsia="仿宋" w:cs="仿宋"/>
                <w:color w:val="auto"/>
                <w:sz w:val="24"/>
                <w:highlight w:val="none"/>
              </w:rPr>
              <w:t>的得</w:t>
            </w:r>
            <w:r>
              <w:rPr>
                <w:rFonts w:hint="eastAsia" w:ascii="仿宋" w:eastAsia="仿宋" w:cs="仿宋"/>
                <w:color w:val="auto"/>
                <w:sz w:val="24"/>
                <w:highlight w:val="none"/>
                <w:lang w:val="en-US" w:eastAsia="zh-CN"/>
              </w:rPr>
              <w:t>0.5</w:t>
            </w:r>
            <w:r>
              <w:rPr>
                <w:rFonts w:ascii="仿宋" w:eastAsia="仿宋" w:cs="仿宋"/>
                <w:color w:val="auto"/>
                <w:sz w:val="24"/>
                <w:highlight w:val="none"/>
              </w:rPr>
              <w:t>分</w:t>
            </w:r>
            <w:r>
              <w:rPr>
                <w:rFonts w:hint="eastAsia" w:ascii="仿宋" w:eastAsia="仿宋" w:cs="仿宋"/>
                <w:color w:val="auto"/>
                <w:sz w:val="24"/>
                <w:highlight w:val="none"/>
                <w:lang w:eastAsia="zh-CN"/>
              </w:rPr>
              <w:t>，</w:t>
            </w:r>
            <w:r>
              <w:rPr>
                <w:rFonts w:ascii="仿宋" w:eastAsia="仿宋" w:cs="仿宋"/>
                <w:color w:val="auto"/>
                <w:sz w:val="24"/>
                <w:highlight w:val="none"/>
              </w:rPr>
              <w:t>省级及以上</w:t>
            </w:r>
            <w:r>
              <w:rPr>
                <w:rFonts w:hint="eastAsia" w:ascii="仿宋" w:eastAsia="仿宋" w:cs="仿宋"/>
                <w:color w:val="auto"/>
                <w:sz w:val="24"/>
                <w:highlight w:val="none"/>
              </w:rPr>
              <w:t>环境监测技术相关奖项</w:t>
            </w:r>
            <w:r>
              <w:rPr>
                <w:rFonts w:ascii="仿宋" w:eastAsia="仿宋" w:cs="仿宋"/>
                <w:color w:val="auto"/>
                <w:sz w:val="24"/>
                <w:highlight w:val="none"/>
              </w:rPr>
              <w:t>的得1分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须</w:t>
            </w:r>
            <w:r>
              <w:rPr>
                <w:rFonts w:ascii="仿宋" w:eastAsia="仿宋" w:cs="仿宋"/>
                <w:color w:val="auto"/>
                <w:sz w:val="24"/>
                <w:highlight w:val="none"/>
              </w:rPr>
              <w:t>提供证书复印件并加盖</w:t>
            </w:r>
            <w:r>
              <w:rPr>
                <w:rFonts w:hint="eastAsia" w:ascii="仿宋" w:eastAsia="仿宋" w:cs="仿宋"/>
                <w:color w:val="auto"/>
                <w:sz w:val="24"/>
                <w:highlight w:val="none"/>
              </w:rPr>
              <w:t>投标人</w:t>
            </w:r>
            <w:r>
              <w:rPr>
                <w:rFonts w:ascii="仿宋" w:eastAsia="仿宋" w:cs="仿宋"/>
                <w:color w:val="auto"/>
                <w:sz w:val="24"/>
                <w:highlight w:val="none"/>
              </w:rPr>
              <w:t>公章，本项最高得</w:t>
            </w:r>
            <w:r>
              <w:rPr>
                <w:rFonts w:hint="eastAsia" w:ascii="仿宋" w:eastAsia="仿宋" w:cs="仿宋"/>
                <w:color w:val="auto"/>
                <w:sz w:val="24"/>
                <w:highlight w:val="none"/>
                <w:lang w:val="en-US" w:eastAsia="zh-CN"/>
              </w:rPr>
              <w:t>2</w:t>
            </w:r>
            <w:r>
              <w:rPr>
                <w:rFonts w:ascii="仿宋" w:eastAsia="仿宋" w:cs="仿宋"/>
                <w:color w:val="auto"/>
                <w:sz w:val="24"/>
                <w:highlight w:val="none"/>
              </w:rPr>
              <w:t>分。</w:t>
            </w:r>
          </w:p>
        </w:tc>
        <w:tc>
          <w:tcPr>
            <w:tcW w:w="832" w:type="dxa"/>
            <w:tcBorders>
              <w:tl2br w:val="nil"/>
              <w:tr2bl w:val="nil"/>
            </w:tcBorders>
            <w:noWrap w:val="0"/>
            <w:vAlign w:val="center"/>
          </w:tcPr>
          <w:p w14:paraId="7751CF05">
            <w:pPr>
              <w:adjustRightInd w:val="0"/>
              <w:snapToGrid w:val="0"/>
              <w:spacing w:line="360" w:lineRule="exact"/>
              <w:jc w:val="center"/>
              <w:rPr>
                <w:rFonts w:hint="default" w:ascii="仿宋" w:eastAsia="仿宋" w:cs="仿宋"/>
                <w:color w:val="auto"/>
                <w:sz w:val="24"/>
                <w:highlight w:val="none"/>
                <w:lang w:val="en-US" w:eastAsia="zh-CN"/>
              </w:rPr>
            </w:pPr>
            <w:r>
              <w:rPr>
                <w:rFonts w:hint="eastAsia" w:ascii="仿宋" w:eastAsia="仿宋" w:cs="仿宋"/>
                <w:color w:val="auto"/>
                <w:sz w:val="24"/>
                <w:highlight w:val="none"/>
                <w:lang w:val="en-US" w:eastAsia="zh-CN"/>
              </w:rPr>
              <w:t>2分</w:t>
            </w:r>
          </w:p>
        </w:tc>
      </w:tr>
      <w:tr w14:paraId="011AE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tcBorders>
              <w:tl2br w:val="nil"/>
              <w:tr2bl w:val="nil"/>
            </w:tcBorders>
            <w:noWrap w:val="0"/>
            <w:vAlign w:val="center"/>
          </w:tcPr>
          <w:p w14:paraId="1B4640A4">
            <w:pPr>
              <w:adjustRightInd w:val="0"/>
              <w:snapToGrid w:val="0"/>
              <w:spacing w:line="360" w:lineRule="exact"/>
              <w:jc w:val="center"/>
              <w:rPr>
                <w:rFonts w:hint="eastAsia" w:ascii="仿宋" w:eastAsia="仿宋" w:cs="仿宋"/>
                <w:color w:val="auto"/>
                <w:sz w:val="24"/>
                <w:highlight w:val="none"/>
                <w:lang w:eastAsia="zh-CN"/>
              </w:rPr>
            </w:pPr>
            <w:r>
              <w:rPr>
                <w:rFonts w:hint="eastAsia" w:ascii="仿宋" w:eastAsia="仿宋" w:cs="仿宋"/>
                <w:color w:val="auto"/>
                <w:sz w:val="24"/>
                <w:highlight w:val="none"/>
                <w:lang w:val="en-US" w:eastAsia="zh-CN"/>
              </w:rPr>
              <w:t>3</w:t>
            </w:r>
          </w:p>
        </w:tc>
        <w:tc>
          <w:tcPr>
            <w:tcW w:w="1905" w:type="dxa"/>
            <w:tcBorders>
              <w:tl2br w:val="nil"/>
              <w:tr2bl w:val="nil"/>
            </w:tcBorders>
            <w:noWrap w:val="0"/>
            <w:vAlign w:val="center"/>
          </w:tcPr>
          <w:p w14:paraId="2A9F1C0A">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lang w:val="en-US" w:eastAsia="zh-CN"/>
              </w:rPr>
              <w:t>采购需求</w:t>
            </w:r>
            <w:r>
              <w:rPr>
                <w:rFonts w:hint="eastAsia" w:ascii="仿宋" w:eastAsia="仿宋" w:cs="仿宋"/>
                <w:color w:val="auto"/>
                <w:sz w:val="24"/>
                <w:highlight w:val="none"/>
              </w:rPr>
              <w:t>响应情况</w:t>
            </w:r>
          </w:p>
        </w:tc>
        <w:tc>
          <w:tcPr>
            <w:tcW w:w="6195" w:type="dxa"/>
            <w:tcBorders>
              <w:tl2br w:val="nil"/>
              <w:tr2bl w:val="nil"/>
            </w:tcBorders>
            <w:noWrap w:val="0"/>
            <w:vAlign w:val="center"/>
          </w:tcPr>
          <w:p w14:paraId="51E998AF">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根据投标人针对本项目内容响应情况进行逐条对照打分</w:t>
            </w:r>
            <w:r>
              <w:rPr>
                <w:rFonts w:hint="eastAsia" w:ascii="仿宋" w:eastAsia="仿宋" w:cs="仿宋"/>
                <w:color w:val="auto"/>
                <w:sz w:val="24"/>
                <w:highlight w:val="none"/>
                <w:lang w:eastAsia="zh-CN"/>
              </w:rPr>
              <w:t>，</w:t>
            </w:r>
            <w:r>
              <w:rPr>
                <w:rFonts w:hint="default" w:ascii="仿宋" w:eastAsia="仿宋" w:cs="仿宋"/>
                <w:b/>
                <w:bCs/>
                <w:color w:val="auto"/>
                <w:sz w:val="24"/>
                <w:highlight w:val="none"/>
                <w:u w:val="single"/>
              </w:rPr>
              <w:t>演示部分参数按演示打分</w:t>
            </w:r>
            <w:r>
              <w:rPr>
                <w:rFonts w:hint="default" w:ascii="仿宋" w:eastAsia="仿宋" w:cs="仿宋"/>
                <w:color w:val="auto"/>
                <w:sz w:val="24"/>
                <w:highlight w:val="none"/>
              </w:rPr>
              <w:t>，不在符合性中打分</w:t>
            </w:r>
            <w:r>
              <w:rPr>
                <w:rFonts w:hint="eastAsia" w:ascii="仿宋" w:eastAsia="仿宋" w:cs="仿宋"/>
                <w:color w:val="auto"/>
                <w:sz w:val="24"/>
                <w:highlight w:val="none"/>
              </w:rPr>
              <w:t>。技术指标评审基准分为2</w:t>
            </w:r>
            <w:r>
              <w:rPr>
                <w:rFonts w:hint="eastAsia" w:ascii="仿宋" w:eastAsia="仿宋" w:cs="仿宋"/>
                <w:color w:val="auto"/>
                <w:sz w:val="24"/>
                <w:highlight w:val="none"/>
                <w:lang w:val="en-US" w:eastAsia="zh-CN"/>
              </w:rPr>
              <w:t>4</w:t>
            </w:r>
            <w:r>
              <w:rPr>
                <w:rFonts w:hint="eastAsia" w:ascii="仿宋" w:eastAsia="仿宋" w:cs="仿宋"/>
                <w:color w:val="auto"/>
                <w:sz w:val="24"/>
                <w:highlight w:val="none"/>
              </w:rPr>
              <w:t>分，根据</w:t>
            </w:r>
            <w:r>
              <w:rPr>
                <w:rFonts w:hint="eastAsia" w:ascii="仿宋" w:eastAsia="仿宋" w:cs="仿宋"/>
                <w:color w:val="auto"/>
                <w:sz w:val="24"/>
                <w:highlight w:val="none"/>
                <w:lang w:val="en-US" w:eastAsia="zh-CN"/>
              </w:rPr>
              <w:t>需求响应</w:t>
            </w:r>
            <w:r>
              <w:rPr>
                <w:rFonts w:hint="eastAsia" w:ascii="仿宋" w:eastAsia="仿宋" w:cs="仿宋"/>
                <w:color w:val="auto"/>
                <w:sz w:val="24"/>
                <w:highlight w:val="none"/>
              </w:rPr>
              <w:t>偏离情况按以下标准进行评审：</w:t>
            </w:r>
          </w:p>
          <w:p w14:paraId="6B3A3FF0">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a．标记为“</w:t>
            </w:r>
            <w:r>
              <w:rPr>
                <w:rFonts w:hint="eastAsia" w:ascii="仿宋" w:hAnsi="仿宋" w:eastAsia="仿宋" w:cs="仿宋"/>
                <w:color w:val="auto"/>
                <w:sz w:val="24"/>
                <w:szCs w:val="24"/>
                <w:highlight w:val="none"/>
              </w:rPr>
              <w:t>▲</w:t>
            </w:r>
            <w:r>
              <w:rPr>
                <w:rFonts w:hint="eastAsia" w:ascii="仿宋" w:eastAsia="仿宋" w:cs="仿宋"/>
                <w:color w:val="auto"/>
                <w:sz w:val="24"/>
                <w:highlight w:val="none"/>
              </w:rPr>
              <w:t>”的指标是重要技术条款，正偏离不加分，负偏离减</w:t>
            </w: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分，扣完为止；</w:t>
            </w:r>
          </w:p>
          <w:p w14:paraId="359ABA7F">
            <w:pPr>
              <w:adjustRightInd w:val="0"/>
              <w:snapToGrid w:val="0"/>
              <w:spacing w:line="360" w:lineRule="exact"/>
              <w:rPr>
                <w:rFonts w:hint="eastAsia" w:ascii="仿宋" w:eastAsia="仿宋" w:cs="仿宋"/>
                <w:color w:val="auto"/>
                <w:sz w:val="24"/>
                <w:highlight w:val="none"/>
              </w:rPr>
            </w:pPr>
            <w:r>
              <w:rPr>
                <w:rFonts w:hint="eastAsia" w:ascii="仿宋" w:eastAsia="仿宋" w:cs="仿宋"/>
                <w:color w:val="auto"/>
                <w:sz w:val="24"/>
                <w:highlight w:val="none"/>
              </w:rPr>
              <w:t>b．无标记的指标是一般技术条款，正偏离不加分，负偏离减</w:t>
            </w:r>
            <w:r>
              <w:rPr>
                <w:rFonts w:hint="eastAsia" w:ascii="仿宋" w:eastAsia="仿宋" w:cs="仿宋"/>
                <w:color w:val="auto"/>
                <w:sz w:val="24"/>
                <w:highlight w:val="none"/>
                <w:lang w:val="en-US" w:eastAsia="zh-CN"/>
              </w:rPr>
              <w:t>0.05</w:t>
            </w:r>
            <w:r>
              <w:rPr>
                <w:rFonts w:hint="eastAsia" w:ascii="仿宋" w:eastAsia="仿宋" w:cs="仿宋"/>
                <w:color w:val="auto"/>
                <w:sz w:val="24"/>
                <w:highlight w:val="none"/>
              </w:rPr>
              <w:t>分，扣完为止。</w:t>
            </w:r>
          </w:p>
          <w:p w14:paraId="2F3A95EB">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注：投标人在响应技术条款时，对标记为星号（“</w:t>
            </w:r>
            <w:r>
              <w:rPr>
                <w:rFonts w:hint="eastAsia" w:ascii="仿宋" w:hAnsi="仿宋" w:eastAsia="仿宋" w:cs="仿宋"/>
                <w:color w:val="auto"/>
                <w:sz w:val="24"/>
                <w:szCs w:val="24"/>
                <w:highlight w:val="none"/>
              </w:rPr>
              <w:t>▲</w:t>
            </w:r>
            <w:r>
              <w:rPr>
                <w:rFonts w:hint="eastAsia" w:ascii="仿宋" w:eastAsia="仿宋" w:cs="仿宋"/>
                <w:color w:val="auto"/>
                <w:sz w:val="24"/>
                <w:highlight w:val="none"/>
              </w:rPr>
              <w:t>”）的重要技术条款必须在投标文件中提供技术支持资料。如果投标人不提供证明资料或提供的证明资料与技术参数响应不一致的评标委员会有权不予认可。</w:t>
            </w:r>
          </w:p>
        </w:tc>
        <w:tc>
          <w:tcPr>
            <w:tcW w:w="832" w:type="dxa"/>
            <w:tcBorders>
              <w:tl2br w:val="nil"/>
              <w:tr2bl w:val="nil"/>
            </w:tcBorders>
            <w:noWrap w:val="0"/>
            <w:vAlign w:val="center"/>
          </w:tcPr>
          <w:p w14:paraId="1F49DA85">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rPr>
              <w:t>2</w:t>
            </w:r>
            <w:r>
              <w:rPr>
                <w:rFonts w:hint="eastAsia" w:ascii="仿宋" w:eastAsia="仿宋" w:cs="仿宋"/>
                <w:color w:val="auto"/>
                <w:sz w:val="24"/>
                <w:highlight w:val="none"/>
                <w:lang w:val="en-US" w:eastAsia="zh-CN"/>
              </w:rPr>
              <w:t>4</w:t>
            </w:r>
            <w:r>
              <w:rPr>
                <w:rFonts w:hint="eastAsia" w:ascii="仿宋" w:eastAsia="仿宋" w:cs="仿宋"/>
                <w:color w:val="auto"/>
                <w:sz w:val="24"/>
                <w:highlight w:val="none"/>
              </w:rPr>
              <w:t>分</w:t>
            </w:r>
          </w:p>
        </w:tc>
      </w:tr>
      <w:tr w14:paraId="692AE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vMerge w:val="restart"/>
            <w:tcBorders>
              <w:tl2br w:val="nil"/>
              <w:tr2bl w:val="nil"/>
            </w:tcBorders>
            <w:noWrap w:val="0"/>
            <w:vAlign w:val="center"/>
          </w:tcPr>
          <w:p w14:paraId="737D7DA9">
            <w:pPr>
              <w:adjustRightInd w:val="0"/>
              <w:snapToGrid w:val="0"/>
              <w:spacing w:line="360" w:lineRule="exact"/>
              <w:jc w:val="center"/>
              <w:rPr>
                <w:rFonts w:hint="eastAsia" w:eastAsia="宋体"/>
                <w:color w:val="auto"/>
                <w:highlight w:val="none"/>
                <w:lang w:eastAsia="zh-CN"/>
              </w:rPr>
            </w:pPr>
            <w:r>
              <w:rPr>
                <w:rFonts w:hint="eastAsia" w:ascii="仿宋" w:eastAsia="仿宋" w:cs="仿宋"/>
                <w:color w:val="auto"/>
                <w:sz w:val="24"/>
                <w:highlight w:val="none"/>
                <w:lang w:val="en-US" w:eastAsia="zh-CN"/>
              </w:rPr>
              <w:t>4</w:t>
            </w:r>
          </w:p>
        </w:tc>
        <w:tc>
          <w:tcPr>
            <w:tcW w:w="1905" w:type="dxa"/>
            <w:vMerge w:val="restart"/>
            <w:tcBorders>
              <w:tl2br w:val="nil"/>
              <w:tr2bl w:val="nil"/>
            </w:tcBorders>
            <w:noWrap w:val="0"/>
            <w:vAlign w:val="center"/>
          </w:tcPr>
          <w:p w14:paraId="7C148774">
            <w:pPr>
              <w:adjustRightInd w:val="0"/>
              <w:snapToGrid w:val="0"/>
              <w:spacing w:line="360" w:lineRule="exact"/>
              <w:jc w:val="left"/>
              <w:rPr>
                <w:color w:val="auto"/>
                <w:highlight w:val="none"/>
              </w:rPr>
            </w:pPr>
            <w:r>
              <w:rPr>
                <w:rFonts w:hint="eastAsia" w:ascii="仿宋" w:eastAsia="仿宋" w:cs="仿宋"/>
                <w:color w:val="auto"/>
                <w:sz w:val="24"/>
                <w:highlight w:val="none"/>
                <w:lang w:val="en-US" w:eastAsia="zh-CN"/>
              </w:rPr>
              <w:t>技术及</w:t>
            </w:r>
            <w:r>
              <w:rPr>
                <w:rFonts w:hint="eastAsia" w:ascii="仿宋" w:eastAsia="仿宋" w:cs="仿宋"/>
                <w:color w:val="auto"/>
                <w:sz w:val="24"/>
                <w:highlight w:val="none"/>
              </w:rPr>
              <w:t>人员投入</w:t>
            </w:r>
          </w:p>
        </w:tc>
        <w:tc>
          <w:tcPr>
            <w:tcW w:w="6195" w:type="dxa"/>
            <w:tcBorders>
              <w:tl2br w:val="nil"/>
              <w:tr2bl w:val="nil"/>
            </w:tcBorders>
            <w:noWrap w:val="0"/>
            <w:vAlign w:val="center"/>
          </w:tcPr>
          <w:p w14:paraId="17919700">
            <w:pPr>
              <w:adjustRightInd w:val="0"/>
              <w:snapToGrid w:val="0"/>
              <w:spacing w:line="360" w:lineRule="exact"/>
              <w:rPr>
                <w:rFonts w:hint="eastAsia" w:ascii="仿宋_GB2312" w:eastAsia="仿宋_GB2312" w:cs="仿宋"/>
                <w:color w:val="auto"/>
                <w:sz w:val="24"/>
                <w:szCs w:val="24"/>
                <w:highlight w:val="none"/>
              </w:rPr>
            </w:pPr>
            <w:r>
              <w:rPr>
                <w:rFonts w:hint="eastAsia" w:ascii="仿宋" w:eastAsia="仿宋" w:cs="仿宋"/>
                <w:color w:val="auto"/>
                <w:sz w:val="24"/>
                <w:highlight w:val="none"/>
                <w:lang w:val="en-US" w:eastAsia="zh-CN"/>
              </w:rPr>
              <w:t>4</w:t>
            </w:r>
            <w:r>
              <w:rPr>
                <w:rFonts w:hint="eastAsia" w:ascii="仿宋" w:eastAsia="仿宋" w:cs="仿宋"/>
                <w:color w:val="auto"/>
                <w:sz w:val="24"/>
                <w:highlight w:val="none"/>
              </w:rPr>
              <w:t>.</w:t>
            </w: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 xml:space="preserve"> </w:t>
            </w:r>
            <w:r>
              <w:rPr>
                <w:rFonts w:hint="eastAsia" w:ascii="仿宋_GB2312" w:eastAsia="仿宋_GB2312" w:cs="仿宋"/>
                <w:color w:val="auto"/>
                <w:sz w:val="24"/>
                <w:szCs w:val="24"/>
                <w:highlight w:val="none"/>
              </w:rPr>
              <w:t>投标人（如为联合体投标的，指任意一方）的项目负责人，具备生态环境类高级职称的，得</w:t>
            </w:r>
            <w:r>
              <w:rPr>
                <w:rFonts w:ascii="仿宋_GB2312" w:eastAsia="仿宋_GB2312" w:cs="仿宋"/>
                <w:color w:val="auto"/>
                <w:sz w:val="24"/>
                <w:szCs w:val="24"/>
                <w:highlight w:val="none"/>
              </w:rPr>
              <w:t>0.5</w:t>
            </w:r>
            <w:r>
              <w:rPr>
                <w:rFonts w:hint="eastAsia" w:ascii="仿宋_GB2312" w:eastAsia="仿宋_GB2312" w:cs="仿宋"/>
                <w:color w:val="auto"/>
                <w:sz w:val="24"/>
                <w:szCs w:val="24"/>
                <w:highlight w:val="none"/>
              </w:rPr>
              <w:t>分</w:t>
            </w:r>
            <w:r>
              <w:rPr>
                <w:rFonts w:hint="eastAsia" w:ascii="仿宋_GB2312" w:eastAsia="仿宋_GB2312" w:cs="仿宋"/>
                <w:color w:val="auto"/>
                <w:sz w:val="24"/>
                <w:szCs w:val="24"/>
                <w:highlight w:val="none"/>
                <w:lang w:eastAsia="zh-CN"/>
              </w:rPr>
              <w:t>，</w:t>
            </w:r>
            <w:r>
              <w:rPr>
                <w:rFonts w:hint="eastAsia" w:ascii="仿宋_GB2312" w:eastAsia="仿宋_GB2312" w:cs="仿宋"/>
                <w:color w:val="auto"/>
                <w:sz w:val="24"/>
                <w:szCs w:val="24"/>
                <w:highlight w:val="none"/>
              </w:rPr>
              <w:t>具备生态环境类</w:t>
            </w:r>
            <w:r>
              <w:rPr>
                <w:rFonts w:hint="eastAsia" w:ascii="仿宋_GB2312" w:eastAsia="仿宋_GB2312" w:cs="仿宋"/>
                <w:color w:val="auto"/>
                <w:sz w:val="24"/>
                <w:szCs w:val="24"/>
                <w:highlight w:val="none"/>
                <w:lang w:val="en-US" w:eastAsia="zh-CN"/>
              </w:rPr>
              <w:t>中</w:t>
            </w:r>
            <w:r>
              <w:rPr>
                <w:rFonts w:hint="eastAsia" w:ascii="仿宋_GB2312" w:eastAsia="仿宋_GB2312" w:cs="仿宋"/>
                <w:color w:val="auto"/>
                <w:sz w:val="24"/>
                <w:szCs w:val="24"/>
                <w:highlight w:val="none"/>
              </w:rPr>
              <w:t>级职称的，得</w:t>
            </w:r>
            <w:r>
              <w:rPr>
                <w:rFonts w:ascii="仿宋_GB2312" w:eastAsia="仿宋_GB2312" w:cs="仿宋"/>
                <w:color w:val="auto"/>
                <w:sz w:val="24"/>
                <w:szCs w:val="24"/>
                <w:highlight w:val="none"/>
              </w:rPr>
              <w:t>0.</w:t>
            </w:r>
            <w:r>
              <w:rPr>
                <w:rFonts w:hint="eastAsia" w:ascii="仿宋_GB2312" w:eastAsia="仿宋_GB2312" w:cs="仿宋"/>
                <w:color w:val="auto"/>
                <w:sz w:val="24"/>
                <w:szCs w:val="24"/>
                <w:highlight w:val="none"/>
                <w:lang w:val="en-US" w:eastAsia="zh-CN"/>
              </w:rPr>
              <w:t>1</w:t>
            </w:r>
            <w:r>
              <w:rPr>
                <w:rFonts w:hint="eastAsia" w:ascii="仿宋_GB2312" w:eastAsia="仿宋_GB2312" w:cs="仿宋"/>
                <w:color w:val="auto"/>
                <w:sz w:val="24"/>
                <w:szCs w:val="24"/>
                <w:highlight w:val="none"/>
              </w:rPr>
              <w:t>分；具备注册环保工程师</w:t>
            </w:r>
            <w:r>
              <w:rPr>
                <w:rFonts w:hint="eastAsia" w:ascii="仿宋_GB2312" w:eastAsia="仿宋_GB2312" w:cs="仿宋"/>
                <w:color w:val="auto"/>
                <w:sz w:val="24"/>
                <w:szCs w:val="24"/>
                <w:highlight w:val="none"/>
                <w:lang w:val="en-US" w:eastAsia="zh-CN"/>
              </w:rPr>
              <w:t>及以上</w:t>
            </w:r>
            <w:r>
              <w:rPr>
                <w:rFonts w:hint="eastAsia" w:ascii="仿宋_GB2312" w:eastAsia="仿宋_GB2312" w:cs="仿宋"/>
                <w:color w:val="auto"/>
                <w:sz w:val="24"/>
                <w:szCs w:val="24"/>
                <w:highlight w:val="none"/>
              </w:rPr>
              <w:t>的，得</w:t>
            </w:r>
            <w:r>
              <w:rPr>
                <w:rFonts w:ascii="仿宋_GB2312" w:eastAsia="仿宋_GB2312" w:cs="仿宋"/>
                <w:color w:val="auto"/>
                <w:sz w:val="24"/>
                <w:szCs w:val="24"/>
                <w:highlight w:val="none"/>
              </w:rPr>
              <w:t>0.5</w:t>
            </w:r>
            <w:r>
              <w:rPr>
                <w:rFonts w:hint="eastAsia" w:ascii="仿宋_GB2312" w:eastAsia="仿宋_GB2312" w:cs="仿宋"/>
                <w:color w:val="auto"/>
                <w:sz w:val="24"/>
                <w:szCs w:val="24"/>
                <w:highlight w:val="none"/>
              </w:rPr>
              <w:t>分。本项最高得</w:t>
            </w:r>
            <w:r>
              <w:rPr>
                <w:rFonts w:ascii="仿宋_GB2312" w:eastAsia="仿宋_GB2312" w:cs="仿宋"/>
                <w:color w:val="auto"/>
                <w:sz w:val="24"/>
                <w:szCs w:val="24"/>
                <w:highlight w:val="none"/>
              </w:rPr>
              <w:t>1</w:t>
            </w:r>
            <w:r>
              <w:rPr>
                <w:rFonts w:hint="eastAsia" w:ascii="仿宋_GB2312" w:eastAsia="仿宋_GB2312" w:cs="仿宋"/>
                <w:color w:val="auto"/>
                <w:sz w:val="24"/>
                <w:szCs w:val="24"/>
                <w:highlight w:val="none"/>
              </w:rPr>
              <w:t>分。</w:t>
            </w:r>
          </w:p>
          <w:p w14:paraId="15C10766">
            <w:pPr>
              <w:adjustRightInd w:val="0"/>
              <w:snapToGrid w:val="0"/>
              <w:spacing w:line="360" w:lineRule="exact"/>
              <w:rPr>
                <w:rFonts w:ascii="仿宋" w:eastAsia="仿宋" w:cs="仿宋"/>
                <w:color w:val="auto"/>
                <w:sz w:val="24"/>
                <w:highlight w:val="none"/>
              </w:rPr>
            </w:pPr>
            <w:r>
              <w:rPr>
                <w:rFonts w:hint="eastAsia" w:ascii="仿宋_GB2312" w:eastAsia="仿宋_GB2312"/>
                <w:color w:val="auto"/>
                <w:sz w:val="24"/>
                <w:szCs w:val="24"/>
                <w:highlight w:val="none"/>
              </w:rPr>
              <w:t>（提供相关</w:t>
            </w:r>
            <w:r>
              <w:rPr>
                <w:rFonts w:ascii="仿宋_GB2312" w:eastAsia="仿宋_GB2312"/>
                <w:color w:val="auto"/>
                <w:sz w:val="24"/>
                <w:szCs w:val="24"/>
                <w:highlight w:val="none"/>
              </w:rPr>
              <w:t>材料复印件、投标人为其缴纳的</w:t>
            </w:r>
            <w:r>
              <w:rPr>
                <w:rFonts w:hint="eastAsia" w:ascii="仿宋_GB2312" w:eastAsia="仿宋_GB2312"/>
                <w:color w:val="auto"/>
                <w:sz w:val="24"/>
                <w:szCs w:val="24"/>
                <w:highlight w:val="none"/>
                <w:lang w:eastAsia="zh-CN"/>
              </w:rPr>
              <w:t>2024年12月-202</w:t>
            </w:r>
            <w:r>
              <w:rPr>
                <w:rFonts w:hint="eastAsia" w:ascii="仿宋_GB2312" w:eastAsia="仿宋_GB2312"/>
                <w:color w:val="auto"/>
                <w:sz w:val="24"/>
                <w:szCs w:val="24"/>
                <w:highlight w:val="none"/>
                <w:lang w:val="en-US" w:eastAsia="zh-CN"/>
              </w:rPr>
              <w:t>5</w:t>
            </w:r>
            <w:r>
              <w:rPr>
                <w:rFonts w:hint="eastAsia" w:ascii="仿宋_GB2312" w:eastAsia="仿宋_GB2312"/>
                <w:color w:val="auto"/>
                <w:sz w:val="24"/>
                <w:szCs w:val="24"/>
                <w:highlight w:val="none"/>
                <w:lang w:eastAsia="zh-CN"/>
              </w:rPr>
              <w:t>年2月</w:t>
            </w:r>
            <w:r>
              <w:rPr>
                <w:rFonts w:ascii="仿宋_GB2312" w:eastAsia="仿宋_GB2312"/>
                <w:color w:val="auto"/>
                <w:sz w:val="24"/>
                <w:szCs w:val="24"/>
                <w:highlight w:val="none"/>
              </w:rPr>
              <w:t>的社保证明复印件并加盖投标人公章，否则不得分。</w:t>
            </w:r>
            <w:r>
              <w:rPr>
                <w:rFonts w:hint="eastAsia" w:ascii="仿宋_GB2312" w:eastAsia="仿宋_GB2312"/>
                <w:color w:val="auto"/>
                <w:sz w:val="24"/>
                <w:szCs w:val="24"/>
                <w:highlight w:val="none"/>
              </w:rPr>
              <w:t>）</w:t>
            </w:r>
          </w:p>
        </w:tc>
        <w:tc>
          <w:tcPr>
            <w:tcW w:w="832" w:type="dxa"/>
            <w:tcBorders>
              <w:tl2br w:val="nil"/>
              <w:tr2bl w:val="nil"/>
            </w:tcBorders>
            <w:noWrap w:val="0"/>
            <w:vAlign w:val="center"/>
          </w:tcPr>
          <w:p w14:paraId="491A8B17">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分</w:t>
            </w:r>
          </w:p>
        </w:tc>
      </w:tr>
      <w:tr w14:paraId="235A7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vMerge w:val="continue"/>
            <w:tcBorders>
              <w:tl2br w:val="nil"/>
              <w:tr2bl w:val="nil"/>
            </w:tcBorders>
            <w:noWrap w:val="0"/>
            <w:vAlign w:val="center"/>
          </w:tcPr>
          <w:p w14:paraId="4D6F223B">
            <w:pPr>
              <w:rPr>
                <w:color w:val="auto"/>
                <w:highlight w:val="none"/>
              </w:rPr>
            </w:pPr>
          </w:p>
        </w:tc>
        <w:tc>
          <w:tcPr>
            <w:tcW w:w="1905" w:type="dxa"/>
            <w:vMerge w:val="continue"/>
            <w:tcBorders>
              <w:tl2br w:val="nil"/>
              <w:tr2bl w:val="nil"/>
            </w:tcBorders>
            <w:noWrap w:val="0"/>
            <w:vAlign w:val="center"/>
          </w:tcPr>
          <w:p w14:paraId="609E045A">
            <w:pPr>
              <w:rPr>
                <w:color w:val="auto"/>
                <w:highlight w:val="none"/>
              </w:rPr>
            </w:pPr>
          </w:p>
        </w:tc>
        <w:tc>
          <w:tcPr>
            <w:tcW w:w="6195" w:type="dxa"/>
            <w:tcBorders>
              <w:tl2br w:val="nil"/>
              <w:tr2bl w:val="nil"/>
            </w:tcBorders>
            <w:noWrap w:val="0"/>
            <w:vAlign w:val="center"/>
          </w:tcPr>
          <w:p w14:paraId="4638D30B">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lang w:val="en-US" w:eastAsia="zh-CN"/>
              </w:rPr>
              <w:t>4</w:t>
            </w:r>
            <w:r>
              <w:rPr>
                <w:rFonts w:hint="eastAsia" w:ascii="仿宋" w:eastAsia="仿宋" w:cs="仿宋"/>
                <w:color w:val="auto"/>
                <w:sz w:val="24"/>
                <w:highlight w:val="none"/>
              </w:rPr>
              <w:t>.</w:t>
            </w:r>
            <w:r>
              <w:rPr>
                <w:rFonts w:hint="eastAsia" w:ascii="仿宋" w:eastAsia="仿宋" w:cs="仿宋"/>
                <w:color w:val="auto"/>
                <w:sz w:val="24"/>
                <w:highlight w:val="none"/>
                <w:lang w:val="en-US" w:eastAsia="zh-CN"/>
              </w:rPr>
              <w:t>2</w:t>
            </w:r>
            <w:r>
              <w:rPr>
                <w:rFonts w:hint="eastAsia" w:ascii="仿宋" w:eastAsia="仿宋" w:cs="仿宋"/>
                <w:color w:val="auto"/>
                <w:sz w:val="24"/>
                <w:highlight w:val="none"/>
              </w:rPr>
              <w:t xml:space="preserve"> </w:t>
            </w:r>
            <w:r>
              <w:rPr>
                <w:rFonts w:hint="eastAsia" w:ascii="仿宋" w:eastAsia="仿宋" w:cs="仿宋"/>
                <w:color w:val="auto"/>
                <w:sz w:val="24"/>
                <w:highlight w:val="none"/>
                <w:lang w:val="en-US" w:eastAsia="zh-CN"/>
              </w:rPr>
              <w:t>团队成员</w:t>
            </w:r>
            <w:r>
              <w:rPr>
                <w:rFonts w:ascii="仿宋" w:eastAsia="仿宋" w:cs="仿宋"/>
                <w:color w:val="auto"/>
                <w:sz w:val="24"/>
                <w:highlight w:val="none"/>
              </w:rPr>
              <w:t>：</w:t>
            </w:r>
          </w:p>
          <w:p w14:paraId="29D388D8">
            <w:pPr>
              <w:adjustRightInd w:val="0"/>
              <w:snapToGrid w:val="0"/>
              <w:spacing w:line="360" w:lineRule="exact"/>
              <w:ind w:firstLine="480" w:firstLineChars="200"/>
              <w:jc w:val="left"/>
              <w:rPr>
                <w:rFonts w:ascii="仿宋" w:eastAsia="仿宋" w:cs="仿宋"/>
                <w:color w:val="auto"/>
                <w:sz w:val="24"/>
                <w:highlight w:val="none"/>
              </w:rPr>
            </w:pPr>
            <w:r>
              <w:rPr>
                <w:rFonts w:ascii="仿宋" w:eastAsia="仿宋" w:cs="仿宋"/>
                <w:color w:val="auto"/>
                <w:sz w:val="24"/>
                <w:highlight w:val="none"/>
              </w:rPr>
              <w:t>团队</w:t>
            </w:r>
            <w:r>
              <w:rPr>
                <w:rFonts w:hint="eastAsia" w:ascii="仿宋" w:eastAsia="仿宋" w:cs="仿宋"/>
                <w:color w:val="auto"/>
                <w:sz w:val="24"/>
                <w:highlight w:val="none"/>
                <w:lang w:val="en-US" w:eastAsia="zh-CN"/>
              </w:rPr>
              <w:t>成员</w:t>
            </w:r>
            <w:r>
              <w:rPr>
                <w:rFonts w:ascii="仿宋" w:eastAsia="仿宋" w:cs="仿宋"/>
                <w:color w:val="auto"/>
                <w:sz w:val="24"/>
                <w:highlight w:val="none"/>
              </w:rPr>
              <w:t>具有生态环境相关专业的高级工程师及以上职称的每人得0.</w:t>
            </w:r>
            <w:r>
              <w:rPr>
                <w:rFonts w:hint="eastAsia" w:ascii="仿宋" w:eastAsia="仿宋" w:cs="仿宋"/>
                <w:color w:val="auto"/>
                <w:sz w:val="24"/>
                <w:highlight w:val="none"/>
                <w:lang w:val="en-US" w:eastAsia="zh-CN"/>
              </w:rPr>
              <w:t>4</w:t>
            </w:r>
            <w:r>
              <w:rPr>
                <w:rFonts w:ascii="仿宋" w:eastAsia="仿宋" w:cs="仿宋"/>
                <w:color w:val="auto"/>
                <w:sz w:val="24"/>
                <w:highlight w:val="none"/>
              </w:rPr>
              <w:t>分</w:t>
            </w:r>
            <w:r>
              <w:rPr>
                <w:rFonts w:hint="eastAsia" w:ascii="仿宋" w:eastAsia="仿宋" w:cs="仿宋"/>
                <w:color w:val="auto"/>
                <w:sz w:val="24"/>
                <w:highlight w:val="none"/>
                <w:lang w:eastAsia="zh-CN"/>
              </w:rPr>
              <w:t>，</w:t>
            </w:r>
            <w:r>
              <w:rPr>
                <w:rFonts w:ascii="仿宋" w:eastAsia="仿宋" w:cs="仿宋"/>
                <w:color w:val="auto"/>
                <w:sz w:val="24"/>
                <w:highlight w:val="none"/>
              </w:rPr>
              <w:t>工程师职称的每人得0.1分，最高得</w:t>
            </w:r>
            <w:r>
              <w:rPr>
                <w:rFonts w:hint="eastAsia" w:ascii="仿宋" w:eastAsia="仿宋" w:cs="仿宋"/>
                <w:color w:val="auto"/>
                <w:sz w:val="24"/>
                <w:highlight w:val="none"/>
                <w:lang w:val="en-US" w:eastAsia="zh-CN"/>
              </w:rPr>
              <w:t>0.8</w:t>
            </w:r>
            <w:r>
              <w:rPr>
                <w:rFonts w:ascii="仿宋" w:eastAsia="仿宋" w:cs="仿宋"/>
                <w:color w:val="auto"/>
                <w:sz w:val="24"/>
                <w:highlight w:val="none"/>
              </w:rPr>
              <w:t>分；</w:t>
            </w:r>
          </w:p>
          <w:p w14:paraId="2F341035">
            <w:pPr>
              <w:adjustRightInd w:val="0"/>
              <w:snapToGrid w:val="0"/>
              <w:spacing w:line="360" w:lineRule="exact"/>
              <w:ind w:firstLine="480" w:firstLineChars="200"/>
              <w:jc w:val="left"/>
              <w:rPr>
                <w:rFonts w:ascii="仿宋" w:eastAsia="仿宋" w:cs="仿宋"/>
                <w:color w:val="auto"/>
                <w:sz w:val="24"/>
                <w:highlight w:val="none"/>
              </w:rPr>
            </w:pPr>
            <w:r>
              <w:rPr>
                <w:rFonts w:ascii="仿宋" w:eastAsia="仿宋" w:cs="仿宋"/>
                <w:color w:val="auto"/>
                <w:sz w:val="24"/>
                <w:highlight w:val="none"/>
              </w:rPr>
              <w:t>团队</w:t>
            </w:r>
            <w:r>
              <w:rPr>
                <w:rFonts w:hint="eastAsia" w:ascii="仿宋" w:eastAsia="仿宋" w:cs="仿宋"/>
                <w:color w:val="auto"/>
                <w:sz w:val="24"/>
                <w:highlight w:val="none"/>
                <w:lang w:val="en-US" w:eastAsia="zh-CN"/>
              </w:rPr>
              <w:t>成员（除项目负责人外）</w:t>
            </w:r>
            <w:r>
              <w:rPr>
                <w:rFonts w:ascii="仿宋" w:eastAsia="仿宋" w:cs="仿宋"/>
                <w:color w:val="auto"/>
                <w:sz w:val="24"/>
                <w:highlight w:val="none"/>
              </w:rPr>
              <w:t>具有注册环保工程师的每人得0.</w:t>
            </w:r>
            <w:r>
              <w:rPr>
                <w:rFonts w:hint="eastAsia" w:ascii="仿宋" w:eastAsia="仿宋" w:cs="仿宋"/>
                <w:color w:val="auto"/>
                <w:sz w:val="24"/>
                <w:highlight w:val="none"/>
                <w:lang w:val="en-US" w:eastAsia="zh-CN"/>
              </w:rPr>
              <w:t>2</w:t>
            </w:r>
            <w:r>
              <w:rPr>
                <w:rFonts w:ascii="仿宋" w:eastAsia="仿宋" w:cs="仿宋"/>
                <w:color w:val="auto"/>
                <w:sz w:val="24"/>
                <w:highlight w:val="none"/>
              </w:rPr>
              <w:t>分，最高得</w:t>
            </w:r>
            <w:r>
              <w:rPr>
                <w:rFonts w:hint="eastAsia" w:ascii="仿宋" w:eastAsia="仿宋" w:cs="仿宋"/>
                <w:color w:val="auto"/>
                <w:sz w:val="24"/>
                <w:highlight w:val="none"/>
                <w:lang w:val="en-US" w:eastAsia="zh-CN"/>
              </w:rPr>
              <w:t>0.2</w:t>
            </w:r>
            <w:r>
              <w:rPr>
                <w:rFonts w:ascii="仿宋" w:eastAsia="仿宋" w:cs="仿宋"/>
                <w:color w:val="auto"/>
                <w:sz w:val="24"/>
                <w:highlight w:val="none"/>
              </w:rPr>
              <w:t>分；</w:t>
            </w:r>
          </w:p>
          <w:p w14:paraId="07EA777A">
            <w:pPr>
              <w:rPr>
                <w:rFonts w:ascii="仿宋" w:eastAsia="仿宋" w:cs="仿宋"/>
                <w:color w:val="auto"/>
                <w:sz w:val="24"/>
                <w:highlight w:val="none"/>
              </w:rPr>
            </w:pPr>
            <w:r>
              <w:rPr>
                <w:rFonts w:ascii="仿宋" w:eastAsia="仿宋" w:cs="仿宋"/>
                <w:color w:val="auto"/>
                <w:sz w:val="24"/>
                <w:highlight w:val="none"/>
              </w:rPr>
              <w:t xml:space="preserve">    </w:t>
            </w:r>
            <w:r>
              <w:rPr>
                <w:rFonts w:hint="eastAsia" w:ascii="仿宋" w:eastAsia="仿宋" w:cs="仿宋"/>
                <w:color w:val="auto"/>
                <w:sz w:val="24"/>
                <w:szCs w:val="24"/>
                <w:highlight w:val="none"/>
              </w:rPr>
              <w:t>（投标文件中提供</w:t>
            </w:r>
            <w:r>
              <w:rPr>
                <w:rFonts w:ascii="仿宋" w:eastAsia="仿宋" w:cs="仿宋"/>
                <w:color w:val="auto"/>
                <w:sz w:val="24"/>
                <w:szCs w:val="24"/>
                <w:highlight w:val="none"/>
                <w:lang w:eastAsia="zh-CN"/>
              </w:rPr>
              <w:t>各类证书复印件、</w:t>
            </w:r>
            <w:r>
              <w:rPr>
                <w:rFonts w:hint="eastAsia" w:ascii="仿宋" w:eastAsia="仿宋" w:cs="仿宋"/>
                <w:color w:val="auto"/>
                <w:sz w:val="24"/>
                <w:szCs w:val="24"/>
                <w:highlight w:val="none"/>
              </w:rPr>
              <w:t>投标人为其缴纳的</w:t>
            </w:r>
            <w:r>
              <w:rPr>
                <w:rFonts w:hint="eastAsia" w:ascii="仿宋_GB2312" w:eastAsia="仿宋_GB2312"/>
                <w:color w:val="auto"/>
                <w:sz w:val="24"/>
                <w:szCs w:val="24"/>
                <w:highlight w:val="none"/>
                <w:lang w:eastAsia="zh-CN"/>
              </w:rPr>
              <w:t>2024年12月-202</w:t>
            </w:r>
            <w:r>
              <w:rPr>
                <w:rFonts w:hint="eastAsia" w:ascii="仿宋_GB2312" w:eastAsia="仿宋_GB2312"/>
                <w:color w:val="auto"/>
                <w:sz w:val="24"/>
                <w:szCs w:val="24"/>
                <w:highlight w:val="none"/>
                <w:lang w:val="en-US" w:eastAsia="zh-CN"/>
              </w:rPr>
              <w:t>5</w:t>
            </w:r>
            <w:r>
              <w:rPr>
                <w:rFonts w:hint="eastAsia" w:ascii="仿宋_GB2312" w:eastAsia="仿宋_GB2312"/>
                <w:color w:val="auto"/>
                <w:sz w:val="24"/>
                <w:szCs w:val="24"/>
                <w:highlight w:val="none"/>
                <w:lang w:eastAsia="zh-CN"/>
              </w:rPr>
              <w:t>年2月</w:t>
            </w:r>
            <w:r>
              <w:rPr>
                <w:rFonts w:hint="eastAsia" w:ascii="仿宋" w:eastAsia="仿宋" w:cs="仿宋"/>
                <w:color w:val="auto"/>
                <w:sz w:val="24"/>
                <w:szCs w:val="24"/>
                <w:highlight w:val="none"/>
              </w:rPr>
              <w:t>的社保证明复印件并加盖投标人公章，否则不得分。）</w:t>
            </w:r>
          </w:p>
        </w:tc>
        <w:tc>
          <w:tcPr>
            <w:tcW w:w="832" w:type="dxa"/>
            <w:tcBorders>
              <w:tl2br w:val="nil"/>
              <w:tr2bl w:val="nil"/>
            </w:tcBorders>
            <w:noWrap w:val="0"/>
            <w:vAlign w:val="center"/>
          </w:tcPr>
          <w:p w14:paraId="6E94860E">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分</w:t>
            </w:r>
          </w:p>
        </w:tc>
      </w:tr>
      <w:tr w14:paraId="0138A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tcBorders>
              <w:tl2br w:val="nil"/>
              <w:tr2bl w:val="nil"/>
            </w:tcBorders>
            <w:noWrap w:val="0"/>
            <w:vAlign w:val="center"/>
          </w:tcPr>
          <w:p w14:paraId="4FC87552">
            <w:pPr>
              <w:adjustRightInd w:val="0"/>
              <w:snapToGrid w:val="0"/>
              <w:spacing w:line="360" w:lineRule="exact"/>
              <w:jc w:val="center"/>
              <w:rPr>
                <w:rFonts w:hint="eastAsia" w:ascii="仿宋" w:eastAsia="仿宋" w:cs="仿宋"/>
                <w:color w:val="auto"/>
                <w:sz w:val="24"/>
                <w:highlight w:val="none"/>
                <w:lang w:eastAsia="zh-CN"/>
              </w:rPr>
            </w:pPr>
            <w:r>
              <w:rPr>
                <w:rFonts w:hint="eastAsia" w:ascii="仿宋" w:eastAsia="仿宋" w:cs="仿宋"/>
                <w:color w:val="auto"/>
                <w:sz w:val="24"/>
                <w:highlight w:val="none"/>
                <w:lang w:val="en-US" w:eastAsia="zh-CN"/>
              </w:rPr>
              <w:t>5</w:t>
            </w:r>
          </w:p>
        </w:tc>
        <w:tc>
          <w:tcPr>
            <w:tcW w:w="1905" w:type="dxa"/>
            <w:tcBorders>
              <w:tl2br w:val="nil"/>
              <w:tr2bl w:val="nil"/>
            </w:tcBorders>
            <w:noWrap w:val="0"/>
            <w:vAlign w:val="center"/>
          </w:tcPr>
          <w:p w14:paraId="245CDEBA">
            <w:pPr>
              <w:adjustRightInd/>
              <w:rPr>
                <w:rFonts w:hint="eastAsia" w:ascii="仿宋" w:eastAsia="仿宋" w:cs="仿宋"/>
                <w:color w:val="auto"/>
                <w:sz w:val="24"/>
                <w:szCs w:val="22"/>
                <w:highlight w:val="none"/>
              </w:rPr>
            </w:pPr>
            <w:r>
              <w:rPr>
                <w:rFonts w:hint="eastAsia" w:ascii="仿宋" w:eastAsia="仿宋" w:cs="仿宋"/>
                <w:color w:val="auto"/>
                <w:sz w:val="24"/>
                <w:szCs w:val="22"/>
                <w:highlight w:val="none"/>
              </w:rPr>
              <w:t>走航监测分析平台演示</w:t>
            </w:r>
          </w:p>
          <w:p w14:paraId="79187992">
            <w:pPr>
              <w:adjustRightInd w:val="0"/>
              <w:snapToGrid w:val="0"/>
              <w:spacing w:line="360" w:lineRule="exact"/>
              <w:jc w:val="left"/>
              <w:rPr>
                <w:rFonts w:ascii="仿宋" w:eastAsia="仿宋" w:cs="仿宋"/>
                <w:color w:val="auto"/>
                <w:sz w:val="24"/>
                <w:highlight w:val="none"/>
              </w:rPr>
            </w:pPr>
          </w:p>
        </w:tc>
        <w:tc>
          <w:tcPr>
            <w:tcW w:w="6195" w:type="dxa"/>
            <w:tcBorders>
              <w:tl2br w:val="nil"/>
              <w:tr2bl w:val="nil"/>
            </w:tcBorders>
            <w:noWrap w:val="0"/>
            <w:vAlign w:val="center"/>
          </w:tcPr>
          <w:p w14:paraId="27EDACC9">
            <w:pPr>
              <w:adjustRightInd w:val="0"/>
              <w:snapToGrid w:val="0"/>
              <w:spacing w:line="360" w:lineRule="exact"/>
              <w:rPr>
                <w:rFonts w:hint="eastAsia" w:ascii="仿宋" w:eastAsia="仿宋" w:cs="仿宋"/>
                <w:color w:val="auto"/>
                <w:sz w:val="24"/>
                <w:highlight w:val="none"/>
              </w:rPr>
            </w:pPr>
            <w:r>
              <w:rPr>
                <w:rFonts w:hint="eastAsia" w:ascii="仿宋" w:eastAsia="仿宋" w:cs="仿宋"/>
                <w:color w:val="auto"/>
                <w:sz w:val="24"/>
                <w:highlight w:val="none"/>
              </w:rPr>
              <w:t>根据以下演示要求，投标人需提供大气走航监测分析平台中的功能点演示录屏（演示内容可采用真实系统或原型形式），</w:t>
            </w:r>
            <w:r>
              <w:rPr>
                <w:rFonts w:hint="eastAsia" w:ascii="仿宋" w:hAnsi="Times New Roman" w:eastAsia="仿宋" w:cs="仿宋"/>
                <w:color w:val="auto"/>
                <w:sz w:val="24"/>
                <w:highlight w:val="none"/>
              </w:rPr>
              <w:t>投标人通过视频演示讲解，由投标人提前录制演示讲解内容，视频演示文件以U盘形式储存，密封包装并标注投标供应商名称，与投标文件一同提交。未提供演示U盘，演示分按0分处理。视频演示U盘在评标时出现破损或者打不开等情况的，由投标人自行负责，同样演示分按0分处理。演示顺序以投标人递交投标文件的顺序为准。</w:t>
            </w:r>
            <w:r>
              <w:rPr>
                <w:rFonts w:hint="eastAsia" w:ascii="仿宋" w:eastAsia="仿宋" w:cs="仿宋"/>
                <w:color w:val="auto"/>
                <w:sz w:val="24"/>
                <w:highlight w:val="none"/>
              </w:rPr>
              <w:t>评标委员会根据录屏讲解与演示情况进行综合评定：</w:t>
            </w:r>
          </w:p>
          <w:p w14:paraId="6ACF33BC">
            <w:pPr>
              <w:adjustRightInd w:val="0"/>
              <w:snapToGrid w:val="0"/>
              <w:spacing w:line="360" w:lineRule="exact"/>
              <w:rPr>
                <w:rFonts w:ascii="仿宋" w:eastAsia="仿宋" w:cs="仿宋"/>
                <w:b/>
                <w:bCs/>
                <w:color w:val="auto"/>
                <w:sz w:val="24"/>
                <w:highlight w:val="none"/>
              </w:rPr>
            </w:pPr>
            <w:r>
              <w:rPr>
                <w:rFonts w:hint="eastAsia" w:ascii="仿宋" w:eastAsia="仿宋" w:cs="仿宋"/>
                <w:b/>
                <w:bCs/>
                <w:color w:val="auto"/>
                <w:sz w:val="24"/>
                <w:highlight w:val="none"/>
              </w:rPr>
              <w:t>多车路径规划：</w:t>
            </w:r>
          </w:p>
          <w:p w14:paraId="14391D57">
            <w:pPr>
              <w:adjustRightInd w:val="0"/>
              <w:snapToGrid w:val="0"/>
              <w:spacing w:line="360" w:lineRule="exact"/>
              <w:rPr>
                <w:rFonts w:hint="default" w:ascii="仿宋" w:eastAsia="仿宋" w:cs="仿宋"/>
                <w:color w:val="auto"/>
                <w:sz w:val="24"/>
                <w:highlight w:val="none"/>
                <w:lang w:val="en-US" w:eastAsia="zh-CN"/>
              </w:rPr>
            </w:pPr>
            <w:r>
              <w:rPr>
                <w:rFonts w:hint="eastAsia" w:ascii="仿宋" w:eastAsia="仿宋" w:cs="仿宋"/>
                <w:color w:val="auto"/>
                <w:sz w:val="24"/>
                <w:highlight w:val="none"/>
              </w:rPr>
              <w:t>1、路径规划功能能够显示监测站点数据位置分布，展示站点监测因子数值和统计图，基于GIS叠加展示污染物浓度分布、温度、湿度、云量、粒子风效果等。</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p>
          <w:p w14:paraId="38504C38">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2、支持历史方案的查看，地图上以不同的颜色展示历史方案路径，能够查看方案路径的起点、途经点、距离等，支持路径的修改编辑。</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p>
          <w:p w14:paraId="525F8252">
            <w:pPr>
              <w:adjustRightInd w:val="0"/>
              <w:snapToGrid w:val="0"/>
              <w:spacing w:line="360" w:lineRule="exact"/>
              <w:rPr>
                <w:rFonts w:ascii="仿宋" w:eastAsia="仿宋" w:cs="仿宋"/>
                <w:b/>
                <w:bCs/>
                <w:color w:val="auto"/>
                <w:sz w:val="24"/>
                <w:highlight w:val="none"/>
              </w:rPr>
            </w:pPr>
            <w:r>
              <w:rPr>
                <w:rFonts w:hint="eastAsia" w:ascii="仿宋" w:eastAsia="仿宋" w:cs="仿宋"/>
                <w:b/>
                <w:bCs/>
                <w:color w:val="auto"/>
                <w:sz w:val="24"/>
                <w:highlight w:val="none"/>
              </w:rPr>
              <w:t>实时走航展示：</w:t>
            </w:r>
          </w:p>
          <w:p w14:paraId="67E337BE">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3、支持基于GIS展示所有走航车的全局概览，显示车辆数据，展示规划的路径、最近走过的路径及正在走航路径，并展示自本次走航开始至当前时刻的各要素数据，包括车辆行驶路线、可视化的大气污染信息及监测因子浓度随时间变化图。能够对车辆和监测设备进行选择，展示监测数据。</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1</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p>
          <w:p w14:paraId="79B07C8D">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4、展示监测因子的实时浓度，所选因子的浓度—时间变化曲线图、直观展示单因子的浓度大小</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0.5</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r>
              <w:rPr>
                <w:rFonts w:hint="eastAsia" w:ascii="仿宋" w:eastAsia="仿宋" w:cs="仿宋"/>
                <w:color w:val="auto"/>
                <w:sz w:val="24"/>
                <w:highlight w:val="none"/>
              </w:rPr>
              <w:t>。支持展示车辆行驶路线，监测因子浓度数据跟随走航车实时渲染，展示监测因子的实时浓度，图上展示时间、高度、风向和风速</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0.5</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r>
              <w:rPr>
                <w:rFonts w:hint="eastAsia" w:ascii="仿宋" w:eastAsia="仿宋" w:cs="仿宋"/>
                <w:color w:val="auto"/>
                <w:sz w:val="24"/>
                <w:highlight w:val="none"/>
              </w:rPr>
              <w:t>。</w:t>
            </w:r>
          </w:p>
          <w:p w14:paraId="31E087F1">
            <w:pPr>
              <w:adjustRightInd w:val="0"/>
              <w:snapToGrid w:val="0"/>
              <w:spacing w:line="360" w:lineRule="exact"/>
              <w:rPr>
                <w:rFonts w:ascii="仿宋" w:eastAsia="仿宋" w:cs="仿宋"/>
                <w:b/>
                <w:bCs/>
                <w:color w:val="auto"/>
                <w:sz w:val="24"/>
                <w:highlight w:val="none"/>
              </w:rPr>
            </w:pPr>
            <w:r>
              <w:rPr>
                <w:rFonts w:hint="eastAsia" w:ascii="仿宋" w:eastAsia="仿宋" w:cs="仿宋"/>
                <w:b/>
                <w:bCs/>
                <w:color w:val="auto"/>
                <w:sz w:val="24"/>
                <w:highlight w:val="none"/>
              </w:rPr>
              <w:t>统计分析：</w:t>
            </w:r>
          </w:p>
          <w:p w14:paraId="5BF5F8BF">
            <w:pPr>
              <w:adjustRightInd w:val="0"/>
              <w:snapToGrid w:val="0"/>
              <w:spacing w:line="360" w:lineRule="exact"/>
              <w:rPr>
                <w:rFonts w:ascii="Calibri" w:hAnsi="Calibri"/>
                <w:color w:val="auto"/>
                <w:szCs w:val="22"/>
                <w:highlight w:val="none"/>
              </w:rPr>
            </w:pPr>
            <w:r>
              <w:rPr>
                <w:rFonts w:hint="eastAsia" w:ascii="仿宋" w:eastAsia="仿宋" w:cs="仿宋"/>
                <w:color w:val="auto"/>
                <w:sz w:val="24"/>
                <w:highlight w:val="none"/>
              </w:rPr>
              <w:t>5、统计分析功能可实现对所有车辆走航数据的统计及溯源分析</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0.3</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r>
              <w:rPr>
                <w:rFonts w:hint="eastAsia" w:ascii="仿宋" w:eastAsia="仿宋" w:cs="仿宋"/>
                <w:color w:val="auto"/>
                <w:sz w:val="24"/>
                <w:highlight w:val="none"/>
              </w:rPr>
              <w:t>。能够对单车历次走航数据、多车走航数据以及不同任务下的走航数据在时间、空间上统计对比分析和溯源分析</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0.3</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r>
              <w:rPr>
                <w:rFonts w:hint="eastAsia" w:ascii="仿宋" w:eastAsia="仿宋" w:cs="仿宋"/>
                <w:color w:val="auto"/>
                <w:sz w:val="24"/>
                <w:highlight w:val="none"/>
              </w:rPr>
              <w:t>。还可针对走航车、仪器类型、任务名称、走航时间进行条件检索，并展示仪器监测因子的统计分析，支持统计图的下载</w:t>
            </w:r>
            <w:r>
              <w:rPr>
                <w:rFonts w:ascii="仿宋" w:eastAsia="仿宋" w:cs="仿宋"/>
                <w:color w:val="auto"/>
                <w:sz w:val="24"/>
                <w:highlight w:val="none"/>
              </w:rPr>
              <w:t xml:space="preserve"> </w:t>
            </w:r>
            <w:r>
              <w:rPr>
                <w:rFonts w:hint="eastAsia" w:ascii="仿宋" w:eastAsia="仿宋" w:cs="仿宋"/>
                <w:color w:val="auto"/>
                <w:sz w:val="24"/>
                <w:highlight w:val="none"/>
                <w:lang w:eastAsia="zh-CN"/>
              </w:rPr>
              <w:t>（</w:t>
            </w:r>
            <w:r>
              <w:rPr>
                <w:rFonts w:hint="eastAsia" w:ascii="仿宋" w:eastAsia="仿宋" w:cs="仿宋"/>
                <w:color w:val="auto"/>
                <w:sz w:val="24"/>
                <w:highlight w:val="none"/>
              </w:rPr>
              <w:t>演示功能点完全符合功能参数要求的，得</w:t>
            </w:r>
            <w:r>
              <w:rPr>
                <w:rFonts w:hint="eastAsia" w:ascii="仿宋" w:eastAsia="仿宋" w:cs="仿宋"/>
                <w:color w:val="auto"/>
                <w:sz w:val="24"/>
                <w:highlight w:val="none"/>
                <w:lang w:val="en-US" w:eastAsia="zh-CN"/>
              </w:rPr>
              <w:t>0.4</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其他不得分。</w:t>
            </w:r>
            <w:r>
              <w:rPr>
                <w:rFonts w:hint="eastAsia" w:ascii="仿宋" w:eastAsia="仿宋" w:cs="仿宋"/>
                <w:color w:val="auto"/>
                <w:sz w:val="24"/>
                <w:highlight w:val="none"/>
                <w:lang w:eastAsia="zh-CN"/>
              </w:rPr>
              <w:t>）</w:t>
            </w:r>
            <w:r>
              <w:rPr>
                <w:rFonts w:hint="eastAsia" w:ascii="仿宋" w:eastAsia="仿宋" w:cs="仿宋"/>
                <w:color w:val="auto"/>
                <w:sz w:val="24"/>
                <w:highlight w:val="none"/>
              </w:rPr>
              <w:t>。</w:t>
            </w:r>
          </w:p>
        </w:tc>
        <w:tc>
          <w:tcPr>
            <w:tcW w:w="832" w:type="dxa"/>
            <w:tcBorders>
              <w:tl2br w:val="nil"/>
              <w:tr2bl w:val="nil"/>
            </w:tcBorders>
            <w:noWrap w:val="0"/>
            <w:vAlign w:val="center"/>
          </w:tcPr>
          <w:p w14:paraId="27FD7175">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rPr>
              <w:t>5分</w:t>
            </w:r>
          </w:p>
        </w:tc>
      </w:tr>
      <w:tr w14:paraId="45814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vMerge w:val="restart"/>
            <w:tcBorders>
              <w:tl2br w:val="nil"/>
              <w:tr2bl w:val="nil"/>
            </w:tcBorders>
            <w:noWrap w:val="0"/>
            <w:vAlign w:val="center"/>
          </w:tcPr>
          <w:p w14:paraId="3B8BD444">
            <w:pPr>
              <w:adjustRightInd w:val="0"/>
              <w:snapToGrid w:val="0"/>
              <w:spacing w:line="360" w:lineRule="exact"/>
              <w:jc w:val="center"/>
              <w:rPr>
                <w:rFonts w:hint="eastAsia" w:ascii="仿宋" w:eastAsia="仿宋" w:cs="仿宋"/>
                <w:color w:val="auto"/>
                <w:sz w:val="24"/>
                <w:highlight w:val="none"/>
                <w:lang w:eastAsia="zh-CN"/>
              </w:rPr>
            </w:pPr>
            <w:r>
              <w:rPr>
                <w:rFonts w:hint="eastAsia" w:ascii="仿宋" w:eastAsia="仿宋" w:cs="仿宋"/>
                <w:color w:val="auto"/>
                <w:sz w:val="24"/>
                <w:highlight w:val="none"/>
                <w:lang w:val="en-US" w:eastAsia="zh-CN"/>
              </w:rPr>
              <w:t>6</w:t>
            </w:r>
          </w:p>
        </w:tc>
        <w:tc>
          <w:tcPr>
            <w:tcW w:w="1905" w:type="dxa"/>
            <w:vMerge w:val="restart"/>
            <w:tcBorders>
              <w:tl2br w:val="nil"/>
              <w:tr2bl w:val="nil"/>
            </w:tcBorders>
            <w:noWrap w:val="0"/>
            <w:vAlign w:val="center"/>
          </w:tcPr>
          <w:p w14:paraId="26FDB27F">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服务能力考评</w:t>
            </w:r>
          </w:p>
        </w:tc>
        <w:tc>
          <w:tcPr>
            <w:tcW w:w="6195" w:type="dxa"/>
            <w:tcBorders>
              <w:tl2br w:val="nil"/>
              <w:tr2bl w:val="nil"/>
            </w:tcBorders>
            <w:noWrap w:val="0"/>
            <w:vAlign w:val="center"/>
          </w:tcPr>
          <w:p w14:paraId="25201560">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lang w:val="en-US" w:eastAsia="zh-CN"/>
              </w:rPr>
              <w:t>6</w:t>
            </w:r>
            <w:r>
              <w:rPr>
                <w:rFonts w:hint="eastAsia" w:ascii="仿宋" w:eastAsia="仿宋" w:cs="仿宋"/>
                <w:color w:val="auto"/>
                <w:sz w:val="24"/>
                <w:highlight w:val="none"/>
              </w:rPr>
              <w:t>.1 走航服务能力考评（</w:t>
            </w:r>
            <w:r>
              <w:rPr>
                <w:rFonts w:hint="eastAsia" w:ascii="仿宋" w:eastAsia="仿宋" w:cs="仿宋"/>
                <w:color w:val="auto"/>
                <w:sz w:val="24"/>
                <w:highlight w:val="none"/>
                <w:lang w:val="en-US" w:eastAsia="zh-CN"/>
              </w:rPr>
              <w:t>2</w:t>
            </w:r>
            <w:r>
              <w:rPr>
                <w:rFonts w:hint="eastAsia" w:ascii="仿宋" w:eastAsia="仿宋" w:cs="仿宋"/>
                <w:color w:val="auto"/>
                <w:sz w:val="24"/>
                <w:highlight w:val="none"/>
              </w:rPr>
              <w:t>分）</w:t>
            </w:r>
          </w:p>
          <w:p w14:paraId="675357A8">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1）考核目标：考察投标人在走航监测方案设计方面的技术能力</w:t>
            </w:r>
          </w:p>
          <w:p w14:paraId="49B902FB">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2）考核内容：由投标人选取某</w:t>
            </w:r>
            <w:r>
              <w:rPr>
                <w:rFonts w:hint="eastAsia" w:ascii="仿宋" w:eastAsia="仿宋" w:cs="仿宋"/>
                <w:color w:val="auto"/>
                <w:sz w:val="24"/>
                <w:highlight w:val="none"/>
                <w:lang w:val="en-US" w:eastAsia="zh-CN"/>
              </w:rPr>
              <w:t>工业</w:t>
            </w:r>
            <w:r>
              <w:rPr>
                <w:rFonts w:hint="eastAsia" w:ascii="仿宋" w:eastAsia="仿宋" w:cs="仿宋"/>
                <w:color w:val="auto"/>
                <w:sz w:val="24"/>
                <w:highlight w:val="none"/>
              </w:rPr>
              <w:t>园区应用场景，设计走航方案并规划科学合理的走航路线。走航方案内容应包括但不限于园区基本情况介绍、路线规划依据、走航路线规划、走航方案设计等内容，供应商可以根据实际情况自行扩充。</w:t>
            </w:r>
          </w:p>
          <w:p w14:paraId="54B80608">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3）输出内容：按要求在投标文件中提供某</w:t>
            </w:r>
            <w:r>
              <w:rPr>
                <w:rFonts w:hint="eastAsia" w:ascii="仿宋" w:eastAsia="仿宋" w:cs="仿宋"/>
                <w:color w:val="auto"/>
                <w:sz w:val="24"/>
                <w:highlight w:val="none"/>
                <w:lang w:val="en-US" w:eastAsia="zh-CN"/>
              </w:rPr>
              <w:t>工业</w:t>
            </w:r>
            <w:r>
              <w:rPr>
                <w:rFonts w:hint="eastAsia" w:ascii="仿宋" w:eastAsia="仿宋" w:cs="仿宋"/>
                <w:color w:val="auto"/>
                <w:sz w:val="24"/>
                <w:highlight w:val="none"/>
              </w:rPr>
              <w:t>园区走航设计方案1份。</w:t>
            </w:r>
          </w:p>
          <w:p w14:paraId="184B7CDA">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4）结果评价：评标小组对投标单位所提供的走航设计方案的完整性、科学性和可行性进行打分，方案完整、科学</w:t>
            </w:r>
            <w:r>
              <w:rPr>
                <w:rFonts w:hint="eastAsia" w:ascii="仿宋" w:eastAsia="仿宋" w:cs="仿宋"/>
                <w:color w:val="auto"/>
                <w:sz w:val="24"/>
                <w:highlight w:val="none"/>
                <w:lang w:eastAsia="zh-CN"/>
              </w:rPr>
              <w:t>、</w:t>
            </w:r>
            <w:r>
              <w:rPr>
                <w:rFonts w:hint="eastAsia" w:ascii="仿宋" w:eastAsia="仿宋" w:cs="仿宋"/>
                <w:color w:val="auto"/>
                <w:sz w:val="24"/>
                <w:highlight w:val="none"/>
              </w:rPr>
              <w:t>可行性</w:t>
            </w:r>
            <w:r>
              <w:rPr>
                <w:rFonts w:hint="eastAsia" w:ascii="仿宋" w:eastAsia="仿宋" w:cs="仿宋"/>
                <w:color w:val="auto"/>
                <w:sz w:val="24"/>
                <w:highlight w:val="none"/>
                <w:lang w:val="en-US" w:eastAsia="zh-CN"/>
              </w:rPr>
              <w:t>强的</w:t>
            </w:r>
            <w:r>
              <w:rPr>
                <w:rFonts w:hint="eastAsia" w:ascii="仿宋" w:eastAsia="仿宋" w:cs="仿宋"/>
                <w:color w:val="auto"/>
                <w:sz w:val="24"/>
                <w:highlight w:val="none"/>
              </w:rPr>
              <w:t>得</w:t>
            </w:r>
            <w:r>
              <w:rPr>
                <w:rFonts w:hint="eastAsia" w:ascii="仿宋" w:eastAsia="仿宋" w:cs="仿宋"/>
                <w:color w:val="auto"/>
                <w:sz w:val="24"/>
                <w:highlight w:val="none"/>
                <w:lang w:val="en-US" w:eastAsia="zh-CN"/>
              </w:rPr>
              <w:t>1.5-2</w:t>
            </w:r>
            <w:r>
              <w:rPr>
                <w:rFonts w:hint="eastAsia" w:ascii="仿宋" w:eastAsia="仿宋" w:cs="仿宋"/>
                <w:color w:val="auto"/>
                <w:sz w:val="24"/>
                <w:highlight w:val="none"/>
              </w:rPr>
              <w:t>分，方案</w:t>
            </w:r>
            <w:r>
              <w:rPr>
                <w:rFonts w:hint="eastAsia" w:ascii="仿宋" w:eastAsia="仿宋" w:cs="仿宋"/>
                <w:color w:val="auto"/>
                <w:sz w:val="24"/>
                <w:highlight w:val="none"/>
                <w:lang w:val="en-US" w:eastAsia="zh-CN"/>
              </w:rPr>
              <w:t>较</w:t>
            </w:r>
            <w:r>
              <w:rPr>
                <w:rFonts w:hint="eastAsia" w:ascii="仿宋" w:eastAsia="仿宋" w:cs="仿宋"/>
                <w:color w:val="auto"/>
                <w:sz w:val="24"/>
                <w:highlight w:val="none"/>
              </w:rPr>
              <w:t>完整、</w:t>
            </w:r>
            <w:r>
              <w:rPr>
                <w:rFonts w:hint="eastAsia" w:ascii="仿宋" w:eastAsia="仿宋" w:cs="仿宋"/>
                <w:color w:val="auto"/>
                <w:sz w:val="24"/>
                <w:highlight w:val="none"/>
                <w:lang w:val="en-US" w:eastAsia="zh-CN"/>
              </w:rPr>
              <w:t>较</w:t>
            </w:r>
            <w:r>
              <w:rPr>
                <w:rFonts w:hint="eastAsia" w:ascii="仿宋" w:eastAsia="仿宋" w:cs="仿宋"/>
                <w:color w:val="auto"/>
                <w:sz w:val="24"/>
                <w:highlight w:val="none"/>
              </w:rPr>
              <w:t>科学</w:t>
            </w:r>
            <w:r>
              <w:rPr>
                <w:rFonts w:hint="eastAsia" w:ascii="仿宋" w:eastAsia="仿宋" w:cs="仿宋"/>
                <w:color w:val="auto"/>
                <w:sz w:val="24"/>
                <w:highlight w:val="none"/>
                <w:lang w:eastAsia="zh-CN"/>
              </w:rPr>
              <w:t>、</w:t>
            </w:r>
            <w:r>
              <w:rPr>
                <w:rFonts w:hint="eastAsia" w:ascii="仿宋" w:eastAsia="仿宋" w:cs="仿宋"/>
                <w:color w:val="auto"/>
                <w:sz w:val="24"/>
                <w:highlight w:val="none"/>
              </w:rPr>
              <w:t>可行性</w:t>
            </w:r>
            <w:r>
              <w:rPr>
                <w:rFonts w:hint="eastAsia" w:ascii="仿宋" w:eastAsia="仿宋" w:cs="仿宋"/>
                <w:color w:val="auto"/>
                <w:sz w:val="24"/>
                <w:highlight w:val="none"/>
                <w:lang w:val="en-US" w:eastAsia="zh-CN"/>
              </w:rPr>
              <w:t>较好的</w:t>
            </w:r>
            <w:r>
              <w:rPr>
                <w:rFonts w:hint="eastAsia" w:ascii="仿宋" w:eastAsia="仿宋" w:cs="仿宋"/>
                <w:color w:val="auto"/>
                <w:sz w:val="24"/>
                <w:highlight w:val="none"/>
              </w:rPr>
              <w:t>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分，方案</w:t>
            </w:r>
            <w:r>
              <w:rPr>
                <w:rFonts w:hint="eastAsia" w:ascii="仿宋" w:eastAsia="仿宋" w:cs="仿宋"/>
                <w:color w:val="auto"/>
                <w:sz w:val="24"/>
                <w:highlight w:val="none"/>
                <w:lang w:val="en-US" w:eastAsia="zh-CN"/>
              </w:rPr>
              <w:t>不太</w:t>
            </w:r>
            <w:r>
              <w:rPr>
                <w:rFonts w:hint="eastAsia" w:ascii="仿宋" w:eastAsia="仿宋" w:cs="仿宋"/>
                <w:color w:val="auto"/>
                <w:sz w:val="24"/>
                <w:highlight w:val="none"/>
              </w:rPr>
              <w:t>完整、</w:t>
            </w:r>
            <w:r>
              <w:rPr>
                <w:rFonts w:hint="eastAsia" w:ascii="仿宋" w:eastAsia="仿宋" w:cs="仿宋"/>
                <w:color w:val="auto"/>
                <w:sz w:val="24"/>
                <w:highlight w:val="none"/>
                <w:lang w:val="en-US" w:eastAsia="zh-CN"/>
              </w:rPr>
              <w:t>欠</w:t>
            </w:r>
            <w:r>
              <w:rPr>
                <w:rFonts w:hint="eastAsia" w:ascii="仿宋" w:eastAsia="仿宋" w:cs="仿宋"/>
                <w:color w:val="auto"/>
                <w:sz w:val="24"/>
                <w:highlight w:val="none"/>
              </w:rPr>
              <w:t>科学</w:t>
            </w:r>
            <w:r>
              <w:rPr>
                <w:rFonts w:hint="eastAsia" w:ascii="仿宋" w:eastAsia="仿宋" w:cs="仿宋"/>
                <w:color w:val="auto"/>
                <w:sz w:val="24"/>
                <w:highlight w:val="none"/>
                <w:lang w:eastAsia="zh-CN"/>
              </w:rPr>
              <w:t>、</w:t>
            </w:r>
            <w:r>
              <w:rPr>
                <w:rFonts w:hint="eastAsia" w:ascii="仿宋" w:eastAsia="仿宋" w:cs="仿宋"/>
                <w:color w:val="auto"/>
                <w:sz w:val="24"/>
                <w:highlight w:val="none"/>
              </w:rPr>
              <w:t>可行性</w:t>
            </w:r>
            <w:r>
              <w:rPr>
                <w:rFonts w:hint="eastAsia" w:ascii="仿宋" w:eastAsia="仿宋" w:cs="仿宋"/>
                <w:color w:val="auto"/>
                <w:sz w:val="24"/>
                <w:highlight w:val="none"/>
                <w:lang w:val="en-US" w:eastAsia="zh-CN"/>
              </w:rPr>
              <w:t>一般的</w:t>
            </w:r>
            <w:r>
              <w:rPr>
                <w:rFonts w:hint="eastAsia" w:ascii="仿宋" w:eastAsia="仿宋" w:cs="仿宋"/>
                <w:color w:val="auto"/>
                <w:sz w:val="24"/>
                <w:highlight w:val="none"/>
              </w:rPr>
              <w:t>得</w:t>
            </w:r>
            <w:r>
              <w:rPr>
                <w:rFonts w:hint="eastAsia" w:ascii="仿宋" w:eastAsia="仿宋" w:cs="仿宋"/>
                <w:color w:val="auto"/>
                <w:sz w:val="24"/>
                <w:highlight w:val="none"/>
                <w:lang w:val="en-US" w:eastAsia="zh-CN"/>
              </w:rPr>
              <w:t>0.1-0.6</w:t>
            </w:r>
            <w:r>
              <w:rPr>
                <w:rFonts w:hint="eastAsia" w:ascii="仿宋" w:eastAsia="仿宋" w:cs="仿宋"/>
                <w:color w:val="auto"/>
                <w:sz w:val="24"/>
                <w:highlight w:val="none"/>
              </w:rPr>
              <w:t>分，未提供不得分。</w:t>
            </w:r>
          </w:p>
        </w:tc>
        <w:tc>
          <w:tcPr>
            <w:tcW w:w="832" w:type="dxa"/>
            <w:tcBorders>
              <w:tl2br w:val="nil"/>
              <w:tr2bl w:val="nil"/>
            </w:tcBorders>
            <w:noWrap w:val="0"/>
            <w:vAlign w:val="center"/>
          </w:tcPr>
          <w:p w14:paraId="0E5FC7BE">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2</w:t>
            </w:r>
            <w:r>
              <w:rPr>
                <w:rFonts w:hint="eastAsia" w:ascii="仿宋" w:eastAsia="仿宋" w:cs="仿宋"/>
                <w:color w:val="auto"/>
                <w:sz w:val="24"/>
                <w:highlight w:val="none"/>
              </w:rPr>
              <w:t>分</w:t>
            </w:r>
          </w:p>
        </w:tc>
      </w:tr>
      <w:tr w14:paraId="6055D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vMerge w:val="continue"/>
            <w:tcBorders>
              <w:tl2br w:val="nil"/>
              <w:tr2bl w:val="nil"/>
            </w:tcBorders>
            <w:noWrap w:val="0"/>
            <w:vAlign w:val="center"/>
          </w:tcPr>
          <w:p w14:paraId="62B7C6A9">
            <w:pPr>
              <w:rPr>
                <w:color w:val="auto"/>
                <w:highlight w:val="none"/>
              </w:rPr>
            </w:pPr>
          </w:p>
        </w:tc>
        <w:tc>
          <w:tcPr>
            <w:tcW w:w="1905" w:type="dxa"/>
            <w:vMerge w:val="continue"/>
            <w:tcBorders>
              <w:tl2br w:val="nil"/>
              <w:tr2bl w:val="nil"/>
            </w:tcBorders>
            <w:noWrap w:val="0"/>
            <w:vAlign w:val="center"/>
          </w:tcPr>
          <w:p w14:paraId="401538A7">
            <w:pPr>
              <w:rPr>
                <w:color w:val="auto"/>
                <w:highlight w:val="none"/>
              </w:rPr>
            </w:pPr>
          </w:p>
        </w:tc>
        <w:tc>
          <w:tcPr>
            <w:tcW w:w="6195" w:type="dxa"/>
            <w:tcBorders>
              <w:tl2br w:val="nil"/>
              <w:tr2bl w:val="nil"/>
            </w:tcBorders>
            <w:noWrap w:val="0"/>
            <w:vAlign w:val="center"/>
          </w:tcPr>
          <w:p w14:paraId="61913087">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lang w:val="en-US" w:eastAsia="zh-CN"/>
              </w:rPr>
              <w:t>6</w:t>
            </w:r>
            <w:r>
              <w:rPr>
                <w:rFonts w:hint="eastAsia" w:ascii="仿宋" w:eastAsia="仿宋" w:cs="仿宋"/>
                <w:color w:val="auto"/>
                <w:sz w:val="24"/>
                <w:highlight w:val="none"/>
              </w:rPr>
              <w:t>.2 数据分析能力考评（</w:t>
            </w:r>
            <w:r>
              <w:rPr>
                <w:rFonts w:ascii="仿宋" w:eastAsia="仿宋" w:cs="仿宋"/>
                <w:color w:val="auto"/>
                <w:sz w:val="24"/>
                <w:highlight w:val="none"/>
              </w:rPr>
              <w:t>2</w:t>
            </w:r>
            <w:r>
              <w:rPr>
                <w:rFonts w:hint="eastAsia" w:ascii="仿宋" w:eastAsia="仿宋" w:cs="仿宋"/>
                <w:color w:val="auto"/>
                <w:sz w:val="24"/>
                <w:highlight w:val="none"/>
              </w:rPr>
              <w:t>分）</w:t>
            </w:r>
          </w:p>
          <w:p w14:paraId="57F6B29B">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1）考核目标：考察投标单位在走航数据分析方面的技术能力</w:t>
            </w:r>
          </w:p>
          <w:p w14:paraId="39ED9F4C">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2）考核内容：投标人提供1份VOCs和PM2.5走航监测数据综合分析报告，报告内容包括但不限于走航监测概况、污染物溯源分析、结论及管控建议等。</w:t>
            </w:r>
          </w:p>
          <w:p w14:paraId="7F197FC4">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3）输出内容：按要求在投标文件中提供走航监测数据综合分析报告1份；</w:t>
            </w:r>
          </w:p>
          <w:p w14:paraId="1672A12C">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4）结果评价：评标小组现场将根据报告质量进行综合打分，评分标准如下：</w:t>
            </w:r>
          </w:p>
          <w:p w14:paraId="204E7D3B">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走航监测数据分析报告具有较好的科学性、合理性、先进性的得</w:t>
            </w:r>
            <w:r>
              <w:rPr>
                <w:rFonts w:hint="eastAsia" w:ascii="仿宋" w:eastAsia="仿宋" w:cs="仿宋"/>
                <w:color w:val="auto"/>
                <w:sz w:val="24"/>
                <w:highlight w:val="none"/>
                <w:lang w:val="en-US" w:eastAsia="zh-CN"/>
              </w:rPr>
              <w:t>1.5-</w:t>
            </w:r>
            <w:r>
              <w:rPr>
                <w:rFonts w:ascii="仿宋" w:eastAsia="仿宋" w:cs="仿宋"/>
                <w:color w:val="auto"/>
                <w:sz w:val="24"/>
                <w:highlight w:val="none"/>
              </w:rPr>
              <w:t>2</w:t>
            </w:r>
            <w:r>
              <w:rPr>
                <w:rFonts w:hint="eastAsia" w:ascii="仿宋" w:eastAsia="仿宋" w:cs="仿宋"/>
                <w:color w:val="auto"/>
                <w:sz w:val="24"/>
                <w:highlight w:val="none"/>
              </w:rPr>
              <w:t>分；</w:t>
            </w:r>
          </w:p>
          <w:p w14:paraId="2620E088">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走航监测数据分析报告具有一定的科学性、合理性、先进性的得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w:t>
            </w:r>
          </w:p>
          <w:p w14:paraId="40BC7975">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走航监测数据分析报告不具有科学性、合理性、先进性的</w:t>
            </w:r>
            <w:r>
              <w:rPr>
                <w:rFonts w:hint="eastAsia" w:ascii="仿宋" w:eastAsia="仿宋" w:cs="仿宋"/>
                <w:color w:val="auto"/>
                <w:sz w:val="24"/>
                <w:highlight w:val="none"/>
                <w:lang w:val="en-US" w:eastAsia="zh-CN"/>
              </w:rPr>
              <w:t>得0.1-0.6分，</w:t>
            </w:r>
            <w:r>
              <w:rPr>
                <w:rFonts w:hint="eastAsia" w:ascii="仿宋" w:eastAsia="仿宋" w:cs="仿宋"/>
                <w:color w:val="auto"/>
                <w:sz w:val="24"/>
                <w:highlight w:val="none"/>
              </w:rPr>
              <w:t>未</w:t>
            </w:r>
            <w:r>
              <w:rPr>
                <w:rFonts w:hint="eastAsia" w:ascii="仿宋" w:eastAsia="仿宋" w:cs="仿宋"/>
                <w:color w:val="auto"/>
                <w:sz w:val="24"/>
                <w:highlight w:val="none"/>
                <w:lang w:val="en-US" w:eastAsia="zh-CN"/>
              </w:rPr>
              <w:t>提供的</w:t>
            </w:r>
            <w:r>
              <w:rPr>
                <w:rFonts w:hint="eastAsia" w:ascii="仿宋" w:eastAsia="仿宋" w:cs="仿宋"/>
                <w:color w:val="auto"/>
                <w:sz w:val="24"/>
                <w:highlight w:val="none"/>
              </w:rPr>
              <w:t>不得分。</w:t>
            </w:r>
          </w:p>
        </w:tc>
        <w:tc>
          <w:tcPr>
            <w:tcW w:w="832" w:type="dxa"/>
            <w:tcBorders>
              <w:tl2br w:val="nil"/>
              <w:tr2bl w:val="nil"/>
            </w:tcBorders>
            <w:noWrap w:val="0"/>
            <w:vAlign w:val="center"/>
          </w:tcPr>
          <w:p w14:paraId="130B3070">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rPr>
              <w:t>2分</w:t>
            </w:r>
          </w:p>
        </w:tc>
      </w:tr>
      <w:tr w14:paraId="68E4C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780" w:type="dxa"/>
            <w:vMerge w:val="restart"/>
            <w:tcBorders>
              <w:tl2br w:val="nil"/>
              <w:tr2bl w:val="nil"/>
            </w:tcBorders>
            <w:noWrap w:val="0"/>
            <w:vAlign w:val="center"/>
          </w:tcPr>
          <w:p w14:paraId="4B4ACF97">
            <w:pPr>
              <w:adjustRightInd w:val="0"/>
              <w:snapToGrid w:val="0"/>
              <w:spacing w:line="360" w:lineRule="exact"/>
              <w:jc w:val="center"/>
              <w:rPr>
                <w:rFonts w:hint="eastAsia" w:ascii="仿宋" w:eastAsia="仿宋" w:cs="仿宋"/>
                <w:color w:val="auto"/>
                <w:sz w:val="24"/>
                <w:highlight w:val="none"/>
                <w:lang w:eastAsia="zh-CN"/>
              </w:rPr>
            </w:pPr>
            <w:r>
              <w:rPr>
                <w:rFonts w:hint="eastAsia" w:ascii="仿宋" w:eastAsia="仿宋" w:cs="仿宋"/>
                <w:color w:val="auto"/>
                <w:sz w:val="24"/>
                <w:highlight w:val="none"/>
                <w:lang w:val="en-US" w:eastAsia="zh-CN"/>
              </w:rPr>
              <w:t>7</w:t>
            </w:r>
          </w:p>
        </w:tc>
        <w:tc>
          <w:tcPr>
            <w:tcW w:w="1905" w:type="dxa"/>
            <w:vMerge w:val="restart"/>
            <w:tcBorders>
              <w:tl2br w:val="nil"/>
              <w:tr2bl w:val="nil"/>
            </w:tcBorders>
            <w:noWrap w:val="0"/>
            <w:vAlign w:val="center"/>
          </w:tcPr>
          <w:p w14:paraId="4A561765">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rPr>
              <w:t>项目实施方案</w:t>
            </w:r>
          </w:p>
        </w:tc>
        <w:tc>
          <w:tcPr>
            <w:tcW w:w="6195" w:type="dxa"/>
            <w:tcBorders>
              <w:tl2br w:val="nil"/>
              <w:tr2bl w:val="nil"/>
            </w:tcBorders>
            <w:noWrap w:val="0"/>
            <w:vAlign w:val="center"/>
          </w:tcPr>
          <w:p w14:paraId="520EFCC2">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lang w:val="en-US" w:eastAsia="zh-CN"/>
              </w:rPr>
              <w:t>7</w:t>
            </w:r>
            <w:r>
              <w:rPr>
                <w:rFonts w:hint="eastAsia" w:ascii="仿宋" w:eastAsia="仿宋" w:cs="仿宋"/>
                <w:color w:val="auto"/>
                <w:sz w:val="24"/>
                <w:highlight w:val="none"/>
              </w:rPr>
              <w:t>.1根据投标人提供的项目实施方案（包括货物配送、安装、调试方案）内容进行综合评议：</w:t>
            </w:r>
          </w:p>
          <w:p w14:paraId="2D18ED1B">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方案中含配送、安装、调试方案等内容，完全满足用户需求，保障措施详细、合理可行的得</w:t>
            </w:r>
            <w:r>
              <w:rPr>
                <w:rFonts w:hint="eastAsia" w:ascii="仿宋" w:eastAsia="仿宋" w:cs="仿宋"/>
                <w:color w:val="auto"/>
                <w:sz w:val="24"/>
                <w:highlight w:val="none"/>
                <w:lang w:val="en-US" w:eastAsia="zh-CN"/>
              </w:rPr>
              <w:t>1.5-2</w:t>
            </w:r>
            <w:r>
              <w:rPr>
                <w:rFonts w:hint="eastAsia" w:ascii="仿宋" w:eastAsia="仿宋" w:cs="仿宋"/>
                <w:color w:val="auto"/>
                <w:sz w:val="24"/>
                <w:highlight w:val="none"/>
              </w:rPr>
              <w:t>分；方案略有欠缺但合理的得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分；方案缺乏详尽内容，描述简单的得0.</w:t>
            </w:r>
            <w:r>
              <w:rPr>
                <w:rFonts w:hint="eastAsia" w:ascii="仿宋" w:eastAsia="仿宋" w:cs="仿宋"/>
                <w:color w:val="auto"/>
                <w:sz w:val="24"/>
                <w:highlight w:val="none"/>
                <w:lang w:val="en-US" w:eastAsia="zh-CN"/>
              </w:rPr>
              <w:t>1-0.6</w:t>
            </w:r>
            <w:r>
              <w:rPr>
                <w:rFonts w:hint="eastAsia" w:ascii="仿宋" w:eastAsia="仿宋" w:cs="仿宋"/>
                <w:color w:val="auto"/>
                <w:sz w:val="24"/>
                <w:highlight w:val="none"/>
              </w:rPr>
              <w:t>分；</w:t>
            </w:r>
            <w:r>
              <w:rPr>
                <w:rFonts w:hint="eastAsia" w:ascii="仿宋" w:eastAsia="仿宋" w:cs="仿宋"/>
                <w:color w:val="auto"/>
                <w:sz w:val="24"/>
                <w:highlight w:val="none"/>
                <w:lang w:val="en-US" w:eastAsia="zh-CN"/>
              </w:rPr>
              <w:t>不提供</w:t>
            </w:r>
            <w:r>
              <w:rPr>
                <w:rFonts w:hint="eastAsia" w:ascii="仿宋" w:eastAsia="仿宋" w:cs="仿宋"/>
                <w:color w:val="auto"/>
                <w:sz w:val="24"/>
                <w:highlight w:val="none"/>
              </w:rPr>
              <w:t>的得0分。</w:t>
            </w:r>
          </w:p>
        </w:tc>
        <w:tc>
          <w:tcPr>
            <w:tcW w:w="832" w:type="dxa"/>
            <w:tcBorders>
              <w:tl2br w:val="nil"/>
              <w:tr2bl w:val="nil"/>
            </w:tcBorders>
            <w:noWrap w:val="0"/>
            <w:vAlign w:val="center"/>
          </w:tcPr>
          <w:p w14:paraId="55BF0F17">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2</w:t>
            </w:r>
            <w:r>
              <w:rPr>
                <w:rFonts w:hint="eastAsia" w:ascii="仿宋" w:eastAsia="仿宋" w:cs="仿宋"/>
                <w:color w:val="auto"/>
                <w:sz w:val="24"/>
                <w:highlight w:val="none"/>
              </w:rPr>
              <w:t>分</w:t>
            </w:r>
          </w:p>
        </w:tc>
      </w:tr>
      <w:tr w14:paraId="6CB24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780" w:type="dxa"/>
            <w:vMerge w:val="continue"/>
            <w:tcBorders>
              <w:tl2br w:val="nil"/>
              <w:tr2bl w:val="nil"/>
            </w:tcBorders>
            <w:noWrap w:val="0"/>
            <w:vAlign w:val="center"/>
          </w:tcPr>
          <w:p w14:paraId="7B2293D8">
            <w:pPr>
              <w:rPr>
                <w:color w:val="auto"/>
                <w:highlight w:val="none"/>
              </w:rPr>
            </w:pPr>
          </w:p>
        </w:tc>
        <w:tc>
          <w:tcPr>
            <w:tcW w:w="1905" w:type="dxa"/>
            <w:vMerge w:val="continue"/>
            <w:tcBorders>
              <w:tl2br w:val="nil"/>
              <w:tr2bl w:val="nil"/>
            </w:tcBorders>
            <w:noWrap w:val="0"/>
            <w:vAlign w:val="center"/>
          </w:tcPr>
          <w:p w14:paraId="3F82E265">
            <w:pPr>
              <w:rPr>
                <w:color w:val="auto"/>
                <w:highlight w:val="none"/>
              </w:rPr>
            </w:pPr>
          </w:p>
        </w:tc>
        <w:tc>
          <w:tcPr>
            <w:tcW w:w="6195" w:type="dxa"/>
            <w:tcBorders>
              <w:tl2br w:val="nil"/>
              <w:tr2bl w:val="nil"/>
            </w:tcBorders>
            <w:noWrap w:val="0"/>
            <w:vAlign w:val="center"/>
          </w:tcPr>
          <w:p w14:paraId="7D1B913D">
            <w:pPr>
              <w:adjustRightInd w:val="0"/>
              <w:snapToGrid w:val="0"/>
              <w:spacing w:line="360" w:lineRule="exact"/>
              <w:jc w:val="left"/>
              <w:rPr>
                <w:rFonts w:hint="eastAsia" w:ascii="仿宋" w:eastAsia="仿宋" w:cs="仿宋"/>
                <w:color w:val="auto"/>
                <w:sz w:val="24"/>
                <w:highlight w:val="none"/>
              </w:rPr>
            </w:pPr>
            <w:r>
              <w:rPr>
                <w:rFonts w:hint="eastAsia" w:ascii="仿宋" w:eastAsia="仿宋" w:cs="仿宋"/>
                <w:color w:val="auto"/>
                <w:sz w:val="24"/>
                <w:highlight w:val="none"/>
                <w:lang w:val="en-US" w:eastAsia="zh-CN"/>
              </w:rPr>
              <w:t>7</w:t>
            </w:r>
            <w:r>
              <w:rPr>
                <w:rFonts w:hint="eastAsia" w:ascii="仿宋" w:eastAsia="仿宋" w:cs="仿宋"/>
                <w:color w:val="auto"/>
                <w:sz w:val="24"/>
                <w:highlight w:val="none"/>
              </w:rPr>
              <w:t>.2投标人提供的项目实施方案需满足数据接入和信息化要求：</w:t>
            </w:r>
          </w:p>
          <w:p w14:paraId="608C033D">
            <w:pPr>
              <w:adjustRightInd w:val="0"/>
              <w:snapToGrid w:val="0"/>
              <w:spacing w:line="360" w:lineRule="exact"/>
              <w:jc w:val="left"/>
              <w:rPr>
                <w:rFonts w:hint="eastAsia" w:ascii="仿宋" w:eastAsia="仿宋" w:cs="仿宋"/>
                <w:color w:val="auto"/>
                <w:sz w:val="24"/>
                <w:highlight w:val="none"/>
              </w:rPr>
            </w:pPr>
            <w:r>
              <w:rPr>
                <w:rFonts w:hint="eastAsia" w:ascii="仿宋" w:eastAsia="仿宋" w:cs="仿宋"/>
                <w:color w:val="auto"/>
                <w:sz w:val="24"/>
                <w:highlight w:val="none"/>
              </w:rPr>
              <w:t>方案中数据接入和信息化内容完全满足用户需求，保障措施详细、合理可行的得</w:t>
            </w:r>
            <w:r>
              <w:rPr>
                <w:rFonts w:hint="eastAsia" w:ascii="仿宋" w:eastAsia="仿宋" w:cs="仿宋"/>
                <w:color w:val="auto"/>
                <w:sz w:val="24"/>
                <w:highlight w:val="none"/>
                <w:lang w:val="en-US" w:eastAsia="zh-CN"/>
              </w:rPr>
              <w:t>1.5-2</w:t>
            </w:r>
            <w:r>
              <w:rPr>
                <w:rFonts w:hint="eastAsia" w:ascii="仿宋" w:eastAsia="仿宋" w:cs="仿宋"/>
                <w:color w:val="auto"/>
                <w:sz w:val="24"/>
                <w:highlight w:val="none"/>
              </w:rPr>
              <w:t>分；方案略有欠缺但合理的得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分；方案缺乏详尽内容，描述简单的得0.</w:t>
            </w:r>
            <w:r>
              <w:rPr>
                <w:rFonts w:hint="eastAsia" w:ascii="仿宋" w:eastAsia="仿宋" w:cs="仿宋"/>
                <w:color w:val="auto"/>
                <w:sz w:val="24"/>
                <w:highlight w:val="none"/>
                <w:lang w:val="en-US" w:eastAsia="zh-CN"/>
              </w:rPr>
              <w:t>1-0.6</w:t>
            </w:r>
            <w:r>
              <w:rPr>
                <w:rFonts w:hint="eastAsia" w:ascii="仿宋" w:eastAsia="仿宋" w:cs="仿宋"/>
                <w:color w:val="auto"/>
                <w:sz w:val="24"/>
                <w:highlight w:val="none"/>
              </w:rPr>
              <w:t>分；</w:t>
            </w:r>
            <w:r>
              <w:rPr>
                <w:rFonts w:hint="eastAsia" w:ascii="仿宋" w:eastAsia="仿宋" w:cs="仿宋"/>
                <w:color w:val="auto"/>
                <w:sz w:val="24"/>
                <w:highlight w:val="none"/>
                <w:lang w:val="en-US" w:eastAsia="zh-CN"/>
              </w:rPr>
              <w:t>不提供方案或</w:t>
            </w:r>
            <w:r>
              <w:rPr>
                <w:rFonts w:hint="eastAsia" w:ascii="仿宋" w:eastAsia="仿宋" w:cs="仿宋"/>
                <w:color w:val="auto"/>
                <w:sz w:val="24"/>
                <w:highlight w:val="none"/>
              </w:rPr>
              <w:t>方案不能满足</w:t>
            </w:r>
            <w:r>
              <w:rPr>
                <w:rFonts w:hint="eastAsia" w:ascii="仿宋" w:eastAsia="仿宋" w:cs="仿宋"/>
                <w:color w:val="auto"/>
                <w:sz w:val="24"/>
                <w:highlight w:val="none"/>
                <w:lang w:val="en-US" w:eastAsia="zh-CN"/>
              </w:rPr>
              <w:t>要求</w:t>
            </w:r>
            <w:r>
              <w:rPr>
                <w:rFonts w:hint="eastAsia" w:ascii="仿宋" w:eastAsia="仿宋" w:cs="仿宋"/>
                <w:color w:val="auto"/>
                <w:sz w:val="24"/>
                <w:highlight w:val="none"/>
              </w:rPr>
              <w:t>的得0分。</w:t>
            </w:r>
          </w:p>
        </w:tc>
        <w:tc>
          <w:tcPr>
            <w:tcW w:w="832" w:type="dxa"/>
            <w:tcBorders>
              <w:tl2br w:val="nil"/>
              <w:tr2bl w:val="nil"/>
            </w:tcBorders>
            <w:noWrap w:val="0"/>
            <w:vAlign w:val="center"/>
          </w:tcPr>
          <w:p w14:paraId="5B042955">
            <w:pPr>
              <w:adjustRightInd w:val="0"/>
              <w:snapToGrid w:val="0"/>
              <w:spacing w:line="360" w:lineRule="exact"/>
              <w:jc w:val="center"/>
              <w:rPr>
                <w:rFonts w:hint="eastAsia" w:ascii="仿宋" w:eastAsia="仿宋" w:cs="仿宋"/>
                <w:color w:val="auto"/>
                <w:sz w:val="24"/>
                <w:highlight w:val="none"/>
              </w:rPr>
            </w:pPr>
            <w:r>
              <w:rPr>
                <w:rFonts w:hint="eastAsia" w:ascii="仿宋" w:eastAsia="仿宋" w:cs="仿宋"/>
                <w:color w:val="auto"/>
                <w:sz w:val="24"/>
                <w:highlight w:val="none"/>
                <w:lang w:val="en-US" w:eastAsia="zh-CN"/>
              </w:rPr>
              <w:t>2</w:t>
            </w:r>
            <w:r>
              <w:rPr>
                <w:rFonts w:hint="eastAsia" w:ascii="仿宋" w:eastAsia="仿宋" w:cs="仿宋"/>
                <w:color w:val="auto"/>
                <w:sz w:val="24"/>
                <w:highlight w:val="none"/>
              </w:rPr>
              <w:t>分</w:t>
            </w:r>
          </w:p>
        </w:tc>
      </w:tr>
      <w:tr w14:paraId="6FFD2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7" w:hRule="atLeast"/>
          <w:jc w:val="center"/>
        </w:trPr>
        <w:tc>
          <w:tcPr>
            <w:tcW w:w="780" w:type="dxa"/>
            <w:tcBorders>
              <w:tl2br w:val="nil"/>
              <w:tr2bl w:val="nil"/>
            </w:tcBorders>
            <w:noWrap w:val="0"/>
            <w:vAlign w:val="center"/>
          </w:tcPr>
          <w:p w14:paraId="0131E82A">
            <w:pPr>
              <w:adjustRightInd w:val="0"/>
              <w:snapToGrid w:val="0"/>
              <w:spacing w:line="360" w:lineRule="exact"/>
              <w:jc w:val="center"/>
              <w:rPr>
                <w:rFonts w:hint="eastAsia" w:ascii="仿宋" w:eastAsia="仿宋" w:cs="仿宋"/>
                <w:color w:val="auto"/>
                <w:sz w:val="24"/>
                <w:highlight w:val="none"/>
                <w:lang w:eastAsia="zh-CN"/>
              </w:rPr>
            </w:pPr>
            <w:r>
              <w:rPr>
                <w:rFonts w:hint="eastAsia" w:ascii="仿宋" w:eastAsia="仿宋" w:cs="仿宋"/>
                <w:color w:val="auto"/>
                <w:sz w:val="24"/>
                <w:highlight w:val="none"/>
                <w:lang w:val="en-US" w:eastAsia="zh-CN"/>
              </w:rPr>
              <w:t>8</w:t>
            </w:r>
          </w:p>
        </w:tc>
        <w:tc>
          <w:tcPr>
            <w:tcW w:w="1905" w:type="dxa"/>
            <w:tcBorders>
              <w:tl2br w:val="nil"/>
              <w:tr2bl w:val="nil"/>
            </w:tcBorders>
            <w:noWrap w:val="0"/>
            <w:vAlign w:val="center"/>
          </w:tcPr>
          <w:p w14:paraId="5DBA6EC3">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运维服务方案</w:t>
            </w:r>
          </w:p>
        </w:tc>
        <w:tc>
          <w:tcPr>
            <w:tcW w:w="6195" w:type="dxa"/>
            <w:tcBorders>
              <w:tl2br w:val="nil"/>
              <w:tr2bl w:val="nil"/>
            </w:tcBorders>
            <w:noWrap w:val="0"/>
            <w:vAlign w:val="center"/>
          </w:tcPr>
          <w:p w14:paraId="2009B9D0">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对投标人提供的运维服务方案的完整性、规范性、可行性等进行综合分析比较评分，重点考察投标人的运维计划、管理制度等，对招标文件中运行维护要求的响应程度进行评分：</w:t>
            </w:r>
          </w:p>
          <w:p w14:paraId="7CFAF964">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运维服务方案完整、规范、操作性强，完全满足要求的得</w:t>
            </w:r>
            <w:r>
              <w:rPr>
                <w:rFonts w:hint="eastAsia" w:ascii="仿宋" w:eastAsia="仿宋" w:cs="仿宋"/>
                <w:color w:val="auto"/>
                <w:sz w:val="24"/>
                <w:highlight w:val="none"/>
                <w:lang w:val="en-US" w:eastAsia="zh-CN"/>
              </w:rPr>
              <w:t>1.5-2</w:t>
            </w:r>
            <w:r>
              <w:rPr>
                <w:rFonts w:hint="eastAsia" w:ascii="仿宋" w:eastAsia="仿宋" w:cs="仿宋"/>
                <w:color w:val="auto"/>
                <w:sz w:val="24"/>
                <w:highlight w:val="none"/>
              </w:rPr>
              <w:t>分；方案略有欠缺但合理的得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分；方案缺乏详尽内容，描述简单的得0.</w:t>
            </w:r>
            <w:r>
              <w:rPr>
                <w:rFonts w:hint="eastAsia" w:ascii="仿宋" w:eastAsia="仿宋" w:cs="仿宋"/>
                <w:color w:val="auto"/>
                <w:sz w:val="24"/>
                <w:highlight w:val="none"/>
                <w:lang w:val="en-US" w:eastAsia="zh-CN"/>
              </w:rPr>
              <w:t>1-0.6</w:t>
            </w:r>
            <w:r>
              <w:rPr>
                <w:rFonts w:hint="eastAsia" w:ascii="仿宋" w:eastAsia="仿宋" w:cs="仿宋"/>
                <w:color w:val="auto"/>
                <w:sz w:val="24"/>
                <w:highlight w:val="none"/>
              </w:rPr>
              <w:t>分；</w:t>
            </w:r>
            <w:r>
              <w:rPr>
                <w:rFonts w:hint="eastAsia" w:ascii="仿宋" w:eastAsia="仿宋" w:cs="仿宋"/>
                <w:color w:val="auto"/>
                <w:sz w:val="24"/>
                <w:highlight w:val="none"/>
                <w:lang w:val="en-US" w:eastAsia="zh-CN"/>
              </w:rPr>
              <w:t>不提供方案或</w:t>
            </w:r>
            <w:r>
              <w:rPr>
                <w:rFonts w:hint="eastAsia" w:ascii="仿宋" w:eastAsia="仿宋" w:cs="仿宋"/>
                <w:color w:val="auto"/>
                <w:sz w:val="24"/>
                <w:highlight w:val="none"/>
              </w:rPr>
              <w:t>方案不合理的得0分。</w:t>
            </w:r>
          </w:p>
        </w:tc>
        <w:tc>
          <w:tcPr>
            <w:tcW w:w="832" w:type="dxa"/>
            <w:tcBorders>
              <w:tl2br w:val="nil"/>
              <w:tr2bl w:val="nil"/>
            </w:tcBorders>
            <w:noWrap w:val="0"/>
            <w:vAlign w:val="center"/>
          </w:tcPr>
          <w:p w14:paraId="4A59F986">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2</w:t>
            </w:r>
            <w:r>
              <w:rPr>
                <w:rFonts w:hint="eastAsia" w:ascii="仿宋" w:eastAsia="仿宋" w:cs="仿宋"/>
                <w:color w:val="auto"/>
                <w:sz w:val="24"/>
                <w:highlight w:val="none"/>
              </w:rPr>
              <w:t>分</w:t>
            </w:r>
          </w:p>
        </w:tc>
      </w:tr>
      <w:tr w14:paraId="08FAA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tcBorders>
              <w:tl2br w:val="nil"/>
              <w:tr2bl w:val="nil"/>
            </w:tcBorders>
            <w:noWrap w:val="0"/>
            <w:vAlign w:val="center"/>
          </w:tcPr>
          <w:p w14:paraId="686740AB">
            <w:pPr>
              <w:adjustRightInd w:val="0"/>
              <w:snapToGrid w:val="0"/>
              <w:spacing w:line="360" w:lineRule="exact"/>
              <w:jc w:val="center"/>
              <w:rPr>
                <w:rFonts w:hint="eastAsia" w:ascii="仿宋" w:eastAsia="仿宋" w:cs="仿宋"/>
                <w:color w:val="auto"/>
                <w:sz w:val="24"/>
                <w:highlight w:val="none"/>
                <w:lang w:eastAsia="zh-CN"/>
              </w:rPr>
            </w:pPr>
            <w:r>
              <w:rPr>
                <w:rFonts w:hint="eastAsia" w:ascii="仿宋" w:eastAsia="仿宋" w:cs="仿宋"/>
                <w:color w:val="auto"/>
                <w:sz w:val="24"/>
                <w:highlight w:val="none"/>
                <w:lang w:val="en-US" w:eastAsia="zh-CN"/>
              </w:rPr>
              <w:t>9</w:t>
            </w:r>
          </w:p>
        </w:tc>
        <w:tc>
          <w:tcPr>
            <w:tcW w:w="1905" w:type="dxa"/>
            <w:tcBorders>
              <w:tl2br w:val="nil"/>
              <w:tr2bl w:val="nil"/>
            </w:tcBorders>
            <w:noWrap w:val="0"/>
            <w:vAlign w:val="center"/>
          </w:tcPr>
          <w:p w14:paraId="3BC33922">
            <w:pPr>
              <w:adjustRightInd w:val="0"/>
              <w:snapToGrid w:val="0"/>
              <w:spacing w:line="360" w:lineRule="exact"/>
              <w:jc w:val="left"/>
              <w:rPr>
                <w:rFonts w:hint="eastAsia" w:ascii="仿宋" w:eastAsia="仿宋" w:cs="仿宋"/>
                <w:color w:val="auto"/>
                <w:sz w:val="24"/>
                <w:highlight w:val="none"/>
              </w:rPr>
            </w:pPr>
            <w:r>
              <w:rPr>
                <w:rFonts w:hint="eastAsia" w:ascii="仿宋" w:eastAsia="仿宋" w:cs="仿宋"/>
                <w:color w:val="auto"/>
                <w:sz w:val="24"/>
                <w:highlight w:val="none"/>
              </w:rPr>
              <w:t>车辆</w:t>
            </w:r>
            <w:r>
              <w:rPr>
                <w:rFonts w:ascii="仿宋" w:eastAsia="仿宋" w:cs="仿宋"/>
                <w:color w:val="auto"/>
                <w:sz w:val="24"/>
                <w:highlight w:val="none"/>
              </w:rPr>
              <w:t>及</w:t>
            </w:r>
            <w:r>
              <w:rPr>
                <w:rFonts w:hint="eastAsia" w:ascii="仿宋" w:eastAsia="仿宋" w:cs="仿宋"/>
                <w:color w:val="auto"/>
                <w:sz w:val="24"/>
                <w:highlight w:val="none"/>
              </w:rPr>
              <w:t>改装方案</w:t>
            </w:r>
          </w:p>
        </w:tc>
        <w:tc>
          <w:tcPr>
            <w:tcW w:w="6195" w:type="dxa"/>
            <w:tcBorders>
              <w:tl2br w:val="nil"/>
              <w:tr2bl w:val="nil"/>
            </w:tcBorders>
            <w:noWrap w:val="0"/>
            <w:vAlign w:val="center"/>
          </w:tcPr>
          <w:p w14:paraId="75FC8823">
            <w:pPr>
              <w:adjustRightInd w:val="0"/>
              <w:snapToGrid w:val="0"/>
              <w:spacing w:line="360" w:lineRule="exact"/>
              <w:jc w:val="left"/>
              <w:rPr>
                <w:rFonts w:hint="eastAsia" w:ascii="仿宋" w:eastAsia="仿宋" w:cs="仿宋"/>
                <w:color w:val="auto"/>
                <w:sz w:val="24"/>
                <w:highlight w:val="none"/>
              </w:rPr>
            </w:pPr>
            <w:r>
              <w:rPr>
                <w:rFonts w:hint="eastAsia" w:ascii="仿宋" w:eastAsia="仿宋" w:cs="仿宋"/>
                <w:color w:val="auto"/>
                <w:sz w:val="24"/>
                <w:highlight w:val="none"/>
              </w:rPr>
              <w:t>对投标人提供的车辆改装方案的详细程</w:t>
            </w:r>
            <w:r>
              <w:rPr>
                <w:rFonts w:hint="eastAsia" w:ascii="仿宋" w:hAnsi="Times New Roman" w:eastAsia="仿宋" w:cs="仿宋"/>
                <w:color w:val="auto"/>
                <w:sz w:val="24"/>
                <w:highlight w:val="none"/>
              </w:rPr>
              <w:t>度及其合理性</w:t>
            </w:r>
            <w:r>
              <w:rPr>
                <w:rFonts w:hint="eastAsia" w:ascii="仿宋" w:hAnsi="Times New Roman" w:eastAsia="仿宋" w:cs="仿宋"/>
                <w:color w:val="auto"/>
                <w:sz w:val="24"/>
                <w:highlight w:val="none"/>
                <w:lang w:eastAsia="zh-CN"/>
              </w:rPr>
              <w:t>（</w:t>
            </w:r>
            <w:r>
              <w:rPr>
                <w:rFonts w:hint="eastAsia" w:ascii="仿宋" w:hAnsi="Times New Roman" w:eastAsia="仿宋" w:cs="仿宋"/>
                <w:color w:val="auto"/>
                <w:sz w:val="24"/>
                <w:highlight w:val="none"/>
                <w:lang w:val="en-US" w:eastAsia="zh-CN"/>
              </w:rPr>
              <w:t>改装方案须经车辆生产厂商认证认可或经相关改装车辆检测机构检测认定的</w:t>
            </w:r>
            <w:r>
              <w:rPr>
                <w:rFonts w:hint="eastAsia" w:ascii="仿宋" w:hAnsi="Times New Roman" w:eastAsia="仿宋" w:cs="仿宋"/>
                <w:color w:val="auto"/>
                <w:sz w:val="24"/>
                <w:highlight w:val="none"/>
                <w:lang w:eastAsia="zh-CN"/>
              </w:rPr>
              <w:t>）</w:t>
            </w:r>
            <w:r>
              <w:rPr>
                <w:rFonts w:hint="eastAsia" w:ascii="仿宋" w:hAnsi="Times New Roman" w:eastAsia="仿宋" w:cs="仿宋"/>
                <w:color w:val="auto"/>
                <w:sz w:val="24"/>
                <w:highlight w:val="none"/>
              </w:rPr>
              <w:t>进行打分，方案详细且合理的得</w:t>
            </w:r>
            <w:r>
              <w:rPr>
                <w:rFonts w:hint="eastAsia" w:ascii="仿宋" w:eastAsia="仿宋" w:cs="仿宋"/>
                <w:color w:val="auto"/>
                <w:sz w:val="24"/>
                <w:highlight w:val="none"/>
                <w:lang w:val="en-US" w:eastAsia="zh-CN"/>
              </w:rPr>
              <w:t>1.5-</w:t>
            </w:r>
            <w:r>
              <w:rPr>
                <w:rFonts w:hint="eastAsia" w:ascii="仿宋" w:eastAsia="仿宋" w:cs="仿宋"/>
                <w:color w:val="auto"/>
                <w:sz w:val="24"/>
                <w:highlight w:val="none"/>
              </w:rPr>
              <w:t>2</w:t>
            </w:r>
            <w:r>
              <w:rPr>
                <w:rFonts w:hint="eastAsia" w:ascii="仿宋" w:hAnsi="Times New Roman" w:eastAsia="仿宋" w:cs="仿宋"/>
                <w:color w:val="auto"/>
                <w:sz w:val="24"/>
                <w:highlight w:val="none"/>
              </w:rPr>
              <w:t>分</w:t>
            </w:r>
            <w:r>
              <w:rPr>
                <w:rFonts w:hint="eastAsia" w:ascii="仿宋" w:hAnsi="Times New Roman" w:eastAsia="仿宋" w:cs="仿宋"/>
                <w:color w:val="auto"/>
                <w:sz w:val="24"/>
                <w:highlight w:val="none"/>
                <w:lang w:eastAsia="zh-CN"/>
              </w:rPr>
              <w:t>，</w:t>
            </w:r>
            <w:r>
              <w:rPr>
                <w:rFonts w:hint="eastAsia" w:ascii="仿宋" w:hAnsi="Times New Roman" w:eastAsia="仿宋" w:cs="仿宋"/>
                <w:color w:val="auto"/>
                <w:sz w:val="24"/>
                <w:highlight w:val="none"/>
              </w:rPr>
              <w:t>方案比较详细合理的得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方案内容一般的得0.1-0.6，不提供方案或</w:t>
            </w:r>
            <w:r>
              <w:rPr>
                <w:rFonts w:hint="eastAsia" w:ascii="仿宋" w:eastAsia="仿宋" w:cs="仿宋"/>
                <w:color w:val="auto"/>
                <w:sz w:val="24"/>
                <w:highlight w:val="none"/>
              </w:rPr>
              <w:t>方案不能满足采购需求、不合理的得0分。</w:t>
            </w:r>
          </w:p>
        </w:tc>
        <w:tc>
          <w:tcPr>
            <w:tcW w:w="832" w:type="dxa"/>
            <w:tcBorders>
              <w:tl2br w:val="nil"/>
              <w:tr2bl w:val="nil"/>
            </w:tcBorders>
            <w:noWrap w:val="0"/>
            <w:vAlign w:val="center"/>
          </w:tcPr>
          <w:p w14:paraId="3FD3DBB5">
            <w:pPr>
              <w:adjustRightInd w:val="0"/>
              <w:snapToGrid w:val="0"/>
              <w:spacing w:line="360" w:lineRule="exact"/>
              <w:jc w:val="center"/>
              <w:rPr>
                <w:rFonts w:hint="eastAsia" w:ascii="仿宋" w:eastAsia="仿宋" w:cs="仿宋"/>
                <w:color w:val="auto"/>
                <w:sz w:val="24"/>
                <w:highlight w:val="none"/>
              </w:rPr>
            </w:pPr>
            <w:r>
              <w:rPr>
                <w:rFonts w:hint="eastAsia" w:ascii="仿宋" w:eastAsia="仿宋" w:cs="仿宋"/>
                <w:color w:val="auto"/>
                <w:sz w:val="24"/>
                <w:highlight w:val="none"/>
              </w:rPr>
              <w:t>2分</w:t>
            </w:r>
          </w:p>
        </w:tc>
      </w:tr>
      <w:tr w14:paraId="1B5D1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vMerge w:val="restart"/>
            <w:tcBorders>
              <w:tl2br w:val="nil"/>
              <w:tr2bl w:val="nil"/>
            </w:tcBorders>
            <w:noWrap w:val="0"/>
            <w:vAlign w:val="center"/>
          </w:tcPr>
          <w:p w14:paraId="4845CEDF">
            <w:pPr>
              <w:adjustRightInd w:val="0"/>
              <w:snapToGrid w:val="0"/>
              <w:spacing w:line="360" w:lineRule="exact"/>
              <w:jc w:val="center"/>
              <w:rPr>
                <w:rFonts w:hint="default" w:ascii="仿宋" w:eastAsia="仿宋" w:cs="仿宋"/>
                <w:color w:val="auto"/>
                <w:sz w:val="24"/>
                <w:highlight w:val="none"/>
                <w:lang w:val="en-US" w:eastAsia="zh-CN"/>
              </w:rPr>
            </w:pPr>
            <w:r>
              <w:rPr>
                <w:rFonts w:hint="eastAsia" w:ascii="仿宋" w:eastAsia="仿宋" w:cs="仿宋"/>
                <w:color w:val="auto"/>
                <w:sz w:val="24"/>
                <w:highlight w:val="none"/>
                <w:lang w:val="en-US" w:eastAsia="zh-CN"/>
              </w:rPr>
              <w:t>10</w:t>
            </w:r>
          </w:p>
        </w:tc>
        <w:tc>
          <w:tcPr>
            <w:tcW w:w="1905" w:type="dxa"/>
            <w:vMerge w:val="restart"/>
            <w:tcBorders>
              <w:tl2br w:val="nil"/>
              <w:tr2bl w:val="nil"/>
            </w:tcBorders>
            <w:noWrap w:val="0"/>
            <w:vAlign w:val="center"/>
          </w:tcPr>
          <w:p w14:paraId="117D1946">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重点及难点解决方案</w:t>
            </w:r>
          </w:p>
        </w:tc>
        <w:tc>
          <w:tcPr>
            <w:tcW w:w="6195" w:type="dxa"/>
            <w:tcBorders>
              <w:tl2br w:val="nil"/>
              <w:tr2bl w:val="nil"/>
            </w:tcBorders>
            <w:noWrap w:val="0"/>
            <w:vAlign w:val="center"/>
          </w:tcPr>
          <w:p w14:paraId="319BBBF4">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lang w:val="en-US" w:eastAsia="zh-CN"/>
              </w:rPr>
              <w:t>10</w:t>
            </w:r>
            <w:r>
              <w:rPr>
                <w:rFonts w:hint="eastAsia" w:ascii="仿宋" w:eastAsia="仿宋" w:cs="仿宋"/>
                <w:color w:val="auto"/>
                <w:sz w:val="24"/>
                <w:highlight w:val="none"/>
              </w:rPr>
              <w:t>.1 本项目的重点为</w:t>
            </w:r>
            <w:r>
              <w:rPr>
                <w:rFonts w:hint="eastAsia" w:ascii="仿宋" w:eastAsia="仿宋" w:cs="仿宋"/>
                <w:color w:val="auto"/>
                <w:sz w:val="24"/>
                <w:highlight w:val="none"/>
                <w:lang w:eastAsia="zh-CN"/>
              </w:rPr>
              <w:t>重污染天气</w:t>
            </w:r>
            <w:r>
              <w:rPr>
                <w:rFonts w:hint="eastAsia" w:ascii="仿宋" w:eastAsia="仿宋" w:cs="仿宋"/>
                <w:color w:val="auto"/>
                <w:sz w:val="24"/>
                <w:highlight w:val="none"/>
              </w:rPr>
              <w:t>走航工作的组织实施，要求供应商提供</w:t>
            </w:r>
            <w:r>
              <w:rPr>
                <w:rFonts w:hint="eastAsia" w:ascii="仿宋" w:eastAsia="仿宋" w:cs="仿宋"/>
                <w:color w:val="auto"/>
                <w:sz w:val="24"/>
                <w:highlight w:val="none"/>
                <w:lang w:eastAsia="zh-CN"/>
              </w:rPr>
              <w:t>重污染天气应急</w:t>
            </w:r>
            <w:r>
              <w:rPr>
                <w:rFonts w:hint="eastAsia" w:ascii="仿宋" w:eastAsia="仿宋" w:cs="仿宋"/>
                <w:color w:val="auto"/>
                <w:sz w:val="24"/>
                <w:highlight w:val="none"/>
              </w:rPr>
              <w:t>走航工作方案</w:t>
            </w:r>
            <w:r>
              <w:rPr>
                <w:rFonts w:hint="eastAsia" w:ascii="仿宋" w:eastAsia="仿宋" w:cs="仿宋"/>
                <w:color w:val="auto"/>
                <w:sz w:val="24"/>
                <w:highlight w:val="none"/>
                <w:lang w:eastAsia="zh-CN"/>
              </w:rPr>
              <w:t>和管控建议</w:t>
            </w:r>
            <w:r>
              <w:rPr>
                <w:rFonts w:hint="eastAsia" w:ascii="仿宋" w:eastAsia="仿宋" w:cs="仿宋"/>
                <w:color w:val="auto"/>
                <w:sz w:val="24"/>
                <w:highlight w:val="none"/>
              </w:rPr>
              <w:t>，方案内容包括但不限于保障目标、保障组织、</w:t>
            </w:r>
            <w:r>
              <w:rPr>
                <w:rFonts w:hint="eastAsia" w:ascii="仿宋" w:eastAsia="仿宋" w:cs="仿宋"/>
                <w:color w:val="auto"/>
                <w:sz w:val="24"/>
                <w:highlight w:val="none"/>
                <w:lang w:eastAsia="zh-CN"/>
              </w:rPr>
              <w:t>重污染天气发生后</w:t>
            </w:r>
            <w:r>
              <w:rPr>
                <w:rFonts w:hint="eastAsia" w:ascii="仿宋" w:eastAsia="仿宋" w:cs="仿宋"/>
                <w:color w:val="auto"/>
                <w:sz w:val="24"/>
                <w:highlight w:val="none"/>
              </w:rPr>
              <w:t>的走航工作安排、走航保障经验总结</w:t>
            </w:r>
            <w:r>
              <w:rPr>
                <w:rFonts w:hint="eastAsia" w:ascii="仿宋" w:eastAsia="仿宋" w:cs="仿宋"/>
                <w:color w:val="auto"/>
                <w:sz w:val="24"/>
                <w:highlight w:val="none"/>
                <w:lang w:eastAsia="zh-CN"/>
              </w:rPr>
              <w:t>机管控建议</w:t>
            </w:r>
            <w:r>
              <w:rPr>
                <w:rFonts w:hint="eastAsia" w:ascii="仿宋" w:eastAsia="仿宋" w:cs="仿宋"/>
                <w:color w:val="auto"/>
                <w:sz w:val="24"/>
                <w:highlight w:val="none"/>
              </w:rPr>
              <w:t>等，根据阐述的完整性、针对性、可行性等酌情评分。</w:t>
            </w:r>
          </w:p>
          <w:p w14:paraId="62CAE7B4">
            <w:pPr>
              <w:adjustRightInd w:val="0"/>
              <w:snapToGrid w:val="0"/>
              <w:spacing w:line="360" w:lineRule="exact"/>
              <w:rPr>
                <w:rFonts w:hint="eastAsia" w:ascii="仿宋" w:eastAsia="仿宋" w:cs="仿宋"/>
                <w:color w:val="auto"/>
                <w:sz w:val="24"/>
                <w:highlight w:val="none"/>
              </w:rPr>
            </w:pPr>
            <w:r>
              <w:rPr>
                <w:rFonts w:hint="eastAsia" w:ascii="仿宋" w:eastAsia="仿宋" w:cs="仿宋"/>
                <w:color w:val="auto"/>
                <w:sz w:val="24"/>
                <w:highlight w:val="none"/>
              </w:rPr>
              <w:t>方案内容完整的得</w:t>
            </w:r>
            <w:r>
              <w:rPr>
                <w:rFonts w:hint="eastAsia" w:ascii="仿宋" w:eastAsia="仿宋" w:cs="仿宋"/>
                <w:color w:val="auto"/>
                <w:sz w:val="24"/>
                <w:highlight w:val="none"/>
                <w:lang w:val="en-US" w:eastAsia="zh-CN"/>
              </w:rPr>
              <w:t>2.1-3</w:t>
            </w:r>
            <w:r>
              <w:rPr>
                <w:rFonts w:hint="eastAsia" w:ascii="仿宋" w:eastAsia="仿宋" w:cs="仿宋"/>
                <w:color w:val="auto"/>
                <w:sz w:val="24"/>
                <w:highlight w:val="none"/>
              </w:rPr>
              <w:t>分；</w:t>
            </w:r>
          </w:p>
          <w:p w14:paraId="7D1434E0">
            <w:pPr>
              <w:adjustRightInd w:val="0"/>
              <w:snapToGrid w:val="0"/>
              <w:spacing w:line="360" w:lineRule="exact"/>
              <w:rPr>
                <w:rFonts w:hint="eastAsia" w:ascii="仿宋" w:eastAsia="仿宋" w:cs="仿宋"/>
                <w:color w:val="auto"/>
                <w:sz w:val="24"/>
                <w:highlight w:val="none"/>
              </w:rPr>
            </w:pPr>
            <w:r>
              <w:rPr>
                <w:rFonts w:hint="eastAsia" w:ascii="仿宋" w:eastAsia="仿宋" w:cs="仿宋"/>
                <w:color w:val="auto"/>
                <w:sz w:val="24"/>
                <w:highlight w:val="none"/>
              </w:rPr>
              <w:t>方案内容</w:t>
            </w:r>
            <w:r>
              <w:rPr>
                <w:rFonts w:hint="eastAsia" w:ascii="仿宋" w:eastAsia="仿宋" w:cs="仿宋"/>
                <w:color w:val="auto"/>
                <w:sz w:val="24"/>
                <w:highlight w:val="none"/>
                <w:lang w:val="en-US" w:eastAsia="zh-CN"/>
              </w:rPr>
              <w:t>较</w:t>
            </w:r>
            <w:r>
              <w:rPr>
                <w:rFonts w:hint="eastAsia" w:ascii="仿宋" w:eastAsia="仿宋" w:cs="仿宋"/>
                <w:color w:val="auto"/>
                <w:sz w:val="24"/>
                <w:highlight w:val="none"/>
              </w:rPr>
              <w:t>完整的得</w:t>
            </w:r>
            <w:r>
              <w:rPr>
                <w:rFonts w:hint="eastAsia" w:ascii="仿宋" w:eastAsia="仿宋" w:cs="仿宋"/>
                <w:color w:val="auto"/>
                <w:sz w:val="24"/>
                <w:highlight w:val="none"/>
                <w:lang w:val="en-US" w:eastAsia="zh-CN"/>
              </w:rPr>
              <w:t>1.1-2</w:t>
            </w:r>
            <w:r>
              <w:rPr>
                <w:rFonts w:hint="eastAsia" w:ascii="仿宋" w:eastAsia="仿宋" w:cs="仿宋"/>
                <w:color w:val="auto"/>
                <w:sz w:val="24"/>
                <w:highlight w:val="none"/>
              </w:rPr>
              <w:t>分；</w:t>
            </w:r>
          </w:p>
          <w:p w14:paraId="4F9E2189">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方案内容有所欠缺，部分满足方案要求的得</w:t>
            </w:r>
            <w:r>
              <w:rPr>
                <w:rFonts w:hint="eastAsia" w:ascii="仿宋" w:eastAsia="仿宋" w:cs="仿宋"/>
                <w:color w:val="auto"/>
                <w:sz w:val="24"/>
                <w:highlight w:val="none"/>
                <w:lang w:val="en-US" w:eastAsia="zh-CN"/>
              </w:rPr>
              <w:t>0.1-1</w:t>
            </w:r>
            <w:r>
              <w:rPr>
                <w:rFonts w:hint="eastAsia" w:ascii="仿宋" w:eastAsia="仿宋" w:cs="仿宋"/>
                <w:color w:val="auto"/>
                <w:sz w:val="24"/>
                <w:highlight w:val="none"/>
              </w:rPr>
              <w:t>分；</w:t>
            </w:r>
          </w:p>
          <w:p w14:paraId="607FA468">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方案内容未提供相应内容的不得分。</w:t>
            </w:r>
          </w:p>
        </w:tc>
        <w:tc>
          <w:tcPr>
            <w:tcW w:w="832" w:type="dxa"/>
            <w:tcBorders>
              <w:tl2br w:val="nil"/>
              <w:tr2bl w:val="nil"/>
            </w:tcBorders>
            <w:noWrap w:val="0"/>
            <w:vAlign w:val="center"/>
          </w:tcPr>
          <w:p w14:paraId="1D2B4809">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3</w:t>
            </w:r>
            <w:r>
              <w:rPr>
                <w:rFonts w:hint="eastAsia" w:ascii="仿宋" w:eastAsia="仿宋" w:cs="仿宋"/>
                <w:color w:val="auto"/>
                <w:sz w:val="24"/>
                <w:highlight w:val="none"/>
              </w:rPr>
              <w:t>分</w:t>
            </w:r>
          </w:p>
        </w:tc>
      </w:tr>
      <w:tr w14:paraId="183EA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vMerge w:val="continue"/>
            <w:tcBorders>
              <w:tl2br w:val="nil"/>
              <w:tr2bl w:val="nil"/>
            </w:tcBorders>
            <w:noWrap w:val="0"/>
            <w:vAlign w:val="center"/>
          </w:tcPr>
          <w:p w14:paraId="0FE1EEC3">
            <w:pPr>
              <w:rPr>
                <w:color w:val="auto"/>
                <w:highlight w:val="none"/>
              </w:rPr>
            </w:pPr>
          </w:p>
        </w:tc>
        <w:tc>
          <w:tcPr>
            <w:tcW w:w="1905" w:type="dxa"/>
            <w:vMerge w:val="continue"/>
            <w:tcBorders>
              <w:tl2br w:val="nil"/>
              <w:tr2bl w:val="nil"/>
            </w:tcBorders>
            <w:noWrap w:val="0"/>
            <w:vAlign w:val="center"/>
          </w:tcPr>
          <w:p w14:paraId="37481846">
            <w:pPr>
              <w:rPr>
                <w:color w:val="auto"/>
                <w:highlight w:val="none"/>
              </w:rPr>
            </w:pPr>
          </w:p>
        </w:tc>
        <w:tc>
          <w:tcPr>
            <w:tcW w:w="6195" w:type="dxa"/>
            <w:tcBorders>
              <w:tl2br w:val="nil"/>
              <w:tr2bl w:val="nil"/>
            </w:tcBorders>
            <w:noWrap w:val="0"/>
            <w:vAlign w:val="center"/>
          </w:tcPr>
          <w:p w14:paraId="77C6C704">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lang w:val="en-US" w:eastAsia="zh-CN"/>
              </w:rPr>
              <w:t>10</w:t>
            </w:r>
            <w:r>
              <w:rPr>
                <w:rFonts w:hint="eastAsia" w:ascii="仿宋" w:eastAsia="仿宋" w:cs="仿宋"/>
                <w:color w:val="auto"/>
                <w:sz w:val="24"/>
                <w:highlight w:val="none"/>
              </w:rPr>
              <w:t>.2 本项目的难点为核心产品VOCs飞行时间质谱仪的技术原理对部分低碳物质响应低，如丙烷、丙烯，要求供应商针对该难点设计切实可行的解决方案，方案内容包括但不限于设备优缺点阐述、难点分析、难点解决思路及可行方案等，根据阐述的完整性、针对性、可行性等酌情评分。</w:t>
            </w:r>
          </w:p>
          <w:p w14:paraId="7F987B2A">
            <w:pPr>
              <w:adjustRightInd w:val="0"/>
              <w:snapToGrid w:val="0"/>
              <w:spacing w:line="240" w:lineRule="auto"/>
              <w:jc w:val="left"/>
              <w:rPr>
                <w:rFonts w:hint="eastAsia" w:ascii="仿宋" w:eastAsia="仿宋" w:cs="仿宋"/>
                <w:color w:val="auto"/>
                <w:sz w:val="24"/>
                <w:highlight w:val="none"/>
              </w:rPr>
            </w:pPr>
            <w:r>
              <w:rPr>
                <w:rFonts w:hint="eastAsia" w:ascii="仿宋" w:eastAsia="仿宋" w:cs="仿宋"/>
                <w:color w:val="auto"/>
                <w:sz w:val="24"/>
                <w:highlight w:val="none"/>
              </w:rPr>
              <w:t>方案内容完整的得</w:t>
            </w:r>
            <w:r>
              <w:rPr>
                <w:rFonts w:hint="eastAsia" w:ascii="仿宋" w:eastAsia="仿宋" w:cs="仿宋"/>
                <w:color w:val="auto"/>
                <w:sz w:val="24"/>
                <w:highlight w:val="none"/>
                <w:lang w:val="en-US" w:eastAsia="zh-CN"/>
              </w:rPr>
              <w:t>2.1-3</w:t>
            </w:r>
            <w:r>
              <w:rPr>
                <w:rFonts w:hint="eastAsia" w:ascii="仿宋" w:eastAsia="仿宋" w:cs="仿宋"/>
                <w:color w:val="auto"/>
                <w:sz w:val="24"/>
                <w:highlight w:val="none"/>
              </w:rPr>
              <w:t>分；</w:t>
            </w:r>
          </w:p>
          <w:p w14:paraId="64FB3B63">
            <w:pPr>
              <w:adjustRightInd w:val="0"/>
              <w:snapToGrid w:val="0"/>
              <w:spacing w:line="240" w:lineRule="auto"/>
              <w:jc w:val="left"/>
              <w:rPr>
                <w:rFonts w:hint="eastAsia" w:ascii="仿宋" w:eastAsia="仿宋" w:cs="仿宋"/>
                <w:color w:val="auto"/>
                <w:sz w:val="24"/>
                <w:highlight w:val="none"/>
              </w:rPr>
            </w:pPr>
            <w:r>
              <w:rPr>
                <w:rFonts w:hint="eastAsia" w:ascii="仿宋" w:eastAsia="仿宋" w:cs="仿宋"/>
                <w:color w:val="auto"/>
                <w:sz w:val="24"/>
                <w:highlight w:val="none"/>
              </w:rPr>
              <w:t>方案内容</w:t>
            </w:r>
            <w:r>
              <w:rPr>
                <w:rFonts w:hint="eastAsia" w:ascii="仿宋" w:eastAsia="仿宋" w:cs="仿宋"/>
                <w:color w:val="auto"/>
                <w:sz w:val="24"/>
                <w:highlight w:val="none"/>
                <w:lang w:val="en-US" w:eastAsia="zh-CN"/>
              </w:rPr>
              <w:t>较</w:t>
            </w:r>
            <w:r>
              <w:rPr>
                <w:rFonts w:hint="eastAsia" w:ascii="仿宋" w:eastAsia="仿宋" w:cs="仿宋"/>
                <w:color w:val="auto"/>
                <w:sz w:val="24"/>
                <w:highlight w:val="none"/>
              </w:rPr>
              <w:t>完整的得</w:t>
            </w:r>
            <w:r>
              <w:rPr>
                <w:rFonts w:hint="eastAsia" w:ascii="仿宋" w:eastAsia="仿宋" w:cs="仿宋"/>
                <w:color w:val="auto"/>
                <w:sz w:val="24"/>
                <w:highlight w:val="none"/>
                <w:lang w:val="en-US" w:eastAsia="zh-CN"/>
              </w:rPr>
              <w:t>1.1-2</w:t>
            </w:r>
            <w:r>
              <w:rPr>
                <w:rFonts w:hint="eastAsia" w:ascii="仿宋" w:eastAsia="仿宋" w:cs="仿宋"/>
                <w:color w:val="auto"/>
                <w:sz w:val="24"/>
                <w:highlight w:val="none"/>
              </w:rPr>
              <w:t>分；</w:t>
            </w:r>
          </w:p>
          <w:p w14:paraId="254FD6B1">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方案内容有所欠缺，部分满足方案要求的得</w:t>
            </w:r>
            <w:r>
              <w:rPr>
                <w:rFonts w:hint="eastAsia" w:ascii="仿宋" w:eastAsia="仿宋" w:cs="仿宋"/>
                <w:color w:val="auto"/>
                <w:sz w:val="24"/>
                <w:highlight w:val="none"/>
                <w:lang w:val="en-US" w:eastAsia="zh-CN"/>
              </w:rPr>
              <w:t>0.1-1</w:t>
            </w:r>
            <w:r>
              <w:rPr>
                <w:rFonts w:hint="eastAsia" w:ascii="仿宋" w:eastAsia="仿宋" w:cs="仿宋"/>
                <w:color w:val="auto"/>
                <w:sz w:val="24"/>
                <w:highlight w:val="none"/>
              </w:rPr>
              <w:t>分；</w:t>
            </w:r>
          </w:p>
          <w:p w14:paraId="0CCE4A84">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方案内容未提供相应内容的不得分。</w:t>
            </w:r>
          </w:p>
        </w:tc>
        <w:tc>
          <w:tcPr>
            <w:tcW w:w="832" w:type="dxa"/>
            <w:tcBorders>
              <w:tl2br w:val="nil"/>
              <w:tr2bl w:val="nil"/>
            </w:tcBorders>
            <w:noWrap w:val="0"/>
            <w:vAlign w:val="center"/>
          </w:tcPr>
          <w:p w14:paraId="06DD43D9">
            <w:pPr>
              <w:adjustRightInd w:val="0"/>
              <w:snapToGrid w:val="0"/>
              <w:spacing w:line="360" w:lineRule="exact"/>
              <w:jc w:val="center"/>
              <w:rPr>
                <w:rFonts w:ascii="仿宋" w:eastAsia="仿宋" w:cs="仿宋"/>
                <w:color w:val="auto"/>
                <w:sz w:val="24"/>
                <w:highlight w:val="none"/>
              </w:rPr>
            </w:pPr>
            <w:r>
              <w:rPr>
                <w:rFonts w:hint="eastAsia" w:ascii="仿宋" w:eastAsia="仿宋" w:cs="仿宋"/>
                <w:color w:val="auto"/>
                <w:sz w:val="24"/>
                <w:highlight w:val="none"/>
                <w:lang w:val="en-US" w:eastAsia="zh-CN"/>
              </w:rPr>
              <w:t>3</w:t>
            </w:r>
            <w:r>
              <w:rPr>
                <w:rFonts w:hint="eastAsia" w:ascii="仿宋" w:eastAsia="仿宋" w:cs="仿宋"/>
                <w:color w:val="auto"/>
                <w:sz w:val="24"/>
                <w:highlight w:val="none"/>
              </w:rPr>
              <w:t>分</w:t>
            </w:r>
          </w:p>
        </w:tc>
      </w:tr>
      <w:tr w14:paraId="32100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tcBorders>
              <w:tl2br w:val="nil"/>
              <w:tr2bl w:val="nil"/>
            </w:tcBorders>
            <w:noWrap w:val="0"/>
            <w:vAlign w:val="center"/>
          </w:tcPr>
          <w:p w14:paraId="0AFA4217">
            <w:pPr>
              <w:adjustRightInd w:val="0"/>
              <w:snapToGrid w:val="0"/>
              <w:spacing w:line="360" w:lineRule="exact"/>
              <w:jc w:val="center"/>
              <w:rPr>
                <w:rFonts w:hint="eastAsia" w:ascii="仿宋" w:eastAsia="仿宋" w:cs="仿宋"/>
                <w:color w:val="auto"/>
                <w:sz w:val="24"/>
                <w:highlight w:val="none"/>
                <w:lang w:eastAsia="zh-CN"/>
              </w:rPr>
            </w:pPr>
            <w:r>
              <w:rPr>
                <w:rFonts w:hint="eastAsia" w:ascii="仿宋" w:eastAsia="仿宋" w:cs="仿宋"/>
                <w:color w:val="auto"/>
                <w:sz w:val="24"/>
                <w:highlight w:val="none"/>
              </w:rPr>
              <w:t>1</w:t>
            </w:r>
            <w:r>
              <w:rPr>
                <w:rFonts w:hint="eastAsia" w:ascii="仿宋" w:eastAsia="仿宋" w:cs="仿宋"/>
                <w:color w:val="auto"/>
                <w:sz w:val="24"/>
                <w:highlight w:val="none"/>
                <w:lang w:val="en-US" w:eastAsia="zh-CN"/>
              </w:rPr>
              <w:t>1</w:t>
            </w:r>
          </w:p>
        </w:tc>
        <w:tc>
          <w:tcPr>
            <w:tcW w:w="1905" w:type="dxa"/>
            <w:tcBorders>
              <w:tl2br w:val="nil"/>
              <w:tr2bl w:val="nil"/>
            </w:tcBorders>
            <w:noWrap w:val="0"/>
            <w:vAlign w:val="center"/>
          </w:tcPr>
          <w:p w14:paraId="2F374E03">
            <w:pPr>
              <w:adjustRightInd w:val="0"/>
              <w:snapToGrid w:val="0"/>
              <w:spacing w:line="360" w:lineRule="exact"/>
              <w:jc w:val="left"/>
              <w:rPr>
                <w:rFonts w:ascii="仿宋" w:eastAsia="仿宋" w:cs="仿宋"/>
                <w:color w:val="auto"/>
                <w:sz w:val="24"/>
                <w:highlight w:val="none"/>
              </w:rPr>
            </w:pPr>
            <w:r>
              <w:rPr>
                <w:rFonts w:hint="eastAsia" w:ascii="仿宋" w:eastAsia="仿宋" w:cs="仿宋"/>
                <w:color w:val="auto"/>
                <w:sz w:val="24"/>
                <w:highlight w:val="none"/>
              </w:rPr>
              <w:t>售后服务方案</w:t>
            </w:r>
          </w:p>
        </w:tc>
        <w:tc>
          <w:tcPr>
            <w:tcW w:w="6195" w:type="dxa"/>
            <w:tcBorders>
              <w:tl2br w:val="nil"/>
              <w:tr2bl w:val="nil"/>
            </w:tcBorders>
            <w:noWrap w:val="0"/>
            <w:vAlign w:val="center"/>
          </w:tcPr>
          <w:p w14:paraId="6A08D7F5">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lang w:val="en-US" w:eastAsia="zh-CN"/>
              </w:rPr>
              <w:t>11.1</w:t>
            </w:r>
            <w:r>
              <w:rPr>
                <w:rFonts w:hint="eastAsia" w:ascii="仿宋" w:eastAsia="仿宋" w:cs="仿宋"/>
                <w:color w:val="auto"/>
                <w:sz w:val="24"/>
                <w:highlight w:val="none"/>
              </w:rPr>
              <w:t>根据投标人提供的服务方案及承诺（包括但不限于备品备件提供、故障响应时间、优惠政策等）内容进行综合评议：</w:t>
            </w:r>
          </w:p>
          <w:p w14:paraId="36A9B32F">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服务方案及承诺中的备品备件、故障响应时间、优惠政策等完全满足用户需求，详细、合理可行的得</w:t>
            </w:r>
            <w:r>
              <w:rPr>
                <w:rFonts w:hint="eastAsia" w:ascii="仿宋" w:eastAsia="仿宋" w:cs="仿宋"/>
                <w:color w:val="auto"/>
                <w:sz w:val="24"/>
                <w:highlight w:val="none"/>
                <w:lang w:val="en-US" w:eastAsia="zh-CN"/>
              </w:rPr>
              <w:t>1.5-2</w:t>
            </w:r>
            <w:r>
              <w:rPr>
                <w:rFonts w:hint="eastAsia" w:ascii="仿宋" w:eastAsia="仿宋" w:cs="仿宋"/>
                <w:color w:val="auto"/>
                <w:sz w:val="24"/>
                <w:highlight w:val="none"/>
              </w:rPr>
              <w:t>分；</w:t>
            </w:r>
          </w:p>
          <w:p w14:paraId="59D833B8">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服务方案及承诺方案及承诺中的备品备件、故障响应时间、优惠政策等基本满足用户需求，较详细、较合理的得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w:t>
            </w:r>
          </w:p>
          <w:p w14:paraId="0F59280A">
            <w:pPr>
              <w:adjustRightInd w:val="0"/>
              <w:snapToGrid w:val="0"/>
              <w:spacing w:line="360" w:lineRule="exact"/>
              <w:rPr>
                <w:rFonts w:ascii="仿宋" w:eastAsia="仿宋" w:cs="仿宋"/>
                <w:color w:val="auto"/>
                <w:sz w:val="24"/>
                <w:highlight w:val="none"/>
              </w:rPr>
            </w:pPr>
            <w:r>
              <w:rPr>
                <w:rFonts w:hint="eastAsia" w:ascii="仿宋" w:eastAsia="仿宋" w:cs="仿宋"/>
                <w:color w:val="auto"/>
                <w:sz w:val="24"/>
                <w:highlight w:val="none"/>
              </w:rPr>
              <w:t>服务方案及承诺方案及承诺中的备品备件、故障响应时间、优惠政策等有部分满足用户需求，但不全的得</w:t>
            </w:r>
            <w:r>
              <w:rPr>
                <w:rFonts w:hint="eastAsia" w:ascii="仿宋" w:eastAsia="仿宋" w:cs="仿宋"/>
                <w:color w:val="auto"/>
                <w:sz w:val="24"/>
                <w:highlight w:val="none"/>
                <w:lang w:val="en-US" w:eastAsia="zh-CN"/>
              </w:rPr>
              <w:t>0.</w:t>
            </w:r>
            <w:r>
              <w:rPr>
                <w:rFonts w:hint="eastAsia" w:ascii="仿宋" w:eastAsia="仿宋" w:cs="仿宋"/>
                <w:color w:val="auto"/>
                <w:sz w:val="24"/>
                <w:highlight w:val="none"/>
              </w:rPr>
              <w:t>1</w:t>
            </w:r>
            <w:r>
              <w:rPr>
                <w:rFonts w:hint="eastAsia" w:ascii="仿宋" w:eastAsia="仿宋" w:cs="仿宋"/>
                <w:color w:val="auto"/>
                <w:sz w:val="24"/>
                <w:highlight w:val="none"/>
                <w:lang w:val="en-US" w:eastAsia="zh-CN"/>
              </w:rPr>
              <w:t>-0.6</w:t>
            </w:r>
            <w:r>
              <w:rPr>
                <w:rFonts w:hint="eastAsia" w:ascii="仿宋" w:eastAsia="仿宋" w:cs="仿宋"/>
                <w:color w:val="auto"/>
                <w:sz w:val="24"/>
                <w:highlight w:val="none"/>
              </w:rPr>
              <w:t>分；</w:t>
            </w:r>
          </w:p>
          <w:p w14:paraId="039FA84E">
            <w:pPr>
              <w:adjustRightInd w:val="0"/>
              <w:snapToGrid w:val="0"/>
              <w:spacing w:line="360" w:lineRule="exact"/>
              <w:rPr>
                <w:rFonts w:hint="eastAsia" w:ascii="仿宋" w:eastAsia="仿宋" w:cs="仿宋"/>
                <w:color w:val="auto"/>
                <w:sz w:val="24"/>
                <w:highlight w:val="none"/>
              </w:rPr>
            </w:pPr>
            <w:r>
              <w:rPr>
                <w:rFonts w:hint="eastAsia" w:ascii="仿宋" w:eastAsia="仿宋" w:cs="仿宋"/>
                <w:color w:val="auto"/>
                <w:sz w:val="24"/>
                <w:highlight w:val="none"/>
              </w:rPr>
              <w:t>未提供售后服务方案不得分。</w:t>
            </w:r>
          </w:p>
          <w:p w14:paraId="4B0BEAFA">
            <w:pPr>
              <w:adjustRightInd w:val="0"/>
              <w:snapToGrid w:val="0"/>
              <w:spacing w:line="360" w:lineRule="exact"/>
              <w:rPr>
                <w:color w:val="auto"/>
                <w:highlight w:val="none"/>
              </w:rPr>
            </w:pPr>
            <w:r>
              <w:rPr>
                <w:rFonts w:hint="eastAsia" w:ascii="仿宋" w:eastAsia="仿宋" w:cs="仿宋"/>
                <w:color w:val="auto"/>
                <w:sz w:val="24"/>
                <w:highlight w:val="none"/>
                <w:lang w:val="en-US" w:eastAsia="zh-CN"/>
              </w:rPr>
              <w:t>11.2</w:t>
            </w:r>
            <w:r>
              <w:rPr>
                <w:rFonts w:ascii="仿宋" w:eastAsia="仿宋" w:cs="仿宋"/>
                <w:color w:val="auto"/>
                <w:sz w:val="24"/>
                <w:highlight w:val="none"/>
              </w:rPr>
              <w:t>在本项目产品质保期2年以外</w:t>
            </w:r>
            <w:r>
              <w:rPr>
                <w:rFonts w:hint="eastAsia" w:ascii="仿宋" w:eastAsia="仿宋" w:cs="仿宋"/>
                <w:color w:val="auto"/>
                <w:sz w:val="24"/>
                <w:highlight w:val="none"/>
                <w:lang w:eastAsia="zh-CN"/>
              </w:rPr>
              <w:t>额外</w:t>
            </w:r>
            <w:r>
              <w:rPr>
                <w:rFonts w:ascii="仿宋" w:eastAsia="仿宋" w:cs="仿宋"/>
                <w:color w:val="auto"/>
                <w:sz w:val="24"/>
                <w:highlight w:val="none"/>
              </w:rPr>
              <w:t>增加1年</w:t>
            </w:r>
            <w:r>
              <w:rPr>
                <w:rFonts w:hint="eastAsia" w:ascii="仿宋" w:eastAsia="仿宋" w:cs="仿宋"/>
                <w:color w:val="auto"/>
                <w:sz w:val="24"/>
                <w:highlight w:val="none"/>
                <w:lang w:eastAsia="zh-CN"/>
              </w:rPr>
              <w:t>及以上的</w:t>
            </w:r>
            <w:r>
              <w:rPr>
                <w:rFonts w:ascii="仿宋" w:eastAsia="仿宋" w:cs="仿宋"/>
                <w:color w:val="auto"/>
                <w:sz w:val="24"/>
                <w:highlight w:val="none"/>
              </w:rPr>
              <w:t>，</w:t>
            </w:r>
            <w:r>
              <w:rPr>
                <w:rFonts w:hint="eastAsia" w:ascii="仿宋" w:eastAsia="仿宋" w:cs="仿宋"/>
                <w:color w:val="auto"/>
                <w:sz w:val="24"/>
                <w:highlight w:val="none"/>
                <w:lang w:eastAsia="zh-CN"/>
              </w:rPr>
              <w:t>得</w:t>
            </w:r>
            <w:r>
              <w:rPr>
                <w:rFonts w:hint="eastAsia" w:ascii="仿宋" w:eastAsia="仿宋" w:cs="仿宋"/>
                <w:color w:val="auto"/>
                <w:sz w:val="24"/>
                <w:highlight w:val="none"/>
                <w:lang w:val="en-US" w:eastAsia="zh-CN"/>
              </w:rPr>
              <w:t>1</w:t>
            </w:r>
            <w:r>
              <w:rPr>
                <w:rFonts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须提供承诺函，不提供的或内容不符合要求的不得分</w:t>
            </w:r>
            <w:r>
              <w:rPr>
                <w:rFonts w:ascii="仿宋" w:eastAsia="仿宋" w:cs="仿宋"/>
                <w:color w:val="auto"/>
                <w:sz w:val="24"/>
                <w:highlight w:val="none"/>
              </w:rPr>
              <w:t>。</w:t>
            </w:r>
          </w:p>
        </w:tc>
        <w:tc>
          <w:tcPr>
            <w:tcW w:w="832" w:type="dxa"/>
            <w:tcBorders>
              <w:tl2br w:val="nil"/>
              <w:tr2bl w:val="nil"/>
            </w:tcBorders>
            <w:noWrap w:val="0"/>
            <w:vAlign w:val="center"/>
          </w:tcPr>
          <w:p w14:paraId="7069AD9D">
            <w:pPr>
              <w:adjustRightInd w:val="0"/>
              <w:snapToGrid w:val="0"/>
              <w:spacing w:line="360" w:lineRule="exact"/>
              <w:jc w:val="center"/>
              <w:rPr>
                <w:rFonts w:ascii="仿宋" w:eastAsia="仿宋" w:cs="仿宋"/>
                <w:color w:val="auto"/>
                <w:sz w:val="24"/>
                <w:highlight w:val="none"/>
              </w:rPr>
            </w:pPr>
            <w:r>
              <w:rPr>
                <w:rFonts w:hint="eastAsia" w:ascii="仿宋" w:eastAsia="仿宋" w:cs="仿宋"/>
                <w:snapToGrid w:val="0"/>
                <w:color w:val="auto"/>
                <w:sz w:val="24"/>
                <w:highlight w:val="none"/>
                <w:lang w:val="en-US" w:eastAsia="zh-CN"/>
              </w:rPr>
              <w:t>3</w:t>
            </w:r>
            <w:r>
              <w:rPr>
                <w:rFonts w:hint="eastAsia" w:ascii="仿宋" w:eastAsia="仿宋" w:cs="仿宋"/>
                <w:snapToGrid w:val="0"/>
                <w:color w:val="auto"/>
                <w:sz w:val="24"/>
                <w:highlight w:val="none"/>
              </w:rPr>
              <w:t>分</w:t>
            </w:r>
          </w:p>
        </w:tc>
      </w:tr>
      <w:tr w14:paraId="77646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80" w:type="dxa"/>
            <w:tcBorders>
              <w:tl2br w:val="nil"/>
              <w:tr2bl w:val="nil"/>
            </w:tcBorders>
            <w:noWrap w:val="0"/>
            <w:vAlign w:val="center"/>
          </w:tcPr>
          <w:p w14:paraId="2F8AE0F0">
            <w:pPr>
              <w:spacing w:line="360" w:lineRule="exact"/>
              <w:jc w:val="center"/>
              <w:rPr>
                <w:rFonts w:hint="default" w:ascii="仿宋" w:eastAsia="仿宋" w:cs="仿宋"/>
                <w:color w:val="auto"/>
                <w:sz w:val="24"/>
                <w:highlight w:val="none"/>
                <w:lang w:val="en-US" w:eastAsia="zh-CN"/>
              </w:rPr>
            </w:pPr>
            <w:r>
              <w:rPr>
                <w:rFonts w:hint="eastAsia" w:ascii="仿宋" w:eastAsia="仿宋" w:cs="仿宋"/>
                <w:color w:val="auto"/>
                <w:sz w:val="24"/>
                <w:highlight w:val="none"/>
                <w:lang w:val="en-US" w:eastAsia="zh-CN"/>
              </w:rPr>
              <w:t>12</w:t>
            </w:r>
          </w:p>
        </w:tc>
        <w:tc>
          <w:tcPr>
            <w:tcW w:w="1905" w:type="dxa"/>
            <w:tcBorders>
              <w:tl2br w:val="nil"/>
              <w:tr2bl w:val="nil"/>
            </w:tcBorders>
            <w:noWrap w:val="0"/>
            <w:vAlign w:val="center"/>
          </w:tcPr>
          <w:p w14:paraId="04752813">
            <w:pPr>
              <w:spacing w:line="360" w:lineRule="exact"/>
              <w:jc w:val="left"/>
              <w:rPr>
                <w:rFonts w:hint="default" w:ascii="仿宋" w:eastAsia="仿宋" w:cs="仿宋"/>
                <w:color w:val="auto"/>
                <w:sz w:val="24"/>
                <w:highlight w:val="none"/>
                <w:lang w:val="en-US" w:eastAsia="zh-CN"/>
              </w:rPr>
            </w:pPr>
            <w:r>
              <w:rPr>
                <w:rFonts w:hint="eastAsia" w:ascii="仿宋" w:eastAsia="仿宋" w:cs="仿宋"/>
                <w:color w:val="auto"/>
                <w:sz w:val="24"/>
                <w:highlight w:val="none"/>
                <w:lang w:val="en-US" w:eastAsia="zh-CN"/>
              </w:rPr>
              <w:t>培训方案</w:t>
            </w:r>
          </w:p>
        </w:tc>
        <w:tc>
          <w:tcPr>
            <w:tcW w:w="6195" w:type="dxa"/>
            <w:tcBorders>
              <w:tl2br w:val="nil"/>
              <w:tr2bl w:val="nil"/>
            </w:tcBorders>
            <w:noWrap w:val="0"/>
            <w:vAlign w:val="center"/>
          </w:tcPr>
          <w:p w14:paraId="7D1083B0">
            <w:pPr>
              <w:spacing w:line="360" w:lineRule="exact"/>
              <w:rPr>
                <w:rFonts w:hint="eastAsia" w:ascii="仿宋" w:eastAsia="仿宋" w:cs="仿宋"/>
                <w:bCs/>
                <w:color w:val="auto"/>
                <w:sz w:val="24"/>
                <w:highlight w:val="none"/>
              </w:rPr>
            </w:pPr>
            <w:r>
              <w:rPr>
                <w:rFonts w:hint="eastAsia" w:ascii="仿宋" w:eastAsia="仿宋" w:cs="仿宋"/>
                <w:color w:val="auto"/>
                <w:sz w:val="24"/>
                <w:highlight w:val="none"/>
              </w:rPr>
              <w:t>对投标人提供的</w:t>
            </w:r>
            <w:r>
              <w:rPr>
                <w:rFonts w:hint="eastAsia" w:ascii="仿宋" w:eastAsia="仿宋" w:cs="仿宋"/>
                <w:color w:val="auto"/>
                <w:sz w:val="24"/>
                <w:highlight w:val="none"/>
                <w:lang w:val="en-US" w:eastAsia="zh-CN"/>
              </w:rPr>
              <w:t>培训</w:t>
            </w:r>
            <w:r>
              <w:rPr>
                <w:rFonts w:hint="eastAsia" w:ascii="仿宋" w:eastAsia="仿宋" w:cs="仿宋"/>
                <w:color w:val="auto"/>
                <w:sz w:val="24"/>
                <w:highlight w:val="none"/>
              </w:rPr>
              <w:t>方案的</w:t>
            </w:r>
            <w:r>
              <w:rPr>
                <w:rFonts w:hint="eastAsia" w:ascii="仿宋" w:eastAsia="仿宋" w:cs="仿宋"/>
                <w:color w:val="auto"/>
                <w:sz w:val="24"/>
                <w:highlight w:val="none"/>
                <w:lang w:val="en-US" w:eastAsia="zh-CN"/>
              </w:rPr>
              <w:t>科学性、</w:t>
            </w:r>
            <w:r>
              <w:rPr>
                <w:rFonts w:hint="eastAsia" w:ascii="仿宋" w:hAnsi="Times New Roman" w:eastAsia="仿宋" w:cs="仿宋"/>
                <w:color w:val="auto"/>
                <w:sz w:val="24"/>
                <w:highlight w:val="none"/>
              </w:rPr>
              <w:t>合理性及</w:t>
            </w:r>
            <w:r>
              <w:rPr>
                <w:rFonts w:hint="eastAsia" w:ascii="仿宋" w:eastAsia="仿宋" w:cs="仿宋"/>
                <w:color w:val="auto"/>
                <w:sz w:val="24"/>
                <w:highlight w:val="none"/>
                <w:lang w:val="en-US" w:eastAsia="zh-CN"/>
              </w:rPr>
              <w:t>实用性</w:t>
            </w:r>
            <w:r>
              <w:rPr>
                <w:rFonts w:hint="eastAsia" w:ascii="仿宋" w:hAnsi="Times New Roman" w:eastAsia="仿宋" w:cs="仿宋"/>
                <w:color w:val="auto"/>
                <w:sz w:val="24"/>
                <w:highlight w:val="none"/>
              </w:rPr>
              <w:t>进行打分，方案</w:t>
            </w:r>
            <w:r>
              <w:rPr>
                <w:rFonts w:hint="eastAsia" w:ascii="仿宋" w:hAnsi="Times New Roman" w:eastAsia="仿宋" w:cs="仿宋"/>
                <w:color w:val="auto"/>
                <w:sz w:val="24"/>
                <w:highlight w:val="none"/>
                <w:lang w:val="en-US" w:eastAsia="zh-CN"/>
              </w:rPr>
              <w:t>科学合理</w:t>
            </w:r>
            <w:r>
              <w:rPr>
                <w:rFonts w:hint="eastAsia" w:ascii="仿宋" w:hAnsi="Times New Roman" w:eastAsia="仿宋" w:cs="仿宋"/>
                <w:color w:val="auto"/>
                <w:sz w:val="24"/>
                <w:highlight w:val="none"/>
              </w:rPr>
              <w:t>且</w:t>
            </w:r>
            <w:r>
              <w:rPr>
                <w:rFonts w:hint="eastAsia" w:ascii="仿宋" w:hAnsi="Times New Roman" w:eastAsia="仿宋" w:cs="仿宋"/>
                <w:color w:val="auto"/>
                <w:sz w:val="24"/>
                <w:highlight w:val="none"/>
                <w:lang w:val="en-US" w:eastAsia="zh-CN"/>
              </w:rPr>
              <w:t>实用性强</w:t>
            </w:r>
            <w:r>
              <w:rPr>
                <w:rFonts w:hint="eastAsia" w:ascii="仿宋" w:hAnsi="Times New Roman" w:eastAsia="仿宋" w:cs="仿宋"/>
                <w:color w:val="auto"/>
                <w:sz w:val="24"/>
                <w:highlight w:val="none"/>
              </w:rPr>
              <w:t>的得</w:t>
            </w:r>
            <w:r>
              <w:rPr>
                <w:rFonts w:hint="eastAsia" w:ascii="仿宋" w:hAnsi="Times New Roman" w:eastAsia="仿宋" w:cs="仿宋"/>
                <w:color w:val="auto"/>
                <w:sz w:val="24"/>
                <w:highlight w:val="none"/>
                <w:lang w:val="en-US" w:eastAsia="zh-CN"/>
              </w:rPr>
              <w:t>1.5-2</w:t>
            </w:r>
            <w:r>
              <w:rPr>
                <w:rFonts w:hint="eastAsia" w:ascii="仿宋" w:hAnsi="Times New Roman" w:eastAsia="仿宋" w:cs="仿宋"/>
                <w:color w:val="auto"/>
                <w:sz w:val="24"/>
                <w:highlight w:val="none"/>
              </w:rPr>
              <w:t>分、方案比较</w:t>
            </w:r>
            <w:r>
              <w:rPr>
                <w:rFonts w:hint="eastAsia" w:ascii="仿宋" w:hAnsi="Times New Roman" w:eastAsia="仿宋" w:cs="仿宋"/>
                <w:color w:val="auto"/>
                <w:sz w:val="24"/>
                <w:highlight w:val="none"/>
                <w:lang w:val="en-US" w:eastAsia="zh-CN"/>
              </w:rPr>
              <w:t>科学</w:t>
            </w:r>
            <w:r>
              <w:rPr>
                <w:rFonts w:hint="eastAsia" w:ascii="仿宋" w:hAnsi="Times New Roman" w:eastAsia="仿宋" w:cs="仿宋"/>
                <w:color w:val="auto"/>
                <w:sz w:val="24"/>
                <w:highlight w:val="none"/>
              </w:rPr>
              <w:t>合理</w:t>
            </w:r>
            <w:r>
              <w:rPr>
                <w:rFonts w:hint="eastAsia" w:ascii="仿宋" w:hAnsi="Times New Roman" w:eastAsia="仿宋" w:cs="仿宋"/>
                <w:color w:val="auto"/>
                <w:sz w:val="24"/>
                <w:highlight w:val="none"/>
                <w:lang w:val="en-US" w:eastAsia="zh-CN"/>
              </w:rPr>
              <w:t>实用性较好</w:t>
            </w:r>
            <w:r>
              <w:rPr>
                <w:rFonts w:hint="eastAsia" w:ascii="仿宋" w:hAnsi="Times New Roman" w:eastAsia="仿宋" w:cs="仿宋"/>
                <w:color w:val="auto"/>
                <w:sz w:val="24"/>
                <w:highlight w:val="none"/>
              </w:rPr>
              <w:t>的得</w:t>
            </w:r>
            <w:r>
              <w:rPr>
                <w:rFonts w:hint="eastAsia" w:ascii="仿宋" w:eastAsia="仿宋" w:cs="仿宋"/>
                <w:color w:val="auto"/>
                <w:sz w:val="24"/>
                <w:highlight w:val="none"/>
                <w:lang w:val="en-US" w:eastAsia="zh-CN"/>
              </w:rPr>
              <w:t>0.7-1.4</w:t>
            </w:r>
            <w:r>
              <w:rPr>
                <w:rFonts w:hint="eastAsia" w:ascii="仿宋" w:eastAsia="仿宋" w:cs="仿宋"/>
                <w:color w:val="auto"/>
                <w:sz w:val="24"/>
                <w:highlight w:val="none"/>
              </w:rPr>
              <w:t>分、方案</w:t>
            </w:r>
            <w:r>
              <w:rPr>
                <w:rFonts w:hint="eastAsia" w:ascii="仿宋" w:eastAsia="仿宋" w:cs="仿宋"/>
                <w:color w:val="auto"/>
                <w:sz w:val="24"/>
                <w:highlight w:val="none"/>
                <w:lang w:val="en-US" w:eastAsia="zh-CN"/>
              </w:rPr>
              <w:t>不太科学不怎么实用</w:t>
            </w:r>
            <w:r>
              <w:rPr>
                <w:rFonts w:hint="eastAsia" w:ascii="仿宋" w:eastAsia="仿宋" w:cs="仿宋"/>
                <w:color w:val="auto"/>
                <w:sz w:val="24"/>
                <w:highlight w:val="none"/>
              </w:rPr>
              <w:t>的得0</w:t>
            </w:r>
            <w:r>
              <w:rPr>
                <w:rFonts w:hint="eastAsia" w:ascii="仿宋" w:eastAsia="仿宋" w:cs="仿宋"/>
                <w:color w:val="auto"/>
                <w:sz w:val="24"/>
                <w:highlight w:val="none"/>
                <w:lang w:val="en-US" w:eastAsia="zh-CN"/>
              </w:rPr>
              <w:t>.1-0.6</w:t>
            </w:r>
            <w:r>
              <w:rPr>
                <w:rFonts w:hint="eastAsia" w:ascii="仿宋" w:eastAsia="仿宋" w:cs="仿宋"/>
                <w:color w:val="auto"/>
                <w:sz w:val="24"/>
                <w:highlight w:val="none"/>
              </w:rPr>
              <w:t>分</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不提供的不得分</w:t>
            </w:r>
            <w:r>
              <w:rPr>
                <w:rFonts w:hint="eastAsia" w:ascii="仿宋" w:eastAsia="仿宋" w:cs="仿宋"/>
                <w:color w:val="auto"/>
                <w:sz w:val="24"/>
                <w:highlight w:val="none"/>
              </w:rPr>
              <w:t>。</w:t>
            </w:r>
          </w:p>
        </w:tc>
        <w:tc>
          <w:tcPr>
            <w:tcW w:w="832" w:type="dxa"/>
            <w:tcBorders>
              <w:tl2br w:val="nil"/>
              <w:tr2bl w:val="nil"/>
            </w:tcBorders>
            <w:noWrap w:val="0"/>
            <w:vAlign w:val="center"/>
          </w:tcPr>
          <w:p w14:paraId="57C41499">
            <w:pPr>
              <w:autoSpaceDE w:val="0"/>
              <w:autoSpaceDN w:val="0"/>
              <w:spacing w:line="360" w:lineRule="exact"/>
              <w:jc w:val="center"/>
              <w:rPr>
                <w:rFonts w:hint="default" w:ascii="仿宋" w:eastAsia="仿宋" w:cs="仿宋"/>
                <w:snapToGrid w:val="0"/>
                <w:color w:val="auto"/>
                <w:sz w:val="24"/>
                <w:highlight w:val="none"/>
                <w:lang w:val="en-US" w:eastAsia="zh-CN"/>
              </w:rPr>
            </w:pPr>
            <w:r>
              <w:rPr>
                <w:rFonts w:hint="eastAsia" w:ascii="仿宋" w:eastAsia="仿宋" w:cs="仿宋"/>
                <w:snapToGrid w:val="0"/>
                <w:color w:val="auto"/>
                <w:sz w:val="24"/>
                <w:highlight w:val="none"/>
                <w:lang w:val="en-US" w:eastAsia="zh-CN"/>
              </w:rPr>
              <w:t>2分</w:t>
            </w:r>
          </w:p>
        </w:tc>
      </w:tr>
    </w:tbl>
    <w:p w14:paraId="37451FE0">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r>
        <w:rPr>
          <w:rFonts w:hint="eastAsia" w:ascii="仿宋" w:eastAsia="仿宋" w:cs="仿宋"/>
          <w:color w:val="auto"/>
          <w:sz w:val="24"/>
          <w:highlight w:val="none"/>
          <w:lang w:eastAsia="zh-CN"/>
        </w:rPr>
        <w:t>（</w:t>
      </w:r>
      <w:r>
        <w:rPr>
          <w:rFonts w:hint="eastAsia" w:ascii="仿宋" w:eastAsia="仿宋" w:cs="仿宋"/>
          <w:color w:val="auto"/>
          <w:sz w:val="24"/>
          <w:highlight w:val="none"/>
          <w:lang w:val="en-US" w:eastAsia="zh-CN"/>
        </w:rPr>
        <w:t>联合体任意一方具有即可</w:t>
      </w:r>
      <w:r>
        <w:rPr>
          <w:rFonts w:hint="eastAsia" w:ascii="仿宋" w:eastAsia="仿宋" w:cs="仿宋"/>
          <w:color w:val="auto"/>
          <w:sz w:val="24"/>
          <w:highlight w:val="none"/>
          <w:lang w:eastAsia="zh-CN"/>
        </w:rPr>
        <w:t>）</w:t>
      </w:r>
    </w:p>
    <w:p w14:paraId="4D172D57">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0A8A54FA">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7E4FF0BF">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15A3EA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42C0FC22">
      <w:pPr>
        <w:widowControl/>
        <w:snapToGrid w:val="0"/>
        <w:spacing w:line="480" w:lineRule="exact"/>
        <w:ind w:left="0"/>
        <w:rPr>
          <w:rFonts w:hint="eastAsia" w:ascii="仿宋" w:eastAsia="仿宋"/>
          <w:bCs/>
          <w:iCs/>
          <w:color w:val="auto"/>
          <w:sz w:val="24"/>
          <w:highlight w:val="none"/>
          <w:u w:val="single"/>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rPr>
        <w:t xml:space="preserve">  </w:t>
      </w:r>
      <w:r>
        <w:rPr>
          <w:rFonts w:hint="eastAsia" w:ascii="仿宋" w:eastAsia="仿宋"/>
          <w:bCs/>
          <w:iCs/>
          <w:color w:val="auto"/>
          <w:sz w:val="24"/>
          <w:highlight w:val="none"/>
          <w:u w:val="single"/>
          <w:lang w:val="en-US" w:eastAsia="zh-CN"/>
        </w:rPr>
        <w:t>40</w:t>
      </w:r>
      <w:r>
        <w:rPr>
          <w:rFonts w:hint="eastAsia" w:ascii="仿宋" w:eastAsia="仿宋"/>
          <w:bCs/>
          <w:iCs/>
          <w:color w:val="auto"/>
          <w:sz w:val="24"/>
          <w:highlight w:val="none"/>
          <w:u w:val="single"/>
        </w:rPr>
        <w:t xml:space="preserve"> </w:t>
      </w:r>
    </w:p>
    <w:p w14:paraId="5A23D3E2">
      <w:pPr>
        <w:widowControl/>
        <w:snapToGrid w:val="0"/>
        <w:spacing w:line="480" w:lineRule="exact"/>
        <w:ind w:left="0"/>
        <w:rPr>
          <w:rFonts w:ascii="仿宋" w:eastAsia="仿宋"/>
          <w:bCs/>
          <w:iCs/>
          <w:color w:val="auto"/>
          <w:sz w:val="24"/>
          <w:highlight w:val="none"/>
          <w:u w:val="single"/>
        </w:rPr>
      </w:pPr>
    </w:p>
    <w:p w14:paraId="0E46B8F1">
      <w:pPr>
        <w:widowControl/>
        <w:snapToGrid w:val="0"/>
        <w:spacing w:line="480" w:lineRule="exact"/>
        <w:ind w:left="0"/>
        <w:rPr>
          <w:rFonts w:ascii="仿宋" w:eastAsia="仿宋"/>
          <w:bCs/>
          <w:iCs/>
          <w:color w:val="auto"/>
          <w:sz w:val="24"/>
          <w:highlight w:val="none"/>
          <w:u w:val="single"/>
        </w:rPr>
      </w:pPr>
    </w:p>
    <w:p w14:paraId="1B35819B">
      <w:pPr>
        <w:widowControl/>
        <w:snapToGrid w:val="0"/>
        <w:spacing w:line="480" w:lineRule="exact"/>
        <w:ind w:left="0"/>
        <w:rPr>
          <w:rFonts w:ascii="仿宋" w:eastAsia="仿宋"/>
          <w:bCs/>
          <w:iCs/>
          <w:color w:val="auto"/>
          <w:sz w:val="24"/>
          <w:highlight w:val="none"/>
          <w:u w:val="single"/>
        </w:rPr>
      </w:pPr>
    </w:p>
    <w:p w14:paraId="4E2CDC3B">
      <w:pPr>
        <w:pStyle w:val="3"/>
        <w:keepNext/>
        <w:keepLines/>
        <w:pageBreakBefore w:val="0"/>
        <w:widowControl w:val="0"/>
        <w:suppressLineNumbers w:val="0"/>
        <w:suppressAutoHyphens w:val="0"/>
        <w:spacing w:line="578" w:lineRule="auto"/>
        <w:jc w:val="center"/>
        <w:rPr>
          <w:rFonts w:hint="eastAsia" w:ascii="仿宋"/>
          <w:color w:val="auto"/>
          <w:highlight w:val="none"/>
        </w:rPr>
      </w:pPr>
      <w:bookmarkStart w:id="53" w:name="_Toc30897"/>
      <w:r>
        <w:rPr>
          <w:rFonts w:hint="eastAsia" w:ascii="仿宋"/>
          <w:color w:val="auto"/>
          <w:highlight w:val="none"/>
        </w:rPr>
        <w:t>第六章  投标文件格式附件</w:t>
      </w:r>
      <w:bookmarkEnd w:id="53"/>
    </w:p>
    <w:p w14:paraId="684D414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投标文件制作请按照本采购文件“第二章 投标人须知”第三部分“投标文件”的规定制作，有关格式附件如下：</w:t>
      </w:r>
    </w:p>
    <w:p w14:paraId="24B0EBE0">
      <w:pPr>
        <w:snapToGrid w:val="0"/>
        <w:spacing w:before="156" w:beforeLines="50" w:after="50"/>
        <w:jc w:val="left"/>
        <w:outlineLvl w:val="1"/>
        <w:rPr>
          <w:rFonts w:hint="eastAsia"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43C537D7">
      <w:pPr>
        <w:snapToGrid w:val="0"/>
        <w:spacing w:before="156" w:beforeLines="50" w:after="50"/>
        <w:jc w:val="right"/>
        <w:rPr>
          <w:rFonts w:hint="eastAsia" w:ascii="仿宋" w:eastAsia="仿宋"/>
          <w:b/>
          <w:color w:val="auto"/>
          <w:sz w:val="30"/>
          <w:szCs w:val="30"/>
          <w:highlight w:val="none"/>
        </w:rPr>
      </w:pPr>
    </w:p>
    <w:p w14:paraId="073C23CA">
      <w:pPr>
        <w:snapToGrid w:val="0"/>
        <w:spacing w:before="156" w:beforeLines="50" w:after="50"/>
        <w:jc w:val="right"/>
        <w:rPr>
          <w:rFonts w:hint="eastAsia" w:ascii="仿宋" w:eastAsia="仿宋"/>
          <w:bCs/>
          <w:color w:val="auto"/>
          <w:sz w:val="30"/>
          <w:szCs w:val="30"/>
          <w:highlight w:val="none"/>
        </w:rPr>
      </w:pPr>
    </w:p>
    <w:p w14:paraId="6AFC2B38">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60833E3B">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7463D297">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66C49500">
      <w:pPr>
        <w:spacing w:line="1200" w:lineRule="exact"/>
        <w:ind w:right="6"/>
        <w:jc w:val="center"/>
        <w:rPr>
          <w:rFonts w:hint="eastAsia" w:ascii="仿宋" w:eastAsia="仿宋"/>
          <w:color w:val="auto"/>
          <w:sz w:val="72"/>
          <w:szCs w:val="72"/>
          <w:highlight w:val="none"/>
        </w:rPr>
      </w:pPr>
    </w:p>
    <w:p w14:paraId="5C815628">
      <w:pPr>
        <w:spacing w:line="1200" w:lineRule="exact"/>
        <w:ind w:right="6"/>
        <w:jc w:val="center"/>
        <w:rPr>
          <w:rFonts w:hint="eastAsia" w:ascii="仿宋" w:eastAsia="仿宋"/>
          <w:color w:val="auto"/>
          <w:sz w:val="72"/>
          <w:szCs w:val="72"/>
          <w:highlight w:val="none"/>
        </w:rPr>
      </w:pPr>
    </w:p>
    <w:p w14:paraId="32D88C0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资</w:t>
      </w:r>
    </w:p>
    <w:p w14:paraId="09EBDEE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格</w:t>
      </w:r>
    </w:p>
    <w:p w14:paraId="69FA6807">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2AD423EC">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0CB39E93">
      <w:pPr>
        <w:spacing w:line="1200" w:lineRule="exact"/>
        <w:ind w:right="6"/>
        <w:jc w:val="center"/>
        <w:rPr>
          <w:rFonts w:hint="eastAsia" w:ascii="仿宋" w:eastAsia="仿宋"/>
          <w:color w:val="auto"/>
          <w:sz w:val="72"/>
          <w:szCs w:val="72"/>
          <w:highlight w:val="none"/>
        </w:rPr>
      </w:pPr>
    </w:p>
    <w:p w14:paraId="1F9B2CBE">
      <w:pPr>
        <w:spacing w:line="500" w:lineRule="exact"/>
        <w:ind w:right="7"/>
        <w:jc w:val="center"/>
        <w:rPr>
          <w:rFonts w:hint="eastAsia" w:ascii="仿宋" w:eastAsia="仿宋"/>
          <w:color w:val="auto"/>
          <w:sz w:val="36"/>
          <w:szCs w:val="36"/>
          <w:highlight w:val="none"/>
        </w:rPr>
      </w:pPr>
    </w:p>
    <w:p w14:paraId="47151C02">
      <w:pPr>
        <w:spacing w:line="500" w:lineRule="exact"/>
        <w:ind w:right="7"/>
        <w:jc w:val="center"/>
        <w:rPr>
          <w:rFonts w:hint="eastAsia" w:ascii="仿宋" w:eastAsia="仿宋"/>
          <w:color w:val="auto"/>
          <w:sz w:val="36"/>
          <w:szCs w:val="36"/>
          <w:highlight w:val="none"/>
        </w:rPr>
      </w:pPr>
    </w:p>
    <w:p w14:paraId="2CC05765">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50AEEA77">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55C84CB9">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51705960">
      <w:pPr>
        <w:snapToGrid w:val="0"/>
        <w:spacing w:before="156" w:beforeLines="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410DDDE3">
      <w:pPr>
        <w:snapToGrid w:val="0"/>
        <w:spacing w:before="156" w:beforeLines="50" w:after="50"/>
        <w:jc w:val="center"/>
        <w:rPr>
          <w:rFonts w:hint="eastAsia" w:ascii="仿宋" w:eastAsia="仿宋" w:cs="仿宋_GB2312"/>
          <w:color w:val="auto"/>
          <w:sz w:val="30"/>
          <w:szCs w:val="30"/>
          <w:highlight w:val="none"/>
        </w:rPr>
      </w:pPr>
      <w:bookmarkStart w:id="54" w:name="_Toc64369786"/>
      <w:r>
        <w:rPr>
          <w:rFonts w:hint="eastAsia" w:ascii="仿宋" w:eastAsia="仿宋" w:cs="仿宋_GB2312"/>
          <w:color w:val="auto"/>
          <w:sz w:val="30"/>
          <w:szCs w:val="30"/>
          <w:highlight w:val="none"/>
        </w:rPr>
        <w:t>目 录</w:t>
      </w:r>
      <w:bookmarkEnd w:id="54"/>
    </w:p>
    <w:p w14:paraId="431EAF04">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1.投标声明函 …………………………………………………………………（页码）</w:t>
      </w:r>
    </w:p>
    <w:p w14:paraId="72E9EC1D">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sz w:val="24"/>
          <w:szCs w:val="24"/>
          <w:highlight w:val="none"/>
        </w:rPr>
        <w:t>2.联合体协议书（如有）</w:t>
      </w:r>
      <w:r>
        <w:rPr>
          <w:rFonts w:hint="eastAsia" w:ascii="仿宋" w:eastAsia="仿宋" w:cs="仿宋_GB2312"/>
          <w:color w:val="auto"/>
          <w:highlight w:val="none"/>
        </w:rPr>
        <w:t>……………………………………………………（页码）</w:t>
      </w:r>
    </w:p>
    <w:p w14:paraId="49B2EC27">
      <w:pPr>
        <w:pStyle w:val="40"/>
        <w:spacing w:line="360" w:lineRule="auto"/>
        <w:ind w:firstLine="0" w:firstLineChars="0"/>
        <w:jc w:val="left"/>
        <w:rPr>
          <w:rFonts w:hint="eastAsia" w:ascii="仿宋" w:eastAsia="仿宋" w:cs="仿宋_GB2312"/>
          <w:color w:val="auto"/>
          <w:sz w:val="24"/>
          <w:szCs w:val="24"/>
          <w:highlight w:val="none"/>
          <w:lang w:eastAsia="zh-CN"/>
        </w:rPr>
      </w:pPr>
      <w:r>
        <w:rPr>
          <w:rFonts w:hint="eastAsia" w:ascii="仿宋" w:eastAsia="仿宋" w:cs="仿宋_GB2312"/>
          <w:color w:val="auto"/>
          <w:highlight w:val="none"/>
        </w:rPr>
        <w:t>3.</w:t>
      </w:r>
      <w:r>
        <w:rPr>
          <w:rFonts w:hint="eastAsia" w:ascii="仿宋" w:eastAsia="仿宋" w:cs="仿宋_GB2312"/>
          <w:color w:val="auto"/>
          <w:sz w:val="24"/>
          <w:szCs w:val="24"/>
          <w:highlight w:val="none"/>
          <w:lang w:eastAsia="zh-CN"/>
        </w:rPr>
        <w:t>分包意向协议（如有）………………………………………………………（页码）</w:t>
      </w:r>
    </w:p>
    <w:p w14:paraId="504E62CC">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.法定代表人授权委托书……………………………………………………（页码）</w:t>
      </w:r>
    </w:p>
    <w:p w14:paraId="7428B168">
      <w:pPr>
        <w:pStyle w:val="40"/>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5</w:t>
      </w:r>
      <w:r>
        <w:rPr>
          <w:rFonts w:hint="eastAsia" w:ascii="仿宋" w:eastAsia="仿宋" w:cs="仿宋_GB2312"/>
          <w:color w:val="auto"/>
          <w:highlight w:val="none"/>
        </w:rPr>
        <w:t>.法定代表人及其授权代表身份证…………………………………………（页码）</w:t>
      </w:r>
    </w:p>
    <w:p w14:paraId="0381F12A">
      <w:pPr>
        <w:pStyle w:val="40"/>
        <w:spacing w:line="360" w:lineRule="auto"/>
        <w:ind w:firstLine="0" w:firstLineChars="0"/>
        <w:jc w:val="left"/>
        <w:rPr>
          <w:rFonts w:hint="eastAsia" w:ascii="仿宋" w:eastAsia="仿宋" w:cs="仿宋_GB2312"/>
          <w:color w:val="auto"/>
          <w:sz w:val="24"/>
          <w:szCs w:val="24"/>
          <w:highlight w:val="none"/>
        </w:rPr>
      </w:pPr>
      <w:r>
        <w:rPr>
          <w:rFonts w:hint="eastAsia" w:ascii="仿宋" w:eastAsia="仿宋" w:cs="仿宋_GB2312"/>
          <w:color w:val="auto"/>
          <w:sz w:val="24"/>
          <w:szCs w:val="24"/>
          <w:highlight w:val="none"/>
          <w:lang w:val="en-US" w:eastAsia="zh-CN"/>
        </w:rPr>
        <w:t>6</w:t>
      </w:r>
      <w:r>
        <w:rPr>
          <w:rFonts w:hint="eastAsia" w:ascii="仿宋" w:eastAsia="仿宋" w:cs="仿宋_GB2312"/>
          <w:color w:val="auto"/>
          <w:sz w:val="24"/>
          <w:szCs w:val="24"/>
          <w:highlight w:val="none"/>
        </w:rPr>
        <w:t>.资格条件证明材料</w:t>
      </w:r>
    </w:p>
    <w:p w14:paraId="61883D6A">
      <w:pPr>
        <w:pStyle w:val="40"/>
        <w:spacing w:line="360" w:lineRule="auto"/>
        <w:ind w:firstLine="240" w:firstLineChars="100"/>
        <w:jc w:val="left"/>
        <w:rPr>
          <w:rFonts w:hint="eastAsia" w:ascii="仿宋" w:eastAsia="仿宋" w:cs="仿宋_GB2312"/>
          <w:color w:val="auto"/>
          <w:highlight w:val="none"/>
        </w:rPr>
      </w:pPr>
      <w:bookmarkStart w:id="55" w:name="_Toc64369787"/>
      <w:r>
        <w:rPr>
          <w:rFonts w:hint="eastAsia" w:ascii="仿宋" w:eastAsia="仿宋" w:cs="仿宋_GB2312"/>
          <w:color w:val="auto"/>
          <w:highlight w:val="none"/>
          <w:lang w:val="en-US" w:eastAsia="zh-CN"/>
        </w:rPr>
        <w:t>6</w:t>
      </w:r>
      <w:r>
        <w:rPr>
          <w:rFonts w:hint="eastAsia" w:ascii="仿宋" w:eastAsia="仿宋" w:cs="仿宋_GB2312"/>
          <w:color w:val="auto"/>
          <w:highlight w:val="none"/>
        </w:rPr>
        <w:t>.1营业执照(或事业法人登记证书)………………………………………（页码）</w:t>
      </w:r>
      <w:bookmarkEnd w:id="55"/>
    </w:p>
    <w:p w14:paraId="0F21B1D2">
      <w:pPr>
        <w:pStyle w:val="40"/>
        <w:spacing w:line="360" w:lineRule="auto"/>
        <w:ind w:firstLine="240" w:firstLineChars="100"/>
        <w:jc w:val="left"/>
        <w:rPr>
          <w:rFonts w:hint="eastAsia" w:ascii="仿宋" w:eastAsia="仿宋" w:cs="仿宋_GB2312"/>
          <w:color w:val="auto"/>
          <w:highlight w:val="none"/>
        </w:rPr>
      </w:pPr>
      <w:bookmarkStart w:id="56" w:name="_Toc64369788"/>
      <w:r>
        <w:rPr>
          <w:rFonts w:hint="eastAsia" w:ascii="仿宋" w:eastAsia="仿宋" w:cs="仿宋_GB2312"/>
          <w:color w:val="auto"/>
          <w:highlight w:val="none"/>
          <w:lang w:val="en-US" w:eastAsia="zh-CN"/>
        </w:rPr>
        <w:t>6</w:t>
      </w:r>
      <w:r>
        <w:rPr>
          <w:rFonts w:hint="eastAsia" w:ascii="仿宋" w:eastAsia="仿宋" w:cs="仿宋_GB2312"/>
          <w:color w:val="auto"/>
          <w:highlight w:val="none"/>
        </w:rPr>
        <w:t>.</w:t>
      </w:r>
      <w:r>
        <w:rPr>
          <w:rFonts w:ascii="仿宋" w:eastAsia="仿宋" w:cs="仿宋_GB2312"/>
          <w:color w:val="auto"/>
          <w:highlight w:val="none"/>
        </w:rPr>
        <w:t>2</w:t>
      </w:r>
      <w:r>
        <w:rPr>
          <w:rFonts w:hint="eastAsia" w:ascii="仿宋" w:eastAsia="仿宋" w:cs="仿宋_GB2312"/>
          <w:color w:val="auto"/>
          <w:highlight w:val="none"/>
        </w:rPr>
        <w:t>特定资格条件的有关证明材料（如有）………………………………（页码）</w:t>
      </w:r>
      <w:bookmarkEnd w:id="56"/>
    </w:p>
    <w:p w14:paraId="140EAC28">
      <w:pPr>
        <w:spacing w:line="360" w:lineRule="auto"/>
        <w:jc w:val="left"/>
        <w:rPr>
          <w:rFonts w:hint="eastAsia" w:ascii="仿宋" w:eastAsia="仿宋" w:cs="仿宋_GB2312"/>
          <w:b/>
          <w:bCs/>
          <w:color w:val="auto"/>
          <w:sz w:val="24"/>
          <w:highlight w:val="none"/>
        </w:rPr>
      </w:pPr>
    </w:p>
    <w:p w14:paraId="2422FE71">
      <w:pPr>
        <w:spacing w:line="360" w:lineRule="auto"/>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07775E6B">
      <w:pPr>
        <w:pageBreakBefore/>
        <w:widowControl w:val="0"/>
        <w:outlineLvl w:val="1"/>
        <w:rPr>
          <w:rFonts w:hint="eastAsia" w:ascii="仿宋" w:eastAsia="仿宋"/>
          <w:b/>
          <w:color w:val="auto"/>
          <w:sz w:val="28"/>
          <w:szCs w:val="28"/>
          <w:highlight w:val="none"/>
        </w:rPr>
      </w:pPr>
      <w:r>
        <w:rPr>
          <w:rFonts w:hint="eastAsia" w:ascii="仿宋" w:eastAsia="仿宋"/>
          <w:b/>
          <w:color w:val="auto"/>
          <w:sz w:val="28"/>
          <w:szCs w:val="28"/>
          <w:highlight w:val="none"/>
        </w:rPr>
        <w:t>附件3：投标声明函</w:t>
      </w:r>
    </w:p>
    <w:p w14:paraId="7C9824CF">
      <w:pPr>
        <w:pStyle w:val="35"/>
        <w:spacing w:after="50" w:afterLines="0" w:line="440" w:lineRule="exact"/>
        <w:ind w:firstLine="0" w:firstLineChars="0"/>
        <w:rPr>
          <w:rFonts w:hint="eastAsia"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25749606">
      <w:pPr>
        <w:pStyle w:val="35"/>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36CFE422">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058EA7FF">
      <w:pPr>
        <w:pStyle w:val="7"/>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635CB24F">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sz w:val="24"/>
          <w:highlight w:val="none"/>
          <w:lang w:val="zh-CN"/>
        </w:rPr>
        <w:t>我方</w:t>
      </w:r>
      <w:r>
        <w:rPr>
          <w:rFonts w:hint="eastAsia" w:ascii="仿宋" w:eastAsia="仿宋" w:cs="仿宋_GB2312"/>
          <w:b/>
          <w:bCs/>
          <w:color w:val="auto"/>
          <w:sz w:val="24"/>
          <w:highlight w:val="none"/>
        </w:rPr>
        <w:t>声明参加本次政府采购活动前三年内，在经营活动中没有重大违法记录</w:t>
      </w:r>
      <w:r>
        <w:rPr>
          <w:rFonts w:hint="eastAsia" w:ascii="仿宋" w:eastAsia="仿宋" w:cs="仿宋_GB2312"/>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33000763">
      <w:pPr>
        <w:pStyle w:val="35"/>
        <w:spacing w:after="50" w:afterLines="0" w:line="440" w:lineRule="exact"/>
        <w:rPr>
          <w:rFonts w:hint="eastAsia"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CF69FCB">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3E253140">
      <w:pPr>
        <w:pStyle w:val="7"/>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1320C1FC">
      <w:pPr>
        <w:pStyle w:val="35"/>
        <w:spacing w:after="50" w:afterLines="0" w:line="440" w:lineRule="exact"/>
        <w:rPr>
          <w:rFonts w:hint="eastAsia" w:ascii="仿宋" w:eastAsia="仿宋"/>
          <w:color w:val="auto"/>
          <w:szCs w:val="24"/>
          <w:highlight w:val="none"/>
        </w:rPr>
      </w:pPr>
      <w:r>
        <w:rPr>
          <w:rFonts w:hint="eastAsia" w:ascii="仿宋" w:eastAsia="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4726B3A2">
      <w:pPr>
        <w:snapToGrid w:val="0"/>
        <w:spacing w:line="440" w:lineRule="exact"/>
        <w:ind w:firstLine="480" w:firstLineChars="200"/>
        <w:rPr>
          <w:rFonts w:hint="eastAsia"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751A6019">
      <w:pPr>
        <w:pStyle w:val="35"/>
        <w:spacing w:after="50" w:afterLines="0" w:line="440" w:lineRule="exact"/>
        <w:rPr>
          <w:rFonts w:hint="eastAsia" w:ascii="仿宋" w:eastAsia="仿宋"/>
          <w:color w:val="auto"/>
          <w:szCs w:val="24"/>
          <w:highlight w:val="none"/>
        </w:rPr>
      </w:pPr>
    </w:p>
    <w:p w14:paraId="7BCA7767">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法定代表人或其授权代表(签字或签章)：</w:t>
      </w:r>
    </w:p>
    <w:p w14:paraId="2DD65913">
      <w:pPr>
        <w:pStyle w:val="35"/>
        <w:spacing w:after="50" w:afterLines="0" w:line="440" w:lineRule="exact"/>
        <w:rPr>
          <w:rFonts w:hint="eastAsia" w:ascii="仿宋" w:eastAsia="仿宋"/>
          <w:color w:val="auto"/>
          <w:szCs w:val="24"/>
          <w:highlight w:val="none"/>
        </w:rPr>
      </w:pPr>
    </w:p>
    <w:p w14:paraId="02F6A9E4">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 xml:space="preserve">投标人(盖章)：　　　　　　　　　　　　　　　　　　　　日期：     </w:t>
      </w:r>
    </w:p>
    <w:p w14:paraId="28B870D0">
      <w:pPr>
        <w:pStyle w:val="35"/>
        <w:spacing w:after="50" w:afterLines="0" w:line="440" w:lineRule="exact"/>
        <w:rPr>
          <w:rFonts w:hint="eastAsia" w:ascii="仿宋" w:eastAsia="仿宋"/>
          <w:color w:val="auto"/>
          <w:szCs w:val="24"/>
          <w:highlight w:val="none"/>
        </w:rPr>
      </w:pPr>
    </w:p>
    <w:p w14:paraId="44661964">
      <w:pPr>
        <w:pStyle w:val="35"/>
        <w:spacing w:after="50" w:afterLines="0" w:line="440" w:lineRule="exact"/>
        <w:rPr>
          <w:rFonts w:hint="eastAsia" w:ascii="仿宋" w:eastAsia="仿宋"/>
          <w:color w:val="auto"/>
          <w:szCs w:val="24"/>
          <w:highlight w:val="none"/>
        </w:rPr>
      </w:pPr>
    </w:p>
    <w:p w14:paraId="3CC80620">
      <w:pPr>
        <w:pStyle w:val="35"/>
        <w:spacing w:after="50" w:afterLines="0" w:line="440" w:lineRule="exact"/>
        <w:ind w:left="0" w:firstLine="0" w:firstLineChars="0"/>
        <w:outlineLvl w:val="1"/>
        <w:rPr>
          <w:rFonts w:hint="eastAsia" w:ascii="仿宋" w:eastAsia="仿宋"/>
          <w:b/>
          <w:bCs/>
          <w:color w:val="auto"/>
          <w:sz w:val="28"/>
          <w:szCs w:val="28"/>
          <w:highlight w:val="none"/>
        </w:rPr>
      </w:pPr>
      <w:r>
        <w:rPr>
          <w:rFonts w:hint="eastAsia" w:ascii="仿宋" w:eastAsia="仿宋"/>
          <w:b/>
          <w:bCs/>
          <w:color w:val="auto"/>
          <w:sz w:val="28"/>
          <w:szCs w:val="28"/>
          <w:highlight w:val="none"/>
        </w:rPr>
        <w:t>附件4：联合体协议书（如有）</w:t>
      </w:r>
    </w:p>
    <w:p w14:paraId="0E555C31">
      <w:pPr>
        <w:pStyle w:val="9"/>
        <w:overflowPunct w:val="0"/>
        <w:spacing w:line="360" w:lineRule="auto"/>
        <w:ind w:firstLine="0"/>
        <w:jc w:val="center"/>
        <w:rPr>
          <w:rFonts w:hint="eastAsia" w:ascii="仿宋" w:eastAsia="仿宋"/>
          <w:b/>
          <w:color w:val="auto"/>
          <w:spacing w:val="40"/>
          <w:kern w:val="0"/>
          <w:sz w:val="24"/>
          <w:szCs w:val="24"/>
          <w:highlight w:val="none"/>
        </w:rPr>
      </w:pPr>
      <w:r>
        <w:rPr>
          <w:rFonts w:hint="eastAsia" w:ascii="仿宋" w:eastAsia="仿宋"/>
          <w:b/>
          <w:color w:val="auto"/>
          <w:spacing w:val="40"/>
          <w:kern w:val="0"/>
          <w:sz w:val="24"/>
          <w:szCs w:val="24"/>
          <w:highlight w:val="none"/>
        </w:rPr>
        <w:t>联合体协议书</w:t>
      </w:r>
    </w:p>
    <w:p w14:paraId="70FE7C54">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w:t>
      </w:r>
    </w:p>
    <w:p w14:paraId="6D4B6A4C">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w:t>
      </w:r>
    </w:p>
    <w:p w14:paraId="2CE335D4">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（如果有的话，可按甲、乙、丙、丁…序列增加）</w:t>
      </w:r>
    </w:p>
    <w:p w14:paraId="2CAD32B4">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 xml:space="preserve">各方经协商，就响应 </w:t>
      </w:r>
      <w:r>
        <w:rPr>
          <w:rFonts w:hint="eastAsia" w:ascii="仿宋" w:eastAsia="仿宋"/>
          <w:color w:val="auto"/>
          <w:sz w:val="24"/>
          <w:szCs w:val="24"/>
          <w:highlight w:val="none"/>
          <w:u w:val="single"/>
        </w:rPr>
        <w:t xml:space="preserve">  （填写采购代理机构名称）         </w:t>
      </w:r>
      <w:r>
        <w:rPr>
          <w:rFonts w:hint="eastAsia" w:ascii="仿宋" w:eastAsia="仿宋"/>
          <w:color w:val="auto"/>
          <w:sz w:val="24"/>
          <w:szCs w:val="24"/>
          <w:highlight w:val="none"/>
        </w:rPr>
        <w:t>组织实施的</w:t>
      </w:r>
      <w:r>
        <w:rPr>
          <w:rFonts w:hint="eastAsia" w:ascii="仿宋" w:eastAsia="仿宋"/>
          <w:color w:val="auto"/>
          <w:sz w:val="24"/>
          <w:szCs w:val="24"/>
          <w:highlight w:val="none"/>
          <w:u w:val="single"/>
        </w:rPr>
        <w:t xml:space="preserve"> （填写项目名称）  </w:t>
      </w:r>
      <w:r>
        <w:rPr>
          <w:rFonts w:hint="eastAsia" w:ascii="仿宋" w:eastAsia="仿宋"/>
          <w:color w:val="auto"/>
          <w:sz w:val="24"/>
          <w:szCs w:val="24"/>
          <w:highlight w:val="none"/>
        </w:rPr>
        <w:t>项目编号为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的招标活动联合进行投标之事宜，达成如下协议：</w:t>
      </w:r>
    </w:p>
    <w:p w14:paraId="0F056677">
      <w:pPr>
        <w:pStyle w:val="9"/>
        <w:numPr>
          <w:ilvl w:val="0"/>
          <w:numId w:val="7"/>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各方一致决定组成一个联合体，以一个供应商的身份共同参加本项目</w:t>
      </w:r>
      <w:r>
        <w:rPr>
          <w:rFonts w:hint="eastAsia" w:ascii="仿宋" w:eastAsia="仿宋"/>
          <w:color w:val="auto"/>
          <w:sz w:val="24"/>
          <w:szCs w:val="24"/>
          <w:highlight w:val="none"/>
          <w:lang w:eastAsia="zh"/>
        </w:rPr>
        <w:t>采购活动</w:t>
      </w:r>
      <w:r>
        <w:rPr>
          <w:rFonts w:hint="eastAsia" w:ascii="仿宋" w:eastAsia="仿宋"/>
          <w:color w:val="auto"/>
          <w:sz w:val="24"/>
          <w:szCs w:val="24"/>
          <w:highlight w:val="none"/>
        </w:rPr>
        <w:t>。</w:t>
      </w:r>
    </w:p>
    <w:p w14:paraId="7B17CAE5">
      <w:pPr>
        <w:pStyle w:val="9"/>
        <w:numPr>
          <w:ilvl w:val="0"/>
          <w:numId w:val="7"/>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 xml:space="preserve">以 </w:t>
      </w:r>
      <w:r>
        <w:rPr>
          <w:rFonts w:hint="eastAsia" w:ascii="仿宋" w:eastAsia="仿宋"/>
          <w:color w:val="auto"/>
          <w:sz w:val="24"/>
          <w:szCs w:val="24"/>
          <w:highlight w:val="none"/>
          <w:u w:val="single"/>
        </w:rPr>
        <w:t xml:space="preserve">  （填写联合体牵头人名称）  </w:t>
      </w:r>
      <w:r>
        <w:rPr>
          <w:rFonts w:hint="eastAsia" w:ascii="仿宋" w:eastAsia="仿宋"/>
          <w:color w:val="auto"/>
          <w:sz w:val="24"/>
          <w:szCs w:val="24"/>
          <w:highlight w:val="none"/>
        </w:rPr>
        <w:t xml:space="preserve"> 为联合体牵头人，负责包括但不仅限于投标、配合处理质疑投诉等一切和采购活动相关的事宜。</w:t>
      </w:r>
    </w:p>
    <w:p w14:paraId="7806450F">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三、联合体各方对投标响应文件及开标过程中的各种书面承诺、澄清等均予以认可，对联合投标各方均产生约束力。</w:t>
      </w:r>
    </w:p>
    <w:p w14:paraId="11CDF183">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四、如果中标，联合投标各方共同与采购人签订采购合同，共同履行对采购人所负有的全部义务并就采购合同约定的事项对采购人承担连带责任。</w:t>
      </w:r>
    </w:p>
    <w:p w14:paraId="53B715C0">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五、联合体各方不再单独参加或与其他供应商另外组成联合体参加同一标项（项目）的采购活动，否则均被视为无效投标。</w:t>
      </w:r>
    </w:p>
    <w:p w14:paraId="6E339163">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六、如果中标，联合体各方在项目实施过程中承担的</w:t>
      </w:r>
      <w:r>
        <w:rPr>
          <w:rFonts w:hint="eastAsia" w:ascii="仿宋" w:eastAsia="仿宋"/>
          <w:color w:val="auto"/>
          <w:sz w:val="24"/>
          <w:szCs w:val="24"/>
          <w:highlight w:val="none"/>
          <w:lang w:eastAsia="zh-CN"/>
        </w:rPr>
        <w:t>货物和服务</w:t>
      </w:r>
      <w:r>
        <w:rPr>
          <w:rFonts w:hint="eastAsia" w:ascii="仿宋" w:eastAsia="仿宋"/>
          <w:color w:val="auto"/>
          <w:sz w:val="24"/>
          <w:szCs w:val="24"/>
          <w:highlight w:val="none"/>
        </w:rPr>
        <w:t>为：</w:t>
      </w:r>
    </w:p>
    <w:p w14:paraId="3197A548">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578F10D9">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7605E94E">
      <w:pPr>
        <w:pStyle w:val="9"/>
        <w:overflowPunct w:val="0"/>
        <w:spacing w:line="460" w:lineRule="exact"/>
        <w:ind w:firstLine="513" w:firstLineChars="214"/>
        <w:rPr>
          <w:rFonts w:hint="eastAsia" w:ascii="仿宋" w:eastAsia="仿宋" w:cs="仿宋_GB2312"/>
          <w:color w:val="auto"/>
          <w:sz w:val="24"/>
          <w:highlight w:val="none"/>
        </w:rPr>
      </w:pPr>
      <w:r>
        <w:rPr>
          <w:rFonts w:hint="eastAsia" w:ascii="仿宋" w:eastAsia="仿宋"/>
          <w:color w:val="auto"/>
          <w:sz w:val="24"/>
          <w:szCs w:val="24"/>
          <w:highlight w:val="none"/>
        </w:rPr>
        <w:t>七、联合体各方在本项目实施过程中承担的</w:t>
      </w:r>
      <w:r>
        <w:rPr>
          <w:rFonts w:hint="eastAsia" w:ascii="仿宋" w:eastAsia="仿宋" w:cs="仿宋_GB2312"/>
          <w:color w:val="auto"/>
          <w:sz w:val="24"/>
          <w:highlight w:val="none"/>
        </w:rPr>
        <w:t>合同比例分别为：</w:t>
      </w:r>
    </w:p>
    <w:p w14:paraId="2AA25549">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4302A43C">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68A0214B">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八、本协议签约各方各持一份，并作为投标文件的一部分。</w:t>
      </w:r>
    </w:p>
    <w:p w14:paraId="60DBC803">
      <w:pPr>
        <w:pStyle w:val="9"/>
        <w:overflowPunct w:val="0"/>
        <w:spacing w:line="460" w:lineRule="exact"/>
        <w:ind w:firstLine="513" w:firstLineChars="214"/>
        <w:rPr>
          <w:rFonts w:hint="eastAsia" w:ascii="仿宋" w:eastAsia="仿宋"/>
          <w:color w:val="auto"/>
          <w:sz w:val="24"/>
          <w:szCs w:val="24"/>
          <w:highlight w:val="none"/>
        </w:rPr>
      </w:pPr>
    </w:p>
    <w:p w14:paraId="5BC8BB1B">
      <w:pPr>
        <w:pStyle w:val="9"/>
        <w:overflowPunct w:val="0"/>
        <w:spacing w:line="460" w:lineRule="exact"/>
        <w:ind w:firstLine="513" w:firstLineChars="214"/>
        <w:rPr>
          <w:rFonts w:hint="eastAsia" w:ascii="仿宋" w:eastAsia="仿宋"/>
          <w:color w:val="auto"/>
          <w:sz w:val="24"/>
          <w:szCs w:val="24"/>
          <w:highlight w:val="none"/>
        </w:rPr>
      </w:pPr>
    </w:p>
    <w:tbl>
      <w:tblPr>
        <w:tblStyle w:val="2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A780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5271B3F6">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甲方单位：       （公章）</w:t>
            </w:r>
          </w:p>
          <w:p w14:paraId="041061C7">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59374B7B">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c>
          <w:tcPr>
            <w:tcW w:w="4264" w:type="dxa"/>
            <w:tcBorders>
              <w:top w:val="nil"/>
              <w:left w:val="nil"/>
              <w:bottom w:val="nil"/>
              <w:right w:val="nil"/>
            </w:tcBorders>
            <w:noWrap/>
          </w:tcPr>
          <w:p w14:paraId="1ABD6329">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乙方单位：       （公章）</w:t>
            </w:r>
          </w:p>
          <w:p w14:paraId="64E919B8">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61C7CCCF">
            <w:pPr>
              <w:pStyle w:val="9"/>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r>
    </w:tbl>
    <w:p w14:paraId="1606BE80">
      <w:pPr>
        <w:pStyle w:val="35"/>
        <w:snapToGrid w:val="0"/>
        <w:spacing w:after="50" w:afterLines="0" w:line="440" w:lineRule="exact"/>
        <w:ind w:firstLine="0" w:firstLineChars="0"/>
        <w:outlineLvl w:val="1"/>
        <w:rPr>
          <w:rFonts w:hint="eastAsia" w:ascii="仿宋" w:hAnsi="Calibri" w:eastAsia="仿宋"/>
          <w:b/>
          <w:bCs/>
          <w:color w:val="auto"/>
          <w:sz w:val="28"/>
          <w:szCs w:val="28"/>
          <w:highlight w:val="none"/>
        </w:rPr>
      </w:pPr>
      <w:r>
        <w:rPr>
          <w:rFonts w:hint="eastAsia" w:ascii="仿宋" w:hAnsi="Calibri" w:eastAsia="仿宋"/>
          <w:b/>
          <w:bCs/>
          <w:color w:val="auto"/>
          <w:sz w:val="28"/>
          <w:szCs w:val="28"/>
          <w:highlight w:val="none"/>
        </w:rPr>
        <w:t>附件</w:t>
      </w:r>
      <w:r>
        <w:rPr>
          <w:rFonts w:hint="eastAsia" w:ascii="仿宋" w:eastAsia="仿宋"/>
          <w:b/>
          <w:bCs/>
          <w:color w:val="auto"/>
          <w:sz w:val="28"/>
          <w:szCs w:val="28"/>
          <w:highlight w:val="none"/>
          <w:lang w:eastAsia="zh-CN"/>
        </w:rPr>
        <w:t>5</w:t>
      </w:r>
      <w:r>
        <w:rPr>
          <w:rFonts w:hint="eastAsia" w:ascii="仿宋" w:hAnsi="Calibri" w:eastAsia="仿宋"/>
          <w:b/>
          <w:bCs/>
          <w:color w:val="auto"/>
          <w:sz w:val="28"/>
          <w:szCs w:val="28"/>
          <w:highlight w:val="none"/>
        </w:rPr>
        <w:t>：</w:t>
      </w:r>
      <w:r>
        <w:rPr>
          <w:rFonts w:hint="eastAsia" w:ascii="仿宋" w:eastAsia="仿宋"/>
          <w:b/>
          <w:bCs/>
          <w:color w:val="auto"/>
          <w:sz w:val="28"/>
          <w:szCs w:val="28"/>
          <w:highlight w:val="none"/>
          <w:lang w:eastAsia="zh-CN"/>
        </w:rPr>
        <w:t>分包意向协议（如有）</w:t>
      </w:r>
    </w:p>
    <w:p w14:paraId="183C718F">
      <w:pPr>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分包意向协议</w:t>
      </w:r>
    </w:p>
    <w:p w14:paraId="33665EE6">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若成为</w:t>
      </w:r>
      <w:r>
        <w:rPr>
          <w:rFonts w:hint="eastAsia" w:ascii="仿宋" w:hAnsi="Calibri" w:eastAsia="仿宋"/>
          <w:color w:val="auto"/>
          <w:sz w:val="24"/>
          <w:szCs w:val="24"/>
          <w:highlight w:val="none"/>
          <w:u w:val="single"/>
        </w:rPr>
        <w:t>（项目名称     ）(</w:t>
      </w:r>
      <w:r>
        <w:rPr>
          <w:rFonts w:hint="eastAsia" w:ascii="仿宋" w:eastAsia="仿宋"/>
          <w:color w:val="auto"/>
          <w:sz w:val="24"/>
          <w:szCs w:val="24"/>
          <w:highlight w:val="none"/>
          <w:u w:val="single"/>
          <w:lang w:eastAsia="zh-CN"/>
        </w:rPr>
        <w:t>项目</w:t>
      </w:r>
      <w:r>
        <w:rPr>
          <w:rFonts w:hint="eastAsia" w:ascii="仿宋" w:hAnsi="Calibri" w:eastAsia="仿宋"/>
          <w:color w:val="auto"/>
          <w:sz w:val="24"/>
          <w:szCs w:val="24"/>
          <w:highlight w:val="none"/>
          <w:u w:val="single"/>
        </w:rPr>
        <w:t>编号：   ）</w:t>
      </w:r>
      <w:r>
        <w:rPr>
          <w:rFonts w:hint="eastAsia" w:ascii="仿宋" w:hAnsi="Calibri" w:eastAsia="仿宋"/>
          <w:color w:val="auto"/>
          <w:sz w:val="24"/>
          <w:szCs w:val="24"/>
          <w:highlight w:val="none"/>
          <w:lang w:val="zh-CN"/>
        </w:rPr>
        <w:t>的中标</w:t>
      </w:r>
      <w:r>
        <w:rPr>
          <w:rFonts w:hint="eastAsia" w:ascii="仿宋" w:eastAsia="仿宋"/>
          <w:color w:val="auto"/>
          <w:sz w:val="24"/>
          <w:szCs w:val="24"/>
          <w:highlight w:val="none"/>
          <w:lang w:val="zh-CN"/>
        </w:rPr>
        <w:t>（成交）</w:t>
      </w:r>
      <w:r>
        <w:rPr>
          <w:rFonts w:hint="eastAsia" w:ascii="仿宋" w:hAnsi="Calibri" w:eastAsia="仿宋"/>
          <w:color w:val="auto"/>
          <w:sz w:val="24"/>
          <w:szCs w:val="24"/>
          <w:highlight w:val="none"/>
          <w:lang w:val="zh-CN"/>
        </w:rPr>
        <w:t>供应商，将依法采取分包方式履行合同。</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与</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达成分包意向协议</w:t>
      </w:r>
      <w:r>
        <w:rPr>
          <w:rFonts w:hint="eastAsia" w:ascii="仿宋" w:hAnsi="Calibri" w:eastAsia="仿宋"/>
          <w:color w:val="auto"/>
          <w:sz w:val="24"/>
          <w:szCs w:val="24"/>
          <w:highlight w:val="none"/>
          <w:lang w:val="zh-CN"/>
        </w:rPr>
        <w:t xml:space="preserve">。 </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负责签署投标文件，</w:t>
      </w:r>
      <w:r>
        <w:rPr>
          <w:rFonts w:hint="eastAsia" w:ascii="仿宋" w:eastAsia="仿宋"/>
          <w:color w:val="auto"/>
          <w:sz w:val="24"/>
          <w:szCs w:val="24"/>
          <w:highlight w:val="none"/>
          <w:lang w:eastAsia="zh-CN"/>
        </w:rPr>
        <w:t>其</w:t>
      </w:r>
      <w:r>
        <w:rPr>
          <w:rFonts w:hint="eastAsia" w:ascii="仿宋" w:hAnsi="Calibri" w:eastAsia="仿宋"/>
          <w:color w:val="auto"/>
          <w:sz w:val="24"/>
          <w:szCs w:val="24"/>
          <w:highlight w:val="none"/>
        </w:rPr>
        <w:t>所有承诺均认为代表了</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意愿。</w:t>
      </w:r>
    </w:p>
    <w:p w14:paraId="6E89C24B">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一、分包内容在采购文件分包要求的范围内，并符合相关法律规定等</w:t>
      </w:r>
    </w:p>
    <w:p w14:paraId="4C8CABDB">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二、分包标的</w:t>
      </w:r>
      <w:r>
        <w:rPr>
          <w:rFonts w:hint="eastAsia" w:ascii="仿宋" w:eastAsia="仿宋"/>
          <w:color w:val="auto"/>
          <w:sz w:val="24"/>
          <w:szCs w:val="24"/>
          <w:highlight w:val="none"/>
          <w:lang w:val="zh-CN"/>
        </w:rPr>
        <w:t>及合同占比</w:t>
      </w:r>
    </w:p>
    <w:p w14:paraId="56F6AA63">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1</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41D4CE86">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 xml:space="preserve"> </w:t>
      </w: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2</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4A881307">
      <w:pPr>
        <w:pStyle w:val="9"/>
        <w:overflowPunct w:val="0"/>
        <w:spacing w:line="460" w:lineRule="exact"/>
        <w:ind w:left="479" w:leftChars="228" w:firstLine="31" w:firstLineChars="13"/>
        <w:jc w:val="left"/>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 xml:space="preserve">   </w:t>
      </w:r>
    </w:p>
    <w:p w14:paraId="21C8CAA7">
      <w:pPr>
        <w:pStyle w:val="9"/>
        <w:overflowPunct w:val="0"/>
        <w:spacing w:line="460" w:lineRule="exact"/>
        <w:ind w:left="479" w:leftChars="228" w:firstLine="31" w:firstLineChars="13"/>
        <w:jc w:val="left"/>
        <w:rPr>
          <w:rFonts w:hint="eastAsia" w:ascii="仿宋" w:hAnsi="Calibri" w:eastAsia="仿宋"/>
          <w:color w:val="auto"/>
          <w:sz w:val="24"/>
          <w:szCs w:val="24"/>
          <w:highlight w:val="none"/>
          <w:lang w:eastAsia="zh-CN"/>
        </w:rPr>
      </w:pPr>
      <w:r>
        <w:rPr>
          <w:rFonts w:hint="eastAsia" w:ascii="仿宋" w:eastAsia="仿宋"/>
          <w:color w:val="auto"/>
          <w:sz w:val="24"/>
          <w:szCs w:val="24"/>
          <w:highlight w:val="none"/>
          <w:lang w:eastAsia="zh-CN"/>
        </w:rPr>
        <w:t>以上所有分包合同份额合计占到合同总金额的</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p>
    <w:p w14:paraId="4A1E9E88">
      <w:pPr>
        <w:pStyle w:val="9"/>
        <w:overflowPunct w:val="0"/>
        <w:spacing w:line="460" w:lineRule="exact"/>
        <w:ind w:left="479" w:leftChars="228" w:firstLine="31" w:firstLineChars="13"/>
        <w:jc w:val="left"/>
        <w:rPr>
          <w:rFonts w:hint="eastAsia" w:ascii="仿宋" w:eastAsia="仿宋"/>
          <w:color w:val="auto"/>
          <w:sz w:val="24"/>
          <w:szCs w:val="24"/>
          <w:highlight w:val="none"/>
          <w:lang w:val="zh-CN"/>
        </w:rPr>
      </w:pPr>
      <w:r>
        <w:rPr>
          <w:rFonts w:hint="eastAsia" w:ascii="仿宋" w:eastAsia="仿宋"/>
          <w:color w:val="auto"/>
          <w:sz w:val="24"/>
          <w:szCs w:val="24"/>
          <w:highlight w:val="none"/>
          <w:lang w:val="zh-CN"/>
        </w:rPr>
        <w:t>三、特别约定</w:t>
      </w:r>
    </w:p>
    <w:p w14:paraId="590FDD70">
      <w:pPr>
        <w:pStyle w:val="9"/>
        <w:numPr>
          <w:ilvl w:val="0"/>
          <w:numId w:val="0"/>
        </w:numPr>
        <w:overflowPunct w:val="0"/>
        <w:spacing w:line="460" w:lineRule="exact"/>
        <w:rPr>
          <w:rFonts w:hint="default" w:ascii="仿宋" w:eastAsia="仿宋"/>
          <w:color w:val="auto"/>
          <w:sz w:val="24"/>
          <w:szCs w:val="24"/>
          <w:highlight w:val="none"/>
          <w:lang w:val="en-US" w:eastAsia="zh-CN"/>
        </w:rPr>
      </w:pPr>
      <w:r>
        <w:rPr>
          <w:rFonts w:hint="eastAsia" w:ascii="仿宋" w:eastAsia="仿宋"/>
          <w:color w:val="auto"/>
          <w:sz w:val="24"/>
          <w:szCs w:val="24"/>
          <w:highlight w:val="none"/>
          <w:lang w:val="en-US" w:eastAsia="zh-CN"/>
        </w:rPr>
        <w:t xml:space="preserve">    本协议为意向协议，正式协议待中标（成交）后签署，正式协议不再对分包标的和合同占比进行调整。</w:t>
      </w:r>
    </w:p>
    <w:p w14:paraId="1845BA0E">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 xml:space="preserve">   </w:t>
      </w:r>
    </w:p>
    <w:p w14:paraId="488FFC0E">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投标</w:t>
      </w:r>
      <w:r>
        <w:rPr>
          <w:rFonts w:hint="eastAsia" w:ascii="仿宋" w:eastAsia="仿宋"/>
          <w:color w:val="auto"/>
          <w:sz w:val="24"/>
          <w:szCs w:val="24"/>
          <w:highlight w:val="none"/>
          <w:lang w:eastAsia="zh-CN"/>
        </w:rPr>
        <w:t>供应商</w:t>
      </w:r>
      <w:r>
        <w:rPr>
          <w:rFonts w:hint="eastAsia" w:ascii="仿宋" w:hAnsi="Calibri" w:eastAsia="仿宋"/>
          <w:color w:val="auto"/>
          <w:sz w:val="24"/>
          <w:szCs w:val="24"/>
          <w:highlight w:val="none"/>
        </w:rPr>
        <w:t>名称</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4270E6C6">
      <w:pPr>
        <w:pStyle w:val="9"/>
        <w:overflowPunct w:val="0"/>
        <w:spacing w:line="460" w:lineRule="exact"/>
        <w:ind w:firstLine="513" w:firstLineChars="214"/>
        <w:rPr>
          <w:rFonts w:hint="eastAsia" w:ascii="仿宋" w:hAnsi="Calibri" w:eastAsia="仿宋"/>
          <w:color w:val="auto"/>
          <w:sz w:val="24"/>
          <w:szCs w:val="24"/>
          <w:highlight w:val="none"/>
          <w:lang w:val="zh-CN"/>
        </w:rPr>
      </w:pPr>
    </w:p>
    <w:p w14:paraId="6200B21F">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1</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0ADA79B9">
      <w:pPr>
        <w:pStyle w:val="9"/>
        <w:overflowPunct w:val="0"/>
        <w:spacing w:line="460" w:lineRule="exact"/>
        <w:ind w:firstLine="513" w:firstLineChars="214"/>
        <w:rPr>
          <w:rFonts w:hint="eastAsia" w:ascii="仿宋" w:hAnsi="Calibri" w:eastAsia="仿宋"/>
          <w:color w:val="auto"/>
          <w:sz w:val="24"/>
          <w:szCs w:val="24"/>
          <w:highlight w:val="none"/>
          <w:lang w:val="zh-CN"/>
        </w:rPr>
      </w:pPr>
    </w:p>
    <w:p w14:paraId="2D96401A">
      <w:pPr>
        <w:pStyle w:val="9"/>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2</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6F6BED51">
      <w:pPr>
        <w:pStyle w:val="9"/>
        <w:overflowPunct w:val="0"/>
        <w:spacing w:line="460" w:lineRule="exact"/>
        <w:ind w:firstLine="513" w:firstLineChars="214"/>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p>
    <w:p w14:paraId="18F6D1AC">
      <w:pPr>
        <w:pStyle w:val="9"/>
        <w:overflowPunct w:val="0"/>
        <w:spacing w:line="460" w:lineRule="exact"/>
        <w:ind w:firstLine="513" w:firstLineChars="214"/>
        <w:rPr>
          <w:rFonts w:hint="eastAsia" w:ascii="仿宋" w:hAnsi="Calibri" w:eastAsia="仿宋"/>
          <w:color w:val="auto"/>
          <w:sz w:val="24"/>
          <w:szCs w:val="24"/>
          <w:highlight w:val="none"/>
          <w:u w:val="none"/>
          <w:lang w:val="zh-CN"/>
        </w:rPr>
      </w:pPr>
      <w:r>
        <w:rPr>
          <w:rFonts w:hint="eastAsia" w:ascii="仿宋" w:hAnsi="Calibri" w:eastAsia="仿宋"/>
          <w:color w:val="auto"/>
          <w:sz w:val="24"/>
          <w:szCs w:val="24"/>
          <w:highlight w:val="none"/>
          <w:lang w:val="zh-CN"/>
        </w:rPr>
        <w:t xml:space="preserve">                                 日期：</w:t>
      </w:r>
      <w:r>
        <w:rPr>
          <w:rFonts w:hint="eastAsia" w:ascii="仿宋" w:hAnsi="Calibri" w:eastAsia="仿宋"/>
          <w:color w:val="auto"/>
          <w:sz w:val="24"/>
          <w:szCs w:val="24"/>
          <w:highlight w:val="none"/>
          <w:u w:val="none"/>
          <w:lang w:val="zh-CN"/>
        </w:rPr>
        <w:t xml:space="preserve">  年  月   日</w:t>
      </w:r>
    </w:p>
    <w:p w14:paraId="5A826D73">
      <w:pPr>
        <w:pStyle w:val="9"/>
        <w:overflowPunct w:val="0"/>
        <w:spacing w:line="460" w:lineRule="exact"/>
        <w:ind w:firstLine="513" w:firstLineChars="214"/>
        <w:rPr>
          <w:rFonts w:hint="eastAsia" w:ascii="仿宋" w:hAnsi="Calibri" w:eastAsia="仿宋"/>
          <w:color w:val="auto"/>
          <w:sz w:val="24"/>
          <w:szCs w:val="24"/>
          <w:highlight w:val="none"/>
          <w:u w:val="none"/>
          <w:lang w:val="zh-CN"/>
        </w:rPr>
      </w:pPr>
    </w:p>
    <w:p w14:paraId="11586756">
      <w:pPr>
        <w:pStyle w:val="9"/>
        <w:overflowPunct w:val="0"/>
        <w:spacing w:line="460" w:lineRule="exact"/>
        <w:ind w:firstLine="513" w:firstLineChars="214"/>
        <w:rPr>
          <w:rFonts w:hint="eastAsia" w:ascii="仿宋" w:hAnsi="Calibri" w:eastAsia="仿宋"/>
          <w:color w:val="auto"/>
          <w:sz w:val="24"/>
          <w:szCs w:val="24"/>
          <w:highlight w:val="none"/>
          <w:u w:val="none"/>
          <w:lang w:val="zh-CN"/>
        </w:rPr>
      </w:pPr>
    </w:p>
    <w:p w14:paraId="0B97E18D">
      <w:pPr>
        <w:pStyle w:val="35"/>
        <w:spacing w:after="50" w:afterLines="0" w:line="440" w:lineRule="exact"/>
        <w:ind w:left="0" w:firstLine="0" w:firstLineChars="0"/>
        <w:outlineLvl w:val="1"/>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6</w:t>
      </w:r>
      <w:r>
        <w:rPr>
          <w:rFonts w:hint="eastAsia" w:ascii="仿宋" w:eastAsia="仿宋"/>
          <w:b/>
          <w:bCs/>
          <w:color w:val="auto"/>
          <w:sz w:val="28"/>
          <w:szCs w:val="28"/>
          <w:highlight w:val="none"/>
        </w:rPr>
        <w:t>：法定代表人授权委托书</w:t>
      </w:r>
    </w:p>
    <w:p w14:paraId="5CA9E782">
      <w:pPr>
        <w:snapToGrid w:val="0"/>
        <w:spacing w:before="50" w:after="50"/>
        <w:jc w:val="center"/>
        <w:rPr>
          <w:rFonts w:hint="eastAsia" w:ascii="仿宋" w:eastAsia="仿宋"/>
          <w:b/>
          <w:color w:val="auto"/>
          <w:sz w:val="36"/>
          <w:szCs w:val="36"/>
          <w:highlight w:val="none"/>
        </w:rPr>
      </w:pPr>
    </w:p>
    <w:p w14:paraId="718D8C07">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628669E7">
      <w:pPr>
        <w:snapToGrid w:val="0"/>
        <w:spacing w:before="156" w:beforeLines="50" w:after="50" w:line="460" w:lineRule="exact"/>
        <w:rPr>
          <w:rFonts w:hint="eastAsia"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（填写采购代理机构或采购人名称）</w:t>
      </w:r>
      <w:r>
        <w:rPr>
          <w:rFonts w:hint="eastAsia" w:ascii="仿宋" w:eastAsia="仿宋"/>
          <w:bCs/>
          <w:color w:val="auto"/>
          <w:sz w:val="24"/>
          <w:szCs w:val="24"/>
          <w:highlight w:val="none"/>
        </w:rPr>
        <w:t>：</w:t>
      </w:r>
    </w:p>
    <w:p w14:paraId="5549B2E9">
      <w:pPr>
        <w:snapToGrid w:val="0"/>
        <w:spacing w:before="156" w:beforeLines="50" w:after="50" w:line="460" w:lineRule="exact"/>
        <w:ind w:firstLine="720" w:firstLineChars="300"/>
        <w:rPr>
          <w:rFonts w:hint="eastAsia"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的法定代表人，现授权委托</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44BB3FDE">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3FF01B32">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5B716254">
      <w:pPr>
        <w:snapToGrid w:val="0"/>
        <w:spacing w:before="156" w:beforeLines="50" w:after="50" w:line="460" w:lineRule="exact"/>
        <w:ind w:firstLine="480"/>
        <w:rPr>
          <w:rFonts w:hint="eastAsia" w:ascii="仿宋" w:eastAsia="仿宋"/>
          <w:color w:val="auto"/>
          <w:sz w:val="24"/>
          <w:szCs w:val="24"/>
          <w:highlight w:val="none"/>
        </w:rPr>
      </w:pPr>
    </w:p>
    <w:p w14:paraId="5CCD3AD8">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0B529092">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068E7C27">
      <w:pPr>
        <w:snapToGrid w:val="0"/>
        <w:spacing w:before="156" w:beforeLines="50" w:after="50" w:line="460" w:lineRule="exact"/>
        <w:rPr>
          <w:rFonts w:hint="eastAsia" w:ascii="仿宋" w:eastAsia="仿宋"/>
          <w:color w:val="auto"/>
          <w:sz w:val="24"/>
          <w:szCs w:val="24"/>
          <w:highlight w:val="none"/>
        </w:rPr>
      </w:pPr>
    </w:p>
    <w:p w14:paraId="3D654517">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5CECB52C">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75B9CF70">
      <w:pPr>
        <w:snapToGrid w:val="0"/>
        <w:spacing w:before="156" w:beforeLines="50" w:after="50" w:line="460" w:lineRule="exact"/>
        <w:rPr>
          <w:rFonts w:hint="eastAsia" w:ascii="仿宋" w:eastAsia="仿宋"/>
          <w:color w:val="auto"/>
          <w:sz w:val="24"/>
          <w:szCs w:val="24"/>
          <w:highlight w:val="none"/>
        </w:rPr>
      </w:pPr>
    </w:p>
    <w:p w14:paraId="400BC158">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                                     </w:t>
      </w:r>
    </w:p>
    <w:p w14:paraId="6E3BABD0">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6DBAD821">
      <w:pPr>
        <w:widowControl/>
        <w:jc w:val="left"/>
        <w:rPr>
          <w:rFonts w:hint="eastAsia" w:ascii="仿宋" w:eastAsia="仿宋"/>
          <w:color w:val="auto"/>
          <w:sz w:val="24"/>
          <w:szCs w:val="24"/>
          <w:highlight w:val="none"/>
          <w:u w:val="single"/>
        </w:rPr>
      </w:pPr>
    </w:p>
    <w:p w14:paraId="6E39ED64">
      <w:pPr>
        <w:snapToGrid w:val="0"/>
        <w:spacing w:before="50" w:after="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2A076E38">
      <w:pPr>
        <w:snapToGrid w:val="0"/>
        <w:spacing w:before="50" w:after="50"/>
        <w:ind w:left="1558" w:leftChars="570" w:hanging="361" w:hangingChars="1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u w:val="single"/>
        </w:rPr>
        <w:t>2、联合体投标的，需提供联合体牵头人的法定代表人授权委托书，否则作无效投标处理。</w:t>
      </w:r>
    </w:p>
    <w:p w14:paraId="7F436874">
      <w:pPr>
        <w:snapToGrid w:val="0"/>
        <w:spacing w:before="50" w:after="50"/>
        <w:jc w:val="left"/>
        <w:rPr>
          <w:rFonts w:ascii="仿宋" w:eastAsia="仿宋"/>
          <w:b/>
          <w:color w:val="auto"/>
          <w:sz w:val="36"/>
          <w:szCs w:val="36"/>
          <w:highlight w:val="none"/>
        </w:rPr>
      </w:pPr>
    </w:p>
    <w:p w14:paraId="484E21F7">
      <w:pPr>
        <w:snapToGrid w:val="0"/>
        <w:spacing w:before="50" w:after="50"/>
        <w:jc w:val="left"/>
        <w:rPr>
          <w:rFonts w:hint="eastAsia" w:ascii="仿宋" w:eastAsia="仿宋"/>
          <w:b/>
          <w:color w:val="auto"/>
          <w:sz w:val="36"/>
          <w:szCs w:val="36"/>
          <w:highlight w:val="none"/>
        </w:rPr>
      </w:pPr>
    </w:p>
    <w:p w14:paraId="4B2D6BAD">
      <w:pPr>
        <w:pStyle w:val="35"/>
        <w:spacing w:after="50" w:afterLines="0" w:line="440" w:lineRule="exact"/>
        <w:ind w:left="0" w:firstLine="0" w:firstLineChars="0"/>
        <w:outlineLvl w:val="1"/>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7</w:t>
      </w:r>
      <w:r>
        <w:rPr>
          <w:rFonts w:hint="eastAsia" w:ascii="仿宋" w:eastAsia="仿宋"/>
          <w:b/>
          <w:bCs/>
          <w:color w:val="auto"/>
          <w:sz w:val="28"/>
          <w:szCs w:val="28"/>
          <w:highlight w:val="none"/>
        </w:rPr>
        <w:t>：法定代表人及其授权代表身份证</w:t>
      </w:r>
    </w:p>
    <w:p w14:paraId="01A4B056">
      <w:pPr>
        <w:pStyle w:val="35"/>
        <w:spacing w:after="50" w:afterLines="0" w:line="440" w:lineRule="exact"/>
        <w:ind w:left="0" w:firstLine="0" w:firstLineChars="0"/>
        <w:rPr>
          <w:rFonts w:hint="eastAsia" w:ascii="仿宋" w:eastAsia="仿宋"/>
          <w:b/>
          <w:bCs/>
          <w:color w:val="auto"/>
          <w:sz w:val="28"/>
          <w:szCs w:val="28"/>
          <w:highlight w:val="none"/>
        </w:rPr>
      </w:pPr>
    </w:p>
    <w:p w14:paraId="6C3675BC">
      <w:pPr>
        <w:pStyle w:val="35"/>
        <w:spacing w:after="50" w:afterLines="0" w:line="440" w:lineRule="exact"/>
        <w:ind w:left="0" w:firstLine="0" w:firstLineChars="0"/>
        <w:rPr>
          <w:rFonts w:hint="eastAsia" w:ascii="仿宋" w:eastAsia="仿宋"/>
          <w:b/>
          <w:bCs/>
          <w:color w:val="auto"/>
          <w:sz w:val="28"/>
          <w:szCs w:val="28"/>
          <w:highlight w:val="none"/>
        </w:rPr>
      </w:pPr>
    </w:p>
    <w:p w14:paraId="460ED6D2">
      <w:pPr>
        <w:pStyle w:val="35"/>
        <w:spacing w:after="50" w:afterLines="0" w:line="440" w:lineRule="exact"/>
        <w:ind w:left="0" w:firstLine="0" w:firstLineChars="0"/>
        <w:rPr>
          <w:rFonts w:hint="eastAsia" w:ascii="仿宋" w:eastAsia="仿宋"/>
          <w:color w:val="auto"/>
          <w:sz w:val="28"/>
          <w:szCs w:val="28"/>
          <w:highlight w:val="none"/>
        </w:rPr>
      </w:pPr>
      <w:r>
        <w:rPr>
          <w:rFonts w:hint="eastAsia" w:ascii="仿宋" w:eastAsia="仿宋"/>
          <w:color w:val="auto"/>
          <w:sz w:val="28"/>
          <w:szCs w:val="28"/>
          <w:highlight w:val="none"/>
        </w:rPr>
        <w:t>制作说明：</w:t>
      </w:r>
    </w:p>
    <w:p w14:paraId="6E1697A5">
      <w:pPr>
        <w:pStyle w:val="35"/>
        <w:numPr>
          <w:ilvl w:val="0"/>
          <w:numId w:val="8"/>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59180E21">
      <w:pPr>
        <w:pStyle w:val="35"/>
        <w:numPr>
          <w:ilvl w:val="0"/>
          <w:numId w:val="8"/>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483E7F8B">
      <w:pPr>
        <w:pStyle w:val="35"/>
        <w:numPr>
          <w:ilvl w:val="0"/>
          <w:numId w:val="8"/>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7AD09F52">
      <w:pPr>
        <w:pStyle w:val="35"/>
        <w:spacing w:after="50" w:afterLines="0" w:line="440" w:lineRule="exact"/>
        <w:ind w:left="0" w:firstLine="0" w:firstLineChars="0"/>
        <w:rPr>
          <w:rFonts w:hint="eastAsia" w:ascii="仿宋" w:eastAsia="仿宋"/>
          <w:color w:val="auto"/>
          <w:sz w:val="28"/>
          <w:szCs w:val="28"/>
          <w:highlight w:val="none"/>
        </w:rPr>
      </w:pPr>
    </w:p>
    <w:p w14:paraId="2540EF69">
      <w:pPr>
        <w:pStyle w:val="35"/>
        <w:spacing w:after="50" w:afterLines="0" w:line="440" w:lineRule="exact"/>
        <w:ind w:left="0" w:firstLine="0" w:firstLineChars="0"/>
        <w:rPr>
          <w:rFonts w:hint="eastAsia" w:ascii="仿宋" w:eastAsia="仿宋"/>
          <w:color w:val="auto"/>
          <w:sz w:val="28"/>
          <w:szCs w:val="28"/>
          <w:highlight w:val="none"/>
        </w:rPr>
      </w:pPr>
    </w:p>
    <w:p w14:paraId="49A754BD">
      <w:pPr>
        <w:pStyle w:val="35"/>
        <w:spacing w:after="50" w:afterLines="0" w:line="440" w:lineRule="exact"/>
        <w:ind w:left="0" w:firstLine="0" w:firstLineChars="0"/>
        <w:rPr>
          <w:rFonts w:hint="eastAsia" w:ascii="仿宋" w:eastAsia="仿宋"/>
          <w:color w:val="auto"/>
          <w:sz w:val="28"/>
          <w:szCs w:val="28"/>
          <w:highlight w:val="none"/>
        </w:rPr>
      </w:pPr>
    </w:p>
    <w:p w14:paraId="5ABB1AF9">
      <w:pPr>
        <w:pStyle w:val="35"/>
        <w:spacing w:after="50" w:afterLines="0" w:line="440" w:lineRule="exact"/>
        <w:ind w:left="0" w:firstLine="0" w:firstLineChars="0"/>
        <w:rPr>
          <w:rFonts w:hint="eastAsia" w:ascii="仿宋" w:eastAsia="仿宋"/>
          <w:color w:val="auto"/>
          <w:sz w:val="28"/>
          <w:szCs w:val="28"/>
          <w:highlight w:val="none"/>
        </w:rPr>
      </w:pPr>
    </w:p>
    <w:p w14:paraId="4F0B7A38">
      <w:pPr>
        <w:pStyle w:val="35"/>
        <w:spacing w:after="50" w:afterLines="0" w:line="440" w:lineRule="exact"/>
        <w:ind w:left="0" w:firstLine="0" w:firstLineChars="0"/>
        <w:rPr>
          <w:rFonts w:hint="eastAsia" w:ascii="仿宋" w:eastAsia="仿宋"/>
          <w:color w:val="auto"/>
          <w:sz w:val="28"/>
          <w:szCs w:val="28"/>
          <w:highlight w:val="none"/>
        </w:rPr>
      </w:pPr>
    </w:p>
    <w:p w14:paraId="105DC6AA">
      <w:pPr>
        <w:pStyle w:val="35"/>
        <w:spacing w:after="50" w:afterLines="0" w:line="440" w:lineRule="exact"/>
        <w:ind w:left="0" w:firstLine="0" w:firstLineChars="0"/>
        <w:rPr>
          <w:rFonts w:hint="eastAsia" w:ascii="仿宋" w:eastAsia="仿宋"/>
          <w:color w:val="auto"/>
          <w:sz w:val="28"/>
          <w:szCs w:val="28"/>
          <w:highlight w:val="none"/>
        </w:rPr>
      </w:pPr>
    </w:p>
    <w:p w14:paraId="19D501EF">
      <w:pPr>
        <w:pStyle w:val="35"/>
        <w:spacing w:after="50" w:afterLines="0" w:line="440" w:lineRule="exact"/>
        <w:ind w:left="0" w:firstLine="0" w:firstLineChars="0"/>
        <w:rPr>
          <w:rFonts w:hint="eastAsia" w:ascii="仿宋" w:eastAsia="仿宋"/>
          <w:color w:val="auto"/>
          <w:sz w:val="28"/>
          <w:szCs w:val="28"/>
          <w:highlight w:val="none"/>
        </w:rPr>
      </w:pPr>
    </w:p>
    <w:p w14:paraId="6C1EC201">
      <w:pPr>
        <w:pStyle w:val="35"/>
        <w:spacing w:after="50" w:afterLines="0" w:line="440" w:lineRule="exact"/>
        <w:ind w:left="0" w:firstLine="0" w:firstLineChars="0"/>
        <w:rPr>
          <w:rFonts w:hint="eastAsia" w:ascii="仿宋" w:eastAsia="仿宋"/>
          <w:color w:val="auto"/>
          <w:sz w:val="28"/>
          <w:szCs w:val="28"/>
          <w:highlight w:val="none"/>
        </w:rPr>
      </w:pPr>
    </w:p>
    <w:p w14:paraId="057F6E34">
      <w:pPr>
        <w:pStyle w:val="35"/>
        <w:spacing w:after="50" w:afterLines="0" w:line="440" w:lineRule="exact"/>
        <w:ind w:left="0" w:firstLine="0" w:firstLineChars="0"/>
        <w:rPr>
          <w:rFonts w:hint="eastAsia" w:ascii="仿宋" w:eastAsia="仿宋"/>
          <w:color w:val="auto"/>
          <w:sz w:val="28"/>
          <w:szCs w:val="28"/>
          <w:highlight w:val="none"/>
        </w:rPr>
      </w:pPr>
    </w:p>
    <w:p w14:paraId="5D07BD5E">
      <w:pPr>
        <w:pStyle w:val="35"/>
        <w:spacing w:after="50" w:afterLines="0" w:line="440" w:lineRule="exact"/>
        <w:ind w:left="0" w:firstLine="0" w:firstLineChars="0"/>
        <w:rPr>
          <w:rFonts w:hint="eastAsia" w:ascii="仿宋" w:eastAsia="仿宋"/>
          <w:color w:val="auto"/>
          <w:sz w:val="28"/>
          <w:szCs w:val="28"/>
          <w:highlight w:val="none"/>
        </w:rPr>
      </w:pPr>
    </w:p>
    <w:p w14:paraId="4644DABD">
      <w:pPr>
        <w:pStyle w:val="35"/>
        <w:spacing w:after="50" w:afterLines="0" w:line="440" w:lineRule="exact"/>
        <w:ind w:left="0" w:firstLine="0" w:firstLineChars="0"/>
        <w:rPr>
          <w:rFonts w:hint="eastAsia" w:ascii="仿宋" w:eastAsia="仿宋"/>
          <w:color w:val="auto"/>
          <w:sz w:val="28"/>
          <w:szCs w:val="28"/>
          <w:highlight w:val="none"/>
        </w:rPr>
      </w:pPr>
    </w:p>
    <w:p w14:paraId="0FA6105E">
      <w:pPr>
        <w:pStyle w:val="35"/>
        <w:spacing w:after="50" w:afterLines="0" w:line="440" w:lineRule="exact"/>
        <w:ind w:left="0" w:firstLine="0" w:firstLineChars="0"/>
        <w:rPr>
          <w:rFonts w:hint="eastAsia" w:ascii="仿宋" w:eastAsia="仿宋"/>
          <w:color w:val="auto"/>
          <w:sz w:val="28"/>
          <w:szCs w:val="28"/>
          <w:highlight w:val="none"/>
        </w:rPr>
      </w:pPr>
    </w:p>
    <w:p w14:paraId="2964DFA4">
      <w:pPr>
        <w:pStyle w:val="35"/>
        <w:spacing w:after="50" w:afterLines="0" w:line="440" w:lineRule="exact"/>
        <w:ind w:left="0" w:firstLine="0" w:firstLineChars="0"/>
        <w:rPr>
          <w:rFonts w:hint="eastAsia" w:ascii="仿宋" w:eastAsia="仿宋"/>
          <w:color w:val="auto"/>
          <w:sz w:val="28"/>
          <w:szCs w:val="28"/>
          <w:highlight w:val="none"/>
        </w:rPr>
      </w:pPr>
    </w:p>
    <w:p w14:paraId="23BB55C4">
      <w:pPr>
        <w:pStyle w:val="35"/>
        <w:spacing w:after="50" w:afterLines="0" w:line="440" w:lineRule="exact"/>
        <w:ind w:left="0" w:firstLine="0" w:firstLineChars="0"/>
        <w:rPr>
          <w:rFonts w:hint="eastAsia" w:ascii="仿宋" w:eastAsia="仿宋"/>
          <w:color w:val="auto"/>
          <w:sz w:val="28"/>
          <w:szCs w:val="28"/>
          <w:highlight w:val="none"/>
        </w:rPr>
      </w:pPr>
    </w:p>
    <w:p w14:paraId="655BD495">
      <w:pPr>
        <w:pStyle w:val="35"/>
        <w:spacing w:after="50" w:afterLines="0" w:line="440" w:lineRule="exact"/>
        <w:ind w:left="0" w:firstLine="0" w:firstLineChars="0"/>
        <w:rPr>
          <w:rFonts w:hint="eastAsia" w:ascii="仿宋" w:eastAsia="仿宋"/>
          <w:color w:val="auto"/>
          <w:sz w:val="28"/>
          <w:szCs w:val="28"/>
          <w:highlight w:val="none"/>
        </w:rPr>
      </w:pPr>
    </w:p>
    <w:p w14:paraId="32F3CD66">
      <w:pPr>
        <w:pStyle w:val="35"/>
        <w:spacing w:after="50" w:afterLines="0" w:line="440" w:lineRule="exact"/>
        <w:ind w:left="0" w:firstLine="0" w:firstLineChars="0"/>
        <w:rPr>
          <w:rFonts w:hint="eastAsia" w:ascii="仿宋" w:eastAsia="仿宋"/>
          <w:color w:val="auto"/>
          <w:sz w:val="28"/>
          <w:szCs w:val="28"/>
          <w:highlight w:val="none"/>
        </w:rPr>
      </w:pPr>
    </w:p>
    <w:p w14:paraId="160EFFAC">
      <w:pPr>
        <w:pStyle w:val="35"/>
        <w:spacing w:after="50" w:afterLines="0" w:line="440" w:lineRule="exact"/>
        <w:ind w:left="0" w:firstLine="0" w:firstLineChars="0"/>
        <w:rPr>
          <w:rFonts w:hint="eastAsia" w:ascii="仿宋" w:eastAsia="仿宋"/>
          <w:color w:val="auto"/>
          <w:sz w:val="28"/>
          <w:szCs w:val="28"/>
          <w:highlight w:val="none"/>
        </w:rPr>
      </w:pPr>
    </w:p>
    <w:p w14:paraId="7A035C58">
      <w:pPr>
        <w:pStyle w:val="35"/>
        <w:spacing w:after="50" w:afterLines="0" w:line="440" w:lineRule="exact"/>
        <w:ind w:left="0" w:firstLine="0" w:firstLineChars="0"/>
        <w:rPr>
          <w:rFonts w:ascii="仿宋" w:eastAsia="仿宋"/>
          <w:color w:val="auto"/>
          <w:sz w:val="28"/>
          <w:szCs w:val="28"/>
          <w:highlight w:val="none"/>
        </w:rPr>
      </w:pPr>
    </w:p>
    <w:p w14:paraId="17721414">
      <w:pPr>
        <w:pStyle w:val="35"/>
        <w:spacing w:after="50" w:afterLines="0" w:line="440" w:lineRule="exact"/>
        <w:ind w:left="0" w:firstLine="0" w:firstLineChars="0"/>
        <w:rPr>
          <w:rFonts w:hint="eastAsia" w:ascii="仿宋" w:eastAsia="仿宋"/>
          <w:color w:val="auto"/>
          <w:sz w:val="28"/>
          <w:szCs w:val="28"/>
          <w:highlight w:val="none"/>
        </w:rPr>
      </w:pPr>
    </w:p>
    <w:p w14:paraId="6BBA5B28">
      <w:pPr>
        <w:snapToGrid w:val="0"/>
        <w:spacing w:before="156" w:beforeLines="50" w:after="50"/>
        <w:jc w:val="left"/>
        <w:outlineLvl w:val="1"/>
        <w:rPr>
          <w:rFonts w:hint="eastAsia" w:ascii="仿宋" w:eastAsia="仿宋"/>
          <w:b/>
          <w:color w:val="auto"/>
          <w:sz w:val="30"/>
          <w:szCs w:val="30"/>
          <w:highlight w:val="none"/>
        </w:rPr>
      </w:pPr>
      <w:r>
        <w:rPr>
          <w:rFonts w:hint="eastAsia" w:ascii="仿宋" w:eastAsia="仿宋"/>
          <w:color w:val="auto"/>
          <w:sz w:val="30"/>
          <w:szCs w:val="30"/>
          <w:highlight w:val="none"/>
        </w:rPr>
        <w:br w:type="page"/>
      </w: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8</w:t>
      </w:r>
      <w:r>
        <w:rPr>
          <w:rFonts w:hint="eastAsia" w:ascii="仿宋" w:eastAsia="仿宋"/>
          <w:b/>
          <w:color w:val="auto"/>
          <w:sz w:val="30"/>
          <w:szCs w:val="30"/>
          <w:highlight w:val="none"/>
        </w:rPr>
        <w:t>：商务和技术文件封面</w:t>
      </w:r>
    </w:p>
    <w:p w14:paraId="7CC99F50">
      <w:pPr>
        <w:snapToGrid w:val="0"/>
        <w:spacing w:before="156" w:beforeLines="50" w:after="50"/>
        <w:jc w:val="right"/>
        <w:rPr>
          <w:rFonts w:hint="eastAsia" w:ascii="仿宋" w:eastAsia="仿宋"/>
          <w:b/>
          <w:color w:val="auto"/>
          <w:sz w:val="30"/>
          <w:szCs w:val="30"/>
          <w:highlight w:val="none"/>
        </w:rPr>
      </w:pPr>
    </w:p>
    <w:p w14:paraId="0B63F95F">
      <w:pPr>
        <w:snapToGrid w:val="0"/>
        <w:spacing w:before="156" w:beforeLines="50" w:after="50"/>
        <w:jc w:val="right"/>
        <w:rPr>
          <w:rFonts w:hint="eastAsia" w:ascii="仿宋" w:eastAsia="仿宋"/>
          <w:bCs/>
          <w:color w:val="auto"/>
          <w:sz w:val="30"/>
          <w:szCs w:val="30"/>
          <w:highlight w:val="none"/>
        </w:rPr>
      </w:pPr>
    </w:p>
    <w:p w14:paraId="5D057C4F">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41E1D9F1">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p>
    <w:p w14:paraId="22777CB0">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p>
    <w:p w14:paraId="1D3339D8">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商</w:t>
      </w:r>
    </w:p>
    <w:p w14:paraId="3BB5CCDE">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务</w:t>
      </w:r>
    </w:p>
    <w:p w14:paraId="030639A0">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和</w:t>
      </w:r>
    </w:p>
    <w:p w14:paraId="5B35DF23">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技</w:t>
      </w:r>
    </w:p>
    <w:p w14:paraId="257325C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术</w:t>
      </w:r>
    </w:p>
    <w:p w14:paraId="2442ECE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1C348C3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2DD3A6F9">
      <w:pPr>
        <w:spacing w:line="500" w:lineRule="exact"/>
        <w:ind w:right="7"/>
        <w:jc w:val="center"/>
        <w:rPr>
          <w:rFonts w:hint="eastAsia" w:ascii="仿宋" w:eastAsia="仿宋"/>
          <w:color w:val="auto"/>
          <w:sz w:val="36"/>
          <w:szCs w:val="36"/>
          <w:highlight w:val="none"/>
        </w:rPr>
      </w:pPr>
    </w:p>
    <w:p w14:paraId="0491ECE7">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1B094420">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2548180C">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2D1AFF42">
      <w:pPr>
        <w:snapToGrid w:val="0"/>
        <w:spacing w:before="156" w:beforeLines="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：商务和技术文件目录</w:t>
      </w:r>
    </w:p>
    <w:p w14:paraId="2E89E14A">
      <w:pPr>
        <w:snapToGrid w:val="0"/>
        <w:spacing w:before="156" w:beforeLines="50" w:after="50"/>
        <w:jc w:val="center"/>
        <w:rPr>
          <w:rFonts w:hint="eastAsia"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244AE257">
      <w:pPr>
        <w:pStyle w:val="40"/>
        <w:spacing w:line="360" w:lineRule="auto"/>
        <w:ind w:firstLine="0" w:firstLineChars="0"/>
        <w:jc w:val="left"/>
        <w:rPr>
          <w:rFonts w:hint="eastAsia" w:ascii="仿宋" w:eastAsia="仿宋" w:cs="仿宋_GB2312"/>
          <w:color w:val="auto"/>
          <w:highlight w:val="none"/>
        </w:rPr>
      </w:pPr>
      <w:bookmarkStart w:id="57"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7"/>
    </w:p>
    <w:p w14:paraId="5DB785F6">
      <w:pPr>
        <w:pStyle w:val="40"/>
        <w:spacing w:line="360" w:lineRule="auto"/>
        <w:ind w:firstLine="0" w:firstLineChars="0"/>
        <w:jc w:val="left"/>
        <w:rPr>
          <w:rFonts w:hint="eastAsia" w:ascii="仿宋" w:eastAsia="仿宋" w:cs="仿宋_GB2312"/>
          <w:color w:val="auto"/>
          <w:highlight w:val="none"/>
        </w:rPr>
      </w:pPr>
      <w:bookmarkStart w:id="58" w:name="_Toc64369790"/>
      <w:r>
        <w:rPr>
          <w:rFonts w:hint="eastAsia" w:ascii="仿宋" w:eastAsia="仿宋" w:cs="仿宋_GB2312"/>
          <w:color w:val="auto"/>
          <w:highlight w:val="none"/>
        </w:rPr>
        <w:t>2.技术响应表…………………………………………………………………（页码）</w:t>
      </w:r>
      <w:bookmarkEnd w:id="58"/>
    </w:p>
    <w:p w14:paraId="0BF93E1B">
      <w:pPr>
        <w:pStyle w:val="40"/>
        <w:spacing w:line="360" w:lineRule="auto"/>
        <w:ind w:firstLine="0" w:firstLineChars="0"/>
        <w:jc w:val="left"/>
        <w:rPr>
          <w:rFonts w:hint="eastAsia" w:ascii="仿宋" w:eastAsia="仿宋" w:cs="仿宋_GB2312"/>
          <w:color w:val="auto"/>
          <w:highlight w:val="none"/>
        </w:rPr>
      </w:pPr>
      <w:bookmarkStart w:id="59" w:name="_Toc64369791"/>
      <w:r>
        <w:rPr>
          <w:rFonts w:hint="eastAsia" w:ascii="仿宋" w:eastAsia="仿宋" w:cs="仿宋_GB2312"/>
          <w:color w:val="auto"/>
          <w:highlight w:val="none"/>
        </w:rPr>
        <w:t>3.商务响应表…………………………………………………………………（页码）</w:t>
      </w:r>
      <w:bookmarkEnd w:id="59"/>
    </w:p>
    <w:p w14:paraId="17468DF1">
      <w:pPr>
        <w:pStyle w:val="40"/>
        <w:spacing w:line="360" w:lineRule="auto"/>
        <w:ind w:firstLine="0" w:firstLineChars="0"/>
        <w:jc w:val="left"/>
        <w:rPr>
          <w:rFonts w:hint="eastAsia" w:ascii="仿宋" w:eastAsia="仿宋" w:cs="仿宋_GB2312"/>
          <w:color w:val="auto"/>
          <w:highlight w:val="none"/>
        </w:rPr>
      </w:pPr>
      <w:bookmarkStart w:id="60"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0"/>
    </w:p>
    <w:p w14:paraId="3B640C7A">
      <w:pPr>
        <w:pStyle w:val="40"/>
        <w:spacing w:line="360" w:lineRule="auto"/>
        <w:ind w:firstLine="0" w:firstLineChars="0"/>
        <w:jc w:val="left"/>
        <w:rPr>
          <w:rFonts w:hint="eastAsia" w:ascii="仿宋" w:eastAsia="仿宋" w:cs="仿宋_GB2312"/>
          <w:color w:val="auto"/>
          <w:highlight w:val="none"/>
        </w:rPr>
      </w:pPr>
      <w:bookmarkStart w:id="61"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1"/>
    </w:p>
    <w:p w14:paraId="39E793F8">
      <w:pPr>
        <w:pStyle w:val="40"/>
        <w:spacing w:line="360" w:lineRule="auto"/>
        <w:ind w:firstLine="0" w:firstLineChars="0"/>
        <w:jc w:val="left"/>
        <w:rPr>
          <w:rFonts w:hint="eastAsia" w:ascii="仿宋" w:eastAsia="仿宋" w:cs="仿宋_GB2312"/>
          <w:color w:val="auto"/>
          <w:highlight w:val="none"/>
        </w:rPr>
      </w:pPr>
      <w:bookmarkStart w:id="62" w:name="_Toc64369794"/>
      <w:r>
        <w:rPr>
          <w:rFonts w:hint="eastAsia" w:ascii="仿宋" w:eastAsia="仿宋" w:cs="仿宋_GB2312"/>
          <w:color w:val="auto"/>
          <w:highlight w:val="none"/>
          <w:lang w:val="zh-CN"/>
        </w:rPr>
        <w:t>6.</w:t>
      </w:r>
      <w:bookmarkEnd w:id="62"/>
      <w:bookmarkStart w:id="63" w:name="_Toc64369795"/>
      <w:r>
        <w:rPr>
          <w:rFonts w:hint="eastAsia" w:ascii="仿宋" w:eastAsia="仿宋" w:cs="仿宋_GB2312"/>
          <w:color w:val="auto"/>
          <w:highlight w:val="none"/>
          <w:lang w:val="zh-CN"/>
        </w:rPr>
        <w:t>消耗品、维修零配件及其价格清单（</w:t>
      </w:r>
      <w:r>
        <w:rPr>
          <w:rFonts w:hint="eastAsia" w:ascii="仿宋" w:eastAsia="仿宋" w:cs="仿宋_GB2312"/>
          <w:color w:val="auto"/>
          <w:highlight w:val="none"/>
          <w:lang w:val="en-US" w:eastAsia="zh-CN"/>
        </w:rPr>
        <w:t>如有</w:t>
      </w:r>
      <w:r>
        <w:rPr>
          <w:rFonts w:hint="eastAsia" w:ascii="仿宋" w:eastAsia="仿宋" w:cs="仿宋_GB2312"/>
          <w:color w:val="auto"/>
          <w:highlight w:val="none"/>
          <w:lang w:val="zh-CN"/>
        </w:rPr>
        <w:t>）………………</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3"/>
    </w:p>
    <w:p w14:paraId="173F1D96">
      <w:pPr>
        <w:pStyle w:val="40"/>
        <w:spacing w:line="360" w:lineRule="auto"/>
        <w:ind w:firstLine="0" w:firstLineChars="0"/>
        <w:jc w:val="left"/>
        <w:rPr>
          <w:rFonts w:hint="eastAsia" w:ascii="仿宋" w:eastAsia="仿宋" w:cs="仿宋_GB2312"/>
          <w:color w:val="auto"/>
          <w:highlight w:val="none"/>
        </w:rPr>
      </w:pPr>
      <w:bookmarkStart w:id="64" w:name="_Toc64369796"/>
      <w:r>
        <w:rPr>
          <w:rFonts w:hint="eastAsia" w:ascii="仿宋" w:eastAsia="仿宋" w:cs="仿宋_GB2312"/>
          <w:color w:val="auto"/>
          <w:highlight w:val="none"/>
          <w:lang w:val="en-US" w:eastAsia="zh-CN"/>
        </w:rPr>
        <w:t>7</w:t>
      </w:r>
      <w:r>
        <w:rPr>
          <w:rFonts w:hint="eastAsia" w:ascii="仿宋" w:eastAsia="仿宋" w:cs="仿宋_GB2312"/>
          <w:color w:val="auto"/>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4"/>
    </w:p>
    <w:p w14:paraId="3D3290D8">
      <w:pPr>
        <w:pStyle w:val="40"/>
        <w:spacing w:line="360" w:lineRule="auto"/>
        <w:ind w:firstLine="0" w:firstLineChars="0"/>
        <w:jc w:val="left"/>
        <w:rPr>
          <w:rFonts w:hint="eastAsia" w:ascii="仿宋" w:eastAsia="仿宋" w:cs="仿宋_GB2312"/>
          <w:color w:val="auto"/>
          <w:highlight w:val="none"/>
        </w:rPr>
      </w:pPr>
      <w:bookmarkStart w:id="65" w:name="_Toc64369797"/>
      <w:r>
        <w:rPr>
          <w:rFonts w:hint="eastAsia" w:ascii="仿宋" w:eastAsia="仿宋" w:cs="仿宋_GB2312"/>
          <w:color w:val="auto"/>
          <w:highlight w:val="none"/>
          <w:lang w:val="en-US" w:eastAsia="zh"/>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5"/>
    </w:p>
    <w:p w14:paraId="1F205771">
      <w:pPr>
        <w:pStyle w:val="40"/>
        <w:spacing w:line="360" w:lineRule="auto"/>
        <w:ind w:firstLine="0" w:firstLineChars="0"/>
        <w:jc w:val="left"/>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eastAsia="zh"/>
        </w:rPr>
        <w:t>9</w:t>
      </w:r>
      <w:r>
        <w:rPr>
          <w:rFonts w:hint="eastAsia" w:ascii="仿宋" w:eastAsia="仿宋" w:cs="仿宋_GB2312"/>
          <w:color w:val="auto"/>
          <w:sz w:val="24"/>
          <w:szCs w:val="24"/>
          <w:highlight w:val="none"/>
          <w:lang w:val="zh-CN"/>
        </w:rPr>
        <w:t>.</w:t>
      </w:r>
      <w:r>
        <w:rPr>
          <w:rFonts w:hint="eastAsia" w:ascii="仿宋" w:eastAsia="仿宋" w:cs="仿宋_GB2312"/>
          <w:bCs/>
          <w:color w:val="auto"/>
          <w:sz w:val="24"/>
          <w:szCs w:val="24"/>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4196A8C0">
      <w:pPr>
        <w:pStyle w:val="40"/>
        <w:spacing w:line="360" w:lineRule="auto"/>
        <w:ind w:firstLine="0" w:firstLineChars="0"/>
        <w:jc w:val="left"/>
        <w:rPr>
          <w:rFonts w:hint="eastAsia" w:ascii="仿宋" w:eastAsia="仿宋" w:cs="仿宋_GB2312"/>
          <w:color w:val="auto"/>
          <w:highlight w:val="none"/>
        </w:rPr>
      </w:pPr>
      <w:bookmarkStart w:id="66" w:name="_Toc64369798"/>
      <w:r>
        <w:rPr>
          <w:rFonts w:hint="eastAsia" w:ascii="仿宋" w:eastAsia="仿宋" w:cs="仿宋_GB2312"/>
          <w:color w:val="auto"/>
          <w:highlight w:val="none"/>
          <w:lang w:val="zh-CN"/>
        </w:rPr>
        <w:t>1</w:t>
      </w:r>
      <w:r>
        <w:rPr>
          <w:rFonts w:hint="eastAsia" w:ascii="仿宋" w:eastAsia="仿宋" w:cs="仿宋_GB2312"/>
          <w:color w:val="auto"/>
          <w:highlight w:val="none"/>
          <w:lang w:val="zh-CN" w:eastAsia="zh"/>
        </w:rPr>
        <w:t>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6"/>
    </w:p>
    <w:p w14:paraId="67987D8A">
      <w:pPr>
        <w:pStyle w:val="38"/>
        <w:numPr>
          <w:ilvl w:val="0"/>
          <w:numId w:val="0"/>
        </w:numPr>
        <w:spacing w:line="240" w:lineRule="auto"/>
        <w:ind w:left="0" w:firstLine="0"/>
        <w:rPr>
          <w:rFonts w:hint="eastAsia" w:ascii="仿宋" w:eastAsia="仿宋"/>
          <w:color w:val="auto"/>
          <w:highlight w:val="none"/>
        </w:rPr>
      </w:pPr>
    </w:p>
    <w:p w14:paraId="396F7D20">
      <w:pPr>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w:t>
      </w:r>
      <w:r>
        <w:rPr>
          <w:rFonts w:hint="eastAsia" w:ascii="仿宋" w:eastAsia="仿宋" w:cs="仿宋_GB2312"/>
          <w:color w:val="auto"/>
          <w:sz w:val="24"/>
          <w:szCs w:val="24"/>
          <w:highlight w:val="none"/>
          <w:lang w:val="zh-CN" w:eastAsia="zh"/>
        </w:rPr>
        <w:t>调整</w:t>
      </w:r>
      <w:r>
        <w:rPr>
          <w:rFonts w:hint="eastAsia" w:ascii="仿宋" w:eastAsia="仿宋" w:cs="仿宋_GB2312"/>
          <w:color w:val="auto"/>
          <w:sz w:val="24"/>
          <w:szCs w:val="24"/>
          <w:highlight w:val="none"/>
          <w:lang w:val="zh-CN"/>
        </w:rPr>
        <w:t>，使得内容更加完备。制作加密电子投标文件时做好关联点设置。</w:t>
      </w:r>
    </w:p>
    <w:p w14:paraId="1F0C9CC4">
      <w:pPr>
        <w:rPr>
          <w:rFonts w:hint="eastAsia" w:ascii="仿宋" w:eastAsia="仿宋"/>
          <w:color w:val="auto"/>
          <w:highlight w:val="none"/>
        </w:rPr>
      </w:pPr>
    </w:p>
    <w:p w14:paraId="48E136E7">
      <w:pPr>
        <w:rPr>
          <w:rFonts w:hint="eastAsia" w:ascii="仿宋" w:eastAsia="仿宋"/>
          <w:color w:val="auto"/>
          <w:highlight w:val="none"/>
        </w:rPr>
      </w:pPr>
    </w:p>
    <w:p w14:paraId="651D3F22">
      <w:pPr>
        <w:rPr>
          <w:rFonts w:hint="eastAsia" w:ascii="仿宋" w:eastAsia="仿宋"/>
          <w:color w:val="auto"/>
          <w:highlight w:val="none"/>
        </w:rPr>
      </w:pPr>
    </w:p>
    <w:p w14:paraId="624BD698">
      <w:pPr>
        <w:rPr>
          <w:rFonts w:hint="eastAsia" w:ascii="仿宋" w:eastAsia="仿宋"/>
          <w:color w:val="auto"/>
          <w:highlight w:val="none"/>
        </w:rPr>
      </w:pPr>
    </w:p>
    <w:p w14:paraId="449700F9">
      <w:pPr>
        <w:rPr>
          <w:rFonts w:hint="eastAsia" w:ascii="仿宋" w:eastAsia="仿宋"/>
          <w:color w:val="auto"/>
          <w:highlight w:val="none"/>
        </w:rPr>
      </w:pPr>
    </w:p>
    <w:p w14:paraId="37A56FE0">
      <w:pPr>
        <w:rPr>
          <w:rFonts w:hint="eastAsia" w:ascii="仿宋" w:eastAsia="仿宋"/>
          <w:color w:val="auto"/>
          <w:highlight w:val="none"/>
        </w:rPr>
      </w:pPr>
    </w:p>
    <w:p w14:paraId="0E093420">
      <w:pPr>
        <w:rPr>
          <w:rFonts w:hint="eastAsia" w:ascii="仿宋" w:eastAsia="仿宋"/>
          <w:color w:val="auto"/>
          <w:highlight w:val="none"/>
        </w:rPr>
      </w:pPr>
    </w:p>
    <w:p w14:paraId="2F5F21FA">
      <w:pPr>
        <w:rPr>
          <w:rFonts w:hint="eastAsia" w:ascii="仿宋" w:eastAsia="仿宋"/>
          <w:color w:val="auto"/>
          <w:highlight w:val="none"/>
        </w:rPr>
      </w:pPr>
    </w:p>
    <w:p w14:paraId="1AD1BDB5">
      <w:pPr>
        <w:rPr>
          <w:rFonts w:hint="eastAsia" w:ascii="仿宋" w:eastAsia="仿宋"/>
          <w:color w:val="auto"/>
          <w:highlight w:val="none"/>
        </w:rPr>
      </w:pPr>
    </w:p>
    <w:p w14:paraId="7319AB17">
      <w:pPr>
        <w:rPr>
          <w:rFonts w:hint="eastAsia" w:ascii="仿宋" w:eastAsia="仿宋"/>
          <w:color w:val="auto"/>
          <w:highlight w:val="none"/>
        </w:rPr>
      </w:pPr>
    </w:p>
    <w:p w14:paraId="5BBF286C">
      <w:pPr>
        <w:rPr>
          <w:rFonts w:hint="eastAsia" w:ascii="仿宋" w:eastAsia="仿宋"/>
          <w:color w:val="auto"/>
          <w:highlight w:val="none"/>
        </w:rPr>
      </w:pPr>
    </w:p>
    <w:p w14:paraId="4891210D">
      <w:pPr>
        <w:rPr>
          <w:rFonts w:hint="eastAsia" w:ascii="仿宋" w:eastAsia="仿宋"/>
          <w:color w:val="auto"/>
          <w:highlight w:val="none"/>
        </w:rPr>
      </w:pPr>
    </w:p>
    <w:p w14:paraId="6F3A4FAE">
      <w:pPr>
        <w:rPr>
          <w:rFonts w:hint="eastAsia" w:ascii="仿宋" w:eastAsia="仿宋"/>
          <w:color w:val="auto"/>
          <w:highlight w:val="none"/>
        </w:rPr>
      </w:pPr>
    </w:p>
    <w:p w14:paraId="5E8AD193">
      <w:pPr>
        <w:rPr>
          <w:rFonts w:hint="eastAsia" w:ascii="仿宋" w:eastAsia="仿宋"/>
          <w:color w:val="auto"/>
          <w:highlight w:val="none"/>
        </w:rPr>
      </w:pPr>
    </w:p>
    <w:p w14:paraId="375EE3DB">
      <w:pPr>
        <w:rPr>
          <w:rFonts w:hint="eastAsia" w:ascii="仿宋" w:eastAsia="仿宋"/>
          <w:color w:val="auto"/>
          <w:highlight w:val="none"/>
        </w:rPr>
      </w:pPr>
    </w:p>
    <w:p w14:paraId="53AFC98D">
      <w:pPr>
        <w:rPr>
          <w:rFonts w:hint="eastAsia" w:ascii="仿宋" w:eastAsia="仿宋"/>
          <w:color w:val="auto"/>
          <w:highlight w:val="none"/>
        </w:rPr>
      </w:pPr>
    </w:p>
    <w:p w14:paraId="796366B1">
      <w:pPr>
        <w:rPr>
          <w:rFonts w:hint="eastAsia" w:ascii="仿宋" w:eastAsia="仿宋"/>
          <w:color w:val="auto"/>
          <w:highlight w:val="none"/>
        </w:rPr>
      </w:pPr>
    </w:p>
    <w:p w14:paraId="68BD8F1B">
      <w:pPr>
        <w:rPr>
          <w:rFonts w:hint="eastAsia" w:ascii="仿宋" w:eastAsia="仿宋"/>
          <w:color w:val="auto"/>
          <w:highlight w:val="none"/>
        </w:rPr>
      </w:pPr>
    </w:p>
    <w:p w14:paraId="390DA14A">
      <w:pPr>
        <w:rPr>
          <w:rFonts w:hint="eastAsia" w:ascii="仿宋" w:eastAsia="仿宋"/>
          <w:color w:val="auto"/>
          <w:highlight w:val="none"/>
        </w:rPr>
      </w:pPr>
    </w:p>
    <w:p w14:paraId="78DA29FE">
      <w:pPr>
        <w:rPr>
          <w:rFonts w:hint="eastAsia" w:ascii="仿宋" w:eastAsia="仿宋"/>
          <w:color w:val="auto"/>
          <w:highlight w:val="none"/>
        </w:rPr>
      </w:pPr>
    </w:p>
    <w:p w14:paraId="0BE28D9E">
      <w:pPr>
        <w:rPr>
          <w:rFonts w:hint="eastAsia" w:ascii="仿宋" w:eastAsia="仿宋"/>
          <w:color w:val="auto"/>
          <w:highlight w:val="none"/>
        </w:rPr>
      </w:pPr>
    </w:p>
    <w:p w14:paraId="05D09EC2">
      <w:pPr>
        <w:rPr>
          <w:rFonts w:hint="eastAsia" w:ascii="仿宋" w:eastAsia="仿宋"/>
          <w:color w:val="auto"/>
          <w:highlight w:val="none"/>
        </w:rPr>
      </w:pPr>
    </w:p>
    <w:p w14:paraId="73D695A6">
      <w:pPr>
        <w:rPr>
          <w:rFonts w:hint="eastAsia" w:ascii="仿宋" w:eastAsia="仿宋"/>
          <w:color w:val="auto"/>
          <w:highlight w:val="none"/>
        </w:rPr>
      </w:pPr>
    </w:p>
    <w:p w14:paraId="182342F2">
      <w:pPr>
        <w:pStyle w:val="35"/>
        <w:spacing w:after="50" w:afterLines="0" w:line="440" w:lineRule="exact"/>
        <w:ind w:left="0" w:firstLine="0" w:firstLineChars="0"/>
        <w:outlineLvl w:val="1"/>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10</w:t>
      </w:r>
      <w:r>
        <w:rPr>
          <w:rFonts w:hint="eastAsia" w:ascii="仿宋" w:eastAsia="仿宋"/>
          <w:b/>
          <w:bCs/>
          <w:color w:val="auto"/>
          <w:sz w:val="28"/>
          <w:szCs w:val="28"/>
          <w:highlight w:val="none"/>
        </w:rPr>
        <w:t>：项目明细清单</w:t>
      </w:r>
    </w:p>
    <w:p w14:paraId="4FB4FC7C">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292EFD3F">
      <w:pPr>
        <w:snapToGrid w:val="0"/>
        <w:spacing w:before="50" w:after="156" w:afterLines="50"/>
        <w:jc w:val="center"/>
        <w:rPr>
          <w:rFonts w:hint="eastAsia" w:ascii="仿宋" w:eastAsia="仿宋"/>
          <w:b/>
          <w:color w:val="auto"/>
          <w:spacing w:val="40"/>
          <w:kern w:val="0"/>
          <w:sz w:val="36"/>
          <w:szCs w:val="36"/>
          <w:highlight w:val="none"/>
        </w:rPr>
      </w:pPr>
    </w:p>
    <w:p w14:paraId="3BA94962">
      <w:pPr>
        <w:pStyle w:val="10"/>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w:t>
      </w:r>
      <w:r>
        <w:rPr>
          <w:rFonts w:ascii="仿宋" w:eastAsia="仿宋"/>
          <w:color w:val="auto"/>
          <w:sz w:val="30"/>
          <w:szCs w:val="30"/>
          <w:highlight w:val="none"/>
        </w:rPr>
        <w:t>标项</w:t>
      </w:r>
      <w:r>
        <w:rPr>
          <w:rFonts w:hint="eastAsia" w:ascii="仿宋" w:eastAsia="仿宋"/>
          <w:color w:val="auto"/>
          <w:sz w:val="30"/>
          <w:szCs w:val="30"/>
          <w:highlight w:val="none"/>
        </w:rPr>
        <w:t>：</w:t>
      </w:r>
      <w:r>
        <w:rPr>
          <w:rFonts w:hint="eastAsia" w:ascii="仿宋" w:eastAsia="仿宋"/>
          <w:color w:val="auto"/>
          <w:sz w:val="30"/>
          <w:szCs w:val="30"/>
          <w:highlight w:val="none"/>
          <w:u w:val="single"/>
        </w:rPr>
        <w:t xml:space="preserve">    </w:t>
      </w:r>
    </w:p>
    <w:p w14:paraId="63AF269B">
      <w:pPr>
        <w:pStyle w:val="10"/>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w:t>
      </w:r>
    </w:p>
    <w:tbl>
      <w:tblPr>
        <w:tblStyle w:val="28"/>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42BBE8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19B7C7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792579C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3BFF0839">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64418C5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19A65FB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448039A2">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23085CF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50E4CE0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3084887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4EA8FE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6BF5002">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0A2240DD">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5F7A67A">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1D1929F">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EBD9137">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BE12F21">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BA4572E">
            <w:pPr>
              <w:snapToGrid w:val="0"/>
              <w:spacing w:before="50" w:after="50"/>
              <w:jc w:val="center"/>
              <w:rPr>
                <w:rFonts w:hint="eastAsia" w:ascii="仿宋" w:eastAsia="仿宋"/>
                <w:color w:val="auto"/>
                <w:sz w:val="30"/>
                <w:szCs w:val="30"/>
                <w:highlight w:val="none"/>
              </w:rPr>
            </w:pPr>
          </w:p>
        </w:tc>
      </w:tr>
      <w:tr w14:paraId="3E6E6E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756E97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134FDB3E">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D5B0AD0">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BDAD142">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0E46B0C">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A7FF30B">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1DEA263">
            <w:pPr>
              <w:snapToGrid w:val="0"/>
              <w:spacing w:before="50" w:after="50"/>
              <w:jc w:val="center"/>
              <w:rPr>
                <w:rFonts w:hint="eastAsia" w:ascii="仿宋" w:eastAsia="仿宋"/>
                <w:color w:val="auto"/>
                <w:sz w:val="30"/>
                <w:szCs w:val="30"/>
                <w:highlight w:val="none"/>
              </w:rPr>
            </w:pPr>
          </w:p>
        </w:tc>
      </w:tr>
      <w:tr w14:paraId="3CCA46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5923DF1">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10BBC3D">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74E9239">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3FFF21C">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5D5A061">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C7B7D25">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F0DB539">
            <w:pPr>
              <w:snapToGrid w:val="0"/>
              <w:spacing w:before="50" w:after="50"/>
              <w:jc w:val="center"/>
              <w:rPr>
                <w:rFonts w:hint="eastAsia" w:ascii="仿宋" w:eastAsia="仿宋"/>
                <w:color w:val="auto"/>
                <w:sz w:val="30"/>
                <w:szCs w:val="30"/>
                <w:highlight w:val="none"/>
              </w:rPr>
            </w:pPr>
          </w:p>
        </w:tc>
      </w:tr>
    </w:tbl>
    <w:p w14:paraId="0DDB1FA9">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服务部分（如有）</w:t>
      </w:r>
    </w:p>
    <w:tbl>
      <w:tblPr>
        <w:tblStyle w:val="28"/>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3278"/>
        <w:gridCol w:w="1890"/>
        <w:gridCol w:w="3319"/>
      </w:tblGrid>
      <w:tr w14:paraId="53CA3E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20BD65B">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4E4ACF9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7CF6DD7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2703B065">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5AD74CB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服务时间</w:t>
            </w:r>
          </w:p>
        </w:tc>
      </w:tr>
      <w:tr w14:paraId="5BBAA0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A0F747B">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50BC4C10">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68DE5F12">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0CEF06FD">
            <w:pPr>
              <w:snapToGrid w:val="0"/>
              <w:spacing w:before="50" w:after="50"/>
              <w:jc w:val="center"/>
              <w:rPr>
                <w:rFonts w:hint="eastAsia" w:ascii="仿宋" w:eastAsia="仿宋"/>
                <w:color w:val="auto"/>
                <w:sz w:val="30"/>
                <w:szCs w:val="30"/>
                <w:highlight w:val="none"/>
              </w:rPr>
            </w:pPr>
          </w:p>
        </w:tc>
      </w:tr>
      <w:tr w14:paraId="26EEDC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7183F3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1A003046">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AC3FBF5">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70BB3E83">
            <w:pPr>
              <w:snapToGrid w:val="0"/>
              <w:spacing w:before="50" w:after="50"/>
              <w:jc w:val="center"/>
              <w:rPr>
                <w:rFonts w:hint="eastAsia" w:ascii="仿宋" w:eastAsia="仿宋"/>
                <w:color w:val="auto"/>
                <w:sz w:val="30"/>
                <w:szCs w:val="30"/>
                <w:highlight w:val="none"/>
              </w:rPr>
            </w:pPr>
          </w:p>
        </w:tc>
      </w:tr>
      <w:tr w14:paraId="0A8A3D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E50C531">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1A82961C">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82E8EBA">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6E02C580">
            <w:pPr>
              <w:snapToGrid w:val="0"/>
              <w:spacing w:before="50" w:after="50"/>
              <w:jc w:val="center"/>
              <w:rPr>
                <w:rFonts w:hint="eastAsia" w:ascii="仿宋" w:eastAsia="仿宋"/>
                <w:color w:val="auto"/>
                <w:sz w:val="30"/>
                <w:szCs w:val="30"/>
                <w:highlight w:val="none"/>
              </w:rPr>
            </w:pPr>
          </w:p>
        </w:tc>
      </w:tr>
    </w:tbl>
    <w:p w14:paraId="0FF5DCDD">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0671DB16">
      <w:pPr>
        <w:snapToGrid w:val="0"/>
        <w:spacing w:before="156" w:beforeLines="50"/>
        <w:rPr>
          <w:rFonts w:hint="eastAsia" w:ascii="仿宋" w:eastAsia="仿宋"/>
          <w:color w:val="auto"/>
          <w:sz w:val="30"/>
          <w:szCs w:val="30"/>
          <w:highlight w:val="none"/>
        </w:rPr>
      </w:pPr>
    </w:p>
    <w:p w14:paraId="4C0F7FF8">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501C0A2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347B18A6">
      <w:pPr>
        <w:snapToGrid w:val="0"/>
        <w:spacing w:before="50" w:after="50"/>
        <w:rPr>
          <w:rFonts w:hint="eastAsia" w:ascii="仿宋" w:eastAsia="仿宋"/>
          <w:color w:val="auto"/>
          <w:spacing w:val="20"/>
          <w:sz w:val="30"/>
          <w:szCs w:val="30"/>
          <w:highlight w:val="none"/>
        </w:rPr>
      </w:pPr>
    </w:p>
    <w:p w14:paraId="681E894D">
      <w:pPr>
        <w:snapToGrid w:val="0"/>
        <w:spacing w:before="50" w:after="50"/>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：技术响应表</w:t>
      </w:r>
    </w:p>
    <w:p w14:paraId="3B2A8D9C">
      <w:pPr>
        <w:snapToGrid w:val="0"/>
        <w:spacing w:before="50" w:after="156" w:afterLines="50"/>
        <w:jc w:val="center"/>
        <w:rPr>
          <w:rFonts w:hint="eastAsia" w:ascii="仿宋" w:eastAsia="仿宋"/>
          <w:b/>
          <w:color w:val="auto"/>
          <w:spacing w:val="40"/>
          <w:kern w:val="0"/>
          <w:sz w:val="36"/>
          <w:szCs w:val="36"/>
          <w:highlight w:val="none"/>
        </w:rPr>
      </w:pPr>
    </w:p>
    <w:p w14:paraId="6303FF6B">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7F1B3736">
      <w:pPr>
        <w:snapToGrid w:val="0"/>
        <w:spacing w:before="50" w:after="156" w:afterLines="50"/>
        <w:jc w:val="center"/>
        <w:rPr>
          <w:rFonts w:hint="eastAsia" w:ascii="仿宋" w:eastAsia="仿宋"/>
          <w:b/>
          <w:color w:val="auto"/>
          <w:sz w:val="32"/>
          <w:szCs w:val="32"/>
          <w:highlight w:val="none"/>
        </w:rPr>
      </w:pPr>
    </w:p>
    <w:p w14:paraId="0B953FBC">
      <w:pPr>
        <w:pStyle w:val="10"/>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5ADE743F">
      <w:pPr>
        <w:pStyle w:val="10"/>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8"/>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0515BC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0C9F2958">
            <w:pPr>
              <w:snapToGrid w:val="0"/>
              <w:spacing w:before="50" w:after="50"/>
              <w:rPr>
                <w:rFonts w:hint="eastAsia" w:ascii="仿宋" w:eastAsia="仿宋"/>
                <w:color w:val="auto"/>
                <w:spacing w:val="20"/>
                <w:sz w:val="30"/>
                <w:szCs w:val="30"/>
                <w:highlight w:val="none"/>
              </w:rPr>
            </w:pPr>
            <w:bookmarkStart w:id="67" w:name="_Toc64369799"/>
            <w:r>
              <w:rPr>
                <w:rFonts w:hint="eastAsia" w:ascii="仿宋" w:eastAsia="仿宋"/>
                <w:color w:val="auto"/>
                <w:spacing w:val="20"/>
                <w:sz w:val="30"/>
                <w:szCs w:val="30"/>
                <w:highlight w:val="none"/>
              </w:rPr>
              <w:t>货物部分</w:t>
            </w:r>
            <w:bookmarkEnd w:id="67"/>
          </w:p>
        </w:tc>
      </w:tr>
      <w:tr w14:paraId="3A8187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4717D2E">
            <w:pPr>
              <w:snapToGrid w:val="0"/>
              <w:spacing w:before="50" w:after="50"/>
              <w:jc w:val="center"/>
              <w:rPr>
                <w:rFonts w:hint="eastAsia" w:ascii="仿宋" w:eastAsia="仿宋"/>
                <w:color w:val="auto"/>
                <w:spacing w:val="20"/>
                <w:sz w:val="30"/>
                <w:szCs w:val="30"/>
                <w:highlight w:val="none"/>
              </w:rPr>
            </w:pPr>
            <w:bookmarkStart w:id="68" w:name="_Toc64369800"/>
            <w:r>
              <w:rPr>
                <w:rFonts w:hint="eastAsia" w:ascii="仿宋" w:eastAsia="仿宋"/>
                <w:color w:val="auto"/>
                <w:spacing w:val="20"/>
                <w:sz w:val="30"/>
                <w:szCs w:val="30"/>
                <w:highlight w:val="none"/>
              </w:rPr>
              <w:t>序号</w:t>
            </w:r>
            <w:bookmarkEnd w:id="68"/>
          </w:p>
        </w:tc>
        <w:tc>
          <w:tcPr>
            <w:tcW w:w="1711" w:type="dxa"/>
            <w:tcBorders>
              <w:top w:val="single" w:color="auto" w:sz="4" w:space="0"/>
              <w:left w:val="single" w:color="auto" w:sz="4" w:space="0"/>
              <w:bottom w:val="single" w:color="auto" w:sz="4" w:space="0"/>
              <w:right w:val="single" w:color="auto" w:sz="4" w:space="0"/>
            </w:tcBorders>
            <w:noWrap/>
            <w:vAlign w:val="center"/>
          </w:tcPr>
          <w:p w14:paraId="374714BF">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05AD64C7">
            <w:pPr>
              <w:snapToGrid w:val="0"/>
              <w:spacing w:before="50" w:after="50"/>
              <w:jc w:val="center"/>
              <w:rPr>
                <w:rFonts w:hint="eastAsia" w:ascii="仿宋" w:eastAsia="仿宋"/>
                <w:color w:val="auto"/>
                <w:spacing w:val="20"/>
                <w:sz w:val="30"/>
                <w:szCs w:val="30"/>
                <w:highlight w:val="none"/>
              </w:rPr>
            </w:pPr>
            <w:bookmarkStart w:id="69" w:name="_Toc64369801"/>
            <w:bookmarkStart w:id="70" w:name="_Toc64369802"/>
            <w:r>
              <w:rPr>
                <w:rFonts w:hint="eastAsia" w:ascii="仿宋" w:eastAsia="仿宋"/>
                <w:color w:val="auto"/>
                <w:spacing w:val="20"/>
                <w:sz w:val="30"/>
                <w:szCs w:val="30"/>
                <w:highlight w:val="none"/>
              </w:rPr>
              <w:t>采购文件</w:t>
            </w:r>
          </w:p>
          <w:p w14:paraId="1A5E796F">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要求</w:t>
            </w:r>
            <w:bookmarkEnd w:id="69"/>
          </w:p>
        </w:tc>
        <w:tc>
          <w:tcPr>
            <w:tcW w:w="2330" w:type="dxa"/>
            <w:tcBorders>
              <w:top w:val="single" w:color="auto" w:sz="4" w:space="0"/>
              <w:left w:val="single" w:color="auto" w:sz="4" w:space="0"/>
              <w:bottom w:val="single" w:color="auto" w:sz="4" w:space="0"/>
              <w:right w:val="single" w:color="auto" w:sz="4" w:space="0"/>
            </w:tcBorders>
            <w:noWrap/>
            <w:vAlign w:val="center"/>
          </w:tcPr>
          <w:p w14:paraId="616F0ADF">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投标文件</w:t>
            </w:r>
          </w:p>
          <w:p w14:paraId="0AE90A11">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响应</w:t>
            </w:r>
            <w:bookmarkEnd w:id="70"/>
          </w:p>
        </w:tc>
        <w:tc>
          <w:tcPr>
            <w:tcW w:w="1365" w:type="dxa"/>
            <w:tcBorders>
              <w:top w:val="single" w:color="auto" w:sz="4" w:space="0"/>
              <w:left w:val="single" w:color="auto" w:sz="4" w:space="0"/>
              <w:bottom w:val="single" w:color="auto" w:sz="4" w:space="0"/>
              <w:right w:val="single" w:color="auto" w:sz="4" w:space="0"/>
            </w:tcBorders>
            <w:noWrap/>
            <w:vAlign w:val="center"/>
          </w:tcPr>
          <w:p w14:paraId="133C00F0">
            <w:pPr>
              <w:snapToGrid w:val="0"/>
              <w:spacing w:before="50" w:after="50"/>
              <w:jc w:val="center"/>
              <w:rPr>
                <w:rFonts w:hint="eastAsia" w:ascii="仿宋" w:eastAsia="仿宋"/>
                <w:color w:val="auto"/>
                <w:spacing w:val="20"/>
                <w:sz w:val="30"/>
                <w:szCs w:val="30"/>
                <w:highlight w:val="none"/>
              </w:rPr>
            </w:pPr>
            <w:bookmarkStart w:id="71" w:name="_Toc64369803"/>
            <w:r>
              <w:rPr>
                <w:rFonts w:hint="eastAsia" w:ascii="仿宋" w:eastAsia="仿宋"/>
                <w:color w:val="auto"/>
                <w:spacing w:val="20"/>
                <w:sz w:val="30"/>
                <w:szCs w:val="30"/>
                <w:highlight w:val="none"/>
              </w:rPr>
              <w:t>偏离</w:t>
            </w:r>
          </w:p>
          <w:p w14:paraId="03F26A1C">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情况</w:t>
            </w:r>
            <w:bookmarkEnd w:id="71"/>
          </w:p>
        </w:tc>
      </w:tr>
      <w:tr w14:paraId="03707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7268AB1F">
            <w:pPr>
              <w:snapToGrid w:val="0"/>
              <w:spacing w:before="50" w:after="50"/>
              <w:rPr>
                <w:rFonts w:hint="eastAsia" w:ascii="仿宋" w:eastAsia="仿宋"/>
                <w:color w:val="auto"/>
                <w:spacing w:val="20"/>
                <w:sz w:val="30"/>
                <w:szCs w:val="30"/>
                <w:highlight w:val="none"/>
              </w:rPr>
            </w:pPr>
            <w:bookmarkStart w:id="72" w:name="_Toc64369804"/>
            <w:r>
              <w:rPr>
                <w:rFonts w:hint="eastAsia" w:ascii="仿宋" w:eastAsia="仿宋"/>
                <w:color w:val="auto"/>
                <w:spacing w:val="20"/>
                <w:sz w:val="30"/>
                <w:szCs w:val="30"/>
                <w:highlight w:val="none"/>
              </w:rPr>
              <w:t>1</w:t>
            </w:r>
            <w:bookmarkEnd w:id="72"/>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02D545EB">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670D48E3">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50137A83">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67682CF1">
            <w:pPr>
              <w:snapToGrid w:val="0"/>
              <w:spacing w:before="50" w:after="50"/>
              <w:rPr>
                <w:rFonts w:hint="eastAsia" w:ascii="仿宋" w:eastAsia="仿宋"/>
                <w:color w:val="auto"/>
                <w:spacing w:val="20"/>
                <w:sz w:val="30"/>
                <w:szCs w:val="30"/>
                <w:highlight w:val="none"/>
              </w:rPr>
            </w:pPr>
          </w:p>
        </w:tc>
      </w:tr>
      <w:tr w14:paraId="68ADD3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AC1D1D1">
            <w:pPr>
              <w:snapToGrid w:val="0"/>
              <w:spacing w:before="50" w:after="50"/>
              <w:rPr>
                <w:rFonts w:hint="eastAsia" w:ascii="仿宋" w:eastAsia="仿宋"/>
                <w:color w:val="auto"/>
                <w:spacing w:val="20"/>
                <w:sz w:val="30"/>
                <w:szCs w:val="30"/>
                <w:highlight w:val="none"/>
              </w:rPr>
            </w:pPr>
            <w:bookmarkStart w:id="73" w:name="_Toc64369805"/>
            <w:r>
              <w:rPr>
                <w:rFonts w:hint="eastAsia" w:ascii="仿宋" w:eastAsia="仿宋"/>
                <w:color w:val="auto"/>
                <w:spacing w:val="20"/>
                <w:sz w:val="30"/>
                <w:szCs w:val="30"/>
                <w:highlight w:val="none"/>
              </w:rPr>
              <w:t>2</w:t>
            </w:r>
            <w:bookmarkEnd w:id="73"/>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06393365">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69F71AB0">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6E3B548D">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nil"/>
              <w:right w:val="single" w:color="auto" w:sz="4" w:space="0"/>
            </w:tcBorders>
            <w:noWrap/>
          </w:tcPr>
          <w:p w14:paraId="687325A9">
            <w:pPr>
              <w:snapToGrid w:val="0"/>
              <w:spacing w:before="50" w:after="50"/>
              <w:rPr>
                <w:rFonts w:hint="eastAsia" w:ascii="仿宋" w:eastAsia="仿宋"/>
                <w:color w:val="auto"/>
                <w:spacing w:val="20"/>
                <w:sz w:val="30"/>
                <w:szCs w:val="30"/>
                <w:highlight w:val="none"/>
              </w:rPr>
            </w:pPr>
          </w:p>
        </w:tc>
      </w:tr>
      <w:tr w14:paraId="2C4CB7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2344984B">
            <w:pPr>
              <w:snapToGrid w:val="0"/>
              <w:spacing w:before="50" w:after="50"/>
              <w:rPr>
                <w:rFonts w:hint="eastAsia" w:ascii="仿宋" w:eastAsia="仿宋"/>
                <w:color w:val="auto"/>
                <w:spacing w:val="20"/>
                <w:sz w:val="30"/>
                <w:szCs w:val="30"/>
                <w:highlight w:val="none"/>
              </w:rPr>
            </w:pPr>
            <w:bookmarkStart w:id="74" w:name="_Toc64369806"/>
            <w:r>
              <w:rPr>
                <w:rFonts w:hint="eastAsia" w:ascii="仿宋" w:eastAsia="仿宋"/>
                <w:color w:val="auto"/>
                <w:spacing w:val="20"/>
                <w:sz w:val="30"/>
                <w:szCs w:val="30"/>
                <w:highlight w:val="none"/>
              </w:rPr>
              <w:t>…</w:t>
            </w:r>
            <w:bookmarkEnd w:id="7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1705551">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788CDEB3">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1C330741">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4302C11C">
            <w:pPr>
              <w:snapToGrid w:val="0"/>
              <w:spacing w:before="50" w:after="50"/>
              <w:rPr>
                <w:rFonts w:hint="eastAsia" w:ascii="仿宋" w:eastAsia="仿宋"/>
                <w:color w:val="auto"/>
                <w:spacing w:val="20"/>
                <w:sz w:val="30"/>
                <w:szCs w:val="30"/>
                <w:highlight w:val="none"/>
              </w:rPr>
            </w:pPr>
          </w:p>
        </w:tc>
      </w:tr>
      <w:tr w14:paraId="74F9B0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11CDBF42">
            <w:pPr>
              <w:snapToGrid w:val="0"/>
              <w:spacing w:before="50" w:after="50"/>
              <w:rPr>
                <w:rFonts w:hint="eastAsia" w:ascii="仿宋" w:eastAsia="仿宋"/>
                <w:color w:val="auto"/>
                <w:spacing w:val="20"/>
                <w:sz w:val="30"/>
                <w:szCs w:val="30"/>
                <w:highlight w:val="none"/>
              </w:rPr>
            </w:pPr>
            <w:bookmarkStart w:id="75" w:name="_Toc64369807"/>
            <w:r>
              <w:rPr>
                <w:rFonts w:hint="eastAsia" w:ascii="仿宋" w:eastAsia="仿宋"/>
                <w:color w:val="auto"/>
                <w:spacing w:val="20"/>
                <w:sz w:val="30"/>
                <w:szCs w:val="30"/>
                <w:highlight w:val="none"/>
              </w:rPr>
              <w:t>服务部分</w:t>
            </w:r>
            <w:bookmarkEnd w:id="75"/>
            <w:r>
              <w:rPr>
                <w:rFonts w:hint="eastAsia" w:ascii="仿宋" w:eastAsia="仿宋"/>
                <w:color w:val="auto"/>
                <w:spacing w:val="20"/>
                <w:sz w:val="30"/>
                <w:szCs w:val="30"/>
                <w:highlight w:val="none"/>
              </w:rPr>
              <w:t>（如有）</w:t>
            </w:r>
          </w:p>
        </w:tc>
      </w:tr>
      <w:tr w14:paraId="775B8D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28A290D6">
            <w:pPr>
              <w:snapToGrid w:val="0"/>
              <w:spacing w:before="50" w:after="50"/>
              <w:jc w:val="center"/>
              <w:rPr>
                <w:rFonts w:hint="eastAsia" w:ascii="仿宋" w:eastAsia="仿宋"/>
                <w:color w:val="auto"/>
                <w:spacing w:val="20"/>
                <w:sz w:val="30"/>
                <w:szCs w:val="30"/>
                <w:highlight w:val="none"/>
              </w:rPr>
            </w:pPr>
            <w:bookmarkStart w:id="76" w:name="_Toc64369808"/>
            <w:r>
              <w:rPr>
                <w:rFonts w:hint="eastAsia" w:ascii="仿宋" w:eastAsia="仿宋"/>
                <w:color w:val="auto"/>
                <w:spacing w:val="20"/>
                <w:sz w:val="30"/>
                <w:szCs w:val="30"/>
                <w:highlight w:val="none"/>
              </w:rPr>
              <w:t>序号</w:t>
            </w:r>
            <w:bookmarkEnd w:id="76"/>
          </w:p>
        </w:tc>
        <w:tc>
          <w:tcPr>
            <w:tcW w:w="1711" w:type="dxa"/>
            <w:tcBorders>
              <w:top w:val="single" w:color="auto" w:sz="4" w:space="0"/>
              <w:left w:val="single" w:color="auto" w:sz="4" w:space="0"/>
              <w:bottom w:val="single" w:color="auto" w:sz="4" w:space="0"/>
              <w:right w:val="single" w:color="auto" w:sz="4" w:space="0"/>
            </w:tcBorders>
            <w:noWrap/>
            <w:vAlign w:val="center"/>
          </w:tcPr>
          <w:p w14:paraId="7C156AA4">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0718B973">
            <w:pPr>
              <w:snapToGrid w:val="0"/>
              <w:spacing w:before="50" w:after="50"/>
              <w:jc w:val="center"/>
              <w:rPr>
                <w:rFonts w:hint="eastAsia" w:ascii="仿宋" w:eastAsia="仿宋"/>
                <w:color w:val="auto"/>
                <w:spacing w:val="20"/>
                <w:sz w:val="30"/>
                <w:szCs w:val="30"/>
                <w:highlight w:val="none"/>
              </w:rPr>
            </w:pPr>
            <w:bookmarkStart w:id="77" w:name="_Toc64369809"/>
            <w:bookmarkStart w:id="78" w:name="_Toc64369810"/>
            <w:r>
              <w:rPr>
                <w:rFonts w:hint="eastAsia" w:ascii="仿宋" w:eastAsia="仿宋"/>
                <w:color w:val="auto"/>
                <w:spacing w:val="20"/>
                <w:sz w:val="30"/>
                <w:szCs w:val="30"/>
                <w:highlight w:val="none"/>
              </w:rPr>
              <w:t>采购文件</w:t>
            </w:r>
          </w:p>
          <w:p w14:paraId="5AA55FE7">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要求</w:t>
            </w:r>
            <w:bookmarkEnd w:id="77"/>
          </w:p>
        </w:tc>
        <w:tc>
          <w:tcPr>
            <w:tcW w:w="2330" w:type="dxa"/>
            <w:tcBorders>
              <w:top w:val="single" w:color="auto" w:sz="4" w:space="0"/>
              <w:left w:val="single" w:color="auto" w:sz="4" w:space="0"/>
              <w:bottom w:val="single" w:color="auto" w:sz="4" w:space="0"/>
              <w:right w:val="single" w:color="auto" w:sz="4" w:space="0"/>
            </w:tcBorders>
            <w:noWrap/>
          </w:tcPr>
          <w:p w14:paraId="0705DDD9">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投标文件</w:t>
            </w:r>
          </w:p>
          <w:p w14:paraId="4C7359AE">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响应</w:t>
            </w:r>
            <w:bookmarkEnd w:id="78"/>
          </w:p>
        </w:tc>
        <w:tc>
          <w:tcPr>
            <w:tcW w:w="1365" w:type="dxa"/>
            <w:tcBorders>
              <w:top w:val="single" w:color="auto" w:sz="4" w:space="0"/>
              <w:left w:val="single" w:color="auto" w:sz="4" w:space="0"/>
              <w:bottom w:val="single" w:color="auto" w:sz="4" w:space="0"/>
              <w:right w:val="single" w:color="auto" w:sz="4" w:space="0"/>
            </w:tcBorders>
            <w:noWrap/>
          </w:tcPr>
          <w:p w14:paraId="72FDF4BC">
            <w:pPr>
              <w:snapToGrid w:val="0"/>
              <w:spacing w:before="50" w:after="50"/>
              <w:jc w:val="center"/>
              <w:rPr>
                <w:rFonts w:hint="eastAsia" w:ascii="仿宋" w:eastAsia="仿宋"/>
                <w:color w:val="auto"/>
                <w:spacing w:val="20"/>
                <w:sz w:val="30"/>
                <w:szCs w:val="30"/>
                <w:highlight w:val="none"/>
              </w:rPr>
            </w:pPr>
            <w:bookmarkStart w:id="79" w:name="_Toc64369811"/>
            <w:r>
              <w:rPr>
                <w:rFonts w:hint="eastAsia" w:ascii="仿宋" w:eastAsia="仿宋"/>
                <w:color w:val="auto"/>
                <w:spacing w:val="20"/>
                <w:sz w:val="30"/>
                <w:szCs w:val="30"/>
                <w:highlight w:val="none"/>
              </w:rPr>
              <w:t>偏离</w:t>
            </w:r>
          </w:p>
          <w:p w14:paraId="30458041">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情况</w:t>
            </w:r>
            <w:bookmarkEnd w:id="79"/>
          </w:p>
        </w:tc>
      </w:tr>
      <w:tr w14:paraId="5B6235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52574E9F">
            <w:pPr>
              <w:snapToGrid w:val="0"/>
              <w:spacing w:before="50" w:after="50"/>
              <w:rPr>
                <w:rFonts w:hint="eastAsia" w:ascii="仿宋" w:eastAsia="仿宋"/>
                <w:color w:val="auto"/>
                <w:spacing w:val="20"/>
                <w:sz w:val="30"/>
                <w:szCs w:val="30"/>
                <w:highlight w:val="none"/>
              </w:rPr>
            </w:pPr>
            <w:bookmarkStart w:id="80" w:name="_Toc64369812"/>
            <w:r>
              <w:rPr>
                <w:rFonts w:hint="eastAsia" w:ascii="仿宋" w:eastAsia="仿宋"/>
                <w:color w:val="auto"/>
                <w:spacing w:val="20"/>
                <w:sz w:val="30"/>
                <w:szCs w:val="30"/>
                <w:highlight w:val="none"/>
              </w:rPr>
              <w:t>1</w:t>
            </w:r>
            <w:bookmarkEnd w:id="80"/>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640A7152">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14C51C3">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2D5D7530">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26F39A96">
            <w:pPr>
              <w:snapToGrid w:val="0"/>
              <w:spacing w:before="50" w:after="50"/>
              <w:rPr>
                <w:rFonts w:hint="eastAsia" w:ascii="仿宋" w:eastAsia="仿宋"/>
                <w:color w:val="auto"/>
                <w:spacing w:val="20"/>
                <w:sz w:val="30"/>
                <w:szCs w:val="30"/>
                <w:highlight w:val="none"/>
              </w:rPr>
            </w:pPr>
          </w:p>
        </w:tc>
      </w:tr>
      <w:tr w14:paraId="6204A5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145ED23">
            <w:pPr>
              <w:snapToGrid w:val="0"/>
              <w:spacing w:before="50" w:after="50"/>
              <w:rPr>
                <w:rFonts w:hint="eastAsia" w:ascii="仿宋" w:eastAsia="仿宋"/>
                <w:color w:val="auto"/>
                <w:spacing w:val="20"/>
                <w:sz w:val="30"/>
                <w:szCs w:val="30"/>
                <w:highlight w:val="none"/>
              </w:rPr>
            </w:pPr>
            <w:bookmarkStart w:id="81" w:name="_Toc64369813"/>
            <w:r>
              <w:rPr>
                <w:rFonts w:hint="eastAsia" w:ascii="仿宋" w:eastAsia="仿宋"/>
                <w:color w:val="auto"/>
                <w:spacing w:val="20"/>
                <w:sz w:val="30"/>
                <w:szCs w:val="30"/>
                <w:highlight w:val="none"/>
              </w:rPr>
              <w:t>2</w:t>
            </w:r>
            <w:bookmarkEnd w:id="81"/>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088F2518">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34DA73A">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75B016E5">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7752C2F7">
            <w:pPr>
              <w:snapToGrid w:val="0"/>
              <w:spacing w:before="50" w:after="50"/>
              <w:rPr>
                <w:rFonts w:hint="eastAsia" w:ascii="仿宋" w:eastAsia="仿宋"/>
                <w:color w:val="auto"/>
                <w:spacing w:val="20"/>
                <w:sz w:val="30"/>
                <w:szCs w:val="30"/>
                <w:highlight w:val="none"/>
              </w:rPr>
            </w:pPr>
          </w:p>
        </w:tc>
      </w:tr>
      <w:tr w14:paraId="7F1725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6CBED37">
            <w:pPr>
              <w:snapToGrid w:val="0"/>
              <w:spacing w:before="50" w:after="50"/>
              <w:rPr>
                <w:rFonts w:hint="eastAsia" w:ascii="仿宋" w:eastAsia="仿宋"/>
                <w:color w:val="auto"/>
                <w:spacing w:val="20"/>
                <w:sz w:val="30"/>
                <w:szCs w:val="30"/>
                <w:highlight w:val="none"/>
              </w:rPr>
            </w:pPr>
            <w:bookmarkStart w:id="82" w:name="_Toc64369814"/>
            <w:r>
              <w:rPr>
                <w:rFonts w:hint="eastAsia" w:ascii="仿宋" w:eastAsia="仿宋"/>
                <w:color w:val="auto"/>
                <w:spacing w:val="20"/>
                <w:sz w:val="30"/>
                <w:szCs w:val="30"/>
                <w:highlight w:val="none"/>
              </w:rPr>
              <w:t>…</w:t>
            </w:r>
            <w:bookmarkEnd w:id="82"/>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77E360D9">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A9F91A3">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116E5F28">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3F3AA1D5">
            <w:pPr>
              <w:snapToGrid w:val="0"/>
              <w:spacing w:before="50" w:after="50"/>
              <w:rPr>
                <w:rFonts w:hint="eastAsia" w:ascii="仿宋" w:eastAsia="仿宋"/>
                <w:color w:val="auto"/>
                <w:spacing w:val="20"/>
                <w:sz w:val="30"/>
                <w:szCs w:val="30"/>
                <w:highlight w:val="none"/>
              </w:rPr>
            </w:pPr>
          </w:p>
        </w:tc>
      </w:tr>
    </w:tbl>
    <w:p w14:paraId="3BF2578F">
      <w:pPr>
        <w:pStyle w:val="12"/>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注：投标人应对照采购文件要求和投标文件响应情况在“偏离情况”栏注明“正偏离”、“负偏离”或“无偏离”。若正偏离的，需详细说明或提供证明材料。</w:t>
      </w:r>
    </w:p>
    <w:p w14:paraId="3FF5DEAE">
      <w:pPr>
        <w:snapToGrid w:val="0"/>
        <w:spacing w:before="50" w:after="50"/>
        <w:rPr>
          <w:rFonts w:hint="eastAsia" w:ascii="仿宋" w:eastAsia="仿宋"/>
          <w:color w:val="auto"/>
          <w:spacing w:val="20"/>
          <w:sz w:val="30"/>
          <w:szCs w:val="30"/>
          <w:highlight w:val="none"/>
        </w:rPr>
      </w:pPr>
    </w:p>
    <w:p w14:paraId="7A9206B7">
      <w:pPr>
        <w:snapToGrid w:val="0"/>
        <w:spacing w:before="50" w:after="50"/>
        <w:rPr>
          <w:rFonts w:hint="eastAsia" w:ascii="仿宋" w:eastAsia="仿宋"/>
          <w:color w:val="auto"/>
          <w:spacing w:val="20"/>
          <w:sz w:val="30"/>
          <w:szCs w:val="30"/>
          <w:highlight w:val="none"/>
        </w:rPr>
      </w:pPr>
    </w:p>
    <w:p w14:paraId="53D7F6AD">
      <w:pPr>
        <w:snapToGrid w:val="0"/>
        <w:spacing w:before="50" w:after="50"/>
        <w:rPr>
          <w:rFonts w:hint="eastAsia" w:ascii="仿宋" w:eastAsia="仿宋"/>
          <w:color w:val="auto"/>
          <w:spacing w:val="20"/>
          <w:sz w:val="30"/>
          <w:szCs w:val="30"/>
          <w:highlight w:val="none"/>
        </w:rPr>
      </w:pPr>
    </w:p>
    <w:p w14:paraId="5B733B89">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2B143B33">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05CDCAEC">
      <w:pPr>
        <w:snapToGrid w:val="0"/>
        <w:spacing w:before="50" w:after="50"/>
        <w:rPr>
          <w:rFonts w:hint="eastAsia" w:ascii="仿宋" w:eastAsia="仿宋"/>
          <w:color w:val="auto"/>
          <w:spacing w:val="20"/>
          <w:sz w:val="30"/>
          <w:szCs w:val="30"/>
          <w:highlight w:val="none"/>
        </w:rPr>
      </w:pPr>
    </w:p>
    <w:p w14:paraId="3D6495C2">
      <w:pPr>
        <w:snapToGrid w:val="0"/>
        <w:spacing w:before="50" w:after="50"/>
        <w:rPr>
          <w:rFonts w:hint="eastAsia" w:ascii="仿宋" w:eastAsia="仿宋"/>
          <w:color w:val="auto"/>
          <w:spacing w:val="20"/>
          <w:sz w:val="30"/>
          <w:szCs w:val="30"/>
          <w:highlight w:val="none"/>
        </w:rPr>
      </w:pPr>
    </w:p>
    <w:p w14:paraId="6E5C45D9">
      <w:pPr>
        <w:snapToGrid w:val="0"/>
        <w:spacing w:before="50" w:after="50"/>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：商务响应表</w:t>
      </w:r>
    </w:p>
    <w:p w14:paraId="225A742A">
      <w:pPr>
        <w:snapToGrid w:val="0"/>
        <w:spacing w:before="50" w:after="156" w:afterLines="50"/>
        <w:jc w:val="center"/>
        <w:rPr>
          <w:rFonts w:hint="eastAsia" w:ascii="仿宋" w:eastAsia="仿宋"/>
          <w:b/>
          <w:color w:val="auto"/>
          <w:spacing w:val="40"/>
          <w:kern w:val="0"/>
          <w:sz w:val="36"/>
          <w:szCs w:val="36"/>
          <w:highlight w:val="none"/>
        </w:rPr>
      </w:pPr>
    </w:p>
    <w:p w14:paraId="349CB6DC">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1EA1C38B">
      <w:pPr>
        <w:snapToGrid w:val="0"/>
        <w:spacing w:before="50" w:after="156" w:afterLines="50"/>
        <w:jc w:val="center"/>
        <w:rPr>
          <w:rFonts w:hint="eastAsia" w:ascii="仿宋" w:eastAsia="仿宋"/>
          <w:b/>
          <w:color w:val="auto"/>
          <w:sz w:val="32"/>
          <w:szCs w:val="32"/>
          <w:highlight w:val="none"/>
        </w:rPr>
      </w:pPr>
    </w:p>
    <w:p w14:paraId="6D9D90C9">
      <w:pPr>
        <w:pStyle w:val="10"/>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7FE8A2F7">
      <w:pPr>
        <w:pStyle w:val="10"/>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8"/>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0EA863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4BA4098">
            <w:pPr>
              <w:snapToGrid w:val="0"/>
              <w:spacing w:before="50" w:after="50"/>
              <w:jc w:val="center"/>
              <w:rPr>
                <w:rFonts w:hint="eastAsia" w:ascii="仿宋" w:eastAsia="仿宋" w:cs="仿宋_GB2312"/>
                <w:color w:val="auto"/>
                <w:spacing w:val="20"/>
                <w:sz w:val="28"/>
                <w:szCs w:val="28"/>
                <w:highlight w:val="none"/>
              </w:rPr>
            </w:pPr>
            <w:bookmarkStart w:id="83" w:name="_Toc64369815"/>
            <w:r>
              <w:rPr>
                <w:rFonts w:hint="eastAsia" w:ascii="仿宋" w:eastAsia="仿宋" w:cs="仿宋_GB2312"/>
                <w:color w:val="auto"/>
                <w:spacing w:val="20"/>
                <w:sz w:val="28"/>
                <w:szCs w:val="28"/>
                <w:highlight w:val="none"/>
              </w:rPr>
              <w:t>类别</w:t>
            </w:r>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14:paraId="146BFFAD">
            <w:pPr>
              <w:snapToGrid w:val="0"/>
              <w:spacing w:before="156" w:beforeLines="50" w:after="50"/>
              <w:jc w:val="center"/>
              <w:rPr>
                <w:rFonts w:hint="eastAsia" w:ascii="仿宋" w:eastAsia="仿宋" w:cs="仿宋_GB2312"/>
                <w:color w:val="auto"/>
                <w:sz w:val="30"/>
                <w:szCs w:val="30"/>
                <w:highlight w:val="none"/>
              </w:rPr>
            </w:pPr>
            <w:bookmarkStart w:id="84" w:name="_Toc64369816"/>
            <w:r>
              <w:rPr>
                <w:rFonts w:hint="eastAsia" w:ascii="仿宋" w:eastAsia="仿宋" w:cs="仿宋_GB2312"/>
                <w:color w:val="auto"/>
                <w:sz w:val="30"/>
                <w:szCs w:val="30"/>
                <w:highlight w:val="none"/>
              </w:rPr>
              <w:t>采购文件要求</w:t>
            </w:r>
            <w:bookmarkEnd w:id="84"/>
          </w:p>
        </w:tc>
        <w:tc>
          <w:tcPr>
            <w:tcW w:w="2737" w:type="dxa"/>
            <w:tcBorders>
              <w:top w:val="single" w:color="auto" w:sz="4" w:space="0"/>
              <w:left w:val="single" w:color="auto" w:sz="4" w:space="0"/>
              <w:bottom w:val="single" w:color="auto" w:sz="4" w:space="0"/>
              <w:right w:val="single" w:color="auto" w:sz="4" w:space="0"/>
            </w:tcBorders>
            <w:noWrap/>
            <w:vAlign w:val="center"/>
          </w:tcPr>
          <w:p w14:paraId="2E84235C">
            <w:pPr>
              <w:snapToGrid w:val="0"/>
              <w:spacing w:before="156" w:beforeLines="50" w:after="50"/>
              <w:jc w:val="center"/>
              <w:rPr>
                <w:rFonts w:hint="eastAsia" w:ascii="仿宋" w:eastAsia="仿宋" w:cs="仿宋_GB2312"/>
                <w:color w:val="auto"/>
                <w:sz w:val="30"/>
                <w:szCs w:val="30"/>
                <w:highlight w:val="none"/>
              </w:rPr>
            </w:pPr>
            <w:bookmarkStart w:id="85" w:name="_Toc64369817"/>
            <w:r>
              <w:rPr>
                <w:rFonts w:hint="eastAsia" w:ascii="仿宋" w:eastAsia="仿宋" w:cs="仿宋_GB2312"/>
                <w:color w:val="auto"/>
                <w:sz w:val="30"/>
                <w:szCs w:val="30"/>
                <w:highlight w:val="none"/>
              </w:rPr>
              <w:t>投标文件响应</w:t>
            </w:r>
            <w:bookmarkEnd w:id="85"/>
          </w:p>
        </w:tc>
        <w:tc>
          <w:tcPr>
            <w:tcW w:w="1886" w:type="dxa"/>
            <w:tcBorders>
              <w:top w:val="single" w:color="auto" w:sz="4" w:space="0"/>
              <w:left w:val="single" w:color="auto" w:sz="4" w:space="0"/>
              <w:bottom w:val="single" w:color="auto" w:sz="4" w:space="0"/>
              <w:right w:val="single" w:color="auto" w:sz="4" w:space="0"/>
            </w:tcBorders>
            <w:noWrap/>
            <w:vAlign w:val="center"/>
          </w:tcPr>
          <w:p w14:paraId="7DA1B505">
            <w:pPr>
              <w:snapToGrid w:val="0"/>
              <w:spacing w:before="156" w:beforeLines="50" w:after="50"/>
              <w:jc w:val="center"/>
              <w:rPr>
                <w:rFonts w:hint="eastAsia" w:ascii="仿宋" w:eastAsia="仿宋" w:cs="仿宋_GB2312"/>
                <w:color w:val="auto"/>
                <w:sz w:val="30"/>
                <w:szCs w:val="30"/>
                <w:highlight w:val="none"/>
              </w:rPr>
            </w:pPr>
            <w:bookmarkStart w:id="86" w:name="_Toc64369818"/>
            <w:r>
              <w:rPr>
                <w:rFonts w:hint="eastAsia" w:ascii="仿宋" w:eastAsia="仿宋" w:cs="仿宋_GB2312"/>
                <w:color w:val="auto"/>
                <w:sz w:val="30"/>
                <w:szCs w:val="30"/>
                <w:highlight w:val="none"/>
              </w:rPr>
              <w:t>偏离情况</w:t>
            </w:r>
            <w:bookmarkEnd w:id="86"/>
          </w:p>
        </w:tc>
      </w:tr>
      <w:tr w14:paraId="232C13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A246F38">
            <w:pPr>
              <w:snapToGrid w:val="0"/>
              <w:spacing w:before="50" w:after="50"/>
              <w:rPr>
                <w:rFonts w:hint="eastAsia" w:ascii="仿宋" w:eastAsia="仿宋"/>
                <w:color w:val="auto"/>
                <w:spacing w:val="20"/>
                <w:sz w:val="28"/>
                <w:szCs w:val="28"/>
                <w:highlight w:val="none"/>
              </w:rPr>
            </w:pPr>
            <w:bookmarkStart w:id="87" w:name="_Toc64369819"/>
            <w:r>
              <w:rPr>
                <w:rFonts w:hint="eastAsia" w:ascii="仿宋" w:eastAsia="仿宋"/>
                <w:color w:val="auto"/>
                <w:spacing w:val="20"/>
                <w:sz w:val="28"/>
                <w:szCs w:val="28"/>
                <w:highlight w:val="none"/>
              </w:rPr>
              <w:t>供货期及供货地点</w:t>
            </w:r>
            <w:bookmarkEnd w:id="87"/>
          </w:p>
        </w:tc>
        <w:tc>
          <w:tcPr>
            <w:tcW w:w="2626" w:type="dxa"/>
            <w:tcBorders>
              <w:top w:val="single" w:color="auto" w:sz="4" w:space="0"/>
              <w:left w:val="single" w:color="auto" w:sz="4" w:space="0"/>
              <w:bottom w:val="single" w:color="auto" w:sz="4" w:space="0"/>
              <w:right w:val="single" w:color="auto" w:sz="4" w:space="0"/>
            </w:tcBorders>
            <w:noWrap/>
            <w:vAlign w:val="center"/>
          </w:tcPr>
          <w:p w14:paraId="6A140A5C">
            <w:pPr>
              <w:pStyle w:val="18"/>
              <w:snapToGrid w:val="0"/>
              <w:spacing w:before="120" w:after="120"/>
              <w:outlineLvl w:val="9"/>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C07C350">
            <w:pPr>
              <w:pStyle w:val="18"/>
              <w:snapToGrid w:val="0"/>
              <w:spacing w:before="120" w:after="120"/>
              <w:outlineLvl w:val="9"/>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E3EE175">
            <w:pPr>
              <w:pStyle w:val="18"/>
              <w:snapToGrid w:val="0"/>
              <w:spacing w:before="120" w:after="120"/>
              <w:outlineLvl w:val="9"/>
              <w:rPr>
                <w:rFonts w:hint="eastAsia" w:ascii="仿宋" w:eastAsia="仿宋"/>
                <w:color w:val="auto"/>
                <w:sz w:val="28"/>
                <w:szCs w:val="28"/>
                <w:highlight w:val="none"/>
              </w:rPr>
            </w:pPr>
          </w:p>
        </w:tc>
      </w:tr>
      <w:tr w14:paraId="18FA0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B183072">
            <w:pPr>
              <w:snapToGrid w:val="0"/>
              <w:spacing w:before="50" w:after="50"/>
              <w:rPr>
                <w:rFonts w:hint="eastAsia" w:ascii="仿宋" w:eastAsia="仿宋"/>
                <w:color w:val="auto"/>
                <w:spacing w:val="20"/>
                <w:sz w:val="28"/>
                <w:szCs w:val="28"/>
                <w:highlight w:val="none"/>
              </w:rPr>
            </w:pPr>
            <w:bookmarkStart w:id="88" w:name="_Toc64369820"/>
            <w:r>
              <w:rPr>
                <w:rFonts w:hint="eastAsia" w:ascii="仿宋" w:eastAsia="仿宋"/>
                <w:color w:val="auto"/>
                <w:spacing w:val="20"/>
                <w:sz w:val="28"/>
                <w:szCs w:val="28"/>
                <w:highlight w:val="none"/>
              </w:rPr>
              <w:t>质保期</w:t>
            </w:r>
            <w:bookmarkEnd w:id="88"/>
          </w:p>
        </w:tc>
        <w:tc>
          <w:tcPr>
            <w:tcW w:w="2626" w:type="dxa"/>
            <w:tcBorders>
              <w:top w:val="single" w:color="auto" w:sz="4" w:space="0"/>
              <w:left w:val="single" w:color="auto" w:sz="4" w:space="0"/>
              <w:bottom w:val="single" w:color="auto" w:sz="4" w:space="0"/>
              <w:right w:val="single" w:color="auto" w:sz="4" w:space="0"/>
            </w:tcBorders>
            <w:noWrap/>
            <w:vAlign w:val="center"/>
          </w:tcPr>
          <w:p w14:paraId="56A416DA">
            <w:pPr>
              <w:pStyle w:val="18"/>
              <w:snapToGrid w:val="0"/>
              <w:spacing w:before="120" w:after="120"/>
              <w:outlineLvl w:val="9"/>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00232E23">
            <w:pPr>
              <w:pStyle w:val="18"/>
              <w:snapToGrid w:val="0"/>
              <w:spacing w:before="120" w:after="120" w:line="240" w:lineRule="auto"/>
              <w:outlineLvl w:val="9"/>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198AEA56">
            <w:pPr>
              <w:pStyle w:val="18"/>
              <w:snapToGrid w:val="0"/>
              <w:spacing w:before="120" w:after="120" w:line="240" w:lineRule="auto"/>
              <w:outlineLvl w:val="9"/>
              <w:rPr>
                <w:rFonts w:hint="eastAsia" w:ascii="仿宋" w:eastAsia="仿宋"/>
                <w:color w:val="auto"/>
                <w:sz w:val="28"/>
                <w:szCs w:val="28"/>
                <w:highlight w:val="none"/>
              </w:rPr>
            </w:pPr>
          </w:p>
        </w:tc>
      </w:tr>
      <w:tr w14:paraId="026BF4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8D8AE07">
            <w:pPr>
              <w:snapToGrid w:val="0"/>
              <w:spacing w:before="50" w:after="50"/>
              <w:rPr>
                <w:rFonts w:hint="eastAsia" w:ascii="仿宋" w:eastAsia="仿宋"/>
                <w:color w:val="auto"/>
                <w:spacing w:val="20"/>
                <w:sz w:val="28"/>
                <w:szCs w:val="28"/>
                <w:highlight w:val="none"/>
              </w:rPr>
            </w:pPr>
            <w:bookmarkStart w:id="89" w:name="_Toc64369821"/>
            <w:r>
              <w:rPr>
                <w:rFonts w:hint="eastAsia" w:ascii="仿宋" w:eastAsia="仿宋"/>
                <w:color w:val="auto"/>
                <w:spacing w:val="20"/>
                <w:sz w:val="28"/>
                <w:szCs w:val="28"/>
                <w:highlight w:val="none"/>
              </w:rPr>
              <w:t>技术培训</w:t>
            </w:r>
            <w:bookmarkEnd w:id="89"/>
          </w:p>
        </w:tc>
        <w:tc>
          <w:tcPr>
            <w:tcW w:w="2626" w:type="dxa"/>
            <w:tcBorders>
              <w:top w:val="single" w:color="auto" w:sz="4" w:space="0"/>
              <w:left w:val="single" w:color="auto" w:sz="4" w:space="0"/>
              <w:bottom w:val="single" w:color="auto" w:sz="4" w:space="0"/>
              <w:right w:val="single" w:color="auto" w:sz="4" w:space="0"/>
            </w:tcBorders>
            <w:noWrap/>
            <w:vAlign w:val="center"/>
          </w:tcPr>
          <w:p w14:paraId="5932DF22">
            <w:pPr>
              <w:pStyle w:val="18"/>
              <w:snapToGrid w:val="0"/>
              <w:spacing w:before="120" w:after="120"/>
              <w:outlineLvl w:val="9"/>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87D6EA0">
            <w:pPr>
              <w:pStyle w:val="18"/>
              <w:snapToGrid w:val="0"/>
              <w:spacing w:before="120" w:after="120" w:line="240" w:lineRule="auto"/>
              <w:outlineLvl w:val="9"/>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200EFD08">
            <w:pPr>
              <w:pStyle w:val="18"/>
              <w:snapToGrid w:val="0"/>
              <w:spacing w:before="120" w:after="120" w:line="240" w:lineRule="auto"/>
              <w:outlineLvl w:val="9"/>
              <w:rPr>
                <w:rFonts w:hint="eastAsia" w:ascii="仿宋" w:eastAsia="仿宋"/>
                <w:color w:val="auto"/>
                <w:sz w:val="28"/>
                <w:szCs w:val="28"/>
                <w:highlight w:val="none"/>
              </w:rPr>
            </w:pPr>
          </w:p>
        </w:tc>
      </w:tr>
      <w:tr w14:paraId="218C92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C62D67A">
            <w:pPr>
              <w:snapToGrid w:val="0"/>
              <w:spacing w:before="50" w:after="50"/>
              <w:rPr>
                <w:rFonts w:hint="eastAsia" w:ascii="仿宋" w:eastAsia="仿宋"/>
                <w:color w:val="auto"/>
                <w:spacing w:val="20"/>
                <w:sz w:val="28"/>
                <w:szCs w:val="28"/>
                <w:highlight w:val="none"/>
              </w:rPr>
            </w:pPr>
            <w:bookmarkStart w:id="90" w:name="_Toc64369822"/>
            <w:r>
              <w:rPr>
                <w:rFonts w:hint="eastAsia" w:ascii="仿宋" w:eastAsia="仿宋"/>
                <w:color w:val="auto"/>
                <w:spacing w:val="20"/>
                <w:sz w:val="28"/>
                <w:szCs w:val="28"/>
                <w:highlight w:val="none"/>
              </w:rPr>
              <w:t>售后服务</w:t>
            </w:r>
            <w:bookmarkEnd w:id="90"/>
          </w:p>
        </w:tc>
        <w:tc>
          <w:tcPr>
            <w:tcW w:w="2626" w:type="dxa"/>
            <w:tcBorders>
              <w:top w:val="single" w:color="auto" w:sz="4" w:space="0"/>
              <w:left w:val="single" w:color="auto" w:sz="4" w:space="0"/>
              <w:bottom w:val="single" w:color="auto" w:sz="4" w:space="0"/>
              <w:right w:val="single" w:color="auto" w:sz="4" w:space="0"/>
            </w:tcBorders>
            <w:noWrap/>
            <w:vAlign w:val="center"/>
          </w:tcPr>
          <w:p w14:paraId="73018148">
            <w:pPr>
              <w:pStyle w:val="18"/>
              <w:snapToGrid w:val="0"/>
              <w:spacing w:before="120" w:after="120"/>
              <w:outlineLvl w:val="9"/>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0D89A14">
            <w:pPr>
              <w:pStyle w:val="18"/>
              <w:snapToGrid w:val="0"/>
              <w:spacing w:before="120" w:after="120"/>
              <w:outlineLvl w:val="9"/>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1AAA0333">
            <w:pPr>
              <w:pStyle w:val="18"/>
              <w:snapToGrid w:val="0"/>
              <w:spacing w:before="120" w:after="120"/>
              <w:outlineLvl w:val="9"/>
              <w:rPr>
                <w:rFonts w:hint="eastAsia" w:ascii="仿宋" w:eastAsia="仿宋"/>
                <w:color w:val="auto"/>
                <w:sz w:val="28"/>
                <w:szCs w:val="28"/>
                <w:highlight w:val="none"/>
              </w:rPr>
            </w:pPr>
          </w:p>
        </w:tc>
      </w:tr>
      <w:tr w14:paraId="3D56B6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FFCD665">
            <w:pPr>
              <w:snapToGrid w:val="0"/>
              <w:spacing w:before="50" w:after="50"/>
              <w:rPr>
                <w:rFonts w:hint="eastAsia" w:ascii="仿宋" w:eastAsia="仿宋"/>
                <w:color w:val="auto"/>
                <w:spacing w:val="20"/>
                <w:sz w:val="28"/>
                <w:szCs w:val="28"/>
                <w:highlight w:val="none"/>
              </w:rPr>
            </w:pPr>
            <w:bookmarkStart w:id="91" w:name="_Toc64369823"/>
            <w:r>
              <w:rPr>
                <w:rFonts w:hint="eastAsia" w:ascii="仿宋" w:eastAsia="仿宋"/>
                <w:color w:val="auto"/>
                <w:spacing w:val="20"/>
                <w:sz w:val="28"/>
                <w:szCs w:val="28"/>
                <w:highlight w:val="none"/>
              </w:rPr>
              <w:t>付款方式</w:t>
            </w:r>
            <w:bookmarkEnd w:id="91"/>
          </w:p>
        </w:tc>
        <w:tc>
          <w:tcPr>
            <w:tcW w:w="2626" w:type="dxa"/>
            <w:tcBorders>
              <w:top w:val="single" w:color="auto" w:sz="4" w:space="0"/>
              <w:left w:val="single" w:color="auto" w:sz="4" w:space="0"/>
              <w:bottom w:val="single" w:color="auto" w:sz="4" w:space="0"/>
              <w:right w:val="single" w:color="auto" w:sz="4" w:space="0"/>
            </w:tcBorders>
            <w:noWrap/>
            <w:vAlign w:val="center"/>
          </w:tcPr>
          <w:p w14:paraId="7EA58B4B">
            <w:pPr>
              <w:pStyle w:val="18"/>
              <w:snapToGrid w:val="0"/>
              <w:spacing w:before="120" w:after="120"/>
              <w:outlineLvl w:val="9"/>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7BBE075">
            <w:pPr>
              <w:pStyle w:val="18"/>
              <w:snapToGrid w:val="0"/>
              <w:spacing w:before="120" w:after="120"/>
              <w:outlineLvl w:val="9"/>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F6E933C">
            <w:pPr>
              <w:pStyle w:val="18"/>
              <w:snapToGrid w:val="0"/>
              <w:spacing w:before="120" w:after="120"/>
              <w:outlineLvl w:val="9"/>
              <w:rPr>
                <w:rFonts w:hint="eastAsia" w:ascii="仿宋" w:eastAsia="仿宋"/>
                <w:color w:val="auto"/>
                <w:sz w:val="28"/>
                <w:szCs w:val="28"/>
                <w:highlight w:val="none"/>
              </w:rPr>
            </w:pPr>
          </w:p>
        </w:tc>
      </w:tr>
      <w:tr w14:paraId="59FBA6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9EB260A">
            <w:pPr>
              <w:snapToGrid w:val="0"/>
              <w:spacing w:before="50" w:after="50"/>
              <w:rPr>
                <w:rFonts w:hint="eastAsia" w:ascii="仿宋" w:eastAsia="仿宋"/>
                <w:color w:val="auto"/>
                <w:spacing w:val="20"/>
                <w:sz w:val="28"/>
                <w:szCs w:val="28"/>
                <w:highlight w:val="none"/>
              </w:rPr>
            </w:pPr>
            <w:bookmarkStart w:id="92" w:name="_Toc64369824"/>
            <w:r>
              <w:rPr>
                <w:rFonts w:hint="eastAsia" w:ascii="仿宋" w:eastAsia="仿宋"/>
                <w:color w:val="auto"/>
                <w:spacing w:val="20"/>
                <w:sz w:val="28"/>
                <w:szCs w:val="28"/>
                <w:highlight w:val="none"/>
              </w:rPr>
              <w:t>…</w:t>
            </w:r>
            <w:bookmarkEnd w:id="92"/>
          </w:p>
        </w:tc>
        <w:tc>
          <w:tcPr>
            <w:tcW w:w="2626" w:type="dxa"/>
            <w:tcBorders>
              <w:top w:val="single" w:color="auto" w:sz="4" w:space="0"/>
              <w:left w:val="single" w:color="auto" w:sz="4" w:space="0"/>
              <w:bottom w:val="single" w:color="auto" w:sz="4" w:space="0"/>
              <w:right w:val="single" w:color="auto" w:sz="4" w:space="0"/>
            </w:tcBorders>
            <w:noWrap/>
            <w:vAlign w:val="center"/>
          </w:tcPr>
          <w:p w14:paraId="2790BF71">
            <w:pPr>
              <w:pStyle w:val="18"/>
              <w:snapToGrid w:val="0"/>
              <w:spacing w:before="120" w:after="120"/>
              <w:outlineLvl w:val="9"/>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8AEEE33">
            <w:pPr>
              <w:pStyle w:val="18"/>
              <w:snapToGrid w:val="0"/>
              <w:spacing w:before="120" w:after="120"/>
              <w:outlineLvl w:val="9"/>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913DDEB">
            <w:pPr>
              <w:pStyle w:val="18"/>
              <w:snapToGrid w:val="0"/>
              <w:spacing w:before="120" w:after="120"/>
              <w:outlineLvl w:val="9"/>
              <w:rPr>
                <w:rFonts w:hint="eastAsia" w:ascii="仿宋" w:eastAsia="仿宋"/>
                <w:color w:val="auto"/>
                <w:sz w:val="28"/>
                <w:szCs w:val="28"/>
                <w:highlight w:val="none"/>
              </w:rPr>
            </w:pPr>
          </w:p>
        </w:tc>
      </w:tr>
    </w:tbl>
    <w:p w14:paraId="5E5D251F">
      <w:pPr>
        <w:pStyle w:val="12"/>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3A81CE52">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33F3C000">
      <w:pPr>
        <w:snapToGrid w:val="0"/>
        <w:spacing w:before="50" w:after="50"/>
        <w:rPr>
          <w:rFonts w:hint="eastAsia" w:ascii="仿宋" w:eastAsia="仿宋"/>
          <w:color w:val="auto"/>
          <w:spacing w:val="20"/>
          <w:sz w:val="28"/>
          <w:szCs w:val="28"/>
          <w:highlight w:val="none"/>
        </w:rPr>
      </w:pPr>
    </w:p>
    <w:p w14:paraId="2C16F503">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5A0CC79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3370E627">
      <w:pPr>
        <w:snapToGrid w:val="0"/>
        <w:spacing w:before="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3</w:t>
      </w:r>
      <w:r>
        <w:rPr>
          <w:rFonts w:hint="eastAsia" w:ascii="仿宋" w:eastAsia="仿宋"/>
          <w:b/>
          <w:bCs/>
          <w:color w:val="auto"/>
          <w:sz w:val="30"/>
          <w:szCs w:val="30"/>
          <w:highlight w:val="none"/>
        </w:rPr>
        <w:t>：项目实施人员清单</w:t>
      </w:r>
    </w:p>
    <w:p w14:paraId="543E1E97">
      <w:pPr>
        <w:snapToGrid w:val="0"/>
        <w:spacing w:before="50" w:after="156" w:afterLines="50"/>
        <w:jc w:val="center"/>
        <w:rPr>
          <w:rFonts w:hint="eastAsia" w:ascii="仿宋" w:eastAsia="仿宋"/>
          <w:b/>
          <w:color w:val="auto"/>
          <w:kern w:val="0"/>
          <w:sz w:val="36"/>
          <w:szCs w:val="36"/>
          <w:highlight w:val="none"/>
        </w:rPr>
      </w:pPr>
    </w:p>
    <w:p w14:paraId="187BB96A">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00BE2FD4">
      <w:pPr>
        <w:pStyle w:val="10"/>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1FFF7191">
      <w:pPr>
        <w:pStyle w:val="10"/>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8"/>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70B4F3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231AFEA">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66CC8AD2">
            <w:pPr>
              <w:snapToGrid w:val="0"/>
              <w:spacing w:before="156" w:beforeLines="50" w:after="50" w:line="460" w:lineRule="exact"/>
              <w:ind w:right="-110"/>
              <w:jc w:val="center"/>
              <w:rPr>
                <w:rFonts w:hint="eastAsia"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609145C">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专业技术</w:t>
            </w:r>
          </w:p>
          <w:p w14:paraId="013AAF5E">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72D866A2">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本项目工作内容</w:t>
            </w:r>
          </w:p>
        </w:tc>
      </w:tr>
      <w:tr w14:paraId="010061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1D535E">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A9672F">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E38FCC0">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D81005D">
            <w:pPr>
              <w:snapToGrid w:val="0"/>
              <w:spacing w:before="156" w:beforeLines="50" w:after="50" w:line="460" w:lineRule="exact"/>
              <w:rPr>
                <w:rFonts w:hint="eastAsia" w:ascii="仿宋" w:eastAsia="仿宋"/>
                <w:color w:val="auto"/>
                <w:sz w:val="28"/>
                <w:szCs w:val="28"/>
                <w:highlight w:val="none"/>
              </w:rPr>
            </w:pPr>
          </w:p>
        </w:tc>
      </w:tr>
      <w:tr w14:paraId="4CA165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0C3DE50">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9B6042F">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897B5E2">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41728D8">
            <w:pPr>
              <w:snapToGrid w:val="0"/>
              <w:spacing w:before="156" w:beforeLines="50" w:after="50" w:line="460" w:lineRule="exact"/>
              <w:rPr>
                <w:rFonts w:hint="eastAsia" w:ascii="仿宋" w:eastAsia="仿宋"/>
                <w:color w:val="auto"/>
                <w:sz w:val="28"/>
                <w:szCs w:val="28"/>
                <w:highlight w:val="none"/>
              </w:rPr>
            </w:pPr>
          </w:p>
        </w:tc>
      </w:tr>
      <w:tr w14:paraId="47AD9F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081DF23">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C8D2F3A">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0B422FF">
            <w:pPr>
              <w:pStyle w:val="19"/>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EC21673">
            <w:pPr>
              <w:snapToGrid w:val="0"/>
              <w:spacing w:before="156" w:beforeLines="50" w:after="50" w:line="460" w:lineRule="exact"/>
              <w:rPr>
                <w:rFonts w:hint="eastAsia" w:ascii="仿宋" w:eastAsia="仿宋"/>
                <w:color w:val="auto"/>
                <w:sz w:val="28"/>
                <w:szCs w:val="28"/>
                <w:highlight w:val="none"/>
              </w:rPr>
            </w:pPr>
          </w:p>
        </w:tc>
      </w:tr>
      <w:tr w14:paraId="5B1844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6F905E7">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161E6BF">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B5AF62D">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F5C27BE">
            <w:pPr>
              <w:snapToGrid w:val="0"/>
              <w:spacing w:before="156" w:beforeLines="50" w:after="50" w:line="460" w:lineRule="exact"/>
              <w:rPr>
                <w:rFonts w:hint="eastAsia" w:ascii="仿宋" w:eastAsia="仿宋"/>
                <w:color w:val="auto"/>
                <w:sz w:val="28"/>
                <w:szCs w:val="28"/>
                <w:highlight w:val="none"/>
              </w:rPr>
            </w:pPr>
          </w:p>
        </w:tc>
      </w:tr>
      <w:tr w14:paraId="756191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4FF41F7">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414E544">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2F5275D">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7F3D003">
            <w:pPr>
              <w:snapToGrid w:val="0"/>
              <w:spacing w:before="156" w:beforeLines="50" w:after="50" w:line="460" w:lineRule="exact"/>
              <w:rPr>
                <w:rFonts w:hint="eastAsia" w:ascii="仿宋" w:eastAsia="仿宋"/>
                <w:color w:val="auto"/>
                <w:sz w:val="28"/>
                <w:szCs w:val="28"/>
                <w:highlight w:val="none"/>
              </w:rPr>
            </w:pPr>
          </w:p>
        </w:tc>
      </w:tr>
      <w:tr w14:paraId="37F17E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543B333">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02023DD">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7DC6C56">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D768727">
            <w:pPr>
              <w:snapToGrid w:val="0"/>
              <w:spacing w:before="156" w:beforeLines="50" w:after="50" w:line="460" w:lineRule="exact"/>
              <w:rPr>
                <w:rFonts w:hint="eastAsia" w:ascii="仿宋" w:eastAsia="仿宋"/>
                <w:color w:val="auto"/>
                <w:sz w:val="28"/>
                <w:szCs w:val="28"/>
                <w:highlight w:val="none"/>
              </w:rPr>
            </w:pPr>
          </w:p>
        </w:tc>
      </w:tr>
      <w:tr w14:paraId="3AC7E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38178F3">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40CE270">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4CE3AD3">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568406D">
            <w:pPr>
              <w:snapToGrid w:val="0"/>
              <w:spacing w:before="156" w:beforeLines="50" w:after="50" w:line="460" w:lineRule="exact"/>
              <w:rPr>
                <w:rFonts w:hint="eastAsia" w:ascii="仿宋" w:eastAsia="仿宋"/>
                <w:color w:val="auto"/>
                <w:sz w:val="28"/>
                <w:szCs w:val="28"/>
                <w:highlight w:val="none"/>
              </w:rPr>
            </w:pPr>
          </w:p>
        </w:tc>
      </w:tr>
      <w:tr w14:paraId="6B3853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21AA5C5">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45E4CB7">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9C2401A">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A0D2A7A">
            <w:pPr>
              <w:snapToGrid w:val="0"/>
              <w:spacing w:before="156" w:beforeLines="50" w:after="50" w:line="460" w:lineRule="exact"/>
              <w:rPr>
                <w:rFonts w:hint="eastAsia" w:ascii="仿宋" w:eastAsia="仿宋"/>
                <w:color w:val="auto"/>
                <w:sz w:val="28"/>
                <w:szCs w:val="28"/>
                <w:highlight w:val="none"/>
              </w:rPr>
            </w:pPr>
          </w:p>
        </w:tc>
      </w:tr>
      <w:tr w14:paraId="676047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88E42D1">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6E4721D">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7B0227A">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E28D982">
            <w:pPr>
              <w:snapToGrid w:val="0"/>
              <w:spacing w:before="156" w:beforeLines="50" w:after="50" w:line="460" w:lineRule="exact"/>
              <w:rPr>
                <w:rFonts w:hint="eastAsia" w:ascii="仿宋" w:eastAsia="仿宋"/>
                <w:color w:val="auto"/>
                <w:sz w:val="28"/>
                <w:szCs w:val="28"/>
                <w:highlight w:val="none"/>
              </w:rPr>
            </w:pPr>
          </w:p>
        </w:tc>
      </w:tr>
    </w:tbl>
    <w:p w14:paraId="797BB50E">
      <w:pPr>
        <w:snapToGrid w:val="0"/>
        <w:spacing w:before="50" w:after="156" w:afterLines="50" w:line="460" w:lineRule="exact"/>
        <w:jc w:val="left"/>
        <w:rPr>
          <w:rFonts w:hint="eastAsia"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07D98A8B">
      <w:pPr>
        <w:snapToGrid w:val="0"/>
        <w:spacing w:before="50" w:after="156" w:afterLines="50" w:line="460" w:lineRule="exact"/>
        <w:jc w:val="left"/>
        <w:rPr>
          <w:rFonts w:hint="eastAsia" w:ascii="仿宋" w:eastAsia="仿宋"/>
          <w:color w:val="auto"/>
          <w:sz w:val="28"/>
          <w:szCs w:val="28"/>
          <w:highlight w:val="none"/>
        </w:rPr>
      </w:pPr>
    </w:p>
    <w:p w14:paraId="0A3AEC7F">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4C2EC009">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29D16190">
      <w:pPr>
        <w:snapToGrid w:val="0"/>
        <w:spacing w:before="156" w:beforeLines="50"/>
        <w:rPr>
          <w:rFonts w:ascii="仿宋" w:eastAsia="仿宋"/>
          <w:color w:val="auto"/>
          <w:sz w:val="28"/>
          <w:szCs w:val="28"/>
          <w:highlight w:val="none"/>
        </w:rPr>
      </w:pPr>
    </w:p>
    <w:p w14:paraId="690C9A39">
      <w:pPr>
        <w:snapToGrid w:val="0"/>
        <w:spacing w:before="156" w:beforeLines="50"/>
        <w:rPr>
          <w:rFonts w:hint="eastAsia" w:ascii="仿宋" w:eastAsia="仿宋"/>
          <w:color w:val="auto"/>
          <w:sz w:val="28"/>
          <w:szCs w:val="28"/>
          <w:highlight w:val="none"/>
        </w:rPr>
      </w:pPr>
    </w:p>
    <w:p w14:paraId="13499C33">
      <w:pPr>
        <w:snapToGrid w:val="0"/>
        <w:spacing w:before="50" w:after="50"/>
        <w:jc w:val="left"/>
        <w:outlineLvl w:val="1"/>
        <w:rPr>
          <w:rFonts w:hint="eastAsia" w:ascii="仿宋" w:eastAsia="仿宋"/>
          <w:b/>
          <w:bCs/>
          <w:color w:val="auto"/>
          <w:sz w:val="30"/>
          <w:szCs w:val="30"/>
          <w:highlight w:val="none"/>
          <w:lang w:eastAsia="zh-CN"/>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14</w:t>
      </w:r>
      <w:r>
        <w:rPr>
          <w:rFonts w:hint="eastAsia" w:ascii="仿宋" w:eastAsia="仿宋"/>
          <w:b/>
          <w:bCs/>
          <w:color w:val="auto"/>
          <w:sz w:val="30"/>
          <w:szCs w:val="30"/>
          <w:highlight w:val="none"/>
        </w:rPr>
        <w:t>：消耗品、维修零配件及其价格清单</w:t>
      </w:r>
      <w:r>
        <w:rPr>
          <w:rFonts w:hint="eastAsia" w:ascii="仿宋" w:eastAsia="仿宋"/>
          <w:b/>
          <w:bCs/>
          <w:color w:val="auto"/>
          <w:sz w:val="30"/>
          <w:szCs w:val="30"/>
          <w:highlight w:val="none"/>
          <w:lang w:eastAsia="zh-CN"/>
        </w:rPr>
        <w:t>（</w:t>
      </w:r>
      <w:r>
        <w:rPr>
          <w:rFonts w:hint="eastAsia" w:ascii="仿宋" w:eastAsia="仿宋"/>
          <w:b/>
          <w:bCs/>
          <w:color w:val="auto"/>
          <w:sz w:val="30"/>
          <w:szCs w:val="30"/>
          <w:highlight w:val="none"/>
          <w:lang w:val="en-US" w:eastAsia="zh-CN"/>
        </w:rPr>
        <w:t>如有</w:t>
      </w:r>
      <w:r>
        <w:rPr>
          <w:rFonts w:hint="eastAsia" w:ascii="仿宋" w:eastAsia="仿宋"/>
          <w:b/>
          <w:bCs/>
          <w:color w:val="auto"/>
          <w:sz w:val="30"/>
          <w:szCs w:val="30"/>
          <w:highlight w:val="none"/>
          <w:lang w:eastAsia="zh-CN"/>
        </w:rPr>
        <w:t>）</w:t>
      </w:r>
    </w:p>
    <w:p w14:paraId="3C31A8D1">
      <w:pPr>
        <w:snapToGrid w:val="0"/>
        <w:spacing w:before="50" w:after="156" w:afterLines="50"/>
        <w:jc w:val="center"/>
        <w:rPr>
          <w:rFonts w:hint="eastAsia" w:ascii="仿宋" w:eastAsia="仿宋"/>
          <w:b/>
          <w:color w:val="auto"/>
          <w:kern w:val="0"/>
          <w:sz w:val="36"/>
          <w:szCs w:val="36"/>
          <w:highlight w:val="none"/>
        </w:rPr>
      </w:pPr>
    </w:p>
    <w:p w14:paraId="1F67DE42">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消耗品、维修零配件及其价格清单</w:t>
      </w:r>
    </w:p>
    <w:p w14:paraId="38244CC0">
      <w:pPr>
        <w:pStyle w:val="10"/>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3010BAED">
      <w:pPr>
        <w:pStyle w:val="10"/>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p w14:paraId="6FC78F1F">
      <w:pPr>
        <w:rPr>
          <w:rFonts w:hint="eastAsia" w:ascii="仿宋" w:eastAsia="仿宋"/>
          <w:color w:val="auto"/>
          <w:sz w:val="28"/>
          <w:szCs w:val="28"/>
          <w:highlight w:val="none"/>
        </w:rPr>
      </w:pPr>
    </w:p>
    <w:tbl>
      <w:tblPr>
        <w:tblStyle w:val="28"/>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0"/>
        <w:gridCol w:w="1260"/>
        <w:gridCol w:w="1875"/>
        <w:gridCol w:w="1440"/>
        <w:gridCol w:w="1440"/>
        <w:gridCol w:w="1855"/>
      </w:tblGrid>
      <w:tr w14:paraId="27A77E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4270989">
            <w:pPr>
              <w:jc w:val="center"/>
              <w:rPr>
                <w:rFonts w:hint="eastAsia" w:ascii="仿宋" w:eastAsia="仿宋"/>
                <w:color w:val="auto"/>
                <w:sz w:val="28"/>
                <w:szCs w:val="28"/>
                <w:highlight w:val="none"/>
              </w:rPr>
            </w:pPr>
            <w:r>
              <w:rPr>
                <w:rFonts w:hint="eastAsia" w:ascii="仿宋" w:eastAsia="仿宋"/>
                <w:color w:val="auto"/>
                <w:sz w:val="28"/>
                <w:szCs w:val="28"/>
                <w:highlight w:val="none"/>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4FC746D">
            <w:pPr>
              <w:jc w:val="center"/>
              <w:rPr>
                <w:rFonts w:hint="eastAsia" w:ascii="仿宋" w:eastAsia="仿宋"/>
                <w:color w:val="auto"/>
                <w:sz w:val="28"/>
                <w:szCs w:val="28"/>
                <w:highlight w:val="none"/>
              </w:rPr>
            </w:pPr>
            <w:r>
              <w:rPr>
                <w:rFonts w:hint="eastAsia" w:ascii="仿宋" w:eastAsia="仿宋"/>
                <w:color w:val="auto"/>
                <w:sz w:val="28"/>
                <w:szCs w:val="28"/>
                <w:highlight w:val="none"/>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25C60C1">
            <w:pPr>
              <w:jc w:val="center"/>
              <w:rPr>
                <w:rFonts w:hint="eastAsia" w:ascii="仿宋" w:eastAsia="仿宋"/>
                <w:color w:val="auto"/>
                <w:sz w:val="28"/>
                <w:szCs w:val="28"/>
                <w:highlight w:val="none"/>
              </w:rPr>
            </w:pPr>
            <w:r>
              <w:rPr>
                <w:rFonts w:hint="eastAsia" w:ascii="仿宋" w:eastAsia="仿宋"/>
                <w:color w:val="auto"/>
                <w:sz w:val="28"/>
                <w:szCs w:val="28"/>
                <w:highlight w:val="none"/>
              </w:rPr>
              <w:t>制造商</w:t>
            </w:r>
          </w:p>
          <w:p w14:paraId="35741F42">
            <w:pPr>
              <w:jc w:val="center"/>
              <w:rPr>
                <w:rFonts w:hint="eastAsia" w:ascii="仿宋" w:eastAsia="仿宋"/>
                <w:color w:val="auto"/>
                <w:sz w:val="28"/>
                <w:szCs w:val="28"/>
                <w:highlight w:val="none"/>
              </w:rPr>
            </w:pPr>
            <w:r>
              <w:rPr>
                <w:rFonts w:hint="eastAsia" w:ascii="仿宋" w:eastAsia="仿宋"/>
                <w:color w:val="auto"/>
                <w:sz w:val="28"/>
                <w:szCs w:val="28"/>
                <w:highlight w:val="none"/>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62332D1">
            <w:pPr>
              <w:jc w:val="center"/>
              <w:rPr>
                <w:rFonts w:hint="eastAsia" w:ascii="仿宋" w:eastAsia="仿宋"/>
                <w:color w:val="auto"/>
                <w:sz w:val="28"/>
                <w:szCs w:val="28"/>
                <w:highlight w:val="none"/>
              </w:rPr>
            </w:pPr>
            <w:r>
              <w:rPr>
                <w:rFonts w:hint="eastAsia" w:ascii="仿宋" w:eastAsia="仿宋"/>
                <w:color w:val="auto"/>
                <w:sz w:val="28"/>
                <w:szCs w:val="28"/>
                <w:highlight w:val="none"/>
              </w:rPr>
              <w:t>单价</w:t>
            </w:r>
          </w:p>
          <w:p w14:paraId="3FC30289">
            <w:pPr>
              <w:jc w:val="center"/>
              <w:rPr>
                <w:rFonts w:hint="eastAsia" w:ascii="仿宋" w:eastAsia="仿宋"/>
                <w:color w:val="auto"/>
                <w:sz w:val="28"/>
                <w:szCs w:val="28"/>
                <w:highlight w:val="none"/>
              </w:rPr>
            </w:pPr>
            <w:r>
              <w:rPr>
                <w:rFonts w:hint="eastAsia" w:ascii="仿宋" w:eastAsia="仿宋"/>
                <w:color w:val="auto"/>
                <w:sz w:val="28"/>
                <w:szCs w:val="28"/>
                <w:highlight w:val="none"/>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A7081DD">
            <w:pPr>
              <w:jc w:val="center"/>
              <w:rPr>
                <w:rFonts w:hint="eastAsia" w:ascii="仿宋" w:eastAsia="仿宋"/>
                <w:color w:val="auto"/>
                <w:sz w:val="28"/>
                <w:szCs w:val="28"/>
                <w:highlight w:val="none"/>
              </w:rPr>
            </w:pPr>
            <w:r>
              <w:rPr>
                <w:rFonts w:hint="eastAsia" w:ascii="仿宋" w:eastAsia="仿宋"/>
                <w:color w:val="auto"/>
                <w:sz w:val="28"/>
                <w:szCs w:val="28"/>
                <w:highlight w:val="none"/>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B7FDEAB">
            <w:pPr>
              <w:jc w:val="center"/>
              <w:rPr>
                <w:rFonts w:hint="eastAsia" w:ascii="仿宋" w:eastAsia="仿宋"/>
                <w:color w:val="auto"/>
                <w:sz w:val="28"/>
                <w:szCs w:val="28"/>
                <w:highlight w:val="none"/>
              </w:rPr>
            </w:pPr>
            <w:r>
              <w:rPr>
                <w:rFonts w:hint="eastAsia" w:ascii="仿宋" w:eastAsia="仿宋"/>
                <w:color w:val="auto"/>
                <w:sz w:val="28"/>
                <w:szCs w:val="28"/>
                <w:highlight w:val="none"/>
              </w:rPr>
              <w:t>对应的投标设备名称</w:t>
            </w:r>
          </w:p>
        </w:tc>
      </w:tr>
      <w:tr w14:paraId="667DC7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01BB235">
            <w:pPr>
              <w:rPr>
                <w:rFonts w:hint="eastAsia" w:ascii="仿宋" w:eastAsia="仿宋"/>
                <w:color w:val="auto"/>
                <w:sz w:val="28"/>
                <w:szCs w:val="28"/>
                <w:highlight w:val="none"/>
              </w:rPr>
            </w:pPr>
            <w:r>
              <w:rPr>
                <w:rFonts w:hint="eastAsia" w:ascii="仿宋" w:eastAsia="仿宋"/>
                <w:color w:val="auto"/>
                <w:sz w:val="28"/>
                <w:szCs w:val="28"/>
                <w:highlight w:val="none"/>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1FE0E6F">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B818BB8">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C8EE927">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00D26AA">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A78D118">
            <w:pPr>
              <w:rPr>
                <w:rFonts w:hint="eastAsia" w:ascii="仿宋" w:eastAsia="仿宋"/>
                <w:color w:val="auto"/>
                <w:sz w:val="28"/>
                <w:szCs w:val="28"/>
                <w:highlight w:val="none"/>
              </w:rPr>
            </w:pPr>
          </w:p>
        </w:tc>
      </w:tr>
      <w:tr w14:paraId="0F106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3EB2D455">
            <w:pPr>
              <w:rPr>
                <w:rFonts w:hint="eastAsia" w:ascii="仿宋" w:eastAsia="仿宋"/>
                <w:color w:val="auto"/>
                <w:sz w:val="28"/>
                <w:szCs w:val="28"/>
                <w:highlight w:val="none"/>
              </w:rPr>
            </w:pPr>
            <w:r>
              <w:rPr>
                <w:rFonts w:hint="eastAsia" w:ascii="仿宋" w:eastAsia="仿宋"/>
                <w:color w:val="auto"/>
                <w:sz w:val="28"/>
                <w:szCs w:val="28"/>
                <w:highlight w:val="none"/>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73EA16C">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1B964BB4">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DC1E74B">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C5058D2">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75995CD">
            <w:pPr>
              <w:rPr>
                <w:rFonts w:hint="eastAsia" w:ascii="仿宋" w:eastAsia="仿宋"/>
                <w:color w:val="auto"/>
                <w:sz w:val="28"/>
                <w:szCs w:val="28"/>
                <w:highlight w:val="none"/>
              </w:rPr>
            </w:pPr>
          </w:p>
        </w:tc>
      </w:tr>
      <w:tr w14:paraId="7E3C12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4BE890B">
            <w:pPr>
              <w:rPr>
                <w:rFonts w:hint="eastAsia" w:ascii="仿宋" w:eastAsia="仿宋"/>
                <w:color w:val="auto"/>
                <w:sz w:val="28"/>
                <w:szCs w:val="28"/>
                <w:highlight w:val="none"/>
              </w:rPr>
            </w:pPr>
            <w:r>
              <w:rPr>
                <w:rFonts w:hint="eastAsia" w:ascii="仿宋" w:eastAsia="仿宋"/>
                <w:color w:val="auto"/>
                <w:sz w:val="28"/>
                <w:szCs w:val="28"/>
                <w:highlight w:val="none"/>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E09A8E8">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11C9AD25">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8ACF8E5">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8AE0AF9">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252DA79E">
            <w:pPr>
              <w:rPr>
                <w:rFonts w:hint="eastAsia" w:ascii="仿宋" w:eastAsia="仿宋"/>
                <w:color w:val="auto"/>
                <w:sz w:val="28"/>
                <w:szCs w:val="28"/>
                <w:highlight w:val="none"/>
              </w:rPr>
            </w:pPr>
          </w:p>
        </w:tc>
      </w:tr>
      <w:tr w14:paraId="41AE88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4F88401">
            <w:pPr>
              <w:rPr>
                <w:rFonts w:hint="eastAsia" w:ascii="仿宋" w:eastAsia="仿宋"/>
                <w:color w:val="auto"/>
                <w:sz w:val="28"/>
                <w:szCs w:val="28"/>
                <w:highlight w:val="none"/>
              </w:rPr>
            </w:pPr>
            <w:r>
              <w:rPr>
                <w:rFonts w:hint="eastAsia" w:ascii="仿宋" w:eastAsia="仿宋"/>
                <w:color w:val="auto"/>
                <w:sz w:val="28"/>
                <w:szCs w:val="28"/>
                <w:highlight w:val="none"/>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3EB72F3C">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5BC5C7F">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0A50168">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374D1C6">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A38071C">
            <w:pPr>
              <w:rPr>
                <w:rFonts w:hint="eastAsia" w:ascii="仿宋" w:eastAsia="仿宋"/>
                <w:color w:val="auto"/>
                <w:sz w:val="28"/>
                <w:szCs w:val="28"/>
                <w:highlight w:val="none"/>
              </w:rPr>
            </w:pPr>
          </w:p>
        </w:tc>
      </w:tr>
      <w:tr w14:paraId="70297B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C4E0D03">
            <w:pPr>
              <w:rPr>
                <w:rFonts w:hint="eastAsia" w:ascii="仿宋" w:eastAsia="仿宋"/>
                <w:color w:val="auto"/>
                <w:sz w:val="28"/>
                <w:szCs w:val="28"/>
                <w:highlight w:val="none"/>
              </w:rPr>
            </w:pPr>
            <w:r>
              <w:rPr>
                <w:rFonts w:hint="eastAsia" w:ascii="仿宋" w:eastAsia="仿宋"/>
                <w:color w:val="auto"/>
                <w:sz w:val="28"/>
                <w:szCs w:val="28"/>
                <w:highlight w:val="none"/>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B1C24D6">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91CD8AF">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32EA5AC">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7E85A23">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D127121">
            <w:pPr>
              <w:rPr>
                <w:rFonts w:hint="eastAsia" w:ascii="仿宋" w:eastAsia="仿宋"/>
                <w:color w:val="auto"/>
                <w:sz w:val="28"/>
                <w:szCs w:val="28"/>
                <w:highlight w:val="none"/>
              </w:rPr>
            </w:pPr>
          </w:p>
        </w:tc>
      </w:tr>
      <w:tr w14:paraId="4121C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B8EC64F">
            <w:pPr>
              <w:rPr>
                <w:rFonts w:hint="eastAsia" w:ascii="仿宋" w:eastAsia="仿宋"/>
                <w:color w:val="auto"/>
                <w:sz w:val="28"/>
                <w:szCs w:val="28"/>
                <w:highlight w:val="none"/>
              </w:rPr>
            </w:pPr>
            <w:r>
              <w:rPr>
                <w:rFonts w:hint="eastAsia" w:ascii="仿宋" w:eastAsia="仿宋"/>
                <w:color w:val="auto"/>
                <w:spacing w:val="20"/>
                <w:sz w:val="30"/>
                <w:szCs w:val="30"/>
                <w:highlight w:val="none"/>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BFBCBCC">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AF46A3B">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D6175E9">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0747118">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292756C6">
            <w:pPr>
              <w:rPr>
                <w:rFonts w:hint="eastAsia" w:ascii="仿宋" w:eastAsia="仿宋"/>
                <w:color w:val="auto"/>
                <w:sz w:val="28"/>
                <w:szCs w:val="28"/>
                <w:highlight w:val="none"/>
              </w:rPr>
            </w:pPr>
          </w:p>
        </w:tc>
      </w:tr>
    </w:tbl>
    <w:p w14:paraId="16EFBA30">
      <w:pPr>
        <w:adjustRightInd w:val="0"/>
        <w:snapToGrid w:val="0"/>
        <w:ind w:right="172" w:rightChars="82"/>
        <w:rPr>
          <w:rFonts w:hint="eastAsia" w:ascii="仿宋" w:eastAsia="仿宋"/>
          <w:color w:val="auto"/>
          <w:sz w:val="28"/>
          <w:szCs w:val="28"/>
          <w:highlight w:val="none"/>
        </w:rPr>
      </w:pPr>
      <w:r>
        <w:rPr>
          <w:rFonts w:hint="eastAsia" w:ascii="仿宋" w:eastAsia="仿宋"/>
          <w:color w:val="auto"/>
          <w:sz w:val="28"/>
          <w:szCs w:val="28"/>
          <w:highlight w:val="none"/>
        </w:rPr>
        <w:t>注：以上为主要消耗品及易损配件的报价，采购人据此在采购合同中约定相关价格。</w:t>
      </w:r>
    </w:p>
    <w:p w14:paraId="08D72069">
      <w:pPr>
        <w:adjustRightInd w:val="0"/>
        <w:snapToGrid w:val="0"/>
        <w:ind w:right="172" w:rightChars="82" w:firstLine="484" w:firstLineChars="202"/>
        <w:rPr>
          <w:rFonts w:hint="eastAsia" w:ascii="仿宋" w:eastAsia="仿宋"/>
          <w:color w:val="auto"/>
          <w:sz w:val="24"/>
          <w:szCs w:val="24"/>
          <w:highlight w:val="none"/>
        </w:rPr>
      </w:pPr>
    </w:p>
    <w:p w14:paraId="653A4582">
      <w:pPr>
        <w:adjustRightInd w:val="0"/>
        <w:snapToGrid w:val="0"/>
        <w:ind w:right="172" w:rightChars="82" w:firstLine="484" w:firstLineChars="202"/>
        <w:rPr>
          <w:rFonts w:hint="eastAsia" w:ascii="仿宋" w:eastAsia="仿宋"/>
          <w:color w:val="auto"/>
          <w:sz w:val="24"/>
          <w:szCs w:val="24"/>
          <w:highlight w:val="none"/>
        </w:rPr>
      </w:pPr>
    </w:p>
    <w:p w14:paraId="037C4E4D">
      <w:pPr>
        <w:spacing w:line="440" w:lineRule="exact"/>
        <w:jc w:val="left"/>
        <w:rPr>
          <w:rFonts w:hint="eastAsia" w:ascii="仿宋" w:eastAsia="仿宋"/>
          <w:color w:val="auto"/>
          <w:sz w:val="24"/>
          <w:highlight w:val="none"/>
        </w:rPr>
      </w:pPr>
    </w:p>
    <w:p w14:paraId="210B046B">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1AC7DC6E">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8B821C0">
      <w:pPr>
        <w:spacing w:line="440" w:lineRule="exact"/>
        <w:ind w:left="-210" w:leftChars="-100" w:firstLine="120" w:firstLineChars="50"/>
        <w:jc w:val="left"/>
        <w:rPr>
          <w:rFonts w:hint="eastAsia" w:ascii="仿宋" w:eastAsia="仿宋"/>
          <w:color w:val="auto"/>
          <w:sz w:val="24"/>
          <w:highlight w:val="none"/>
        </w:rPr>
      </w:pPr>
      <w:r>
        <w:rPr>
          <w:rFonts w:hint="eastAsia" w:ascii="仿宋" w:eastAsia="仿宋"/>
          <w:color w:val="auto"/>
          <w:sz w:val="24"/>
          <w:highlight w:val="none"/>
        </w:rPr>
        <w:tab/>
      </w:r>
      <w:r>
        <w:rPr>
          <w:rFonts w:hint="eastAsia" w:ascii="仿宋" w:eastAsia="仿宋"/>
          <w:color w:val="auto"/>
          <w:sz w:val="24"/>
          <w:highlight w:val="none"/>
        </w:rPr>
        <w:t xml:space="preserve"> </w:t>
      </w:r>
    </w:p>
    <w:p w14:paraId="0F3A6090">
      <w:pPr>
        <w:spacing w:line="440" w:lineRule="exact"/>
        <w:rPr>
          <w:rFonts w:hint="eastAsia" w:ascii="仿宋" w:eastAsia="仿宋"/>
          <w:b/>
          <w:color w:val="auto"/>
          <w:sz w:val="24"/>
          <w:highlight w:val="none"/>
        </w:rPr>
      </w:pPr>
      <w:r>
        <w:rPr>
          <w:rFonts w:hint="eastAsia" w:ascii="仿宋" w:eastAsia="仿宋"/>
          <w:color w:val="auto"/>
          <w:sz w:val="24"/>
          <w:highlight w:val="none"/>
        </w:rPr>
        <w:t xml:space="preserve">                                             </w:t>
      </w:r>
    </w:p>
    <w:p w14:paraId="1718BF7C">
      <w:pPr>
        <w:rPr>
          <w:rFonts w:hint="eastAsia" w:ascii="仿宋" w:eastAsia="仿宋"/>
          <w:color w:val="auto"/>
          <w:kern w:val="2"/>
          <w:sz w:val="24"/>
          <w:szCs w:val="20"/>
          <w:highlight w:val="none"/>
          <w:u w:val="none"/>
        </w:rPr>
      </w:pPr>
    </w:p>
    <w:p w14:paraId="10844070">
      <w:pPr>
        <w:rPr>
          <w:rFonts w:hint="eastAsia" w:ascii="仿宋" w:eastAsia="仿宋"/>
          <w:color w:val="auto"/>
          <w:kern w:val="2"/>
          <w:sz w:val="24"/>
          <w:szCs w:val="20"/>
          <w:highlight w:val="none"/>
          <w:u w:val="none"/>
        </w:rPr>
      </w:pPr>
    </w:p>
    <w:p w14:paraId="0A734EB7">
      <w:pPr>
        <w:rPr>
          <w:rFonts w:hint="eastAsia" w:ascii="仿宋" w:eastAsia="仿宋"/>
          <w:color w:val="auto"/>
          <w:kern w:val="2"/>
          <w:sz w:val="24"/>
          <w:szCs w:val="20"/>
          <w:highlight w:val="none"/>
          <w:u w:val="none"/>
        </w:rPr>
      </w:pPr>
    </w:p>
    <w:p w14:paraId="38228824">
      <w:pPr>
        <w:rPr>
          <w:rFonts w:hint="eastAsia" w:ascii="仿宋" w:eastAsia="仿宋"/>
          <w:color w:val="auto"/>
          <w:kern w:val="2"/>
          <w:sz w:val="24"/>
          <w:szCs w:val="20"/>
          <w:highlight w:val="none"/>
          <w:u w:val="none"/>
        </w:rPr>
      </w:pPr>
    </w:p>
    <w:p w14:paraId="2A1DB2B5">
      <w:pPr>
        <w:snapToGrid w:val="0"/>
        <w:spacing w:before="50" w:after="50"/>
        <w:jc w:val="left"/>
        <w:rPr>
          <w:rFonts w:hint="eastAsia" w:ascii="仿宋" w:eastAsia="仿宋"/>
          <w:color w:val="auto"/>
          <w:sz w:val="30"/>
          <w:szCs w:val="30"/>
          <w:highlight w:val="none"/>
        </w:rPr>
      </w:pPr>
    </w:p>
    <w:p w14:paraId="630505BB">
      <w:pPr>
        <w:snapToGrid w:val="0"/>
        <w:spacing w:before="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15925D98">
      <w:pPr>
        <w:snapToGrid w:val="0"/>
        <w:spacing w:before="50" w:after="50"/>
        <w:jc w:val="left"/>
        <w:rPr>
          <w:rFonts w:hint="eastAsia" w:ascii="仿宋" w:eastAsia="仿宋"/>
          <w:color w:val="auto"/>
          <w:sz w:val="30"/>
          <w:szCs w:val="30"/>
          <w:highlight w:val="none"/>
        </w:rPr>
      </w:pPr>
    </w:p>
    <w:p w14:paraId="272807C1">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0CF63121">
      <w:pPr>
        <w:pStyle w:val="10"/>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5B4F05D8">
      <w:pPr>
        <w:pStyle w:val="10"/>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09D54436">
      <w:pPr>
        <w:rPr>
          <w:rFonts w:hint="eastAsia" w:ascii="仿宋" w:eastAsia="仿宋"/>
          <w:color w:val="auto"/>
          <w:highlight w:val="none"/>
        </w:rPr>
      </w:pPr>
    </w:p>
    <w:tbl>
      <w:tblPr>
        <w:tblStyle w:val="28"/>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0A944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35FBAEA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514F7CF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4D2F619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306AFB3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46CE764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5CB4F40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4A78F0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4D1DE61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3F6CE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DE01AB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77E7BC9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75EF806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004A48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D05E8A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60365F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06D52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772DAC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712A0AA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91C4F7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9A79F1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421724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9F4340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03DF0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0B131C2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2D984E5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42B8F6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DAD274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FBAC45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B6A6D2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51FAD5A3">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43B17378">
      <w:pPr>
        <w:numPr>
          <w:ilvl w:val="0"/>
          <w:numId w:val="9"/>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7EBEECEA">
      <w:pPr>
        <w:numPr>
          <w:ilvl w:val="0"/>
          <w:numId w:val="9"/>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w:t>
      </w:r>
      <w:r>
        <w:rPr>
          <w:rFonts w:hint="eastAsia" w:ascii="仿宋" w:eastAsia="仿宋"/>
          <w:color w:val="auto"/>
          <w:sz w:val="24"/>
          <w:highlight w:val="none"/>
          <w:lang w:eastAsia="zh"/>
        </w:rPr>
        <w:t>国企</w:t>
      </w:r>
      <w:r>
        <w:rPr>
          <w:rFonts w:hint="eastAsia" w:ascii="仿宋" w:eastAsia="仿宋"/>
          <w:color w:val="auto"/>
          <w:sz w:val="24"/>
          <w:highlight w:val="none"/>
        </w:rPr>
        <w:t>采购活动时该供应商的业绩分为满分。</w:t>
      </w:r>
    </w:p>
    <w:p w14:paraId="3583C6FF">
      <w:pPr>
        <w:rPr>
          <w:rFonts w:hint="eastAsia" w:ascii="仿宋" w:eastAsia="仿宋"/>
          <w:color w:val="auto"/>
          <w:kern w:val="2"/>
          <w:sz w:val="24"/>
          <w:szCs w:val="20"/>
          <w:highlight w:val="none"/>
          <w:u w:val="none"/>
        </w:rPr>
      </w:pPr>
    </w:p>
    <w:p w14:paraId="34A267E2">
      <w:pPr>
        <w:rPr>
          <w:rFonts w:hint="eastAsia" w:ascii="仿宋" w:eastAsia="仿宋"/>
          <w:color w:val="auto"/>
          <w:kern w:val="2"/>
          <w:sz w:val="24"/>
          <w:szCs w:val="20"/>
          <w:highlight w:val="none"/>
          <w:u w:val="none"/>
        </w:rPr>
      </w:pPr>
    </w:p>
    <w:p w14:paraId="5BBD638F">
      <w:pPr>
        <w:rPr>
          <w:rFonts w:hint="eastAsia" w:ascii="仿宋" w:eastAsia="仿宋"/>
          <w:color w:val="auto"/>
          <w:kern w:val="2"/>
          <w:sz w:val="24"/>
          <w:szCs w:val="20"/>
          <w:highlight w:val="none"/>
          <w:u w:val="none"/>
        </w:rPr>
      </w:pPr>
    </w:p>
    <w:p w14:paraId="7F417169">
      <w:pPr>
        <w:rPr>
          <w:rFonts w:hint="eastAsia" w:ascii="仿宋" w:eastAsia="仿宋"/>
          <w:color w:val="auto"/>
          <w:kern w:val="2"/>
          <w:sz w:val="24"/>
          <w:szCs w:val="20"/>
          <w:highlight w:val="none"/>
          <w:u w:val="none"/>
        </w:rPr>
      </w:pPr>
    </w:p>
    <w:p w14:paraId="44270D73">
      <w:pPr>
        <w:rPr>
          <w:rFonts w:ascii="仿宋" w:eastAsia="仿宋"/>
          <w:color w:val="auto"/>
          <w:kern w:val="2"/>
          <w:sz w:val="24"/>
          <w:szCs w:val="20"/>
          <w:highlight w:val="none"/>
          <w:u w:val="none"/>
        </w:rPr>
      </w:pPr>
    </w:p>
    <w:p w14:paraId="706241A8">
      <w:pPr>
        <w:rPr>
          <w:rFonts w:ascii="仿宋" w:eastAsia="仿宋"/>
          <w:color w:val="auto"/>
          <w:kern w:val="2"/>
          <w:sz w:val="24"/>
          <w:szCs w:val="20"/>
          <w:highlight w:val="none"/>
          <w:u w:val="none"/>
        </w:rPr>
      </w:pPr>
    </w:p>
    <w:p w14:paraId="176C6CA7">
      <w:pPr>
        <w:rPr>
          <w:rFonts w:ascii="仿宋" w:eastAsia="仿宋"/>
          <w:color w:val="auto"/>
          <w:kern w:val="2"/>
          <w:sz w:val="24"/>
          <w:szCs w:val="20"/>
          <w:highlight w:val="none"/>
          <w:u w:val="none"/>
        </w:rPr>
      </w:pPr>
    </w:p>
    <w:p w14:paraId="6837768D">
      <w:pPr>
        <w:rPr>
          <w:rFonts w:hint="eastAsia" w:ascii="仿宋" w:eastAsia="仿宋"/>
          <w:color w:val="auto"/>
          <w:kern w:val="2"/>
          <w:sz w:val="24"/>
          <w:szCs w:val="20"/>
          <w:highlight w:val="none"/>
          <w:u w:val="none"/>
        </w:rPr>
      </w:pPr>
    </w:p>
    <w:p w14:paraId="6F2B1545">
      <w:pPr>
        <w:rPr>
          <w:rFonts w:hint="eastAsia" w:ascii="仿宋" w:eastAsia="仿宋"/>
          <w:color w:val="auto"/>
          <w:kern w:val="2"/>
          <w:sz w:val="24"/>
          <w:szCs w:val="20"/>
          <w:highlight w:val="none"/>
          <w:u w:val="none"/>
        </w:rPr>
      </w:pPr>
    </w:p>
    <w:p w14:paraId="7150F568">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0CD23489">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5D826AF8">
      <w:pPr>
        <w:rPr>
          <w:rFonts w:ascii="仿宋" w:eastAsia="仿宋"/>
          <w:color w:val="auto"/>
          <w:kern w:val="2"/>
          <w:sz w:val="24"/>
          <w:szCs w:val="20"/>
          <w:highlight w:val="none"/>
          <w:u w:val="none"/>
        </w:rPr>
      </w:pPr>
    </w:p>
    <w:p w14:paraId="13CF4AFA">
      <w:pPr>
        <w:rPr>
          <w:rFonts w:hint="eastAsia" w:ascii="仿宋" w:eastAsia="仿宋"/>
          <w:color w:val="auto"/>
          <w:kern w:val="2"/>
          <w:sz w:val="24"/>
          <w:szCs w:val="20"/>
          <w:highlight w:val="none"/>
          <w:u w:val="none"/>
        </w:rPr>
      </w:pPr>
    </w:p>
    <w:p w14:paraId="3BF5B31C">
      <w:pPr>
        <w:snapToGrid w:val="0"/>
        <w:spacing w:before="156" w:beforeLines="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eastAsia="zh"/>
        </w:rPr>
        <w:t>6</w:t>
      </w:r>
      <w:r>
        <w:rPr>
          <w:rFonts w:hint="eastAsia" w:ascii="仿宋" w:eastAsia="仿宋"/>
          <w:b/>
          <w:bCs/>
          <w:color w:val="auto"/>
          <w:sz w:val="30"/>
          <w:szCs w:val="30"/>
          <w:highlight w:val="none"/>
        </w:rPr>
        <w:t>：报价文件封面</w:t>
      </w:r>
    </w:p>
    <w:p w14:paraId="61562440">
      <w:pPr>
        <w:snapToGrid w:val="0"/>
        <w:spacing w:before="156" w:beforeLines="50" w:after="50"/>
        <w:jc w:val="right"/>
        <w:rPr>
          <w:rFonts w:hint="eastAsia" w:ascii="仿宋" w:eastAsia="仿宋"/>
          <w:b/>
          <w:color w:val="auto"/>
          <w:sz w:val="30"/>
          <w:szCs w:val="30"/>
          <w:highlight w:val="none"/>
        </w:rPr>
      </w:pPr>
    </w:p>
    <w:p w14:paraId="542E0BA2">
      <w:pPr>
        <w:snapToGrid w:val="0"/>
        <w:spacing w:before="156" w:beforeLines="50" w:after="50"/>
        <w:jc w:val="right"/>
        <w:rPr>
          <w:rFonts w:hint="eastAsia" w:ascii="仿宋" w:eastAsia="仿宋"/>
          <w:bCs/>
          <w:color w:val="auto"/>
          <w:sz w:val="30"/>
          <w:szCs w:val="30"/>
          <w:highlight w:val="none"/>
        </w:rPr>
      </w:pPr>
    </w:p>
    <w:p w14:paraId="6447B954">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54844C66">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19E49583">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1946D54E">
      <w:pPr>
        <w:spacing w:line="1200" w:lineRule="exact"/>
        <w:ind w:right="6"/>
        <w:jc w:val="center"/>
        <w:rPr>
          <w:rFonts w:hint="eastAsia" w:ascii="仿宋" w:eastAsia="仿宋"/>
          <w:color w:val="auto"/>
          <w:sz w:val="72"/>
          <w:szCs w:val="72"/>
          <w:highlight w:val="none"/>
        </w:rPr>
      </w:pPr>
    </w:p>
    <w:p w14:paraId="775B42D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报</w:t>
      </w:r>
    </w:p>
    <w:p w14:paraId="38C0A67F">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价</w:t>
      </w:r>
    </w:p>
    <w:p w14:paraId="78522137">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0D26E4E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575C270A">
      <w:pPr>
        <w:spacing w:line="1200" w:lineRule="exact"/>
        <w:ind w:right="6"/>
        <w:jc w:val="center"/>
        <w:rPr>
          <w:rFonts w:hint="eastAsia" w:ascii="仿宋" w:eastAsia="仿宋"/>
          <w:color w:val="auto"/>
          <w:sz w:val="72"/>
          <w:szCs w:val="72"/>
          <w:highlight w:val="none"/>
        </w:rPr>
      </w:pPr>
    </w:p>
    <w:p w14:paraId="5DB14075">
      <w:pPr>
        <w:spacing w:line="1200" w:lineRule="exact"/>
        <w:ind w:right="6"/>
        <w:jc w:val="center"/>
        <w:rPr>
          <w:rFonts w:hint="eastAsia" w:ascii="仿宋" w:eastAsia="仿宋"/>
          <w:color w:val="auto"/>
          <w:sz w:val="72"/>
          <w:szCs w:val="72"/>
          <w:highlight w:val="none"/>
        </w:rPr>
      </w:pPr>
    </w:p>
    <w:p w14:paraId="53037558">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20BEFA6F">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5CA30C6">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5B506C42">
      <w:pPr>
        <w:rPr>
          <w:rFonts w:hint="eastAsia" w:ascii="仿宋" w:eastAsia="仿宋"/>
          <w:color w:val="auto"/>
          <w:kern w:val="2"/>
          <w:sz w:val="24"/>
          <w:szCs w:val="20"/>
          <w:highlight w:val="none"/>
          <w:u w:val="none"/>
        </w:rPr>
      </w:pPr>
    </w:p>
    <w:p w14:paraId="3D748DF1">
      <w:pPr>
        <w:snapToGrid w:val="0"/>
        <w:spacing w:before="156" w:beforeLines="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eastAsia="zh"/>
        </w:rPr>
        <w:t>7</w:t>
      </w:r>
      <w:r>
        <w:rPr>
          <w:rFonts w:hint="eastAsia" w:ascii="仿宋" w:eastAsia="仿宋"/>
          <w:b/>
          <w:bCs/>
          <w:color w:val="auto"/>
          <w:sz w:val="30"/>
          <w:szCs w:val="30"/>
          <w:highlight w:val="none"/>
        </w:rPr>
        <w:t>：报价文件目录</w:t>
      </w:r>
    </w:p>
    <w:p w14:paraId="2FF1E5DE">
      <w:pPr>
        <w:snapToGrid w:val="0"/>
        <w:spacing w:before="156" w:beforeLines="50" w:after="50"/>
        <w:jc w:val="left"/>
        <w:rPr>
          <w:rFonts w:hint="eastAsia" w:ascii="仿宋" w:eastAsia="仿宋"/>
          <w:color w:val="auto"/>
          <w:sz w:val="30"/>
          <w:szCs w:val="30"/>
          <w:highlight w:val="none"/>
        </w:rPr>
      </w:pPr>
    </w:p>
    <w:p w14:paraId="14BA3719">
      <w:pPr>
        <w:pStyle w:val="40"/>
        <w:spacing w:line="360" w:lineRule="auto"/>
        <w:ind w:firstLine="0" w:firstLineChars="0"/>
        <w:jc w:val="center"/>
        <w:rPr>
          <w:rFonts w:hint="eastAsia" w:ascii="仿宋" w:eastAsia="仿宋" w:cs="仿宋_GB2312"/>
          <w:color w:val="auto"/>
          <w:highlight w:val="none"/>
        </w:rPr>
      </w:pPr>
      <w:bookmarkStart w:id="93" w:name="_Toc64369825"/>
      <w:r>
        <w:rPr>
          <w:rFonts w:hint="eastAsia" w:ascii="仿宋" w:eastAsia="仿宋" w:cs="仿宋_GB2312"/>
          <w:color w:val="auto"/>
          <w:highlight w:val="none"/>
        </w:rPr>
        <w:t>目 录</w:t>
      </w:r>
      <w:bookmarkEnd w:id="93"/>
    </w:p>
    <w:p w14:paraId="512D82BF">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1</w:t>
      </w:r>
      <w:r>
        <w:rPr>
          <w:rFonts w:hint="eastAsia" w:ascii="仿宋" w:eastAsia="仿宋" w:cs="仿宋_GB2312"/>
          <w:color w:val="auto"/>
          <w:highlight w:val="none"/>
        </w:rPr>
        <w:t>.中小企业声明函（如有）…………………………………………………（页码）</w:t>
      </w:r>
    </w:p>
    <w:p w14:paraId="1DDEE8B2">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2</w:t>
      </w:r>
      <w:r>
        <w:rPr>
          <w:rFonts w:hint="eastAsia" w:ascii="仿宋" w:eastAsia="仿宋" w:cs="仿宋_GB2312"/>
          <w:color w:val="auto"/>
          <w:highlight w:val="none"/>
        </w:rPr>
        <w:t>.残疾人福利性单位声明函（如有）………………………………………（页码）</w:t>
      </w:r>
    </w:p>
    <w:p w14:paraId="09295E38">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3</w:t>
      </w:r>
      <w:r>
        <w:rPr>
          <w:rFonts w:hint="eastAsia" w:ascii="仿宋" w:eastAsia="仿宋" w:cs="仿宋_GB2312"/>
          <w:color w:val="auto"/>
          <w:highlight w:val="none"/>
        </w:rPr>
        <w:t>.开标一览表 …………………………………………………………………（页码）</w:t>
      </w:r>
    </w:p>
    <w:p w14:paraId="28F7387E">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.关于报价的其他说明（如有，自拟）……………………………………（页码）</w:t>
      </w:r>
    </w:p>
    <w:p w14:paraId="4DA89392">
      <w:pPr>
        <w:snapToGrid w:val="0"/>
        <w:spacing w:before="50" w:after="50"/>
        <w:jc w:val="left"/>
        <w:rPr>
          <w:rFonts w:hint="eastAsia" w:ascii="仿宋" w:eastAsia="仿宋"/>
          <w:b/>
          <w:color w:val="auto"/>
          <w:sz w:val="36"/>
          <w:szCs w:val="36"/>
          <w:highlight w:val="none"/>
        </w:rPr>
      </w:pPr>
    </w:p>
    <w:p w14:paraId="3FD5D873">
      <w:pPr>
        <w:snapToGrid w:val="0"/>
        <w:spacing w:before="50" w:after="50"/>
        <w:jc w:val="left"/>
        <w:rPr>
          <w:rFonts w:ascii="仿宋" w:eastAsia="仿宋"/>
          <w:b/>
          <w:color w:val="auto"/>
          <w:sz w:val="36"/>
          <w:szCs w:val="36"/>
          <w:highlight w:val="non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val="en-US" w:eastAsia="zh-CN"/>
        </w:rPr>
        <w:t>开标一览表</w:t>
      </w:r>
      <w:r>
        <w:rPr>
          <w:rFonts w:hint="eastAsia" w:ascii="仿宋" w:eastAsia="仿宋"/>
          <w:b/>
          <w:bCs/>
          <w:color w:val="auto"/>
          <w:sz w:val="32"/>
          <w:szCs w:val="32"/>
          <w:highlight w:val="none"/>
          <w:u w:val="single"/>
        </w:rPr>
        <w:t>”按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文件规定</w:t>
      </w:r>
      <w:r>
        <w:rPr>
          <w:rFonts w:ascii="仿宋" w:eastAsia="仿宋"/>
          <w:b/>
          <w:bCs/>
          <w:color w:val="auto"/>
          <w:sz w:val="32"/>
          <w:szCs w:val="32"/>
          <w:highlight w:val="none"/>
          <w:u w:val="single"/>
        </w:rPr>
        <w:t>的内容</w:t>
      </w:r>
      <w:r>
        <w:rPr>
          <w:rFonts w:hint="eastAsia" w:ascii="仿宋" w:eastAsia="仿宋"/>
          <w:b/>
          <w:bCs/>
          <w:color w:val="auto"/>
          <w:sz w:val="32"/>
          <w:szCs w:val="32"/>
          <w:highlight w:val="none"/>
          <w:u w:val="single"/>
        </w:rPr>
        <w:t>填写，</w:t>
      </w:r>
      <w:r>
        <w:rPr>
          <w:rFonts w:ascii="仿宋" w:eastAsia="仿宋"/>
          <w:b/>
          <w:bCs/>
          <w:color w:val="auto"/>
          <w:sz w:val="32"/>
          <w:szCs w:val="32"/>
          <w:highlight w:val="none"/>
          <w:u w:val="single"/>
        </w:rPr>
        <w:t>内容有实质性偏离的作</w:t>
      </w:r>
      <w:r>
        <w:rPr>
          <w:rFonts w:hint="eastAsia" w:ascii="仿宋" w:eastAsia="仿宋"/>
          <w:b/>
          <w:bCs/>
          <w:color w:val="auto"/>
          <w:sz w:val="32"/>
          <w:szCs w:val="32"/>
          <w:highlight w:val="none"/>
          <w:u w:val="single"/>
        </w:rPr>
        <w:t>无效</w:t>
      </w:r>
      <w:r>
        <w:rPr>
          <w:rFonts w:ascii="仿宋" w:eastAsia="仿宋"/>
          <w:b/>
          <w:bCs/>
          <w:color w:val="auto"/>
          <w:sz w:val="32"/>
          <w:szCs w:val="32"/>
          <w:highlight w:val="none"/>
          <w:u w:val="single"/>
        </w:rPr>
        <w:t>投标处理。</w:t>
      </w:r>
    </w:p>
    <w:p w14:paraId="08BF8E0E">
      <w:pPr>
        <w:snapToGrid w:val="0"/>
        <w:spacing w:before="50" w:after="50"/>
        <w:jc w:val="left"/>
        <w:rPr>
          <w:rFonts w:hint="eastAsia" w:ascii="仿宋" w:eastAsia="仿宋"/>
          <w:b/>
          <w:color w:val="auto"/>
          <w:sz w:val="36"/>
          <w:szCs w:val="36"/>
          <w:highlight w:val="none"/>
        </w:rPr>
      </w:pPr>
    </w:p>
    <w:p w14:paraId="270A1C76">
      <w:pPr>
        <w:snapToGrid w:val="0"/>
        <w:spacing w:before="50" w:after="50"/>
        <w:jc w:val="left"/>
        <w:rPr>
          <w:rFonts w:hint="eastAsia" w:ascii="仿宋" w:eastAsia="仿宋"/>
          <w:b/>
          <w:color w:val="auto"/>
          <w:sz w:val="36"/>
          <w:szCs w:val="36"/>
          <w:highlight w:val="none"/>
        </w:rPr>
      </w:pPr>
    </w:p>
    <w:p w14:paraId="095E084B">
      <w:pPr>
        <w:snapToGrid w:val="0"/>
        <w:spacing w:before="50" w:after="50"/>
        <w:jc w:val="left"/>
        <w:rPr>
          <w:rFonts w:hint="eastAsia" w:ascii="仿宋" w:eastAsia="仿宋"/>
          <w:b/>
          <w:color w:val="auto"/>
          <w:sz w:val="36"/>
          <w:szCs w:val="36"/>
          <w:highlight w:val="none"/>
        </w:rPr>
      </w:pPr>
    </w:p>
    <w:p w14:paraId="114C2129">
      <w:pPr>
        <w:snapToGrid w:val="0"/>
        <w:spacing w:before="50" w:after="50"/>
        <w:jc w:val="left"/>
        <w:rPr>
          <w:rFonts w:hint="eastAsia" w:ascii="仿宋" w:eastAsia="仿宋"/>
          <w:b/>
          <w:color w:val="auto"/>
          <w:sz w:val="36"/>
          <w:szCs w:val="36"/>
          <w:highlight w:val="none"/>
        </w:rPr>
      </w:pPr>
    </w:p>
    <w:p w14:paraId="63096606">
      <w:pPr>
        <w:snapToGrid w:val="0"/>
        <w:spacing w:before="50" w:after="50"/>
        <w:jc w:val="left"/>
        <w:rPr>
          <w:rFonts w:hint="eastAsia" w:ascii="仿宋" w:eastAsia="仿宋"/>
          <w:b/>
          <w:color w:val="auto"/>
          <w:sz w:val="36"/>
          <w:szCs w:val="36"/>
          <w:highlight w:val="none"/>
        </w:rPr>
      </w:pPr>
    </w:p>
    <w:p w14:paraId="1958BAEA">
      <w:pPr>
        <w:snapToGrid w:val="0"/>
        <w:spacing w:before="50" w:after="50"/>
        <w:jc w:val="left"/>
        <w:rPr>
          <w:rFonts w:hint="eastAsia" w:ascii="仿宋" w:eastAsia="仿宋"/>
          <w:b/>
          <w:color w:val="auto"/>
          <w:sz w:val="36"/>
          <w:szCs w:val="36"/>
          <w:highlight w:val="none"/>
        </w:rPr>
      </w:pPr>
    </w:p>
    <w:p w14:paraId="4B7573F2">
      <w:pPr>
        <w:snapToGrid w:val="0"/>
        <w:spacing w:before="50" w:after="50"/>
        <w:jc w:val="left"/>
        <w:rPr>
          <w:rFonts w:hint="eastAsia" w:ascii="仿宋" w:eastAsia="仿宋"/>
          <w:b/>
          <w:color w:val="auto"/>
          <w:sz w:val="36"/>
          <w:szCs w:val="36"/>
          <w:highlight w:val="none"/>
        </w:rPr>
      </w:pPr>
    </w:p>
    <w:p w14:paraId="5E9011B6">
      <w:pPr>
        <w:snapToGrid w:val="0"/>
        <w:spacing w:before="50" w:after="50"/>
        <w:jc w:val="left"/>
        <w:rPr>
          <w:rFonts w:hint="eastAsia" w:ascii="仿宋" w:eastAsia="仿宋"/>
          <w:b/>
          <w:color w:val="auto"/>
          <w:sz w:val="36"/>
          <w:szCs w:val="36"/>
          <w:highlight w:val="none"/>
        </w:rPr>
      </w:pPr>
    </w:p>
    <w:p w14:paraId="703083DB">
      <w:pPr>
        <w:snapToGrid w:val="0"/>
        <w:spacing w:before="50" w:after="50"/>
        <w:jc w:val="left"/>
        <w:rPr>
          <w:rFonts w:hint="eastAsia" w:ascii="仿宋" w:eastAsia="仿宋"/>
          <w:b/>
          <w:color w:val="auto"/>
          <w:sz w:val="36"/>
          <w:szCs w:val="36"/>
          <w:highlight w:val="none"/>
        </w:rPr>
      </w:pPr>
    </w:p>
    <w:p w14:paraId="3C0E8373">
      <w:pPr>
        <w:snapToGrid w:val="0"/>
        <w:spacing w:before="50" w:after="50"/>
        <w:jc w:val="left"/>
        <w:rPr>
          <w:rFonts w:hint="eastAsia" w:ascii="仿宋" w:eastAsia="仿宋"/>
          <w:b/>
          <w:color w:val="auto"/>
          <w:sz w:val="36"/>
          <w:szCs w:val="36"/>
          <w:highlight w:val="none"/>
        </w:rPr>
      </w:pPr>
    </w:p>
    <w:p w14:paraId="567FC213">
      <w:pPr>
        <w:snapToGrid w:val="0"/>
        <w:spacing w:before="50" w:after="50"/>
        <w:jc w:val="left"/>
        <w:rPr>
          <w:rFonts w:hint="eastAsia" w:ascii="仿宋" w:eastAsia="仿宋"/>
          <w:b/>
          <w:color w:val="auto"/>
          <w:sz w:val="36"/>
          <w:szCs w:val="36"/>
          <w:highlight w:val="none"/>
        </w:rPr>
      </w:pPr>
    </w:p>
    <w:p w14:paraId="356258DF">
      <w:pPr>
        <w:snapToGrid w:val="0"/>
        <w:spacing w:before="50" w:after="50"/>
        <w:jc w:val="left"/>
        <w:rPr>
          <w:rFonts w:hint="eastAsia" w:ascii="仿宋" w:eastAsia="仿宋"/>
          <w:b/>
          <w:color w:val="auto"/>
          <w:sz w:val="36"/>
          <w:szCs w:val="36"/>
          <w:highlight w:val="none"/>
        </w:rPr>
      </w:pPr>
    </w:p>
    <w:p w14:paraId="0FB047A7">
      <w:pPr>
        <w:snapToGrid w:val="0"/>
        <w:spacing w:before="50" w:after="50"/>
        <w:jc w:val="left"/>
        <w:rPr>
          <w:rFonts w:hint="eastAsia" w:ascii="仿宋" w:eastAsia="仿宋"/>
          <w:b/>
          <w:color w:val="auto"/>
          <w:sz w:val="36"/>
          <w:szCs w:val="36"/>
          <w:highlight w:val="none"/>
        </w:rPr>
      </w:pPr>
    </w:p>
    <w:p w14:paraId="759FD3D3">
      <w:pPr>
        <w:snapToGrid w:val="0"/>
        <w:spacing w:before="50" w:after="50"/>
        <w:jc w:val="left"/>
        <w:rPr>
          <w:rFonts w:hint="eastAsia" w:ascii="仿宋" w:eastAsia="仿宋"/>
          <w:b/>
          <w:color w:val="auto"/>
          <w:sz w:val="36"/>
          <w:szCs w:val="36"/>
          <w:highlight w:val="none"/>
        </w:rPr>
      </w:pPr>
    </w:p>
    <w:p w14:paraId="55296B93">
      <w:pPr>
        <w:snapToGrid w:val="0"/>
        <w:spacing w:before="50" w:after="50"/>
        <w:jc w:val="left"/>
        <w:rPr>
          <w:rFonts w:hint="eastAsia" w:ascii="仿宋" w:eastAsia="仿宋"/>
          <w:b/>
          <w:color w:val="auto"/>
          <w:sz w:val="36"/>
          <w:szCs w:val="36"/>
          <w:highlight w:val="none"/>
        </w:rPr>
      </w:pPr>
    </w:p>
    <w:p w14:paraId="3A9CF458">
      <w:pPr>
        <w:snapToGrid w:val="0"/>
        <w:spacing w:before="50" w:after="50"/>
        <w:jc w:val="left"/>
        <w:rPr>
          <w:rFonts w:hint="eastAsia" w:ascii="仿宋" w:eastAsia="仿宋"/>
          <w:b/>
          <w:color w:val="auto"/>
          <w:sz w:val="36"/>
          <w:szCs w:val="36"/>
          <w:highlight w:val="none"/>
        </w:rPr>
      </w:pPr>
    </w:p>
    <w:p w14:paraId="26C3890B">
      <w:pPr>
        <w:snapToGrid w:val="0"/>
        <w:spacing w:before="50" w:after="50"/>
        <w:jc w:val="left"/>
        <w:rPr>
          <w:rFonts w:hint="eastAsia" w:ascii="仿宋" w:eastAsia="仿宋"/>
          <w:b/>
          <w:color w:val="auto"/>
          <w:sz w:val="21"/>
          <w:szCs w:val="21"/>
          <w:highlight w:val="none"/>
        </w:rPr>
      </w:pPr>
    </w:p>
    <w:p w14:paraId="0D7650C9">
      <w:pPr>
        <w:snapToGrid w:val="0"/>
        <w:spacing w:before="50" w:after="50"/>
        <w:jc w:val="left"/>
        <w:rPr>
          <w:rFonts w:hint="eastAsia" w:ascii="仿宋" w:eastAsia="仿宋"/>
          <w:b/>
          <w:color w:val="auto"/>
          <w:sz w:val="21"/>
          <w:szCs w:val="21"/>
          <w:highlight w:val="none"/>
        </w:rPr>
      </w:pPr>
    </w:p>
    <w:p w14:paraId="05FE41F9">
      <w:pPr>
        <w:snapToGrid w:val="0"/>
        <w:spacing w:before="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lang w:val="en-US" w:eastAsia="zh"/>
        </w:rPr>
        <w:t>8</w:t>
      </w:r>
      <w:r>
        <w:rPr>
          <w:rFonts w:hint="eastAsia" w:ascii="仿宋" w:eastAsia="仿宋"/>
          <w:b/>
          <w:bCs/>
          <w:color w:val="auto"/>
          <w:sz w:val="30"/>
          <w:szCs w:val="30"/>
          <w:highlight w:val="none"/>
        </w:rPr>
        <w:t>：（如有）</w:t>
      </w:r>
    </w:p>
    <w:p w14:paraId="545DA43A">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中小企业声明函</w:t>
      </w:r>
    </w:p>
    <w:p w14:paraId="7CD85D8D">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（采购人名称）</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采购活动，提供的货物全部由符合政策要求的中小企业制造。相关企业（含联合体中的中小企业、签订分包意向协议的中小企业）的具体情况如下：</w:t>
      </w:r>
    </w:p>
    <w:p w14:paraId="59290773">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行业 ；制造商为</w:t>
      </w:r>
      <w:r>
        <w:rPr>
          <w:rFonts w:hint="eastAsia" w:ascii="仿宋" w:eastAsia="仿宋"/>
          <w:color w:val="auto"/>
          <w:sz w:val="24"/>
          <w:szCs w:val="24"/>
          <w:highlight w:val="none"/>
          <w:u w:val="single"/>
        </w:rPr>
        <w:t xml:space="preserve">   （企业名称）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hint="eastAsia" w:ascii="仿宋" w:eastAsia="仿宋"/>
          <w:color w:val="auto"/>
          <w:sz w:val="24"/>
          <w:szCs w:val="24"/>
          <w:highlight w:val="none"/>
        </w:rPr>
        <w:t xml:space="preserve"> ；</w:t>
      </w:r>
    </w:p>
    <w:p w14:paraId="649CC2B4">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行业 ；制造商为</w:t>
      </w:r>
      <w:r>
        <w:rPr>
          <w:rFonts w:hint="eastAsia" w:ascii="仿宋" w:eastAsia="仿宋"/>
          <w:color w:val="auto"/>
          <w:sz w:val="24"/>
          <w:szCs w:val="24"/>
          <w:highlight w:val="none"/>
          <w:u w:val="single"/>
        </w:rPr>
        <w:t xml:space="preserve">   （企业名称）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hint="eastAsia" w:ascii="仿宋" w:eastAsia="仿宋"/>
          <w:color w:val="auto"/>
          <w:sz w:val="24"/>
          <w:szCs w:val="24"/>
          <w:highlight w:val="none"/>
        </w:rPr>
        <w:t xml:space="preserve"> ；</w:t>
      </w:r>
    </w:p>
    <w:p w14:paraId="5EA61637">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w:t>
      </w:r>
    </w:p>
    <w:p w14:paraId="6DD7E2EE">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001E3B8E">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5FD7E161">
      <w:pPr>
        <w:snapToGrid w:val="0"/>
        <w:spacing w:before="50" w:after="50" w:line="360" w:lineRule="auto"/>
        <w:ind w:firstLine="480" w:firstLineChars="200"/>
        <w:jc w:val="left"/>
        <w:rPr>
          <w:rFonts w:ascii="仿宋" w:eastAsia="仿宋"/>
          <w:color w:val="auto"/>
          <w:sz w:val="24"/>
          <w:szCs w:val="24"/>
          <w:highlight w:val="none"/>
        </w:rPr>
      </w:pPr>
    </w:p>
    <w:p w14:paraId="6055CF04">
      <w:pPr>
        <w:snapToGrid w:val="0"/>
        <w:spacing w:before="50" w:after="50" w:line="360" w:lineRule="auto"/>
        <w:ind w:firstLine="480" w:firstLineChars="200"/>
        <w:jc w:val="left"/>
        <w:rPr>
          <w:rFonts w:ascii="仿宋" w:eastAsia="仿宋"/>
          <w:color w:val="auto"/>
          <w:sz w:val="24"/>
          <w:szCs w:val="24"/>
          <w:highlight w:val="none"/>
        </w:rPr>
      </w:pPr>
    </w:p>
    <w:p w14:paraId="2E109980">
      <w:pPr>
        <w:snapToGrid w:val="0"/>
        <w:spacing w:before="50" w:after="50" w:line="360" w:lineRule="auto"/>
        <w:ind w:firstLine="480" w:firstLineChars="200"/>
        <w:jc w:val="left"/>
        <w:rPr>
          <w:rFonts w:ascii="仿宋" w:eastAsia="仿宋"/>
          <w:color w:val="auto"/>
          <w:sz w:val="24"/>
          <w:szCs w:val="24"/>
          <w:highlight w:val="none"/>
        </w:rPr>
      </w:pPr>
    </w:p>
    <w:p w14:paraId="2782EB36">
      <w:pPr>
        <w:snapToGrid w:val="0"/>
        <w:spacing w:before="50" w:after="50" w:line="360" w:lineRule="auto"/>
        <w:ind w:firstLine="4680" w:firstLineChars="195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05A888ED">
      <w:pPr>
        <w:snapToGrid w:val="0"/>
        <w:spacing w:before="50" w:after="50" w:line="360" w:lineRule="auto"/>
        <w:ind w:firstLine="4680" w:firstLineChars="195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6B5351D4">
      <w:pPr>
        <w:snapToGrid w:val="0"/>
        <w:spacing w:before="50" w:after="50" w:line="240" w:lineRule="auto"/>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32FDF4B3">
      <w:pPr>
        <w:numPr>
          <w:ilvl w:val="0"/>
          <w:numId w:val="10"/>
        </w:numPr>
        <w:snapToGrid w:val="0"/>
        <w:spacing w:before="50" w:after="50" w:line="240" w:lineRule="auto"/>
        <w:jc w:val="left"/>
        <w:rPr>
          <w:rFonts w:ascii="仿宋" w:eastAsia="仿宋"/>
          <w:b/>
          <w:bCs/>
          <w:color w:val="auto"/>
          <w:sz w:val="24"/>
          <w:szCs w:val="24"/>
          <w:highlight w:val="none"/>
        </w:rPr>
      </w:pPr>
      <w:r>
        <w:rPr>
          <w:rFonts w:ascii="仿宋" w:eastAsia="仿宋"/>
          <w:b/>
          <w:bCs/>
          <w:color w:val="auto"/>
          <w:sz w:val="24"/>
          <w:szCs w:val="24"/>
          <w:highlight w:val="none"/>
        </w:rPr>
        <w:t>规模划分按《工信部关于印发中小企业划型标准规定的通知（工信部联企业〔2011〕300号）》执行。从业人员、营业收入、资产总额填报上一年度数据，无上一年度数据的新成立企业可不填报。</w:t>
      </w:r>
    </w:p>
    <w:p w14:paraId="5D1A3911">
      <w:pPr>
        <w:numPr>
          <w:ilvl w:val="0"/>
          <w:numId w:val="10"/>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30D7D97C">
      <w:pPr>
        <w:numPr>
          <w:ilvl w:val="0"/>
          <w:numId w:val="10"/>
        </w:numPr>
        <w:snapToGrid w:val="0"/>
        <w:spacing w:before="50" w:after="50" w:line="240" w:lineRule="auto"/>
        <w:jc w:val="left"/>
        <w:rPr>
          <w:rFonts w:ascii="仿宋" w:eastAsia="仿宋"/>
          <w:b/>
          <w:color w:val="auto"/>
          <w:sz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“标的名称”、“所属行业”按前附表所列填写，有实质性偏离的将不予享受价格扣除。</w:t>
      </w:r>
    </w:p>
    <w:p w14:paraId="65FE6BED">
      <w:pPr>
        <w:numPr>
          <w:ilvl w:val="0"/>
          <w:numId w:val="10"/>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36E0DFA3">
      <w:pPr>
        <w:spacing w:line="588" w:lineRule="exact"/>
        <w:outlineLvl w:val="1"/>
        <w:rPr>
          <w:rFonts w:hint="eastAsia" w:ascii="仿宋" w:eastAsia="仿宋"/>
          <w:b/>
          <w:color w:val="auto"/>
          <w:spacing w:val="6"/>
          <w:sz w:val="30"/>
          <w:szCs w:val="30"/>
          <w:highlight w:val="none"/>
        </w:rPr>
      </w:pPr>
      <w:bookmarkStart w:id="94"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eastAsia="zh"/>
        </w:rPr>
        <w:t>19</w:t>
      </w:r>
      <w:r>
        <w:rPr>
          <w:rFonts w:hint="eastAsia" w:ascii="仿宋" w:eastAsia="仿宋"/>
          <w:b/>
          <w:color w:val="auto"/>
          <w:spacing w:val="6"/>
          <w:sz w:val="30"/>
          <w:szCs w:val="30"/>
          <w:highlight w:val="none"/>
        </w:rPr>
        <w:t>：（如有）</w:t>
      </w:r>
    </w:p>
    <w:bookmarkEnd w:id="94"/>
    <w:p w14:paraId="29E4051E">
      <w:pPr>
        <w:spacing w:line="588" w:lineRule="exact"/>
        <w:ind w:firstLine="667"/>
        <w:jc w:val="center"/>
        <w:rPr>
          <w:rFonts w:hint="eastAsia" w:ascii="仿宋" w:eastAsia="仿宋"/>
          <w:b/>
          <w:color w:val="auto"/>
          <w:spacing w:val="6"/>
          <w:sz w:val="32"/>
          <w:szCs w:val="32"/>
          <w:highlight w:val="none"/>
        </w:rPr>
      </w:pPr>
    </w:p>
    <w:p w14:paraId="12FC2768">
      <w:pPr>
        <w:spacing w:line="588" w:lineRule="exact"/>
        <w:ind w:firstLine="667"/>
        <w:jc w:val="center"/>
        <w:rPr>
          <w:rFonts w:hint="eastAsia"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残疾人福利性单位声明函</w:t>
      </w:r>
    </w:p>
    <w:p w14:paraId="7570E0A2">
      <w:pPr>
        <w:spacing w:line="588" w:lineRule="exact"/>
        <w:ind w:firstLine="626"/>
        <w:rPr>
          <w:rFonts w:hint="eastAsia" w:ascii="仿宋" w:eastAsia="仿宋"/>
          <w:b/>
          <w:color w:val="auto"/>
          <w:spacing w:val="6"/>
          <w:sz w:val="30"/>
          <w:szCs w:val="30"/>
          <w:highlight w:val="none"/>
        </w:rPr>
      </w:pPr>
    </w:p>
    <w:p w14:paraId="279EEB4D">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7EA3A677">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4CF7D1CA">
      <w:pPr>
        <w:spacing w:line="588" w:lineRule="exact"/>
        <w:ind w:firstLine="480"/>
        <w:rPr>
          <w:rFonts w:hint="eastAsia" w:ascii="仿宋" w:eastAsia="仿宋" w:cs="仿宋_GB2312"/>
          <w:color w:val="auto"/>
          <w:sz w:val="24"/>
          <w:highlight w:val="none"/>
        </w:rPr>
      </w:pPr>
    </w:p>
    <w:p w14:paraId="7C86B4FC">
      <w:pPr>
        <w:spacing w:line="588" w:lineRule="exact"/>
        <w:ind w:firstLine="480"/>
        <w:rPr>
          <w:rFonts w:hint="eastAsia" w:ascii="仿宋" w:eastAsia="仿宋" w:cs="仿宋_GB2312"/>
          <w:color w:val="auto"/>
          <w:sz w:val="24"/>
          <w:highlight w:val="none"/>
        </w:rPr>
      </w:pPr>
    </w:p>
    <w:p w14:paraId="19F4294D">
      <w:pPr>
        <w:spacing w:line="588" w:lineRule="exact"/>
        <w:ind w:firstLine="480"/>
        <w:rPr>
          <w:rFonts w:hint="eastAsia" w:ascii="仿宋" w:eastAsia="仿宋" w:cs="仿宋_GB2312"/>
          <w:color w:val="auto"/>
          <w:sz w:val="24"/>
          <w:highlight w:val="none"/>
        </w:rPr>
      </w:pPr>
    </w:p>
    <w:p w14:paraId="7517DE27">
      <w:pPr>
        <w:spacing w:line="588" w:lineRule="exact"/>
        <w:ind w:firstLine="480"/>
        <w:rPr>
          <w:rFonts w:hint="eastAsia" w:ascii="仿宋" w:eastAsia="仿宋" w:cs="仿宋_GB2312"/>
          <w:color w:val="auto"/>
          <w:sz w:val="24"/>
          <w:highlight w:val="none"/>
        </w:rPr>
      </w:pPr>
    </w:p>
    <w:p w14:paraId="4FA20357">
      <w:pPr>
        <w:spacing w:line="588" w:lineRule="exact"/>
        <w:ind w:firstLine="480"/>
        <w:rPr>
          <w:rFonts w:hint="eastAsia" w:ascii="仿宋" w:eastAsia="仿宋" w:cs="仿宋_GB2312"/>
          <w:color w:val="auto"/>
          <w:sz w:val="24"/>
          <w:highlight w:val="none"/>
        </w:rPr>
      </w:pPr>
    </w:p>
    <w:p w14:paraId="29DA146C">
      <w:pPr>
        <w:tabs>
          <w:tab w:val="left" w:pos="4860"/>
        </w:tabs>
        <w:spacing w:line="588" w:lineRule="exact"/>
        <w:ind w:right="1560" w:firstLine="480"/>
        <w:jc w:val="center"/>
        <w:rPr>
          <w:rFonts w:hint="eastAsia"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6F58B45D">
      <w:pPr>
        <w:spacing w:line="480" w:lineRule="exact"/>
        <w:ind w:firstLine="480" w:firstLineChars="200"/>
        <w:jc w:val="right"/>
        <w:rPr>
          <w:rFonts w:hint="eastAsia" w:ascii="仿宋" w:eastAsia="仿宋"/>
          <w:color w:val="auto"/>
          <w:sz w:val="24"/>
          <w:highlight w:val="none"/>
        </w:rPr>
      </w:pPr>
      <w:r>
        <w:rPr>
          <w:rFonts w:hint="eastAsia" w:ascii="仿宋" w:eastAsia="仿宋"/>
          <w:color w:val="auto"/>
          <w:sz w:val="24"/>
          <w:highlight w:val="none"/>
        </w:rPr>
        <w:t>日期：    年    月    日</w:t>
      </w:r>
    </w:p>
    <w:p w14:paraId="00808219">
      <w:pPr>
        <w:ind w:firstLine="480"/>
        <w:rPr>
          <w:rFonts w:hint="eastAsia" w:ascii="仿宋" w:eastAsia="仿宋" w:cs="仿宋_GB2312"/>
          <w:color w:val="auto"/>
          <w:sz w:val="24"/>
          <w:highlight w:val="none"/>
        </w:rPr>
      </w:pPr>
    </w:p>
    <w:p w14:paraId="1731708C">
      <w:pPr>
        <w:ind w:firstLine="420"/>
        <w:rPr>
          <w:rFonts w:hint="eastAsia" w:ascii="仿宋" w:eastAsia="仿宋"/>
          <w:color w:val="auto"/>
          <w:highlight w:val="none"/>
        </w:rPr>
      </w:pPr>
    </w:p>
    <w:p w14:paraId="058897F3">
      <w:pPr>
        <w:ind w:firstLine="420"/>
        <w:rPr>
          <w:rFonts w:hint="eastAsia" w:ascii="仿宋" w:eastAsia="仿宋"/>
          <w:color w:val="auto"/>
          <w:highlight w:val="none"/>
        </w:rPr>
      </w:pPr>
    </w:p>
    <w:p w14:paraId="29ACAFD4">
      <w:pPr>
        <w:ind w:firstLine="420"/>
        <w:rPr>
          <w:rFonts w:hint="eastAsia" w:ascii="仿宋" w:eastAsia="仿宋"/>
          <w:color w:val="auto"/>
          <w:highlight w:val="none"/>
        </w:rPr>
      </w:pPr>
    </w:p>
    <w:p w14:paraId="204EEB8E">
      <w:pPr>
        <w:ind w:firstLine="420"/>
        <w:rPr>
          <w:rFonts w:hint="eastAsia" w:ascii="仿宋" w:eastAsia="仿宋"/>
          <w:color w:val="auto"/>
          <w:highlight w:val="none"/>
        </w:rPr>
      </w:pPr>
    </w:p>
    <w:p w14:paraId="4EDCF94B">
      <w:pPr>
        <w:ind w:firstLine="420"/>
        <w:rPr>
          <w:rFonts w:hint="eastAsia" w:ascii="仿宋" w:eastAsia="仿宋"/>
          <w:color w:val="auto"/>
          <w:highlight w:val="none"/>
        </w:rPr>
      </w:pPr>
    </w:p>
    <w:p w14:paraId="367EA2DB">
      <w:pPr>
        <w:ind w:firstLine="420"/>
        <w:rPr>
          <w:rFonts w:hint="eastAsia" w:ascii="仿宋" w:eastAsia="仿宋"/>
          <w:color w:val="auto"/>
          <w:highlight w:val="none"/>
        </w:rPr>
      </w:pPr>
    </w:p>
    <w:p w14:paraId="69623A21">
      <w:pPr>
        <w:ind w:firstLine="420"/>
        <w:rPr>
          <w:rFonts w:hint="eastAsia" w:ascii="仿宋" w:eastAsia="仿宋"/>
          <w:color w:val="auto"/>
          <w:highlight w:val="none"/>
        </w:rPr>
      </w:pPr>
    </w:p>
    <w:p w14:paraId="0ECA23C5">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312D5B7E">
      <w:pPr>
        <w:ind w:firstLine="420"/>
        <w:rPr>
          <w:rFonts w:hint="eastAsia" w:ascii="仿宋" w:eastAsia="仿宋"/>
          <w:color w:val="auto"/>
          <w:highlight w:val="none"/>
        </w:rPr>
      </w:pPr>
    </w:p>
    <w:p w14:paraId="3CC9A9F0">
      <w:pPr>
        <w:rPr>
          <w:rFonts w:hint="eastAsia" w:ascii="仿宋" w:eastAsia="仿宋"/>
          <w:b/>
          <w:color w:val="auto"/>
          <w:sz w:val="36"/>
          <w:szCs w:val="36"/>
          <w:highlight w:val="none"/>
        </w:rPr>
      </w:pPr>
      <w:r>
        <w:rPr>
          <w:rFonts w:hint="eastAsia" w:ascii="仿宋" w:eastAsia="仿宋"/>
          <w:b/>
          <w:color w:val="auto"/>
          <w:sz w:val="36"/>
          <w:szCs w:val="36"/>
          <w:highlight w:val="none"/>
        </w:rPr>
        <w:br w:type="page"/>
      </w:r>
    </w:p>
    <w:p w14:paraId="6681D537">
      <w:pPr>
        <w:snapToGrid w:val="0"/>
        <w:spacing w:before="50" w:after="50"/>
        <w:jc w:val="left"/>
        <w:rPr>
          <w:rFonts w:hint="eastAsia" w:ascii="仿宋" w:eastAsia="仿宋"/>
          <w:b/>
          <w:color w:val="auto"/>
          <w:sz w:val="36"/>
          <w:szCs w:val="36"/>
          <w:highlight w:val="none"/>
        </w:rPr>
        <w:sectPr>
          <w:footerReference r:id="rId7" w:type="default"/>
          <w:pgSz w:w="11907" w:h="16840"/>
          <w:pgMar w:top="1440" w:right="1463" w:bottom="1440" w:left="1803" w:header="851" w:footer="992" w:gutter="0"/>
          <w:pgNumType w:start="1"/>
          <w:cols w:space="720" w:num="1"/>
          <w:docGrid w:type="lines" w:linePitch="312" w:charSpace="0"/>
        </w:sectPr>
      </w:pPr>
    </w:p>
    <w:p w14:paraId="35E5172A">
      <w:pPr>
        <w:snapToGrid w:val="0"/>
        <w:spacing w:before="50" w:after="50"/>
        <w:jc w:val="left"/>
        <w:outlineLvl w:val="1"/>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2</w:t>
      </w:r>
      <w:r>
        <w:rPr>
          <w:rFonts w:hint="eastAsia" w:ascii="仿宋" w:eastAsia="仿宋"/>
          <w:b/>
          <w:bCs/>
          <w:color w:val="auto"/>
          <w:sz w:val="30"/>
          <w:szCs w:val="30"/>
          <w:highlight w:val="none"/>
          <w:lang w:eastAsia="zh"/>
        </w:rPr>
        <w:t>0</w:t>
      </w:r>
      <w:r>
        <w:rPr>
          <w:rFonts w:hint="eastAsia" w:ascii="仿宋" w:eastAsia="仿宋"/>
          <w:b/>
          <w:bCs/>
          <w:color w:val="auto"/>
          <w:sz w:val="30"/>
          <w:szCs w:val="30"/>
          <w:highlight w:val="none"/>
        </w:rPr>
        <w:t>：</w:t>
      </w:r>
    </w:p>
    <w:p w14:paraId="3B02FF45">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6858B9DF">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01DB34CE">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8"/>
        <w:tblW w:w="13729"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17"/>
        <w:gridCol w:w="1763"/>
        <w:gridCol w:w="1587"/>
        <w:gridCol w:w="1626"/>
        <w:gridCol w:w="2488"/>
        <w:gridCol w:w="1448"/>
        <w:gridCol w:w="1368"/>
        <w:gridCol w:w="2632"/>
      </w:tblGrid>
      <w:tr w14:paraId="20F753C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71"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19619E7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序号</w:t>
            </w:r>
          </w:p>
        </w:tc>
        <w:tc>
          <w:tcPr>
            <w:tcW w:w="1763" w:type="dxa"/>
            <w:tcBorders>
              <w:top w:val="single" w:color="auto" w:sz="4" w:space="0"/>
              <w:left w:val="single" w:color="auto" w:sz="4" w:space="0"/>
              <w:bottom w:val="single" w:color="auto" w:sz="4" w:space="0"/>
              <w:right w:val="single" w:color="auto" w:sz="4" w:space="0"/>
              <w:tl2br w:val="nil"/>
              <w:tr2bl w:val="nil"/>
            </w:tcBorders>
            <w:noWrap/>
            <w:vAlign w:val="center"/>
          </w:tcPr>
          <w:p w14:paraId="46D915F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货物名称或其他服务报价项</w:t>
            </w:r>
          </w:p>
        </w:tc>
        <w:tc>
          <w:tcPr>
            <w:tcW w:w="1587" w:type="dxa"/>
            <w:tcBorders>
              <w:top w:val="single" w:color="auto" w:sz="4" w:space="0"/>
              <w:left w:val="single" w:color="auto" w:sz="4" w:space="0"/>
              <w:bottom w:val="single" w:color="auto" w:sz="4" w:space="0"/>
              <w:right w:val="single" w:color="auto" w:sz="4" w:space="0"/>
              <w:tl2br w:val="nil"/>
              <w:tr2bl w:val="nil"/>
            </w:tcBorders>
            <w:noWrap/>
            <w:vAlign w:val="center"/>
          </w:tcPr>
          <w:p w14:paraId="4A3A78C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品牌</w:t>
            </w:r>
          </w:p>
        </w:tc>
        <w:tc>
          <w:tcPr>
            <w:tcW w:w="1626" w:type="dxa"/>
            <w:tcBorders>
              <w:top w:val="single" w:color="auto" w:sz="4" w:space="0"/>
              <w:left w:val="single" w:color="auto" w:sz="4" w:space="0"/>
              <w:bottom w:val="single" w:color="auto" w:sz="4" w:space="0"/>
              <w:right w:val="single" w:color="auto" w:sz="4" w:space="0"/>
              <w:tl2br w:val="nil"/>
              <w:tr2bl w:val="nil"/>
            </w:tcBorders>
            <w:noWrap/>
            <w:vAlign w:val="center"/>
          </w:tcPr>
          <w:p w14:paraId="054D414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制造商</w:t>
            </w:r>
          </w:p>
        </w:tc>
        <w:tc>
          <w:tcPr>
            <w:tcW w:w="2488" w:type="dxa"/>
            <w:tcBorders>
              <w:top w:val="single" w:color="auto" w:sz="4" w:space="0"/>
              <w:left w:val="single" w:color="auto" w:sz="4" w:space="0"/>
              <w:bottom w:val="single" w:color="auto" w:sz="4" w:space="0"/>
              <w:right w:val="single" w:color="auto" w:sz="4" w:space="0"/>
              <w:tl2br w:val="nil"/>
              <w:tr2bl w:val="nil"/>
            </w:tcBorders>
            <w:noWrap/>
            <w:vAlign w:val="center"/>
          </w:tcPr>
          <w:p w14:paraId="33E2160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规格型号</w:t>
            </w:r>
          </w:p>
        </w:tc>
        <w:tc>
          <w:tcPr>
            <w:tcW w:w="1448" w:type="dxa"/>
            <w:tcBorders>
              <w:top w:val="single" w:color="auto" w:sz="4" w:space="0"/>
              <w:left w:val="single" w:color="auto" w:sz="4" w:space="0"/>
              <w:bottom w:val="single" w:color="auto" w:sz="4" w:space="0"/>
              <w:right w:val="single" w:color="auto" w:sz="4" w:space="0"/>
              <w:tl2br w:val="nil"/>
              <w:tr2bl w:val="nil"/>
            </w:tcBorders>
            <w:noWrap/>
            <w:vAlign w:val="center"/>
          </w:tcPr>
          <w:p w14:paraId="767D76D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单价</w:t>
            </w:r>
          </w:p>
        </w:tc>
        <w:tc>
          <w:tcPr>
            <w:tcW w:w="1368" w:type="dxa"/>
            <w:tcBorders>
              <w:top w:val="single" w:color="auto" w:sz="4" w:space="0"/>
              <w:left w:val="single" w:color="auto" w:sz="4" w:space="0"/>
              <w:bottom w:val="single" w:color="auto" w:sz="4" w:space="0"/>
              <w:right w:val="single" w:color="auto" w:sz="4" w:space="0"/>
              <w:tl2br w:val="nil"/>
              <w:tr2bl w:val="nil"/>
            </w:tcBorders>
            <w:noWrap/>
            <w:vAlign w:val="center"/>
          </w:tcPr>
          <w:p w14:paraId="467E669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数量</w:t>
            </w:r>
          </w:p>
        </w:tc>
        <w:tc>
          <w:tcPr>
            <w:tcW w:w="2632" w:type="dxa"/>
            <w:tcBorders>
              <w:top w:val="single" w:color="auto" w:sz="4" w:space="0"/>
              <w:left w:val="single" w:color="auto" w:sz="4" w:space="0"/>
              <w:bottom w:val="single" w:color="auto" w:sz="4" w:space="0"/>
              <w:right w:val="single" w:color="auto" w:sz="4" w:space="0"/>
              <w:tl2br w:val="nil"/>
              <w:tr2bl w:val="nil"/>
            </w:tcBorders>
            <w:noWrap/>
            <w:vAlign w:val="center"/>
          </w:tcPr>
          <w:p w14:paraId="781BD27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金额</w:t>
            </w:r>
          </w:p>
          <w:p w14:paraId="5E73A56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（人民币元）</w:t>
            </w:r>
          </w:p>
        </w:tc>
      </w:tr>
      <w:tr w14:paraId="24EF999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38750DE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1</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58C691B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177B84E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6395B74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6216F2C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6BADB69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0DF964B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252097B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4EE7775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1C6AAC3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2</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630A4EF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41BF11E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561A0FF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1858107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198C74B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079F005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5FC1386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3923EFF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5"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1B0FB2F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cs="仿宋_GB2312"/>
                <w:caps w:val="0"/>
                <w:smallCaps w:val="0"/>
                <w:vanish w:val="0"/>
                <w:color w:val="auto"/>
                <w:sz w:val="28"/>
                <w:szCs w:val="28"/>
                <w:highlight w:val="none"/>
                <w:vertAlign w:val="baseline"/>
              </w:rPr>
              <w:t>…</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557F855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588FDC5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5C88352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7FAE2AC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3271A99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6E155A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49D1A6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550BF81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2580" w:type="dxa"/>
            <w:gridSpan w:val="2"/>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72B3CE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投标报价</w:t>
            </w: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7AAC188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大写：</w:t>
            </w:r>
          </w:p>
        </w:tc>
      </w:tr>
      <w:tr w14:paraId="0B190AD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C7CA98C">
            <w:pPr>
              <w:rPr>
                <w:color w:val="auto"/>
                <w:highlight w:val="none"/>
              </w:rPr>
            </w:pP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29D909C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小写：</w:t>
            </w:r>
          </w:p>
        </w:tc>
      </w:tr>
    </w:tbl>
    <w:p w14:paraId="09EB6C5D">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1D6BDEF6">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w:t>
      </w:r>
      <w:r>
        <w:rPr>
          <w:rFonts w:hint="eastAsia" w:ascii="仿宋" w:eastAsia="仿宋" w:cs="仿宋_GB2312"/>
          <w:b/>
          <w:bCs/>
          <w:color w:val="auto"/>
          <w:kern w:val="0"/>
          <w:sz w:val="24"/>
          <w:highlight w:val="none"/>
          <w:lang w:val="en-US" w:eastAsia="zh"/>
        </w:rPr>
        <w:t>（或单价预算）</w:t>
      </w:r>
      <w:r>
        <w:rPr>
          <w:rFonts w:hint="eastAsia" w:ascii="仿宋" w:eastAsia="仿宋" w:cs="仿宋_GB2312"/>
          <w:b/>
          <w:bCs/>
          <w:color w:val="auto"/>
          <w:kern w:val="0"/>
          <w:sz w:val="24"/>
          <w:highlight w:val="none"/>
          <w:lang w:val="en-US" w:eastAsia="zh-CN"/>
        </w:rPr>
        <w:t>50%的，应当在报价文件中详细阐述不影响产品质量或诚信履约的具体原因，否则有可能会被认为影响产品质量或诚信履约并作无效投标处理。</w:t>
      </w:r>
    </w:p>
    <w:p w14:paraId="6C5DE887">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4B000C18">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sz w:val="24"/>
          <w:highlight w:val="none"/>
          <w:u w:val="single"/>
        </w:rPr>
        <w:t>4、</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0E962B0A">
      <w:pPr>
        <w:ind w:firstLine="482" w:firstLineChars="200"/>
        <w:rPr>
          <w:rFonts w:hint="eastAsia" w:ascii="仿宋" w:eastAsia="仿宋"/>
          <w:b/>
          <w:color w:val="auto"/>
          <w:kern w:val="0"/>
          <w:sz w:val="24"/>
          <w:highlight w:val="none"/>
          <w:u w:val="single"/>
          <w:lang w:val="zh-CN"/>
        </w:rPr>
      </w:pPr>
    </w:p>
    <w:p w14:paraId="25D4A112">
      <w:pPr>
        <w:snapToGrid w:val="0"/>
        <w:ind w:firstLine="480" w:firstLineChars="200"/>
        <w:jc w:val="left"/>
        <w:rPr>
          <w:rFonts w:hint="eastAsia" w:ascii="仿宋" w:eastAsia="仿宋"/>
          <w:color w:val="auto"/>
          <w:sz w:val="24"/>
          <w:highlight w:val="none"/>
        </w:rPr>
      </w:pPr>
      <w:bookmarkStart w:id="95" w:name="_Toc64369826"/>
    </w:p>
    <w:p w14:paraId="2EE63E06">
      <w:pPr>
        <w:snapToGrid w:val="0"/>
        <w:ind w:firstLine="480" w:firstLineChars="200"/>
        <w:jc w:val="left"/>
        <w:rPr>
          <w:rFonts w:hint="eastAsia" w:ascii="仿宋" w:eastAsia="仿宋"/>
          <w:color w:val="auto"/>
          <w:sz w:val="24"/>
          <w:highlight w:val="none"/>
        </w:rPr>
      </w:pPr>
      <w:r>
        <w:rPr>
          <w:rFonts w:hint="eastAsia" w:ascii="仿宋" w:eastAsia="仿宋"/>
          <w:color w:val="auto"/>
          <w:sz w:val="24"/>
          <w:highlight w:val="none"/>
        </w:rPr>
        <w:t xml:space="preserve">法定代表人或其授权代表签字（或盖章）：          </w:t>
      </w:r>
      <w:bookmarkEnd w:id="95"/>
    </w:p>
    <w:p w14:paraId="6DA22E41">
      <w:pPr>
        <w:snapToGrid w:val="0"/>
        <w:ind w:firstLine="480" w:firstLineChars="200"/>
        <w:jc w:val="left"/>
        <w:rPr>
          <w:rFonts w:hint="eastAsia" w:ascii="仿宋" w:eastAsia="仿宋"/>
          <w:color w:val="auto"/>
          <w:sz w:val="24"/>
          <w:highlight w:val="none"/>
        </w:rPr>
      </w:pPr>
      <w:bookmarkStart w:id="96" w:name="_Toc64369827"/>
    </w:p>
    <w:p w14:paraId="38199FB6">
      <w:pPr>
        <w:snapToGrid w:val="0"/>
        <w:ind w:firstLine="480" w:firstLineChars="200"/>
        <w:jc w:val="left"/>
        <w:rPr>
          <w:rFonts w:hint="eastAsia" w:ascii="仿宋" w:eastAsia="仿宋"/>
          <w:color w:val="auto"/>
          <w:sz w:val="24"/>
          <w:highlight w:val="none"/>
        </w:rPr>
      </w:pPr>
    </w:p>
    <w:p w14:paraId="58F4389D">
      <w:pPr>
        <w:snapToGrid w:val="0"/>
        <w:ind w:firstLine="480" w:firstLineChars="200"/>
        <w:jc w:val="left"/>
        <w:rPr>
          <w:rFonts w:hint="eastAsia" w:ascii="仿宋" w:eastAsia="仿宋"/>
          <w:color w:val="auto"/>
          <w:sz w:val="24"/>
          <w:highlight w:val="none"/>
        </w:rPr>
      </w:pPr>
      <w:r>
        <w:rPr>
          <w:rFonts w:hint="eastAsia" w:ascii="仿宋" w:eastAsia="仿宋"/>
          <w:color w:val="auto"/>
          <w:sz w:val="24"/>
          <w:highlight w:val="none"/>
        </w:rPr>
        <w:t>日期：    年   月   日</w:t>
      </w:r>
      <w:bookmarkEnd w:id="96"/>
    </w:p>
    <w:p w14:paraId="7BC1B3CD">
      <w:pPr>
        <w:snapToGrid w:val="0"/>
        <w:ind w:firstLine="480" w:firstLineChars="200"/>
        <w:jc w:val="left"/>
        <w:rPr>
          <w:rFonts w:hint="eastAsia" w:ascii="仿宋" w:eastAsia="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284DD3C5">
      <w:pPr>
        <w:pStyle w:val="3"/>
        <w:keepNext/>
        <w:keepLines/>
        <w:pageBreakBefore w:val="0"/>
        <w:widowControl w:val="0"/>
        <w:suppressLineNumbers w:val="0"/>
        <w:suppressAutoHyphens w:val="0"/>
        <w:spacing w:line="578" w:lineRule="auto"/>
        <w:jc w:val="center"/>
        <w:rPr>
          <w:rFonts w:hint="eastAsia" w:ascii="仿宋"/>
          <w:color w:val="auto"/>
          <w:highlight w:val="none"/>
        </w:rPr>
      </w:pPr>
      <w:bookmarkStart w:id="97" w:name="_Toc27807"/>
      <w:r>
        <w:rPr>
          <w:rFonts w:hint="eastAsia" w:ascii="仿宋"/>
          <w:color w:val="auto"/>
          <w:highlight w:val="none"/>
        </w:rPr>
        <w:t>第七章  询问、质疑及投诉</w:t>
      </w:r>
      <w:bookmarkEnd w:id="97"/>
    </w:p>
    <w:p w14:paraId="3270E86D">
      <w:pPr>
        <w:pStyle w:val="18"/>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lang w:eastAsia="zh"/>
        </w:rPr>
        <w:t>参照</w:t>
      </w:r>
      <w:r>
        <w:rPr>
          <w:rFonts w:hint="eastAsia" w:ascii="仿宋" w:eastAsia="仿宋"/>
          <w:color w:val="auto"/>
          <w:sz w:val="24"/>
          <w:highlight w:val="none"/>
        </w:rPr>
        <w:t>《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w:t>
      </w:r>
      <w:r>
        <w:rPr>
          <w:rFonts w:hint="eastAsia" w:ascii="仿宋" w:eastAsia="仿宋"/>
          <w:color w:val="auto"/>
          <w:sz w:val="24"/>
          <w:highlight w:val="none"/>
          <w:lang w:eastAsia="zh"/>
        </w:rPr>
        <w:t>国企</w:t>
      </w:r>
      <w:r>
        <w:rPr>
          <w:rFonts w:hint="eastAsia" w:ascii="仿宋" w:eastAsia="仿宋"/>
          <w:color w:val="auto"/>
          <w:sz w:val="24"/>
          <w:highlight w:val="none"/>
        </w:rPr>
        <w:t>采购供应商可以依法提出询问、质疑和投诉。</w:t>
      </w:r>
    </w:p>
    <w:p w14:paraId="242EA516">
      <w:pPr>
        <w:pStyle w:val="4"/>
        <w:spacing w:line="415" w:lineRule="auto"/>
        <w:jc w:val="center"/>
        <w:rPr>
          <w:rFonts w:hint="eastAsia" w:ascii="仿宋"/>
          <w:color w:val="auto"/>
          <w:highlight w:val="none"/>
        </w:rPr>
      </w:pPr>
      <w:bookmarkStart w:id="98" w:name="_Toc3978"/>
      <w:r>
        <w:rPr>
          <w:rFonts w:hint="eastAsia" w:ascii="仿宋"/>
          <w:color w:val="auto"/>
          <w:highlight w:val="none"/>
        </w:rPr>
        <w:t>一、供应商询问</w:t>
      </w:r>
      <w:bookmarkEnd w:id="98"/>
    </w:p>
    <w:p w14:paraId="5F43FBD8">
      <w:pPr>
        <w:pStyle w:val="18"/>
        <w:spacing w:line="360" w:lineRule="auto"/>
        <w:ind w:left="0"/>
        <w:rPr>
          <w:rFonts w:hint="eastAsia"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w:t>
      </w:r>
      <w:r>
        <w:rPr>
          <w:rFonts w:hint="eastAsia" w:ascii="仿宋" w:eastAsia="仿宋"/>
          <w:color w:val="auto"/>
          <w:sz w:val="24"/>
          <w:highlight w:val="none"/>
          <w:lang w:eastAsia="zh-CN"/>
        </w:rPr>
        <w:t>乐采云</w:t>
      </w:r>
      <w:r>
        <w:rPr>
          <w:rFonts w:ascii="仿宋" w:eastAsia="仿宋"/>
          <w:color w:val="auto"/>
          <w:sz w:val="24"/>
          <w:highlight w:val="none"/>
        </w:rPr>
        <w:t>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35886FED">
      <w:pPr>
        <w:pStyle w:val="18"/>
        <w:spacing w:line="360" w:lineRule="auto"/>
        <w:ind w:left="0"/>
        <w:rPr>
          <w:rFonts w:hint="eastAsia"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54435A1B">
      <w:pPr>
        <w:pStyle w:val="4"/>
        <w:spacing w:line="415" w:lineRule="auto"/>
        <w:jc w:val="center"/>
        <w:rPr>
          <w:rFonts w:hint="eastAsia" w:ascii="仿宋"/>
          <w:color w:val="auto"/>
          <w:highlight w:val="none"/>
        </w:rPr>
      </w:pPr>
      <w:bookmarkStart w:id="99" w:name="_Toc27416"/>
      <w:r>
        <w:rPr>
          <w:rFonts w:hint="eastAsia" w:ascii="仿宋"/>
          <w:color w:val="auto"/>
          <w:highlight w:val="none"/>
        </w:rPr>
        <w:t>二、供应商质疑</w:t>
      </w:r>
      <w:bookmarkEnd w:id="99"/>
    </w:p>
    <w:p w14:paraId="6752BDC2">
      <w:pPr>
        <w:pStyle w:val="18"/>
        <w:spacing w:line="360" w:lineRule="auto"/>
        <w:ind w:left="0"/>
        <w:outlineLvl w:val="2"/>
        <w:rPr>
          <w:rFonts w:hint="eastAsia" w:ascii="仿宋" w:eastAsia="仿宋"/>
          <w:b/>
          <w:bCs/>
          <w:color w:val="auto"/>
          <w:sz w:val="24"/>
          <w:highlight w:val="none"/>
        </w:rPr>
      </w:pPr>
      <w:r>
        <w:rPr>
          <w:rFonts w:hint="eastAsia" w:ascii="仿宋" w:eastAsia="仿宋"/>
          <w:b/>
          <w:bCs/>
          <w:color w:val="auto"/>
          <w:sz w:val="24"/>
          <w:highlight w:val="none"/>
        </w:rPr>
        <w:t>2.1质疑有效期：</w:t>
      </w:r>
    </w:p>
    <w:p w14:paraId="015B0132">
      <w:pPr>
        <w:pStyle w:val="18"/>
        <w:spacing w:line="360" w:lineRule="auto"/>
        <w:ind w:left="0"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w:t>
      </w:r>
      <w:r>
        <w:rPr>
          <w:rFonts w:hint="eastAsia" w:ascii="仿宋" w:eastAsia="仿宋"/>
          <w:color w:val="auto"/>
          <w:sz w:val="24"/>
          <w:highlight w:val="none"/>
          <w:lang w:eastAsia="zh-CN"/>
        </w:rPr>
        <w:t>乐采云</w:t>
      </w:r>
      <w:r>
        <w:rPr>
          <w:rFonts w:ascii="仿宋" w:eastAsia="仿宋"/>
          <w:color w:val="auto"/>
          <w:sz w:val="24"/>
          <w:highlight w:val="none"/>
        </w:rPr>
        <w:t>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2E5E66BE">
      <w:pPr>
        <w:pStyle w:val="18"/>
        <w:spacing w:line="360" w:lineRule="auto"/>
        <w:ind w:left="0" w:firstLine="480" w:firstLineChars="200"/>
        <w:rPr>
          <w:rFonts w:hint="eastAsia"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5E98044F">
      <w:pPr>
        <w:pStyle w:val="18"/>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42AAA90A">
      <w:pPr>
        <w:pStyle w:val="18"/>
        <w:spacing w:line="360" w:lineRule="auto"/>
        <w:ind w:firstLine="480" w:firstLineChars="200"/>
        <w:rPr>
          <w:rFonts w:hint="eastAsia"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2C877A86">
      <w:pPr>
        <w:pStyle w:val="18"/>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35240DD5">
      <w:pPr>
        <w:pStyle w:val="18"/>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1EFCAD2C">
      <w:pPr>
        <w:pStyle w:val="18"/>
        <w:spacing w:line="360" w:lineRule="auto"/>
        <w:ind w:left="0"/>
        <w:outlineLvl w:val="2"/>
        <w:rPr>
          <w:rFonts w:hint="eastAsia" w:ascii="仿宋" w:eastAsia="仿宋"/>
          <w:b/>
          <w:bCs/>
          <w:color w:val="auto"/>
          <w:sz w:val="24"/>
          <w:highlight w:val="none"/>
        </w:rPr>
      </w:pPr>
      <w:r>
        <w:rPr>
          <w:rFonts w:hint="eastAsia" w:ascii="仿宋" w:eastAsia="仿宋"/>
          <w:b/>
          <w:bCs/>
          <w:color w:val="auto"/>
          <w:sz w:val="24"/>
          <w:highlight w:val="none"/>
        </w:rPr>
        <w:t>2.2质疑主体的有效性：</w:t>
      </w:r>
    </w:p>
    <w:p w14:paraId="2150C185">
      <w:pPr>
        <w:pStyle w:val="18"/>
        <w:spacing w:line="360" w:lineRule="auto"/>
        <w:ind w:left="0"/>
        <w:rPr>
          <w:rFonts w:hint="eastAsia"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79E43384">
      <w:pPr>
        <w:pStyle w:val="18"/>
        <w:spacing w:line="360" w:lineRule="auto"/>
        <w:ind w:left="0"/>
        <w:rPr>
          <w:rFonts w:hint="eastAsia" w:ascii="仿宋" w:eastAsia="仿宋"/>
          <w:color w:val="auto"/>
          <w:sz w:val="24"/>
          <w:highlight w:val="none"/>
        </w:rPr>
      </w:pPr>
      <w:r>
        <w:rPr>
          <w:rFonts w:hint="eastAsia" w:ascii="仿宋" w:eastAsia="仿宋"/>
          <w:color w:val="auto"/>
          <w:sz w:val="24"/>
          <w:highlight w:val="none"/>
        </w:rPr>
        <w:t>2.2.2质疑人应当与质疑事项</w:t>
      </w:r>
      <w:r>
        <w:rPr>
          <w:rFonts w:ascii="仿宋" w:eastAsia="仿宋"/>
          <w:color w:val="auto"/>
          <w:sz w:val="24"/>
          <w:highlight w:val="none"/>
        </w:rPr>
        <w:t>须</w:t>
      </w:r>
      <w:r>
        <w:rPr>
          <w:rFonts w:hint="eastAsia" w:ascii="仿宋" w:eastAsia="仿宋"/>
          <w:color w:val="auto"/>
          <w:sz w:val="24"/>
          <w:highlight w:val="none"/>
        </w:rPr>
        <w:t>存在利害关系,不得提出“自杀式质疑”。</w:t>
      </w:r>
    </w:p>
    <w:p w14:paraId="7BFE4907">
      <w:pPr>
        <w:pStyle w:val="18"/>
        <w:spacing w:line="360" w:lineRule="auto"/>
        <w:ind w:left="0"/>
        <w:outlineLvl w:val="2"/>
        <w:rPr>
          <w:rFonts w:hint="eastAsia" w:ascii="仿宋" w:eastAsia="仿宋"/>
          <w:b/>
          <w:bCs/>
          <w:color w:val="auto"/>
          <w:sz w:val="24"/>
          <w:highlight w:val="none"/>
        </w:rPr>
      </w:pPr>
      <w:r>
        <w:rPr>
          <w:rFonts w:hint="eastAsia" w:ascii="仿宋" w:eastAsia="仿宋"/>
          <w:b/>
          <w:bCs/>
          <w:color w:val="auto"/>
          <w:sz w:val="24"/>
          <w:highlight w:val="none"/>
        </w:rPr>
        <w:t>2.3质疑的答复</w:t>
      </w:r>
    </w:p>
    <w:p w14:paraId="572B3404">
      <w:pPr>
        <w:pStyle w:val="18"/>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形式通知质疑供应商和其他与质疑处理结果有利害关系的采购当事人。</w:t>
      </w:r>
    </w:p>
    <w:p w14:paraId="782B0329">
      <w:pPr>
        <w:pStyle w:val="18"/>
        <w:spacing w:line="360" w:lineRule="auto"/>
        <w:ind w:left="0" w:firstLine="480" w:firstLineChars="200"/>
        <w:rPr>
          <w:rFonts w:hint="eastAsia"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78EC9097">
      <w:pPr>
        <w:pStyle w:val="18"/>
        <w:spacing w:line="360" w:lineRule="auto"/>
        <w:ind w:left="0"/>
        <w:outlineLvl w:val="2"/>
        <w:rPr>
          <w:rFonts w:hint="eastAsia" w:ascii="仿宋" w:eastAsia="仿宋"/>
          <w:b/>
          <w:bCs/>
          <w:color w:val="auto"/>
          <w:sz w:val="24"/>
          <w:highlight w:val="none"/>
        </w:rPr>
      </w:pPr>
      <w:r>
        <w:rPr>
          <w:rFonts w:hint="eastAsia" w:ascii="仿宋" w:eastAsia="仿宋"/>
          <w:b/>
          <w:bCs/>
          <w:color w:val="auto"/>
          <w:sz w:val="24"/>
          <w:highlight w:val="none"/>
        </w:rPr>
        <w:t>2.4质疑的撤回</w:t>
      </w:r>
    </w:p>
    <w:p w14:paraId="023DFA89">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供应商可以通过</w:t>
      </w:r>
      <w:r>
        <w:rPr>
          <w:rFonts w:hint="eastAsia" w:ascii="仿宋" w:eastAsia="仿宋"/>
          <w:color w:val="auto"/>
          <w:kern w:val="0"/>
          <w:sz w:val="24"/>
          <w:highlight w:val="none"/>
          <w:lang w:eastAsia="zh-CN"/>
        </w:rPr>
        <w:t>乐采云</w:t>
      </w:r>
      <w:r>
        <w:rPr>
          <w:rFonts w:ascii="仿宋" w:eastAsia="仿宋"/>
          <w:color w:val="auto"/>
          <w:kern w:val="0"/>
          <w:sz w:val="24"/>
          <w:highlight w:val="none"/>
        </w:rPr>
        <w:t>系统</w:t>
      </w:r>
      <w:r>
        <w:rPr>
          <w:rFonts w:hint="eastAsia" w:ascii="仿宋" w:eastAsia="仿宋"/>
          <w:color w:val="auto"/>
          <w:kern w:val="0"/>
          <w:sz w:val="24"/>
          <w:highlight w:val="none"/>
        </w:rPr>
        <w:t>撤回已经被受理的质疑书。</w:t>
      </w:r>
    </w:p>
    <w:p w14:paraId="1CE03005">
      <w:pPr>
        <w:pStyle w:val="4"/>
        <w:keepNext/>
        <w:keepLines/>
        <w:pageBreakBefore w:val="0"/>
        <w:widowControl w:val="0"/>
        <w:suppressLineNumbers w:val="0"/>
        <w:suppressAutoHyphens w:val="0"/>
        <w:spacing w:line="415" w:lineRule="auto"/>
        <w:rPr>
          <w:rFonts w:hint="eastAsia" w:ascii="仿宋"/>
          <w:color w:val="auto"/>
          <w:highlight w:val="none"/>
        </w:rPr>
      </w:pPr>
      <w:bookmarkStart w:id="100" w:name="_Toc2605"/>
      <w:r>
        <w:rPr>
          <w:rFonts w:hint="eastAsia" w:ascii="仿宋"/>
          <w:color w:val="auto"/>
          <w:highlight w:val="none"/>
        </w:rPr>
        <w:t>三、供应商投诉</w:t>
      </w:r>
      <w:bookmarkEnd w:id="100"/>
    </w:p>
    <w:p w14:paraId="65199B14">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3.1投诉有效期</w:t>
      </w:r>
    </w:p>
    <w:p w14:paraId="632638E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w:t>
      </w:r>
      <w:r>
        <w:rPr>
          <w:rFonts w:hint="eastAsia" w:ascii="仿宋" w:eastAsia="仿宋"/>
          <w:color w:val="auto"/>
          <w:kern w:val="0"/>
          <w:sz w:val="24"/>
          <w:highlight w:val="none"/>
          <w:lang w:val="en-US" w:eastAsia="zh-CN"/>
        </w:rPr>
        <w:t>本项目</w:t>
      </w:r>
      <w:r>
        <w:rPr>
          <w:rFonts w:hint="eastAsia" w:ascii="仿宋" w:eastAsia="仿宋"/>
          <w:color w:val="auto"/>
          <w:kern w:val="0"/>
          <w:sz w:val="24"/>
          <w:highlight w:val="none"/>
        </w:rPr>
        <w:t>采购监督部门提起投诉。</w:t>
      </w:r>
    </w:p>
    <w:p w14:paraId="15DBCD7E">
      <w:pPr>
        <w:widowControl/>
        <w:snapToGrid w:val="0"/>
        <w:spacing w:line="480" w:lineRule="exact"/>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7A5C8A8B">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3.2投诉内容</w:t>
      </w:r>
    </w:p>
    <w:p w14:paraId="0729DD0E">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2A9EA464">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514EA6D3">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273BF4D0">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763861A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22B9C69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（四）事实依据；</w:t>
      </w:r>
    </w:p>
    <w:p w14:paraId="4B3AE180">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（五）法律依据；</w:t>
      </w:r>
    </w:p>
    <w:p w14:paraId="2629976B">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（六）提起投诉的日期。</w:t>
      </w:r>
    </w:p>
    <w:p w14:paraId="787EBBDE">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7FF1B8DD">
      <w:pPr>
        <w:widowControl/>
        <w:snapToGrid w:val="0"/>
        <w:spacing w:line="480" w:lineRule="exact"/>
        <w:rPr>
          <w:rFonts w:hint="eastAsia" w:ascii="仿宋" w:eastAsia="仿宋"/>
          <w:color w:val="auto"/>
          <w:kern w:val="0"/>
          <w:sz w:val="24"/>
          <w:highlight w:val="none"/>
        </w:rPr>
      </w:pPr>
    </w:p>
    <w:p w14:paraId="13BC12C7">
      <w:pPr>
        <w:widowControl/>
        <w:snapToGrid w:val="0"/>
        <w:spacing w:line="480" w:lineRule="exact"/>
        <w:rPr>
          <w:rFonts w:ascii="仿宋" w:eastAsia="仿宋"/>
          <w:color w:val="auto"/>
          <w:kern w:val="0"/>
          <w:sz w:val="24"/>
          <w:highlight w:val="none"/>
        </w:rPr>
      </w:pPr>
    </w:p>
    <w:p w14:paraId="2D3E9E7A">
      <w:pPr>
        <w:widowControl/>
        <w:snapToGrid w:val="0"/>
        <w:spacing w:line="480" w:lineRule="exact"/>
        <w:rPr>
          <w:rFonts w:ascii="仿宋" w:eastAsia="仿宋"/>
          <w:color w:val="auto"/>
          <w:kern w:val="0"/>
          <w:sz w:val="24"/>
          <w:highlight w:val="none"/>
        </w:rPr>
      </w:pPr>
    </w:p>
    <w:p w14:paraId="46A58A53">
      <w:pPr>
        <w:widowControl/>
        <w:snapToGrid w:val="0"/>
        <w:spacing w:line="480" w:lineRule="exact"/>
        <w:rPr>
          <w:rFonts w:hint="eastAsia" w:ascii="仿宋" w:eastAsia="仿宋"/>
          <w:color w:val="auto"/>
          <w:kern w:val="0"/>
          <w:sz w:val="24"/>
          <w:highlight w:val="none"/>
        </w:rPr>
      </w:pPr>
    </w:p>
    <w:p w14:paraId="1F0D9564">
      <w:pPr>
        <w:widowControl/>
        <w:snapToGrid w:val="0"/>
        <w:spacing w:line="480" w:lineRule="exact"/>
        <w:rPr>
          <w:rFonts w:hint="eastAsia" w:ascii="仿宋" w:eastAsia="仿宋"/>
          <w:color w:val="auto"/>
          <w:kern w:val="0"/>
          <w:sz w:val="24"/>
          <w:highlight w:val="none"/>
        </w:rPr>
      </w:pPr>
    </w:p>
    <w:p w14:paraId="3F46B001">
      <w:pPr>
        <w:widowControl/>
        <w:snapToGrid w:val="0"/>
        <w:spacing w:line="480" w:lineRule="exact"/>
        <w:rPr>
          <w:rFonts w:hint="eastAsia" w:ascii="仿宋" w:eastAsia="仿宋"/>
          <w:color w:val="auto"/>
          <w:kern w:val="0"/>
          <w:sz w:val="24"/>
          <w:highlight w:val="none"/>
        </w:rPr>
      </w:pPr>
    </w:p>
    <w:p w14:paraId="5ABAEB90">
      <w:pPr>
        <w:widowControl/>
        <w:snapToGrid w:val="0"/>
        <w:spacing w:line="480" w:lineRule="exact"/>
        <w:rPr>
          <w:rFonts w:hint="eastAsia" w:ascii="仿宋" w:eastAsia="仿宋"/>
          <w:color w:val="auto"/>
          <w:kern w:val="0"/>
          <w:sz w:val="24"/>
          <w:highlight w:val="none"/>
        </w:rPr>
      </w:pPr>
    </w:p>
    <w:p w14:paraId="1BB6FC38">
      <w:pPr>
        <w:widowControl/>
        <w:snapToGrid w:val="0"/>
        <w:spacing w:line="480" w:lineRule="exact"/>
        <w:rPr>
          <w:rFonts w:hint="eastAsia" w:ascii="仿宋" w:eastAsia="仿宋"/>
          <w:color w:val="auto"/>
          <w:kern w:val="0"/>
          <w:sz w:val="24"/>
          <w:highlight w:val="none"/>
        </w:rPr>
      </w:pPr>
    </w:p>
    <w:p w14:paraId="1AD20C8F">
      <w:pPr>
        <w:widowControl/>
        <w:snapToGrid w:val="0"/>
        <w:spacing w:line="480" w:lineRule="exact"/>
        <w:rPr>
          <w:rFonts w:hint="eastAsia" w:ascii="仿宋" w:eastAsia="仿宋"/>
          <w:color w:val="auto"/>
          <w:kern w:val="0"/>
          <w:sz w:val="24"/>
          <w:highlight w:val="none"/>
        </w:rPr>
      </w:pPr>
    </w:p>
    <w:p w14:paraId="0A182C77">
      <w:pPr>
        <w:widowControl/>
        <w:snapToGrid w:val="0"/>
        <w:spacing w:line="480" w:lineRule="exact"/>
        <w:rPr>
          <w:rFonts w:hint="eastAsia" w:ascii="仿宋" w:eastAsia="仿宋"/>
          <w:color w:val="auto"/>
          <w:kern w:val="0"/>
          <w:sz w:val="24"/>
          <w:highlight w:val="none"/>
        </w:rPr>
      </w:pPr>
    </w:p>
    <w:p w14:paraId="22ED511F">
      <w:pPr>
        <w:widowControl/>
        <w:snapToGrid w:val="0"/>
        <w:spacing w:line="480" w:lineRule="exact"/>
        <w:rPr>
          <w:rFonts w:hint="eastAsia" w:ascii="仿宋" w:eastAsia="仿宋"/>
          <w:color w:val="auto"/>
          <w:kern w:val="0"/>
          <w:sz w:val="24"/>
          <w:highlight w:val="none"/>
        </w:rPr>
      </w:pPr>
    </w:p>
    <w:p w14:paraId="731E157D">
      <w:pPr>
        <w:widowControl/>
        <w:snapToGrid w:val="0"/>
        <w:spacing w:line="480" w:lineRule="exact"/>
        <w:rPr>
          <w:rFonts w:hint="eastAsia" w:ascii="仿宋" w:eastAsia="仿宋"/>
          <w:color w:val="auto"/>
          <w:kern w:val="0"/>
          <w:sz w:val="24"/>
          <w:highlight w:val="none"/>
        </w:rPr>
      </w:pPr>
    </w:p>
    <w:p w14:paraId="2B3B26F7">
      <w:pPr>
        <w:widowControl/>
        <w:snapToGrid w:val="0"/>
        <w:spacing w:line="480" w:lineRule="exact"/>
        <w:rPr>
          <w:rFonts w:hint="eastAsia" w:ascii="仿宋" w:eastAsia="仿宋"/>
          <w:color w:val="auto"/>
          <w:kern w:val="0"/>
          <w:sz w:val="24"/>
          <w:highlight w:val="none"/>
        </w:rPr>
      </w:pPr>
    </w:p>
    <w:p w14:paraId="4E3F3CC1">
      <w:pPr>
        <w:widowControl/>
        <w:snapToGrid w:val="0"/>
        <w:spacing w:line="480" w:lineRule="exact"/>
        <w:rPr>
          <w:rFonts w:hint="eastAsia" w:ascii="仿宋" w:eastAsia="仿宋"/>
          <w:color w:val="auto"/>
          <w:kern w:val="0"/>
          <w:sz w:val="24"/>
          <w:highlight w:val="none"/>
        </w:rPr>
      </w:pPr>
    </w:p>
    <w:p w14:paraId="44E6B043">
      <w:pPr>
        <w:widowControl/>
        <w:snapToGrid w:val="0"/>
        <w:spacing w:line="480" w:lineRule="exact"/>
        <w:rPr>
          <w:rFonts w:hint="eastAsia" w:ascii="仿宋" w:eastAsia="仿宋"/>
          <w:color w:val="auto"/>
          <w:kern w:val="0"/>
          <w:sz w:val="24"/>
          <w:highlight w:val="none"/>
        </w:rPr>
      </w:pPr>
    </w:p>
    <w:p w14:paraId="3B30D890">
      <w:pPr>
        <w:widowControl/>
        <w:snapToGrid w:val="0"/>
        <w:spacing w:line="480" w:lineRule="exact"/>
        <w:rPr>
          <w:rFonts w:hint="eastAsia" w:ascii="仿宋" w:eastAsia="仿宋"/>
          <w:color w:val="auto"/>
          <w:kern w:val="0"/>
          <w:sz w:val="24"/>
          <w:highlight w:val="none"/>
        </w:rPr>
      </w:pPr>
    </w:p>
    <w:p w14:paraId="461C82B4">
      <w:pPr>
        <w:widowControl/>
        <w:snapToGrid w:val="0"/>
        <w:spacing w:line="480" w:lineRule="exact"/>
        <w:rPr>
          <w:rFonts w:hint="eastAsia" w:ascii="仿宋" w:eastAsia="仿宋"/>
          <w:color w:val="auto"/>
          <w:kern w:val="0"/>
          <w:sz w:val="24"/>
          <w:highlight w:val="none"/>
        </w:rPr>
      </w:pPr>
    </w:p>
    <w:p w14:paraId="28A68905">
      <w:pPr>
        <w:widowControl/>
        <w:snapToGrid w:val="0"/>
        <w:spacing w:line="480" w:lineRule="exact"/>
        <w:rPr>
          <w:rFonts w:hint="eastAsia" w:ascii="仿宋" w:eastAsia="仿宋"/>
          <w:color w:val="auto"/>
          <w:kern w:val="0"/>
          <w:sz w:val="24"/>
          <w:highlight w:val="none"/>
        </w:rPr>
      </w:pPr>
    </w:p>
    <w:p w14:paraId="3D6FED6F">
      <w:pPr>
        <w:widowControl/>
        <w:snapToGrid w:val="0"/>
        <w:spacing w:line="480" w:lineRule="exact"/>
        <w:rPr>
          <w:rFonts w:hint="eastAsia" w:ascii="仿宋" w:eastAsia="仿宋"/>
          <w:color w:val="auto"/>
          <w:kern w:val="0"/>
          <w:sz w:val="24"/>
          <w:highlight w:val="none"/>
        </w:rPr>
      </w:pPr>
    </w:p>
    <w:p w14:paraId="7D3F0472">
      <w:pPr>
        <w:widowControl/>
        <w:snapToGrid w:val="0"/>
        <w:spacing w:line="480" w:lineRule="exact"/>
        <w:rPr>
          <w:rFonts w:hint="eastAsia" w:ascii="仿宋" w:eastAsia="仿宋"/>
          <w:color w:val="auto"/>
          <w:kern w:val="0"/>
          <w:sz w:val="24"/>
          <w:highlight w:val="none"/>
        </w:rPr>
      </w:pPr>
    </w:p>
    <w:p w14:paraId="6A8BF508">
      <w:pPr>
        <w:widowControl/>
        <w:snapToGrid w:val="0"/>
        <w:spacing w:line="480" w:lineRule="exact"/>
        <w:rPr>
          <w:rFonts w:hint="eastAsia" w:ascii="仿宋" w:eastAsia="仿宋"/>
          <w:color w:val="auto"/>
          <w:kern w:val="0"/>
          <w:sz w:val="24"/>
          <w:highlight w:val="none"/>
        </w:rPr>
      </w:pPr>
    </w:p>
    <w:p w14:paraId="5AE4D68D">
      <w:pPr>
        <w:widowControl/>
        <w:snapToGrid w:val="0"/>
        <w:spacing w:line="480" w:lineRule="exact"/>
        <w:rPr>
          <w:rFonts w:hint="eastAsia" w:ascii="仿宋" w:eastAsia="仿宋"/>
          <w:color w:val="auto"/>
          <w:kern w:val="0"/>
          <w:sz w:val="24"/>
          <w:highlight w:val="none"/>
        </w:rPr>
      </w:pPr>
    </w:p>
    <w:p w14:paraId="3E05DB0F">
      <w:pPr>
        <w:widowControl/>
        <w:snapToGrid w:val="0"/>
        <w:spacing w:line="480" w:lineRule="exact"/>
        <w:rPr>
          <w:rFonts w:hint="eastAsia" w:ascii="仿宋" w:eastAsia="仿宋"/>
          <w:color w:val="auto"/>
          <w:kern w:val="0"/>
          <w:sz w:val="24"/>
          <w:highlight w:val="none"/>
        </w:rPr>
      </w:pPr>
    </w:p>
    <w:p w14:paraId="5A43CCEC">
      <w:pPr>
        <w:widowControl/>
        <w:snapToGrid w:val="0"/>
        <w:spacing w:line="480" w:lineRule="exact"/>
        <w:rPr>
          <w:rFonts w:hint="eastAsia" w:ascii="仿宋" w:eastAsia="仿宋"/>
          <w:color w:val="auto"/>
          <w:kern w:val="0"/>
          <w:sz w:val="24"/>
          <w:highlight w:val="none"/>
        </w:rPr>
      </w:pPr>
    </w:p>
    <w:p w14:paraId="3E4F9F11">
      <w:pPr>
        <w:widowControl/>
        <w:snapToGrid w:val="0"/>
        <w:spacing w:line="480" w:lineRule="exact"/>
        <w:rPr>
          <w:rFonts w:hint="eastAsia" w:ascii="仿宋" w:eastAsia="仿宋"/>
          <w:color w:val="auto"/>
          <w:kern w:val="0"/>
          <w:sz w:val="24"/>
          <w:highlight w:val="none"/>
        </w:rPr>
      </w:pPr>
    </w:p>
    <w:p w14:paraId="168C2E16">
      <w:pPr>
        <w:widowControl/>
        <w:snapToGrid w:val="0"/>
        <w:spacing w:line="480" w:lineRule="exact"/>
        <w:rPr>
          <w:rFonts w:hint="eastAsia" w:ascii="仿宋" w:eastAsia="仿宋"/>
          <w:color w:val="auto"/>
          <w:kern w:val="0"/>
          <w:sz w:val="24"/>
          <w:highlight w:val="none"/>
        </w:rPr>
      </w:pPr>
    </w:p>
    <w:p w14:paraId="4DC1AFB2">
      <w:pPr>
        <w:widowControl/>
        <w:snapToGrid w:val="0"/>
        <w:spacing w:line="480" w:lineRule="exact"/>
        <w:rPr>
          <w:rFonts w:hint="eastAsia" w:ascii="仿宋" w:eastAsia="仿宋"/>
          <w:color w:val="auto"/>
          <w:kern w:val="0"/>
          <w:sz w:val="24"/>
          <w:highlight w:val="none"/>
        </w:rPr>
      </w:pPr>
    </w:p>
    <w:p w14:paraId="3551F8AC">
      <w:pPr>
        <w:widowControl/>
        <w:snapToGrid w:val="0"/>
        <w:spacing w:line="480" w:lineRule="exact"/>
        <w:rPr>
          <w:rFonts w:hint="eastAsia"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2AA77F8D">
      <w:pPr>
        <w:jc w:val="center"/>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6B8514AE">
      <w:pPr>
        <w:adjustRightInd w:val="0"/>
        <w:snapToGrid w:val="0"/>
        <w:spacing w:before="312" w:beforeLines="100"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28171A69">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58342AE8">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7C3503CB">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584808D8">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46579BC6">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533B89D3">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4936DCBD">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2BA9D62F">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1585756A">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1709223D">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4EA17D78">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5170A5E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26CF25C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04A1514C">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7D0D6D7A">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1C773E42">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072F5EB2">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21BAF134">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3E4CE2CA">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228D2F2B">
      <w:pPr>
        <w:adjustRightInd w:val="0"/>
        <w:snapToGrid w:val="0"/>
        <w:spacing w:line="360" w:lineRule="auto"/>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7EF125C6">
      <w:pPr>
        <w:adjustRightInd w:val="0"/>
        <w:snapToGrid w:val="0"/>
        <w:spacing w:line="360" w:lineRule="auto"/>
        <w:rPr>
          <w:rFonts w:hint="eastAsia" w:ascii="仿宋" w:eastAsia="仿宋" w:cs="仿宋"/>
          <w:b/>
          <w:bCs/>
          <w:color w:val="auto"/>
          <w:sz w:val="24"/>
          <w:szCs w:val="24"/>
          <w:highlight w:val="none"/>
          <w:u w:val="double"/>
          <w:lang w:eastAsia="zh-CN"/>
        </w:rPr>
      </w:pPr>
      <w:r>
        <w:rPr>
          <w:rFonts w:hint="eastAsia" w:ascii="仿宋" w:eastAsia="仿宋" w:cs="仿宋"/>
          <w:b/>
          <w:bCs/>
          <w:color w:val="auto"/>
          <w:sz w:val="24"/>
          <w:szCs w:val="24"/>
          <w:highlight w:val="none"/>
          <w:u w:val="double"/>
          <w:lang w:eastAsia="zh-CN"/>
        </w:rPr>
        <w:t>（需附供应商法定代表人的授权委托书，以委托授权代表提出质疑，格式自拟）</w:t>
      </w:r>
    </w:p>
    <w:p w14:paraId="56C0FC78">
      <w:pPr>
        <w:adjustRightInd w:val="0"/>
        <w:snapToGrid w:val="0"/>
        <w:spacing w:line="360" w:lineRule="auto"/>
        <w:rPr>
          <w:rFonts w:hint="eastAsia" w:ascii="仿宋" w:eastAsia="仿宋" w:cs="仿宋"/>
          <w:color w:val="auto"/>
          <w:sz w:val="24"/>
          <w:szCs w:val="24"/>
          <w:highlight w:val="none"/>
          <w:u w:val="dotted"/>
        </w:rPr>
      </w:pPr>
    </w:p>
    <w:p w14:paraId="77453DB9">
      <w:pPr>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2FBE4BCE">
      <w:pPr>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3C3F0BA4">
      <w:pPr>
        <w:adjustRightInd w:val="0"/>
        <w:snapToGrid w:val="0"/>
        <w:spacing w:line="360" w:lineRule="auto"/>
        <w:rPr>
          <w:rFonts w:hint="eastAsia" w:ascii="仿宋" w:eastAsia="仿宋" w:cs="仿宋"/>
          <w:color w:val="auto"/>
          <w:sz w:val="24"/>
          <w:szCs w:val="24"/>
          <w:highlight w:val="none"/>
        </w:rPr>
      </w:pPr>
    </w:p>
    <w:p w14:paraId="251A657B">
      <w:pPr>
        <w:adjustRightInd w:val="0"/>
        <w:snapToGrid w:val="0"/>
        <w:spacing w:line="360" w:lineRule="auto"/>
        <w:rPr>
          <w:rFonts w:hint="eastAsia" w:ascii="仿宋" w:eastAsia="仿宋" w:cs="宋体"/>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Helvetica">
    <w:altName w:val="Times New Roman"/>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1AD32">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14:paraId="7F14167F">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14:paraId="64CB04DC">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AC0E4">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24AEF">
    <w:pPr>
      <w:pStyle w:val="20"/>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14:paraId="45738B13">
    <w:pPr>
      <w:pStyle w:val="2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3AA05"/>
    <w:multiLevelType w:val="singleLevel"/>
    <w:tmpl w:val="9AF3AA05"/>
    <w:lvl w:ilvl="0" w:tentative="0">
      <w:start w:val="2"/>
      <w:numFmt w:val="chineseCounting"/>
      <w:suff w:val="nothing"/>
      <w:lvlText w:val="%1、"/>
      <w:lvlJc w:val="left"/>
      <w:rPr>
        <w:rFonts w:hint="eastAsia"/>
      </w:r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B4C77F8"/>
    <w:multiLevelType w:val="singleLevel"/>
    <w:tmpl w:val="AB4C77F8"/>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3">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41A42EAB"/>
    <w:multiLevelType w:val="singleLevel"/>
    <w:tmpl w:val="41A42EAB"/>
    <w:lvl w:ilvl="0" w:tentative="0">
      <w:start w:val="1"/>
      <w:numFmt w:val="decimal"/>
      <w:suff w:val="nothing"/>
      <w:lvlText w:val="（%1）"/>
      <w:lvlJc w:val="left"/>
    </w:lvl>
  </w:abstractNum>
  <w:abstractNum w:abstractNumId="6">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7">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8"/>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2"/>
  </w:num>
  <w:num w:numId="2">
    <w:abstractNumId w:val="7"/>
  </w:num>
  <w:num w:numId="3">
    <w:abstractNumId w:val="1"/>
  </w:num>
  <w:num w:numId="4">
    <w:abstractNumId w:val="5"/>
  </w:num>
  <w:num w:numId="5">
    <w:abstractNumId w:val="8"/>
  </w:num>
  <w:num w:numId="6">
    <w:abstractNumId w:val="0"/>
  </w:num>
  <w:num w:numId="7">
    <w:abstractNumId w:val="4"/>
  </w:num>
  <w:num w:numId="8">
    <w:abstractNumId w:val="6"/>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WY2MWQwN2ViM2YyZTFiOGIwNDA2YTYzMmE5N2JkY2YifQ=="/>
  </w:docVars>
  <w:rsids>
    <w:rsidRoot w:val="00000000"/>
    <w:rsid w:val="01583748"/>
    <w:rsid w:val="01CE57B8"/>
    <w:rsid w:val="03A76330"/>
    <w:rsid w:val="04602913"/>
    <w:rsid w:val="05BB42A5"/>
    <w:rsid w:val="05E73300"/>
    <w:rsid w:val="0621413E"/>
    <w:rsid w:val="06C30812"/>
    <w:rsid w:val="087A72A5"/>
    <w:rsid w:val="09DC645D"/>
    <w:rsid w:val="09EA1B90"/>
    <w:rsid w:val="0B1F7084"/>
    <w:rsid w:val="0C01678A"/>
    <w:rsid w:val="0CB3217A"/>
    <w:rsid w:val="0CEC7950"/>
    <w:rsid w:val="0DEA1BCB"/>
    <w:rsid w:val="0ECB733C"/>
    <w:rsid w:val="0EE01548"/>
    <w:rsid w:val="0F8E47D8"/>
    <w:rsid w:val="0FF534E0"/>
    <w:rsid w:val="115F467E"/>
    <w:rsid w:val="118B4F4A"/>
    <w:rsid w:val="11C43EED"/>
    <w:rsid w:val="121C431D"/>
    <w:rsid w:val="12BB4298"/>
    <w:rsid w:val="132A2796"/>
    <w:rsid w:val="13BD38DE"/>
    <w:rsid w:val="155A38FC"/>
    <w:rsid w:val="15B13D01"/>
    <w:rsid w:val="1662251B"/>
    <w:rsid w:val="16ED44DA"/>
    <w:rsid w:val="175F43E3"/>
    <w:rsid w:val="17732D8B"/>
    <w:rsid w:val="17852B26"/>
    <w:rsid w:val="17B374D2"/>
    <w:rsid w:val="19EF056A"/>
    <w:rsid w:val="1A1376B3"/>
    <w:rsid w:val="1A600D23"/>
    <w:rsid w:val="1BB13E5D"/>
    <w:rsid w:val="1C2344FA"/>
    <w:rsid w:val="1C316C17"/>
    <w:rsid w:val="1C7509C2"/>
    <w:rsid w:val="1E1403B1"/>
    <w:rsid w:val="1F1A1BE5"/>
    <w:rsid w:val="212D20A3"/>
    <w:rsid w:val="213D01F9"/>
    <w:rsid w:val="22252D7A"/>
    <w:rsid w:val="223A6A00"/>
    <w:rsid w:val="22431452"/>
    <w:rsid w:val="236B6EB3"/>
    <w:rsid w:val="239857CE"/>
    <w:rsid w:val="23E10F23"/>
    <w:rsid w:val="26355556"/>
    <w:rsid w:val="26502693"/>
    <w:rsid w:val="29300B3B"/>
    <w:rsid w:val="295977AD"/>
    <w:rsid w:val="298150DD"/>
    <w:rsid w:val="2ADF24F6"/>
    <w:rsid w:val="2AFC4894"/>
    <w:rsid w:val="2B24177C"/>
    <w:rsid w:val="2C0E1D7C"/>
    <w:rsid w:val="2C1F45EB"/>
    <w:rsid w:val="2C4B74B9"/>
    <w:rsid w:val="2DC00B12"/>
    <w:rsid w:val="2EE351E2"/>
    <w:rsid w:val="2F5C3B54"/>
    <w:rsid w:val="31AC70FB"/>
    <w:rsid w:val="31B47C77"/>
    <w:rsid w:val="32264B25"/>
    <w:rsid w:val="324700D3"/>
    <w:rsid w:val="32D65713"/>
    <w:rsid w:val="332E65C2"/>
    <w:rsid w:val="33605193"/>
    <w:rsid w:val="33631954"/>
    <w:rsid w:val="33837901"/>
    <w:rsid w:val="3491429F"/>
    <w:rsid w:val="3608233F"/>
    <w:rsid w:val="3765716E"/>
    <w:rsid w:val="384A2F32"/>
    <w:rsid w:val="386723AF"/>
    <w:rsid w:val="3B084B8F"/>
    <w:rsid w:val="3BFB2C1A"/>
    <w:rsid w:val="3BFDEB0C"/>
    <w:rsid w:val="3C2E3AE6"/>
    <w:rsid w:val="3C5F4C83"/>
    <w:rsid w:val="3D98FE41"/>
    <w:rsid w:val="3F19380F"/>
    <w:rsid w:val="3F2C52F0"/>
    <w:rsid w:val="3F8E7D59"/>
    <w:rsid w:val="3FBF43B6"/>
    <w:rsid w:val="40351C18"/>
    <w:rsid w:val="404D69D4"/>
    <w:rsid w:val="41AE7EF1"/>
    <w:rsid w:val="42162288"/>
    <w:rsid w:val="423D15C3"/>
    <w:rsid w:val="42A21D60"/>
    <w:rsid w:val="42F9198D"/>
    <w:rsid w:val="445F1CC4"/>
    <w:rsid w:val="45372830"/>
    <w:rsid w:val="4614088C"/>
    <w:rsid w:val="477F442B"/>
    <w:rsid w:val="4B7818BD"/>
    <w:rsid w:val="4C2F4E4F"/>
    <w:rsid w:val="4D314F78"/>
    <w:rsid w:val="4D3FF4BB"/>
    <w:rsid w:val="4EEE1861"/>
    <w:rsid w:val="4F075432"/>
    <w:rsid w:val="4F45133E"/>
    <w:rsid w:val="508B70EC"/>
    <w:rsid w:val="50AC6291"/>
    <w:rsid w:val="51254D76"/>
    <w:rsid w:val="51CE04DE"/>
    <w:rsid w:val="528B5297"/>
    <w:rsid w:val="5290573F"/>
    <w:rsid w:val="5294522F"/>
    <w:rsid w:val="52D05AF0"/>
    <w:rsid w:val="53803A05"/>
    <w:rsid w:val="5482443D"/>
    <w:rsid w:val="54C73B0D"/>
    <w:rsid w:val="55A00D68"/>
    <w:rsid w:val="56FB2FA5"/>
    <w:rsid w:val="577C035B"/>
    <w:rsid w:val="579843A6"/>
    <w:rsid w:val="57DD31D4"/>
    <w:rsid w:val="586E6522"/>
    <w:rsid w:val="5A8D76D2"/>
    <w:rsid w:val="5B58257E"/>
    <w:rsid w:val="5B884F17"/>
    <w:rsid w:val="5B8D3163"/>
    <w:rsid w:val="5BB3D3C1"/>
    <w:rsid w:val="5C480E38"/>
    <w:rsid w:val="5C6C2D78"/>
    <w:rsid w:val="5E36363E"/>
    <w:rsid w:val="5E9345EC"/>
    <w:rsid w:val="5F4B3119"/>
    <w:rsid w:val="5F612F38"/>
    <w:rsid w:val="60B46A9C"/>
    <w:rsid w:val="61355E2F"/>
    <w:rsid w:val="61E3588B"/>
    <w:rsid w:val="61E84913"/>
    <w:rsid w:val="630259A0"/>
    <w:rsid w:val="634A45AF"/>
    <w:rsid w:val="639D7ECC"/>
    <w:rsid w:val="63C90AB0"/>
    <w:rsid w:val="63D27965"/>
    <w:rsid w:val="63ED29F1"/>
    <w:rsid w:val="646031C3"/>
    <w:rsid w:val="64D4595F"/>
    <w:rsid w:val="65B02F4A"/>
    <w:rsid w:val="65CA5DF4"/>
    <w:rsid w:val="65DD0843"/>
    <w:rsid w:val="667A42E4"/>
    <w:rsid w:val="66EF6A80"/>
    <w:rsid w:val="67530DBD"/>
    <w:rsid w:val="67563D5C"/>
    <w:rsid w:val="67952EF0"/>
    <w:rsid w:val="685C0145"/>
    <w:rsid w:val="688C4B45"/>
    <w:rsid w:val="68B25FB7"/>
    <w:rsid w:val="69755AEA"/>
    <w:rsid w:val="6A13332A"/>
    <w:rsid w:val="6A1F767C"/>
    <w:rsid w:val="6A6C5215"/>
    <w:rsid w:val="6A9046A9"/>
    <w:rsid w:val="6AED777A"/>
    <w:rsid w:val="6AF816BD"/>
    <w:rsid w:val="6BAF4A30"/>
    <w:rsid w:val="6C506213"/>
    <w:rsid w:val="6D036DE1"/>
    <w:rsid w:val="6DD7C015"/>
    <w:rsid w:val="6EB20ABF"/>
    <w:rsid w:val="6F1451A0"/>
    <w:rsid w:val="6F5B16DA"/>
    <w:rsid w:val="6F904BED"/>
    <w:rsid w:val="6FA04DBB"/>
    <w:rsid w:val="6FB14E1F"/>
    <w:rsid w:val="6FFE3CE6"/>
    <w:rsid w:val="70473489"/>
    <w:rsid w:val="717E7D50"/>
    <w:rsid w:val="71AB6C92"/>
    <w:rsid w:val="71AC3EEB"/>
    <w:rsid w:val="72C47013"/>
    <w:rsid w:val="73532145"/>
    <w:rsid w:val="74414889"/>
    <w:rsid w:val="75021059"/>
    <w:rsid w:val="75D43A11"/>
    <w:rsid w:val="76057890"/>
    <w:rsid w:val="76742AFE"/>
    <w:rsid w:val="76AE1873"/>
    <w:rsid w:val="76D468E9"/>
    <w:rsid w:val="772C33D8"/>
    <w:rsid w:val="777BF5FB"/>
    <w:rsid w:val="777F5BFE"/>
    <w:rsid w:val="785B3F75"/>
    <w:rsid w:val="787C2FE6"/>
    <w:rsid w:val="78CC42C1"/>
    <w:rsid w:val="7A097A01"/>
    <w:rsid w:val="7B6C6BE8"/>
    <w:rsid w:val="7CAB4D9F"/>
    <w:rsid w:val="7D7FF9FD"/>
    <w:rsid w:val="7E554189"/>
    <w:rsid w:val="7E722019"/>
    <w:rsid w:val="7E760707"/>
    <w:rsid w:val="7EC81C39"/>
    <w:rsid w:val="7EFBAAA7"/>
    <w:rsid w:val="7F176729"/>
    <w:rsid w:val="7F6F8476"/>
    <w:rsid w:val="98FD5991"/>
    <w:rsid w:val="AD9F00D4"/>
    <w:rsid w:val="B33BDCE9"/>
    <w:rsid w:val="BF7F930D"/>
    <w:rsid w:val="C7FFBD3C"/>
    <w:rsid w:val="CBF630EB"/>
    <w:rsid w:val="EEFFC128"/>
    <w:rsid w:val="EF248F13"/>
    <w:rsid w:val="EF6D581A"/>
    <w:rsid w:val="F99E676A"/>
    <w:rsid w:val="FDDDBC17"/>
    <w:rsid w:val="FE7F4CCE"/>
    <w:rsid w:val="FEFFAC3A"/>
    <w:rsid w:val="FF6881A4"/>
    <w:rsid w:val="FFBF9D6A"/>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3">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4">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0">
    <w:name w:val="Default Paragraph Font"/>
    <w:qFormat/>
    <w:uiPriority w:val="0"/>
  </w:style>
  <w:style w:type="table" w:default="1" w:styleId="28">
    <w:name w:val="Normal Table"/>
    <w:semiHidden/>
    <w:qFormat/>
    <w:uiPriority w:val="0"/>
    <w:tblPr>
      <w:tblCellMar>
        <w:top w:w="0" w:type="dxa"/>
        <w:left w:w="108" w:type="dxa"/>
        <w:bottom w:w="0" w:type="dxa"/>
        <w:right w:w="108" w:type="dxa"/>
      </w:tblCellMar>
    </w:tblPr>
  </w:style>
  <w:style w:type="paragraph" w:styleId="2">
    <w:name w:val="index 5"/>
    <w:basedOn w:val="1"/>
    <w:next w:val="1"/>
    <w:qFormat/>
    <w:uiPriority w:val="0"/>
    <w:pPr>
      <w:ind w:left="1680"/>
      <w:jc w:val="left"/>
    </w:pPr>
  </w:style>
  <w:style w:type="paragraph" w:styleId="7">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8">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9">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0">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w:basedOn w:val="1"/>
    <w:next w:val="14"/>
    <w:qFormat/>
    <w:uiPriority w:val="1"/>
  </w:style>
  <w:style w:type="paragraph" w:styleId="14">
    <w:name w:val="Body Text First Indent"/>
    <w:basedOn w:val="13"/>
    <w:next w:val="1"/>
    <w:qFormat/>
    <w:uiPriority w:val="0"/>
    <w:pPr>
      <w:ind w:firstLine="420"/>
    </w:pPr>
    <w:rPr>
      <w:rFonts w:eastAsia="Times New Roman"/>
    </w:rPr>
  </w:style>
  <w:style w:type="paragraph" w:styleId="15">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6">
    <w:name w:val="toc 5"/>
    <w:basedOn w:val="1"/>
    <w:next w:val="1"/>
    <w:qFormat/>
    <w:uiPriority w:val="0"/>
    <w:pPr>
      <w:ind w:left="1680"/>
    </w:pPr>
  </w:style>
  <w:style w:type="paragraph" w:styleId="17">
    <w:name w:val="toc 3"/>
    <w:basedOn w:val="1"/>
    <w:next w:val="1"/>
    <w:qFormat/>
    <w:uiPriority w:val="0"/>
    <w:pPr>
      <w:ind w:left="840"/>
    </w:pPr>
  </w:style>
  <w:style w:type="paragraph" w:styleId="18">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9">
    <w:name w:val="Date"/>
    <w:basedOn w:val="1"/>
    <w:next w:val="1"/>
    <w:qFormat/>
    <w:uiPriority w:val="0"/>
    <w:pPr>
      <w:ind w:left="2500" w:leftChars="2500"/>
    </w:pPr>
  </w:style>
  <w:style w:type="paragraph" w:styleId="20">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1">
    <w:name w:val="header"/>
    <w:basedOn w:val="1"/>
    <w:qFormat/>
    <w:uiPriority w:val="0"/>
    <w:pPr>
      <w:pBdr>
        <w:bottom w:val="single" w:color="auto" w:sz="6" w:space="1"/>
      </w:pBdr>
      <w:tabs>
        <w:tab w:val="center" w:pos="4153"/>
        <w:tab w:val="right" w:pos="8307"/>
      </w:tabs>
      <w:snapToGrid w:val="0"/>
      <w:jc w:val="center"/>
    </w:pPr>
    <w:rPr>
      <w:sz w:val="18"/>
    </w:rPr>
  </w:style>
  <w:style w:type="paragraph" w:styleId="22">
    <w:name w:val="toc 1"/>
    <w:basedOn w:val="1"/>
    <w:next w:val="1"/>
    <w:qFormat/>
    <w:uiPriority w:val="0"/>
  </w:style>
  <w:style w:type="paragraph" w:styleId="23">
    <w:name w:val="toc 4"/>
    <w:basedOn w:val="1"/>
    <w:next w:val="1"/>
    <w:qFormat/>
    <w:uiPriority w:val="0"/>
    <w:pPr>
      <w:ind w:left="1260"/>
    </w:pPr>
  </w:style>
  <w:style w:type="paragraph" w:styleId="24">
    <w:name w:val="toc 2"/>
    <w:basedOn w:val="1"/>
    <w:next w:val="1"/>
    <w:qFormat/>
    <w:uiPriority w:val="0"/>
    <w:pPr>
      <w:ind w:left="420"/>
    </w:pPr>
  </w:style>
  <w:style w:type="paragraph" w:styleId="25">
    <w:name w:val="Normal (Web)"/>
    <w:basedOn w:val="1"/>
    <w:qFormat/>
    <w:uiPriority w:val="0"/>
    <w:rPr>
      <w:sz w:val="24"/>
    </w:rPr>
  </w:style>
  <w:style w:type="paragraph" w:styleId="26">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7">
    <w:name w:val="annotation subject"/>
    <w:basedOn w:val="11"/>
    <w:next w:val="11"/>
    <w:qFormat/>
    <w:uiPriority w:val="0"/>
    <w:rPr>
      <w:b/>
    </w:r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rPr>
      <w:b/>
    </w:rPr>
  </w:style>
  <w:style w:type="character" w:styleId="32">
    <w:name w:val="page number"/>
    <w:basedOn w:val="30"/>
    <w:qFormat/>
    <w:uiPriority w:val="0"/>
  </w:style>
  <w:style w:type="character" w:styleId="33">
    <w:name w:val="FollowedHyperlink"/>
    <w:basedOn w:val="30"/>
    <w:qFormat/>
    <w:uiPriority w:val="0"/>
    <w:rPr>
      <w:color w:val="800080"/>
      <w:u w:val="single"/>
    </w:rPr>
  </w:style>
  <w:style w:type="character" w:styleId="34">
    <w:name w:val="Hyperlink"/>
    <w:qFormat/>
    <w:uiPriority w:val="0"/>
    <w:rPr>
      <w:color w:val="0000FF"/>
      <w:u w:val="single"/>
    </w:rPr>
  </w:style>
  <w:style w:type="paragraph" w:customStyle="1" w:styleId="35">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6">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7">
    <w:name w:val="正文文字 7"/>
    <w:basedOn w:val="1"/>
    <w:next w:val="1"/>
    <w:qFormat/>
    <w:uiPriority w:val="0"/>
    <w:pPr>
      <w:ind w:left="240"/>
    </w:pPr>
    <w:rPr>
      <w:sz w:val="20"/>
    </w:rPr>
  </w:style>
  <w:style w:type="paragraph" w:customStyle="1" w:styleId="38">
    <w:name w:val="正文文字 8"/>
    <w:basedOn w:val="1"/>
    <w:next w:val="1"/>
    <w:qFormat/>
    <w:uiPriority w:val="0"/>
    <w:pPr>
      <w:numPr>
        <w:ilvl w:val="1"/>
        <w:numId w:val="2"/>
      </w:numPr>
      <w:ind w:left="805"/>
    </w:pPr>
    <w:rPr>
      <w:sz w:val="16"/>
    </w:rPr>
  </w:style>
  <w:style w:type="paragraph" w:customStyle="1" w:styleId="39">
    <w:name w:val="列出段落1"/>
    <w:next w:val="37"/>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0">
    <w:name w:val="样式5"/>
    <w:next w:val="38"/>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1">
    <w:name w:val="正文_13"/>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84</Pages>
  <Words>1270</Words>
  <Characters>1482</Characters>
  <Lines>1618</Lines>
  <Paragraphs>834</Paragraphs>
  <TotalTime>137</TotalTime>
  <ScaleCrop>false</ScaleCrop>
  <LinksUpToDate>false</LinksUpToDate>
  <CharactersWithSpaces>1601</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2020-01-04T07:28:00Z</dcterms:created>
  <dc:creator>admin8</dc:creator>
  <cp:lastModifiedBy>157----0351</cp:lastModifiedBy>
  <cp:lastPrinted>2025-02-14T00:57:00Z</cp:lastPrinted>
  <dcterms:modified xsi:type="dcterms:W3CDTF">2025-02-28T07:13:19Z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E3C498B5B7BB4BC8BFDBFB46B1D13147_13</vt:lpwstr>
  </property>
  <property fmtid="{D5CDD505-2E9C-101B-9397-08002B2CF9AE}" pid="4" name="KSOTemplateDocerSaveRecord">
    <vt:lpwstr>eyJoZGlkIjoiYzQ3YTM0Njg3OTFhMjMwZjNkMDg4MzVjOTU1MTg2OGQiLCJ1c2VySWQiOiIxNDg5MDEzNTc4In0=</vt:lpwstr>
  </property>
</Properties>
</file>