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0"/>
        <w:spacing w:line="760" w:lineRule="exact"/>
        <w:rPr>
          <w:rFonts w:ascii="宋体" w:eastAsia="宋体"/>
          <w:color w:val="auto"/>
          <w:sz w:val="72"/>
          <w:szCs w:val="72"/>
          <w:highlight w:val="none"/>
        </w:rPr>
      </w:pPr>
    </w:p>
    <w:p>
      <w:pPr>
        <w:pStyle w:val="26"/>
        <w:jc w:val="center"/>
        <w:rPr>
          <w:rFonts w:hAnsi="宋体" w:cs="宋体"/>
          <w:b/>
          <w:bCs/>
          <w:color w:val="auto"/>
          <w:sz w:val="52"/>
          <w:szCs w:val="52"/>
          <w:highlight w:val="none"/>
          <w:lang w:val="en-US"/>
        </w:rPr>
      </w:pPr>
      <w:r>
        <w:rPr>
          <w:rFonts w:hint="eastAsia" w:hAnsi="宋体" w:cs="宋体"/>
          <w:b/>
          <w:bCs/>
          <w:color w:val="auto"/>
          <w:sz w:val="48"/>
          <w:szCs w:val="48"/>
          <w:highlight w:val="none"/>
          <w:lang w:val="en-US"/>
        </w:rPr>
        <w:t>杭州萧山环境投资建设集团有限公司安全生产管理社会化服务采购项目</w:t>
      </w:r>
    </w:p>
    <w:p>
      <w:pPr>
        <w:pStyle w:val="83"/>
        <w:rPr>
          <w:rFonts w:ascii="宋体" w:hAnsi="宋体" w:cs="宋体"/>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w:t>
      </w:r>
      <w:r>
        <w:rPr>
          <w:rFonts w:hint="eastAsia" w:ascii="宋体" w:hAnsi="宋体" w:cs="宋体"/>
          <w:b/>
          <w:bCs/>
          <w:color w:val="auto"/>
          <w:sz w:val="30"/>
          <w:szCs w:val="30"/>
          <w:highlight w:val="none"/>
          <w:lang w:eastAsia="zh-CN"/>
        </w:rPr>
        <w:t>BWZBDL2025</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003</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pStyle w:val="86"/>
        <w:rPr>
          <w:rFonts w:cs="宋体"/>
          <w:color w:val="auto"/>
          <w:highlight w:val="none"/>
        </w:rPr>
      </w:pPr>
    </w:p>
    <w:p>
      <w:pPr>
        <w:pStyle w:val="86"/>
        <w:rPr>
          <w:rFonts w:cs="宋体"/>
          <w:color w:val="auto"/>
          <w:highlight w:val="none"/>
        </w:rPr>
      </w:pPr>
    </w:p>
    <w:p>
      <w:pPr>
        <w:pStyle w:val="83"/>
        <w:ind w:firstLine="0"/>
        <w:rPr>
          <w:rFonts w:ascii="宋体" w:hAnsi="宋体" w:cs="宋体"/>
          <w:color w:val="auto"/>
          <w:highlight w:val="none"/>
          <w:lang w:eastAsia="zh-CN"/>
        </w:rPr>
      </w:pPr>
    </w:p>
    <w:p>
      <w:pPr>
        <w:spacing w:line="360" w:lineRule="auto"/>
        <w:ind w:firstLine="964" w:firstLineChars="300"/>
        <w:rPr>
          <w:rFonts w:ascii="宋体" w:hAnsi="宋体" w:cs="宋体"/>
          <w:b/>
          <w:color w:val="auto"/>
          <w:sz w:val="32"/>
          <w:szCs w:val="30"/>
          <w:highlight w:val="none"/>
        </w:rPr>
      </w:pPr>
      <w:r>
        <w:rPr>
          <w:rFonts w:hint="eastAsia" w:ascii="宋体" w:hAnsi="宋体" w:cs="宋体"/>
          <w:b/>
          <w:color w:val="auto"/>
          <w:sz w:val="32"/>
          <w:szCs w:val="30"/>
          <w:highlight w:val="none"/>
        </w:rPr>
        <w:t>交易发起人：杭州萧山环境投资建设集团有限公司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851" w:footer="992" w:gutter="0"/>
          <w:cols w:space="0" w:num="1"/>
          <w:titlePg/>
          <w:docGrid w:linePitch="312" w:charSpace="0"/>
        </w:sect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lang w:eastAsia="zh-CN"/>
        </w:rPr>
        <w:t>BWZBDL2025</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003</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杭州萧山环境投资建设集团有限公司安全生产管理社会化服务采购项目</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b w:val="0"/>
          <w:bCs/>
          <w:color w:val="auto"/>
          <w:sz w:val="24"/>
          <w:highlight w:val="none"/>
          <w:lang w:val="en-US" w:eastAsia="zh-CN"/>
        </w:rPr>
        <w:t>35</w:t>
      </w:r>
      <w:r>
        <w:rPr>
          <w:rFonts w:hint="eastAsia" w:ascii="宋体" w:hAnsi="宋体" w:cs="宋体"/>
          <w:b w:val="0"/>
          <w:bCs/>
          <w:color w:val="auto"/>
          <w:sz w:val="24"/>
          <w:szCs w:val="28"/>
          <w:highlight w:val="none"/>
        </w:rPr>
        <w:t>0000.00元</w:t>
      </w:r>
    </w:p>
    <w:p>
      <w:pPr>
        <w:pStyle w:val="18"/>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hAnsi="宋体" w:cs="宋体"/>
          <w:bCs/>
          <w:color w:val="auto"/>
          <w:sz w:val="24"/>
          <w:highlight w:val="none"/>
        </w:rPr>
        <w:t>杭州萧山环境投资建设集团有限公司安全生产管理社会化服务采购项目</w:t>
      </w:r>
      <w:r>
        <w:rPr>
          <w:rFonts w:hint="eastAsia" w:hAnsi="宋体" w:cs="宋体"/>
          <w:color w:val="auto"/>
          <w:sz w:val="24"/>
          <w:highlight w:val="none"/>
        </w:rPr>
        <w:t>，服务期1年，详见交易需求。</w:t>
      </w:r>
    </w:p>
    <w:p>
      <w:pPr>
        <w:pStyle w:val="18"/>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3"/>
        <w:ind w:firstLine="480" w:firstLineChars="200"/>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rPr>
        <w:t>无</w:t>
      </w:r>
      <w:r>
        <w:rPr>
          <w:rFonts w:hint="eastAsia" w:hAnsi="宋体" w:cs="宋体"/>
          <w:color w:val="auto"/>
          <w:highlight w:val="none"/>
          <w:lang w:val="en-US" w:eastAsia="zh-CN"/>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响应人登录乐采云平台https://www.lecaiyun.com/在线申请获取公开竞争文件（进入“项目采购”应用，在获取公开竞争文件菜单中选择项目，申请获取公开竞争文件）。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日14点30分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日14点30分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乐采云平台（https://www.lecaiyun.com/）</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进行招投标活动，不接受纸质响应文件；②投标准备：注册账号--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公开竞争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bCs/>
          <w:color w:val="auto"/>
          <w:sz w:val="24"/>
          <w:highlight w:val="none"/>
        </w:rPr>
        <w:t>杭州萧山环境投资建设集团有限公司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地址：杭州市萧山区北干街道金城路1068号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项目联系人（询问）：朱高翔</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highlight w:val="none"/>
        </w:rPr>
        <w:t>项目联系方式（询问）：0571-83587730</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若对项目电子交易系统操作有疑问，可登录乐采云（https://www.lecaiyun.com/），点击右侧咨询小采，获取采小蜜智能服务管家帮助，或拨打乐采云服务热线95763获取热线服务帮助。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（√）A不组织。</w:t>
            </w:r>
          </w:p>
          <w:p>
            <w:pPr>
              <w:snapToGrid w:val="0"/>
              <w:rPr>
                <w:rFonts w:ascii="宋体" w:hAnsi="宋体" w:cs="宋体"/>
                <w:color w:val="auto"/>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4"/>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本项目采购代理费由交易发起人支付。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履约保证金：成交价的2%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pPr>
              <w:snapToGrid w:val="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4"/>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2.6“电子交易平台”是指本项目交易活动所依托的乐采云平台（https://www.lecaiyun.com/）。</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4"/>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4"/>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4"/>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4"/>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37"/>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4"/>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4"/>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4"/>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pPr>
        <w:pStyle w:val="34"/>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8"/>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4"/>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7"/>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7"/>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pPr>
        <w:pStyle w:val="137"/>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7"/>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7"/>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7"/>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7"/>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4"/>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4"/>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7"/>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7"/>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7"/>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7"/>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7"/>
        <w:spacing w:before="0" w:line="460" w:lineRule="exact"/>
        <w:ind w:firstLine="643"/>
        <w:rPr>
          <w:rFonts w:ascii="宋体" w:hAnsi="宋体" w:cs="宋体"/>
          <w:b/>
          <w:color w:val="auto"/>
          <w:sz w:val="32"/>
          <w:highlight w:val="none"/>
        </w:rPr>
      </w:pPr>
    </w:p>
    <w:p>
      <w:pPr>
        <w:pStyle w:val="137"/>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2"/>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7"/>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7"/>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7"/>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7"/>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37"/>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7"/>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7"/>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pPr>
        <w:pStyle w:val="137"/>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7"/>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详见响应人须知前附表。</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7"/>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7"/>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7"/>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6"/>
        <w:tblW w:w="9719" w:type="dxa"/>
        <w:jc w:val="center"/>
        <w:tblLayout w:type="fixed"/>
        <w:tblCellMar>
          <w:top w:w="0" w:type="dxa"/>
          <w:left w:w="0" w:type="dxa"/>
          <w:bottom w:w="0" w:type="dxa"/>
          <w:right w:w="0" w:type="dxa"/>
        </w:tblCellMar>
      </w:tblPr>
      <w:tblGrid>
        <w:gridCol w:w="642"/>
        <w:gridCol w:w="5399"/>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200"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杭州萧山环境投资建设集团有限公司安全生产管理社会化服务采购项目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360" w:lineRule="auto"/>
        <w:jc w:val="center"/>
        <w:rPr>
          <w:rFonts w:ascii="宋体" w:hAnsi="宋体" w:cs="宋体"/>
          <w:b/>
          <w:color w:val="auto"/>
          <w:sz w:val="24"/>
          <w:highlight w:val="none"/>
        </w:rPr>
      </w:pPr>
    </w:p>
    <w:p>
      <w:pPr>
        <w:spacing w:line="360" w:lineRule="auto"/>
        <w:jc w:val="center"/>
        <w:rPr>
          <w:rFonts w:hint="eastAsia"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pPr>
        <w:pStyle w:val="4"/>
        <w:spacing w:before="0" w:after="0"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（一）技术需求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浙江省安全生产监督管理局《关于深入推进安全生产社会化服务工作的指导意见》（浙应急基础〔2019〕117号）、《浙江省安全生产社会化服务机构分级管理规定》、《关于发布杭州安全生产社会化服务指南的能知》（杭应急局），《关于印发杭州市萧山区安全生产社会化服务机构管理暂行办法的通知》（萧应急局），为推动社会力量参与支持安全生产工作，提升安全生产隐患治理能力，具体要求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1、项目名称：安全生产管理社会化服务采购项目。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2、人员配置要求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▲（1）响应人应在浙江省应急管理厅浙江省工业企业安全在线-社会化服务信息系统备案并为</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级及以上等级。</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符合《杭州市应急管理局关于发布杭州市安全生产社会化服务指南（试行）的通知》、萧山区应急管理局关于印发《杭州市萧山区安全生产社会化服务机构管理暂行办法》通知要求。在服务周期内要根据企业生产实际确保各专业全覆盖。</w:t>
      </w:r>
    </w:p>
    <w:p>
      <w:pPr>
        <w:pStyle w:val="2"/>
        <w:spacing w:line="360" w:lineRule="auto"/>
        <w:jc w:val="left"/>
        <w:rPr>
          <w:rFonts w:hint="eastAsia" w:ascii="宋体" w:hAnsi="宋体" w:cs="宋体"/>
          <w:color w:val="auto"/>
          <w:sz w:val="24"/>
          <w:highlight w:val="none"/>
        </w:rPr>
      </w:pPr>
      <w:r>
        <w:rPr>
          <w:rFonts w:hint="eastAsia" w:cs="宋体"/>
          <w:color w:val="auto"/>
          <w:highlight w:val="none"/>
        </w:rPr>
        <w:t>（3）拟派项目负责人必须</w:t>
      </w:r>
      <w:r>
        <w:rPr>
          <w:rFonts w:hint="eastAsia" w:cs="宋体"/>
          <w:color w:val="auto"/>
          <w:highlight w:val="none"/>
          <w:lang w:eastAsia="zh-CN"/>
        </w:rPr>
        <w:t>为高级工程师，</w:t>
      </w:r>
      <w:r>
        <w:rPr>
          <w:rFonts w:hint="eastAsia" w:cs="宋体"/>
          <w:color w:val="auto"/>
          <w:highlight w:val="none"/>
        </w:rPr>
        <w:t>具备注册安全工程师资质（</w:t>
      </w:r>
      <w:r>
        <w:rPr>
          <w:rFonts w:hint="eastAsia" w:cs="宋体"/>
          <w:bCs/>
          <w:color w:val="auto"/>
          <w:highlight w:val="none"/>
        </w:rPr>
        <w:t>其他），实施过程中如需更换须经采购方同意；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3、服务对象</w:t>
      </w:r>
    </w:p>
    <w:tbl>
      <w:tblPr>
        <w:tblStyle w:val="6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268"/>
        <w:gridCol w:w="2796"/>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6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项目类型</w:t>
            </w:r>
          </w:p>
        </w:tc>
        <w:tc>
          <w:tcPr>
            <w:tcW w:w="2796"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人员配备</w:t>
            </w:r>
          </w:p>
        </w:tc>
        <w:tc>
          <w:tcPr>
            <w:tcW w:w="2604" w:type="dxa"/>
            <w:noWrap/>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结算标准</w:t>
            </w:r>
          </w:p>
          <w:p>
            <w:pPr>
              <w:jc w:val="center"/>
              <w:rPr>
                <w:rFonts w:ascii="宋体" w:hAnsi="宋体" w:cs="宋体"/>
                <w:color w:val="auto"/>
                <w:sz w:val="24"/>
                <w:highlight w:val="none"/>
              </w:rPr>
            </w:pPr>
            <w:r>
              <w:rPr>
                <w:rFonts w:hint="eastAsia" w:ascii="宋体" w:hAnsi="宋体" w:cs="宋体"/>
                <w:color w:val="auto"/>
                <w:sz w:val="24"/>
                <w:highlight w:val="none"/>
              </w:rPr>
              <w:t>（人次/天）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26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资产运营领域</w:t>
            </w:r>
          </w:p>
        </w:tc>
        <w:tc>
          <w:tcPr>
            <w:tcW w:w="2796"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注册安全工程师、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p>
        </w:tc>
        <w:tc>
          <w:tcPr>
            <w:tcW w:w="2604" w:type="dxa"/>
            <w:vMerge w:val="restart"/>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按人次/工作时间记</w:t>
            </w:r>
          </w:p>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4小时以内：600元</w:t>
            </w:r>
            <w:r>
              <w:rPr>
                <w:rFonts w:hint="eastAsia" w:ascii="宋体" w:hAnsi="宋体" w:cs="宋体"/>
                <w:color w:val="auto"/>
                <w:sz w:val="24"/>
                <w:highlight w:val="none"/>
                <w:lang w:val="en-US" w:eastAsia="zh-CN"/>
              </w:rPr>
              <w:t>/人</w:t>
            </w:r>
          </w:p>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4—8小时：1200元</w:t>
            </w:r>
            <w:r>
              <w:rPr>
                <w:rFonts w:hint="eastAsia" w:ascii="宋体" w:hAnsi="宋体" w:cs="宋体"/>
                <w:color w:val="auto"/>
                <w:sz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1"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26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生产运行领域</w:t>
            </w:r>
          </w:p>
        </w:tc>
        <w:tc>
          <w:tcPr>
            <w:tcW w:w="2796" w:type="dxa"/>
            <w:noWrap/>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注册安全工程师、安全评价师、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r>
              <w:rPr>
                <w:rFonts w:hint="eastAsia" w:ascii="宋体" w:hAnsi="宋体" w:cs="宋体"/>
                <w:color w:val="auto"/>
                <w:sz w:val="24"/>
                <w:highlight w:val="none"/>
                <w:lang w:eastAsia="zh-CN"/>
              </w:rPr>
              <w:t>、标准化评审员</w:t>
            </w:r>
          </w:p>
        </w:tc>
        <w:tc>
          <w:tcPr>
            <w:tcW w:w="2604" w:type="dxa"/>
            <w:vMerge w:val="continue"/>
            <w:noWrap/>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4、服务内容和要求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4.1服务内容：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（1）对集团系统内企业或项目进行闭环式的安全生产隐患排查</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每次排查内容包括但不限于：</w:t>
      </w:r>
      <w:r>
        <w:rPr>
          <w:rFonts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①隐患排查（台账、现场）;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检查档案（一企一档）建设、对集团系统内企业风险开展分级评定；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③企业安全生产管理基础知识培训；</w:t>
      </w:r>
    </w:p>
    <w:p>
      <w:pPr>
        <w:spacing w:line="360" w:lineRule="auto"/>
        <w:ind w:firstLine="480" w:firstLineChars="200"/>
        <w:rPr>
          <w:color w:val="auto"/>
          <w:highlight w:val="none"/>
        </w:rPr>
      </w:pPr>
      <w:r>
        <w:rPr>
          <w:rFonts w:hint="eastAsia" w:ascii="宋体" w:hAnsi="宋体" w:cs="宋体"/>
          <w:color w:val="auto"/>
          <w:sz w:val="24"/>
          <w:highlight w:val="none"/>
        </w:rPr>
        <w:t>④指导企业隐患整改；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⑤完成业主交办的其他工作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需提供季度总结分析会4次，并结合检查情况制作半年度与年度综合问题曝光视频（各15分钟），其他专项培训会等服务共不少于4次；总结分析、专项培训内容由采购方决定。相关费用已包含在响应总价中，供应商自行考虑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（3）每年指导业主开展2次安全生产应急演练指导，演练内容包括：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①编制应急演练方案和总结；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②现场指导安排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（4）配合采购方开展有限空间作业企业、涉氨企业、喷涂作业企业、涉爆粉尘企业、危化品使用企业、一厂多租企业等专项检查；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（5）配合采购方做好其他上级政府下达的考核任务。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（6）应急预案的评审、制度建设的审核、协助制订集团系统安全责任书范本。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（7）协助开展事故调查。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（8）系统内重大危险源登记，做到100%录入报备。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（9）协助安全生产月各类活动策划、联系、技术指导、素材提供等。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（10）外出参观培训等的联系沟通。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作为交易发起人聘请的专业化社会安全生产服务机构，应协助交易发起人做好全域性的安全生产指导监督检查工作，安全生产服务范围、内容不仅限于计价范围内企业、内容，应服从交易发起人在安全生产领域内其他任务需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签订服务合同后，每季度开展工作前，根据甲方的工作要求制订详细服务计划，包括检查组别、人员、时间、频次、内容和标准，制定详细服务流程、检查表、服务结果反馈表等，服务机构应建立安全专业检查责任制和服务过程质量控制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机构要按合同约定认真开展安全生产技术、管理服务，切实履行职责，如实反映被服务企业安全生产中存在的问题和隐患，提出合理并切实可行的整改意见或建议，帮助被服务企业解决安全生产中存在的问题，检查不得走过场，不得弄虚作假，不得隐瞒真实情况，对检查的真实性负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（3）服务过程中要详细了解企业情况，建立企业“一企一档”</w:t>
      </w:r>
      <w:r>
        <w:rPr>
          <w:rFonts w:hint="eastAsia" w:ascii="宋体" w:hAnsi="宋体" w:cs="宋体"/>
          <w:color w:val="auto"/>
          <w:sz w:val="24"/>
          <w:highlight w:val="none"/>
          <w:lang w:eastAsia="zh-CN"/>
        </w:rPr>
        <w:t>、项目“一项一档”</w:t>
      </w:r>
      <w:r>
        <w:rPr>
          <w:rFonts w:hint="eastAsia" w:ascii="宋体" w:hAnsi="宋体" w:cs="宋体"/>
          <w:color w:val="auto"/>
          <w:sz w:val="24"/>
          <w:highlight w:val="none"/>
        </w:rPr>
        <w:t>资料，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及时填写隐患报告表报集团总师室安全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（4）服务机构应每周四提交下周检查计划由交易发起人确认，每月底向交易发起人报送服务信息，对其报送信息的真实性负责。每季度总结服务的工作情况、存在的问题和取得的效果，并进行反馈。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（5）项目负责人应当按照甲方要求配备人员，采购人如果发现评估服务人员</w:t>
      </w:r>
      <w:r>
        <w:rPr>
          <w:rFonts w:hint="eastAsia" w:ascii="宋体" w:hAnsi="宋体" w:cs="宋体"/>
          <w:color w:val="auto"/>
          <w:sz w:val="24"/>
          <w:highlight w:val="none"/>
          <w:lang w:eastAsia="zh-CN"/>
        </w:rPr>
        <w:t>资质</w:t>
      </w:r>
      <w:r>
        <w:rPr>
          <w:rFonts w:hint="eastAsia" w:ascii="宋体" w:hAnsi="宋体" w:cs="宋体"/>
          <w:color w:val="auto"/>
          <w:sz w:val="24"/>
          <w:highlight w:val="none"/>
        </w:rPr>
        <w:t>与响应文件载明人员</w:t>
      </w:r>
      <w:r>
        <w:rPr>
          <w:rFonts w:hint="eastAsia" w:ascii="宋体" w:hAnsi="宋体" w:cs="宋体"/>
          <w:color w:val="auto"/>
          <w:sz w:val="24"/>
          <w:highlight w:val="none"/>
          <w:lang w:eastAsia="zh-CN"/>
        </w:rPr>
        <w:t>资质</w:t>
      </w:r>
      <w:r>
        <w:rPr>
          <w:rFonts w:hint="eastAsia" w:ascii="宋体" w:hAnsi="宋体" w:cs="宋体"/>
          <w:color w:val="auto"/>
          <w:sz w:val="24"/>
          <w:highlight w:val="none"/>
        </w:rPr>
        <w:t>不符，按2000元/人/次扣除服务费。且本项目负责人原则上不得随意更换，如确实需要更换人员，需先经业主同意，且事先提供相应的资质材料，其他项目组员如果需要更换，需先经业主同意方能更换。未经业主同意擅自换人员，则进行相应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5、每一轮隐患排查服务分为</w:t>
      </w:r>
      <w:r>
        <w:rPr>
          <w:rFonts w:hint="eastAsia" w:ascii="宋体" w:hAnsi="宋体" w:cs="宋体"/>
          <w:color w:val="auto"/>
          <w:sz w:val="24"/>
          <w:highlight w:val="none"/>
          <w:lang w:eastAsia="zh-CN"/>
        </w:rPr>
        <w:t>三</w:t>
      </w:r>
      <w:r>
        <w:rPr>
          <w:rFonts w:hint="eastAsia" w:ascii="宋体" w:hAnsi="宋体" w:cs="宋体"/>
          <w:color w:val="auto"/>
          <w:sz w:val="24"/>
          <w:highlight w:val="none"/>
        </w:rPr>
        <w:t>个阶段：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安全隐患排查阶段。服务机构组织好相关专家，到甲方指定企业（场所），对照安全生产有关法律法规和标准，重点对企业消防安全、危化品的存储和使用、特种设备和机械设备安全、电气安全、作业安全、风险识别告知、安全警示标志、职业病防护、应急救援、安全教育培训等内容开展全面彻底排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出具报告阶段。服务机构根据现场排摸情况，对照国家安全技术规范，列出安全隐患清单，由被检查相关人员签字确认后立即在现场交给企业要求予以整改。三个工作日内出具详细安全隐患排查治理报告[一式二份（集团、子公司各一份）]，报告内容包括存在问题图片和文字说明、整改意见和整改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整改提升阶段。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并及时填写隐患报告表报集团安全科，对企业整改不及时或者消极对待的，一并及时报送至集团安全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6、服务</w:t>
      </w:r>
      <w:r>
        <w:rPr>
          <w:rFonts w:hint="eastAsia" w:ascii="宋体" w:hAnsi="宋体" w:cs="宋体"/>
          <w:color w:val="auto"/>
          <w:sz w:val="24"/>
          <w:highlight w:val="none"/>
          <w:lang w:eastAsia="zh-CN"/>
        </w:rPr>
        <w:t>费用计算</w:t>
      </w:r>
      <w:r>
        <w:rPr>
          <w:rFonts w:hint="eastAsia" w:ascii="宋体" w:hAnsi="宋体" w:cs="宋体"/>
          <w:color w:val="auto"/>
          <w:sz w:val="24"/>
          <w:highlight w:val="none"/>
        </w:rPr>
        <w:t>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6.1隐患排查：安全生产隐患排查，</w:t>
      </w:r>
      <w:r>
        <w:rPr>
          <w:rFonts w:hint="eastAsia" w:ascii="宋体" w:hAnsi="宋体" w:cs="宋体"/>
          <w:color w:val="auto"/>
          <w:sz w:val="24"/>
          <w:highlight w:val="none"/>
          <w:lang w:eastAsia="zh-CN"/>
        </w:rPr>
        <w:t>费用按工时计算</w:t>
      </w:r>
      <w:r>
        <w:rPr>
          <w:rFonts w:hint="eastAsia" w:ascii="宋体" w:hAnsi="宋体" w:cs="宋体"/>
          <w:color w:val="auto"/>
          <w:sz w:val="24"/>
          <w:highlight w:val="none"/>
        </w:rPr>
        <w:t>(具体排查时限，由成交人出具详细的安全生产隐患排查方案，经集团业务主管科室审核同意后实施)</w:t>
      </w:r>
      <w:r>
        <w:rPr>
          <w:rFonts w:hint="eastAsia" w:ascii="宋体" w:hAnsi="宋体" w:cs="宋体"/>
          <w:color w:val="auto"/>
          <w:sz w:val="24"/>
          <w:highlight w:val="none"/>
          <w:lang w:eastAsia="zh-CN"/>
        </w:rPr>
        <w:t>，</w:t>
      </w:r>
      <w:r>
        <w:rPr>
          <w:rFonts w:hint="eastAsia" w:ascii="宋体" w:hAnsi="宋体" w:cs="宋体"/>
          <w:color w:val="auto"/>
          <w:sz w:val="24"/>
          <w:highlight w:val="none"/>
        </w:rPr>
        <w:t>最终根据业主需求开展。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6.2开展节前安全生产节点性等专项检查，需根据交易发起人安排的时间、节点、人员要求，配合和指导交易发起人开展安全生产领域内的大检查，按工时计费。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7、如果出现服务进度明显落后于甲方服务要求时，经提醒后无明显加快可提前结束合同，费用按照实际完成服务工作量结算。</w:t>
      </w:r>
    </w:p>
    <w:p>
      <w:pPr>
        <w:pStyle w:val="4"/>
        <w:spacing w:before="0" w:after="0" w:line="360" w:lineRule="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（二）商务需求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1、服务时间及地点</w:t>
      </w:r>
    </w:p>
    <w:p>
      <w:pPr>
        <w:spacing w:line="360" w:lineRule="auto"/>
        <w:rPr>
          <w:rFonts w:ascii="宋体" w:hAnsi="宋体" w:cs="宋体"/>
          <w:color w:val="auto"/>
          <w:sz w:val="24"/>
          <w:highlight w:val="none"/>
        </w:rPr>
      </w:pPr>
      <w:r>
        <w:rPr>
          <w:rFonts w:hint="eastAsia" w:ascii="宋体" w:hAnsi="宋体" w:cs="宋体"/>
          <w:color w:val="auto"/>
          <w:sz w:val="24"/>
          <w:highlight w:val="none"/>
        </w:rPr>
        <w:t>（1）服务时间：一年（具体时间以合同签订为准）。一年一签，经甲方认可，可续签一年。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（2）服务地点：交易发起人指定地点。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（3）在服务期内成交人严格履行合同，如成交人在服务期内违反合同约定，招标人有权提前终止合同，并下年度不得参与投标。合同期满后，妥善处理退场移交、人员安置，如果出现劳资纠纷，责任在成交人。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本项目在公开竞争文件基准收费基础上按统一折扣形式报价，最终</w:t>
      </w:r>
      <w:r>
        <w:rPr>
          <w:rFonts w:hint="eastAsia" w:ascii="宋体" w:hAnsi="宋体" w:cs="宋体"/>
          <w:color w:val="auto"/>
          <w:sz w:val="24"/>
          <w:highlight w:val="none"/>
        </w:rPr>
        <w:t>按实结算。</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widowControl/>
        <w:adjustRightInd/>
        <w:jc w:val="left"/>
        <w:rPr>
          <w:rFonts w:ascii="宋体" w:hAnsi="宋体" w:cs="宋体"/>
          <w:color w:val="auto"/>
          <w:sz w:val="24"/>
          <w:highlight w:val="none"/>
        </w:rPr>
      </w:pPr>
    </w:p>
    <w:p>
      <w:pPr>
        <w:rPr>
          <w:rFonts w:ascii="宋体" w:hAnsi="宋体" w:cs="宋体"/>
          <w:color w:val="auto"/>
          <w:sz w:val="32"/>
          <w:szCs w:val="32"/>
          <w:highlight w:val="none"/>
          <w:shd w:val="clear" w:color="auto" w:fill="FFFFFF"/>
        </w:rPr>
      </w:pPr>
      <w:r>
        <w:rPr>
          <w:rFonts w:hint="eastAsia" w:ascii="宋体" w:hAnsi="宋体" w:cs="宋体"/>
          <w:color w:val="auto"/>
          <w:sz w:val="32"/>
          <w:szCs w:val="32"/>
          <w:highlight w:val="none"/>
          <w:shd w:val="clear" w:color="auto" w:fill="FFFFFF"/>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08090"/>
      <w:bookmarkEnd w:id="16"/>
      <w:bookmarkStart w:id="17" w:name="_Toc184314446"/>
      <w:bookmarkEnd w:id="17"/>
      <w:bookmarkStart w:id="18" w:name="_Toc184312088"/>
      <w:bookmarkEnd w:id="18"/>
      <w:bookmarkStart w:id="19" w:name="_Toc184310303"/>
      <w:bookmarkEnd w:id="19"/>
      <w:bookmarkStart w:id="20" w:name="_Toc184310299"/>
      <w:bookmarkEnd w:id="20"/>
      <w:bookmarkStart w:id="21" w:name="_Toc184312128"/>
      <w:bookmarkEnd w:id="21"/>
      <w:bookmarkStart w:id="22" w:name="_Toc184313238"/>
      <w:bookmarkEnd w:id="22"/>
      <w:bookmarkStart w:id="23" w:name="_Toc184313284"/>
      <w:bookmarkEnd w:id="23"/>
      <w:bookmarkStart w:id="24" w:name="_Toc184310337"/>
      <w:bookmarkEnd w:id="24"/>
      <w:bookmarkStart w:id="25" w:name="_Toc184314435"/>
      <w:bookmarkEnd w:id="25"/>
      <w:bookmarkStart w:id="26" w:name="_Toc184313259"/>
      <w:bookmarkEnd w:id="26"/>
      <w:bookmarkStart w:id="27" w:name="_Toc184314467"/>
      <w:bookmarkEnd w:id="27"/>
      <w:bookmarkStart w:id="28" w:name="_Toc184310332"/>
      <w:bookmarkEnd w:id="28"/>
      <w:bookmarkStart w:id="29" w:name="_Toc184308060"/>
      <w:bookmarkEnd w:id="29"/>
      <w:bookmarkStart w:id="30" w:name="_Toc184314466"/>
      <w:bookmarkEnd w:id="30"/>
      <w:bookmarkStart w:id="31" w:name="_Toc184308072"/>
      <w:bookmarkEnd w:id="31"/>
      <w:bookmarkStart w:id="32" w:name="_Toc184312086"/>
      <w:bookmarkEnd w:id="32"/>
      <w:bookmarkStart w:id="33" w:name="_Toc184310318"/>
      <w:bookmarkEnd w:id="33"/>
      <w:bookmarkStart w:id="34" w:name="_Toc184314416"/>
      <w:bookmarkEnd w:id="34"/>
      <w:bookmarkStart w:id="35" w:name="_Toc184314426"/>
      <w:bookmarkEnd w:id="35"/>
      <w:bookmarkStart w:id="36" w:name="_Toc184314471"/>
      <w:bookmarkEnd w:id="36"/>
      <w:bookmarkStart w:id="37" w:name="_Toc184312132"/>
      <w:bookmarkEnd w:id="37"/>
      <w:bookmarkStart w:id="38" w:name="_Toc184312134"/>
      <w:bookmarkEnd w:id="38"/>
      <w:bookmarkStart w:id="39" w:name="_Toc184314454"/>
      <w:bookmarkEnd w:id="39"/>
      <w:bookmarkStart w:id="40" w:name="_Toc184314422"/>
      <w:bookmarkEnd w:id="40"/>
      <w:bookmarkStart w:id="41" w:name="_Toc184310323"/>
      <w:bookmarkEnd w:id="41"/>
      <w:bookmarkStart w:id="42" w:name="_Toc184314455"/>
      <w:bookmarkEnd w:id="42"/>
      <w:bookmarkStart w:id="43" w:name="_Toc184310341"/>
      <w:bookmarkEnd w:id="43"/>
      <w:bookmarkStart w:id="44" w:name="_Toc184310322"/>
      <w:bookmarkEnd w:id="44"/>
      <w:bookmarkStart w:id="45" w:name="_Toc184313278"/>
      <w:bookmarkEnd w:id="45"/>
      <w:bookmarkStart w:id="46" w:name="_Toc184314460"/>
      <w:bookmarkEnd w:id="46"/>
      <w:bookmarkStart w:id="47" w:name="_Toc184308101"/>
      <w:bookmarkEnd w:id="47"/>
      <w:bookmarkStart w:id="48" w:name="_Toc184310284"/>
      <w:bookmarkEnd w:id="48"/>
      <w:bookmarkStart w:id="49" w:name="_Toc184308104"/>
      <w:bookmarkEnd w:id="49"/>
      <w:bookmarkStart w:id="50" w:name="_Toc184310321"/>
      <w:bookmarkEnd w:id="50"/>
      <w:bookmarkStart w:id="51" w:name="_Toc184308097"/>
      <w:bookmarkEnd w:id="51"/>
      <w:bookmarkStart w:id="52" w:name="_Toc184313285"/>
      <w:bookmarkEnd w:id="52"/>
      <w:bookmarkStart w:id="53" w:name="_Toc184308100"/>
      <w:bookmarkEnd w:id="53"/>
      <w:bookmarkStart w:id="54" w:name="_Toc184314456"/>
      <w:bookmarkEnd w:id="54"/>
      <w:bookmarkStart w:id="55" w:name="_Toc184308098"/>
      <w:bookmarkEnd w:id="55"/>
      <w:bookmarkStart w:id="56" w:name="_Toc184314429"/>
      <w:bookmarkEnd w:id="56"/>
      <w:bookmarkStart w:id="57" w:name="_Toc184313258"/>
      <w:bookmarkEnd w:id="57"/>
      <w:bookmarkStart w:id="58" w:name="_Toc184308056"/>
      <w:bookmarkEnd w:id="58"/>
      <w:bookmarkStart w:id="59" w:name="_Toc184314418"/>
      <w:bookmarkEnd w:id="59"/>
      <w:bookmarkStart w:id="60" w:name="_Toc184313290"/>
      <w:bookmarkEnd w:id="60"/>
      <w:bookmarkStart w:id="61" w:name="_Toc184308089"/>
      <w:bookmarkEnd w:id="61"/>
      <w:bookmarkStart w:id="62" w:name="_Toc184308085"/>
      <w:bookmarkEnd w:id="62"/>
      <w:bookmarkStart w:id="63" w:name="_Toc184312079"/>
      <w:bookmarkEnd w:id="63"/>
      <w:bookmarkStart w:id="64" w:name="_Toc184308070"/>
      <w:bookmarkEnd w:id="64"/>
      <w:bookmarkStart w:id="65" w:name="_Toc184313296"/>
      <w:bookmarkEnd w:id="65"/>
      <w:bookmarkStart w:id="66" w:name="_Toc184308092"/>
      <w:bookmarkEnd w:id="66"/>
      <w:bookmarkStart w:id="67" w:name="_Toc184314440"/>
      <w:bookmarkEnd w:id="67"/>
      <w:bookmarkStart w:id="68" w:name="_Toc184313248"/>
      <w:bookmarkEnd w:id="68"/>
      <w:bookmarkStart w:id="69" w:name="_Toc184310291"/>
      <w:bookmarkEnd w:id="69"/>
      <w:bookmarkStart w:id="70" w:name="_Toc184314425"/>
      <w:bookmarkEnd w:id="70"/>
      <w:bookmarkStart w:id="71" w:name="_Toc184308107"/>
      <w:bookmarkEnd w:id="71"/>
      <w:bookmarkStart w:id="72" w:name="_Toc184314459"/>
      <w:bookmarkEnd w:id="72"/>
      <w:bookmarkStart w:id="73" w:name="_Toc184312114"/>
      <w:bookmarkEnd w:id="73"/>
      <w:bookmarkStart w:id="74" w:name="_Toc184308076"/>
      <w:bookmarkEnd w:id="74"/>
      <w:bookmarkStart w:id="75" w:name="_Toc184313272"/>
      <w:bookmarkEnd w:id="75"/>
      <w:bookmarkStart w:id="76" w:name="_Toc184314468"/>
      <w:bookmarkEnd w:id="76"/>
      <w:bookmarkStart w:id="77" w:name="_Toc184313268"/>
      <w:bookmarkEnd w:id="77"/>
      <w:bookmarkStart w:id="78" w:name="_Toc184314439"/>
      <w:bookmarkEnd w:id="78"/>
      <w:bookmarkStart w:id="79" w:name="_Toc184313289"/>
      <w:bookmarkEnd w:id="79"/>
      <w:bookmarkStart w:id="80" w:name="_Toc184314419"/>
      <w:bookmarkEnd w:id="80"/>
      <w:bookmarkStart w:id="81" w:name="_Toc184313252"/>
      <w:bookmarkEnd w:id="81"/>
      <w:bookmarkStart w:id="82" w:name="_Toc184312085"/>
      <w:bookmarkEnd w:id="82"/>
      <w:bookmarkStart w:id="83" w:name="_Toc184314474"/>
      <w:bookmarkEnd w:id="83"/>
      <w:bookmarkStart w:id="84" w:name="_Toc184312082"/>
      <w:bookmarkEnd w:id="84"/>
      <w:bookmarkStart w:id="85" w:name="_Toc184313261"/>
      <w:bookmarkEnd w:id="85"/>
      <w:bookmarkStart w:id="86" w:name="_Toc184313247"/>
      <w:bookmarkEnd w:id="86"/>
      <w:bookmarkStart w:id="87" w:name="_Toc184314445"/>
      <w:bookmarkEnd w:id="87"/>
      <w:bookmarkStart w:id="88" w:name="_Toc184308066"/>
      <w:bookmarkEnd w:id="88"/>
      <w:bookmarkStart w:id="89" w:name="_Toc184310273"/>
      <w:bookmarkEnd w:id="89"/>
      <w:bookmarkStart w:id="90" w:name="_Toc184310314"/>
      <w:bookmarkEnd w:id="90"/>
      <w:bookmarkStart w:id="91" w:name="_Toc184313291"/>
      <w:bookmarkEnd w:id="91"/>
      <w:bookmarkStart w:id="92" w:name="_Toc184310320"/>
      <w:bookmarkEnd w:id="92"/>
      <w:bookmarkStart w:id="93" w:name="_Toc184314431"/>
      <w:bookmarkEnd w:id="93"/>
      <w:bookmarkStart w:id="94" w:name="_Toc184313274"/>
      <w:bookmarkEnd w:id="94"/>
      <w:bookmarkStart w:id="95" w:name="_Toc184312080"/>
      <w:bookmarkEnd w:id="95"/>
      <w:bookmarkStart w:id="96" w:name="_Toc184313299"/>
      <w:bookmarkEnd w:id="96"/>
      <w:bookmarkStart w:id="97" w:name="_Toc184308099"/>
      <w:bookmarkEnd w:id="97"/>
      <w:bookmarkStart w:id="98" w:name="_Toc184310302"/>
      <w:bookmarkEnd w:id="98"/>
      <w:bookmarkStart w:id="99" w:name="_Toc184313273"/>
      <w:bookmarkEnd w:id="99"/>
      <w:bookmarkStart w:id="100" w:name="_Toc184312092"/>
      <w:bookmarkEnd w:id="100"/>
      <w:bookmarkStart w:id="101" w:name="_Toc184313288"/>
      <w:bookmarkEnd w:id="101"/>
      <w:bookmarkStart w:id="102" w:name="_Toc184312113"/>
      <w:bookmarkEnd w:id="102"/>
      <w:bookmarkStart w:id="103" w:name="_Toc184308049"/>
      <w:bookmarkEnd w:id="103"/>
      <w:bookmarkStart w:id="104" w:name="_Toc184310304"/>
      <w:bookmarkEnd w:id="104"/>
      <w:bookmarkStart w:id="105" w:name="_Toc184308083"/>
      <w:bookmarkEnd w:id="105"/>
      <w:bookmarkStart w:id="106" w:name="_Toc184312126"/>
      <w:bookmarkEnd w:id="106"/>
      <w:bookmarkStart w:id="107" w:name="_Toc184310283"/>
      <w:bookmarkEnd w:id="107"/>
      <w:bookmarkStart w:id="108" w:name="_Toc184314430"/>
      <w:bookmarkEnd w:id="108"/>
      <w:bookmarkStart w:id="109" w:name="_Toc184308059"/>
      <w:bookmarkEnd w:id="109"/>
      <w:bookmarkStart w:id="110" w:name="_Toc184314449"/>
      <w:bookmarkEnd w:id="110"/>
      <w:bookmarkStart w:id="111" w:name="_Toc184314480"/>
      <w:bookmarkEnd w:id="111"/>
      <w:bookmarkStart w:id="112" w:name="_Toc184312135"/>
      <w:bookmarkEnd w:id="112"/>
      <w:bookmarkStart w:id="113" w:name="_Toc184313309"/>
      <w:bookmarkEnd w:id="113"/>
      <w:bookmarkStart w:id="114" w:name="_Toc184312084"/>
      <w:bookmarkEnd w:id="114"/>
      <w:bookmarkStart w:id="115" w:name="_Toc184312070"/>
      <w:bookmarkEnd w:id="115"/>
      <w:bookmarkStart w:id="116" w:name="_Toc184310281"/>
      <w:bookmarkEnd w:id="116"/>
      <w:bookmarkStart w:id="117" w:name="_Toc184314434"/>
      <w:bookmarkEnd w:id="117"/>
      <w:bookmarkStart w:id="118" w:name="_Toc184312103"/>
      <w:bookmarkEnd w:id="118"/>
      <w:bookmarkStart w:id="119" w:name="_Toc184308093"/>
      <w:bookmarkEnd w:id="119"/>
      <w:bookmarkStart w:id="120" w:name="_Toc184312068"/>
      <w:bookmarkEnd w:id="120"/>
      <w:bookmarkStart w:id="121" w:name="_Toc184313245"/>
      <w:bookmarkEnd w:id="121"/>
      <w:bookmarkStart w:id="122" w:name="_Toc184312078"/>
      <w:bookmarkEnd w:id="122"/>
      <w:bookmarkStart w:id="123" w:name="_Toc184308037"/>
      <w:bookmarkEnd w:id="123"/>
      <w:bookmarkStart w:id="124" w:name="_Toc184313276"/>
      <w:bookmarkEnd w:id="124"/>
      <w:bookmarkStart w:id="125" w:name="_Toc184314443"/>
      <w:bookmarkEnd w:id="125"/>
      <w:bookmarkStart w:id="126" w:name="_Toc184314477"/>
      <w:bookmarkEnd w:id="126"/>
      <w:bookmarkStart w:id="127" w:name="_Toc184314423"/>
      <w:bookmarkEnd w:id="127"/>
      <w:bookmarkStart w:id="128" w:name="_Toc184313301"/>
      <w:bookmarkEnd w:id="128"/>
      <w:bookmarkStart w:id="129" w:name="_Toc184310328"/>
      <w:bookmarkEnd w:id="129"/>
      <w:bookmarkStart w:id="130" w:name="_Toc184314479"/>
      <w:bookmarkEnd w:id="130"/>
      <w:bookmarkStart w:id="131" w:name="_Toc184310308"/>
      <w:bookmarkEnd w:id="131"/>
      <w:bookmarkStart w:id="132" w:name="_Toc184308046"/>
      <w:bookmarkEnd w:id="132"/>
      <w:bookmarkStart w:id="133" w:name="_Toc184312069"/>
      <w:bookmarkEnd w:id="133"/>
      <w:bookmarkStart w:id="134" w:name="_Toc184313303"/>
      <w:bookmarkEnd w:id="134"/>
      <w:bookmarkStart w:id="135" w:name="_Toc184314420"/>
      <w:bookmarkEnd w:id="135"/>
      <w:bookmarkStart w:id="136" w:name="_Toc184312117"/>
      <w:bookmarkEnd w:id="136"/>
      <w:bookmarkStart w:id="137" w:name="_Toc184310317"/>
      <w:bookmarkEnd w:id="137"/>
      <w:bookmarkStart w:id="138" w:name="_Toc184312093"/>
      <w:bookmarkEnd w:id="138"/>
      <w:bookmarkStart w:id="139" w:name="_Toc184312133"/>
      <w:bookmarkEnd w:id="139"/>
      <w:bookmarkStart w:id="140" w:name="_Toc184314461"/>
      <w:bookmarkEnd w:id="140"/>
      <w:bookmarkStart w:id="141" w:name="_Toc184310306"/>
      <w:bookmarkEnd w:id="141"/>
      <w:bookmarkStart w:id="142" w:name="_Toc184312095"/>
      <w:bookmarkEnd w:id="142"/>
      <w:bookmarkStart w:id="143" w:name="_Toc184312096"/>
      <w:bookmarkEnd w:id="143"/>
      <w:bookmarkStart w:id="144" w:name="_Toc184308102"/>
      <w:bookmarkEnd w:id="144"/>
      <w:bookmarkStart w:id="145" w:name="_Toc184313280"/>
      <w:bookmarkEnd w:id="145"/>
      <w:bookmarkStart w:id="146" w:name="_Toc184314421"/>
      <w:bookmarkEnd w:id="146"/>
      <w:bookmarkStart w:id="147" w:name="_Toc184313292"/>
      <w:bookmarkEnd w:id="147"/>
      <w:bookmarkStart w:id="148" w:name="_Toc184312090"/>
      <w:bookmarkEnd w:id="148"/>
      <w:bookmarkStart w:id="149" w:name="_Toc184310278"/>
      <w:bookmarkEnd w:id="149"/>
      <w:bookmarkStart w:id="150" w:name="_Toc184313251"/>
      <w:bookmarkEnd w:id="150"/>
      <w:bookmarkStart w:id="151" w:name="_Toc184313264"/>
      <w:bookmarkEnd w:id="151"/>
      <w:bookmarkStart w:id="152" w:name="_Toc184308096"/>
      <w:bookmarkEnd w:id="152"/>
      <w:bookmarkStart w:id="153" w:name="_Toc184310311"/>
      <w:bookmarkEnd w:id="153"/>
      <w:bookmarkStart w:id="154" w:name="_Toc184312105"/>
      <w:bookmarkEnd w:id="154"/>
      <w:bookmarkStart w:id="155" w:name="_Toc184308062"/>
      <w:bookmarkEnd w:id="155"/>
      <w:bookmarkStart w:id="156" w:name="_Toc184314472"/>
      <w:bookmarkEnd w:id="156"/>
      <w:bookmarkStart w:id="157" w:name="_Toc184308086"/>
      <w:bookmarkEnd w:id="157"/>
      <w:bookmarkStart w:id="158" w:name="_Toc184312124"/>
      <w:bookmarkEnd w:id="158"/>
      <w:bookmarkStart w:id="159" w:name="_Toc184312139"/>
      <w:bookmarkEnd w:id="159"/>
      <w:bookmarkStart w:id="160" w:name="_Toc184308108"/>
      <w:bookmarkEnd w:id="160"/>
      <w:bookmarkStart w:id="161" w:name="_Toc184308041"/>
      <w:bookmarkEnd w:id="161"/>
      <w:bookmarkStart w:id="162" w:name="_Toc184313281"/>
      <w:bookmarkEnd w:id="162"/>
      <w:bookmarkStart w:id="163" w:name="_Toc184310316"/>
      <w:bookmarkEnd w:id="163"/>
      <w:bookmarkStart w:id="164" w:name="_Toc184310301"/>
      <w:bookmarkEnd w:id="164"/>
      <w:bookmarkStart w:id="165" w:name="_Toc184312077"/>
      <w:bookmarkEnd w:id="165"/>
      <w:bookmarkStart w:id="166" w:name="_Toc184314452"/>
      <w:bookmarkEnd w:id="166"/>
      <w:bookmarkStart w:id="167" w:name="_Toc184308091"/>
      <w:bookmarkEnd w:id="167"/>
      <w:bookmarkStart w:id="168" w:name="_Toc184314417"/>
      <w:bookmarkEnd w:id="168"/>
      <w:bookmarkStart w:id="169" w:name="_Toc184312100"/>
      <w:bookmarkEnd w:id="169"/>
      <w:bookmarkStart w:id="170" w:name="_Toc184313271"/>
      <w:bookmarkEnd w:id="170"/>
      <w:bookmarkStart w:id="171" w:name="_Toc184308068"/>
      <w:bookmarkEnd w:id="171"/>
      <w:bookmarkStart w:id="172" w:name="_Toc184310326"/>
      <w:bookmarkEnd w:id="172"/>
      <w:bookmarkStart w:id="173" w:name="_Toc184310336"/>
      <w:bookmarkEnd w:id="173"/>
      <w:bookmarkStart w:id="174" w:name="_Toc184310329"/>
      <w:bookmarkEnd w:id="174"/>
      <w:bookmarkStart w:id="175" w:name="_Toc184312076"/>
      <w:bookmarkEnd w:id="175"/>
      <w:bookmarkStart w:id="176" w:name="_Toc184314450"/>
      <w:bookmarkEnd w:id="176"/>
      <w:bookmarkStart w:id="177" w:name="_Toc184312137"/>
      <w:bookmarkEnd w:id="177"/>
      <w:bookmarkStart w:id="178" w:name="_Toc184313277"/>
      <w:bookmarkEnd w:id="178"/>
      <w:bookmarkStart w:id="179" w:name="_Toc184314481"/>
      <w:bookmarkEnd w:id="179"/>
      <w:bookmarkStart w:id="180" w:name="_Toc184314433"/>
      <w:bookmarkEnd w:id="180"/>
      <w:bookmarkStart w:id="181" w:name="_Toc184312127"/>
      <w:bookmarkEnd w:id="181"/>
      <w:bookmarkStart w:id="182" w:name="_Toc184308069"/>
      <w:bookmarkEnd w:id="182"/>
      <w:bookmarkStart w:id="183" w:name="_Toc184314462"/>
      <w:bookmarkEnd w:id="183"/>
      <w:bookmarkStart w:id="184" w:name="_Toc184310295"/>
      <w:bookmarkEnd w:id="184"/>
      <w:bookmarkStart w:id="185" w:name="_Toc184313302"/>
      <w:bookmarkEnd w:id="185"/>
      <w:bookmarkStart w:id="186" w:name="_Toc184313295"/>
      <w:bookmarkEnd w:id="186"/>
      <w:bookmarkStart w:id="187" w:name="_Toc184310288"/>
      <w:bookmarkEnd w:id="187"/>
      <w:bookmarkStart w:id="188" w:name="_Toc184313244"/>
      <w:bookmarkEnd w:id="188"/>
      <w:bookmarkStart w:id="189" w:name="_Toc184308074"/>
      <w:bookmarkEnd w:id="189"/>
      <w:bookmarkStart w:id="190" w:name="_Toc184314475"/>
      <w:bookmarkEnd w:id="190"/>
      <w:bookmarkStart w:id="191" w:name="_Toc184314415"/>
      <w:bookmarkEnd w:id="191"/>
      <w:bookmarkStart w:id="192" w:name="_Toc184308058"/>
      <w:bookmarkEnd w:id="192"/>
      <w:bookmarkStart w:id="193" w:name="_Toc184310330"/>
      <w:bookmarkEnd w:id="193"/>
      <w:bookmarkStart w:id="194" w:name="_Toc184308047"/>
      <w:bookmarkEnd w:id="194"/>
      <w:bookmarkStart w:id="195" w:name="_Toc184312097"/>
      <w:bookmarkEnd w:id="195"/>
      <w:bookmarkStart w:id="196" w:name="_Toc184313243"/>
      <w:bookmarkEnd w:id="196"/>
      <w:bookmarkStart w:id="197" w:name="_Toc184312129"/>
      <w:bookmarkEnd w:id="197"/>
      <w:bookmarkStart w:id="198" w:name="_Toc184310289"/>
      <w:bookmarkEnd w:id="198"/>
      <w:bookmarkStart w:id="199" w:name="_Toc184313263"/>
      <w:bookmarkEnd w:id="199"/>
      <w:bookmarkStart w:id="200" w:name="_Toc184312123"/>
      <w:bookmarkEnd w:id="200"/>
      <w:bookmarkStart w:id="201" w:name="_Toc184314453"/>
      <w:bookmarkEnd w:id="201"/>
      <w:bookmarkStart w:id="202" w:name="_Toc184310310"/>
      <w:bookmarkEnd w:id="202"/>
      <w:bookmarkStart w:id="203" w:name="_Toc184314437"/>
      <w:bookmarkEnd w:id="203"/>
      <w:bookmarkStart w:id="204" w:name="_Toc184314414"/>
      <w:bookmarkEnd w:id="204"/>
      <w:bookmarkStart w:id="205" w:name="_Toc184314448"/>
      <w:bookmarkEnd w:id="205"/>
      <w:bookmarkStart w:id="206" w:name="_Toc184313293"/>
      <w:bookmarkEnd w:id="206"/>
      <w:bookmarkStart w:id="207" w:name="_Toc184314463"/>
      <w:bookmarkEnd w:id="207"/>
      <w:bookmarkStart w:id="208" w:name="_Toc184310343"/>
      <w:bookmarkEnd w:id="208"/>
      <w:bookmarkStart w:id="209" w:name="_Toc184308050"/>
      <w:bookmarkEnd w:id="209"/>
      <w:bookmarkStart w:id="210" w:name="_Toc184308106"/>
      <w:bookmarkEnd w:id="210"/>
      <w:bookmarkStart w:id="211" w:name="_Toc184312094"/>
      <w:bookmarkEnd w:id="211"/>
      <w:bookmarkStart w:id="212" w:name="_Toc184312101"/>
      <w:bookmarkEnd w:id="212"/>
      <w:bookmarkStart w:id="213" w:name="_Toc184308105"/>
      <w:bookmarkEnd w:id="213"/>
      <w:bookmarkStart w:id="214" w:name="_Toc184308078"/>
      <w:bookmarkEnd w:id="214"/>
      <w:bookmarkStart w:id="215" w:name="_Toc184310327"/>
      <w:bookmarkEnd w:id="215"/>
      <w:bookmarkStart w:id="216" w:name="_Toc184310272"/>
      <w:bookmarkEnd w:id="216"/>
      <w:bookmarkStart w:id="217" w:name="_Toc184313300"/>
      <w:bookmarkEnd w:id="217"/>
      <w:bookmarkStart w:id="218" w:name="_Toc184312108"/>
      <w:bookmarkEnd w:id="218"/>
      <w:bookmarkStart w:id="219" w:name="_Toc184313262"/>
      <w:bookmarkEnd w:id="219"/>
      <w:bookmarkStart w:id="220" w:name="_Toc184312120"/>
      <w:bookmarkEnd w:id="220"/>
      <w:bookmarkStart w:id="221" w:name="_Toc184313308"/>
      <w:bookmarkEnd w:id="221"/>
      <w:bookmarkStart w:id="222" w:name="_Toc184308073"/>
      <w:bookmarkEnd w:id="222"/>
      <w:bookmarkStart w:id="223" w:name="_Toc184313250"/>
      <w:bookmarkEnd w:id="223"/>
      <w:bookmarkStart w:id="224" w:name="_Toc184310325"/>
      <w:bookmarkEnd w:id="224"/>
      <w:bookmarkStart w:id="225" w:name="_Toc184313282"/>
      <w:bookmarkEnd w:id="225"/>
      <w:bookmarkStart w:id="226" w:name="_Toc184308043"/>
      <w:bookmarkEnd w:id="226"/>
      <w:bookmarkStart w:id="227" w:name="_Toc184310333"/>
      <w:bookmarkEnd w:id="227"/>
      <w:bookmarkStart w:id="228" w:name="_Toc184312075"/>
      <w:bookmarkEnd w:id="228"/>
      <w:bookmarkStart w:id="229" w:name="_Toc184308082"/>
      <w:bookmarkEnd w:id="229"/>
      <w:bookmarkStart w:id="230" w:name="_Toc184310334"/>
      <w:bookmarkEnd w:id="230"/>
      <w:bookmarkStart w:id="231" w:name="_Toc184308095"/>
      <w:bookmarkEnd w:id="231"/>
      <w:bookmarkStart w:id="232" w:name="_Toc184308045"/>
      <w:bookmarkEnd w:id="232"/>
      <w:bookmarkStart w:id="233" w:name="_Toc184313260"/>
      <w:bookmarkEnd w:id="233"/>
      <w:bookmarkStart w:id="234" w:name="_Toc184312115"/>
      <w:bookmarkEnd w:id="234"/>
      <w:bookmarkStart w:id="235" w:name="_Toc184313294"/>
      <w:bookmarkEnd w:id="235"/>
      <w:bookmarkStart w:id="236" w:name="_Toc184314424"/>
      <w:bookmarkEnd w:id="236"/>
      <w:bookmarkStart w:id="237" w:name="_Toc184312081"/>
      <w:bookmarkEnd w:id="237"/>
      <w:bookmarkStart w:id="238" w:name="_Toc184310315"/>
      <w:bookmarkEnd w:id="238"/>
      <w:bookmarkStart w:id="239" w:name="_Toc184310340"/>
      <w:bookmarkEnd w:id="239"/>
      <w:bookmarkStart w:id="240" w:name="_Toc184313246"/>
      <w:bookmarkEnd w:id="240"/>
      <w:bookmarkStart w:id="241" w:name="_Toc184310344"/>
      <w:bookmarkEnd w:id="241"/>
      <w:bookmarkStart w:id="242" w:name="_Toc184310324"/>
      <w:bookmarkEnd w:id="242"/>
      <w:bookmarkStart w:id="243" w:name="_Toc184313283"/>
      <w:bookmarkEnd w:id="243"/>
      <w:bookmarkStart w:id="244" w:name="_Toc184310282"/>
      <w:bookmarkEnd w:id="244"/>
      <w:bookmarkStart w:id="245" w:name="_Toc184313265"/>
      <w:bookmarkEnd w:id="245"/>
      <w:bookmarkStart w:id="246" w:name="_Toc184314410"/>
      <w:bookmarkEnd w:id="246"/>
      <w:bookmarkStart w:id="247" w:name="_Toc184313254"/>
      <w:bookmarkEnd w:id="247"/>
      <w:bookmarkStart w:id="248" w:name="_Toc184308087"/>
      <w:bookmarkEnd w:id="248"/>
      <w:bookmarkStart w:id="249" w:name="_Toc184310292"/>
      <w:bookmarkEnd w:id="249"/>
      <w:bookmarkStart w:id="250" w:name="_Toc184313256"/>
      <w:bookmarkEnd w:id="250"/>
      <w:bookmarkStart w:id="251" w:name="_Toc184314473"/>
      <w:bookmarkEnd w:id="251"/>
      <w:bookmarkStart w:id="252" w:name="_Toc184314465"/>
      <w:bookmarkEnd w:id="252"/>
      <w:bookmarkStart w:id="253" w:name="_Toc184312099"/>
      <w:bookmarkEnd w:id="253"/>
      <w:bookmarkStart w:id="254" w:name="_Toc184314476"/>
      <w:bookmarkEnd w:id="254"/>
      <w:bookmarkStart w:id="255" w:name="_Toc184312083"/>
      <w:bookmarkEnd w:id="255"/>
      <w:bookmarkStart w:id="256" w:name="_Toc184308071"/>
      <w:bookmarkEnd w:id="256"/>
      <w:bookmarkStart w:id="257" w:name="_Toc184314458"/>
      <w:bookmarkEnd w:id="257"/>
      <w:bookmarkStart w:id="258" w:name="_Toc184312110"/>
      <w:bookmarkEnd w:id="258"/>
      <w:bookmarkStart w:id="259" w:name="_Toc184312072"/>
      <w:bookmarkEnd w:id="259"/>
      <w:bookmarkStart w:id="260" w:name="_Toc184313253"/>
      <w:bookmarkEnd w:id="260"/>
      <w:bookmarkStart w:id="261" w:name="_Toc184314469"/>
      <w:bookmarkEnd w:id="261"/>
      <w:bookmarkStart w:id="262" w:name="_Toc184310305"/>
      <w:bookmarkEnd w:id="262"/>
      <w:bookmarkStart w:id="263" w:name="_Toc184308042"/>
      <w:bookmarkEnd w:id="263"/>
      <w:bookmarkStart w:id="264" w:name="_Toc184312073"/>
      <w:bookmarkEnd w:id="264"/>
      <w:bookmarkStart w:id="265" w:name="_Toc184314436"/>
      <w:bookmarkEnd w:id="265"/>
      <w:bookmarkStart w:id="266" w:name="_Toc184312138"/>
      <w:bookmarkEnd w:id="266"/>
      <w:bookmarkStart w:id="267" w:name="_Toc184310300"/>
      <w:bookmarkEnd w:id="267"/>
      <w:bookmarkStart w:id="268" w:name="_Toc184314442"/>
      <w:bookmarkEnd w:id="268"/>
      <w:bookmarkStart w:id="269" w:name="_Toc184310338"/>
      <w:bookmarkEnd w:id="269"/>
      <w:bookmarkStart w:id="270" w:name="_Toc184314428"/>
      <w:bookmarkEnd w:id="270"/>
      <w:bookmarkStart w:id="271" w:name="_Toc184314478"/>
      <w:bookmarkEnd w:id="271"/>
      <w:bookmarkStart w:id="272" w:name="_Toc184314432"/>
      <w:bookmarkEnd w:id="272"/>
      <w:bookmarkStart w:id="273" w:name="_Toc184310307"/>
      <w:bookmarkEnd w:id="273"/>
      <w:bookmarkStart w:id="274" w:name="_Toc184312119"/>
      <w:bookmarkEnd w:id="274"/>
      <w:bookmarkStart w:id="275" w:name="_Toc184313240"/>
      <w:bookmarkEnd w:id="275"/>
      <w:bookmarkStart w:id="276" w:name="_Toc184313242"/>
      <w:bookmarkEnd w:id="276"/>
      <w:bookmarkStart w:id="277" w:name="_Toc184308040"/>
      <w:bookmarkEnd w:id="277"/>
      <w:bookmarkStart w:id="278" w:name="_Toc184312071"/>
      <w:bookmarkEnd w:id="278"/>
      <w:bookmarkStart w:id="279" w:name="_Toc184313239"/>
      <w:bookmarkEnd w:id="279"/>
      <w:bookmarkStart w:id="280" w:name="_Toc184313306"/>
      <w:bookmarkEnd w:id="280"/>
      <w:bookmarkStart w:id="281" w:name="_Toc184312106"/>
      <w:bookmarkEnd w:id="281"/>
      <w:bookmarkStart w:id="282" w:name="_Toc184314457"/>
      <w:bookmarkEnd w:id="282"/>
      <w:bookmarkStart w:id="283" w:name="_Toc184312109"/>
      <w:bookmarkEnd w:id="283"/>
      <w:bookmarkStart w:id="284" w:name="_Toc184314438"/>
      <w:bookmarkEnd w:id="284"/>
      <w:bookmarkStart w:id="285" w:name="_Toc184310275"/>
      <w:bookmarkEnd w:id="285"/>
      <w:bookmarkStart w:id="286" w:name="_Toc184313310"/>
      <w:bookmarkEnd w:id="286"/>
      <w:bookmarkStart w:id="287" w:name="_Toc184313297"/>
      <w:bookmarkEnd w:id="287"/>
      <w:bookmarkStart w:id="288" w:name="_Toc184313257"/>
      <w:bookmarkEnd w:id="288"/>
      <w:bookmarkStart w:id="289" w:name="_Toc184308039"/>
      <w:bookmarkEnd w:id="289"/>
      <w:bookmarkStart w:id="290" w:name="_Toc184313270"/>
      <w:bookmarkEnd w:id="290"/>
      <w:bookmarkStart w:id="291" w:name="_Toc184313267"/>
      <w:bookmarkEnd w:id="291"/>
      <w:bookmarkStart w:id="292" w:name="_Toc184314441"/>
      <w:bookmarkEnd w:id="292"/>
      <w:bookmarkStart w:id="293" w:name="_Toc184310339"/>
      <w:bookmarkEnd w:id="293"/>
      <w:bookmarkStart w:id="294" w:name="_Toc184308065"/>
      <w:bookmarkEnd w:id="294"/>
      <w:bookmarkStart w:id="295" w:name="_Toc184313304"/>
      <w:bookmarkEnd w:id="295"/>
      <w:bookmarkStart w:id="296" w:name="_Toc184310279"/>
      <w:bookmarkEnd w:id="296"/>
      <w:bookmarkStart w:id="297" w:name="_Toc184314412"/>
      <w:bookmarkEnd w:id="297"/>
      <w:bookmarkStart w:id="298" w:name="_Toc184308081"/>
      <w:bookmarkEnd w:id="298"/>
      <w:bookmarkStart w:id="299" w:name="_Toc184310335"/>
      <w:bookmarkEnd w:id="299"/>
      <w:bookmarkStart w:id="300" w:name="_Toc184310286"/>
      <w:bookmarkEnd w:id="300"/>
      <w:bookmarkStart w:id="301" w:name="_Toc184313279"/>
      <w:bookmarkEnd w:id="301"/>
      <w:bookmarkStart w:id="302" w:name="_Toc184310290"/>
      <w:bookmarkEnd w:id="302"/>
      <w:bookmarkStart w:id="303" w:name="_Toc184312130"/>
      <w:bookmarkEnd w:id="303"/>
      <w:bookmarkStart w:id="304" w:name="_Toc184310331"/>
      <w:bookmarkEnd w:id="304"/>
      <w:bookmarkStart w:id="305" w:name="_Toc184313255"/>
      <w:bookmarkEnd w:id="305"/>
      <w:bookmarkStart w:id="306" w:name="_Toc184312098"/>
      <w:bookmarkEnd w:id="306"/>
      <w:bookmarkStart w:id="307" w:name="_Toc184308044"/>
      <w:bookmarkEnd w:id="307"/>
      <w:bookmarkStart w:id="308" w:name="_Toc184310294"/>
      <w:bookmarkEnd w:id="308"/>
      <w:bookmarkStart w:id="309" w:name="_Toc184312067"/>
      <w:bookmarkEnd w:id="309"/>
      <w:bookmarkStart w:id="310" w:name="_Toc184310276"/>
      <w:bookmarkEnd w:id="310"/>
      <w:bookmarkStart w:id="311" w:name="_Toc184308054"/>
      <w:bookmarkEnd w:id="311"/>
      <w:bookmarkStart w:id="312" w:name="_Toc184314427"/>
      <w:bookmarkEnd w:id="312"/>
      <w:bookmarkStart w:id="313" w:name="_Toc184314444"/>
      <w:bookmarkEnd w:id="313"/>
      <w:bookmarkStart w:id="314" w:name="_Toc184312131"/>
      <w:bookmarkEnd w:id="314"/>
      <w:bookmarkStart w:id="315" w:name="_Toc184313266"/>
      <w:bookmarkEnd w:id="315"/>
      <w:bookmarkStart w:id="316" w:name="_Toc184310309"/>
      <w:bookmarkEnd w:id="316"/>
      <w:bookmarkStart w:id="317" w:name="_Toc184314482"/>
      <w:bookmarkEnd w:id="317"/>
      <w:bookmarkStart w:id="318" w:name="_Toc184312089"/>
      <w:bookmarkEnd w:id="318"/>
      <w:bookmarkStart w:id="319" w:name="_Toc184308064"/>
      <w:bookmarkEnd w:id="319"/>
      <w:bookmarkStart w:id="320" w:name="_Toc184313307"/>
      <w:bookmarkEnd w:id="320"/>
      <w:bookmarkStart w:id="321" w:name="_Toc184312118"/>
      <w:bookmarkEnd w:id="321"/>
      <w:bookmarkStart w:id="322" w:name="_Toc184308048"/>
      <w:bookmarkEnd w:id="322"/>
      <w:bookmarkStart w:id="323" w:name="_Toc184313269"/>
      <w:bookmarkEnd w:id="323"/>
      <w:bookmarkStart w:id="324" w:name="_Toc184314447"/>
      <w:bookmarkEnd w:id="324"/>
      <w:bookmarkStart w:id="325" w:name="_Toc184308057"/>
      <w:bookmarkEnd w:id="325"/>
      <w:bookmarkStart w:id="326" w:name="_Toc184313286"/>
      <w:bookmarkEnd w:id="326"/>
      <w:bookmarkStart w:id="327" w:name="_Toc184310342"/>
      <w:bookmarkEnd w:id="327"/>
      <w:bookmarkStart w:id="328" w:name="_Toc184308055"/>
      <w:bookmarkEnd w:id="328"/>
      <w:bookmarkStart w:id="329" w:name="_Toc184312104"/>
      <w:bookmarkEnd w:id="329"/>
      <w:bookmarkStart w:id="330" w:name="_Toc184308075"/>
      <w:bookmarkEnd w:id="330"/>
      <w:bookmarkStart w:id="331" w:name="_Toc184312111"/>
      <w:bookmarkEnd w:id="331"/>
      <w:bookmarkStart w:id="332" w:name="_Toc184310277"/>
      <w:bookmarkEnd w:id="332"/>
      <w:bookmarkStart w:id="333" w:name="_Toc184313249"/>
      <w:bookmarkEnd w:id="333"/>
      <w:bookmarkStart w:id="334" w:name="_Toc184312125"/>
      <w:bookmarkEnd w:id="334"/>
      <w:bookmarkStart w:id="335" w:name="_Toc184310312"/>
      <w:bookmarkEnd w:id="335"/>
      <w:bookmarkStart w:id="336" w:name="_Toc184313305"/>
      <w:bookmarkEnd w:id="336"/>
      <w:bookmarkStart w:id="337" w:name="_Toc184312116"/>
      <w:bookmarkEnd w:id="337"/>
      <w:bookmarkStart w:id="338" w:name="_Toc184308052"/>
      <w:bookmarkEnd w:id="338"/>
      <w:bookmarkStart w:id="339" w:name="_Toc184312087"/>
      <w:bookmarkEnd w:id="339"/>
      <w:bookmarkStart w:id="340" w:name="_Toc184308077"/>
      <w:bookmarkEnd w:id="340"/>
      <w:bookmarkStart w:id="341" w:name="_Toc184314451"/>
      <w:bookmarkEnd w:id="341"/>
      <w:bookmarkStart w:id="342" w:name="_Toc184312102"/>
      <w:bookmarkEnd w:id="342"/>
      <w:bookmarkStart w:id="343" w:name="_Toc184308036"/>
      <w:bookmarkEnd w:id="343"/>
      <w:bookmarkStart w:id="344" w:name="_Toc184308088"/>
      <w:bookmarkEnd w:id="344"/>
      <w:bookmarkStart w:id="345" w:name="_Toc184308061"/>
      <w:bookmarkEnd w:id="345"/>
      <w:bookmarkStart w:id="346" w:name="_Toc184308079"/>
      <w:bookmarkEnd w:id="346"/>
      <w:bookmarkStart w:id="347" w:name="_Toc184308063"/>
      <w:bookmarkEnd w:id="347"/>
      <w:bookmarkStart w:id="348" w:name="_Toc184313275"/>
      <w:bookmarkEnd w:id="348"/>
      <w:bookmarkStart w:id="349" w:name="_Toc184313298"/>
      <w:bookmarkEnd w:id="349"/>
      <w:bookmarkStart w:id="350" w:name="_Toc184312074"/>
      <w:bookmarkEnd w:id="350"/>
      <w:bookmarkStart w:id="351" w:name="_Toc184313287"/>
      <w:bookmarkEnd w:id="351"/>
      <w:bookmarkStart w:id="352" w:name="_Toc184312107"/>
      <w:bookmarkEnd w:id="352"/>
      <w:bookmarkStart w:id="353" w:name="_Toc184310298"/>
      <w:bookmarkEnd w:id="353"/>
      <w:bookmarkStart w:id="354" w:name="_Toc184312112"/>
      <w:bookmarkEnd w:id="354"/>
      <w:bookmarkStart w:id="355" w:name="_Toc184310274"/>
      <w:bookmarkEnd w:id="355"/>
      <w:bookmarkStart w:id="356" w:name="_Toc184310280"/>
      <w:bookmarkEnd w:id="356"/>
      <w:bookmarkStart w:id="357" w:name="_Toc184312122"/>
      <w:bookmarkEnd w:id="357"/>
      <w:bookmarkStart w:id="358" w:name="_Toc184310296"/>
      <w:bookmarkEnd w:id="358"/>
      <w:bookmarkStart w:id="359" w:name="_Toc184308080"/>
      <w:bookmarkEnd w:id="359"/>
      <w:bookmarkStart w:id="360" w:name="_Toc184314413"/>
      <w:bookmarkEnd w:id="360"/>
      <w:bookmarkStart w:id="361" w:name="_Toc184308038"/>
      <w:bookmarkEnd w:id="361"/>
      <w:bookmarkStart w:id="362" w:name="_Toc184308051"/>
      <w:bookmarkEnd w:id="362"/>
      <w:bookmarkStart w:id="363" w:name="_Toc184310313"/>
      <w:bookmarkEnd w:id="363"/>
      <w:bookmarkStart w:id="364" w:name="_Toc184312121"/>
      <w:bookmarkEnd w:id="364"/>
      <w:bookmarkStart w:id="365" w:name="_Toc184310285"/>
      <w:bookmarkEnd w:id="365"/>
      <w:bookmarkStart w:id="366" w:name="_Toc184308067"/>
      <w:bookmarkEnd w:id="366"/>
      <w:bookmarkStart w:id="367" w:name="_Toc184310319"/>
      <w:bookmarkEnd w:id="367"/>
      <w:bookmarkStart w:id="368" w:name="_Toc184314464"/>
      <w:bookmarkEnd w:id="368"/>
      <w:bookmarkStart w:id="369" w:name="_Toc184310293"/>
      <w:bookmarkEnd w:id="369"/>
      <w:bookmarkStart w:id="370" w:name="_Toc184314411"/>
      <w:bookmarkEnd w:id="370"/>
      <w:bookmarkStart w:id="371" w:name="_Toc184312091"/>
      <w:bookmarkEnd w:id="371"/>
      <w:bookmarkStart w:id="372" w:name="_Toc184310297"/>
      <w:bookmarkEnd w:id="372"/>
      <w:bookmarkStart w:id="373" w:name="_Toc184313241"/>
      <w:bookmarkEnd w:id="373"/>
      <w:bookmarkStart w:id="374" w:name="_Toc184308053"/>
      <w:bookmarkEnd w:id="374"/>
      <w:bookmarkStart w:id="375" w:name="_Toc184312136"/>
      <w:bookmarkEnd w:id="375"/>
      <w:bookmarkStart w:id="376" w:name="_Toc184310287"/>
      <w:bookmarkEnd w:id="376"/>
      <w:bookmarkStart w:id="377" w:name="_Toc184308103"/>
      <w:bookmarkEnd w:id="377"/>
      <w:bookmarkStart w:id="378" w:name="_Toc184314470"/>
      <w:bookmarkEnd w:id="378"/>
      <w:bookmarkStart w:id="379" w:name="_Toc184308084"/>
      <w:bookmarkEnd w:id="379"/>
      <w:bookmarkStart w:id="380" w:name="_Toc184308094"/>
      <w:bookmarkEnd w:id="380"/>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60" w:lineRule="auto"/>
        <w:rPr>
          <w:rFonts w:ascii="宋体" w:hAnsi="宋体" w:cs="宋体"/>
          <w:color w:val="auto"/>
          <w:highlight w:val="none"/>
        </w:rPr>
      </w:pPr>
      <w:r>
        <w:rPr>
          <w:rFonts w:hint="eastAsia" w:ascii="宋体" w:hAnsi="宋体" w:cs="宋体"/>
          <w:b/>
          <w:bCs/>
          <w:color w:val="auto"/>
          <w:sz w:val="24"/>
          <w:highlight w:val="none"/>
        </w:rPr>
        <w:t>1、商务技术部分（</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0分）：</w:t>
      </w:r>
    </w:p>
    <w:tbl>
      <w:tblPr>
        <w:tblStyle w:val="6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960"/>
        <w:gridCol w:w="715"/>
        <w:gridCol w:w="949"/>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54" w:type="dxa"/>
            <w:vAlign w:val="center"/>
          </w:tcPr>
          <w:p>
            <w:pPr>
              <w:adjustRightInd/>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6960" w:type="dxa"/>
            <w:vAlign w:val="center"/>
          </w:tcPr>
          <w:p>
            <w:pPr>
              <w:adjustRightInd/>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评标标准</w:t>
            </w:r>
          </w:p>
        </w:tc>
        <w:tc>
          <w:tcPr>
            <w:tcW w:w="715" w:type="dxa"/>
            <w:vAlign w:val="center"/>
          </w:tcPr>
          <w:p>
            <w:pPr>
              <w:adjustRightInd/>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权重</w:t>
            </w:r>
          </w:p>
        </w:tc>
        <w:tc>
          <w:tcPr>
            <w:tcW w:w="949" w:type="dxa"/>
            <w:vAlign w:val="center"/>
          </w:tcPr>
          <w:p>
            <w:pPr>
              <w:adjustRightInd/>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060" w:type="dxa"/>
          </w:tcPr>
          <w:p>
            <w:pPr>
              <w:adjustRightInd/>
              <w:spacing w:line="240" w:lineRule="auto"/>
              <w:jc w:val="center"/>
              <w:rPr>
                <w:rFonts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54"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【类似项目经验】</w:t>
            </w:r>
          </w:p>
          <w:p>
            <w:pPr>
              <w:numPr>
                <w:ilvl w:val="0"/>
                <w:numId w:val="0"/>
              </w:num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供应商自2021年1月1日（按合同签订时间为准）以来承担类似本项目经验的，每个得2分，本项最高得8分。</w:t>
            </w:r>
          </w:p>
          <w:p>
            <w:pPr>
              <w:adjustRightInd/>
              <w:spacing w:line="240" w:lineRule="auto"/>
              <w:jc w:val="left"/>
              <w:rPr>
                <w:color w:val="auto"/>
                <w:sz w:val="24"/>
                <w:highlight w:val="none"/>
              </w:rPr>
            </w:pPr>
            <w:r>
              <w:rPr>
                <w:rFonts w:hint="eastAsia" w:ascii="宋体" w:hAnsi="宋体" w:cs="宋体"/>
                <w:color w:val="auto"/>
                <w:sz w:val="24"/>
                <w:highlight w:val="none"/>
              </w:rPr>
              <w:t>证明材料：须同时提供项目合同复印件，时间合同签订日为准，未按要求提供完整材料的，不得分。</w:t>
            </w:r>
          </w:p>
        </w:tc>
        <w:tc>
          <w:tcPr>
            <w:tcW w:w="715"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4"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【综合实力】</w:t>
            </w:r>
          </w:p>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供应商具有质量管理体系认证、环境管理体系认证、职业健康安全管理体系认证等证书，每提供1个得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adjustRightInd/>
              <w:spacing w:line="240" w:lineRule="auto"/>
              <w:jc w:val="left"/>
              <w:rPr>
                <w:color w:val="auto"/>
                <w:sz w:val="24"/>
                <w:highlight w:val="none"/>
              </w:rPr>
            </w:pPr>
            <w:r>
              <w:rPr>
                <w:rFonts w:hint="eastAsia" w:ascii="宋体" w:hAnsi="宋体" w:cs="宋体"/>
                <w:color w:val="auto"/>
                <w:sz w:val="24"/>
                <w:highlight w:val="none"/>
              </w:rPr>
              <w:t>证明材料：证书复印件或扫描件并加盖公章，同时提供全国认证认可信息公共服务平台查询截图；以上材料必须同时提供，未提供的不得分。</w:t>
            </w:r>
          </w:p>
        </w:tc>
        <w:tc>
          <w:tcPr>
            <w:tcW w:w="715"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54"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【团队人员配置】</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lang w:eastAsia="zh-CN"/>
              </w:rPr>
              <w:t>要求</w:t>
            </w:r>
            <w:r>
              <w:rPr>
                <w:rFonts w:hint="eastAsia" w:ascii="宋体" w:hAnsi="宋体" w:cs="宋体"/>
                <w:color w:val="auto"/>
                <w:sz w:val="24"/>
                <w:highlight w:val="none"/>
              </w:rPr>
              <w:t>供应商项目服务团队中具有</w:t>
            </w:r>
            <w:r>
              <w:rPr>
                <w:rFonts w:hint="eastAsia" w:ascii="宋体" w:hAnsi="宋体" w:cs="宋体"/>
                <w:color w:val="auto"/>
                <w:sz w:val="24"/>
                <w:highlight w:val="none"/>
                <w:lang w:eastAsia="zh-CN"/>
              </w:rPr>
              <w:t>中级</w:t>
            </w:r>
            <w:r>
              <w:rPr>
                <w:rFonts w:hint="eastAsia" w:ascii="宋体" w:hAnsi="宋体" w:cs="宋体"/>
                <w:color w:val="auto"/>
                <w:sz w:val="24"/>
                <w:highlight w:val="none"/>
              </w:rPr>
              <w:t>注册安全工程</w:t>
            </w:r>
            <w:r>
              <w:rPr>
                <w:rFonts w:hint="eastAsia" w:ascii="宋体" w:hAnsi="宋体" w:cs="宋体"/>
                <w:color w:val="auto"/>
                <w:sz w:val="24"/>
                <w:highlight w:val="none"/>
                <w:lang w:eastAsia="zh-CN"/>
              </w:rPr>
              <w:t>（</w:t>
            </w:r>
            <w:r>
              <w:rPr>
                <w:rFonts w:hint="eastAsia" w:ascii="宋体" w:hAnsi="宋体" w:cs="宋体"/>
                <w:color w:val="auto"/>
                <w:sz w:val="24"/>
                <w:highlight w:val="none"/>
              </w:rPr>
              <w:t>化工安全</w:t>
            </w:r>
            <w:r>
              <w:rPr>
                <w:rFonts w:hint="eastAsia" w:ascii="宋体" w:hAnsi="宋体" w:cs="宋体"/>
                <w:color w:val="auto"/>
                <w:sz w:val="24"/>
                <w:highlight w:val="none"/>
                <w:lang w:eastAsia="zh-CN"/>
              </w:rPr>
              <w:t>或</w:t>
            </w:r>
            <w:r>
              <w:rPr>
                <w:rFonts w:hint="eastAsia" w:ascii="宋体" w:hAnsi="宋体" w:cs="宋体"/>
                <w:color w:val="auto"/>
                <w:sz w:val="24"/>
                <w:highlight w:val="none"/>
              </w:rPr>
              <w:t>其他安全</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人）、一级</w:t>
            </w:r>
            <w:r>
              <w:rPr>
                <w:rFonts w:hint="eastAsia" w:ascii="宋体" w:hAnsi="宋体" w:cs="宋体"/>
                <w:color w:val="auto"/>
                <w:sz w:val="24"/>
                <w:highlight w:val="none"/>
              </w:rPr>
              <w:t>注册消防工程师</w:t>
            </w:r>
            <w:r>
              <w:rPr>
                <w:rFonts w:hint="eastAsia" w:ascii="宋体" w:hAnsi="宋体" w:cs="宋体"/>
                <w:color w:val="auto"/>
                <w:sz w:val="24"/>
                <w:highlight w:val="none"/>
                <w:lang w:val="en-US" w:eastAsia="zh-CN"/>
              </w:rPr>
              <w:t>1人</w:t>
            </w:r>
            <w:r>
              <w:rPr>
                <w:rFonts w:hint="eastAsia" w:ascii="宋体" w:hAnsi="宋体" w:cs="宋体"/>
                <w:color w:val="auto"/>
                <w:sz w:val="24"/>
                <w:highlight w:val="none"/>
                <w:lang w:eastAsia="zh-CN"/>
              </w:rPr>
              <w:t>、</w:t>
            </w:r>
            <w:r>
              <w:rPr>
                <w:rFonts w:hint="eastAsia" w:ascii="宋体" w:hAnsi="宋体" w:cs="宋体"/>
                <w:color w:val="auto"/>
                <w:sz w:val="24"/>
                <w:highlight w:val="none"/>
              </w:rPr>
              <w:t>一级建造师</w:t>
            </w:r>
            <w:r>
              <w:rPr>
                <w:rFonts w:hint="eastAsia" w:ascii="宋体" w:hAnsi="宋体" w:cs="宋体"/>
                <w:color w:val="auto"/>
                <w:sz w:val="24"/>
                <w:highlight w:val="none"/>
                <w:lang w:eastAsia="zh-CN"/>
              </w:rPr>
              <w:t>（</w:t>
            </w:r>
            <w:r>
              <w:rPr>
                <w:rFonts w:hint="eastAsia" w:ascii="宋体" w:hAnsi="宋体" w:cs="宋体"/>
                <w:color w:val="auto"/>
                <w:sz w:val="24"/>
                <w:highlight w:val="none"/>
              </w:rPr>
              <w:t>建筑工程</w:t>
            </w:r>
            <w:r>
              <w:rPr>
                <w:rFonts w:hint="eastAsia" w:ascii="宋体" w:hAnsi="宋体" w:cs="宋体"/>
                <w:color w:val="auto"/>
                <w:sz w:val="24"/>
                <w:highlight w:val="none"/>
                <w:lang w:eastAsia="zh-CN"/>
              </w:rPr>
              <w:t>或</w:t>
            </w:r>
            <w:r>
              <w:rPr>
                <w:rFonts w:hint="default" w:ascii="宋体" w:hAnsi="宋体" w:cs="宋体"/>
                <w:color w:val="auto"/>
                <w:sz w:val="24"/>
                <w:highlight w:val="none"/>
              </w:rPr>
              <w:t>市政公用工程</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人）</w:t>
            </w:r>
            <w:r>
              <w:rPr>
                <w:rFonts w:hint="eastAsia" w:ascii="宋体" w:hAnsi="宋体" w:cs="宋体"/>
                <w:color w:val="auto"/>
                <w:sz w:val="24"/>
                <w:highlight w:val="none"/>
              </w:rPr>
              <w:t>、安全评价师</w:t>
            </w:r>
            <w:r>
              <w:rPr>
                <w:rFonts w:hint="eastAsia" w:ascii="宋体" w:hAnsi="宋体" w:cs="宋体"/>
                <w:color w:val="auto"/>
                <w:sz w:val="24"/>
                <w:highlight w:val="none"/>
                <w:lang w:val="en-US" w:eastAsia="zh-CN"/>
              </w:rPr>
              <w:t>1人、标准化评审员1人</w:t>
            </w:r>
            <w:r>
              <w:rPr>
                <w:rFonts w:hint="eastAsia" w:ascii="宋体" w:hAnsi="宋体" w:cs="宋体"/>
                <w:color w:val="auto"/>
                <w:sz w:val="24"/>
                <w:highlight w:val="none"/>
              </w:rPr>
              <w:t>的，</w:t>
            </w:r>
            <w:r>
              <w:rPr>
                <w:rFonts w:hint="eastAsia" w:ascii="宋体" w:hAnsi="宋体" w:cs="宋体"/>
                <w:color w:val="auto"/>
                <w:sz w:val="24"/>
                <w:highlight w:val="none"/>
                <w:lang w:eastAsia="zh-CN"/>
              </w:rPr>
              <w:t>得基础分</w:t>
            </w:r>
            <w:r>
              <w:rPr>
                <w:rFonts w:hint="eastAsia" w:ascii="宋体" w:hAnsi="宋体" w:cs="宋体"/>
                <w:color w:val="auto"/>
                <w:sz w:val="24"/>
                <w:highlight w:val="none"/>
                <w:lang w:val="en-US" w:eastAsia="zh-CN"/>
              </w:rPr>
              <w:t>5分，另</w:t>
            </w:r>
            <w:r>
              <w:rPr>
                <w:rFonts w:hint="eastAsia" w:ascii="宋体" w:hAnsi="宋体" w:cs="宋体"/>
                <w:color w:val="auto"/>
                <w:sz w:val="24"/>
                <w:highlight w:val="none"/>
                <w:lang w:eastAsia="zh-CN"/>
              </w:rPr>
              <w:t>多</w:t>
            </w:r>
            <w:r>
              <w:rPr>
                <w:rFonts w:hint="eastAsia" w:ascii="宋体" w:hAnsi="宋体" w:cs="宋体"/>
                <w:color w:val="auto"/>
                <w:sz w:val="24"/>
                <w:highlight w:val="none"/>
              </w:rPr>
              <w:t>提供1人得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（资质及专业不重复）</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人仅计</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本资质证书）</w:t>
            </w:r>
            <w:r>
              <w:rPr>
                <w:rFonts w:hint="eastAsia" w:ascii="宋体" w:hAnsi="宋体" w:cs="宋体"/>
                <w:color w:val="auto"/>
                <w:sz w:val="24"/>
                <w:highlight w:val="none"/>
              </w:rPr>
              <w:t>。</w:t>
            </w:r>
          </w:p>
          <w:p>
            <w:pPr>
              <w:spacing w:line="240" w:lineRule="auto"/>
              <w:rPr>
                <w:rFonts w:eastAsia="仿宋_GB2312"/>
                <w:color w:val="auto"/>
                <w:sz w:val="24"/>
                <w:highlight w:val="none"/>
              </w:rPr>
            </w:pPr>
            <w:r>
              <w:rPr>
                <w:rFonts w:hint="eastAsia" w:ascii="宋体" w:hAnsi="宋体" w:cs="宋体"/>
                <w:color w:val="auto"/>
                <w:sz w:val="24"/>
                <w:highlight w:val="none"/>
              </w:rPr>
              <w:t>证明材料：①注册安全工程师一级注册消防安全工程师需提供相应资格证书及本单位的执业资格证书复印件或扫描件并加盖公章，否则不得分。②所有人员需提供2024年近3个月的社保证明材料复印件，否则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9</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6960" w:type="dxa"/>
            <w:vAlign w:val="center"/>
          </w:tcPr>
          <w:p>
            <w:pPr>
              <w:adjustRightInd/>
              <w:spacing w:line="240" w:lineRule="auto"/>
              <w:jc w:val="both"/>
              <w:rPr>
                <w:rFonts w:hint="eastAsia" w:ascii="宋体" w:hAnsi="宋体" w:cs="宋体"/>
                <w:b/>
                <w:bCs/>
                <w:color w:val="auto"/>
                <w:sz w:val="24"/>
                <w:highlight w:val="none"/>
              </w:rPr>
            </w:pPr>
            <w:r>
              <w:rPr>
                <w:rFonts w:hint="eastAsia" w:ascii="宋体" w:hAnsi="宋体" w:cs="宋体"/>
                <w:b/>
                <w:bCs/>
                <w:color w:val="auto"/>
                <w:sz w:val="24"/>
                <w:highlight w:val="none"/>
              </w:rPr>
              <w:t>【团队人员配置】</w:t>
            </w:r>
          </w:p>
          <w:p>
            <w:pPr>
              <w:pStyle w:val="2"/>
              <w:spacing w:line="240" w:lineRule="auto"/>
              <w:ind w:left="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在浙江省应急管理厅浙江省工业企业安全在线-社会化服务信息系统备案并为A级的，得5分。</w:t>
            </w:r>
          </w:p>
        </w:tc>
        <w:tc>
          <w:tcPr>
            <w:tcW w:w="715" w:type="dxa"/>
            <w:vAlign w:val="center"/>
          </w:tcPr>
          <w:p>
            <w:pPr>
              <w:snapToGrid w:val="0"/>
              <w:spacing w:line="24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949" w:type="dxa"/>
            <w:vAlign w:val="center"/>
          </w:tcPr>
          <w:p>
            <w:pPr>
              <w:snapToGrid w:val="0"/>
              <w:spacing w:line="240" w:lineRule="auto"/>
              <w:jc w:val="center"/>
              <w:rPr>
                <w:rFonts w:hint="eastAsia" w:ascii="宋体" w:hAnsi="宋体" w:eastAsia="宋体" w:cs="仿宋_GB2312"/>
                <w:bCs/>
                <w:color w:val="auto"/>
                <w:sz w:val="24"/>
                <w:highlight w:val="none"/>
                <w:lang w:eastAsia="zh-CN"/>
              </w:rPr>
            </w:pPr>
            <w:r>
              <w:rPr>
                <w:rFonts w:hint="eastAsia" w:ascii="宋体" w:hAnsi="宋体" w:cs="仿宋_GB2312"/>
                <w:bCs/>
                <w:color w:val="auto"/>
                <w:sz w:val="24"/>
                <w:highlight w:val="none"/>
                <w:lang w:eastAsia="zh-CN"/>
              </w:rPr>
              <w:t>客观分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5</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b/>
                <w:bCs/>
                <w:color w:val="auto"/>
                <w:sz w:val="24"/>
                <w:highlight w:val="none"/>
              </w:rPr>
              <w:t>【对项目的理解程度】</w:t>
            </w:r>
          </w:p>
          <w:p>
            <w:pPr>
              <w:adjustRightInd/>
              <w:spacing w:line="240" w:lineRule="auto"/>
              <w:jc w:val="left"/>
              <w:rPr>
                <w:color w:val="auto"/>
                <w:sz w:val="24"/>
                <w:highlight w:val="none"/>
              </w:rPr>
            </w:pPr>
            <w:r>
              <w:rPr>
                <w:rFonts w:hint="eastAsia" w:ascii="宋体" w:hAnsi="宋体" w:cs="宋体"/>
                <w:color w:val="auto"/>
                <w:sz w:val="24"/>
                <w:highlight w:val="none"/>
              </w:rPr>
              <w:t>提供对本项目服务过程中的重点、难点分析以及解决思路方案，协助集团及下属公司开展节点性安全检查方案；</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供应商针对本项目制定与服务需求检查频次及检查内容相适应的检查计划，服务工作流程（程序）是否完善，针对服务对象的安全诊断、专项整治的工作计划是否完善和具有可操作性得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供应商对本项目服务对象的现场安全管理、安全教育培训、考试、建档等采取的措施或方案，</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供应商是否具有完备的管理组织机构、项目实施规范和管理制度，是否有完善的质量管理体系：</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4" w:type="dxa"/>
            <w:vAlign w:val="center"/>
          </w:tcPr>
          <w:p>
            <w:pPr>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9</w:t>
            </w:r>
          </w:p>
        </w:tc>
        <w:tc>
          <w:tcPr>
            <w:tcW w:w="6960" w:type="dxa"/>
            <w:vAlign w:val="center"/>
          </w:tcPr>
          <w:p>
            <w:pPr>
              <w:adjustRightInd/>
              <w:spacing w:line="240" w:lineRule="auto"/>
              <w:jc w:val="left"/>
              <w:rPr>
                <w:rFonts w:ascii="宋体" w:hAnsi="宋体" w:cs="宋体"/>
                <w:color w:val="auto"/>
                <w:sz w:val="24"/>
                <w:highlight w:val="none"/>
              </w:rPr>
            </w:pPr>
            <w:r>
              <w:rPr>
                <w:rFonts w:hint="eastAsia" w:ascii="宋体" w:hAnsi="宋体" w:cs="宋体"/>
                <w:color w:val="auto"/>
                <w:sz w:val="24"/>
                <w:highlight w:val="none"/>
              </w:rPr>
              <w:t>供应商提出对企业安全生产标准化工作的指导方案。</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分；未提供方案不得分。</w:t>
            </w:r>
          </w:p>
        </w:tc>
        <w:tc>
          <w:tcPr>
            <w:tcW w:w="715" w:type="dxa"/>
            <w:vAlign w:val="center"/>
          </w:tcPr>
          <w:p>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vAlign w:val="center"/>
          </w:tcPr>
          <w:p>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6960" w:type="dxa"/>
            <w:vAlign w:val="center"/>
          </w:tcPr>
          <w:p>
            <w:pPr>
              <w:adjustRightInd/>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【质量保证措施】</w:t>
            </w:r>
          </w:p>
          <w:p>
            <w:pPr>
              <w:numPr>
                <w:ilvl w:val="0"/>
                <w:numId w:val="0"/>
              </w:numPr>
              <w:adjustRightInd/>
              <w:spacing w:line="240" w:lineRule="auto"/>
              <w:jc w:val="left"/>
              <w:rPr>
                <w:rFonts w:ascii="宋体" w:hAnsi="宋体" w:cs="宋体"/>
                <w:color w:val="auto"/>
                <w:sz w:val="24"/>
                <w:highlight w:val="none"/>
              </w:rPr>
            </w:pPr>
            <w:r>
              <w:rPr>
                <w:rFonts w:ascii="宋体" w:hAnsi="宋体" w:eastAsia="宋体" w:cs="宋体"/>
                <w:color w:val="auto"/>
                <w:kern w:val="2"/>
                <w:sz w:val="24"/>
                <w:szCs w:val="24"/>
                <w:lang w:val="en-US" w:eastAsia="zh-CN" w:bidi="ar-SA"/>
              </w:rPr>
              <w:t>1、</w:t>
            </w:r>
            <w:r>
              <w:rPr>
                <w:rFonts w:hint="eastAsia" w:ascii="宋体" w:hAnsi="宋体" w:cs="宋体"/>
                <w:color w:val="auto"/>
                <w:sz w:val="24"/>
                <w:highlight w:val="none"/>
              </w:rPr>
              <w:t>供应商质量控制措施、安全控制措施等是否完善。</w:t>
            </w:r>
            <w:r>
              <w:rPr>
                <w:rFonts w:hint="eastAsia" w:ascii="宋体" w:hAnsi="宋体" w:cs="宋体"/>
                <w:color w:val="auto"/>
                <w:sz w:val="24"/>
                <w:highlight w:val="none"/>
                <w:lang w:eastAsia="zh-CN"/>
              </w:rPr>
              <w:t>根据方案</w:t>
            </w:r>
            <w:r>
              <w:rPr>
                <w:rFonts w:hint="eastAsia" w:ascii="宋体" w:hAnsi="宋体" w:cs="宋体"/>
                <w:color w:val="auto"/>
                <w:sz w:val="24"/>
                <w:highlight w:val="none"/>
              </w:rPr>
              <w:t>完整性、针对性</w:t>
            </w:r>
            <w:r>
              <w:rPr>
                <w:rFonts w:hint="eastAsia" w:ascii="宋体" w:hAnsi="宋体" w:cs="宋体"/>
                <w:color w:val="auto"/>
                <w:sz w:val="24"/>
                <w:highlight w:val="none"/>
                <w:lang w:eastAsia="zh-CN"/>
              </w:rPr>
              <w:t>与</w:t>
            </w:r>
            <w:r>
              <w:rPr>
                <w:rFonts w:hint="eastAsia" w:ascii="宋体" w:hAnsi="宋体" w:cs="宋体"/>
                <w:color w:val="auto"/>
                <w:sz w:val="24"/>
                <w:highlight w:val="none"/>
              </w:rPr>
              <w:t>合理可行</w:t>
            </w:r>
            <w:r>
              <w:rPr>
                <w:rFonts w:hint="eastAsia" w:ascii="宋体" w:hAnsi="宋体" w:cs="宋体"/>
                <w:color w:val="auto"/>
                <w:sz w:val="24"/>
                <w:highlight w:val="none"/>
                <w:lang w:eastAsia="zh-CN"/>
              </w:rPr>
              <w:t>性</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分；未提供方案不得分。</w:t>
            </w:r>
          </w:p>
          <w:p>
            <w:pPr>
              <w:pStyle w:val="45"/>
              <w:spacing w:line="240" w:lineRule="auto"/>
              <w:rPr>
                <w:color w:val="auto"/>
                <w:sz w:val="24"/>
                <w:highlight w:val="none"/>
              </w:rPr>
            </w:pPr>
            <w:r>
              <w:rPr>
                <w:rFonts w:hint="eastAsia" w:ascii="宋体" w:hAnsi="宋体" w:cs="宋体"/>
                <w:color w:val="auto"/>
                <w:sz w:val="24"/>
                <w:highlight w:val="none"/>
              </w:rPr>
              <w:t>2、服务承诺方案，根据</w:t>
            </w:r>
            <w:r>
              <w:rPr>
                <w:rFonts w:hint="eastAsia" w:ascii="宋体" w:hAnsi="宋体" w:cs="宋体"/>
                <w:color w:val="auto"/>
                <w:sz w:val="24"/>
                <w:highlight w:val="none"/>
                <w:lang w:val="en-US" w:eastAsia="zh-CN"/>
              </w:rPr>
              <w:t>本地化</w:t>
            </w:r>
            <w:r>
              <w:rPr>
                <w:rFonts w:hint="eastAsia" w:ascii="宋体" w:hAnsi="宋体" w:cs="宋体"/>
                <w:color w:val="auto"/>
                <w:sz w:val="24"/>
                <w:highlight w:val="none"/>
              </w:rPr>
              <w:t>服务能力、</w:t>
            </w:r>
            <w:r>
              <w:rPr>
                <w:rFonts w:hint="eastAsia" w:ascii="宋体" w:hAnsi="宋体" w:cs="宋体"/>
                <w:color w:val="auto"/>
                <w:sz w:val="24"/>
                <w:highlight w:val="none"/>
                <w:lang w:val="en-US" w:eastAsia="zh-CN"/>
              </w:rPr>
              <w:t>本地化</w:t>
            </w:r>
            <w:r>
              <w:rPr>
                <w:rFonts w:hint="eastAsia" w:ascii="宋体" w:hAnsi="宋体" w:cs="宋体"/>
                <w:color w:val="auto"/>
                <w:sz w:val="24"/>
                <w:highlight w:val="none"/>
              </w:rPr>
              <w:t>售后服务方案、措施、响应等情况综合评审，</w:t>
            </w:r>
            <w:r>
              <w:rPr>
                <w:rFonts w:hint="eastAsia" w:ascii="宋体" w:hAnsi="宋体" w:cs="宋体"/>
                <w:color w:val="auto"/>
                <w:sz w:val="24"/>
                <w:highlight w:val="none"/>
                <w:lang w:eastAsia="zh-CN"/>
              </w:rPr>
              <w:t>根据</w:t>
            </w:r>
            <w:r>
              <w:rPr>
                <w:rFonts w:hint="eastAsia" w:ascii="宋体" w:hAnsi="宋体" w:cs="宋体"/>
                <w:color w:val="auto"/>
                <w:sz w:val="24"/>
                <w:highlight w:val="none"/>
              </w:rPr>
              <w:t>方案合理</w:t>
            </w:r>
            <w:r>
              <w:rPr>
                <w:rFonts w:hint="eastAsia" w:ascii="宋体" w:hAnsi="宋体" w:cs="宋体"/>
                <w:color w:val="auto"/>
                <w:sz w:val="24"/>
                <w:highlight w:val="none"/>
                <w:lang w:eastAsia="zh-CN"/>
              </w:rPr>
              <w:t>性</w:t>
            </w:r>
            <w:r>
              <w:rPr>
                <w:rFonts w:hint="eastAsia" w:ascii="宋体" w:hAnsi="宋体" w:cs="宋体"/>
                <w:color w:val="auto"/>
                <w:sz w:val="24"/>
                <w:highlight w:val="none"/>
              </w:rPr>
              <w:t>，符合</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需求，针对性强得</w:t>
            </w:r>
            <w:r>
              <w:rPr>
                <w:rFonts w:hint="eastAsia" w:ascii="宋体" w:hAnsi="宋体" w:cs="宋体"/>
                <w:color w:val="auto"/>
                <w:sz w:val="24"/>
                <w:highlight w:val="none"/>
                <w:lang w:val="en-US" w:eastAsia="zh-CN"/>
              </w:rPr>
              <w:t>1-5分，</w:t>
            </w:r>
            <w:r>
              <w:rPr>
                <w:rFonts w:hint="eastAsia" w:ascii="宋体" w:hAnsi="宋体" w:cs="宋体"/>
                <w:color w:val="auto"/>
                <w:sz w:val="24"/>
                <w:highlight w:val="none"/>
              </w:rPr>
              <w:t>未提供方案不得分。</w:t>
            </w:r>
          </w:p>
        </w:tc>
        <w:tc>
          <w:tcPr>
            <w:tcW w:w="715" w:type="dxa"/>
            <w:vAlign w:val="center"/>
          </w:tcPr>
          <w:p>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949" w:type="dxa"/>
            <w:vAlign w:val="center"/>
          </w:tcPr>
          <w:p>
            <w:pPr>
              <w:snapToGrid w:val="0"/>
              <w:spacing w:line="240" w:lineRule="auto"/>
              <w:jc w:val="center"/>
              <w:rPr>
                <w:rFonts w:ascii="宋体" w:hAnsi="宋体" w:cs="仿宋_GB2312"/>
                <w:bCs/>
                <w:color w:val="auto"/>
                <w:sz w:val="24"/>
                <w:highlight w:val="none"/>
              </w:rPr>
            </w:pPr>
            <w:r>
              <w:rPr>
                <w:rFonts w:hint="eastAsia" w:ascii="宋体" w:hAnsi="宋体" w:cs="仿宋_GB2312"/>
                <w:bCs/>
                <w:color w:val="auto"/>
                <w:sz w:val="24"/>
                <w:highlight w:val="none"/>
              </w:rPr>
              <w:t>主观分</w:t>
            </w:r>
          </w:p>
        </w:tc>
        <w:tc>
          <w:tcPr>
            <w:tcW w:w="1060" w:type="dxa"/>
          </w:tcPr>
          <w:p>
            <w:pPr>
              <w:pStyle w:val="5"/>
              <w:spacing w:line="240" w:lineRule="auto"/>
              <w:outlineLvl w:val="1"/>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pStyle w:val="5"/>
              <w:spacing w:line="240" w:lineRule="auto"/>
              <w:jc w:val="center"/>
              <w:outlineLvl w:val="1"/>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11</w:t>
            </w:r>
          </w:p>
        </w:tc>
        <w:tc>
          <w:tcPr>
            <w:tcW w:w="6960" w:type="dxa"/>
            <w:vAlign w:val="center"/>
          </w:tcPr>
          <w:p>
            <w:pPr>
              <w:pStyle w:val="61"/>
              <w:overflowPunct/>
              <w:autoSpaceDE/>
              <w:autoSpaceDN/>
              <w:adjustRightInd/>
              <w:spacing w:line="240" w:lineRule="auto"/>
              <w:jc w:val="left"/>
              <w:textAlignment w:val="auto"/>
              <w:rPr>
                <w:rFonts w:ascii="宋体" w:hAnsi="宋体" w:cs="宋体"/>
                <w:bCs/>
                <w:color w:val="auto"/>
                <w:szCs w:val="24"/>
                <w:highlight w:val="none"/>
              </w:rPr>
            </w:pPr>
            <w:bookmarkStart w:id="383" w:name="_GoBack"/>
            <w:r>
              <w:rPr>
                <w:rFonts w:hint="eastAsia" w:ascii="宋体" w:hAnsi="宋体" w:cs="宋体"/>
                <w:bCs/>
                <w:color w:val="auto"/>
                <w:szCs w:val="24"/>
                <w:highlight w:val="none"/>
              </w:rPr>
              <w:t>【合理化建议】</w:t>
            </w:r>
          </w:p>
          <w:p>
            <w:pPr>
              <w:pStyle w:val="137"/>
              <w:snapToGrid w:val="0"/>
              <w:spacing w:before="0" w:line="240" w:lineRule="auto"/>
              <w:ind w:firstLine="0" w:firstLineChars="0"/>
              <w:jc w:val="left"/>
              <w:rPr>
                <w:rFonts w:ascii="宋体" w:hAnsi="宋体" w:cs="宋体"/>
                <w:bCs/>
                <w:color w:val="auto"/>
                <w:szCs w:val="24"/>
                <w:highlight w:val="none"/>
              </w:rPr>
            </w:pPr>
            <w:r>
              <w:rPr>
                <w:rFonts w:hint="eastAsia" w:ascii="宋体" w:hAnsi="宋体" w:cs="宋体"/>
                <w:bCs/>
                <w:color w:val="auto"/>
                <w:szCs w:val="24"/>
                <w:highlight w:val="none"/>
              </w:rPr>
              <w:t>供应商对本项目是否有相应合理化建议。</w:t>
            </w:r>
            <w:r>
              <w:rPr>
                <w:rFonts w:hint="eastAsia" w:ascii="宋体" w:hAnsi="宋体" w:cs="宋体"/>
                <w:color w:val="auto"/>
                <w:sz w:val="24"/>
                <w:highlight w:val="none"/>
                <w:lang w:eastAsia="zh-CN"/>
              </w:rPr>
              <w:t>根据</w:t>
            </w:r>
            <w:r>
              <w:rPr>
                <w:rFonts w:hint="eastAsia" w:ascii="宋体" w:hAnsi="宋体" w:cs="宋体"/>
                <w:color w:val="auto"/>
                <w:sz w:val="24"/>
                <w:highlight w:val="none"/>
              </w:rPr>
              <w:t>方案合理</w:t>
            </w:r>
            <w:r>
              <w:rPr>
                <w:rFonts w:hint="eastAsia" w:ascii="宋体" w:hAnsi="宋体" w:cs="宋体"/>
                <w:color w:val="auto"/>
                <w:sz w:val="24"/>
                <w:highlight w:val="none"/>
                <w:lang w:eastAsia="zh-CN"/>
              </w:rPr>
              <w:t>性</w:t>
            </w:r>
            <w:r>
              <w:rPr>
                <w:rFonts w:hint="eastAsia" w:ascii="宋体" w:hAnsi="宋体" w:cs="宋体"/>
                <w:color w:val="auto"/>
                <w:sz w:val="24"/>
                <w:highlight w:val="none"/>
              </w:rPr>
              <w:t>，符合</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需求，针对性强得</w:t>
            </w:r>
            <w:r>
              <w:rPr>
                <w:rFonts w:hint="eastAsia" w:ascii="宋体" w:hAnsi="宋体" w:cs="宋体"/>
                <w:color w:val="auto"/>
                <w:sz w:val="24"/>
                <w:highlight w:val="none"/>
                <w:lang w:val="en-US" w:eastAsia="zh-CN"/>
              </w:rPr>
              <w:t>1-7分，</w:t>
            </w:r>
            <w:r>
              <w:rPr>
                <w:rFonts w:hint="eastAsia" w:ascii="宋体" w:hAnsi="宋体" w:cs="宋体"/>
                <w:color w:val="auto"/>
                <w:sz w:val="24"/>
                <w:highlight w:val="none"/>
              </w:rPr>
              <w:t>未提供方案不得分。</w:t>
            </w:r>
            <w:bookmarkEnd w:id="383"/>
          </w:p>
        </w:tc>
        <w:tc>
          <w:tcPr>
            <w:tcW w:w="715" w:type="dxa"/>
            <w:vAlign w:val="center"/>
          </w:tcPr>
          <w:p>
            <w:pPr>
              <w:pStyle w:val="61"/>
              <w:overflowPunct/>
              <w:autoSpaceDE/>
              <w:autoSpaceDN/>
              <w:adjustRightInd/>
              <w:spacing w:line="240" w:lineRule="auto"/>
              <w:textAlignment w:val="auto"/>
              <w:rPr>
                <w:rFonts w:hint="eastAsia" w:ascii="宋体" w:hAnsi="宋体" w:eastAsia="宋体" w:cs="仿宋_GB2312"/>
                <w:b w:val="0"/>
                <w:color w:val="auto"/>
                <w:kern w:val="2"/>
                <w:szCs w:val="24"/>
                <w:highlight w:val="none"/>
                <w:lang w:val="en-US" w:eastAsia="zh-CN"/>
              </w:rPr>
            </w:pPr>
            <w:r>
              <w:rPr>
                <w:rFonts w:hint="eastAsia" w:ascii="宋体" w:hAnsi="宋体" w:cs="仿宋_GB2312"/>
                <w:b w:val="0"/>
                <w:color w:val="auto"/>
                <w:kern w:val="2"/>
                <w:szCs w:val="24"/>
                <w:highlight w:val="none"/>
                <w:lang w:val="en-US" w:eastAsia="zh-CN"/>
              </w:rPr>
              <w:t>7</w:t>
            </w:r>
          </w:p>
        </w:tc>
        <w:tc>
          <w:tcPr>
            <w:tcW w:w="949" w:type="dxa"/>
            <w:vAlign w:val="center"/>
          </w:tcPr>
          <w:p>
            <w:pPr>
              <w:snapToGrid w:val="0"/>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主观分</w:t>
            </w:r>
          </w:p>
        </w:tc>
        <w:tc>
          <w:tcPr>
            <w:tcW w:w="1060" w:type="dxa"/>
          </w:tcPr>
          <w:p>
            <w:pPr>
              <w:snapToGrid w:val="0"/>
              <w:spacing w:line="240" w:lineRule="auto"/>
              <w:jc w:val="center"/>
              <w:rPr>
                <w:color w:val="auto"/>
                <w:sz w:val="24"/>
                <w:highlight w:val="none"/>
              </w:rPr>
            </w:pPr>
          </w:p>
        </w:tc>
      </w:tr>
    </w:tbl>
    <w:p>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2、价格部分（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66"/>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169" w:type="dxa"/>
            <w:vAlign w:val="center"/>
          </w:tcPr>
          <w:p>
            <w:pPr>
              <w:adjustRightInd/>
              <w:jc w:val="center"/>
              <w:rPr>
                <w:rFonts w:hint="default" w:ascii="宋体" w:hAnsi="宋体" w:cs="宋体"/>
                <w:color w:val="auto"/>
                <w:sz w:val="24"/>
                <w:highlight w:val="none"/>
                <w:lang w:val="en-US"/>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20</w:t>
            </w:r>
          </w:p>
        </w:tc>
        <w:tc>
          <w:tcPr>
            <w:tcW w:w="6905" w:type="dxa"/>
            <w:vAlign w:val="center"/>
          </w:tcPr>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pPr>
              <w:widowControl/>
              <w:shd w:val="clear" w:color="auto" w:fill="FFFFFF"/>
              <w:adjustRightInd/>
              <w:snapToGrid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评标过程中，不得去掉报价中的最高报价和最低报价。</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7"/>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7"/>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7"/>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5"/>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2"/>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pPr>
        <w:pStyle w:val="2"/>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2"/>
        <w:snapToGrid w:val="0"/>
        <w:spacing w:line="570" w:lineRule="exact"/>
        <w:rPr>
          <w:rFonts w:cs="宋体"/>
          <w:color w:val="auto"/>
          <w:highlight w:val="none"/>
        </w:rPr>
      </w:pPr>
      <w:r>
        <w:rPr>
          <w:rFonts w:hint="eastAsia" w:cs="宋体"/>
          <w:color w:val="auto"/>
          <w:highlight w:val="none"/>
        </w:rPr>
        <w:t>5.4因重大变故，采购任务取消的。</w:t>
      </w:r>
    </w:p>
    <w:p>
      <w:pPr>
        <w:pStyle w:val="2"/>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2"/>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2"/>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
        <w:snapToGrid w:val="0"/>
        <w:spacing w:line="360" w:lineRule="auto"/>
        <w:rPr>
          <w:rFonts w:cs="宋体"/>
          <w:color w:val="auto"/>
          <w:highlight w:val="none"/>
        </w:rPr>
      </w:pPr>
    </w:p>
    <w:p>
      <w:pPr>
        <w:pStyle w:val="18"/>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4"/>
        <w:spacing w:line="360" w:lineRule="auto"/>
        <w:ind w:left="0" w:firstLine="480" w:firstLineChars="200"/>
        <w:rPr>
          <w:rFonts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合同以实际签订为准。</w:t>
      </w:r>
    </w:p>
    <w:p>
      <w:pPr>
        <w:rPr>
          <w:rFonts w:ascii="宋体" w:hAnsi="宋体" w:cs="宋体"/>
          <w:color w:val="auto"/>
          <w:highlight w:val="none"/>
        </w:rPr>
      </w:pPr>
      <w:r>
        <w:rPr>
          <w:rFonts w:hint="eastAsia" w:ascii="宋体" w:hAnsi="宋体" w:cs="宋体"/>
          <w:color w:val="auto"/>
          <w:highlight w:val="none"/>
        </w:rPr>
        <w:br w:type="page"/>
      </w:r>
    </w:p>
    <w:p>
      <w:pPr>
        <w:pStyle w:val="35"/>
        <w:ind w:left="0" w:leftChars="0"/>
        <w:rPr>
          <w:rFonts w:hAnsi="宋体" w:cs="宋体"/>
          <w:color w:val="auto"/>
          <w:highlight w:val="none"/>
          <w:lang w:val="en-US"/>
        </w:rPr>
      </w:pPr>
      <w:r>
        <w:rPr>
          <w:rFonts w:hint="eastAsia" w:hAnsi="宋体" w:cs="宋体"/>
          <w:color w:val="auto"/>
          <w:highlight w:val="none"/>
          <w:lang w:val="en-US"/>
        </w:rPr>
        <w:t>附件：廉政责任书</w:t>
      </w:r>
    </w:p>
    <w:p>
      <w:pPr>
        <w:pStyle w:val="26"/>
        <w:jc w:val="center"/>
        <w:rPr>
          <w:rFonts w:hAnsi="宋体" w:cs="宋体"/>
          <w:b/>
          <w:bCs/>
          <w:color w:val="auto"/>
          <w:sz w:val="28"/>
          <w:szCs w:val="28"/>
          <w:highlight w:val="none"/>
        </w:rPr>
      </w:pPr>
      <w:r>
        <w:rPr>
          <w:rFonts w:hint="eastAsia" w:hAnsi="宋体" w:cs="宋体"/>
          <w:b/>
          <w:bCs/>
          <w:color w:val="auto"/>
          <w:sz w:val="28"/>
          <w:szCs w:val="28"/>
          <w:highlight w:val="none"/>
        </w:rPr>
        <w:t>廉政责任书</w:t>
      </w:r>
    </w:p>
    <w:p>
      <w:pPr>
        <w:pStyle w:val="26"/>
        <w:ind w:firstLine="480" w:firstLineChars="200"/>
        <w:rPr>
          <w:rFonts w:hAnsi="宋体" w:cs="宋体"/>
          <w:color w:val="auto"/>
          <w:highlight w:val="none"/>
        </w:rPr>
      </w:pPr>
      <w:r>
        <w:rPr>
          <w:rFonts w:hint="eastAsia" w:hAnsi="宋体" w:cs="宋体"/>
          <w:color w:val="auto"/>
          <w:highlight w:val="none"/>
        </w:rPr>
        <w:t>根据有关项目建设、廉政建设的规定，为做好项目建设中的党风廉政建设，保证项目建设高效优质，保证建设资金的安全和有效使用以及投资效益，发包人：                  （以下简称甲方）与成交人：              （以下简称乙方），特订立如下合同。</w:t>
      </w:r>
    </w:p>
    <w:p>
      <w:pPr>
        <w:pStyle w:val="26"/>
        <w:ind w:firstLine="482" w:firstLineChars="200"/>
        <w:rPr>
          <w:rFonts w:hAnsi="宋体" w:cs="宋体"/>
          <w:b/>
          <w:bCs/>
          <w:color w:val="auto"/>
          <w:highlight w:val="none"/>
        </w:rPr>
      </w:pPr>
      <w:r>
        <w:rPr>
          <w:rFonts w:hint="eastAsia" w:hAnsi="宋体" w:cs="宋体"/>
          <w:b/>
          <w:bCs/>
          <w:color w:val="auto"/>
          <w:highlight w:val="none"/>
        </w:rPr>
        <w:t>第一条　甲、乙双方的权利和义务</w:t>
      </w:r>
    </w:p>
    <w:p>
      <w:pPr>
        <w:pStyle w:val="26"/>
        <w:ind w:firstLine="480" w:firstLineChars="200"/>
        <w:rPr>
          <w:rFonts w:hAnsi="宋体" w:cs="宋体"/>
          <w:color w:val="auto"/>
          <w:highlight w:val="none"/>
        </w:rPr>
      </w:pPr>
      <w:r>
        <w:rPr>
          <w:rFonts w:hint="eastAsia" w:hAnsi="宋体" w:cs="宋体"/>
          <w:color w:val="auto"/>
          <w:highlight w:val="none"/>
        </w:rPr>
        <w:t>（一）严格遵守党和国家有关法律法规及建设部的有关规定。</w:t>
      </w:r>
    </w:p>
    <w:p>
      <w:pPr>
        <w:pStyle w:val="26"/>
        <w:ind w:firstLine="480" w:firstLineChars="200"/>
        <w:rPr>
          <w:rFonts w:hAnsi="宋体" w:cs="宋体"/>
          <w:color w:val="auto"/>
          <w:highlight w:val="none"/>
        </w:rPr>
      </w:pPr>
      <w:r>
        <w:rPr>
          <w:rFonts w:hint="eastAsia" w:hAnsi="宋体" w:cs="宋体"/>
          <w:color w:val="auto"/>
          <w:highlight w:val="none"/>
        </w:rPr>
        <w:t>（二）严格执行                 合同文件，自觉按合同办事。</w:t>
      </w:r>
    </w:p>
    <w:p>
      <w:pPr>
        <w:pStyle w:val="26"/>
        <w:ind w:firstLine="480" w:firstLineChars="200"/>
        <w:rPr>
          <w:rFonts w:hAnsi="宋体" w:cs="宋体"/>
          <w:color w:val="auto"/>
          <w:highlight w:val="none"/>
        </w:rPr>
      </w:pPr>
      <w:r>
        <w:rPr>
          <w:rFonts w:hint="eastAsia" w:hAnsi="宋体" w:cs="宋体"/>
          <w:color w:val="auto"/>
          <w:highlight w:val="none"/>
        </w:rPr>
        <w:t>（三）双方的业务活动坚持公开、公正、诚信、透明的原则（除法律认定的商业秘密和合同文件另有规定之外），不得损害国家和集体利益，违反项目建设管理规章制度。</w:t>
      </w:r>
    </w:p>
    <w:p>
      <w:pPr>
        <w:pStyle w:val="26"/>
        <w:ind w:firstLine="480" w:firstLineChars="200"/>
        <w:rPr>
          <w:rFonts w:hAnsi="宋体" w:cs="宋体"/>
          <w:color w:val="auto"/>
          <w:highlight w:val="none"/>
        </w:rPr>
      </w:pPr>
      <w:r>
        <w:rPr>
          <w:rFonts w:hint="eastAsia" w:hAnsi="宋体" w:cs="宋体"/>
          <w:color w:val="auto"/>
          <w:highlight w:val="none"/>
        </w:rPr>
        <w:t>（四）建立健全廉政制度，开展廉政教育，设立廉政告示牌，公布举报电话，监督并认真查处违法违纪行为。</w:t>
      </w:r>
    </w:p>
    <w:p>
      <w:pPr>
        <w:pStyle w:val="26"/>
        <w:ind w:firstLine="480" w:firstLineChars="200"/>
        <w:rPr>
          <w:rFonts w:hAnsi="宋体" w:cs="宋体"/>
          <w:color w:val="auto"/>
          <w:highlight w:val="none"/>
        </w:rPr>
      </w:pPr>
      <w:r>
        <w:rPr>
          <w:rFonts w:hint="eastAsia" w:hAnsi="宋体" w:cs="宋体"/>
          <w:color w:val="auto"/>
          <w:highlight w:val="none"/>
        </w:rPr>
        <w:t>（五）发现对方在业务活动中有违反廉政规定的行为，有及时提醒对方纠正的权利和义务。</w:t>
      </w:r>
    </w:p>
    <w:p>
      <w:pPr>
        <w:pStyle w:val="26"/>
        <w:ind w:firstLine="480" w:firstLineChars="200"/>
        <w:rPr>
          <w:rFonts w:hAnsi="宋体" w:cs="宋体"/>
          <w:color w:val="auto"/>
          <w:highlight w:val="none"/>
        </w:rPr>
      </w:pPr>
      <w:r>
        <w:rPr>
          <w:rFonts w:hint="eastAsia" w:hAnsi="宋体" w:cs="宋体"/>
          <w:color w:val="auto"/>
          <w:highlight w:val="none"/>
        </w:rPr>
        <w:t>（六）发现对方严重违反本合同义务条款的行为，有向其上级有关部门举报、建议给予处理并要求告知处理结果的权利。</w:t>
      </w:r>
    </w:p>
    <w:p>
      <w:pPr>
        <w:pStyle w:val="26"/>
        <w:ind w:firstLine="482" w:firstLineChars="200"/>
        <w:rPr>
          <w:rFonts w:hAnsi="宋体" w:cs="宋体"/>
          <w:b/>
          <w:bCs/>
          <w:color w:val="auto"/>
          <w:highlight w:val="none"/>
        </w:rPr>
      </w:pPr>
      <w:r>
        <w:rPr>
          <w:rFonts w:hint="eastAsia" w:hAnsi="宋体" w:cs="宋体"/>
          <w:b/>
          <w:bCs/>
          <w:color w:val="auto"/>
          <w:highlight w:val="none"/>
        </w:rPr>
        <w:t>第二条　甲、乙方的义务</w:t>
      </w:r>
    </w:p>
    <w:p>
      <w:pPr>
        <w:pStyle w:val="26"/>
        <w:ind w:firstLine="480" w:firstLineChars="200"/>
        <w:rPr>
          <w:rFonts w:hAnsi="宋体" w:cs="宋体"/>
          <w:color w:val="auto"/>
          <w:highlight w:val="none"/>
        </w:rPr>
      </w:pPr>
      <w:r>
        <w:rPr>
          <w:rFonts w:hint="eastAsia" w:hAnsi="宋体" w:cs="宋体"/>
          <w:color w:val="auto"/>
          <w:highlight w:val="none"/>
        </w:rPr>
        <w:t>（一）甲方及其工作人员不得索要或接受乙方的礼金、有价证券和贵重物品，不得在乙方报销任何应由甲方或个人支付的费用等。</w:t>
      </w:r>
    </w:p>
    <w:p>
      <w:pPr>
        <w:pStyle w:val="26"/>
        <w:ind w:firstLine="480" w:firstLineChars="200"/>
        <w:rPr>
          <w:rFonts w:hAnsi="宋体" w:cs="宋体"/>
          <w:color w:val="auto"/>
          <w:highlight w:val="none"/>
        </w:rPr>
      </w:pPr>
      <w:r>
        <w:rPr>
          <w:rFonts w:hint="eastAsia" w:hAnsi="宋体" w:cs="宋体"/>
          <w:color w:val="auto"/>
          <w:highlight w:val="none"/>
        </w:rPr>
        <w:t>（二）甲方工作人员不得参加乙方安排的超标准宴请和娱乐活动，不得接受乙方提供的通讯工具、交通工具和高档办公用品等。</w:t>
      </w:r>
    </w:p>
    <w:p>
      <w:pPr>
        <w:pStyle w:val="26"/>
        <w:ind w:firstLine="480" w:firstLineChars="200"/>
        <w:rPr>
          <w:rFonts w:hAnsi="宋体" w:cs="宋体"/>
          <w:color w:val="auto"/>
          <w:highlight w:val="none"/>
        </w:rPr>
      </w:pPr>
      <w:r>
        <w:rPr>
          <w:rFonts w:hint="eastAsia" w:hAnsi="宋体" w:cs="宋体"/>
          <w:color w:val="auto"/>
          <w:highlight w:val="none"/>
        </w:rPr>
        <w:t>（三）甲方及其工作人员不得要求或者接受乙方为其住房装修、婚丧嫁娶活动、配偶子女的工作安排以及出国出境、旅游等提供方便等。</w:t>
      </w:r>
    </w:p>
    <w:p>
      <w:pPr>
        <w:pStyle w:val="26"/>
        <w:ind w:firstLine="480" w:firstLineChars="200"/>
        <w:rPr>
          <w:rFonts w:hAnsi="宋体" w:cs="宋体"/>
          <w:color w:val="auto"/>
          <w:highlight w:val="none"/>
        </w:rPr>
      </w:pPr>
      <w:r>
        <w:rPr>
          <w:rFonts w:hint="eastAsia" w:hAnsi="宋体" w:cs="宋体"/>
          <w:color w:val="auto"/>
          <w:highlight w:val="none"/>
        </w:rPr>
        <w:t>（四）甲方工作人员的配偶、子女不得从事与项目有关的材料设备供应、项目分包、劳务等经济活动等。</w:t>
      </w:r>
    </w:p>
    <w:p>
      <w:pPr>
        <w:pStyle w:val="26"/>
        <w:ind w:firstLine="480" w:firstLineChars="200"/>
        <w:rPr>
          <w:rFonts w:hAnsi="宋体" w:cs="宋体"/>
          <w:color w:val="auto"/>
          <w:highlight w:val="none"/>
        </w:rPr>
      </w:pPr>
      <w:r>
        <w:rPr>
          <w:rFonts w:hint="eastAsia" w:hAnsi="宋体" w:cs="宋体"/>
          <w:color w:val="auto"/>
          <w:highlight w:val="none"/>
        </w:rPr>
        <w:t>（五）甲方及其工作人员不得以任何理由向乙方推荐分包单位，不得要求乙方购买合同外的材料和设备。</w:t>
      </w:r>
    </w:p>
    <w:p>
      <w:pPr>
        <w:pStyle w:val="26"/>
        <w:ind w:firstLine="482" w:firstLineChars="200"/>
        <w:rPr>
          <w:rFonts w:hAnsi="宋体" w:cs="宋体"/>
          <w:b/>
          <w:bCs/>
          <w:color w:val="auto"/>
          <w:highlight w:val="none"/>
        </w:rPr>
      </w:pPr>
      <w:r>
        <w:rPr>
          <w:rFonts w:hint="eastAsia" w:hAnsi="宋体" w:cs="宋体"/>
          <w:b/>
          <w:bCs/>
          <w:color w:val="auto"/>
          <w:highlight w:val="none"/>
        </w:rPr>
        <w:t>第三条　乙方义务</w:t>
      </w:r>
    </w:p>
    <w:p>
      <w:pPr>
        <w:pStyle w:val="26"/>
        <w:ind w:firstLine="480" w:firstLineChars="200"/>
        <w:rPr>
          <w:rFonts w:hAnsi="宋体" w:cs="宋体"/>
          <w:color w:val="auto"/>
          <w:highlight w:val="none"/>
        </w:rPr>
      </w:pPr>
      <w:r>
        <w:rPr>
          <w:rFonts w:hint="eastAsia" w:hAnsi="宋体" w:cs="宋体"/>
          <w:color w:val="auto"/>
          <w:highlight w:val="none"/>
        </w:rPr>
        <w:t>（一）乙方不得以任何理由向甲方及其工作人员行贿或馈赠礼金，有价证券、贵重礼品。</w:t>
      </w:r>
    </w:p>
    <w:p>
      <w:pPr>
        <w:pStyle w:val="26"/>
        <w:ind w:firstLine="480" w:firstLineChars="200"/>
        <w:rPr>
          <w:rFonts w:hAnsi="宋体" w:cs="宋体"/>
          <w:color w:val="auto"/>
          <w:highlight w:val="none"/>
        </w:rPr>
      </w:pPr>
      <w:r>
        <w:rPr>
          <w:rFonts w:hint="eastAsia" w:hAnsi="宋体" w:cs="宋体"/>
          <w:color w:val="auto"/>
          <w:highlight w:val="none"/>
        </w:rPr>
        <w:t>（二）乙方不得以任何名义为甲方及其工作人员报销应由甲方单位或个人支付的任何费用。</w:t>
      </w:r>
    </w:p>
    <w:p>
      <w:pPr>
        <w:pStyle w:val="26"/>
        <w:ind w:firstLine="480" w:firstLineChars="200"/>
        <w:rPr>
          <w:rFonts w:hAnsi="宋体" w:cs="宋体"/>
          <w:color w:val="auto"/>
          <w:highlight w:val="none"/>
        </w:rPr>
      </w:pPr>
      <w:r>
        <w:rPr>
          <w:rFonts w:hint="eastAsia" w:hAnsi="宋体" w:cs="宋体"/>
          <w:color w:val="auto"/>
          <w:highlight w:val="none"/>
        </w:rPr>
        <w:t>（三）乙方不得以任何理由安排甲方工作人员参加超标准宴请及娱乐活动。</w:t>
      </w:r>
    </w:p>
    <w:p>
      <w:pPr>
        <w:pStyle w:val="26"/>
        <w:ind w:firstLine="480" w:firstLineChars="200"/>
        <w:rPr>
          <w:rFonts w:hAnsi="宋体" w:cs="宋体"/>
          <w:color w:val="auto"/>
          <w:highlight w:val="none"/>
        </w:rPr>
      </w:pPr>
      <w:r>
        <w:rPr>
          <w:rFonts w:hint="eastAsia" w:hAnsi="宋体" w:cs="宋体"/>
          <w:color w:val="auto"/>
          <w:highlight w:val="none"/>
        </w:rPr>
        <w:t>（四）乙方不得为甲方单位和个人购置或提供通讯工具、交通工具和高档办公用品等。</w:t>
      </w:r>
    </w:p>
    <w:p>
      <w:pPr>
        <w:pStyle w:val="26"/>
        <w:ind w:firstLine="482" w:firstLineChars="200"/>
        <w:rPr>
          <w:rFonts w:hAnsi="宋体" w:cs="宋体"/>
          <w:b/>
          <w:bCs/>
          <w:color w:val="auto"/>
          <w:highlight w:val="none"/>
        </w:rPr>
      </w:pPr>
      <w:r>
        <w:rPr>
          <w:rFonts w:hint="eastAsia" w:hAnsi="宋体" w:cs="宋体"/>
          <w:b/>
          <w:bCs/>
          <w:color w:val="auto"/>
          <w:highlight w:val="none"/>
        </w:rPr>
        <w:t>第四条　违约责任</w:t>
      </w:r>
    </w:p>
    <w:p>
      <w:pPr>
        <w:pStyle w:val="26"/>
        <w:ind w:firstLine="480" w:firstLineChars="200"/>
        <w:rPr>
          <w:rFonts w:hAnsi="宋体" w:cs="宋体"/>
          <w:color w:val="auto"/>
          <w:highlight w:val="none"/>
        </w:rPr>
      </w:pPr>
      <w:r>
        <w:rPr>
          <w:rFonts w:hint="eastAsia" w:hAnsi="宋体" w:cs="宋体"/>
          <w:color w:val="auto"/>
          <w:highlight w:val="none"/>
        </w:rPr>
        <w:t>（一）甲方及其工作人员违反本合同第一、二条，按管理权限，依据有关规定给予党纪、政纪或组织处理；涉嫌犯罪的，移交司法机关追究刑事责任；给乙方单位造成经济损失的，应予以赔偿。</w:t>
      </w:r>
    </w:p>
    <w:p>
      <w:pPr>
        <w:pStyle w:val="26"/>
        <w:ind w:firstLine="480" w:firstLineChars="200"/>
        <w:rPr>
          <w:rFonts w:hAnsi="宋体" w:cs="宋体"/>
          <w:color w:val="auto"/>
          <w:highlight w:val="none"/>
        </w:rPr>
      </w:pPr>
      <w:r>
        <w:rPr>
          <w:rFonts w:hint="eastAsia" w:hAnsi="宋体" w:cs="宋体"/>
          <w:color w:val="auto"/>
          <w:highlight w:val="none"/>
        </w:rPr>
        <w:t>（二）乙方及其工作人员违反本合同第一、三条，按管理权限，依据有关规定，给予党纪、政纪或组织处理；给甲方单位造成经济损失的，应予以赔偿；情节严重的，甲方建议项目建设主管部门给予乙方一至三年内不得进入其主管的工程建筑市场的处罚。</w:t>
      </w:r>
    </w:p>
    <w:p>
      <w:pPr>
        <w:pStyle w:val="26"/>
        <w:ind w:firstLine="482" w:firstLineChars="200"/>
        <w:rPr>
          <w:rFonts w:hAnsi="宋体" w:cs="宋体"/>
          <w:b/>
          <w:bCs/>
          <w:color w:val="auto"/>
          <w:highlight w:val="none"/>
        </w:rPr>
      </w:pPr>
      <w:r>
        <w:rPr>
          <w:rFonts w:hint="eastAsia" w:hAnsi="宋体" w:cs="宋体"/>
          <w:b/>
          <w:bCs/>
          <w:color w:val="auto"/>
          <w:highlight w:val="none"/>
        </w:rPr>
        <w:t>第五条　四方约定</w:t>
      </w:r>
    </w:p>
    <w:p>
      <w:pPr>
        <w:pStyle w:val="26"/>
        <w:ind w:firstLine="480" w:firstLineChars="200"/>
        <w:rPr>
          <w:rFonts w:hAnsi="宋体" w:cs="宋体"/>
          <w:color w:val="auto"/>
          <w:highlight w:val="none"/>
        </w:rPr>
      </w:pPr>
      <w:r>
        <w:rPr>
          <w:rFonts w:hint="eastAsia" w:hAnsi="宋体" w:cs="宋体"/>
          <w:color w:val="auto"/>
          <w:highlight w:val="none"/>
        </w:rPr>
        <w:t>本合同由各方或各方上级单位的纪检监察机关负责监督。由甲方或甲方上级单位的纪检监察机关约请乙方或乙方上级单位纪检监察机关对本合同履行情况进行检查提出在本合同规定范围内的裁定意见。</w:t>
      </w:r>
    </w:p>
    <w:p>
      <w:pPr>
        <w:pStyle w:val="26"/>
        <w:ind w:firstLine="482" w:firstLineChars="200"/>
        <w:rPr>
          <w:rFonts w:hAnsi="宋体" w:cs="宋体"/>
          <w:color w:val="auto"/>
          <w:highlight w:val="none"/>
        </w:rPr>
      </w:pPr>
      <w:r>
        <w:rPr>
          <w:rFonts w:hint="eastAsia" w:hAnsi="宋体" w:cs="宋体"/>
          <w:b/>
          <w:bCs/>
          <w:color w:val="auto"/>
          <w:highlight w:val="none"/>
        </w:rPr>
        <w:t>第六条</w:t>
      </w:r>
      <w:r>
        <w:rPr>
          <w:rFonts w:hint="eastAsia" w:hAnsi="宋体" w:cs="宋体"/>
          <w:color w:val="auto"/>
          <w:highlight w:val="none"/>
        </w:rPr>
        <w:t>　本合同有效期为甲乙双方签署之日起至该工程项目竣工验收后止。</w:t>
      </w:r>
    </w:p>
    <w:p>
      <w:pPr>
        <w:pStyle w:val="26"/>
        <w:ind w:firstLine="482" w:firstLineChars="200"/>
        <w:rPr>
          <w:rFonts w:hAnsi="宋体" w:cs="宋体"/>
          <w:color w:val="auto"/>
          <w:highlight w:val="none"/>
        </w:rPr>
      </w:pPr>
      <w:r>
        <w:rPr>
          <w:rFonts w:hint="eastAsia" w:hAnsi="宋体" w:cs="宋体"/>
          <w:b/>
          <w:bCs/>
          <w:color w:val="auto"/>
          <w:highlight w:val="none"/>
        </w:rPr>
        <w:t>第七条</w:t>
      </w:r>
      <w:r>
        <w:rPr>
          <w:rFonts w:hint="eastAsia" w:hAnsi="宋体" w:cs="宋体"/>
          <w:color w:val="auto"/>
          <w:highlight w:val="none"/>
        </w:rPr>
        <w:t>　本合同作为                          合同的附件，与项目施工合同具有同等的法律效力，经合同双方签署立即生效。</w:t>
      </w:r>
    </w:p>
    <w:p>
      <w:pPr>
        <w:pStyle w:val="26"/>
        <w:ind w:firstLine="482" w:firstLineChars="200"/>
        <w:rPr>
          <w:rFonts w:hAnsi="宋体" w:cs="宋体"/>
          <w:color w:val="auto"/>
          <w:highlight w:val="none"/>
        </w:rPr>
      </w:pPr>
      <w:r>
        <w:rPr>
          <w:rFonts w:hint="eastAsia" w:hAnsi="宋体" w:cs="宋体"/>
          <w:b/>
          <w:bCs/>
          <w:color w:val="auto"/>
          <w:highlight w:val="none"/>
        </w:rPr>
        <w:t>第八条</w:t>
      </w:r>
      <w:r>
        <w:rPr>
          <w:rFonts w:hint="eastAsia" w:hAnsi="宋体" w:cs="宋体"/>
          <w:color w:val="auto"/>
          <w:highlight w:val="none"/>
        </w:rPr>
        <w:t>　本合同甲、乙双方各执贰份，由发包方、承包方双方签章并加盖公章后生效。</w:t>
      </w:r>
    </w:p>
    <w:p>
      <w:pPr>
        <w:pStyle w:val="26"/>
        <w:rPr>
          <w:rFonts w:hAnsi="宋体" w:cs="宋体"/>
          <w:color w:val="auto"/>
          <w:highlight w:val="none"/>
        </w:rPr>
      </w:pPr>
    </w:p>
    <w:p>
      <w:pPr>
        <w:pStyle w:val="26"/>
        <w:rPr>
          <w:rFonts w:hAnsi="宋体" w:cs="宋体"/>
          <w:color w:val="auto"/>
          <w:highlight w:val="none"/>
        </w:rPr>
      </w:pPr>
    </w:p>
    <w:p>
      <w:pPr>
        <w:pStyle w:val="26"/>
        <w:ind w:firstLine="480" w:firstLineChars="200"/>
        <w:rPr>
          <w:rFonts w:hAnsi="宋体" w:cs="宋体"/>
          <w:color w:val="auto"/>
          <w:highlight w:val="none"/>
        </w:rPr>
      </w:pPr>
      <w:r>
        <w:rPr>
          <w:rFonts w:hint="eastAsia" w:hAnsi="宋体" w:cs="宋体"/>
          <w:color w:val="auto"/>
          <w:highlight w:val="none"/>
        </w:rPr>
        <w:t xml:space="preserve">甲方（盖公章）：                                                                            </w:t>
      </w:r>
    </w:p>
    <w:p>
      <w:pPr>
        <w:pStyle w:val="26"/>
        <w:ind w:firstLine="480" w:firstLineChars="200"/>
        <w:rPr>
          <w:rFonts w:hAnsi="宋体" w:cs="宋体"/>
          <w:color w:val="auto"/>
          <w:highlight w:val="none"/>
        </w:rPr>
      </w:pPr>
      <w:r>
        <w:rPr>
          <w:rFonts w:hint="eastAsia" w:hAnsi="宋体" w:cs="宋体"/>
          <w:color w:val="auto"/>
          <w:highlight w:val="none"/>
        </w:rPr>
        <w:t xml:space="preserve">法定代表人或代表人（签章）：    </w:t>
      </w:r>
    </w:p>
    <w:p>
      <w:pPr>
        <w:pStyle w:val="26"/>
        <w:ind w:firstLine="480" w:firstLineChars="200"/>
        <w:rPr>
          <w:rFonts w:hAnsi="宋体" w:cs="宋体"/>
          <w:color w:val="auto"/>
          <w:highlight w:val="none"/>
        </w:rPr>
      </w:pPr>
    </w:p>
    <w:p>
      <w:pPr>
        <w:pStyle w:val="26"/>
        <w:ind w:firstLine="480" w:firstLineChars="200"/>
        <w:rPr>
          <w:rFonts w:hAnsi="宋体" w:cs="宋体"/>
          <w:color w:val="auto"/>
          <w:highlight w:val="none"/>
        </w:rPr>
      </w:pPr>
    </w:p>
    <w:p>
      <w:pPr>
        <w:pStyle w:val="26"/>
        <w:ind w:firstLine="480" w:firstLineChars="200"/>
        <w:rPr>
          <w:rFonts w:hAnsi="宋体" w:cs="宋体"/>
          <w:color w:val="auto"/>
          <w:highlight w:val="none"/>
        </w:rPr>
      </w:pPr>
      <w:r>
        <w:rPr>
          <w:rFonts w:hint="eastAsia" w:hAnsi="宋体" w:cs="宋体"/>
          <w:color w:val="auto"/>
          <w:highlight w:val="none"/>
        </w:rPr>
        <w:t xml:space="preserve">乙方（盖公章）：                                                                            </w:t>
      </w:r>
    </w:p>
    <w:p>
      <w:pPr>
        <w:pStyle w:val="26"/>
        <w:ind w:firstLine="480" w:firstLineChars="200"/>
        <w:rPr>
          <w:rFonts w:hAnsi="宋体" w:cs="宋体"/>
          <w:color w:val="auto"/>
          <w:highlight w:val="none"/>
        </w:rPr>
      </w:pPr>
      <w:r>
        <w:rPr>
          <w:rFonts w:hint="eastAsia" w:hAnsi="宋体" w:cs="宋体"/>
          <w:color w:val="auto"/>
          <w:highlight w:val="none"/>
        </w:rPr>
        <w:t xml:space="preserve">法定代表人或代表人（签章）：                         </w:t>
      </w:r>
    </w:p>
    <w:p>
      <w:pPr>
        <w:pStyle w:val="26"/>
        <w:ind w:firstLine="480" w:firstLineChars="200"/>
        <w:rPr>
          <w:rFonts w:hAnsi="宋体" w:cs="宋体"/>
          <w:color w:val="auto"/>
          <w:highlight w:val="none"/>
        </w:rPr>
      </w:pPr>
    </w:p>
    <w:p>
      <w:pPr>
        <w:pStyle w:val="26"/>
        <w:ind w:firstLine="480" w:firstLineChars="200"/>
        <w:rPr>
          <w:rFonts w:hAnsi="宋体" w:cs="宋体"/>
          <w:color w:val="auto"/>
          <w:highlight w:val="none"/>
        </w:rPr>
      </w:pPr>
      <w:r>
        <w:rPr>
          <w:rFonts w:hint="eastAsia" w:hAnsi="宋体" w:cs="宋体"/>
          <w:color w:val="auto"/>
          <w:highlight w:val="none"/>
        </w:rPr>
        <w:t>签订日期:     年   月   日</w:t>
      </w:r>
    </w:p>
    <w:p>
      <w:pPr>
        <w:spacing w:line="470" w:lineRule="exact"/>
        <w:rPr>
          <w:rFonts w:ascii="宋体" w:hAnsi="宋体" w:cs="宋体"/>
          <w:color w:val="auto"/>
          <w:highlight w:val="none"/>
        </w:rPr>
      </w:pPr>
      <w:r>
        <w:rPr>
          <w:rFonts w:hint="eastAsia" w:ascii="宋体" w:hAnsi="宋体" w:cs="宋体"/>
          <w:color w:val="auto"/>
          <w:highlight w:val="none"/>
        </w:rPr>
        <w:br w:type="page"/>
      </w:r>
    </w:p>
    <w:p>
      <w:pPr>
        <w:rPr>
          <w:rFonts w:ascii="宋体" w:hAnsi="宋体" w:cs="宋体"/>
          <w:color w:val="auto"/>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ascii="宋体" w:hAnsi="宋体" w:cs="宋体"/>
          <w:b/>
          <w:color w:val="auto"/>
          <w:kern w:val="0"/>
          <w:sz w:val="36"/>
          <w:szCs w:val="36"/>
          <w:highlight w:val="none"/>
        </w:rPr>
      </w:pPr>
      <w:r>
        <w:rPr>
          <w:rFonts w:hint="eastAsia" w:ascii="宋体" w:hAnsi="宋体" w:eastAsia="宋体" w:cs="宋体"/>
          <w:color w:val="auto"/>
          <w:sz w:val="24"/>
          <w:highlight w:val="none"/>
        </w:rPr>
        <w:t>（根据交易公告本项目的特定资格要求提供相应的材料；未要求的，无需提供）</w:t>
      </w: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6"/>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w:t>
      </w:r>
    </w:p>
    <w:p>
      <w:pPr>
        <w:jc w:val="right"/>
        <w:rPr>
          <w:rFonts w:hint="eastAsia" w:ascii="宋体" w:hAnsi="宋体" w:eastAsia="宋体" w:cs="宋体"/>
          <w:color w:val="auto"/>
          <w:kern w:val="0"/>
          <w:sz w:val="24"/>
          <w:highlight w:val="none"/>
          <w:lang w:val="zh-CN"/>
        </w:rPr>
      </w:pPr>
    </w:p>
    <w:p>
      <w:pPr>
        <w:spacing w:line="360" w:lineRule="auto"/>
        <w:jc w:val="center"/>
        <w:rPr>
          <w:rFonts w:ascii="宋体" w:hAnsi="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5"/>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3"/>
        <w:rPr>
          <w:rFonts w:hAnsi="宋体" w:cs="宋体"/>
          <w:b/>
          <w:color w:val="auto"/>
          <w:kern w:val="0"/>
          <w:sz w:val="32"/>
          <w:szCs w:val="32"/>
          <w:highlight w:val="none"/>
        </w:rPr>
      </w:pPr>
    </w:p>
    <w:p>
      <w:pPr>
        <w:pStyle w:val="53"/>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上级部门</w:t>
      </w:r>
      <w:r>
        <w:rPr>
          <w:rFonts w:hint="eastAsia" w:ascii="宋体" w:hAnsi="宋体" w:cs="宋体"/>
          <w:color w:val="auto"/>
          <w:kern w:val="0"/>
          <w:sz w:val="24"/>
          <w:highlight w:val="none"/>
          <w:lang w:val="zh-CN"/>
        </w:rPr>
        <w:t>。由此引起的相应损失均由我单位承担。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footerReference r:id="rId10" w:type="first"/>
          <w:footerReference r:id="rId9" w:type="default"/>
          <w:pgSz w:w="11906" w:h="16838"/>
          <w:pgMar w:top="1247" w:right="1417" w:bottom="1247" w:left="1417" w:header="851" w:footer="992" w:gutter="0"/>
          <w:pgNumType w:start="2"/>
          <w:cols w:space="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rPr>
          <w:rFonts w:hint="eastAsia" w:ascii="宋体" w:hAnsi="宋体" w:eastAsia="宋体" w:cs="宋体"/>
          <w:color w:val="auto"/>
          <w:sz w:val="24"/>
          <w:highlight w:val="none"/>
          <w:lang w:val="en-US" w:eastAsia="zh-CN"/>
        </w:rPr>
        <w:sectPr>
          <w:headerReference r:id="rId12" w:type="first"/>
          <w:footerReference r:id="rId14" w:type="first"/>
          <w:headerReference r:id="rId11" w:type="default"/>
          <w:footerReference r:id="rId13" w:type="default"/>
          <w:pgSz w:w="11906" w:h="16838"/>
          <w:pgMar w:top="1247" w:right="1417" w:bottom="1247" w:left="1417" w:header="851" w:footer="992" w:gutter="0"/>
          <w:cols w:space="0" w:num="1"/>
          <w:titlePg/>
          <w:docGrid w:linePitch="312" w:charSpace="0"/>
        </w:sectPr>
      </w:pP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6"/>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16"/>
        <w:gridCol w:w="5957"/>
        <w:gridCol w:w="277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序号</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名称</w:t>
            </w:r>
          </w:p>
        </w:tc>
        <w:tc>
          <w:tcPr>
            <w:tcW w:w="5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bCs w:val="0"/>
                <w:color w:val="auto"/>
                <w:sz w:val="24"/>
                <w:highlight w:val="none"/>
              </w:rPr>
              <w:t>人员配备</w:t>
            </w:r>
          </w:p>
        </w:tc>
        <w:tc>
          <w:tcPr>
            <w:tcW w:w="2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val="0"/>
                <w:color w:val="auto"/>
                <w:sz w:val="24"/>
                <w:highlight w:val="none"/>
              </w:rPr>
            </w:pPr>
            <w:r>
              <w:rPr>
                <w:rFonts w:hint="eastAsia" w:ascii="宋体" w:hAnsi="宋体" w:cs="宋体"/>
                <w:b/>
                <w:color w:val="auto"/>
                <w:sz w:val="24"/>
                <w:highlight w:val="none"/>
              </w:rPr>
              <w:t>投标报价</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val="0"/>
                <w:color w:val="auto"/>
                <w:sz w:val="24"/>
                <w:highlight w:val="none"/>
                <w:lang w:val="en-US" w:eastAsia="zh-CN"/>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资产运营领域</w:t>
            </w:r>
          </w:p>
        </w:tc>
        <w:tc>
          <w:tcPr>
            <w:tcW w:w="5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注册安全工程师、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p>
        </w:tc>
        <w:tc>
          <w:tcPr>
            <w:tcW w:w="2778" w:type="dxa"/>
            <w:vMerge w:val="restart"/>
            <w:tcBorders>
              <w:top w:val="single" w:color="auto" w:sz="4" w:space="0"/>
              <w:left w:val="single" w:color="auto" w:sz="4" w:space="0"/>
              <w:right w:val="single" w:color="auto" w:sz="4" w:space="0"/>
            </w:tcBorders>
            <w:vAlign w:val="center"/>
          </w:tcPr>
          <w:p>
            <w:pPr>
              <w:jc w:val="center"/>
              <w:rPr>
                <w:rFonts w:hint="default" w:ascii="宋体" w:hAnsi="宋体" w:cs="宋体"/>
                <w:color w:val="auto"/>
                <w:sz w:val="24"/>
                <w:highlight w:val="none"/>
                <w:u w:val="single"/>
                <w:lang w:val="en-US"/>
              </w:rPr>
            </w:pPr>
            <w:r>
              <w:rPr>
                <w:rFonts w:hint="eastAsia" w:ascii="宋体" w:hAnsi="宋体" w:cs="宋体"/>
                <w:bCs/>
                <w:color w:val="auto"/>
                <w:sz w:val="24"/>
                <w:highlight w:val="none"/>
                <w:u w:val="single"/>
                <w:lang w:val="en-US" w:eastAsia="zh-CN"/>
              </w:rPr>
              <w:t>统一折扣：    %</w:t>
            </w:r>
          </w:p>
        </w:tc>
        <w:tc>
          <w:tcPr>
            <w:tcW w:w="140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生产运行领域</w:t>
            </w:r>
          </w:p>
        </w:tc>
        <w:tc>
          <w:tcPr>
            <w:tcW w:w="5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注册安全工程师、安全评价师、</w:t>
            </w:r>
            <w:r>
              <w:rPr>
                <w:rFonts w:hint="eastAsia" w:ascii="宋体" w:hAnsi="宋体" w:cs="宋体"/>
                <w:color w:val="auto"/>
                <w:sz w:val="24"/>
                <w:highlight w:val="none"/>
                <w:lang w:eastAsia="zh-CN"/>
              </w:rPr>
              <w:t>一级</w:t>
            </w:r>
            <w:r>
              <w:rPr>
                <w:rFonts w:hint="eastAsia" w:ascii="宋体" w:hAnsi="宋体" w:cs="宋体"/>
                <w:color w:val="auto"/>
                <w:sz w:val="24"/>
                <w:highlight w:val="none"/>
              </w:rPr>
              <w:t>注册消防工程师</w:t>
            </w:r>
            <w:r>
              <w:rPr>
                <w:rFonts w:hint="eastAsia" w:ascii="宋体" w:hAnsi="宋体" w:cs="宋体"/>
                <w:color w:val="auto"/>
                <w:sz w:val="24"/>
                <w:highlight w:val="none"/>
                <w:lang w:eastAsia="zh-CN"/>
              </w:rPr>
              <w:t>、标准化评审员</w:t>
            </w:r>
          </w:p>
        </w:tc>
        <w:tc>
          <w:tcPr>
            <w:tcW w:w="2778" w:type="dxa"/>
            <w:vMerge w:val="continue"/>
            <w:tcBorders>
              <w:left w:val="single" w:color="auto" w:sz="4" w:space="0"/>
              <w:right w:val="single" w:color="auto" w:sz="4" w:space="0"/>
            </w:tcBorders>
            <w:vAlign w:val="center"/>
          </w:tcPr>
          <w:p>
            <w:pPr>
              <w:jc w:val="center"/>
              <w:rPr>
                <w:rFonts w:ascii="宋体" w:hAnsi="宋体" w:cs="宋体"/>
                <w:color w:val="auto"/>
                <w:sz w:val="24"/>
                <w:highlight w:val="none"/>
                <w:u w:val="single"/>
              </w:rPr>
            </w:pPr>
          </w:p>
        </w:tc>
        <w:tc>
          <w:tcPr>
            <w:tcW w:w="1409"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3、该报价含工资、福利、法定节假日加班费、社会保险费、意外保险费、服装费、管理费、利润、风险费、税费以及其它等一切费用。</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4、以上人数为暂定数，具体以项目推进程度，按实配置人员，费用按实结算。</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5、特别说明：▲供应商报价低于项目预算50%的，应当在报价文件中详细阐述不影响服务质量或者诚信履约的具体原因，未做阐述说明的，投标无效。</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投诉人于年月日,向提出异议，异议事项为：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于年月日,就异议事项作出了答复/没有在法定期限内作出答复。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6" w:type="first"/>
      <w:footerReference r:id="rId19" w:type="first"/>
      <w:headerReference r:id="rId15" w:type="default"/>
      <w:footerReference r:id="rId17" w:type="default"/>
      <w:footerReference r:id="rId18"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7A0"/>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1BC"/>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8B7"/>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CB9"/>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F1D"/>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6DC"/>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AC0"/>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85D"/>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A54"/>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0C7"/>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63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07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02521"/>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632B2"/>
    <w:rsid w:val="05507636"/>
    <w:rsid w:val="05770BD6"/>
    <w:rsid w:val="058806C7"/>
    <w:rsid w:val="05A16594"/>
    <w:rsid w:val="05A7762D"/>
    <w:rsid w:val="05BF4603"/>
    <w:rsid w:val="05C04DC2"/>
    <w:rsid w:val="060E44DF"/>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1D0314"/>
    <w:rsid w:val="0B240D92"/>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5397A"/>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64D3A"/>
    <w:rsid w:val="0E6D5D79"/>
    <w:rsid w:val="0E6F14E6"/>
    <w:rsid w:val="0E9B5E39"/>
    <w:rsid w:val="0E9D0089"/>
    <w:rsid w:val="0EB803EE"/>
    <w:rsid w:val="0EF94D4B"/>
    <w:rsid w:val="0F0B13B6"/>
    <w:rsid w:val="0F182768"/>
    <w:rsid w:val="0F44355D"/>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3B5E8C"/>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4FA277D"/>
    <w:rsid w:val="150536C3"/>
    <w:rsid w:val="150C1963"/>
    <w:rsid w:val="151447A0"/>
    <w:rsid w:val="154A6454"/>
    <w:rsid w:val="15762120"/>
    <w:rsid w:val="15844A86"/>
    <w:rsid w:val="1586383D"/>
    <w:rsid w:val="15C1630E"/>
    <w:rsid w:val="15F56AC3"/>
    <w:rsid w:val="160808BB"/>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1D1E16"/>
    <w:rsid w:val="192E0FC4"/>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A747D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2C27B9"/>
    <w:rsid w:val="254F52B1"/>
    <w:rsid w:val="25571FF4"/>
    <w:rsid w:val="257D4C69"/>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941E19"/>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750CA"/>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1A5C6F"/>
    <w:rsid w:val="38296C89"/>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105946"/>
    <w:rsid w:val="3C30137C"/>
    <w:rsid w:val="3C3A44D8"/>
    <w:rsid w:val="3C471448"/>
    <w:rsid w:val="3C556941"/>
    <w:rsid w:val="3C5F759A"/>
    <w:rsid w:val="3C616601"/>
    <w:rsid w:val="3C6C525A"/>
    <w:rsid w:val="3CA60D3D"/>
    <w:rsid w:val="3CBD7B84"/>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2E6C"/>
    <w:rsid w:val="4B9739F7"/>
    <w:rsid w:val="4B974368"/>
    <w:rsid w:val="4B9A6B21"/>
    <w:rsid w:val="4B9C1FA2"/>
    <w:rsid w:val="4BE96C25"/>
    <w:rsid w:val="4BEE2503"/>
    <w:rsid w:val="4BF80D38"/>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A8462C"/>
    <w:rsid w:val="4EC569ED"/>
    <w:rsid w:val="4ED50EA1"/>
    <w:rsid w:val="4EEC050C"/>
    <w:rsid w:val="4EF833C6"/>
    <w:rsid w:val="4F104EC3"/>
    <w:rsid w:val="4F47354A"/>
    <w:rsid w:val="4F911C54"/>
    <w:rsid w:val="4FE625E0"/>
    <w:rsid w:val="4FED5402"/>
    <w:rsid w:val="5021480F"/>
    <w:rsid w:val="504A249D"/>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019E2"/>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2D3934"/>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1A154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3D2237"/>
    <w:rsid w:val="65792022"/>
    <w:rsid w:val="65854376"/>
    <w:rsid w:val="658767BE"/>
    <w:rsid w:val="65882CD5"/>
    <w:rsid w:val="65892531"/>
    <w:rsid w:val="65E616BA"/>
    <w:rsid w:val="65E92921"/>
    <w:rsid w:val="66153939"/>
    <w:rsid w:val="66195831"/>
    <w:rsid w:val="662E75B1"/>
    <w:rsid w:val="66342C2E"/>
    <w:rsid w:val="663E784C"/>
    <w:rsid w:val="66551A38"/>
    <w:rsid w:val="666D1F69"/>
    <w:rsid w:val="667133EA"/>
    <w:rsid w:val="668B6A45"/>
    <w:rsid w:val="66DE04FB"/>
    <w:rsid w:val="66F85C8F"/>
    <w:rsid w:val="670407C0"/>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7B05DE"/>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0158E"/>
    <w:rsid w:val="6B573233"/>
    <w:rsid w:val="6B5B6274"/>
    <w:rsid w:val="6B694FD4"/>
    <w:rsid w:val="6B710BD6"/>
    <w:rsid w:val="6B935D53"/>
    <w:rsid w:val="6C196F71"/>
    <w:rsid w:val="6C226FCB"/>
    <w:rsid w:val="6C31226F"/>
    <w:rsid w:val="6C340BCC"/>
    <w:rsid w:val="6C390C24"/>
    <w:rsid w:val="6C552F0B"/>
    <w:rsid w:val="6C62797A"/>
    <w:rsid w:val="6C8C2DF7"/>
    <w:rsid w:val="6C8C67B7"/>
    <w:rsid w:val="6C9D744C"/>
    <w:rsid w:val="6CBB49F3"/>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082E"/>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3F30EC4"/>
    <w:rsid w:val="73F87727"/>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3C0C94"/>
    <w:rsid w:val="79404FE3"/>
    <w:rsid w:val="797C7409"/>
    <w:rsid w:val="797E66A9"/>
    <w:rsid w:val="79A97383"/>
    <w:rsid w:val="79E27E8B"/>
    <w:rsid w:val="79F850CE"/>
    <w:rsid w:val="79FD443C"/>
    <w:rsid w:val="7A1D1975"/>
    <w:rsid w:val="7A3902E6"/>
    <w:rsid w:val="7A3E5150"/>
    <w:rsid w:val="7A4670D6"/>
    <w:rsid w:val="7A487052"/>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94EF4"/>
    <w:rsid w:val="7DEF0916"/>
    <w:rsid w:val="7E1E5218"/>
    <w:rsid w:val="7E7514D4"/>
    <w:rsid w:val="7E9A1632"/>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0"/>
    <w:qFormat/>
    <w:uiPriority w:val="0"/>
    <w:pPr>
      <w:spacing w:line="480" w:lineRule="exact"/>
      <w:ind w:firstLine="480" w:firstLineChars="200"/>
    </w:pPr>
    <w:rPr>
      <w:rFonts w:ascii="宋体" w:hAnsi="宋体"/>
      <w:sz w:val="24"/>
    </w:rPr>
  </w:style>
  <w:style w:type="paragraph" w:customStyle="1" w:styleId="3">
    <w:name w:val="正文文本首行缩进 21"/>
    <w:basedOn w:val="2"/>
    <w:qFormat/>
    <w:uiPriority w:val="99"/>
    <w:pPr>
      <w:spacing w:line="200" w:lineRule="atLeast"/>
      <w:ind w:firstLine="420"/>
    </w:pPr>
    <w:rPr>
      <w:rFonts w:hAnsi="Courier New"/>
      <w:spacing w:val="-4"/>
      <w:sz w:val="18"/>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2"/>
    <w:link w:val="199"/>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31"/>
    <w:qFormat/>
    <w:uiPriority w:val="0"/>
    <w:rPr>
      <w:rFonts w:ascii="宋体" w:hAnsi="Courier New" w:cs="Arial"/>
      <w:snapToGrid w:val="0"/>
      <w:szCs w:val="21"/>
    </w:rPr>
  </w:style>
  <w:style w:type="paragraph" w:styleId="35">
    <w:name w:val="Date"/>
    <w:basedOn w:val="1"/>
    <w:next w:val="1"/>
    <w:link w:val="187"/>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2"/>
    <w:qFormat/>
    <w:uiPriority w:val="0"/>
    <w:rPr>
      <w:b/>
      <w:bCs/>
    </w:rPr>
  </w:style>
  <w:style w:type="paragraph" w:styleId="63">
    <w:name w:val="Body Text First Indent"/>
    <w:basedOn w:val="26"/>
    <w:next w:val="53"/>
    <w:link w:val="326"/>
    <w:qFormat/>
    <w:uiPriority w:val="0"/>
    <w:pPr>
      <w:ind w:firstLine="420"/>
    </w:pPr>
    <w:rPr>
      <w:rFonts w:hAnsi="Calibri" w:cs="Times New Roman"/>
      <w:snapToGrid/>
      <w:szCs w:val="20"/>
    </w:rPr>
  </w:style>
  <w:style w:type="paragraph" w:styleId="64">
    <w:name w:val="Body Text First Indent 2"/>
    <w:basedOn w:val="2"/>
    <w:next w:val="65"/>
    <w:link w:val="127"/>
    <w:qFormat/>
    <w:uiPriority w:val="0"/>
    <w:pPr>
      <w:adjustRightInd/>
      <w:spacing w:after="120" w:line="240" w:lineRule="auto"/>
      <w:ind w:left="420" w:leftChars="200" w:firstLine="210"/>
    </w:pPr>
    <w:rPr>
      <w:sz w:val="21"/>
    </w:rPr>
  </w:style>
  <w:style w:type="paragraph" w:customStyle="1" w:styleId="6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首行缩进1"/>
    <w:basedOn w:val="26"/>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4"/>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3"/>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4"/>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9"/>
    <w:qFormat/>
    <w:uiPriority w:val="0"/>
    <w:rPr>
      <w:rFonts w:ascii="黑体" w:hAnsi="Courier New" w:eastAsia="黑体"/>
    </w:rPr>
  </w:style>
  <w:style w:type="character" w:customStyle="1" w:styleId="307">
    <w:name w:val="正文文本 2 Char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0"/>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3"/>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4"/>
    <w:next w:val="84"/>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4"/>
    <w:next w:val="84"/>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1"/>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7"/>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3"/>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lang w:val="en-US" w:eastAsia="zh-CN"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5">
    <w:name w:val="_Style 2"/>
    <w:basedOn w:val="1"/>
    <w:qFormat/>
    <w:uiPriority w:val="0"/>
    <w:pPr>
      <w:ind w:firstLine="200" w:firstLineChars="200"/>
    </w:pPr>
    <w:rPr>
      <w:rFonts w:ascii="Calibri" w:hAnsi="Calibri"/>
      <w:sz w:val="28"/>
      <w:szCs w:val="22"/>
    </w:rPr>
  </w:style>
  <w:style w:type="paragraph" w:customStyle="1" w:styleId="976">
    <w:name w:val="列出段落6"/>
    <w:basedOn w:val="1"/>
    <w:qFormat/>
    <w:uiPriority w:val="99"/>
    <w:pPr>
      <w:ind w:firstLine="42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19001</Words>
  <Characters>19973</Characters>
  <Lines>164</Lines>
  <Paragraphs>46</Paragraphs>
  <TotalTime>21</TotalTime>
  <ScaleCrop>false</ScaleCrop>
  <LinksUpToDate>false</LinksUpToDate>
  <CharactersWithSpaces>21080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2024-11-28T03:23:00Z</cp:lastPrinted>
  <dcterms:modified xsi:type="dcterms:W3CDTF">2025-01-08T01:24:03Z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1F8ABD01B5224E869942DF71ED8E414A</vt:lpwstr>
  </property>
  <property fmtid="{D5CDD505-2E9C-101B-9397-08002B2CF9AE}" pid="5" name="commondata">
    <vt:lpwstr>eyJoZGlkIjoiMzdkYTNjODAzOWEyZTBjZWI2OWE0Y2U2MTNhOGNiNmUifQ==</vt:lpwstr>
  </property>
</Properties>
</file>