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lang w:eastAsia="zh-CN"/>
        </w:rPr>
      </w:pPr>
    </w:p>
    <w:p>
      <w:pPr>
        <w:pStyle w:val="970"/>
        <w:spacing w:line="760" w:lineRule="exact"/>
        <w:rPr>
          <w:rFonts w:hint="eastAsia" w:ascii="宋体" w:hAnsi="宋体" w:eastAsia="宋体" w:cs="宋体"/>
          <w:color w:val="auto"/>
          <w:sz w:val="72"/>
          <w:szCs w:val="72"/>
          <w:highlight w:val="none"/>
        </w:rPr>
      </w:pPr>
    </w:p>
    <w:p>
      <w:pPr>
        <w:pStyle w:val="25"/>
        <w:jc w:val="center"/>
        <w:rPr>
          <w:rFonts w:hint="eastAsia" w:ascii="宋体" w:hAnsi="宋体" w:eastAsia="宋体" w:cs="宋体"/>
          <w:b/>
          <w:bCs/>
          <w:color w:val="auto"/>
          <w:sz w:val="52"/>
          <w:szCs w:val="52"/>
          <w:highlight w:val="none"/>
          <w:lang w:val="en-US" w:eastAsia="zh-CN"/>
        </w:rPr>
      </w:pPr>
      <w:r>
        <w:rPr>
          <w:rFonts w:hint="eastAsia" w:hAnsi="宋体" w:cs="宋体"/>
          <w:b/>
          <w:bCs/>
          <w:color w:val="auto"/>
          <w:sz w:val="48"/>
          <w:szCs w:val="48"/>
          <w:highlight w:val="none"/>
          <w:lang w:val="en-US" w:eastAsia="zh-CN"/>
        </w:rPr>
        <w:t>杭州萧山城市服务管理有限公司2024-2025年度零星维修及装修工程项目</w:t>
      </w:r>
    </w:p>
    <w:p>
      <w:pPr>
        <w:pStyle w:val="82"/>
        <w:rPr>
          <w:rFonts w:hint="eastAsia" w:ascii="宋体" w:hAnsi="宋体" w:eastAsia="宋体" w:cs="宋体"/>
          <w:color w:val="auto"/>
          <w:highlight w:val="none"/>
          <w:lang w:eastAsia="zh-CN"/>
        </w:rPr>
      </w:pPr>
    </w:p>
    <w:p>
      <w:pPr>
        <w:adjustRightInd/>
        <w:spacing w:line="360" w:lineRule="auto"/>
        <w:jc w:val="center"/>
        <w:rPr>
          <w:rFonts w:hint="eastAsia" w:ascii="宋体" w:hAnsi="宋体" w:eastAsia="宋体" w:cs="宋体"/>
          <w:b/>
          <w:bCs/>
          <w:color w:val="auto"/>
          <w:sz w:val="72"/>
          <w:szCs w:val="72"/>
          <w:highlight w:val="none"/>
        </w:rPr>
      </w:pPr>
      <w:bookmarkStart w:id="383" w:name="_GoBack"/>
      <w:bookmarkEnd w:id="383"/>
    </w:p>
    <w:p>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公开竞争</w:t>
      </w:r>
    </w:p>
    <w:p>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32"/>
          <w:szCs w:val="32"/>
          <w:highlight w:val="none"/>
        </w:rPr>
        <w:t>（电子交易文件）</w:t>
      </w:r>
    </w:p>
    <w:p>
      <w:pPr>
        <w:adjustRightInd/>
        <w:spacing w:line="360" w:lineRule="auto"/>
        <w:jc w:val="center"/>
        <w:rPr>
          <w:rFonts w:hint="eastAsia" w:ascii="宋体" w:hAnsi="宋体" w:eastAsia="宋体" w:cs="宋体"/>
          <w:b/>
          <w:color w:val="auto"/>
          <w:sz w:val="44"/>
          <w:szCs w:val="44"/>
          <w:highlight w:val="none"/>
        </w:rPr>
      </w:pPr>
    </w:p>
    <w:p>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交易编号：</w:t>
      </w:r>
      <w:r>
        <w:rPr>
          <w:rFonts w:hint="eastAsia" w:ascii="宋体" w:hAnsi="宋体" w:eastAsia="宋体" w:cs="宋体"/>
          <w:b/>
          <w:bCs/>
          <w:color w:val="auto"/>
          <w:sz w:val="30"/>
          <w:szCs w:val="30"/>
          <w:highlight w:val="none"/>
          <w:lang w:eastAsia="zh-CN"/>
        </w:rPr>
        <w:t>BWZBDL2024-</w:t>
      </w:r>
      <w:r>
        <w:rPr>
          <w:rFonts w:hint="eastAsia" w:ascii="宋体" w:hAnsi="宋体" w:cs="宋体"/>
          <w:b/>
          <w:bCs/>
          <w:color w:val="auto"/>
          <w:sz w:val="30"/>
          <w:szCs w:val="30"/>
          <w:highlight w:val="none"/>
          <w:lang w:val="en-US" w:eastAsia="zh-CN"/>
        </w:rPr>
        <w:t>301</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pStyle w:val="85"/>
        <w:rPr>
          <w:rFonts w:hint="eastAsia" w:ascii="宋体" w:hAnsi="宋体" w:eastAsia="宋体" w:cs="宋体"/>
          <w:color w:val="auto"/>
          <w:highlight w:val="none"/>
        </w:rPr>
      </w:pPr>
    </w:p>
    <w:p>
      <w:pPr>
        <w:pStyle w:val="85"/>
        <w:rPr>
          <w:rFonts w:hint="eastAsia" w:ascii="宋体" w:hAnsi="宋体" w:eastAsia="宋体" w:cs="宋体"/>
          <w:color w:val="auto"/>
          <w:highlight w:val="none"/>
        </w:rPr>
      </w:pPr>
    </w:p>
    <w:p>
      <w:pPr>
        <w:pStyle w:val="82"/>
        <w:ind w:firstLine="0"/>
        <w:rPr>
          <w:rFonts w:hint="eastAsia" w:ascii="宋体" w:hAnsi="宋体" w:eastAsia="宋体" w:cs="宋体"/>
          <w:color w:val="auto"/>
          <w:highlight w:val="none"/>
          <w:lang w:eastAsia="zh-CN"/>
        </w:rPr>
      </w:pPr>
    </w:p>
    <w:p>
      <w:pPr>
        <w:spacing w:line="360" w:lineRule="auto"/>
        <w:ind w:firstLine="964" w:firstLineChars="300"/>
        <w:rPr>
          <w:rFonts w:hint="eastAsia" w:ascii="宋体" w:hAnsi="宋体" w:eastAsia="宋体" w:cs="宋体"/>
          <w:b/>
          <w:color w:val="auto"/>
          <w:sz w:val="32"/>
          <w:szCs w:val="30"/>
          <w:highlight w:val="none"/>
          <w:lang w:eastAsia="zh-CN"/>
        </w:rPr>
      </w:pPr>
      <w:r>
        <w:rPr>
          <w:rFonts w:hint="eastAsia" w:ascii="宋体" w:hAnsi="宋体" w:eastAsia="宋体" w:cs="宋体"/>
          <w:b/>
          <w:color w:val="auto"/>
          <w:sz w:val="32"/>
          <w:szCs w:val="30"/>
          <w:highlight w:val="none"/>
        </w:rPr>
        <w:t>交易发起人：</w:t>
      </w:r>
      <w:r>
        <w:rPr>
          <w:rFonts w:hint="eastAsia" w:ascii="宋体" w:hAnsi="宋体" w:cs="宋体"/>
          <w:b/>
          <w:color w:val="auto"/>
          <w:sz w:val="32"/>
          <w:szCs w:val="30"/>
          <w:highlight w:val="none"/>
          <w:lang w:eastAsia="zh-CN"/>
        </w:rPr>
        <w:t>杭州萧山城市服务管理有限公司</w:t>
      </w:r>
    </w:p>
    <w:p>
      <w:pPr>
        <w:spacing w:line="360" w:lineRule="auto"/>
        <w:ind w:firstLine="964" w:firstLineChars="300"/>
        <w:rPr>
          <w:rFonts w:hint="eastAsia" w:ascii="宋体" w:hAnsi="宋体" w:eastAsia="宋体" w:cs="宋体"/>
          <w:b/>
          <w:color w:val="auto"/>
          <w:sz w:val="32"/>
          <w:szCs w:val="32"/>
          <w:highlight w:val="none"/>
        </w:rPr>
      </w:pPr>
      <w:r>
        <w:rPr>
          <w:rFonts w:hint="eastAsia" w:ascii="宋体" w:hAnsi="宋体" w:eastAsia="宋体" w:cs="宋体"/>
          <w:b/>
          <w:color w:val="auto"/>
          <w:sz w:val="32"/>
          <w:szCs w:val="30"/>
          <w:highlight w:val="none"/>
        </w:rPr>
        <w:t>代理机构：杭州博望建设工程招标投标代理有限公司</w:t>
      </w:r>
    </w:p>
    <w:p>
      <w:pPr>
        <w:snapToGrid w:val="0"/>
        <w:spacing w:line="360" w:lineRule="auto"/>
        <w:jc w:val="center"/>
        <w:rPr>
          <w:rFonts w:hint="eastAsia" w:ascii="宋体" w:hAnsi="宋体" w:eastAsia="宋体" w:cs="宋体"/>
          <w:b/>
          <w:color w:val="auto"/>
          <w:sz w:val="48"/>
          <w:szCs w:val="48"/>
          <w:highlight w:val="none"/>
        </w:rPr>
        <w:sectPr>
          <w:headerReference r:id="rId4" w:type="first"/>
          <w:footerReference r:id="rId6" w:type="first"/>
          <w:headerReference r:id="rId3" w:type="default"/>
          <w:footerReference r:id="rId5" w:type="default"/>
          <w:pgSz w:w="11906" w:h="16838"/>
          <w:pgMar w:top="1247" w:right="1417" w:bottom="1247" w:left="1417" w:header="851" w:footer="992" w:gutter="0"/>
          <w:cols w:space="0" w:num="1"/>
          <w:titlePg/>
          <w:docGrid w:linePitch="312" w:charSpace="0"/>
        </w:sectPr>
      </w:pPr>
      <w:r>
        <w:rPr>
          <w:rFonts w:hint="eastAsia" w:ascii="宋体" w:hAnsi="宋体" w:eastAsia="宋体" w:cs="宋体"/>
          <w:b/>
          <w:color w:val="auto"/>
          <w:sz w:val="32"/>
          <w:szCs w:val="32"/>
          <w:highlight w:val="none"/>
        </w:rPr>
        <w:t>二〇二</w:t>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十二</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三</w:t>
      </w:r>
      <w:r>
        <w:rPr>
          <w:rFonts w:hint="eastAsia" w:ascii="宋体" w:hAnsi="宋体" w:eastAsia="宋体" w:cs="宋体"/>
          <w:b/>
          <w:color w:val="auto"/>
          <w:sz w:val="32"/>
          <w:szCs w:val="32"/>
          <w:highlight w:val="none"/>
        </w:rPr>
        <w:t>日</w:t>
      </w:r>
    </w:p>
    <w:p>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交易公告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响应人须知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交易需求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交易办法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29822"/>
      <w:bookmarkEnd w:id="3"/>
      <w:bookmarkStart w:id="4" w:name="_Hlt74728647"/>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交易公告</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交易编号：</w:t>
      </w:r>
      <w:r>
        <w:rPr>
          <w:rFonts w:hint="eastAsia" w:ascii="宋体" w:hAnsi="宋体" w:eastAsia="宋体" w:cs="宋体"/>
          <w:bCs/>
          <w:color w:val="auto"/>
          <w:sz w:val="24"/>
          <w:highlight w:val="none"/>
          <w:lang w:eastAsia="zh-CN"/>
        </w:rPr>
        <w:t>BWZBDL2024-</w:t>
      </w:r>
      <w:r>
        <w:rPr>
          <w:rFonts w:hint="eastAsia" w:ascii="宋体" w:hAnsi="宋体" w:cs="宋体"/>
          <w:bCs/>
          <w:color w:val="auto"/>
          <w:sz w:val="24"/>
          <w:highlight w:val="none"/>
          <w:lang w:val="en-US" w:eastAsia="zh-CN"/>
        </w:rPr>
        <w:t>301</w:t>
      </w:r>
    </w:p>
    <w:p>
      <w:pPr>
        <w:spacing w:line="360" w:lineRule="auto"/>
        <w:ind w:firstLine="482" w:firstLineChars="200"/>
        <w:rPr>
          <w:rFonts w:hint="eastAsia" w:ascii="宋体" w:hAnsi="宋体" w:eastAsia="宋体" w:cs="宋体"/>
          <w:bCs/>
          <w:color w:val="auto"/>
          <w:sz w:val="24"/>
          <w:highlight w:val="none"/>
          <w:lang w:eastAsia="zh-CN"/>
        </w:rPr>
      </w:pPr>
      <w:r>
        <w:rPr>
          <w:rFonts w:hint="eastAsia" w:ascii="宋体" w:hAnsi="宋体" w:eastAsia="宋体" w:cs="宋体"/>
          <w:b/>
          <w:color w:val="auto"/>
          <w:sz w:val="24"/>
          <w:highlight w:val="none"/>
        </w:rPr>
        <w:t>交易名称：</w:t>
      </w:r>
      <w:r>
        <w:rPr>
          <w:rFonts w:hint="eastAsia" w:ascii="宋体" w:hAnsi="宋体" w:cs="宋体"/>
          <w:bCs/>
          <w:color w:val="auto"/>
          <w:sz w:val="24"/>
          <w:highlight w:val="none"/>
          <w:lang w:eastAsia="zh-CN"/>
        </w:rPr>
        <w:t>杭州萧山城市服务管理有限公司</w:t>
      </w:r>
      <w:r>
        <w:rPr>
          <w:rFonts w:hint="eastAsia" w:ascii="宋体" w:hAnsi="宋体" w:cs="宋体"/>
          <w:bCs/>
          <w:color w:val="auto"/>
          <w:sz w:val="24"/>
          <w:highlight w:val="none"/>
          <w:lang w:val="en-US" w:eastAsia="zh-CN"/>
        </w:rPr>
        <w:t>2024-</w:t>
      </w:r>
      <w:r>
        <w:rPr>
          <w:rFonts w:hint="eastAsia" w:ascii="宋体" w:hAnsi="宋体" w:cs="宋体"/>
          <w:bCs/>
          <w:color w:val="auto"/>
          <w:sz w:val="24"/>
          <w:highlight w:val="none"/>
          <w:lang w:eastAsia="zh-CN"/>
        </w:rPr>
        <w:t>2025年度零星维修及装修</w:t>
      </w:r>
      <w:r>
        <w:rPr>
          <w:rFonts w:hint="eastAsia" w:ascii="宋体" w:hAnsi="宋体" w:cs="宋体"/>
          <w:bCs/>
          <w:color w:val="auto"/>
          <w:sz w:val="24"/>
          <w:highlight w:val="none"/>
          <w:lang w:val="en-US" w:eastAsia="zh-CN"/>
        </w:rPr>
        <w:t>工程</w:t>
      </w:r>
      <w:r>
        <w:rPr>
          <w:rFonts w:hint="eastAsia" w:ascii="宋体" w:hAnsi="宋体" w:cs="宋体"/>
          <w:bCs/>
          <w:color w:val="auto"/>
          <w:sz w:val="24"/>
          <w:highlight w:val="none"/>
          <w:lang w:eastAsia="zh-CN"/>
        </w:rPr>
        <w:t>项目</w:t>
      </w:r>
    </w:p>
    <w:p>
      <w:pPr>
        <w:spacing w:line="360" w:lineRule="auto"/>
        <w:ind w:firstLine="482" w:firstLineChars="200"/>
        <w:rPr>
          <w:rFonts w:hint="default" w:ascii="宋体" w:hAnsi="宋体" w:eastAsia="宋体" w:cs="宋体"/>
          <w:color w:val="auto"/>
          <w:sz w:val="24"/>
          <w:szCs w:val="28"/>
          <w:highlight w:val="none"/>
          <w:lang w:val="en-US" w:eastAsia="zh-CN"/>
        </w:rPr>
      </w:pPr>
      <w:r>
        <w:rPr>
          <w:rFonts w:hint="eastAsia" w:ascii="宋体" w:hAnsi="宋体" w:eastAsia="宋体" w:cs="宋体"/>
          <w:b/>
          <w:color w:val="auto"/>
          <w:sz w:val="24"/>
          <w:highlight w:val="none"/>
        </w:rPr>
        <w:t>预算金额：</w:t>
      </w:r>
      <w:r>
        <w:rPr>
          <w:rFonts w:hint="eastAsia" w:ascii="宋体" w:hAnsi="宋体" w:cs="宋体"/>
          <w:color w:val="auto"/>
          <w:sz w:val="24"/>
          <w:szCs w:val="28"/>
          <w:highlight w:val="none"/>
          <w:lang w:val="en-US" w:eastAsia="zh-CN"/>
        </w:rPr>
        <w:t>标项1：198.00万元、标项2：198.00万元</w:t>
      </w:r>
    </w:p>
    <w:p>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w:t>
      </w:r>
      <w:r>
        <w:rPr>
          <w:rFonts w:hint="eastAsia" w:ascii="宋体" w:hAnsi="宋体" w:cs="宋体"/>
          <w:b/>
          <w:color w:val="auto"/>
          <w:sz w:val="24"/>
          <w:highlight w:val="none"/>
          <w:lang w:val="en-US" w:eastAsia="zh-CN"/>
        </w:rPr>
        <w:t>低</w:t>
      </w:r>
      <w:r>
        <w:rPr>
          <w:rFonts w:hint="eastAsia" w:ascii="宋体" w:hAnsi="宋体" w:eastAsia="宋体" w:cs="宋体"/>
          <w:b/>
          <w:color w:val="auto"/>
          <w:sz w:val="24"/>
          <w:highlight w:val="none"/>
        </w:rPr>
        <w:t>限价：</w:t>
      </w:r>
      <w:r>
        <w:rPr>
          <w:rFonts w:hint="eastAsia" w:ascii="宋体" w:hAnsi="宋体" w:eastAsia="宋体" w:cs="宋体"/>
          <w:b w:val="0"/>
          <w:bCs/>
          <w:color w:val="auto"/>
          <w:sz w:val="24"/>
          <w:highlight w:val="none"/>
        </w:rPr>
        <w:t>最高响应优惠率为20%，最低响应优惠率为1</w:t>
      </w:r>
      <w:r>
        <w:rPr>
          <w:rFonts w:hint="eastAsia" w:ascii="宋体" w:hAnsi="宋体" w:cs="宋体"/>
          <w:b w:val="0"/>
          <w:bCs/>
          <w:color w:val="auto"/>
          <w:sz w:val="24"/>
          <w:highlight w:val="none"/>
          <w:lang w:val="en-US" w:eastAsia="zh-CN"/>
        </w:rPr>
        <w:t>2</w:t>
      </w:r>
      <w:r>
        <w:rPr>
          <w:rFonts w:hint="eastAsia" w:ascii="宋体" w:hAnsi="宋体" w:eastAsia="宋体" w:cs="宋体"/>
          <w:b w:val="0"/>
          <w:bCs/>
          <w:color w:val="auto"/>
          <w:sz w:val="24"/>
          <w:highlight w:val="none"/>
        </w:rPr>
        <w:t>%</w:t>
      </w:r>
    </w:p>
    <w:p>
      <w:pPr>
        <w:pStyle w:val="16"/>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交易需求：</w:t>
      </w:r>
      <w:r>
        <w:rPr>
          <w:rFonts w:hint="eastAsia" w:hAnsi="宋体" w:cs="宋体"/>
          <w:bCs/>
          <w:color w:val="auto"/>
          <w:sz w:val="24"/>
          <w:highlight w:val="none"/>
          <w:lang w:val="en-US" w:eastAsia="zh-CN"/>
        </w:rPr>
        <w:t>2024-</w:t>
      </w:r>
      <w:r>
        <w:rPr>
          <w:rFonts w:hint="eastAsia" w:hAnsi="宋体" w:cs="宋体"/>
          <w:bCs/>
          <w:color w:val="auto"/>
          <w:sz w:val="24"/>
          <w:highlight w:val="none"/>
          <w:lang w:eastAsia="zh-CN"/>
        </w:rPr>
        <w:t>2025年度零星维修及装修</w:t>
      </w:r>
      <w:r>
        <w:rPr>
          <w:rFonts w:hint="eastAsia" w:hAnsi="宋体" w:cs="宋体"/>
          <w:bCs/>
          <w:color w:val="auto"/>
          <w:sz w:val="24"/>
          <w:highlight w:val="none"/>
          <w:lang w:val="en-US" w:eastAsia="zh-CN"/>
        </w:rPr>
        <w:t>工程</w:t>
      </w:r>
      <w:r>
        <w:rPr>
          <w:rFonts w:hint="eastAsia" w:ascii="宋体" w:hAnsi="宋体" w:eastAsia="宋体" w:cs="宋体"/>
          <w:color w:val="auto"/>
          <w:sz w:val="24"/>
          <w:highlight w:val="none"/>
          <w:lang w:val="en-US" w:eastAsia="zh-CN"/>
        </w:rPr>
        <w:t>，</w:t>
      </w:r>
      <w:r>
        <w:rPr>
          <w:rFonts w:hint="eastAsia" w:hAnsi="宋体" w:cs="宋体"/>
          <w:color w:val="auto"/>
          <w:sz w:val="24"/>
          <w:highlight w:val="none"/>
          <w:lang w:val="en-US" w:eastAsia="zh-CN"/>
        </w:rPr>
        <w:t>服务期1年，</w:t>
      </w:r>
      <w:r>
        <w:rPr>
          <w:rFonts w:hint="eastAsia" w:ascii="宋体" w:hAnsi="宋体" w:eastAsia="宋体" w:cs="宋体"/>
          <w:color w:val="auto"/>
          <w:sz w:val="24"/>
          <w:highlight w:val="none"/>
        </w:rPr>
        <w:t>详见交易需求。</w:t>
      </w:r>
    </w:p>
    <w:p>
      <w:pPr>
        <w:pStyle w:val="16"/>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详见公开竞争文件</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bCs/>
          <w:color w:val="auto"/>
          <w:sz w:val="24"/>
          <w:highlight w:val="none"/>
        </w:rPr>
        <w:t>（ ）是；（√）否。</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未被“信用中国”（www.creditchina.gov.cn）、列入失信被执行人、重大税收违法</w:t>
      </w:r>
      <w:r>
        <w:rPr>
          <w:rFonts w:hint="eastAsia" w:ascii="宋体" w:hAnsi="宋体" w:cs="宋体"/>
          <w:color w:val="auto"/>
          <w:sz w:val="24"/>
          <w:highlight w:val="none"/>
          <w:lang w:val="en-US" w:eastAsia="zh-CN"/>
        </w:rPr>
        <w:t>失信主体</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政府</w:t>
      </w:r>
      <w:r>
        <w:rPr>
          <w:rFonts w:hint="eastAsia" w:ascii="宋体" w:hAnsi="宋体" w:eastAsia="宋体" w:cs="宋体"/>
          <w:color w:val="auto"/>
          <w:sz w:val="24"/>
          <w:highlight w:val="none"/>
        </w:rPr>
        <w:t>采购严重违法失信行为记录名单；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、参加交易活动前三年内，在经营活动中没有重大违法记录；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、法律、行政法规规定的其他条件；</w:t>
      </w:r>
    </w:p>
    <w:p>
      <w:pPr>
        <w:pStyle w:val="62"/>
        <w:ind w:firstLine="480" w:firstLineChars="200"/>
        <w:rPr>
          <w:rFonts w:hint="eastAsia" w:ascii="宋体" w:hAnsi="宋体" w:eastAsia="宋体" w:cs="宋体"/>
          <w:color w:val="auto"/>
          <w:highlight w:val="none"/>
        </w:rPr>
      </w:pPr>
      <w:r>
        <w:rPr>
          <w:rFonts w:hint="eastAsia" w:hAnsi="宋体" w:cs="宋体"/>
          <w:color w:val="auto"/>
          <w:highlight w:val="none"/>
          <w:lang w:val="en-US" w:eastAsia="zh-CN"/>
        </w:rPr>
        <w:t>8</w:t>
      </w:r>
      <w:r>
        <w:rPr>
          <w:rFonts w:hint="eastAsia" w:ascii="宋体" w:hAnsi="宋体" w:eastAsia="宋体" w:cs="宋体"/>
          <w:color w:val="auto"/>
          <w:highlight w:val="none"/>
        </w:rPr>
        <w:t>、本项目的特定资格要求：</w:t>
      </w:r>
    </w:p>
    <w:p>
      <w:pPr>
        <w:pStyle w:val="62"/>
        <w:ind w:firstLine="480" w:firstLineChars="200"/>
        <w:rPr>
          <w:rFonts w:hint="eastAsia" w:ascii="宋体" w:hAnsi="宋体" w:eastAsia="宋体" w:cs="宋体"/>
          <w:color w:val="auto"/>
          <w:highlight w:val="none"/>
        </w:rPr>
      </w:pPr>
      <w:r>
        <w:rPr>
          <w:rFonts w:hint="eastAsia" w:hAnsi="宋体" w:cs="宋体"/>
          <w:color w:val="auto"/>
          <w:highlight w:val="none"/>
          <w:lang w:val="en-US" w:eastAsia="zh-CN"/>
        </w:rPr>
        <w:t>8.1</w:t>
      </w:r>
      <w:r>
        <w:rPr>
          <w:rFonts w:hint="eastAsia" w:ascii="宋体" w:hAnsi="宋体" w:eastAsia="宋体" w:cs="宋体"/>
          <w:color w:val="auto"/>
          <w:highlight w:val="none"/>
        </w:rPr>
        <w:t>同时具备建筑工程施工总承包企业</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级及以上资质</w:t>
      </w:r>
      <w:r>
        <w:rPr>
          <w:rFonts w:hint="eastAsia" w:ascii="宋体" w:hAnsi="宋体" w:eastAsia="宋体" w:cs="宋体"/>
          <w:color w:val="auto"/>
          <w:highlight w:val="none"/>
          <w:lang w:val="en-US" w:eastAsia="zh-CN"/>
        </w:rPr>
        <w:t>和</w:t>
      </w:r>
      <w:r>
        <w:rPr>
          <w:rFonts w:hint="eastAsia" w:ascii="宋体" w:hAnsi="宋体" w:eastAsia="宋体" w:cs="宋体"/>
          <w:color w:val="auto"/>
          <w:highlight w:val="none"/>
        </w:rPr>
        <w:t>建筑装修装饰工程二级及以上资质。</w:t>
      </w:r>
    </w:p>
    <w:p>
      <w:pPr>
        <w:pStyle w:val="62"/>
        <w:ind w:firstLine="480" w:firstLineChars="200"/>
        <w:rPr>
          <w:rFonts w:hint="eastAsia" w:ascii="宋体" w:hAnsi="宋体" w:eastAsia="宋体" w:cs="宋体"/>
          <w:color w:val="auto"/>
          <w:highlight w:val="none"/>
        </w:rPr>
      </w:pPr>
      <w:r>
        <w:rPr>
          <w:rFonts w:hint="eastAsia" w:hAnsi="宋体" w:cs="宋体"/>
          <w:color w:val="auto"/>
          <w:highlight w:val="none"/>
          <w:lang w:val="en-US" w:eastAsia="zh-CN"/>
        </w:rPr>
        <w:t>8.2</w:t>
      </w:r>
      <w:r>
        <w:rPr>
          <w:rFonts w:hint="eastAsia" w:ascii="宋体" w:hAnsi="宋体" w:eastAsia="宋体" w:cs="宋体"/>
          <w:color w:val="auto"/>
          <w:highlight w:val="none"/>
        </w:rPr>
        <w:t>具备有效的企业安全生产许可证。</w:t>
      </w:r>
    </w:p>
    <w:p>
      <w:pPr>
        <w:pStyle w:val="62"/>
        <w:ind w:firstLine="480" w:firstLineChars="200"/>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8.3</w:t>
      </w:r>
      <w:r>
        <w:rPr>
          <w:rFonts w:hint="eastAsia" w:ascii="宋体" w:hAnsi="宋体" w:eastAsia="宋体" w:cs="宋体"/>
          <w:color w:val="auto"/>
          <w:highlight w:val="none"/>
        </w:rPr>
        <w:t>拟派项目负责人具有注册在响应人单位的建筑工程二级及以上建造师执业资格，同时具有有效的专职安全生产管理人员B类证书。如在响应截止日存在在其他任何在建合同工程的，不得以拟派项目负责人的身份参加本次响应。</w:t>
      </w:r>
    </w:p>
    <w:p>
      <w:pPr>
        <w:pStyle w:val="62"/>
        <w:numPr>
          <w:ilvl w:val="0"/>
          <w:numId w:val="0"/>
        </w:numPr>
        <w:ind w:firstLine="480" w:firstLineChars="200"/>
        <w:rPr>
          <w:rFonts w:hint="eastAsia"/>
          <w:color w:val="auto"/>
          <w:highlight w:val="none"/>
          <w:lang w:val="en-US"/>
        </w:rPr>
      </w:pPr>
      <w:r>
        <w:rPr>
          <w:rFonts w:hint="eastAsia" w:hAnsi="宋体" w:cs="宋体"/>
          <w:color w:val="auto"/>
          <w:highlight w:val="none"/>
          <w:lang w:val="en-US" w:eastAsia="zh-CN"/>
        </w:rPr>
        <w:t>9、</w:t>
      </w:r>
      <w:r>
        <w:rPr>
          <w:rFonts w:hint="eastAsia" w:ascii="宋体" w:hAnsi="宋体" w:eastAsia="宋体" w:cs="宋体"/>
          <w:color w:val="auto"/>
          <w:highlight w:val="none"/>
        </w:rPr>
        <w:t>本项目不接受联合体参与（潜在响应人能独立完成本项目）。</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三、获取公开竞争文件</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响应人登录</w:t>
      </w:r>
      <w:r>
        <w:rPr>
          <w:rFonts w:hint="eastAsia" w:ascii="宋体" w:hAnsi="宋体" w:eastAsia="宋体" w:cs="宋体"/>
          <w:color w:val="auto"/>
          <w:sz w:val="24"/>
          <w:highlight w:val="none"/>
          <w:lang w:eastAsia="zh-CN"/>
        </w:rPr>
        <w:t>乐采云平台https://www.lecaiyun.com/</w:t>
      </w:r>
      <w:r>
        <w:rPr>
          <w:rFonts w:hint="eastAsia" w:ascii="宋体" w:hAnsi="宋体" w:eastAsia="宋体" w:cs="宋体"/>
          <w:color w:val="auto"/>
          <w:sz w:val="24"/>
          <w:highlight w:val="none"/>
        </w:rPr>
        <w:t>在线申请获取公开竞争文件（进入“项目采购”应用，在获取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菜单中选择项目，申请获取公开竞争文件）。</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四、提交响应文件截止时间、交易时间和地点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提交响应文件截止时间：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 xml:space="preserve">）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交易时间：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2、其他事项：电子招投标的说明：①电子招投标：本项目以数据电文形式，依托“</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）”进行招投标活动，不接受纸质响应文件；②投标准备：注册账号--点击“商家入驻”，进行供应商资料填写；申领CA数字证书---申领流程详见“</w:t>
      </w:r>
      <w:r>
        <w:rPr>
          <w:rFonts w:hint="eastAsia" w:ascii="宋体" w:hAnsi="宋体" w:eastAsia="宋体" w:cs="宋体"/>
          <w:color w:val="auto"/>
          <w:sz w:val="24"/>
          <w:highlight w:val="none"/>
          <w:lang w:eastAsia="zh-CN"/>
        </w:rPr>
        <w:t>浙江企业采购信息服务网</w:t>
      </w:r>
      <w:r>
        <w:rPr>
          <w:rFonts w:hint="eastAsia" w:ascii="宋体" w:hAnsi="宋体" w:eastAsia="宋体" w:cs="宋体"/>
          <w:color w:val="auto"/>
          <w:sz w:val="24"/>
          <w:highlight w:val="none"/>
        </w:rPr>
        <w:t>-下载专区-电子交易客户端-CA驱动和申领流程”；安装“</w:t>
      </w:r>
      <w:r>
        <w:rPr>
          <w:rFonts w:hint="eastAsia" w:ascii="宋体" w:hAnsi="宋体" w:eastAsia="宋体" w:cs="宋体"/>
          <w:color w:val="auto"/>
          <w:sz w:val="24"/>
          <w:highlight w:val="none"/>
          <w:lang w:eastAsia="zh-CN"/>
        </w:rPr>
        <w:t>乐采云电子交易客户端</w:t>
      </w:r>
      <w:r>
        <w:rPr>
          <w:rFonts w:hint="eastAsia" w:ascii="宋体" w:hAnsi="宋体" w:eastAsia="宋体" w:cs="宋体"/>
          <w:color w:val="auto"/>
          <w:sz w:val="24"/>
          <w:highlight w:val="none"/>
        </w:rPr>
        <w:t>”----前往“</w:t>
      </w:r>
      <w:r>
        <w:rPr>
          <w:rFonts w:hint="eastAsia" w:ascii="宋体" w:hAnsi="宋体" w:eastAsia="宋体" w:cs="宋体"/>
          <w:color w:val="auto"/>
          <w:sz w:val="24"/>
          <w:highlight w:val="none"/>
          <w:lang w:eastAsia="zh-CN"/>
        </w:rPr>
        <w:t>浙江企业采购信息服务网</w:t>
      </w:r>
      <w:r>
        <w:rPr>
          <w:rFonts w:hint="eastAsia" w:ascii="宋体" w:hAnsi="宋体" w:eastAsia="宋体" w:cs="宋体"/>
          <w:color w:val="auto"/>
          <w:sz w:val="24"/>
          <w:highlight w:val="none"/>
        </w:rPr>
        <w:t>-下载专区-电子交易客户端”进行下载并安装；③公开竞争文件的获取：使用账号登录或者使用CA登录</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；进入“项目采购”应用，在获取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菜单中选择项目，获取公开竞争文件；④响应文件的制作：在“</w:t>
      </w:r>
      <w:r>
        <w:rPr>
          <w:rFonts w:hint="eastAsia" w:ascii="宋体" w:hAnsi="宋体" w:eastAsia="宋体" w:cs="宋体"/>
          <w:color w:val="auto"/>
          <w:sz w:val="24"/>
          <w:highlight w:val="none"/>
          <w:lang w:eastAsia="zh-CN"/>
        </w:rPr>
        <w:t>乐采云电子交易客户端</w:t>
      </w:r>
      <w:r>
        <w:rPr>
          <w:rFonts w:hint="eastAsia" w:ascii="宋体" w:hAnsi="宋体" w:eastAsia="宋体" w:cs="宋体"/>
          <w:color w:val="auto"/>
          <w:sz w:val="24"/>
          <w:highlight w:val="none"/>
        </w:rPr>
        <w:t>”中完成“填写基本信息”“导入响应文件”“标书关联”“标书检查”“电子签名”“生成电子标书”等操作；⑤交易发起人、代理机构将依托</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；⑨响应文件的解密：响应人按照平台提示和公开竞争文件的规定在半小时内完成在线解密。通过“</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”上传递交的响应文件无法按时解密，视为响应文件撤回；⑩具体操作指南：详见</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“服务中心-帮助文档-项目采购-操作流程-电子招投标-项目电子交易管理操作指南-供应商”。</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六、对本次交易提出异议、投诉，请按以下方式联系</w:t>
      </w:r>
    </w:p>
    <w:p>
      <w:pPr>
        <w:widowControl/>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1、交易发起人信息</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bCs/>
          <w:color w:val="auto"/>
          <w:sz w:val="24"/>
          <w:highlight w:val="none"/>
          <w:lang w:eastAsia="zh-CN"/>
        </w:rPr>
        <w:t>杭州萧山城市服务管理有限公司</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val="en-US" w:eastAsia="zh-CN"/>
        </w:rPr>
        <w:t>杭州市萧山区北干街道金城路1098号</w:t>
      </w:r>
    </w:p>
    <w:p>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周先生</w:t>
      </w:r>
    </w:p>
    <w:p>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0571-</w:t>
      </w:r>
      <w:r>
        <w:rPr>
          <w:rFonts w:hint="eastAsia" w:ascii="宋体" w:hAnsi="宋体" w:cs="宋体"/>
          <w:color w:val="auto"/>
          <w:sz w:val="24"/>
          <w:highlight w:val="none"/>
          <w:lang w:val="en-US" w:eastAsia="zh-CN"/>
        </w:rPr>
        <w:t>83819108</w:t>
      </w:r>
    </w:p>
    <w:p>
      <w:pPr>
        <w:spacing w:line="360" w:lineRule="auto"/>
        <w:ind w:firstLine="480" w:firstLineChars="200"/>
        <w:jc w:val="left"/>
        <w:rPr>
          <w:rFonts w:hint="eastAsia" w:ascii="宋体" w:hAnsi="宋体" w:eastAsia="宋体" w:cs="宋体"/>
          <w:color w:val="auto"/>
          <w:sz w:val="24"/>
          <w:szCs w:val="28"/>
          <w:highlight w:val="none"/>
        </w:rPr>
      </w:pPr>
      <w:bookmarkStart w:id="10" w:name="_Toc28359009"/>
      <w:bookmarkStart w:id="11" w:name="_Toc28359086"/>
      <w:r>
        <w:rPr>
          <w:rFonts w:hint="eastAsia" w:ascii="宋体" w:hAnsi="宋体" w:eastAsia="宋体" w:cs="宋体"/>
          <w:color w:val="auto"/>
          <w:sz w:val="24"/>
          <w:szCs w:val="28"/>
          <w:highlight w:val="none"/>
        </w:rPr>
        <w:t>2</w:t>
      </w:r>
      <w:bookmarkEnd w:id="10"/>
      <w:bookmarkEnd w:id="11"/>
      <w:r>
        <w:rPr>
          <w:rFonts w:hint="eastAsia" w:ascii="宋体" w:hAnsi="宋体" w:eastAsia="宋体" w:cs="宋体"/>
          <w:color w:val="auto"/>
          <w:sz w:val="24"/>
          <w:szCs w:val="28"/>
          <w:highlight w:val="none"/>
        </w:rPr>
        <w:t>、代理机构信息</w:t>
      </w:r>
    </w:p>
    <w:p>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名称：杭州博望建设工程招标投标代理有限公司</w:t>
      </w:r>
    </w:p>
    <w:p>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地址：杭州市萧山区金城路433号天汇园一幢A座5楼</w:t>
      </w:r>
    </w:p>
    <w:p>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项目联系人（询问）：赵鑫华</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项目联系方式（询问）：0571-83881208</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若对项目电子交易系统操作有疑问，可登录</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），点击右侧咨询小采，获取采小蜜智能服务管家帮助，或拨打</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服务热线95763获取热线服务帮助。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响应人须知</w:t>
      </w:r>
      <w:bookmarkEnd w:id="8"/>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5"/>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A货物类</w:t>
            </w:r>
            <w:r>
              <w:rPr>
                <w:rFonts w:hint="eastAsia" w:ascii="宋体" w:hAnsi="宋体" w:eastAsia="宋体" w:cs="宋体"/>
                <w:color w:val="auto"/>
                <w:sz w:val="24"/>
                <w:highlight w:val="none"/>
              </w:rPr>
              <w:t>。</w:t>
            </w:r>
          </w:p>
          <w:p>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B服务类</w:t>
            </w:r>
            <w:r>
              <w:rPr>
                <w:rFonts w:hint="eastAsia" w:ascii="宋体" w:hAnsi="宋体" w:eastAsia="宋体" w:cs="宋体"/>
                <w:color w:val="auto"/>
                <w:sz w:val="24"/>
                <w:highlight w:val="none"/>
              </w:rPr>
              <w:t>。</w:t>
            </w:r>
          </w:p>
          <w:p>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cs="宋体"/>
                <w:color w:val="auto"/>
                <w:kern w:val="0"/>
                <w:sz w:val="24"/>
                <w:highlight w:val="none"/>
                <w:lang w:val="en-US" w:eastAsia="zh-CN"/>
              </w:rPr>
              <w:t>C工程</w:t>
            </w:r>
            <w:r>
              <w:rPr>
                <w:rFonts w:hint="eastAsia" w:ascii="宋体" w:hAnsi="宋体" w:eastAsia="宋体" w:cs="宋体"/>
                <w:color w:val="auto"/>
                <w:kern w:val="0"/>
                <w:sz w:val="24"/>
                <w:highlight w:val="none"/>
              </w:rPr>
              <w:t>类</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color w:val="auto"/>
                <w:sz w:val="24"/>
                <w:highlight w:val="none"/>
              </w:rPr>
            </w:pPr>
          </w:p>
          <w:p>
            <w:pPr>
              <w:snapToGrid w:val="0"/>
              <w:jc w:val="center"/>
              <w:rPr>
                <w:rFonts w:hint="eastAsia" w:ascii="宋体" w:hAnsi="宋体" w:eastAsia="宋体" w:cs="宋体"/>
                <w:color w:val="auto"/>
                <w:sz w:val="24"/>
                <w:highlight w:val="none"/>
              </w:rPr>
            </w:pPr>
          </w:p>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A适用</w:t>
            </w:r>
            <w:r>
              <w:rPr>
                <w:rFonts w:hint="eastAsia" w:ascii="宋体" w:hAnsi="宋体" w:eastAsia="宋体" w:cs="宋体"/>
                <w:color w:val="auto"/>
                <w:sz w:val="24"/>
                <w:highlight w:val="none"/>
              </w:rPr>
              <w:t>。</w:t>
            </w:r>
          </w:p>
          <w:p>
            <w:pPr>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B不适用</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highlight w:val="none"/>
              </w:rPr>
            </w:pPr>
            <w:r>
              <w:rPr>
                <w:rFonts w:hint="eastAsia" w:ascii="宋体" w:hAnsi="宋体" w:eastAsia="宋体" w:cs="宋体"/>
                <w:bCs/>
                <w:color w:val="auto"/>
                <w:sz w:val="24"/>
                <w:highlight w:val="none"/>
              </w:rPr>
              <w:t>（√）</w:t>
            </w:r>
            <w:r>
              <w:rPr>
                <w:rFonts w:hint="eastAsia" w:ascii="宋体" w:hAnsi="宋体" w:eastAsia="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B</w:t>
            </w:r>
            <w:r>
              <w:rPr>
                <w:rFonts w:hint="eastAsia" w:ascii="宋体" w:hAnsi="宋体" w:eastAsia="宋体" w:cs="宋体"/>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A</w:t>
            </w:r>
            <w:r>
              <w:rPr>
                <w:rFonts w:hint="eastAsia" w:ascii="宋体" w:hAnsi="宋体" w:eastAsia="宋体" w:cs="宋体"/>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（√）A不组织。</w:t>
            </w:r>
          </w:p>
          <w:p>
            <w:pPr>
              <w:snapToGrid w:val="0"/>
              <w:rPr>
                <w:rFonts w:hint="eastAsia" w:ascii="宋体" w:hAnsi="宋体" w:eastAsia="宋体" w:cs="宋体"/>
                <w:color w:val="auto"/>
                <w:highlight w:val="none"/>
              </w:rPr>
            </w:pPr>
            <w:r>
              <w:rPr>
                <w:rFonts w:hint="eastAsia" w:ascii="宋体" w:hAnsi="宋体" w:eastAsia="宋体" w:cs="宋体"/>
                <w:color w:val="auto"/>
                <w:sz w:val="24"/>
                <w:highlight w:val="none"/>
              </w:rPr>
              <w:t>（  ）B组织。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（1）资格证明文件：见公开竞争文件第二部分10.1。</w:t>
            </w:r>
          </w:p>
          <w:p>
            <w:pPr>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响应人未提供有效的资格证明文件的，视为响应人不具备公开竞争文件中规定的资格要求，交易无效。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pPr>
              <w:snapToGrid w:val="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有关本项目实施所需的所有费用（含税费）均计入报价。</w:t>
            </w:r>
            <w:r>
              <w:rPr>
                <w:rFonts w:hint="eastAsia" w:ascii="宋体" w:hAnsi="宋体" w:eastAsia="宋体" w:cs="宋体"/>
                <w:bCs/>
                <w:color w:val="auto"/>
                <w:kern w:val="0"/>
                <w:sz w:val="24"/>
                <w:highlight w:val="none"/>
              </w:rPr>
              <w:t>交易一览表（报价表）是报价的唯一载体</w:t>
            </w:r>
            <w:r>
              <w:rPr>
                <w:rFonts w:hint="eastAsia" w:ascii="宋体" w:hAnsi="宋体" w:eastAsia="宋体" w:cs="宋体"/>
                <w:bCs/>
                <w:color w:val="auto"/>
                <w:kern w:val="0"/>
                <w:sz w:val="24"/>
                <w:highlight w:val="none"/>
                <w:lang w:val="zh-CN"/>
              </w:rPr>
              <w:t>。响应文件中价格全部采用人民币报价。公开竞争文件未列明，而响应人认为必需的费用也需列入报价。</w:t>
            </w:r>
          </w:p>
          <w:p>
            <w:pPr>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交易报价出现下列情形的，交易无效：</w:t>
            </w:r>
          </w:p>
          <w:p>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响应文件出现不是唯一的、有选择性交易报价的；</w:t>
            </w:r>
          </w:p>
          <w:p>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交易报价超过公开竞争文件中规定的预算金额或者最高限价的；</w:t>
            </w:r>
          </w:p>
          <w:p>
            <w:pPr>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pPr>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bCs/>
                <w:color w:val="auto"/>
                <w:kern w:val="0"/>
                <w:sz w:val="24"/>
                <w:highlight w:val="none"/>
              </w:rPr>
              <w:t>响应人对根据修正原则修正后的报价不确认的。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3"/>
              <w:ind w:hanging="4"/>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备份文件是否收取：不收取。</w:t>
            </w:r>
          </w:p>
          <w:p>
            <w:pPr>
              <w:pStyle w:val="33"/>
              <w:ind w:hanging="4"/>
              <w:rPr>
                <w:rFonts w:hint="eastAsia" w:ascii="宋体" w:hAnsi="宋体" w:eastAsia="宋体" w:cs="宋体"/>
                <w:color w:val="auto"/>
                <w:kern w:val="28"/>
                <w:sz w:val="24"/>
                <w:szCs w:val="24"/>
                <w:highlight w:val="none"/>
              </w:rPr>
            </w:pPr>
            <w:r>
              <w:rPr>
                <w:rFonts w:hint="eastAsia" w:ascii="宋体" w:hAnsi="宋体" w:eastAsia="宋体" w:cs="宋体"/>
                <w:b/>
                <w:color w:val="auto"/>
                <w:sz w:val="24"/>
                <w:highlight w:val="none"/>
              </w:rPr>
              <w:t>成交单位在成交后提供纸质响应文件一正</w:t>
            </w:r>
            <w:r>
              <w:rPr>
                <w:rFonts w:hint="eastAsia" w:hAnsi="宋体" w:cs="宋体"/>
                <w:b/>
                <w:color w:val="auto"/>
                <w:sz w:val="24"/>
                <w:highlight w:val="none"/>
                <w:lang w:val="en-US" w:eastAsia="zh-CN"/>
              </w:rPr>
              <w:t>三</w:t>
            </w:r>
            <w:r>
              <w:rPr>
                <w:rFonts w:hint="eastAsia" w:ascii="宋体" w:hAnsi="宋体" w:eastAsia="宋体" w:cs="宋体"/>
                <w:b/>
                <w:color w:val="auto"/>
                <w:sz w:val="24"/>
                <w:highlight w:val="none"/>
              </w:rPr>
              <w:t>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5"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本项目采购代理费</w:t>
            </w:r>
            <w:r>
              <w:rPr>
                <w:rFonts w:hint="eastAsia" w:ascii="宋体" w:hAnsi="宋体" w:eastAsia="宋体" w:cs="宋体"/>
                <w:bCs/>
                <w:color w:val="auto"/>
                <w:kern w:val="0"/>
                <w:sz w:val="24"/>
                <w:highlight w:val="none"/>
                <w:lang w:val="en-US" w:eastAsia="zh-CN"/>
              </w:rPr>
              <w:t>由</w:t>
            </w:r>
            <w:r>
              <w:rPr>
                <w:rFonts w:hint="eastAsia" w:ascii="宋体" w:hAnsi="宋体" w:cs="宋体"/>
                <w:bCs/>
                <w:color w:val="auto"/>
                <w:kern w:val="0"/>
                <w:sz w:val="24"/>
                <w:highlight w:val="none"/>
                <w:lang w:val="en-US" w:eastAsia="zh-CN"/>
              </w:rPr>
              <w:t>交易发起人</w:t>
            </w:r>
            <w:r>
              <w:rPr>
                <w:rFonts w:hint="eastAsia" w:ascii="宋体" w:hAnsi="宋体" w:eastAsia="宋体" w:cs="宋体"/>
                <w:bCs/>
                <w:color w:val="auto"/>
                <w:kern w:val="0"/>
                <w:sz w:val="24"/>
                <w:highlight w:val="none"/>
                <w:lang w:val="en-US" w:eastAsia="zh-CN"/>
              </w:rPr>
              <w:t>支付</w:t>
            </w:r>
            <w:r>
              <w:rPr>
                <w:rFonts w:hint="eastAsia" w:ascii="宋体" w:hAnsi="宋体" w:cs="宋体"/>
                <w:bCs/>
                <w:color w:val="auto"/>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99000.00元/标项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本项目由交易发起人进行资格文件及信用信息查询。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代理机构异议接收人：</w:t>
            </w:r>
            <w:r>
              <w:rPr>
                <w:rFonts w:hint="eastAsia" w:ascii="宋体" w:hAnsi="宋体" w:eastAsia="宋体" w:cs="宋体"/>
                <w:color w:val="auto"/>
                <w:sz w:val="24"/>
                <w:highlight w:val="none"/>
                <w:u w:val="single"/>
              </w:rPr>
              <w:t>高华萍</w:t>
            </w:r>
            <w:r>
              <w:rPr>
                <w:rFonts w:hint="eastAsia" w:ascii="宋体" w:hAnsi="宋体" w:eastAsia="宋体" w:cs="宋体"/>
                <w:color w:val="auto"/>
                <w:sz w:val="24"/>
                <w:highlight w:val="none"/>
              </w:rPr>
              <w:t xml:space="preserve"> 联系方式：</w:t>
            </w:r>
            <w:r>
              <w:rPr>
                <w:rFonts w:hint="eastAsia" w:ascii="宋体" w:hAnsi="宋体" w:eastAsia="宋体" w:cs="宋体"/>
                <w:color w:val="auto"/>
                <w:sz w:val="24"/>
                <w:highlight w:val="none"/>
                <w:u w:val="single"/>
              </w:rPr>
              <w:t>0571-83881208</w:t>
            </w:r>
          </w:p>
          <w:p>
            <w:pPr>
              <w:snapToGrid w:val="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杭州市萧山区金城路433号天汇园一幢A座5楼</w:t>
            </w:r>
          </w:p>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邮箱：</w:t>
            </w:r>
            <w:r>
              <w:rPr>
                <w:rFonts w:hint="eastAsia" w:ascii="宋体" w:hAnsi="宋体" w:eastAsia="宋体" w:cs="宋体"/>
                <w:color w:val="auto"/>
                <w:sz w:val="24"/>
                <w:highlight w:val="none"/>
                <w:u w:val="single"/>
              </w:rPr>
              <w:t>751200605@qq.com</w:t>
            </w:r>
          </w:p>
          <w:p>
            <w:pPr>
              <w:snapToGrid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本项目涉及资格条件、交易需求、评分办法及交易过程中有关现场考察或开标前答疑会事项由交易发起人进行答复。</w:t>
            </w:r>
          </w:p>
          <w:p>
            <w:pPr>
              <w:pStyle w:val="33"/>
              <w:ind w:hanging="4"/>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涉及流程组织等相关事项，由代理机构进行答复。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本项目通用总则条款与前附表等专用特别规定有冲突之处，以专用条款（特别规定）为准。</w:t>
            </w:r>
          </w:p>
        </w:tc>
      </w:tr>
    </w:tbl>
    <w:p>
      <w:pPr>
        <w:snapToGrid w:val="0"/>
        <w:spacing w:line="360" w:lineRule="auto"/>
        <w:jc w:val="center"/>
        <w:rPr>
          <w:rFonts w:hint="eastAsia" w:ascii="宋体" w:hAnsi="宋体" w:eastAsia="宋体" w:cs="宋体"/>
          <w:b/>
          <w:color w:val="auto"/>
          <w:sz w:val="32"/>
          <w:szCs w:val="20"/>
          <w:highlight w:val="none"/>
        </w:rPr>
      </w:pPr>
    </w:p>
    <w:bookmarkEnd w:id="9"/>
    <w:p>
      <w:pPr>
        <w:rPr>
          <w:rFonts w:hint="eastAsia" w:ascii="宋体" w:hAnsi="宋体" w:eastAsia="宋体" w:cs="宋体"/>
          <w:b/>
          <w:color w:val="auto"/>
          <w:sz w:val="32"/>
          <w:szCs w:val="20"/>
          <w:highlight w:val="none"/>
        </w:rPr>
      </w:pPr>
      <w:bookmarkStart w:id="12" w:name="_Toc164416483"/>
      <w:bookmarkStart w:id="13" w:name="第三部分"/>
      <w:r>
        <w:rPr>
          <w:rFonts w:hint="eastAsia" w:ascii="宋体" w:hAnsi="宋体" w:eastAsia="宋体" w:cs="宋体"/>
          <w:b/>
          <w:color w:val="auto"/>
          <w:sz w:val="32"/>
          <w:szCs w:val="20"/>
          <w:highlight w:val="none"/>
        </w:rPr>
        <w:br w:type="page"/>
      </w:r>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snapToGrid w:val="0"/>
        <w:spacing w:line="460" w:lineRule="exact"/>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pPr>
        <w:snapToGrid w:val="0"/>
        <w:spacing w:line="460" w:lineRule="exact"/>
        <w:ind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本公开竞争文件适用于该项目的交易、响应、评审、资格审查及信用信息查询、评审、定标、合同、验收等行为（法律、法规另有规定的，从其规定）。</w:t>
      </w:r>
    </w:p>
    <w:p>
      <w:pPr>
        <w:adjustRightInd/>
        <w:spacing w:line="460" w:lineRule="exact"/>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2.1“交易发起人”系指交易公告中载明的本项目的交易发起人。</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2.2“代理机构”系指交易公告中载明的本项目的代理机构。</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2.3“响应人”系指响应</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、参加投标竞争的法人、其他组织或者自然人。</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pPr>
        <w:spacing w:line="460" w:lineRule="exact"/>
        <w:ind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2.6“电子交易平台”是指本项目交易活动所依托的</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3.异议、投诉</w:t>
      </w:r>
    </w:p>
    <w:p>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.1响应人异议</w:t>
      </w:r>
    </w:p>
    <w:p>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.2响应人异议</w:t>
      </w:r>
    </w:p>
    <w:p>
      <w:pPr>
        <w:pStyle w:val="33"/>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的响应人应当是参与所质</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项目交易活动的响应人。潜在响应人已依法获取其可</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的公开竞争文件的，可以对该文件提出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w:t>
      </w:r>
    </w:p>
    <w:p>
      <w:pPr>
        <w:pStyle w:val="33"/>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，否则，交易发起人或者代理机构不予受理：</w:t>
      </w:r>
    </w:p>
    <w:p>
      <w:pPr>
        <w:pStyle w:val="33"/>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3.2.2.1对交易过程提出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期限为各交易程序环节结束之日起计算。对同一交易程序环节的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，响应人须一次性提出。</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rPr>
        <w:t>响应人提出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应当提交</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函和必要的证明材料。</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函应当包括下列内容：</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.2.3.1响应人的姓名或者名称、地址、邮编、联系人及联系电话；</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.2.3.2异议项目的名称、编号；</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.2.3.3具体、明确的异议事项和与异议事项相关的请求；</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.2.3.4事实依据；</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.2.3.5必要的法律依据；</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.2.3.6提出异议的日期。</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异议函范本及制作说明详见附件</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.2.4交易发起人或者代理机构应当在收到响应人的书面异议后</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日内作出答复，并以书面形式通知异议响应人和其他与异议处理结果有利害关系的交易当事人，但答复的内容不得涉及商业秘密。</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.2.5询问或者异议事项可能影响</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结果的，交易发起人应当暂停签订合同，已经签订合同的，应当中止履行合同。</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.3响应人投诉</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宋体" w:hAnsi="宋体" w:eastAsia="宋体" w:cs="宋体"/>
          <w:color w:val="auto"/>
          <w:kern w:val="0"/>
          <w:sz w:val="24"/>
          <w:highlight w:val="none"/>
        </w:rPr>
        <w:t>10</w:t>
      </w:r>
      <w:r>
        <w:rPr>
          <w:rFonts w:hint="eastAsia" w:ascii="宋体" w:hAnsi="宋体" w:eastAsia="宋体" w:cs="宋体"/>
          <w:color w:val="auto"/>
          <w:kern w:val="0"/>
          <w:sz w:val="24"/>
          <w:highlight w:val="none"/>
          <w:lang w:val="zh-CN"/>
        </w:rPr>
        <w:t>日内向基层监督机构部门提出投诉。</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.3.2响应人投诉的事项不得超出已异议事项的范围，基于异议答复内容提出的投诉事项除外。</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.3.3响应人投诉应当有明确的请求和必要的证明材料。</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以联合体形式参加交易活动的，其投诉应当由组成联合体的所有响应人共同提出。</w:t>
      </w:r>
    </w:p>
    <w:p>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w:t>
      </w:r>
    </w:p>
    <w:p>
      <w:pPr>
        <w:pStyle w:val="137"/>
        <w:snapToGrid w:val="0"/>
        <w:spacing w:before="0" w:line="460" w:lineRule="exact"/>
        <w:ind w:firstLine="360"/>
        <w:rPr>
          <w:rFonts w:hint="eastAsia" w:ascii="宋体" w:hAnsi="宋体" w:eastAsia="宋体" w:cs="宋体"/>
          <w:color w:val="auto"/>
          <w:sz w:val="18"/>
          <w:szCs w:val="18"/>
          <w:highlight w:val="none"/>
        </w:rPr>
      </w:pPr>
    </w:p>
    <w:p>
      <w:pPr>
        <w:adjustRightInd/>
        <w:spacing w:line="460" w:lineRule="exact"/>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二、公开竞争文件的构成、澄清、修改</w:t>
      </w:r>
    </w:p>
    <w:p>
      <w:pPr>
        <w:pStyle w:val="33"/>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4．公开竞争文件的构成</w:t>
      </w:r>
    </w:p>
    <w:p>
      <w:pPr>
        <w:pStyle w:val="33"/>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4.1公开竞争文件包括下列文件及附件：</w:t>
      </w:r>
    </w:p>
    <w:p>
      <w:pPr>
        <w:pStyle w:val="33"/>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4.1.1交易公告；</w:t>
      </w:r>
    </w:p>
    <w:p>
      <w:pPr>
        <w:pStyle w:val="33"/>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4.1.2响应人须知；</w:t>
      </w:r>
    </w:p>
    <w:p>
      <w:pPr>
        <w:pStyle w:val="33"/>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4.1.3交易需求；</w:t>
      </w:r>
    </w:p>
    <w:p>
      <w:pPr>
        <w:pStyle w:val="33"/>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4.1.4交易办法；</w:t>
      </w:r>
    </w:p>
    <w:p>
      <w:pPr>
        <w:pStyle w:val="33"/>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4.1.5拟签订的合同文本；</w:t>
      </w:r>
    </w:p>
    <w:p>
      <w:pPr>
        <w:pStyle w:val="33"/>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4.1.6</w:t>
      </w:r>
      <w:r>
        <w:rPr>
          <w:rFonts w:hint="eastAsia" w:ascii="宋体" w:hAnsi="宋体" w:eastAsia="宋体" w:cs="宋体"/>
          <w:color w:val="auto"/>
          <w:sz w:val="24"/>
          <w:szCs w:val="24"/>
          <w:highlight w:val="none"/>
        </w:rPr>
        <w:t>应提交的有关格式范例。</w:t>
      </w:r>
    </w:p>
    <w:p>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4.2与本项目有关的</w:t>
      </w:r>
      <w:r>
        <w:rPr>
          <w:rFonts w:hint="eastAsia" w:ascii="宋体" w:hAnsi="宋体" w:eastAsia="宋体" w:cs="宋体"/>
          <w:bCs/>
          <w:color w:val="auto"/>
          <w:sz w:val="24"/>
          <w:highlight w:val="none"/>
        </w:rPr>
        <w:t>澄清或者修改的内容为公开竞争文件的组成部分</w:t>
      </w:r>
      <w:r>
        <w:rPr>
          <w:rFonts w:hint="eastAsia" w:ascii="宋体" w:hAnsi="宋体" w:eastAsia="宋体" w:cs="宋体"/>
          <w:color w:val="auto"/>
          <w:sz w:val="24"/>
          <w:highlight w:val="none"/>
        </w:rPr>
        <w:t>。</w:t>
      </w:r>
    </w:p>
    <w:p>
      <w:pPr>
        <w:pStyle w:val="33"/>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5.公开竞争文件的澄清、修改</w:t>
      </w:r>
    </w:p>
    <w:p>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5.1已获取公开竞争文件的潜在响应人，若有问题需要澄清，应于响应截止时间前，以书面形式向代理机构提出。</w:t>
      </w:r>
    </w:p>
    <w:p>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pPr>
        <w:adjustRightInd/>
        <w:spacing w:line="460" w:lineRule="exact"/>
        <w:jc w:val="center"/>
        <w:outlineLvl w:val="0"/>
        <w:rPr>
          <w:rFonts w:hint="eastAsia" w:ascii="宋体" w:hAnsi="宋体" w:eastAsia="宋体" w:cs="宋体"/>
          <w:b/>
          <w:color w:val="auto"/>
          <w:sz w:val="30"/>
          <w:szCs w:val="20"/>
          <w:highlight w:val="none"/>
        </w:rPr>
      </w:pPr>
    </w:p>
    <w:p>
      <w:pPr>
        <w:adjustRightInd/>
        <w:spacing w:line="460" w:lineRule="exact"/>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三、响应</w:t>
      </w:r>
    </w:p>
    <w:p>
      <w:pPr>
        <w:pStyle w:val="33"/>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6.公开竞争文件的获取</w:t>
      </w:r>
    </w:p>
    <w:p>
      <w:pPr>
        <w:spacing w:line="460" w:lineRule="exact"/>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详见交易公告中获取公开竞争文件的时间期限、地点、方式及公开竞争文件售价。</w:t>
      </w:r>
    </w:p>
    <w:p>
      <w:pPr>
        <w:pStyle w:val="33"/>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7.交易前答疑会或现场考察</w:t>
      </w:r>
    </w:p>
    <w:p>
      <w:pPr>
        <w:pStyle w:val="33"/>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本项目不组织交易前答疑会或现场考察。</w:t>
      </w:r>
    </w:p>
    <w:p>
      <w:pPr>
        <w:pStyle w:val="33"/>
        <w:spacing w:line="460" w:lineRule="exact"/>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8.交易保证金</w:t>
      </w:r>
    </w:p>
    <w:p>
      <w:pPr>
        <w:pStyle w:val="16"/>
        <w:spacing w:line="46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本项目不需缴纳交易保证金。</w:t>
      </w:r>
    </w:p>
    <w:p>
      <w:pPr>
        <w:pStyle w:val="33"/>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9.响应文件的语言</w:t>
      </w:r>
    </w:p>
    <w:p>
      <w:pPr>
        <w:autoSpaceDE w:val="0"/>
        <w:autoSpaceDN w:val="0"/>
        <w:spacing w:line="4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响应文件及响应人与交易有关的来往通知、函件和文件均应使用中文。</w:t>
      </w:r>
    </w:p>
    <w:p>
      <w:pPr>
        <w:pStyle w:val="33"/>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10.响应文件的组成</w:t>
      </w:r>
    </w:p>
    <w:p>
      <w:pPr>
        <w:snapToGrid w:val="0"/>
        <w:spacing w:line="4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10.1资格文件：</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10.1.1符合参加交易活动应当具备的一般条件的承诺函；</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10.1.2本项目的特定资格要求。</w:t>
      </w:r>
    </w:p>
    <w:p>
      <w:pPr>
        <w:snapToGrid w:val="0"/>
        <w:spacing w:line="460" w:lineRule="exact"/>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10.2.1交易函；</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10.2.2授权委托书或法定代表人（单位负责人、自然人本人）身份证明；</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10.2.3营业执照；</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10.2.4符合性审查资料；</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10.2.5评审标准相应的商务技术资料；</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10.2.6商务技术偏离表；</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10.2.7</w:t>
      </w:r>
      <w:r>
        <w:rPr>
          <w:rFonts w:hint="eastAsia" w:ascii="宋体" w:hAnsi="宋体" w:eastAsia="宋体" w:cs="宋体"/>
          <w:color w:val="auto"/>
          <w:sz w:val="24"/>
          <w:highlight w:val="none"/>
          <w:lang w:val="zh-CN"/>
        </w:rPr>
        <w:t>响应人廉洁自律承诺书。</w:t>
      </w:r>
    </w:p>
    <w:p>
      <w:pPr>
        <w:snapToGrid w:val="0"/>
        <w:spacing w:line="460" w:lineRule="exact"/>
        <w:ind w:firstLine="482" w:firstLineChars="200"/>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10.3.1交易一览表（报价表）。</w:t>
      </w:r>
    </w:p>
    <w:p>
      <w:pPr>
        <w:spacing w:line="460" w:lineRule="exact"/>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响应文件含有交易发起人不能接受的附加条件的，交易无效；</w:t>
      </w:r>
    </w:p>
    <w:p>
      <w:pPr>
        <w:spacing w:line="460" w:lineRule="exact"/>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响应人提供虚假材料投标的，交易无效。</w:t>
      </w:r>
    </w:p>
    <w:p>
      <w:pPr>
        <w:pStyle w:val="137"/>
        <w:snapToGrid w:val="0"/>
        <w:spacing w:before="0" w:line="460" w:lineRule="exact"/>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响应文件的编制</w:t>
      </w:r>
    </w:p>
    <w:p>
      <w:pPr>
        <w:spacing w:line="4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pPr>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.2响应人进行电子投标应安装客户端软件—“乐采云电子交易客户端”，并按照公开竞争文件和电子交易平台的要求编制并加密响应文件。响应人未按规定加密的响应文件，电子交易平台将拒收并提示。</w:t>
      </w:r>
    </w:p>
    <w:p>
      <w:pPr>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.3使用“乐采云电子交易客户端”需要提前申领CA数字证书，申领流程请自行前往“浙江企业采购信息服务网-下载专区-电子交易客户端-CA驱动和申领流程”进行查阅。</w:t>
      </w:r>
    </w:p>
    <w:p>
      <w:pPr>
        <w:snapToGrid w:val="0"/>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12.响应文件的签署、盖章</w:t>
      </w:r>
    </w:p>
    <w:p>
      <w:pPr>
        <w:pStyle w:val="137"/>
        <w:snapToGrid w:val="0"/>
        <w:spacing w:before="0" w:line="460" w:lineRule="exact"/>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12.1响应文件按照公开竞争文件第六部分格式要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▲响应人的响应文件未按照公开竞争文件要求签署、盖章的，其交易无效</w:t>
      </w:r>
      <w:r>
        <w:rPr>
          <w:rFonts w:hint="eastAsia" w:ascii="宋体" w:hAnsi="宋体" w:eastAsia="宋体" w:cs="宋体"/>
          <w:color w:val="auto"/>
          <w:szCs w:val="24"/>
          <w:highlight w:val="none"/>
        </w:rPr>
        <w:t>。</w:t>
      </w:r>
    </w:p>
    <w:p>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12.2为确保网上操作合法、有效和安全，响应人应当在响应截止时间前完成在“</w:t>
      </w:r>
      <w:r>
        <w:rPr>
          <w:rFonts w:hint="eastAsia" w:ascii="宋体" w:hAnsi="宋体" w:eastAsia="宋体" w:cs="宋体"/>
          <w:color w:val="auto"/>
          <w:highlight w:val="none"/>
          <w:lang w:eastAsia="zh-CN"/>
        </w:rPr>
        <w:t>乐采云平台</w:t>
      </w:r>
      <w:r>
        <w:rPr>
          <w:rFonts w:hint="eastAsia" w:ascii="宋体" w:hAnsi="宋体" w:eastAsia="宋体" w:cs="宋体"/>
          <w:color w:val="auto"/>
          <w:highlight w:val="none"/>
        </w:rPr>
        <w:t>”的身份认证，确保在电子投标过程中能够对相关数据电文进行加密和使用电子签名。</w:t>
      </w:r>
    </w:p>
    <w:p>
      <w:pPr>
        <w:pStyle w:val="137"/>
        <w:snapToGrid w:val="0"/>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12.3公开竞争文件对响应文件签署、盖章的要求适用于电子签名。</w:t>
      </w:r>
    </w:p>
    <w:p>
      <w:pPr>
        <w:pStyle w:val="137"/>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13.响应文件的提交、补充、修改、撤回</w:t>
      </w:r>
    </w:p>
    <w:p>
      <w:pPr>
        <w:pStyle w:val="137"/>
        <w:spacing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pPr>
        <w:pStyle w:val="137"/>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pPr>
        <w:pStyle w:val="137"/>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pPr>
        <w:pStyle w:val="33"/>
        <w:numPr>
          <w:ilvl w:val="0"/>
          <w:numId w:val="1"/>
        </w:numPr>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备份响应文件</w:t>
      </w:r>
    </w:p>
    <w:p>
      <w:pPr>
        <w:pStyle w:val="33"/>
        <w:spacing w:line="4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rPr>
        <w:t>不收取备份响应文件。</w:t>
      </w:r>
    </w:p>
    <w:p>
      <w:pPr>
        <w:pStyle w:val="137"/>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15.响应文件的无效处理</w:t>
      </w:r>
    </w:p>
    <w:p>
      <w:pPr>
        <w:pStyle w:val="17"/>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有公开竞争文件第四部分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的情形之一的，交易无效：</w:t>
      </w:r>
    </w:p>
    <w:p>
      <w:pPr>
        <w:pStyle w:val="137"/>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16.交易有效期</w:t>
      </w:r>
    </w:p>
    <w:p>
      <w:pPr>
        <w:spacing w:line="460" w:lineRule="exact"/>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16.1交易有效期为从提交响应文件的截止之日起90天。▲</w:t>
      </w:r>
      <w:r>
        <w:rPr>
          <w:rFonts w:hint="eastAsia" w:ascii="宋体" w:hAnsi="宋体" w:eastAsia="宋体" w:cs="宋体"/>
          <w:b/>
          <w:color w:val="auto"/>
          <w:sz w:val="24"/>
          <w:szCs w:val="20"/>
          <w:highlight w:val="none"/>
        </w:rPr>
        <w:t>响应人的响应文件中承</w:t>
      </w:r>
      <w:r>
        <w:rPr>
          <w:rFonts w:hint="eastAsia" w:ascii="宋体" w:hAnsi="宋体" w:eastAsia="宋体" w:cs="宋体"/>
          <w:b/>
          <w:color w:val="auto"/>
          <w:sz w:val="24"/>
          <w:szCs w:val="21"/>
          <w:highlight w:val="none"/>
        </w:rPr>
        <w:t>诺的交易有效期少于公开竞争文件中载明的交易有效期的，交易无效。</w:t>
      </w:r>
    </w:p>
    <w:p>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16.2响应文件合格投递后，自投标截止日期起，在交易有效期内有效。</w:t>
      </w:r>
    </w:p>
    <w:p>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pPr>
        <w:pStyle w:val="137"/>
        <w:spacing w:before="0" w:line="460" w:lineRule="exact"/>
        <w:ind w:firstLine="643"/>
        <w:rPr>
          <w:rFonts w:hint="eastAsia" w:ascii="宋体" w:hAnsi="宋体" w:eastAsia="宋体" w:cs="宋体"/>
          <w:b/>
          <w:color w:val="auto"/>
          <w:sz w:val="32"/>
          <w:highlight w:val="none"/>
        </w:rPr>
      </w:pPr>
    </w:p>
    <w:p>
      <w:pPr>
        <w:pStyle w:val="137"/>
        <w:spacing w:before="0" w:line="460" w:lineRule="exact"/>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四、交易、资格审查</w:t>
      </w:r>
    </w:p>
    <w:p>
      <w:pPr>
        <w:pStyle w:val="562"/>
        <w:spacing w:before="0" w:line="460" w:lineRule="exact"/>
        <w:ind w:left="0" w:firstLine="0"/>
        <w:contextualSpacing/>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 xml:space="preserve">17.交易 </w:t>
      </w:r>
    </w:p>
    <w:p>
      <w:pPr>
        <w:pStyle w:val="562"/>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17.1代理机构按照公开竞争文件规定的时间通过电子交易平台组织开标，所有响应人均应当准时在线参加。响应人不足</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家的，不得开标。</w:t>
      </w:r>
    </w:p>
    <w:p>
      <w:pPr>
        <w:pStyle w:val="562"/>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pPr>
        <w:pStyle w:val="562"/>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17.3响应文件未按时解密，视为响应文件撤回。</w:t>
      </w:r>
    </w:p>
    <w:p>
      <w:pPr>
        <w:pStyle w:val="17"/>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18、资格审查</w:t>
      </w:r>
    </w:p>
    <w:p>
      <w:pPr>
        <w:pStyle w:val="137"/>
        <w:spacing w:before="0" w:line="46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18.1交易后，交易发起人或代理机构将依法对响应人的资格进行审查。</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18.2</w:t>
      </w:r>
      <w:r>
        <w:rPr>
          <w:rFonts w:hint="eastAsia" w:ascii="宋体" w:hAnsi="宋体" w:eastAsia="宋体" w:cs="宋体"/>
          <w:color w:val="auto"/>
          <w:sz w:val="24"/>
          <w:highlight w:val="none"/>
        </w:rPr>
        <w:t>交易发起人或代理机构依据法律法规和公开竞争文件的规定，对响应人的基本资格条件、特定资格条件进行审查。</w:t>
      </w:r>
    </w:p>
    <w:p>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18.3响应人未按照公开竞争文件要求提供与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响应人不具备公开竞争文件中规定的资格要求，其交易无效。</w:t>
      </w:r>
    </w:p>
    <w:p>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4对未通过资格审查的响应人，交易发起人或代理机构告知其未通过的原因。</w:t>
      </w:r>
    </w:p>
    <w:p>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5合格响应人不足</w:t>
      </w:r>
      <w:r>
        <w:rPr>
          <w:rFonts w:hint="eastAsia" w:ascii="宋体" w:hAnsi="宋体" w:cs="宋体"/>
          <w:color w:val="auto"/>
          <w:highlight w:val="none"/>
          <w:lang w:val="en-US" w:eastAsia="zh-CN"/>
        </w:rPr>
        <w:t>3</w:t>
      </w:r>
      <w:r>
        <w:rPr>
          <w:rFonts w:hint="eastAsia" w:ascii="宋体" w:hAnsi="宋体" w:eastAsia="宋体" w:cs="宋体"/>
          <w:color w:val="auto"/>
          <w:highlight w:val="none"/>
        </w:rPr>
        <w:t>家的，不再评标。</w:t>
      </w:r>
    </w:p>
    <w:p>
      <w:pPr>
        <w:pStyle w:val="137"/>
        <w:spacing w:before="0" w:line="460" w:lineRule="exact"/>
        <w:ind w:firstLine="0" w:firstLineChars="0"/>
        <w:rPr>
          <w:rFonts w:hint="eastAsia" w:ascii="宋体" w:hAnsi="宋体" w:eastAsia="宋体" w:cs="宋体"/>
          <w:color w:val="auto"/>
          <w:kern w:val="0"/>
          <w:szCs w:val="24"/>
          <w:highlight w:val="none"/>
        </w:rPr>
      </w:pPr>
    </w:p>
    <w:p>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五、评审</w:t>
      </w:r>
    </w:p>
    <w:p>
      <w:pPr>
        <w:spacing w:line="460" w:lineRule="exact"/>
        <w:rPr>
          <w:rFonts w:hint="eastAsia" w:ascii="宋体" w:hAnsi="宋体" w:eastAsia="宋体" w:cs="宋体"/>
          <w:color w:val="auto"/>
          <w:sz w:val="24"/>
          <w:highlight w:val="none"/>
        </w:rPr>
      </w:pPr>
      <w:bookmarkStart w:id="14" w:name="_Toc91899903"/>
      <w:r>
        <w:rPr>
          <w:rFonts w:hint="eastAsia" w:ascii="宋体" w:hAnsi="宋体" w:eastAsia="宋体" w:cs="宋体"/>
          <w:b/>
          <w:color w:val="auto"/>
          <w:sz w:val="24"/>
          <w:highlight w:val="none"/>
        </w:rPr>
        <w:t>19.</w:t>
      </w:r>
      <w:r>
        <w:rPr>
          <w:rFonts w:hint="eastAsia" w:ascii="宋体" w:hAnsi="宋体" w:eastAsia="宋体" w:cs="宋体"/>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详见公开竞争文件第四部分交易办法。</w:t>
      </w:r>
    </w:p>
    <w:p>
      <w:pPr>
        <w:spacing w:line="460" w:lineRule="exact"/>
        <w:rPr>
          <w:rFonts w:hint="eastAsia" w:ascii="宋体" w:hAnsi="宋体" w:eastAsia="宋体" w:cs="宋体"/>
          <w:b/>
          <w:color w:val="auto"/>
          <w:sz w:val="24"/>
          <w:highlight w:val="none"/>
        </w:rPr>
      </w:pPr>
    </w:p>
    <w:p>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pPr>
        <w:pStyle w:val="17"/>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20.确定成交响应人</w:t>
      </w:r>
    </w:p>
    <w:p>
      <w:pPr>
        <w:pStyle w:val="137"/>
        <w:snapToGrid w:val="0"/>
        <w:spacing w:before="0" w:line="460" w:lineRule="exact"/>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交易发起人将自收到评审报告之日起5个工作日内通过电子交易平台在评审报告推荐的成交候选人中按顺序确定成交响应人。</w:t>
      </w:r>
    </w:p>
    <w:p>
      <w:pPr>
        <w:pStyle w:val="137"/>
        <w:snapToGrid w:val="0"/>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21.成交通知与成交结果公告</w:t>
      </w:r>
    </w:p>
    <w:p>
      <w:pPr>
        <w:pStyle w:val="137"/>
        <w:snapToGrid w:val="0"/>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21.1自成交人确定之日起3天内，代理机构通过电子交易平台向成交人发出成交通知书，同时编制发布成交结果公告。代理机构也可以以纸质形式进行成交通知。</w:t>
      </w:r>
    </w:p>
    <w:p>
      <w:pPr>
        <w:pStyle w:val="137"/>
        <w:snapToGrid w:val="0"/>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21.2成交结果公告内容包括交易发起人及其委托的代理机构的名称、地址、联系方式，项目名称和交易编号，成交人名称、地址和成交金额。</w:t>
      </w:r>
    </w:p>
    <w:p>
      <w:pPr>
        <w:snapToGrid w:val="0"/>
        <w:spacing w:line="460" w:lineRule="exact"/>
        <w:ind w:left="120" w:leftChars="57" w:firstLine="482" w:firstLineChars="150"/>
        <w:jc w:val="center"/>
        <w:rPr>
          <w:rFonts w:hint="eastAsia" w:ascii="宋体" w:hAnsi="宋体" w:eastAsia="宋体" w:cs="宋体"/>
          <w:b/>
          <w:color w:val="auto"/>
          <w:sz w:val="32"/>
          <w:highlight w:val="none"/>
        </w:rPr>
      </w:pPr>
    </w:p>
    <w:p>
      <w:pPr>
        <w:snapToGrid w:val="0"/>
        <w:spacing w:line="460" w:lineRule="exact"/>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17"/>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w:t>
      </w:r>
      <w:r>
        <w:rPr>
          <w:rFonts w:hint="eastAsia" w:ascii="宋体" w:hAnsi="宋体" w:eastAsia="宋体" w:cs="宋体"/>
          <w:color w:val="auto"/>
          <w:highlight w:val="none"/>
        </w:rPr>
        <w:t>合同主要条款详见第五部分拟签订的合同文本。</w:t>
      </w:r>
    </w:p>
    <w:p>
      <w:pPr>
        <w:pStyle w:val="17"/>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23.合同的签订</w:t>
      </w:r>
    </w:p>
    <w:p>
      <w:pPr>
        <w:pStyle w:val="137"/>
        <w:snapToGrid w:val="0"/>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23.1交易发起人与成交人应当通过电子交易平台在成交通知书发出之日起三十日内，按照公开竞争文件确定的事项签订书面合同。</w:t>
      </w:r>
    </w:p>
    <w:p>
      <w:pPr>
        <w:pStyle w:val="137"/>
        <w:snapToGrid w:val="0"/>
        <w:spacing w:before="0" w:line="460" w:lineRule="exact"/>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23.3如签订合同并生效后，响应人无故拒绝或延期，除按照合同条款处理外，列入不良行为记录一次，并给予通报。</w:t>
      </w:r>
    </w:p>
    <w:p>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23.4成交响应人拒绝与交易发起人签订合同的，交易发起人可以按照评审报告推荐的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或者成交候选人名单排序，确定下一候选人为成交响应人，也可以重新开展交易活动。</w:t>
      </w:r>
    </w:p>
    <w:p>
      <w:pPr>
        <w:pStyle w:val="137"/>
        <w:snapToGrid w:val="0"/>
        <w:spacing w:before="0" w:after="12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23.5书面合同由交易发起人与成交响应人根据公开竞争文件、响应文件等内容签订合同。</w:t>
      </w:r>
    </w:p>
    <w:p>
      <w:pPr>
        <w:pStyle w:val="17"/>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24.履约保证金：</w:t>
      </w:r>
      <w:r>
        <w:rPr>
          <w:rFonts w:hint="eastAsia" w:cs="宋体"/>
          <w:bCs/>
          <w:color w:val="auto"/>
          <w:highlight w:val="none"/>
          <w:lang w:val="en-US" w:eastAsia="zh-CN"/>
        </w:rPr>
        <w:t>详见响应人须知前附表</w:t>
      </w:r>
      <w:r>
        <w:rPr>
          <w:rFonts w:hint="eastAsia" w:ascii="宋体" w:hAnsi="宋体" w:eastAsia="宋体" w:cs="宋体"/>
          <w:bCs/>
          <w:color w:val="auto"/>
          <w:highlight w:val="none"/>
        </w:rPr>
        <w:t>。</w:t>
      </w:r>
    </w:p>
    <w:p>
      <w:pPr>
        <w:snapToGrid w:val="0"/>
        <w:spacing w:line="460" w:lineRule="exact"/>
        <w:ind w:firstLine="3357" w:firstLineChars="1045"/>
        <w:rPr>
          <w:rFonts w:hint="eastAsia" w:ascii="宋体" w:hAnsi="宋体" w:eastAsia="宋体" w:cs="宋体"/>
          <w:b/>
          <w:color w:val="auto"/>
          <w:sz w:val="32"/>
          <w:highlight w:val="none"/>
        </w:rPr>
      </w:pPr>
    </w:p>
    <w:p>
      <w:pPr>
        <w:snapToGrid w:val="0"/>
        <w:spacing w:line="460" w:lineRule="exact"/>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7"/>
        <w:snapToGrid w:val="0"/>
        <w:spacing w:before="0" w:line="46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rPr>
        <w:t>5.电子交易活动的中止。</w:t>
      </w:r>
      <w:r>
        <w:rPr>
          <w:rFonts w:hint="eastAsia" w:ascii="宋体" w:hAnsi="宋体" w:eastAsia="宋体" w:cs="宋体"/>
          <w:bCs/>
          <w:color w:val="auto"/>
          <w:szCs w:val="24"/>
          <w:highlight w:val="none"/>
        </w:rPr>
        <w:t>交易</w:t>
      </w:r>
      <w:r>
        <w:rPr>
          <w:rFonts w:hint="eastAsia" w:ascii="宋体" w:hAnsi="宋体" w:eastAsia="宋体" w:cs="宋体"/>
          <w:color w:val="auto"/>
          <w:highlight w:val="none"/>
        </w:rPr>
        <w:t>过程中出现以下情形，导致电子交易平台无法正常运行，或者无法保证电子交易的公平、公正和安全时，代理机构可中止电子交易活动：</w:t>
      </w:r>
    </w:p>
    <w:p>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25.1电子交易平台发生故障而无法登录访问的； </w:t>
      </w:r>
    </w:p>
    <w:p>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25.2电子交易平台应用或数据库出现错误，不能进行正常操作的；</w:t>
      </w:r>
    </w:p>
    <w:p>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25.3电子交易平台发现严重安全漏洞，有潜在泄密危险的；</w:t>
      </w:r>
    </w:p>
    <w:p>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25.4病毒发作导致不能进行正常操作的； </w:t>
      </w:r>
    </w:p>
    <w:p>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25.5其他无法保证电子交易的公平、公正和安全的情况。</w:t>
      </w:r>
    </w:p>
    <w:p>
      <w:pPr>
        <w:pStyle w:val="137"/>
        <w:snapToGrid w:val="0"/>
        <w:spacing w:before="0" w:line="46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26.</w:t>
      </w:r>
      <w:r>
        <w:rPr>
          <w:rFonts w:hint="eastAsia" w:ascii="宋体" w:hAnsi="宋体" w:eastAsia="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pPr>
        <w:snapToGrid w:val="0"/>
        <w:spacing w:line="460" w:lineRule="exact"/>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17"/>
        <w:spacing w:line="460" w:lineRule="exact"/>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27.验收</w:t>
      </w:r>
    </w:p>
    <w:p>
      <w:pPr>
        <w:tabs>
          <w:tab w:val="left" w:pos="0"/>
        </w:tabs>
        <w:spacing w:line="46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27.1交易发起人应当组织对响应人履约的验收。</w:t>
      </w:r>
    </w:p>
    <w:bookmarkEnd w:id="12"/>
    <w:bookmarkEnd w:id="13"/>
    <w:bookmarkEnd w:id="14"/>
    <w:p>
      <w:pPr>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pPr>
        <w:jc w:val="center"/>
        <w:rPr>
          <w:rFonts w:hint="eastAsia" w:ascii="宋体" w:hAnsi="宋体" w:eastAsia="宋体" w:cs="宋体"/>
          <w:color w:val="auto"/>
          <w:sz w:val="24"/>
          <w:highlight w:val="none"/>
        </w:rPr>
      </w:pPr>
      <w:r>
        <w:rPr>
          <w:rFonts w:hint="eastAsia" w:ascii="宋体" w:hAnsi="宋体" w:eastAsia="宋体" w:cs="宋体"/>
          <w:b/>
          <w:color w:val="auto"/>
          <w:sz w:val="36"/>
          <w:szCs w:val="36"/>
          <w:highlight w:val="none"/>
        </w:rPr>
        <w:t>第三部分   交易需求</w:t>
      </w: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一、</w:t>
      </w:r>
      <w:r>
        <w:rPr>
          <w:rFonts w:hint="eastAsia" w:ascii="宋体" w:hAnsi="宋体" w:eastAsia="宋体" w:cs="宋体"/>
          <w:b/>
          <w:color w:val="auto"/>
          <w:sz w:val="28"/>
          <w:szCs w:val="28"/>
          <w:highlight w:val="none"/>
        </w:rPr>
        <w:t>交易一览表</w:t>
      </w:r>
    </w:p>
    <w:p>
      <w:pPr>
        <w:spacing w:after="120"/>
        <w:rPr>
          <w:rFonts w:hint="eastAsia" w:ascii="宋体" w:hAnsi="宋体" w:eastAsia="宋体" w:cs="宋体"/>
          <w:color w:val="auto"/>
          <w:highlight w:val="none"/>
        </w:rPr>
      </w:pPr>
      <w:r>
        <w:rPr>
          <w:rFonts w:hint="eastAsia" w:ascii="宋体" w:hAnsi="宋体" w:eastAsia="宋体" w:cs="宋体"/>
          <w:color w:val="auto"/>
          <w:sz w:val="24"/>
          <w:highlight w:val="none"/>
        </w:rPr>
        <w:t>标项：</w:t>
      </w:r>
    </w:p>
    <w:tbl>
      <w:tblPr>
        <w:tblStyle w:val="65"/>
        <w:tblW w:w="9483" w:type="dxa"/>
        <w:jc w:val="center"/>
        <w:tblLayout w:type="fixed"/>
        <w:tblCellMar>
          <w:top w:w="0" w:type="dxa"/>
          <w:left w:w="0" w:type="dxa"/>
          <w:bottom w:w="0" w:type="dxa"/>
          <w:right w:w="0" w:type="dxa"/>
        </w:tblCellMar>
      </w:tblPr>
      <w:tblGrid>
        <w:gridCol w:w="777"/>
        <w:gridCol w:w="5028"/>
        <w:gridCol w:w="1560"/>
        <w:gridCol w:w="706"/>
        <w:gridCol w:w="706"/>
        <w:gridCol w:w="706"/>
      </w:tblGrid>
      <w:tr>
        <w:tblPrEx>
          <w:tblCellMar>
            <w:top w:w="0" w:type="dxa"/>
            <w:left w:w="0" w:type="dxa"/>
            <w:bottom w:w="0" w:type="dxa"/>
            <w:right w:w="0" w:type="dxa"/>
          </w:tblCellMar>
        </w:tblPrEx>
        <w:trPr>
          <w:cantSplit/>
          <w:trHeight w:val="514" w:hRule="atLeast"/>
          <w:jc w:val="center"/>
        </w:trPr>
        <w:tc>
          <w:tcPr>
            <w:tcW w:w="7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标项</w:t>
            </w:r>
          </w:p>
        </w:tc>
        <w:tc>
          <w:tcPr>
            <w:tcW w:w="502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5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具体服务要求</w:t>
            </w:r>
          </w:p>
        </w:tc>
        <w:tc>
          <w:tcPr>
            <w:tcW w:w="70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70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CellMar>
            <w:top w:w="0" w:type="dxa"/>
            <w:left w:w="0" w:type="dxa"/>
            <w:bottom w:w="0" w:type="dxa"/>
            <w:right w:w="0" w:type="dxa"/>
          </w:tblCellMar>
        </w:tblPrEx>
        <w:trPr>
          <w:cantSplit/>
          <w:trHeight w:val="1200" w:hRule="atLeast"/>
          <w:jc w:val="center"/>
        </w:trPr>
        <w:tc>
          <w:tcPr>
            <w:tcW w:w="7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02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杭州萧山城市服务管理有限公司</w:t>
            </w:r>
            <w:r>
              <w:rPr>
                <w:rFonts w:hint="eastAsia" w:ascii="宋体" w:hAnsi="宋体" w:cs="宋体"/>
                <w:color w:val="auto"/>
                <w:sz w:val="24"/>
                <w:highlight w:val="none"/>
                <w:lang w:val="en-US" w:eastAsia="zh-CN"/>
              </w:rPr>
              <w:t>2024-</w:t>
            </w:r>
            <w:r>
              <w:rPr>
                <w:rFonts w:hint="eastAsia" w:ascii="宋体" w:hAnsi="宋体" w:cs="宋体"/>
                <w:color w:val="auto"/>
                <w:sz w:val="24"/>
                <w:highlight w:val="none"/>
                <w:lang w:eastAsia="zh-CN"/>
              </w:rPr>
              <w:t>2025年度零星维修及装修</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lang w:eastAsia="zh-CN"/>
              </w:rPr>
              <w:t>项目</w:t>
            </w:r>
            <w:r>
              <w:rPr>
                <w:rFonts w:hint="eastAsia" w:ascii="宋体" w:hAnsi="宋体" w:cs="宋体"/>
                <w:color w:val="auto"/>
                <w:sz w:val="24"/>
                <w:highlight w:val="none"/>
                <w:lang w:val="en-US" w:eastAsia="zh-CN"/>
              </w:rPr>
              <w:t>-标项1</w:t>
            </w:r>
          </w:p>
        </w:tc>
        <w:tc>
          <w:tcPr>
            <w:tcW w:w="15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详见交易需求</w:t>
            </w:r>
          </w:p>
        </w:tc>
        <w:tc>
          <w:tcPr>
            <w:tcW w:w="70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年</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706" w:type="dxa"/>
            <w:tcBorders>
              <w:top w:val="single" w:color="auto" w:sz="4" w:space="0"/>
              <w:left w:val="nil"/>
              <w:bottom w:val="single" w:color="auto" w:sz="4" w:space="0"/>
              <w:right w:val="single" w:color="auto" w:sz="4" w:space="0"/>
            </w:tcBorders>
            <w:vAlign w:val="center"/>
          </w:tcPr>
          <w:p>
            <w:pPr>
              <w:spacing w:line="240" w:lineRule="auto"/>
              <w:jc w:val="center"/>
              <w:rPr>
                <w:rFonts w:hint="default" w:ascii="宋体" w:hAnsi="宋体" w:eastAsia="宋体" w:cs="宋体"/>
                <w:color w:val="auto"/>
                <w:sz w:val="24"/>
                <w:highlight w:val="none"/>
                <w:lang w:val="en-US" w:eastAsia="zh-CN"/>
              </w:rPr>
            </w:pPr>
          </w:p>
        </w:tc>
      </w:tr>
      <w:tr>
        <w:tblPrEx>
          <w:tblCellMar>
            <w:top w:w="0" w:type="dxa"/>
            <w:left w:w="0" w:type="dxa"/>
            <w:bottom w:w="0" w:type="dxa"/>
            <w:right w:w="0" w:type="dxa"/>
          </w:tblCellMar>
        </w:tblPrEx>
        <w:trPr>
          <w:cantSplit/>
          <w:trHeight w:val="1200" w:hRule="atLeast"/>
          <w:jc w:val="center"/>
        </w:trPr>
        <w:tc>
          <w:tcPr>
            <w:tcW w:w="7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502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杭州萧山城市服务管理有限公司</w:t>
            </w:r>
            <w:r>
              <w:rPr>
                <w:rFonts w:hint="eastAsia" w:ascii="宋体" w:hAnsi="宋体" w:cs="宋体"/>
                <w:color w:val="auto"/>
                <w:sz w:val="24"/>
                <w:highlight w:val="none"/>
                <w:lang w:val="en-US" w:eastAsia="zh-CN"/>
              </w:rPr>
              <w:t>2024-</w:t>
            </w:r>
            <w:r>
              <w:rPr>
                <w:rFonts w:hint="eastAsia" w:ascii="宋体" w:hAnsi="宋体" w:cs="宋体"/>
                <w:color w:val="auto"/>
                <w:sz w:val="24"/>
                <w:highlight w:val="none"/>
                <w:lang w:eastAsia="zh-CN"/>
              </w:rPr>
              <w:t>2025年度零星维修及装修</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lang w:eastAsia="zh-CN"/>
              </w:rPr>
              <w:t>项目</w:t>
            </w:r>
            <w:r>
              <w:rPr>
                <w:rFonts w:hint="eastAsia" w:ascii="宋体" w:hAnsi="宋体" w:cs="宋体"/>
                <w:color w:val="auto"/>
                <w:sz w:val="24"/>
                <w:highlight w:val="none"/>
                <w:lang w:val="en-US" w:eastAsia="zh-CN"/>
              </w:rPr>
              <w:t>-标项2</w:t>
            </w:r>
          </w:p>
        </w:tc>
        <w:tc>
          <w:tcPr>
            <w:tcW w:w="15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详见交易需求</w:t>
            </w:r>
          </w:p>
        </w:tc>
        <w:tc>
          <w:tcPr>
            <w:tcW w:w="70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年</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706" w:type="dxa"/>
            <w:tcBorders>
              <w:top w:val="single" w:color="auto" w:sz="4" w:space="0"/>
              <w:left w:val="nil"/>
              <w:bottom w:val="single" w:color="auto" w:sz="4" w:space="0"/>
              <w:right w:val="single" w:color="auto" w:sz="4" w:space="0"/>
            </w:tcBorders>
            <w:vAlign w:val="center"/>
          </w:tcPr>
          <w:p>
            <w:pPr>
              <w:spacing w:line="240" w:lineRule="auto"/>
              <w:jc w:val="center"/>
              <w:rPr>
                <w:rFonts w:hint="default" w:ascii="宋体" w:hAnsi="宋体" w:eastAsia="宋体" w:cs="宋体"/>
                <w:color w:val="auto"/>
                <w:sz w:val="24"/>
                <w:highlight w:val="none"/>
                <w:lang w:val="en-US" w:eastAsia="zh-CN"/>
              </w:rPr>
            </w:pPr>
          </w:p>
        </w:tc>
      </w:tr>
    </w:tbl>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注：本项目分2个标项进行交易（详见交易一览表），响应人可自行选择其中1个或者多个标项响应投标，但中标只能中1个标项。（如响应人被推荐为标项1的成交候选人，则不参与标项2的评审。）评审次序按标项1、标项2的顺序进行评审。评标委员会根据得分排名推荐每个标项的成交候选人。</w:t>
      </w:r>
    </w:p>
    <w:p>
      <w:pPr>
        <w:spacing w:line="360" w:lineRule="auto"/>
        <w:jc w:val="center"/>
        <w:rPr>
          <w:rFonts w:hint="eastAsia" w:ascii="宋体" w:hAnsi="宋体" w:eastAsia="宋体" w:cs="宋体"/>
          <w:b/>
          <w:color w:val="auto"/>
          <w:sz w:val="28"/>
          <w:szCs w:val="28"/>
          <w:highlight w:val="none"/>
          <w:lang w:val="en-US" w:eastAsia="zh-CN"/>
        </w:rPr>
      </w:pPr>
    </w:p>
    <w:p>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二、交易需求</w:t>
      </w:r>
    </w:p>
    <w:p>
      <w:pPr>
        <w:spacing w:line="360" w:lineRule="auto"/>
        <w:rPr>
          <w:rFonts w:hint="eastAsia" w:ascii="宋体" w:hAnsi="宋体"/>
          <w:b/>
          <w:color w:val="auto"/>
          <w:sz w:val="24"/>
          <w:highlight w:val="none"/>
        </w:rPr>
      </w:pPr>
      <w:r>
        <w:rPr>
          <w:rFonts w:hint="eastAsia" w:ascii="宋体" w:hAnsi="宋体"/>
          <w:b/>
          <w:color w:val="auto"/>
          <w:sz w:val="24"/>
          <w:highlight w:val="none"/>
        </w:rPr>
        <w:t>1.技术需求</w:t>
      </w:r>
    </w:p>
    <w:p>
      <w:pPr>
        <w:tabs>
          <w:tab w:val="left" w:pos="639"/>
        </w:tabs>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1.1项目概况及</w:t>
      </w:r>
      <w:r>
        <w:rPr>
          <w:rFonts w:hint="eastAsia" w:ascii="宋体" w:hAnsi="宋体"/>
          <w:b/>
          <w:color w:val="auto"/>
          <w:sz w:val="24"/>
          <w:highlight w:val="none"/>
          <w:lang w:eastAsia="zh-CN"/>
        </w:rPr>
        <w:t>标项</w:t>
      </w:r>
      <w:r>
        <w:rPr>
          <w:rFonts w:hint="eastAsia" w:ascii="宋体" w:hAnsi="宋体"/>
          <w:b/>
          <w:color w:val="auto"/>
          <w:sz w:val="24"/>
          <w:highlight w:val="none"/>
        </w:rPr>
        <w:t>划分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杭州萧山城市服务管理有限公司</w:t>
      </w:r>
      <w:r>
        <w:rPr>
          <w:rFonts w:hint="eastAsia" w:ascii="宋体" w:hAnsi="宋体"/>
          <w:color w:val="auto"/>
          <w:sz w:val="24"/>
          <w:highlight w:val="none"/>
          <w:lang w:val="en-US" w:eastAsia="zh-CN"/>
        </w:rPr>
        <w:t>2024-</w:t>
      </w:r>
      <w:r>
        <w:rPr>
          <w:rFonts w:hint="eastAsia" w:ascii="宋体" w:hAnsi="宋体"/>
          <w:color w:val="auto"/>
          <w:sz w:val="24"/>
          <w:highlight w:val="none"/>
          <w:lang w:eastAsia="zh-CN"/>
        </w:rPr>
        <w:t>2025年度</w:t>
      </w:r>
      <w:r>
        <w:rPr>
          <w:rFonts w:hint="eastAsia" w:ascii="宋体" w:hAnsi="宋体"/>
          <w:color w:val="auto"/>
          <w:sz w:val="24"/>
          <w:highlight w:val="none"/>
        </w:rPr>
        <w:t>零星维修及装修</w:t>
      </w:r>
      <w:r>
        <w:rPr>
          <w:rFonts w:hint="eastAsia" w:ascii="宋体" w:hAnsi="宋体"/>
          <w:color w:val="auto"/>
          <w:sz w:val="24"/>
          <w:highlight w:val="none"/>
          <w:lang w:val="en-US" w:eastAsia="zh-CN"/>
        </w:rPr>
        <w:t>工程</w:t>
      </w:r>
      <w:r>
        <w:rPr>
          <w:rFonts w:hint="eastAsia" w:ascii="宋体" w:hAnsi="宋体"/>
          <w:color w:val="auto"/>
          <w:sz w:val="24"/>
          <w:highlight w:val="none"/>
        </w:rPr>
        <w:t>项目（</w:t>
      </w:r>
      <w:r>
        <w:rPr>
          <w:rFonts w:hint="eastAsia" w:ascii="宋体" w:hAnsi="宋体"/>
          <w:color w:val="auto"/>
          <w:sz w:val="24"/>
          <w:highlight w:val="none"/>
          <w:lang w:val="en-US" w:eastAsia="zh-CN"/>
        </w:rPr>
        <w:t>包括但不限于</w:t>
      </w:r>
      <w:r>
        <w:rPr>
          <w:rFonts w:hint="eastAsia" w:ascii="宋体" w:hAnsi="宋体"/>
          <w:color w:val="auto"/>
          <w:sz w:val="24"/>
          <w:highlight w:val="none"/>
        </w:rPr>
        <w:t>建（构）筑</w:t>
      </w:r>
      <w:r>
        <w:rPr>
          <w:rFonts w:hint="eastAsia" w:ascii="宋体" w:hAnsi="宋体"/>
          <w:color w:val="auto"/>
          <w:sz w:val="24"/>
          <w:highlight w:val="none"/>
          <w:lang w:val="en-US" w:eastAsia="zh-CN"/>
        </w:rPr>
        <w:t>物</w:t>
      </w:r>
      <w:r>
        <w:rPr>
          <w:rFonts w:hint="eastAsia" w:ascii="宋体" w:hAnsi="宋体"/>
          <w:color w:val="auto"/>
          <w:sz w:val="24"/>
          <w:highlight w:val="none"/>
        </w:rPr>
        <w:t>的维修维护</w:t>
      </w:r>
      <w:r>
        <w:rPr>
          <w:rFonts w:hint="eastAsia" w:ascii="宋体" w:hAnsi="宋体"/>
          <w:color w:val="auto"/>
          <w:sz w:val="24"/>
          <w:highlight w:val="none"/>
          <w:lang w:val="en-US" w:eastAsia="zh-CN"/>
        </w:rPr>
        <w:t>及装修</w:t>
      </w:r>
      <w:r>
        <w:rPr>
          <w:rFonts w:hint="eastAsia" w:ascii="宋体" w:hAnsi="宋体"/>
          <w:color w:val="auto"/>
          <w:sz w:val="24"/>
          <w:highlight w:val="none"/>
        </w:rPr>
        <w:t>、设施设备维修维护、</w:t>
      </w:r>
      <w:r>
        <w:rPr>
          <w:rFonts w:hint="eastAsia" w:ascii="宋体" w:hAnsi="宋体"/>
          <w:color w:val="auto"/>
          <w:sz w:val="24"/>
          <w:highlight w:val="none"/>
          <w:lang w:val="en-US" w:eastAsia="zh-CN"/>
        </w:rPr>
        <w:t>市政设施维修维护、绿化养护以及其他新建、</w:t>
      </w:r>
      <w:r>
        <w:rPr>
          <w:rFonts w:hint="eastAsia" w:ascii="宋体" w:hAnsi="宋体"/>
          <w:color w:val="auto"/>
          <w:sz w:val="24"/>
          <w:highlight w:val="none"/>
        </w:rPr>
        <w:t>改</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扩</w:t>
      </w:r>
      <w:r>
        <w:rPr>
          <w:rFonts w:hint="eastAsia" w:ascii="宋体" w:hAnsi="宋体"/>
          <w:color w:val="auto"/>
          <w:sz w:val="24"/>
          <w:highlight w:val="none"/>
          <w:lang w:eastAsia="zh-CN"/>
        </w:rPr>
        <w:t>）</w:t>
      </w:r>
      <w:r>
        <w:rPr>
          <w:rFonts w:hint="eastAsia" w:ascii="宋体" w:hAnsi="宋体"/>
          <w:color w:val="auto"/>
          <w:sz w:val="24"/>
          <w:highlight w:val="none"/>
        </w:rPr>
        <w:t>建</w:t>
      </w:r>
      <w:r>
        <w:rPr>
          <w:rFonts w:hint="eastAsia" w:ascii="宋体" w:hAnsi="宋体"/>
          <w:color w:val="auto"/>
          <w:sz w:val="24"/>
          <w:highlight w:val="none"/>
          <w:lang w:val="en-US" w:eastAsia="zh-CN"/>
        </w:rPr>
        <w:t>项目</w:t>
      </w:r>
      <w:r>
        <w:rPr>
          <w:rFonts w:hint="eastAsia" w:ascii="宋体" w:hAnsi="宋体"/>
          <w:color w:val="auto"/>
          <w:sz w:val="24"/>
          <w:highlight w:val="none"/>
        </w:rPr>
        <w:t>等，具体委托内容在各项任务委托</w:t>
      </w:r>
      <w:r>
        <w:rPr>
          <w:rFonts w:hint="eastAsia" w:ascii="宋体" w:hAnsi="宋体"/>
          <w:color w:val="auto"/>
          <w:sz w:val="24"/>
          <w:highlight w:val="none"/>
          <w:lang w:val="en-US" w:eastAsia="zh-CN"/>
        </w:rPr>
        <w:t>单</w:t>
      </w:r>
      <w:r>
        <w:rPr>
          <w:rFonts w:hint="eastAsia" w:ascii="宋体" w:hAnsi="宋体"/>
          <w:color w:val="auto"/>
          <w:sz w:val="24"/>
          <w:highlight w:val="none"/>
        </w:rPr>
        <w:t>中明确）。</w:t>
      </w:r>
    </w:p>
    <w:p>
      <w:pPr>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以金城路为界分为二个</w:t>
      </w:r>
      <w:r>
        <w:rPr>
          <w:rFonts w:hint="eastAsia" w:ascii="宋体" w:hAnsi="宋体"/>
          <w:color w:val="auto"/>
          <w:sz w:val="24"/>
          <w:highlight w:val="none"/>
          <w:lang w:eastAsia="zh-CN"/>
        </w:rPr>
        <w:t>标项</w:t>
      </w:r>
      <w:r>
        <w:rPr>
          <w:rFonts w:hint="eastAsia" w:ascii="宋体" w:hAnsi="宋体"/>
          <w:color w:val="auto"/>
          <w:sz w:val="24"/>
          <w:highlight w:val="none"/>
        </w:rPr>
        <w:t>：</w:t>
      </w:r>
      <w:r>
        <w:rPr>
          <w:rFonts w:hint="eastAsia" w:ascii="宋体" w:hAnsi="宋体"/>
          <w:color w:val="auto"/>
          <w:sz w:val="24"/>
          <w:highlight w:val="none"/>
          <w:lang w:eastAsia="zh-CN"/>
        </w:rPr>
        <w:t>标项</w:t>
      </w:r>
      <w:r>
        <w:rPr>
          <w:rFonts w:hint="eastAsia" w:ascii="宋体" w:hAnsi="宋体"/>
          <w:color w:val="auto"/>
          <w:sz w:val="24"/>
          <w:highlight w:val="none"/>
          <w:lang w:val="en-US" w:eastAsia="zh-CN"/>
        </w:rPr>
        <w:t>1</w:t>
      </w:r>
      <w:r>
        <w:rPr>
          <w:rFonts w:hint="eastAsia" w:ascii="宋体" w:hAnsi="宋体"/>
          <w:color w:val="auto"/>
          <w:sz w:val="24"/>
          <w:highlight w:val="none"/>
        </w:rPr>
        <w:t>为金城路以</w:t>
      </w:r>
      <w:r>
        <w:rPr>
          <w:rFonts w:hint="eastAsia" w:ascii="宋体" w:hAnsi="宋体"/>
          <w:color w:val="auto"/>
          <w:sz w:val="24"/>
          <w:highlight w:val="none"/>
          <w:lang w:val="en-US" w:eastAsia="zh-CN"/>
        </w:rPr>
        <w:t>南</w:t>
      </w:r>
      <w:r>
        <w:rPr>
          <w:rFonts w:hint="eastAsia" w:ascii="宋体" w:hAnsi="宋体"/>
          <w:color w:val="auto"/>
          <w:sz w:val="24"/>
          <w:highlight w:val="none"/>
        </w:rPr>
        <w:t>，</w:t>
      </w:r>
      <w:r>
        <w:rPr>
          <w:rFonts w:hint="eastAsia" w:ascii="宋体" w:hAnsi="宋体"/>
          <w:color w:val="auto"/>
          <w:sz w:val="24"/>
          <w:highlight w:val="none"/>
          <w:lang w:eastAsia="zh-CN"/>
        </w:rPr>
        <w:t>标项</w:t>
      </w:r>
      <w:r>
        <w:rPr>
          <w:rFonts w:hint="eastAsia" w:ascii="宋体" w:hAnsi="宋体"/>
          <w:color w:val="auto"/>
          <w:sz w:val="24"/>
          <w:highlight w:val="none"/>
          <w:lang w:val="en-US" w:eastAsia="zh-CN"/>
        </w:rPr>
        <w:t>2</w:t>
      </w:r>
      <w:r>
        <w:rPr>
          <w:rFonts w:hint="eastAsia" w:ascii="宋体" w:hAnsi="宋体"/>
          <w:color w:val="auto"/>
          <w:sz w:val="24"/>
          <w:highlight w:val="none"/>
        </w:rPr>
        <w:t>为金城路以</w:t>
      </w:r>
      <w:r>
        <w:rPr>
          <w:rFonts w:hint="eastAsia" w:ascii="宋体" w:hAnsi="宋体"/>
          <w:color w:val="auto"/>
          <w:sz w:val="24"/>
          <w:highlight w:val="none"/>
          <w:lang w:val="en-US" w:eastAsia="zh-CN"/>
        </w:rPr>
        <w:t>北</w:t>
      </w:r>
      <w:r>
        <w:rPr>
          <w:rFonts w:hint="eastAsia" w:ascii="宋体" w:hAnsi="宋体"/>
          <w:color w:val="auto"/>
          <w:sz w:val="24"/>
          <w:highlight w:val="none"/>
        </w:rPr>
        <w:t>。</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1.2服务内容及要求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1、项目采用包工、包料、包工期、包质量、包安全的形式，变更工程量按实调整，</w:t>
      </w:r>
      <w:r>
        <w:rPr>
          <w:rFonts w:hint="eastAsia" w:ascii="宋体" w:hAnsi="宋体"/>
          <w:color w:val="auto"/>
          <w:sz w:val="24"/>
          <w:highlight w:val="none"/>
          <w:lang w:val="en-US" w:eastAsia="zh-CN"/>
        </w:rPr>
        <w:t>调整部分</w:t>
      </w:r>
      <w:r>
        <w:rPr>
          <w:rFonts w:hint="eastAsia" w:ascii="宋体" w:hAnsi="宋体"/>
          <w:color w:val="auto"/>
          <w:sz w:val="24"/>
          <w:highlight w:val="none"/>
        </w:rPr>
        <w:t>按成交优惠率让利。</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2、项目由</w:t>
      </w:r>
      <w:r>
        <w:rPr>
          <w:rFonts w:hint="eastAsia" w:ascii="宋体" w:hAnsi="宋体"/>
          <w:color w:val="auto"/>
          <w:sz w:val="24"/>
          <w:highlight w:val="none"/>
          <w:lang w:eastAsia="zh-CN"/>
        </w:rPr>
        <w:t>成交人</w:t>
      </w:r>
      <w:r>
        <w:rPr>
          <w:rFonts w:hint="eastAsia" w:ascii="宋体" w:hAnsi="宋体"/>
          <w:color w:val="auto"/>
          <w:sz w:val="24"/>
          <w:highlight w:val="none"/>
        </w:rPr>
        <w:t>实行总承包</w:t>
      </w:r>
      <w:r>
        <w:rPr>
          <w:rFonts w:hint="eastAsia" w:ascii="宋体" w:hAnsi="宋体"/>
          <w:color w:val="auto"/>
          <w:sz w:val="24"/>
          <w:highlight w:val="none"/>
        </w:rPr>
        <w:t>，</w:t>
      </w:r>
      <w:r>
        <w:rPr>
          <w:rFonts w:hint="eastAsia" w:ascii="宋体" w:hAnsi="宋体" w:cs="宋体"/>
          <w:color w:val="auto"/>
          <w:sz w:val="24"/>
          <w:szCs w:val="20"/>
          <w:highlight w:val="none"/>
        </w:rPr>
        <w:t>不得转包</w:t>
      </w:r>
      <w:r>
        <w:rPr>
          <w:rFonts w:hint="eastAsia" w:ascii="宋体" w:hAnsi="宋体" w:cs="宋体"/>
          <w:color w:val="auto"/>
          <w:sz w:val="24"/>
          <w:szCs w:val="20"/>
          <w:highlight w:val="none"/>
          <w:lang w:val="en-US" w:eastAsia="zh-CN"/>
        </w:rPr>
        <w:t>或违规</w:t>
      </w:r>
      <w:r>
        <w:rPr>
          <w:rFonts w:hint="eastAsia" w:ascii="宋体" w:hAnsi="宋体" w:cs="宋体"/>
          <w:color w:val="auto"/>
          <w:sz w:val="24"/>
          <w:szCs w:val="20"/>
          <w:highlight w:val="none"/>
        </w:rPr>
        <w:t>分包</w:t>
      </w:r>
      <w:r>
        <w:rPr>
          <w:rFonts w:hint="eastAsia" w:ascii="宋体" w:hAnsi="宋体"/>
          <w:color w:val="auto"/>
          <w:sz w:val="24"/>
          <w:highlight w:val="none"/>
        </w:rPr>
        <w:t>，</w:t>
      </w:r>
      <w:r>
        <w:rPr>
          <w:rFonts w:hint="eastAsia" w:ascii="宋体" w:hAnsi="宋体" w:cs="宋体"/>
          <w:color w:val="auto"/>
          <w:sz w:val="24"/>
          <w:szCs w:val="20"/>
          <w:highlight w:val="none"/>
        </w:rPr>
        <w:t>一经发现成交人存在转包</w:t>
      </w:r>
      <w:r>
        <w:rPr>
          <w:rFonts w:hint="eastAsia" w:ascii="宋体" w:hAnsi="宋体" w:cs="宋体"/>
          <w:color w:val="auto"/>
          <w:sz w:val="24"/>
          <w:szCs w:val="20"/>
          <w:highlight w:val="none"/>
          <w:lang w:val="en-US" w:eastAsia="zh-CN"/>
        </w:rPr>
        <w:t>或违规</w:t>
      </w:r>
      <w:r>
        <w:rPr>
          <w:rFonts w:hint="eastAsia" w:ascii="宋体" w:hAnsi="宋体" w:cs="宋体"/>
          <w:color w:val="auto"/>
          <w:sz w:val="24"/>
          <w:szCs w:val="20"/>
          <w:highlight w:val="none"/>
        </w:rPr>
        <w:t>分包的行为</w:t>
      </w:r>
      <w:r>
        <w:rPr>
          <w:rFonts w:hint="eastAsia" w:ascii="宋体" w:hAnsi="宋体"/>
          <w:color w:val="auto"/>
          <w:sz w:val="24"/>
          <w:highlight w:val="none"/>
        </w:rPr>
        <w:t>，</w:t>
      </w:r>
      <w:r>
        <w:rPr>
          <w:rFonts w:hint="eastAsia" w:ascii="宋体" w:hAnsi="宋体" w:cs="宋体"/>
          <w:color w:val="auto"/>
          <w:sz w:val="24"/>
          <w:szCs w:val="20"/>
          <w:highlight w:val="none"/>
        </w:rPr>
        <w:t>本项目合同立即自动</w:t>
      </w:r>
      <w:r>
        <w:rPr>
          <w:rFonts w:hint="eastAsia" w:ascii="宋体" w:hAnsi="宋体" w:cs="宋体"/>
          <w:color w:val="auto"/>
          <w:sz w:val="24"/>
          <w:szCs w:val="20"/>
          <w:highlight w:val="none"/>
          <w:lang w:val="en-US" w:eastAsia="zh-CN"/>
        </w:rPr>
        <w:t>终止</w:t>
      </w:r>
      <w:r>
        <w:rPr>
          <w:rFonts w:hint="eastAsia" w:ascii="宋体" w:hAnsi="宋体" w:cs="宋体"/>
          <w:color w:val="auto"/>
          <w:sz w:val="24"/>
          <w:szCs w:val="20"/>
          <w:highlight w:val="none"/>
          <w:lang w:eastAsia="zh-CN"/>
        </w:rPr>
        <w:t>，</w:t>
      </w:r>
      <w:r>
        <w:rPr>
          <w:rFonts w:hint="eastAsia" w:ascii="宋体" w:hAnsi="宋体"/>
          <w:color w:val="auto"/>
          <w:sz w:val="24"/>
          <w:highlight w:val="none"/>
        </w:rPr>
        <w:t>并</w:t>
      </w:r>
      <w:r>
        <w:rPr>
          <w:rFonts w:hint="eastAsia" w:ascii="宋体" w:hAnsi="宋体"/>
          <w:color w:val="auto"/>
          <w:sz w:val="24"/>
          <w:highlight w:val="none"/>
          <w:lang w:val="en-US" w:eastAsia="zh-CN"/>
        </w:rPr>
        <w:t>有权</w:t>
      </w:r>
      <w:r>
        <w:rPr>
          <w:rFonts w:hint="eastAsia" w:ascii="宋体" w:hAnsi="宋体"/>
          <w:color w:val="auto"/>
          <w:sz w:val="24"/>
          <w:highlight w:val="none"/>
        </w:rPr>
        <w:t>向</w:t>
      </w:r>
      <w:r>
        <w:rPr>
          <w:rFonts w:hint="eastAsia" w:ascii="宋体" w:hAnsi="宋体"/>
          <w:color w:val="auto"/>
          <w:sz w:val="24"/>
          <w:highlight w:val="none"/>
          <w:lang w:eastAsia="zh-CN"/>
        </w:rPr>
        <w:t>成交人</w:t>
      </w:r>
      <w:r>
        <w:rPr>
          <w:rFonts w:hint="eastAsia" w:ascii="宋体" w:hAnsi="宋体"/>
          <w:color w:val="auto"/>
          <w:sz w:val="24"/>
          <w:highlight w:val="none"/>
        </w:rPr>
        <w:t>索赔</w:t>
      </w:r>
      <w:r>
        <w:rPr>
          <w:rFonts w:hint="eastAsia" w:ascii="宋体" w:hAnsi="宋体"/>
          <w:color w:val="auto"/>
          <w:sz w:val="24"/>
          <w:highlight w:val="none"/>
          <w:lang w:val="en-US" w:eastAsia="zh-CN"/>
        </w:rPr>
        <w:t>任务单</w:t>
      </w:r>
      <w:r>
        <w:rPr>
          <w:rFonts w:hint="eastAsia" w:ascii="宋体" w:hAnsi="宋体"/>
          <w:color w:val="auto"/>
          <w:sz w:val="24"/>
          <w:highlight w:val="none"/>
        </w:rPr>
        <w:t>造价5%以上10%以下的罚款。</w:t>
      </w:r>
      <w:r>
        <w:rPr>
          <w:rFonts w:hint="eastAsia" w:ascii="宋体" w:hAnsi="宋体" w:cs="宋体"/>
          <w:color w:val="auto"/>
          <w:sz w:val="24"/>
          <w:szCs w:val="20"/>
          <w:highlight w:val="none"/>
        </w:rPr>
        <w:t>同时交易发起人有权没收</w:t>
      </w:r>
      <w:r>
        <w:rPr>
          <w:rFonts w:hint="eastAsia" w:ascii="宋体" w:hAnsi="宋体"/>
          <w:color w:val="auto"/>
          <w:sz w:val="24"/>
          <w:highlight w:val="none"/>
          <w:lang w:eastAsia="zh-CN"/>
        </w:rPr>
        <w:t>成交人</w:t>
      </w:r>
      <w:r>
        <w:rPr>
          <w:rFonts w:hint="eastAsia" w:ascii="宋体" w:hAnsi="宋体" w:cs="宋体"/>
          <w:color w:val="auto"/>
          <w:sz w:val="24"/>
          <w:szCs w:val="20"/>
          <w:highlight w:val="none"/>
        </w:rPr>
        <w:t>履约保证金</w:t>
      </w:r>
      <w:r>
        <w:rPr>
          <w:rFonts w:hint="eastAsia" w:ascii="宋体" w:hAnsi="宋体" w:cs="宋体"/>
          <w:color w:val="auto"/>
          <w:sz w:val="24"/>
          <w:szCs w:val="20"/>
          <w:highlight w:val="none"/>
          <w:lang w:eastAsia="zh-CN"/>
        </w:rPr>
        <w:t>。</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3、</w:t>
      </w:r>
      <w:r>
        <w:rPr>
          <w:rFonts w:hint="eastAsia" w:ascii="宋体" w:hAnsi="宋体"/>
          <w:color w:val="auto"/>
          <w:sz w:val="24"/>
          <w:highlight w:val="none"/>
          <w:lang w:eastAsia="zh-CN"/>
        </w:rPr>
        <w:t>成交人</w:t>
      </w:r>
      <w:r>
        <w:rPr>
          <w:rFonts w:hint="eastAsia" w:ascii="宋体" w:hAnsi="宋体"/>
          <w:color w:val="auto"/>
          <w:sz w:val="24"/>
          <w:highlight w:val="none"/>
        </w:rPr>
        <w:t>在响应文件中明确的项目负责人须在施工现场到岗、到位</w:t>
      </w:r>
      <w:r>
        <w:rPr>
          <w:rFonts w:hint="eastAsia" w:ascii="宋体" w:hAnsi="宋体"/>
          <w:color w:val="auto"/>
          <w:sz w:val="24"/>
          <w:highlight w:val="none"/>
          <w:lang w:eastAsia="zh-CN"/>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成交人</w:t>
      </w:r>
      <w:r>
        <w:rPr>
          <w:rFonts w:hint="eastAsia" w:ascii="宋体" w:hAnsi="宋体"/>
          <w:color w:val="auto"/>
          <w:sz w:val="24"/>
          <w:highlight w:val="none"/>
        </w:rPr>
        <w:t>需无条件服从</w:t>
      </w:r>
      <w:r>
        <w:rPr>
          <w:rFonts w:hint="eastAsia" w:ascii="宋体" w:hAnsi="宋体"/>
          <w:color w:val="auto"/>
          <w:sz w:val="24"/>
          <w:highlight w:val="none"/>
          <w:lang w:eastAsia="zh-CN"/>
        </w:rPr>
        <w:t>交易发起人</w:t>
      </w:r>
      <w:r>
        <w:rPr>
          <w:rFonts w:hint="eastAsia" w:ascii="宋体" w:hAnsi="宋体"/>
          <w:color w:val="auto"/>
          <w:sz w:val="24"/>
          <w:highlight w:val="none"/>
        </w:rPr>
        <w:t>的管理及相关要求。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5、各项委托任务</w:t>
      </w:r>
      <w:r>
        <w:rPr>
          <w:rFonts w:hint="eastAsia" w:ascii="宋体" w:hAnsi="宋体"/>
          <w:color w:val="auto"/>
          <w:sz w:val="24"/>
          <w:highlight w:val="none"/>
          <w:lang w:val="en-US" w:eastAsia="zh-CN"/>
        </w:rPr>
        <w:t>单</w:t>
      </w:r>
      <w:r>
        <w:rPr>
          <w:rFonts w:hint="eastAsia" w:ascii="宋体" w:hAnsi="宋体"/>
          <w:color w:val="auto"/>
          <w:sz w:val="24"/>
          <w:highlight w:val="none"/>
          <w:lang w:eastAsia="zh-CN"/>
        </w:rPr>
        <w:t>交易发起人</w:t>
      </w:r>
      <w:r>
        <w:rPr>
          <w:rFonts w:hint="eastAsia" w:ascii="宋体" w:hAnsi="宋体"/>
          <w:color w:val="auto"/>
          <w:sz w:val="24"/>
          <w:highlight w:val="none"/>
        </w:rPr>
        <w:t>不保证</w:t>
      </w:r>
      <w:r>
        <w:rPr>
          <w:rFonts w:hint="eastAsia" w:ascii="宋体" w:hAnsi="宋体"/>
          <w:color w:val="auto"/>
          <w:sz w:val="24"/>
          <w:highlight w:val="none"/>
          <w:lang w:val="en-US" w:eastAsia="zh-CN"/>
        </w:rPr>
        <w:t>项目</w:t>
      </w:r>
      <w:r>
        <w:rPr>
          <w:rFonts w:hint="eastAsia" w:ascii="宋体" w:hAnsi="宋体"/>
          <w:color w:val="auto"/>
          <w:sz w:val="24"/>
          <w:highlight w:val="none"/>
        </w:rPr>
        <w:t>利润，盈亏由</w:t>
      </w:r>
      <w:r>
        <w:rPr>
          <w:rFonts w:hint="eastAsia" w:ascii="宋体" w:hAnsi="宋体"/>
          <w:color w:val="auto"/>
          <w:sz w:val="24"/>
          <w:highlight w:val="none"/>
          <w:lang w:eastAsia="zh-CN"/>
        </w:rPr>
        <w:t>成交人</w:t>
      </w:r>
      <w:r>
        <w:rPr>
          <w:rFonts w:hint="eastAsia" w:ascii="宋体" w:hAnsi="宋体"/>
          <w:color w:val="auto"/>
          <w:sz w:val="24"/>
          <w:highlight w:val="none"/>
        </w:rPr>
        <w:t>自负。</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6、安全文明施工：</w:t>
      </w:r>
      <w:r>
        <w:rPr>
          <w:rFonts w:hint="eastAsia" w:ascii="宋体" w:hAnsi="宋体"/>
          <w:color w:val="auto"/>
          <w:sz w:val="24"/>
          <w:highlight w:val="none"/>
          <w:lang w:eastAsia="zh-CN"/>
        </w:rPr>
        <w:t>成交人</w:t>
      </w:r>
      <w:r>
        <w:rPr>
          <w:rFonts w:hint="eastAsia" w:ascii="宋体" w:hAnsi="宋体"/>
          <w:color w:val="auto"/>
          <w:sz w:val="24"/>
          <w:highlight w:val="none"/>
        </w:rPr>
        <w:t>须做好现场施工人员及周边交通安全文明维护工作，若因各种原因造成的各类安全事故均由</w:t>
      </w:r>
      <w:r>
        <w:rPr>
          <w:rFonts w:hint="eastAsia" w:ascii="宋体" w:hAnsi="宋体"/>
          <w:color w:val="auto"/>
          <w:sz w:val="24"/>
          <w:highlight w:val="none"/>
          <w:lang w:eastAsia="zh-CN"/>
        </w:rPr>
        <w:t>成交人</w:t>
      </w:r>
      <w:r>
        <w:rPr>
          <w:rFonts w:hint="eastAsia" w:ascii="宋体" w:hAnsi="宋体"/>
          <w:color w:val="auto"/>
          <w:sz w:val="24"/>
          <w:highlight w:val="none"/>
        </w:rPr>
        <w:t>负责与</w:t>
      </w:r>
      <w:r>
        <w:rPr>
          <w:rFonts w:hint="eastAsia" w:ascii="宋体" w:hAnsi="宋体"/>
          <w:color w:val="auto"/>
          <w:sz w:val="24"/>
          <w:highlight w:val="none"/>
          <w:lang w:eastAsia="zh-CN"/>
        </w:rPr>
        <w:t>交易发起人</w:t>
      </w:r>
      <w:r>
        <w:rPr>
          <w:rFonts w:hint="eastAsia" w:ascii="宋体" w:hAnsi="宋体"/>
          <w:color w:val="auto"/>
          <w:sz w:val="24"/>
          <w:highlight w:val="none"/>
        </w:rPr>
        <w:t>无关</w:t>
      </w:r>
      <w:r>
        <w:rPr>
          <w:rFonts w:hint="eastAsia" w:ascii="宋体" w:hAnsi="宋体"/>
          <w:color w:val="auto"/>
          <w:sz w:val="24"/>
          <w:highlight w:val="none"/>
          <w:lang w:eastAsia="zh-CN"/>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w:t>
      </w:r>
      <w:r>
        <w:rPr>
          <w:rFonts w:hint="eastAsia" w:ascii="宋体" w:hAnsi="宋体"/>
          <w:color w:val="auto"/>
          <w:sz w:val="24"/>
          <w:highlight w:val="none"/>
          <w:lang w:val="en-US" w:eastAsia="zh-CN"/>
        </w:rPr>
        <w:t>成交人</w:t>
      </w:r>
      <w:r>
        <w:rPr>
          <w:rFonts w:hint="eastAsia" w:ascii="宋体" w:hAnsi="宋体"/>
          <w:color w:val="auto"/>
          <w:sz w:val="24"/>
          <w:highlight w:val="none"/>
        </w:rPr>
        <w:t>在收到数字城管案卷</w:t>
      </w:r>
      <w:r>
        <w:rPr>
          <w:rFonts w:hint="eastAsia" w:ascii="宋体" w:hAnsi="宋体"/>
          <w:color w:val="auto"/>
          <w:sz w:val="24"/>
          <w:highlight w:val="none"/>
          <w:lang w:val="en-US" w:eastAsia="zh-CN"/>
        </w:rPr>
        <w:t>或督办单</w:t>
      </w:r>
      <w:r>
        <w:rPr>
          <w:rFonts w:hint="eastAsia" w:ascii="宋体" w:hAnsi="宋体"/>
          <w:color w:val="auto"/>
          <w:sz w:val="24"/>
          <w:highlight w:val="none"/>
        </w:rPr>
        <w:t>信息后，需在1小时内到达案卷</w:t>
      </w:r>
      <w:r>
        <w:rPr>
          <w:rFonts w:hint="eastAsia" w:ascii="宋体" w:hAnsi="宋体"/>
          <w:color w:val="auto"/>
          <w:sz w:val="24"/>
          <w:highlight w:val="none"/>
          <w:lang w:val="en-US" w:eastAsia="zh-CN"/>
        </w:rPr>
        <w:t>或督办单</w:t>
      </w:r>
      <w:r>
        <w:rPr>
          <w:rFonts w:hint="eastAsia" w:ascii="宋体" w:hAnsi="宋体"/>
          <w:color w:val="auto"/>
          <w:sz w:val="24"/>
          <w:highlight w:val="none"/>
        </w:rPr>
        <w:t>现场，在数字城管案卷</w:t>
      </w:r>
      <w:r>
        <w:rPr>
          <w:rFonts w:hint="eastAsia" w:ascii="宋体" w:hAnsi="宋体"/>
          <w:color w:val="auto"/>
          <w:sz w:val="24"/>
          <w:highlight w:val="none"/>
          <w:lang w:val="en-US" w:eastAsia="zh-CN"/>
        </w:rPr>
        <w:t>或督办单</w:t>
      </w:r>
      <w:r>
        <w:rPr>
          <w:rFonts w:hint="eastAsia" w:ascii="宋体" w:hAnsi="宋体"/>
          <w:color w:val="auto"/>
          <w:sz w:val="24"/>
          <w:highlight w:val="none"/>
        </w:rPr>
        <w:t>规定的处理时间范围内完成维修或</w:t>
      </w:r>
      <w:r>
        <w:rPr>
          <w:rFonts w:hint="eastAsia" w:ascii="宋体" w:hAnsi="宋体"/>
          <w:color w:val="auto"/>
          <w:sz w:val="24"/>
          <w:highlight w:val="none"/>
          <w:lang w:val="en-US" w:eastAsia="zh-CN"/>
        </w:rPr>
        <w:t>维护</w:t>
      </w:r>
      <w:r>
        <w:rPr>
          <w:rFonts w:hint="eastAsia" w:ascii="宋体" w:hAnsi="宋体"/>
          <w:color w:val="auto"/>
          <w:sz w:val="24"/>
          <w:highlight w:val="none"/>
        </w:rPr>
        <w:t>，并及时将情况反馈给</w:t>
      </w:r>
      <w:r>
        <w:rPr>
          <w:rFonts w:hint="eastAsia" w:ascii="宋体" w:hAnsi="宋体"/>
          <w:color w:val="auto"/>
          <w:sz w:val="24"/>
          <w:highlight w:val="none"/>
          <w:lang w:eastAsia="zh-CN"/>
        </w:rPr>
        <w:t>交易发起人</w:t>
      </w:r>
      <w:r>
        <w:rPr>
          <w:rFonts w:hint="eastAsia" w:ascii="宋体" w:hAnsi="宋体"/>
          <w:color w:val="auto"/>
          <w:sz w:val="24"/>
          <w:highlight w:val="none"/>
        </w:rPr>
        <w:t>，务必确保服务期内</w:t>
      </w:r>
      <w:r>
        <w:rPr>
          <w:rFonts w:hint="eastAsia" w:ascii="宋体" w:hAnsi="宋体"/>
          <w:color w:val="auto"/>
          <w:sz w:val="24"/>
          <w:highlight w:val="none"/>
          <w:lang w:val="en-US" w:eastAsia="zh-CN"/>
        </w:rPr>
        <w:t>交易发起人</w:t>
      </w:r>
      <w:r>
        <w:rPr>
          <w:rFonts w:hint="eastAsia" w:ascii="宋体" w:hAnsi="宋体"/>
          <w:color w:val="auto"/>
          <w:sz w:val="24"/>
          <w:highlight w:val="none"/>
        </w:rPr>
        <w:t>数字城管案卷</w:t>
      </w:r>
      <w:r>
        <w:rPr>
          <w:rFonts w:hint="eastAsia" w:ascii="宋体" w:hAnsi="宋体"/>
          <w:color w:val="auto"/>
          <w:sz w:val="24"/>
          <w:highlight w:val="none"/>
          <w:lang w:val="en-US" w:eastAsia="zh-CN"/>
        </w:rPr>
        <w:t>及督办单</w:t>
      </w:r>
      <w:r>
        <w:rPr>
          <w:rFonts w:hint="eastAsia" w:ascii="宋体" w:hAnsi="宋体"/>
          <w:color w:val="auto"/>
          <w:sz w:val="24"/>
          <w:highlight w:val="none"/>
        </w:rPr>
        <w:t>解决率与及时解决率均达到100%。</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在防汛、防台、防雪等特殊时期，</w:t>
      </w:r>
      <w:r>
        <w:rPr>
          <w:rFonts w:hint="eastAsia" w:ascii="宋体" w:hAnsi="宋体"/>
          <w:color w:val="auto"/>
          <w:sz w:val="24"/>
          <w:highlight w:val="none"/>
          <w:lang w:val="en-US" w:eastAsia="zh-CN"/>
        </w:rPr>
        <w:t>成交人</w:t>
      </w:r>
      <w:r>
        <w:rPr>
          <w:rFonts w:hint="eastAsia" w:ascii="宋体" w:hAnsi="宋体"/>
          <w:color w:val="auto"/>
          <w:sz w:val="24"/>
          <w:highlight w:val="none"/>
        </w:rPr>
        <w:t>需成立应急工作组，并做好抢险的人员、机械等准备工作，确保随时能在第一时间到达</w:t>
      </w:r>
      <w:r>
        <w:rPr>
          <w:rFonts w:hint="eastAsia" w:ascii="宋体" w:hAnsi="宋体"/>
          <w:color w:val="auto"/>
          <w:sz w:val="24"/>
          <w:highlight w:val="none"/>
          <w:lang w:val="en-US" w:eastAsia="zh-CN"/>
        </w:rPr>
        <w:t>应急</w:t>
      </w:r>
      <w:r>
        <w:rPr>
          <w:rFonts w:hint="eastAsia" w:ascii="宋体" w:hAnsi="宋体"/>
          <w:color w:val="auto"/>
          <w:sz w:val="24"/>
          <w:highlight w:val="none"/>
        </w:rPr>
        <w:t>现场，使抢险工作顺利进行。</w:t>
      </w:r>
    </w:p>
    <w:p>
      <w:pPr>
        <w:spacing w:line="360" w:lineRule="auto"/>
        <w:ind w:firstLine="480" w:firstLineChars="200"/>
        <w:rPr>
          <w:rFonts w:hint="eastAsia" w:ascii="宋体" w:hAnsi="宋体"/>
          <w:color w:val="auto"/>
          <w:sz w:val="24"/>
          <w:highlight w:val="none"/>
        </w:rPr>
      </w:pPr>
      <w:r>
        <w:rPr>
          <w:rFonts w:hint="eastAsia" w:ascii="宋体" w:hAnsi="宋体" w:eastAsia="宋体" w:cs="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、报价</w:t>
      </w:r>
      <w:r>
        <w:rPr>
          <w:rFonts w:hint="eastAsia" w:ascii="宋体" w:hAnsi="宋体"/>
          <w:color w:val="auto"/>
          <w:sz w:val="24"/>
          <w:highlight w:val="none"/>
          <w:lang w:val="en-US" w:eastAsia="zh-CN"/>
        </w:rPr>
        <w:t>和结算</w:t>
      </w:r>
      <w:r>
        <w:rPr>
          <w:rFonts w:hint="eastAsia" w:ascii="宋体" w:hAnsi="宋体"/>
          <w:color w:val="auto"/>
          <w:sz w:val="24"/>
          <w:highlight w:val="none"/>
        </w:rPr>
        <w:t>：</w:t>
      </w:r>
    </w:p>
    <w:p>
      <w:pPr>
        <w:numPr>
          <w:ilvl w:val="0"/>
          <w:numId w:val="2"/>
        </w:numPr>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rPr>
        <w:t>本项目采用响应优惠率报价，</w:t>
      </w:r>
      <w:r>
        <w:rPr>
          <w:rFonts w:hint="eastAsia" w:ascii="宋体" w:hAnsi="宋体"/>
          <w:color w:val="auto"/>
          <w:sz w:val="24"/>
          <w:highlight w:val="none"/>
          <w:lang w:val="en-US" w:eastAsia="zh-CN"/>
        </w:rPr>
        <w:t>各响应人所报优惠率报价区间为（12%-20%）</w:t>
      </w:r>
      <w:r>
        <w:rPr>
          <w:rFonts w:hint="eastAsia" w:ascii="宋体" w:hAnsi="宋体"/>
          <w:color w:val="auto"/>
          <w:sz w:val="24"/>
          <w:highlight w:val="none"/>
          <w:lang w:eastAsia="zh-CN"/>
        </w:rPr>
        <w:t>。</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）所有</w:t>
      </w:r>
      <w:r>
        <w:rPr>
          <w:rFonts w:hint="eastAsia" w:ascii="宋体" w:hAnsi="宋体"/>
          <w:color w:val="auto"/>
          <w:sz w:val="24"/>
          <w:highlight w:val="none"/>
          <w:lang w:val="en-US" w:eastAsia="zh-CN"/>
        </w:rPr>
        <w:t>任务</w:t>
      </w:r>
      <w:r>
        <w:rPr>
          <w:rFonts w:hint="eastAsia" w:ascii="宋体" w:hAnsi="宋体"/>
          <w:color w:val="auto"/>
          <w:sz w:val="24"/>
          <w:highlight w:val="none"/>
        </w:rPr>
        <w:t>最终结算价为经第三方审核机构结合本次成交优惠率审定的结算造价</w:t>
      </w:r>
      <w:r>
        <w:rPr>
          <w:rFonts w:hint="eastAsia" w:ascii="宋体" w:hAnsi="宋体"/>
          <w:color w:val="auto"/>
          <w:sz w:val="24"/>
          <w:highlight w:val="none"/>
          <w:lang w:eastAsia="zh-CN"/>
        </w:rPr>
        <w:t>（</w:t>
      </w:r>
      <w:r>
        <w:rPr>
          <w:rFonts w:hint="eastAsia" w:ascii="宋体" w:hAnsi="宋体"/>
          <w:color w:val="auto"/>
          <w:sz w:val="24"/>
          <w:highlight w:val="none"/>
        </w:rPr>
        <w:t>舍五入为整数</w:t>
      </w:r>
      <w:r>
        <w:rPr>
          <w:rFonts w:hint="eastAsia" w:ascii="宋体" w:hAnsi="宋体"/>
          <w:color w:val="auto"/>
          <w:sz w:val="24"/>
          <w:highlight w:val="none"/>
          <w:lang w:eastAsia="zh-CN"/>
        </w:rPr>
        <w:t>）</w:t>
      </w:r>
      <w:r>
        <w:rPr>
          <w:rFonts w:hint="eastAsia" w:ascii="宋体" w:hAnsi="宋体"/>
          <w:color w:val="auto"/>
          <w:sz w:val="24"/>
          <w:highlight w:val="none"/>
        </w:rPr>
        <w:t>，费用每季度支付一次，单个</w:t>
      </w:r>
      <w:r>
        <w:rPr>
          <w:rFonts w:hint="eastAsia" w:ascii="宋体" w:hAnsi="宋体"/>
          <w:color w:val="auto"/>
          <w:sz w:val="24"/>
          <w:highlight w:val="none"/>
          <w:lang w:val="en-US" w:eastAsia="zh-CN"/>
        </w:rPr>
        <w:t>任务</w:t>
      </w:r>
      <w:r>
        <w:rPr>
          <w:rFonts w:hint="eastAsia" w:ascii="宋体" w:hAnsi="宋体"/>
          <w:color w:val="auto"/>
          <w:sz w:val="24"/>
          <w:highlight w:val="none"/>
        </w:rPr>
        <w:t>最终结算价不得超过50万元。</w:t>
      </w:r>
      <w:r>
        <w:rPr>
          <w:rFonts w:hint="eastAsia" w:ascii="宋体" w:hAnsi="宋体"/>
          <w:color w:val="auto"/>
          <w:sz w:val="24"/>
          <w:highlight w:val="none"/>
        </w:rPr>
        <w:t>重大</w:t>
      </w:r>
      <w:r>
        <w:rPr>
          <w:rFonts w:hint="eastAsia" w:ascii="宋体" w:hAnsi="宋体"/>
          <w:color w:val="auto"/>
          <w:sz w:val="24"/>
          <w:highlight w:val="none"/>
          <w:lang w:val="en-US" w:eastAsia="zh-CN"/>
        </w:rPr>
        <w:t>、</w:t>
      </w:r>
      <w:r>
        <w:rPr>
          <w:rFonts w:hint="eastAsia" w:ascii="宋体" w:hAnsi="宋体"/>
          <w:color w:val="auto"/>
          <w:sz w:val="24"/>
          <w:highlight w:val="none"/>
        </w:rPr>
        <w:t>特殊</w:t>
      </w:r>
      <w:r>
        <w:rPr>
          <w:rFonts w:hint="eastAsia" w:ascii="宋体" w:hAnsi="宋体"/>
          <w:color w:val="auto"/>
          <w:sz w:val="24"/>
          <w:highlight w:val="none"/>
          <w:lang w:val="en-US" w:eastAsia="zh-CN"/>
        </w:rPr>
        <w:t>的标的或</w:t>
      </w:r>
      <w:r>
        <w:rPr>
          <w:rFonts w:hint="eastAsia" w:ascii="宋体" w:hAnsi="宋体"/>
          <w:color w:val="auto"/>
          <w:sz w:val="24"/>
          <w:highlight w:val="none"/>
        </w:rPr>
        <w:t>单</w:t>
      </w:r>
      <w:r>
        <w:rPr>
          <w:rFonts w:hint="eastAsia" w:ascii="宋体" w:hAnsi="宋体"/>
          <w:color w:val="auto"/>
          <w:sz w:val="24"/>
          <w:highlight w:val="none"/>
          <w:lang w:val="en-US" w:eastAsia="zh-CN"/>
        </w:rPr>
        <w:t>个标的</w:t>
      </w:r>
      <w:r>
        <w:rPr>
          <w:rFonts w:hint="eastAsia" w:ascii="宋体" w:hAnsi="宋体"/>
          <w:color w:val="auto"/>
          <w:sz w:val="24"/>
          <w:highlight w:val="none"/>
        </w:rPr>
        <w:t>额度较大的，</w:t>
      </w:r>
      <w:r>
        <w:rPr>
          <w:rFonts w:hint="eastAsia" w:ascii="宋体" w:hAnsi="宋体"/>
          <w:color w:val="auto"/>
          <w:sz w:val="24"/>
          <w:highlight w:val="none"/>
          <w:lang w:val="en-US" w:eastAsia="zh-CN"/>
        </w:rPr>
        <w:t>交易发起人</w:t>
      </w:r>
      <w:r>
        <w:rPr>
          <w:rFonts w:hint="eastAsia" w:ascii="宋体" w:hAnsi="宋体"/>
          <w:color w:val="auto"/>
          <w:sz w:val="24"/>
          <w:highlight w:val="none"/>
        </w:rPr>
        <w:t>有权一标一招，不在</w:t>
      </w:r>
      <w:r>
        <w:rPr>
          <w:rFonts w:hint="eastAsia" w:ascii="宋体" w:hAnsi="宋体"/>
          <w:color w:val="auto"/>
          <w:sz w:val="24"/>
          <w:highlight w:val="none"/>
          <w:lang w:val="en-US" w:eastAsia="zh-CN"/>
        </w:rPr>
        <w:t>成交人</w:t>
      </w:r>
      <w:r>
        <w:rPr>
          <w:rFonts w:hint="eastAsia" w:ascii="宋体" w:hAnsi="宋体"/>
          <w:color w:val="auto"/>
          <w:sz w:val="24"/>
          <w:highlight w:val="none"/>
        </w:rPr>
        <w:t>中委托</w:t>
      </w:r>
      <w:r>
        <w:rPr>
          <w:rFonts w:hint="eastAsia" w:ascii="宋体" w:hAnsi="宋体"/>
          <w:color w:val="auto"/>
          <w:sz w:val="24"/>
          <w:highlight w:val="none"/>
          <w:lang w:eastAsia="zh-CN"/>
        </w:rPr>
        <w:t>。</w:t>
      </w:r>
    </w:p>
    <w:p>
      <w:pPr>
        <w:autoSpaceDE w:val="0"/>
        <w:autoSpaceDN w:val="0"/>
        <w:adjustRightInd w:val="0"/>
        <w:spacing w:line="360" w:lineRule="auto"/>
        <w:ind w:firstLine="480" w:firstLineChars="200"/>
        <w:jc w:val="left"/>
        <w:rPr>
          <w:rFonts w:hint="eastAsia" w:ascii="宋体" w:hAnsi="宋体"/>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ascii="宋体" w:hAnsi="宋体"/>
          <w:color w:val="auto"/>
          <w:sz w:val="24"/>
          <w:highlight w:val="none"/>
          <w:lang w:val="en-US" w:eastAsia="zh-CN"/>
        </w:rPr>
        <w:t>所有任务单</w:t>
      </w:r>
      <w:r>
        <w:rPr>
          <w:rFonts w:hint="eastAsia" w:ascii="宋体" w:hAnsi="宋体"/>
          <w:color w:val="auto"/>
          <w:sz w:val="24"/>
          <w:highlight w:val="none"/>
        </w:rPr>
        <w:t>工程造价按相应委托任务单当期施工阶段的信息价及现行工程预算定额规定计取，最终经第三</w:t>
      </w:r>
      <w:r>
        <w:rPr>
          <w:rFonts w:hint="eastAsia" w:ascii="宋体" w:hAnsi="宋体"/>
          <w:color w:val="auto"/>
          <w:sz w:val="24"/>
          <w:highlight w:val="none"/>
        </w:rPr>
        <w:t>方</w:t>
      </w:r>
      <w:r>
        <w:rPr>
          <w:rFonts w:hint="eastAsia" w:ascii="宋体" w:hAnsi="宋体"/>
          <w:color w:val="auto"/>
          <w:sz w:val="24"/>
          <w:highlight w:val="none"/>
          <w:lang w:val="en-US" w:eastAsia="zh-CN"/>
        </w:rPr>
        <w:t>审核</w:t>
      </w:r>
      <w:r>
        <w:rPr>
          <w:rFonts w:hint="eastAsia" w:ascii="宋体" w:hAnsi="宋体"/>
          <w:color w:val="auto"/>
          <w:sz w:val="24"/>
          <w:highlight w:val="none"/>
        </w:rPr>
        <w:t>机构结合本次成交优惠率</w:t>
      </w:r>
      <w:r>
        <w:rPr>
          <w:rFonts w:hint="eastAsia" w:ascii="宋体" w:hAnsi="宋体"/>
          <w:color w:val="auto"/>
          <w:sz w:val="24"/>
          <w:highlight w:val="none"/>
          <w:lang w:eastAsia="zh-CN"/>
        </w:rPr>
        <w:t>（单</w:t>
      </w:r>
      <w:r>
        <w:rPr>
          <w:rFonts w:hint="eastAsia" w:ascii="宋体" w:hAnsi="宋体"/>
          <w:color w:val="auto"/>
          <w:sz w:val="24"/>
          <w:highlight w:val="none"/>
          <w:lang w:val="en-US" w:eastAsia="zh-CN"/>
        </w:rPr>
        <w:t>个</w:t>
      </w:r>
      <w:r>
        <w:rPr>
          <w:rFonts w:hint="eastAsia" w:ascii="宋体" w:hAnsi="宋体"/>
          <w:color w:val="auto"/>
          <w:sz w:val="24"/>
          <w:highlight w:val="none"/>
          <w:lang w:eastAsia="zh-CN"/>
        </w:rPr>
        <w:t>任务单</w:t>
      </w:r>
      <w:r>
        <w:rPr>
          <w:rFonts w:hint="eastAsia" w:ascii="宋体" w:hAnsi="宋体"/>
          <w:color w:val="auto"/>
          <w:sz w:val="24"/>
          <w:highlight w:val="none"/>
          <w:lang w:val="en-US" w:eastAsia="zh-CN"/>
        </w:rPr>
        <w:t>造价</w:t>
      </w:r>
      <w:r>
        <w:rPr>
          <w:rFonts w:hint="eastAsia" w:ascii="宋体" w:hAnsi="宋体"/>
          <w:color w:val="auto"/>
          <w:sz w:val="24"/>
          <w:highlight w:val="none"/>
          <w:lang w:eastAsia="zh-CN"/>
        </w:rPr>
        <w:t>10000元及以下</w:t>
      </w:r>
      <w:r>
        <w:rPr>
          <w:rFonts w:hint="eastAsia" w:ascii="宋体" w:hAnsi="宋体"/>
          <w:color w:val="auto"/>
          <w:sz w:val="24"/>
          <w:highlight w:val="none"/>
          <w:lang w:val="en-US" w:eastAsia="zh-CN"/>
        </w:rPr>
        <w:t>的</w:t>
      </w:r>
      <w:r>
        <w:rPr>
          <w:rFonts w:hint="eastAsia" w:ascii="宋体" w:hAnsi="宋体"/>
          <w:color w:val="auto"/>
          <w:sz w:val="24"/>
          <w:highlight w:val="none"/>
          <w:lang w:eastAsia="zh-CN"/>
        </w:rPr>
        <w:t>小额零星项目</w:t>
      </w:r>
      <w:r>
        <w:rPr>
          <w:rFonts w:hint="eastAsia" w:ascii="宋体" w:hAnsi="宋体"/>
          <w:color w:val="auto"/>
          <w:sz w:val="24"/>
          <w:highlight w:val="none"/>
          <w:lang w:val="en-US" w:eastAsia="zh-CN"/>
        </w:rPr>
        <w:t>内</w:t>
      </w:r>
      <w:r>
        <w:rPr>
          <w:rFonts w:hint="eastAsia" w:ascii="宋体" w:hAnsi="宋体"/>
          <w:color w:val="auto"/>
          <w:sz w:val="24"/>
          <w:highlight w:val="none"/>
          <w:lang w:eastAsia="zh-CN"/>
        </w:rPr>
        <w:t>计价人工</w:t>
      </w:r>
      <w:r>
        <w:rPr>
          <w:rFonts w:hint="eastAsia" w:ascii="宋体" w:hAnsi="宋体"/>
          <w:color w:val="auto"/>
          <w:sz w:val="24"/>
          <w:highlight w:val="none"/>
          <w:lang w:val="en-US" w:eastAsia="zh-CN"/>
        </w:rPr>
        <w:t>部分不再结合优惠率下浮，按实审定</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审定结算造价</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结算审核</w:t>
      </w:r>
      <w:r>
        <w:rPr>
          <w:rFonts w:hint="eastAsia" w:ascii="宋体" w:hAnsi="宋体"/>
          <w:color w:val="auto"/>
          <w:sz w:val="24"/>
          <w:highlight w:val="none"/>
        </w:rPr>
        <w:t>依据2018版浙江省预算定额及施工费用定额、《关于发布营改增后浙江省建设工程施工取费费率的通知》（浙建站定【201</w:t>
      </w:r>
      <w:r>
        <w:rPr>
          <w:rFonts w:hint="eastAsia" w:ascii="宋体" w:hAnsi="宋体"/>
          <w:color w:val="auto"/>
          <w:sz w:val="24"/>
          <w:highlight w:val="none"/>
          <w:lang w:val="en-US" w:eastAsia="zh-CN"/>
        </w:rPr>
        <w:t>6</w:t>
      </w:r>
      <w:r>
        <w:rPr>
          <w:rFonts w:hint="eastAsia" w:ascii="宋体" w:hAnsi="宋体"/>
          <w:color w:val="auto"/>
          <w:sz w:val="24"/>
          <w:highlight w:val="none"/>
        </w:rPr>
        <w:t>】23号、浙建站定【201</w:t>
      </w:r>
      <w:r>
        <w:rPr>
          <w:rFonts w:hint="eastAsia" w:ascii="宋体" w:hAnsi="宋体"/>
          <w:color w:val="auto"/>
          <w:sz w:val="24"/>
          <w:highlight w:val="none"/>
          <w:lang w:val="en-US" w:eastAsia="zh-CN"/>
        </w:rPr>
        <w:t>6</w:t>
      </w:r>
      <w:r>
        <w:rPr>
          <w:rFonts w:hint="eastAsia" w:ascii="宋体" w:hAnsi="宋体"/>
          <w:color w:val="auto"/>
          <w:sz w:val="24"/>
          <w:highlight w:val="none"/>
        </w:rPr>
        <w:t>】54号）、建建发【2018】104号文件及省、市、区现行有关造价管理文件；材料价格执行《杭州造价信息》萧山区建材价格（施工当期信息价）（未列材料执行杭州相应信息价）、安装材料执行《浙江造价信息》（施工当期信息价）（未列材料执行前几期信息价）</w:t>
      </w:r>
      <w:r>
        <w:rPr>
          <w:rFonts w:hint="eastAsia" w:ascii="宋体" w:hAnsi="宋体"/>
          <w:color w:val="auto"/>
          <w:sz w:val="24"/>
          <w:highlight w:val="none"/>
          <w:lang w:eastAsia="zh-CN"/>
        </w:rPr>
        <w:t>。</w:t>
      </w:r>
    </w:p>
    <w:p>
      <w:pPr>
        <w:autoSpaceDE w:val="0"/>
        <w:autoSpaceDN w:val="0"/>
        <w:adjustRightInd w:val="0"/>
        <w:spacing w:line="360" w:lineRule="auto"/>
        <w:ind w:firstLine="480" w:firstLineChars="200"/>
        <w:jc w:val="left"/>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）结算审核时如产生追加审计费，追加审计费由成交人承担。</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w:t>
      </w:r>
      <w:r>
        <w:rPr>
          <w:rFonts w:hint="eastAsia" w:ascii="宋体" w:hAnsi="宋体"/>
          <w:color w:val="auto"/>
          <w:sz w:val="24"/>
          <w:highlight w:val="none"/>
        </w:rPr>
        <w:t>工期要求：按</w:t>
      </w:r>
      <w:r>
        <w:rPr>
          <w:rFonts w:hint="eastAsia" w:ascii="宋体" w:hAnsi="宋体"/>
          <w:color w:val="auto"/>
          <w:sz w:val="24"/>
          <w:highlight w:val="none"/>
          <w:lang w:eastAsia="zh-CN"/>
        </w:rPr>
        <w:t>交易发起人</w:t>
      </w:r>
      <w:r>
        <w:rPr>
          <w:rFonts w:hint="eastAsia" w:ascii="宋体" w:hAnsi="宋体"/>
          <w:color w:val="auto"/>
          <w:sz w:val="24"/>
          <w:highlight w:val="none"/>
        </w:rPr>
        <w:t>要求，单</w:t>
      </w:r>
      <w:r>
        <w:rPr>
          <w:rFonts w:hint="eastAsia" w:ascii="宋体" w:hAnsi="宋体"/>
          <w:color w:val="auto"/>
          <w:sz w:val="24"/>
          <w:highlight w:val="none"/>
          <w:lang w:val="en-US" w:eastAsia="zh-CN"/>
        </w:rPr>
        <w:t>项任务</w:t>
      </w:r>
      <w:r>
        <w:rPr>
          <w:rFonts w:hint="eastAsia" w:ascii="宋体" w:hAnsi="宋体"/>
          <w:color w:val="auto"/>
          <w:sz w:val="24"/>
          <w:highlight w:val="none"/>
        </w:rPr>
        <w:t>因成交人原因工期延误每天按审计结算价的百分之2进行处罚。</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、工程质量标准：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（1）工程质量要求合格，按国家现行施工质量验收规范标准进行验收。</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（2）工程竣工验收结论报告由委托方、施工方</w:t>
      </w:r>
      <w:r>
        <w:rPr>
          <w:rFonts w:hint="eastAsia" w:ascii="宋体" w:hAnsi="宋体"/>
          <w:color w:val="auto"/>
          <w:sz w:val="24"/>
          <w:highlight w:val="none"/>
          <w:lang w:val="en-US" w:eastAsia="zh-CN"/>
        </w:rPr>
        <w:t>和相关单位</w:t>
      </w:r>
      <w:r>
        <w:rPr>
          <w:rFonts w:hint="eastAsia" w:ascii="宋体" w:hAnsi="宋体"/>
          <w:color w:val="auto"/>
          <w:sz w:val="24"/>
          <w:highlight w:val="none"/>
        </w:rPr>
        <w:t>共同参与验收并盖章。</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eastAsia" w:ascii="宋体" w:hAnsi="宋体"/>
          <w:color w:val="auto"/>
          <w:sz w:val="24"/>
          <w:highlight w:val="none"/>
        </w:rPr>
        <w:t>安全文明施工要求</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（1）成交人必须严格遵守安全、文明施工的操作规程，完善相关措施，做好自身的保险等工作。</w:t>
      </w:r>
      <w:r>
        <w:rPr>
          <w:rFonts w:hint="eastAsia" w:ascii="宋体" w:hAnsi="宋体" w:eastAsia="宋体" w:cs="Times New Roman"/>
          <w:color w:val="auto"/>
          <w:sz w:val="24"/>
          <w:highlight w:val="none"/>
          <w:lang w:val="en-US" w:eastAsia="zh-CN"/>
        </w:rPr>
        <w:t>成交人</w:t>
      </w:r>
      <w:r>
        <w:rPr>
          <w:rFonts w:hint="eastAsia" w:ascii="宋体" w:hAnsi="宋体" w:eastAsia="宋体" w:cs="Times New Roman"/>
          <w:color w:val="auto"/>
          <w:sz w:val="24"/>
          <w:highlight w:val="none"/>
        </w:rPr>
        <w:t>需自行为员工购买意外伤害保险，工作中发生的一切安全责任事故、投诉、信访，由</w:t>
      </w:r>
      <w:r>
        <w:rPr>
          <w:rFonts w:hint="eastAsia" w:ascii="宋体" w:hAnsi="宋体" w:eastAsia="宋体" w:cs="Times New Roman"/>
          <w:color w:val="auto"/>
          <w:sz w:val="24"/>
          <w:highlight w:val="none"/>
          <w:lang w:val="en-US" w:eastAsia="zh-CN"/>
        </w:rPr>
        <w:t>成交人</w:t>
      </w:r>
      <w:r>
        <w:rPr>
          <w:rFonts w:hint="eastAsia" w:ascii="宋体" w:hAnsi="宋体" w:eastAsia="宋体" w:cs="Times New Roman"/>
          <w:color w:val="auto"/>
          <w:sz w:val="24"/>
          <w:highlight w:val="none"/>
        </w:rPr>
        <w:t>负责。</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（2）工程凡涉及治安、市政、市容、环保、交通、计划生育、所在地村民关系协调等发生的问题和费用均由成交人负责解决并承担经济支出。</w:t>
      </w:r>
    </w:p>
    <w:p>
      <w:pPr>
        <w:spacing w:line="360" w:lineRule="auto"/>
        <w:ind w:firstLine="480" w:firstLineChars="200"/>
        <w:rPr>
          <w:rFonts w:hint="eastAsia" w:ascii="宋体" w:hAnsi="宋体"/>
          <w:color w:val="auto"/>
          <w:sz w:val="24"/>
          <w:highlight w:val="none"/>
        </w:rPr>
      </w:pPr>
      <w:r>
        <w:rPr>
          <w:rFonts w:hint="eastAsia" w:ascii="宋体" w:hAnsi="宋体" w:eastAsia="宋体" w:cs="Times New Roman"/>
          <w:color w:val="auto"/>
          <w:sz w:val="24"/>
          <w:highlight w:val="none"/>
        </w:rPr>
        <w:t>（3）项目工作组人员应严格按</w:t>
      </w:r>
      <w:r>
        <w:rPr>
          <w:rFonts w:hint="eastAsia" w:ascii="宋体" w:hAnsi="宋体" w:eastAsia="宋体" w:cs="Times New Roman"/>
          <w:color w:val="auto"/>
          <w:sz w:val="24"/>
          <w:highlight w:val="none"/>
          <w:lang w:eastAsia="zh-CN"/>
        </w:rPr>
        <w:t>交易发起人</w:t>
      </w:r>
      <w:r>
        <w:rPr>
          <w:rFonts w:hint="eastAsia" w:ascii="宋体" w:hAnsi="宋体" w:eastAsia="宋体" w:cs="Times New Roman"/>
          <w:color w:val="auto"/>
          <w:sz w:val="24"/>
          <w:highlight w:val="none"/>
        </w:rPr>
        <w:t>要求配备。若项目工作组人员不具备相关资质或在实施过程中施工人员与报表不符且不具备相应特种作业操作证的，</w:t>
      </w:r>
      <w:r>
        <w:rPr>
          <w:rFonts w:hint="eastAsia" w:ascii="宋体" w:hAnsi="宋体" w:eastAsia="宋体" w:cs="Times New Roman"/>
          <w:color w:val="auto"/>
          <w:sz w:val="24"/>
          <w:highlight w:val="none"/>
          <w:lang w:eastAsia="zh-CN"/>
        </w:rPr>
        <w:t>交易发起人</w:t>
      </w:r>
      <w:r>
        <w:rPr>
          <w:rFonts w:hint="eastAsia" w:ascii="宋体" w:hAnsi="宋体" w:eastAsia="宋体" w:cs="Times New Roman"/>
          <w:color w:val="auto"/>
          <w:sz w:val="24"/>
          <w:highlight w:val="none"/>
        </w:rPr>
        <w:t>有权罚没全部合同履约保证金并</w:t>
      </w:r>
      <w:r>
        <w:rPr>
          <w:rFonts w:hint="eastAsia" w:ascii="宋体" w:hAnsi="宋体"/>
          <w:color w:val="auto"/>
          <w:sz w:val="24"/>
          <w:highlight w:val="none"/>
        </w:rPr>
        <w:t>终止合同，成交人承担由此引起的一切损失。</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（4）成交人在施工时必须做好周边安全围护，施工人员在作业过程中必须穿警示背心，并设置相应的安全警示标志，特殊工种务必持证上岗。如出现相关的安全责任事故，由成交人承担相应责任。</w:t>
      </w:r>
    </w:p>
    <w:p>
      <w:pPr>
        <w:tabs>
          <w:tab w:val="left" w:pos="639"/>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（5）施工结束必须做好施工现场清洁工作，保证</w:t>
      </w:r>
      <w:r>
        <w:rPr>
          <w:rFonts w:hint="eastAsia" w:ascii="宋体" w:hAnsi="宋体"/>
          <w:color w:val="auto"/>
          <w:sz w:val="24"/>
          <w:highlight w:val="none"/>
          <w:lang w:eastAsia="zh-CN"/>
        </w:rPr>
        <w:t>交易发起人</w:t>
      </w:r>
      <w:r>
        <w:rPr>
          <w:rFonts w:hint="eastAsia" w:ascii="宋体" w:hAnsi="宋体"/>
          <w:color w:val="auto"/>
          <w:sz w:val="24"/>
          <w:highlight w:val="none"/>
        </w:rPr>
        <w:t>设施及周边受施工影响区域的干净、整洁。</w:t>
      </w:r>
    </w:p>
    <w:p>
      <w:pPr>
        <w:tabs>
          <w:tab w:val="left" w:pos="639"/>
        </w:tabs>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（6）成交人在实际施工操作中应严格遵循施工规范，避免因现场施工</w:t>
      </w:r>
      <w:r>
        <w:rPr>
          <w:rFonts w:hint="eastAsia" w:ascii="宋体" w:hAnsi="宋体"/>
          <w:color w:val="auto"/>
          <w:sz w:val="24"/>
          <w:highlight w:val="none"/>
          <w:lang w:eastAsia="zh-CN"/>
        </w:rPr>
        <w:t>、</w:t>
      </w:r>
      <w:r>
        <w:rPr>
          <w:rFonts w:hint="eastAsia" w:ascii="宋体" w:hAnsi="宋体"/>
          <w:color w:val="auto"/>
          <w:sz w:val="24"/>
          <w:highlight w:val="none"/>
        </w:rPr>
        <w:t>施工成品造成安全隐患</w:t>
      </w:r>
      <w:r>
        <w:rPr>
          <w:rFonts w:hint="eastAsia" w:ascii="宋体" w:hAnsi="宋体"/>
          <w:color w:val="auto"/>
          <w:sz w:val="24"/>
          <w:highlight w:val="none"/>
          <w:lang w:val="en-US" w:eastAsia="zh-CN"/>
        </w:rPr>
        <w:t>或投诉、信访事件</w:t>
      </w:r>
      <w:r>
        <w:rPr>
          <w:rFonts w:hint="eastAsia" w:ascii="宋体" w:hAnsi="宋体"/>
          <w:color w:val="auto"/>
          <w:sz w:val="24"/>
          <w:highlight w:val="none"/>
        </w:rPr>
        <w:t>。若在今后的工作中发生安全事故</w:t>
      </w:r>
      <w:r>
        <w:rPr>
          <w:rFonts w:hint="eastAsia" w:ascii="宋体" w:hAnsi="宋体"/>
          <w:color w:val="auto"/>
          <w:sz w:val="24"/>
          <w:highlight w:val="none"/>
          <w:lang w:val="en-US" w:eastAsia="zh-CN"/>
        </w:rPr>
        <w:t>或投诉、信访事件</w:t>
      </w:r>
      <w:r>
        <w:rPr>
          <w:rFonts w:hint="eastAsia" w:ascii="宋体" w:hAnsi="宋体"/>
          <w:color w:val="auto"/>
          <w:sz w:val="24"/>
          <w:highlight w:val="none"/>
        </w:rPr>
        <w:t>，一切责任</w:t>
      </w:r>
      <w:r>
        <w:rPr>
          <w:rFonts w:hint="eastAsia" w:ascii="宋体" w:hAnsi="宋体"/>
          <w:color w:val="auto"/>
          <w:sz w:val="24"/>
          <w:highlight w:val="none"/>
          <w:lang w:val="en-US" w:eastAsia="zh-CN"/>
        </w:rPr>
        <w:t>均</w:t>
      </w:r>
      <w:r>
        <w:rPr>
          <w:rFonts w:hint="eastAsia" w:ascii="宋体" w:hAnsi="宋体"/>
          <w:color w:val="auto"/>
          <w:sz w:val="24"/>
          <w:highlight w:val="none"/>
        </w:rPr>
        <w:t>由成交人承担。成交人在施工过程中严格按规范做到安全文明施工，做好成品保护工作，在未验收合格前，设施</w:t>
      </w:r>
      <w:r>
        <w:rPr>
          <w:rFonts w:hint="eastAsia" w:ascii="宋体" w:hAnsi="宋体"/>
          <w:color w:val="auto"/>
          <w:sz w:val="24"/>
          <w:highlight w:val="none"/>
          <w:lang w:val="en-US" w:eastAsia="zh-CN"/>
        </w:rPr>
        <w:t>设备</w:t>
      </w:r>
      <w:r>
        <w:rPr>
          <w:rFonts w:hint="eastAsia" w:ascii="宋体" w:hAnsi="宋体"/>
          <w:color w:val="auto"/>
          <w:sz w:val="24"/>
          <w:highlight w:val="none"/>
        </w:rPr>
        <w:t>出现的损毁等由成交人自行负责修复，相关费用不予另行结算。</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13、其他要求：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成交人应</w:t>
      </w:r>
      <w:r>
        <w:rPr>
          <w:rFonts w:hint="eastAsia" w:ascii="宋体" w:hAnsi="宋体" w:cs="仿宋_GB2312"/>
          <w:color w:val="auto"/>
          <w:sz w:val="24"/>
          <w:highlight w:val="none"/>
        </w:rPr>
        <w:t>根据</w:t>
      </w:r>
      <w:r>
        <w:rPr>
          <w:rFonts w:hint="eastAsia" w:ascii="宋体" w:hAnsi="宋体"/>
          <w:color w:val="auto"/>
          <w:sz w:val="24"/>
          <w:highlight w:val="none"/>
          <w:lang w:eastAsia="zh-CN"/>
        </w:rPr>
        <w:t>交易发起人</w:t>
      </w:r>
      <w:r>
        <w:rPr>
          <w:rFonts w:hint="eastAsia" w:ascii="宋体" w:hAnsi="宋体" w:cs="仿宋_GB2312"/>
          <w:color w:val="auto"/>
          <w:sz w:val="24"/>
          <w:highlight w:val="none"/>
        </w:rPr>
        <w:t>的要求制订详细的工作计划、实施方案，保质保量的在约定的时间内完成任务，并接受</w:t>
      </w:r>
      <w:r>
        <w:rPr>
          <w:rFonts w:hint="eastAsia" w:ascii="宋体" w:hAnsi="宋体"/>
          <w:color w:val="auto"/>
          <w:sz w:val="24"/>
          <w:highlight w:val="none"/>
          <w:lang w:eastAsia="zh-CN"/>
        </w:rPr>
        <w:t>交易发起人</w:t>
      </w:r>
      <w:r>
        <w:rPr>
          <w:rFonts w:hint="eastAsia" w:ascii="宋体" w:hAnsi="宋体" w:cs="仿宋_GB2312"/>
          <w:color w:val="auto"/>
          <w:sz w:val="24"/>
          <w:highlight w:val="none"/>
        </w:rPr>
        <w:t>的监督、检查及考核。如验收不通过须整改完善并加强管理，因此产生的一切费用由</w:t>
      </w:r>
      <w:r>
        <w:rPr>
          <w:rFonts w:hint="eastAsia" w:ascii="宋体" w:hAnsi="宋体" w:cs="仿宋_GB2312"/>
          <w:color w:val="auto"/>
          <w:sz w:val="24"/>
          <w:highlight w:val="none"/>
          <w:lang w:val="en-US" w:eastAsia="zh-CN"/>
        </w:rPr>
        <w:t>成交人</w:t>
      </w:r>
      <w:r>
        <w:rPr>
          <w:rFonts w:hint="eastAsia" w:ascii="宋体" w:hAnsi="宋体" w:cs="仿宋_GB2312"/>
          <w:color w:val="auto"/>
          <w:sz w:val="24"/>
          <w:highlight w:val="none"/>
        </w:rPr>
        <w:t>承担。</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（2）成交人需</w:t>
      </w:r>
      <w:r>
        <w:rPr>
          <w:rFonts w:hint="eastAsia" w:ascii="宋体" w:hAnsi="宋体" w:cs="仿宋_GB2312"/>
          <w:color w:val="auto"/>
          <w:sz w:val="24"/>
          <w:highlight w:val="none"/>
        </w:rPr>
        <w:t>自行准备工作器具、劳保用品等。</w:t>
      </w:r>
    </w:p>
    <w:p>
      <w:pPr>
        <w:spacing w:line="360" w:lineRule="auto"/>
        <w:ind w:firstLine="480" w:firstLineChars="200"/>
        <w:rPr>
          <w:rFonts w:hint="eastAsia" w:ascii="宋体" w:hAnsi="宋体" w:cs="仿宋_GB2312"/>
          <w:color w:val="auto"/>
          <w:sz w:val="24"/>
          <w:highlight w:val="none"/>
        </w:rPr>
      </w:pPr>
      <w:r>
        <w:rPr>
          <w:rFonts w:hint="eastAsia" w:ascii="宋体" w:hAnsi="宋体"/>
          <w:color w:val="auto"/>
          <w:sz w:val="24"/>
          <w:highlight w:val="none"/>
        </w:rPr>
        <w:t>（3）</w:t>
      </w:r>
      <w:r>
        <w:rPr>
          <w:rFonts w:hint="eastAsia" w:ascii="宋体" w:hAnsi="宋体" w:cs="仿宋_GB2312"/>
          <w:color w:val="auto"/>
          <w:sz w:val="24"/>
          <w:highlight w:val="none"/>
        </w:rPr>
        <w:t>因</w:t>
      </w:r>
      <w:r>
        <w:rPr>
          <w:rFonts w:hint="eastAsia" w:ascii="宋体" w:hAnsi="宋体"/>
          <w:color w:val="auto"/>
          <w:sz w:val="24"/>
          <w:highlight w:val="none"/>
        </w:rPr>
        <w:t>成交人</w:t>
      </w:r>
      <w:r>
        <w:rPr>
          <w:rFonts w:hint="eastAsia" w:ascii="宋体" w:hAnsi="宋体" w:cs="仿宋_GB2312"/>
          <w:color w:val="auto"/>
          <w:sz w:val="24"/>
          <w:highlight w:val="none"/>
        </w:rPr>
        <w:t>工作不到位而造成</w:t>
      </w:r>
      <w:r>
        <w:rPr>
          <w:rFonts w:hint="eastAsia" w:ascii="宋体" w:hAnsi="宋体"/>
          <w:color w:val="auto"/>
          <w:sz w:val="24"/>
          <w:highlight w:val="none"/>
          <w:lang w:eastAsia="zh-CN"/>
        </w:rPr>
        <w:t>交易发起人</w:t>
      </w:r>
      <w:r>
        <w:rPr>
          <w:rFonts w:hint="eastAsia" w:ascii="宋体" w:hAnsi="宋体" w:cs="仿宋_GB2312"/>
          <w:color w:val="auto"/>
          <w:sz w:val="24"/>
          <w:highlight w:val="none"/>
        </w:rPr>
        <w:t>苗木死亡、设施、设备损坏或财物被窃等，</w:t>
      </w:r>
      <w:r>
        <w:rPr>
          <w:rFonts w:hint="eastAsia" w:ascii="宋体" w:hAnsi="宋体"/>
          <w:color w:val="auto"/>
          <w:sz w:val="24"/>
          <w:highlight w:val="none"/>
        </w:rPr>
        <w:t>成交人</w:t>
      </w:r>
      <w:r>
        <w:rPr>
          <w:rFonts w:hint="eastAsia" w:ascii="宋体" w:hAnsi="宋体" w:cs="仿宋_GB2312"/>
          <w:color w:val="auto"/>
          <w:sz w:val="24"/>
          <w:highlight w:val="none"/>
        </w:rPr>
        <w:t>须无偿修复或照价赔偿。</w:t>
      </w:r>
      <w:r>
        <w:rPr>
          <w:rFonts w:hint="eastAsia" w:ascii="宋体" w:hAnsi="宋体" w:cs="仿宋_GB2312"/>
          <w:color w:val="auto"/>
          <w:sz w:val="24"/>
          <w:highlight w:val="none"/>
          <w:lang w:val="en-US" w:eastAsia="zh-CN"/>
        </w:rPr>
        <w:t>项目</w:t>
      </w:r>
      <w:r>
        <w:rPr>
          <w:rFonts w:hint="eastAsia" w:ascii="宋体" w:hAnsi="宋体" w:cs="仿宋_GB2312"/>
          <w:color w:val="auto"/>
          <w:sz w:val="24"/>
          <w:highlight w:val="none"/>
        </w:rPr>
        <w:t>履约完成后</w:t>
      </w:r>
      <w:r>
        <w:rPr>
          <w:rFonts w:hint="eastAsia" w:ascii="宋体" w:hAnsi="宋体"/>
          <w:color w:val="auto"/>
          <w:sz w:val="24"/>
          <w:highlight w:val="none"/>
        </w:rPr>
        <w:t>成交人</w:t>
      </w:r>
      <w:r>
        <w:rPr>
          <w:rFonts w:hint="eastAsia" w:ascii="宋体" w:hAnsi="宋体" w:cs="仿宋_GB2312"/>
          <w:color w:val="auto"/>
          <w:sz w:val="24"/>
          <w:highlight w:val="none"/>
        </w:rPr>
        <w:t>应及时向</w:t>
      </w:r>
      <w:r>
        <w:rPr>
          <w:rFonts w:hint="eastAsia" w:ascii="宋体" w:hAnsi="宋体"/>
          <w:color w:val="auto"/>
          <w:sz w:val="24"/>
          <w:highlight w:val="none"/>
          <w:lang w:eastAsia="zh-CN"/>
        </w:rPr>
        <w:t>交易发起人</w:t>
      </w:r>
      <w:r>
        <w:rPr>
          <w:rFonts w:hint="eastAsia" w:ascii="宋体" w:hAnsi="宋体" w:cs="仿宋_GB2312"/>
          <w:color w:val="auto"/>
          <w:sz w:val="24"/>
          <w:highlight w:val="none"/>
        </w:rPr>
        <w:t>办理移交，经</w:t>
      </w:r>
      <w:r>
        <w:rPr>
          <w:rFonts w:hint="eastAsia" w:ascii="宋体" w:hAnsi="宋体"/>
          <w:color w:val="auto"/>
          <w:sz w:val="24"/>
          <w:highlight w:val="none"/>
          <w:lang w:eastAsia="zh-CN"/>
        </w:rPr>
        <w:t>交易发起人</w:t>
      </w:r>
      <w:r>
        <w:rPr>
          <w:rFonts w:hint="eastAsia" w:ascii="宋体" w:hAnsi="宋体" w:cs="仿宋_GB2312"/>
          <w:color w:val="auto"/>
          <w:sz w:val="24"/>
          <w:highlight w:val="none"/>
          <w:lang w:val="en-US" w:eastAsia="zh-CN"/>
        </w:rPr>
        <w:t>验收通过</w:t>
      </w:r>
      <w:r>
        <w:rPr>
          <w:rFonts w:hint="eastAsia" w:ascii="宋体" w:hAnsi="宋体" w:cs="仿宋_GB2312"/>
          <w:color w:val="auto"/>
          <w:sz w:val="24"/>
          <w:highlight w:val="none"/>
        </w:rPr>
        <w:t>后办理结算。</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w:t>
      </w:r>
      <w:r>
        <w:rPr>
          <w:rFonts w:ascii="宋体" w:hAnsi="宋体" w:cs="仿宋_GB2312"/>
          <w:color w:val="auto"/>
          <w:sz w:val="24"/>
          <w:highlight w:val="none"/>
        </w:rPr>
        <w:t>在开展相关</w:t>
      </w:r>
      <w:r>
        <w:rPr>
          <w:rFonts w:hint="eastAsia" w:ascii="宋体" w:hAnsi="宋体" w:cs="仿宋_GB2312"/>
          <w:color w:val="auto"/>
          <w:sz w:val="24"/>
          <w:highlight w:val="none"/>
        </w:rPr>
        <w:t>专业部分</w:t>
      </w:r>
      <w:r>
        <w:rPr>
          <w:rFonts w:hint="eastAsia" w:ascii="宋体" w:hAnsi="宋体" w:cs="仿宋_GB2312"/>
          <w:color w:val="auto"/>
          <w:sz w:val="24"/>
          <w:highlight w:val="none"/>
          <w:lang w:val="en-US" w:eastAsia="zh-CN"/>
        </w:rPr>
        <w:t>任务</w:t>
      </w:r>
      <w:r>
        <w:rPr>
          <w:rFonts w:ascii="宋体" w:hAnsi="宋体" w:cs="仿宋_GB2312"/>
          <w:color w:val="auto"/>
          <w:sz w:val="24"/>
          <w:highlight w:val="none"/>
        </w:rPr>
        <w:t>时，若</w:t>
      </w:r>
      <w:r>
        <w:rPr>
          <w:rFonts w:hint="eastAsia" w:ascii="宋体" w:hAnsi="宋体" w:cs="仿宋_GB2312"/>
          <w:color w:val="auto"/>
          <w:sz w:val="24"/>
          <w:highlight w:val="none"/>
          <w:lang w:val="en-US" w:eastAsia="zh-CN"/>
        </w:rPr>
        <w:t>成交人</w:t>
      </w:r>
      <w:r>
        <w:rPr>
          <w:rFonts w:hint="eastAsia" w:ascii="宋体" w:hAnsi="宋体" w:cs="仿宋_GB2312"/>
          <w:color w:val="auto"/>
          <w:sz w:val="24"/>
          <w:highlight w:val="none"/>
        </w:rPr>
        <w:t>无</w:t>
      </w:r>
      <w:r>
        <w:rPr>
          <w:rFonts w:ascii="宋体" w:hAnsi="宋体" w:cs="仿宋_GB2312"/>
          <w:color w:val="auto"/>
          <w:sz w:val="24"/>
          <w:highlight w:val="none"/>
        </w:rPr>
        <w:t>资质或有资质但资质等级未达到</w:t>
      </w:r>
      <w:r>
        <w:rPr>
          <w:rFonts w:hint="eastAsia" w:ascii="宋体" w:hAnsi="宋体" w:cs="仿宋_GB2312"/>
          <w:color w:val="auto"/>
          <w:sz w:val="24"/>
          <w:highlight w:val="none"/>
        </w:rPr>
        <w:t>该专业</w:t>
      </w:r>
      <w:r>
        <w:rPr>
          <w:rFonts w:ascii="宋体" w:hAnsi="宋体" w:cs="仿宋_GB2312"/>
          <w:color w:val="auto"/>
          <w:sz w:val="24"/>
          <w:highlight w:val="none"/>
        </w:rPr>
        <w:t>资质要求的</w:t>
      </w:r>
      <w:r>
        <w:rPr>
          <w:rFonts w:hint="eastAsia" w:ascii="宋体" w:hAnsi="宋体" w:cs="仿宋_GB2312"/>
          <w:color w:val="auto"/>
          <w:sz w:val="24"/>
          <w:highlight w:val="none"/>
        </w:rPr>
        <w:t>允许</w:t>
      </w:r>
      <w:r>
        <w:rPr>
          <w:rFonts w:ascii="宋体" w:hAnsi="宋体" w:cs="仿宋_GB2312"/>
          <w:color w:val="auto"/>
          <w:sz w:val="24"/>
          <w:highlight w:val="none"/>
        </w:rPr>
        <w:t>分包，但</w:t>
      </w:r>
      <w:r>
        <w:rPr>
          <w:rFonts w:hint="eastAsia" w:ascii="宋体" w:hAnsi="宋体" w:cs="仿宋_GB2312"/>
          <w:color w:val="auto"/>
          <w:sz w:val="24"/>
          <w:highlight w:val="none"/>
        </w:rPr>
        <w:t>须</w:t>
      </w:r>
      <w:r>
        <w:rPr>
          <w:rFonts w:ascii="宋体" w:hAnsi="宋体" w:cs="仿宋_GB2312"/>
          <w:color w:val="auto"/>
          <w:sz w:val="24"/>
          <w:highlight w:val="none"/>
        </w:rPr>
        <w:t>征得</w:t>
      </w:r>
      <w:r>
        <w:rPr>
          <w:rFonts w:hint="eastAsia" w:ascii="宋体" w:hAnsi="宋体" w:cs="仿宋_GB2312"/>
          <w:color w:val="auto"/>
          <w:sz w:val="24"/>
          <w:highlight w:val="none"/>
          <w:lang w:val="en-US" w:eastAsia="zh-CN"/>
        </w:rPr>
        <w:t>交易发起人</w:t>
      </w:r>
      <w:r>
        <w:rPr>
          <w:rFonts w:ascii="宋体" w:hAnsi="宋体" w:cs="仿宋_GB2312"/>
          <w:color w:val="auto"/>
          <w:sz w:val="24"/>
          <w:highlight w:val="none"/>
        </w:rPr>
        <w:t>同意后</w:t>
      </w:r>
      <w:r>
        <w:rPr>
          <w:rFonts w:hint="eastAsia" w:ascii="宋体" w:hAnsi="宋体" w:cs="仿宋_GB2312"/>
          <w:color w:val="auto"/>
          <w:sz w:val="24"/>
          <w:highlight w:val="none"/>
        </w:rPr>
        <w:t>，</w:t>
      </w:r>
      <w:r>
        <w:rPr>
          <w:rFonts w:ascii="宋体" w:hAnsi="宋体" w:cs="仿宋_GB2312"/>
          <w:color w:val="auto"/>
          <w:sz w:val="24"/>
          <w:highlight w:val="none"/>
        </w:rPr>
        <w:t>可以分包给</w:t>
      </w:r>
      <w:r>
        <w:rPr>
          <w:rFonts w:hint="eastAsia" w:ascii="宋体" w:hAnsi="宋体" w:cs="仿宋_GB2312"/>
          <w:color w:val="auto"/>
          <w:sz w:val="24"/>
          <w:highlight w:val="none"/>
        </w:rPr>
        <w:t>具有</w:t>
      </w:r>
      <w:r>
        <w:rPr>
          <w:rFonts w:ascii="宋体" w:hAnsi="宋体" w:cs="仿宋_GB2312"/>
          <w:color w:val="auto"/>
          <w:sz w:val="24"/>
          <w:highlight w:val="none"/>
        </w:rPr>
        <w:t>相应资质的单位</w:t>
      </w:r>
      <w:r>
        <w:rPr>
          <w:rFonts w:hint="eastAsia" w:ascii="宋体" w:hAnsi="宋体" w:cs="仿宋_GB2312"/>
          <w:color w:val="auto"/>
          <w:sz w:val="24"/>
          <w:highlight w:val="none"/>
        </w:rPr>
        <w:t>。</w:t>
      </w:r>
    </w:p>
    <w:p>
      <w:pPr>
        <w:spacing w:line="360" w:lineRule="auto"/>
        <w:rPr>
          <w:rFonts w:hint="eastAsia" w:ascii="宋体" w:hAnsi="宋体"/>
          <w:b/>
          <w:color w:val="auto"/>
          <w:sz w:val="24"/>
          <w:highlight w:val="none"/>
        </w:rPr>
      </w:pPr>
      <w:r>
        <w:rPr>
          <w:rFonts w:hint="eastAsia" w:ascii="宋体" w:hAnsi="宋体"/>
          <w:b/>
          <w:color w:val="auto"/>
          <w:sz w:val="24"/>
          <w:highlight w:val="none"/>
        </w:rPr>
        <w:t>2.商务需求</w:t>
      </w:r>
    </w:p>
    <w:p>
      <w:pPr>
        <w:spacing w:line="360" w:lineRule="auto"/>
        <w:ind w:firstLine="352" w:firstLineChars="147"/>
        <w:rPr>
          <w:rFonts w:hint="eastAsia" w:ascii="宋体" w:hAnsi="宋体" w:cs="宋体"/>
          <w:color w:val="auto"/>
          <w:sz w:val="24"/>
          <w:szCs w:val="20"/>
          <w:highlight w:val="none"/>
        </w:rPr>
      </w:pPr>
      <w:r>
        <w:rPr>
          <w:rFonts w:hint="eastAsia" w:ascii="宋体" w:hAnsi="宋体" w:cs="宋体"/>
          <w:color w:val="auto"/>
          <w:sz w:val="24"/>
          <w:szCs w:val="20"/>
          <w:highlight w:val="none"/>
        </w:rPr>
        <w:t>2.1服务时间及地点</w:t>
      </w:r>
    </w:p>
    <w:p>
      <w:pPr>
        <w:spacing w:line="360" w:lineRule="auto"/>
        <w:ind w:firstLine="354" w:firstLineChars="147"/>
        <w:rPr>
          <w:rFonts w:hint="eastAsia" w:ascii="宋体" w:hAnsi="宋体" w:cs="宋体"/>
          <w:b/>
          <w:color w:val="auto"/>
          <w:sz w:val="24"/>
          <w:szCs w:val="20"/>
          <w:highlight w:val="none"/>
          <w:lang w:eastAsia="zh-CN"/>
        </w:rPr>
      </w:pPr>
      <w:r>
        <w:rPr>
          <w:rFonts w:hint="eastAsia" w:ascii="宋体" w:hAnsi="宋体" w:cs="宋体"/>
          <w:b/>
          <w:color w:val="auto"/>
          <w:sz w:val="24"/>
          <w:szCs w:val="20"/>
          <w:highlight w:val="none"/>
          <w:lang w:eastAsia="zh-CN"/>
        </w:rPr>
        <w:t>▲</w:t>
      </w:r>
      <w:r>
        <w:rPr>
          <w:rFonts w:ascii="宋体" w:hAnsi="宋体" w:cs="宋体"/>
          <w:b/>
          <w:color w:val="auto"/>
          <w:sz w:val="24"/>
          <w:szCs w:val="20"/>
          <w:highlight w:val="none"/>
        </w:rPr>
        <w:t>(1)</w:t>
      </w:r>
      <w:r>
        <w:rPr>
          <w:rFonts w:hint="eastAsia" w:ascii="宋体" w:hAnsi="宋体" w:cs="宋体"/>
          <w:b/>
          <w:color w:val="auto"/>
          <w:sz w:val="24"/>
          <w:szCs w:val="20"/>
          <w:highlight w:val="none"/>
        </w:rPr>
        <w:t>服务期限：</w:t>
      </w:r>
      <w:r>
        <w:rPr>
          <w:rFonts w:hint="eastAsia" w:ascii="宋体" w:hAnsi="宋体" w:cs="宋体"/>
          <w:b/>
          <w:color w:val="auto"/>
          <w:sz w:val="24"/>
          <w:szCs w:val="20"/>
          <w:highlight w:val="none"/>
        </w:rPr>
        <w:t>自合同签订之日起一年</w:t>
      </w:r>
      <w:r>
        <w:rPr>
          <w:rFonts w:hint="eastAsia" w:ascii="宋体" w:hAnsi="宋体" w:cs="宋体"/>
          <w:b/>
          <w:color w:val="auto"/>
          <w:sz w:val="24"/>
          <w:szCs w:val="20"/>
          <w:highlight w:val="none"/>
          <w:lang w:eastAsia="zh-CN"/>
        </w:rPr>
        <w:t>。</w:t>
      </w:r>
      <w:r>
        <w:rPr>
          <w:rFonts w:hint="eastAsia" w:ascii="宋体" w:hAnsi="宋体" w:cs="宋体"/>
          <w:b w:val="0"/>
          <w:bCs/>
          <w:color w:val="auto"/>
          <w:sz w:val="24"/>
          <w:szCs w:val="20"/>
          <w:highlight w:val="none"/>
          <w:lang w:eastAsia="zh-CN"/>
        </w:rPr>
        <w:t>合同签一年，在服务</w:t>
      </w:r>
      <w:r>
        <w:rPr>
          <w:rFonts w:hint="eastAsia" w:ascii="宋体" w:hAnsi="宋体" w:cs="宋体"/>
          <w:b w:val="0"/>
          <w:bCs/>
          <w:color w:val="auto"/>
          <w:sz w:val="24"/>
          <w:szCs w:val="20"/>
          <w:highlight w:val="none"/>
          <w:lang w:val="en-US" w:eastAsia="zh-CN"/>
        </w:rPr>
        <w:t>期限</w:t>
      </w:r>
      <w:r>
        <w:rPr>
          <w:rFonts w:hint="eastAsia" w:ascii="宋体" w:hAnsi="宋体" w:cs="宋体"/>
          <w:b w:val="0"/>
          <w:bCs/>
          <w:color w:val="auto"/>
          <w:sz w:val="24"/>
          <w:szCs w:val="20"/>
          <w:highlight w:val="none"/>
          <w:lang w:eastAsia="zh-CN"/>
        </w:rPr>
        <w:t>内</w:t>
      </w:r>
      <w:r>
        <w:rPr>
          <w:rFonts w:hint="eastAsia" w:ascii="宋体" w:hAnsi="宋体" w:cs="宋体"/>
          <w:b w:val="0"/>
          <w:bCs/>
          <w:color w:val="auto"/>
          <w:sz w:val="24"/>
          <w:szCs w:val="20"/>
          <w:highlight w:val="none"/>
          <w:lang w:val="en-US" w:eastAsia="zh-CN"/>
        </w:rPr>
        <w:t>成交人</w:t>
      </w:r>
      <w:r>
        <w:rPr>
          <w:rFonts w:hint="eastAsia" w:ascii="宋体" w:hAnsi="宋体" w:cs="宋体"/>
          <w:b w:val="0"/>
          <w:bCs/>
          <w:color w:val="auto"/>
          <w:sz w:val="24"/>
          <w:szCs w:val="20"/>
          <w:highlight w:val="none"/>
          <w:lang w:eastAsia="zh-CN"/>
        </w:rPr>
        <w:t>能严格履行合同，</w:t>
      </w:r>
      <w:r>
        <w:rPr>
          <w:rFonts w:hint="eastAsia" w:ascii="宋体" w:hAnsi="宋体" w:cs="宋体"/>
          <w:b w:val="0"/>
          <w:bCs/>
          <w:color w:val="auto"/>
          <w:sz w:val="24"/>
          <w:szCs w:val="20"/>
          <w:highlight w:val="none"/>
          <w:lang w:val="en-US" w:eastAsia="zh-CN"/>
        </w:rPr>
        <w:t>交易发起人</w:t>
      </w:r>
      <w:r>
        <w:rPr>
          <w:rFonts w:hint="eastAsia" w:ascii="宋体" w:hAnsi="宋体" w:cs="宋体"/>
          <w:b w:val="0"/>
          <w:bCs/>
          <w:color w:val="auto"/>
          <w:sz w:val="24"/>
          <w:szCs w:val="20"/>
          <w:highlight w:val="none"/>
          <w:lang w:eastAsia="zh-CN"/>
        </w:rPr>
        <w:t>可视具体考核情况（</w:t>
      </w:r>
      <w:r>
        <w:rPr>
          <w:rFonts w:hint="eastAsia" w:ascii="宋体" w:hAnsi="宋体" w:cs="宋体"/>
          <w:b w:val="0"/>
          <w:bCs/>
          <w:color w:val="auto"/>
          <w:sz w:val="24"/>
          <w:szCs w:val="20"/>
          <w:highlight w:val="none"/>
          <w:lang w:val="en-US" w:eastAsia="zh-CN"/>
        </w:rPr>
        <w:t>服务期限内所有</w:t>
      </w:r>
      <w:r>
        <w:rPr>
          <w:rFonts w:hint="eastAsia" w:ascii="宋体" w:hAnsi="宋体" w:cs="宋体"/>
          <w:b w:val="0"/>
          <w:bCs/>
          <w:color w:val="auto"/>
          <w:sz w:val="24"/>
          <w:szCs w:val="20"/>
          <w:highlight w:val="none"/>
          <w:lang w:eastAsia="zh-CN"/>
        </w:rPr>
        <w:t>考核</w:t>
      </w:r>
      <w:r>
        <w:rPr>
          <w:rFonts w:hint="eastAsia" w:ascii="宋体" w:hAnsi="宋体" w:cs="宋体"/>
          <w:b w:val="0"/>
          <w:bCs/>
          <w:color w:val="auto"/>
          <w:sz w:val="24"/>
          <w:szCs w:val="20"/>
          <w:highlight w:val="none"/>
          <w:lang w:val="en-US" w:eastAsia="zh-CN"/>
        </w:rPr>
        <w:t>平均</w:t>
      </w:r>
      <w:r>
        <w:rPr>
          <w:rFonts w:hint="eastAsia" w:ascii="宋体" w:hAnsi="宋体" w:cs="宋体"/>
          <w:b w:val="0"/>
          <w:bCs/>
          <w:color w:val="auto"/>
          <w:sz w:val="24"/>
          <w:szCs w:val="20"/>
          <w:highlight w:val="none"/>
          <w:lang w:eastAsia="zh-CN"/>
        </w:rPr>
        <w:t>分在</w:t>
      </w:r>
      <w:r>
        <w:rPr>
          <w:rFonts w:hint="eastAsia" w:ascii="宋体" w:hAnsi="宋体" w:cs="宋体"/>
          <w:b w:val="0"/>
          <w:bCs/>
          <w:color w:val="auto"/>
          <w:sz w:val="24"/>
          <w:szCs w:val="20"/>
          <w:highlight w:val="none"/>
          <w:lang w:val="en-US" w:eastAsia="zh-CN"/>
        </w:rPr>
        <w:t>90</w:t>
      </w:r>
      <w:r>
        <w:rPr>
          <w:rFonts w:hint="eastAsia" w:ascii="宋体" w:hAnsi="宋体" w:cs="宋体"/>
          <w:b w:val="0"/>
          <w:bCs/>
          <w:color w:val="auto"/>
          <w:sz w:val="24"/>
          <w:szCs w:val="20"/>
          <w:highlight w:val="none"/>
          <w:lang w:eastAsia="zh-CN"/>
        </w:rPr>
        <w:t>分及以上）与</w:t>
      </w:r>
      <w:r>
        <w:rPr>
          <w:rFonts w:hint="eastAsia" w:ascii="宋体" w:hAnsi="宋体" w:cs="宋体"/>
          <w:b w:val="0"/>
          <w:bCs/>
          <w:color w:val="auto"/>
          <w:sz w:val="24"/>
          <w:szCs w:val="20"/>
          <w:highlight w:val="none"/>
          <w:lang w:val="en-US" w:eastAsia="zh-CN"/>
        </w:rPr>
        <w:t>成交人</w:t>
      </w:r>
      <w:r>
        <w:rPr>
          <w:rFonts w:hint="eastAsia" w:ascii="宋体" w:hAnsi="宋体" w:cs="宋体"/>
          <w:b w:val="0"/>
          <w:bCs/>
          <w:color w:val="auto"/>
          <w:sz w:val="24"/>
          <w:szCs w:val="20"/>
          <w:highlight w:val="none"/>
          <w:lang w:eastAsia="zh-CN"/>
        </w:rPr>
        <w:t>在价格不变情况下续签合同，延长服务期限，续签合同一年（</w:t>
      </w:r>
      <w:r>
        <w:rPr>
          <w:rFonts w:hint="eastAsia" w:ascii="宋体" w:hAnsi="宋体" w:cs="宋体"/>
          <w:b w:val="0"/>
          <w:bCs/>
          <w:color w:val="auto"/>
          <w:sz w:val="24"/>
          <w:szCs w:val="20"/>
          <w:highlight w:val="none"/>
          <w:lang w:val="en-US" w:eastAsia="zh-CN"/>
        </w:rPr>
        <w:t>续签合同金额不得超过198万元</w:t>
      </w:r>
      <w:r>
        <w:rPr>
          <w:rFonts w:hint="eastAsia" w:ascii="宋体" w:hAnsi="宋体" w:cs="宋体"/>
          <w:b w:val="0"/>
          <w:bCs/>
          <w:color w:val="auto"/>
          <w:sz w:val="24"/>
          <w:szCs w:val="20"/>
          <w:highlight w:val="none"/>
          <w:lang w:eastAsia="zh-CN"/>
        </w:rPr>
        <w:t>）。</w:t>
      </w:r>
    </w:p>
    <w:p>
      <w:pPr>
        <w:spacing w:line="360" w:lineRule="auto"/>
        <w:ind w:firstLine="352" w:firstLineChars="147"/>
        <w:rPr>
          <w:rFonts w:hint="eastAsia" w:ascii="宋体" w:hAnsi="宋体" w:cs="宋体"/>
          <w:color w:val="auto"/>
          <w:sz w:val="24"/>
          <w:szCs w:val="20"/>
          <w:highlight w:val="none"/>
        </w:rPr>
      </w:pPr>
      <w:r>
        <w:rPr>
          <w:rFonts w:hint="eastAsia" w:ascii="宋体" w:hAnsi="宋体" w:cs="宋体"/>
          <w:color w:val="auto"/>
          <w:sz w:val="24"/>
          <w:szCs w:val="20"/>
          <w:highlight w:val="none"/>
        </w:rPr>
        <w:t>(2)交货（服务）地点：交易发起人指定地点内。</w:t>
      </w:r>
      <w:r>
        <w:rPr>
          <w:rFonts w:ascii="宋体" w:hAnsi="宋体" w:cs="宋体"/>
          <w:color w:val="auto"/>
          <w:sz w:val="24"/>
          <w:szCs w:val="20"/>
          <w:highlight w:val="none"/>
        </w:rPr>
        <w:t xml:space="preserve">   </w:t>
      </w:r>
    </w:p>
    <w:p>
      <w:pPr>
        <w:spacing w:line="360" w:lineRule="auto"/>
        <w:ind w:firstLine="352" w:firstLineChars="147"/>
        <w:rPr>
          <w:rFonts w:hint="eastAsia" w:ascii="宋体" w:hAnsi="宋体" w:cs="宋体"/>
          <w:color w:val="auto"/>
          <w:sz w:val="24"/>
          <w:szCs w:val="20"/>
          <w:highlight w:val="none"/>
        </w:rPr>
      </w:pPr>
      <w:r>
        <w:rPr>
          <w:rFonts w:hint="eastAsia" w:ascii="宋体" w:hAnsi="宋体" w:cs="宋体"/>
          <w:color w:val="auto"/>
          <w:sz w:val="24"/>
          <w:szCs w:val="20"/>
          <w:highlight w:val="none"/>
        </w:rPr>
        <w:t>2.2承包方式：包工包料。</w:t>
      </w:r>
    </w:p>
    <w:p>
      <w:pPr>
        <w:spacing w:line="360" w:lineRule="auto"/>
        <w:ind w:firstLine="352" w:firstLineChars="147"/>
        <w:rPr>
          <w:rFonts w:hint="eastAsia" w:ascii="宋体" w:hAnsi="宋体" w:cs="宋体"/>
          <w:color w:val="auto"/>
          <w:sz w:val="24"/>
          <w:szCs w:val="20"/>
          <w:highlight w:val="none"/>
        </w:rPr>
      </w:pPr>
      <w:r>
        <w:rPr>
          <w:rFonts w:hint="eastAsia" w:ascii="宋体" w:hAnsi="宋体" w:cs="宋体"/>
          <w:color w:val="auto"/>
          <w:sz w:val="24"/>
          <w:szCs w:val="20"/>
          <w:highlight w:val="none"/>
        </w:rPr>
        <w:t>2.3</w:t>
      </w:r>
      <w:r>
        <w:rPr>
          <w:rFonts w:hint="eastAsia" w:ascii="宋体" w:hAnsi="宋体" w:cs="宋体"/>
          <w:color w:val="auto"/>
          <w:sz w:val="24"/>
          <w:szCs w:val="20"/>
          <w:highlight w:val="none"/>
          <w:lang w:val="en-US" w:eastAsia="zh-CN"/>
        </w:rPr>
        <w:t>本</w:t>
      </w:r>
      <w:r>
        <w:rPr>
          <w:rFonts w:hint="eastAsia" w:ascii="宋体" w:hAnsi="宋体"/>
          <w:color w:val="auto"/>
          <w:sz w:val="24"/>
          <w:highlight w:val="none"/>
        </w:rPr>
        <w:t>项目由</w:t>
      </w:r>
      <w:r>
        <w:rPr>
          <w:rFonts w:hint="eastAsia" w:ascii="宋体" w:hAnsi="宋体"/>
          <w:color w:val="auto"/>
          <w:sz w:val="24"/>
          <w:highlight w:val="none"/>
          <w:lang w:eastAsia="zh-CN"/>
        </w:rPr>
        <w:t>成交人</w:t>
      </w:r>
      <w:r>
        <w:rPr>
          <w:rFonts w:hint="eastAsia" w:ascii="宋体" w:hAnsi="宋体"/>
          <w:color w:val="auto"/>
          <w:sz w:val="24"/>
          <w:highlight w:val="none"/>
        </w:rPr>
        <w:t>实行总承包</w:t>
      </w:r>
      <w:r>
        <w:rPr>
          <w:rFonts w:hint="eastAsia" w:ascii="宋体" w:hAnsi="宋体"/>
          <w:color w:val="auto"/>
          <w:sz w:val="24"/>
          <w:highlight w:val="none"/>
        </w:rPr>
        <w:t>，</w:t>
      </w:r>
      <w:r>
        <w:rPr>
          <w:rFonts w:hint="eastAsia" w:ascii="宋体" w:hAnsi="宋体" w:cs="宋体"/>
          <w:color w:val="auto"/>
          <w:sz w:val="24"/>
          <w:szCs w:val="20"/>
          <w:highlight w:val="none"/>
        </w:rPr>
        <w:t>不得转包</w:t>
      </w:r>
      <w:r>
        <w:rPr>
          <w:rFonts w:hint="eastAsia" w:ascii="宋体" w:hAnsi="宋体" w:cs="宋体"/>
          <w:color w:val="auto"/>
          <w:sz w:val="24"/>
          <w:szCs w:val="20"/>
          <w:highlight w:val="none"/>
          <w:lang w:val="en-US" w:eastAsia="zh-CN"/>
        </w:rPr>
        <w:t>或违规</w:t>
      </w:r>
      <w:r>
        <w:rPr>
          <w:rFonts w:hint="eastAsia" w:ascii="宋体" w:hAnsi="宋体" w:cs="宋体"/>
          <w:color w:val="auto"/>
          <w:sz w:val="24"/>
          <w:szCs w:val="20"/>
          <w:highlight w:val="none"/>
        </w:rPr>
        <w:t>分包</w:t>
      </w:r>
      <w:r>
        <w:rPr>
          <w:rFonts w:hint="eastAsia" w:ascii="宋体" w:hAnsi="宋体"/>
          <w:color w:val="auto"/>
          <w:sz w:val="24"/>
          <w:highlight w:val="none"/>
        </w:rPr>
        <w:t>，</w:t>
      </w:r>
      <w:r>
        <w:rPr>
          <w:rFonts w:hint="eastAsia" w:ascii="宋体" w:hAnsi="宋体" w:cs="宋体"/>
          <w:color w:val="auto"/>
          <w:sz w:val="24"/>
          <w:szCs w:val="20"/>
          <w:highlight w:val="none"/>
        </w:rPr>
        <w:t>一经发现成交人存在转包</w:t>
      </w:r>
      <w:r>
        <w:rPr>
          <w:rFonts w:hint="eastAsia" w:ascii="宋体" w:hAnsi="宋体" w:cs="宋体"/>
          <w:color w:val="auto"/>
          <w:sz w:val="24"/>
          <w:szCs w:val="20"/>
          <w:highlight w:val="none"/>
          <w:lang w:val="en-US" w:eastAsia="zh-CN"/>
        </w:rPr>
        <w:t>或违规</w:t>
      </w:r>
      <w:r>
        <w:rPr>
          <w:rFonts w:hint="eastAsia" w:ascii="宋体" w:hAnsi="宋体" w:cs="宋体"/>
          <w:color w:val="auto"/>
          <w:sz w:val="24"/>
          <w:szCs w:val="20"/>
          <w:highlight w:val="none"/>
        </w:rPr>
        <w:t>分包的行为</w:t>
      </w:r>
      <w:r>
        <w:rPr>
          <w:rFonts w:hint="eastAsia" w:ascii="宋体" w:hAnsi="宋体"/>
          <w:color w:val="auto"/>
          <w:sz w:val="24"/>
          <w:highlight w:val="none"/>
        </w:rPr>
        <w:t>，</w:t>
      </w:r>
      <w:r>
        <w:rPr>
          <w:rFonts w:hint="eastAsia" w:ascii="宋体" w:hAnsi="宋体" w:cs="宋体"/>
          <w:color w:val="auto"/>
          <w:sz w:val="24"/>
          <w:szCs w:val="20"/>
          <w:highlight w:val="none"/>
        </w:rPr>
        <w:t>本项目合同立即自动</w:t>
      </w:r>
      <w:r>
        <w:rPr>
          <w:rFonts w:hint="eastAsia" w:ascii="宋体" w:hAnsi="宋体" w:cs="宋体"/>
          <w:color w:val="auto"/>
          <w:sz w:val="24"/>
          <w:szCs w:val="20"/>
          <w:highlight w:val="none"/>
          <w:lang w:val="en-US" w:eastAsia="zh-CN"/>
        </w:rPr>
        <w:t>终止</w:t>
      </w:r>
      <w:r>
        <w:rPr>
          <w:rFonts w:hint="eastAsia" w:ascii="宋体" w:hAnsi="宋体" w:cs="宋体"/>
          <w:color w:val="auto"/>
          <w:sz w:val="24"/>
          <w:szCs w:val="20"/>
          <w:highlight w:val="none"/>
          <w:lang w:eastAsia="zh-CN"/>
        </w:rPr>
        <w:t>，</w:t>
      </w:r>
      <w:r>
        <w:rPr>
          <w:rFonts w:hint="eastAsia" w:ascii="宋体" w:hAnsi="宋体"/>
          <w:color w:val="auto"/>
          <w:sz w:val="24"/>
          <w:highlight w:val="none"/>
        </w:rPr>
        <w:t>并</w:t>
      </w:r>
      <w:r>
        <w:rPr>
          <w:rFonts w:hint="eastAsia" w:ascii="宋体" w:hAnsi="宋体"/>
          <w:color w:val="auto"/>
          <w:sz w:val="24"/>
          <w:highlight w:val="none"/>
          <w:lang w:val="en-US" w:eastAsia="zh-CN"/>
        </w:rPr>
        <w:t>有权</w:t>
      </w:r>
      <w:r>
        <w:rPr>
          <w:rFonts w:hint="eastAsia" w:ascii="宋体" w:hAnsi="宋体"/>
          <w:color w:val="auto"/>
          <w:sz w:val="24"/>
          <w:highlight w:val="none"/>
        </w:rPr>
        <w:t>向</w:t>
      </w:r>
      <w:r>
        <w:rPr>
          <w:rFonts w:hint="eastAsia" w:ascii="宋体" w:hAnsi="宋体"/>
          <w:color w:val="auto"/>
          <w:sz w:val="24"/>
          <w:highlight w:val="none"/>
          <w:lang w:eastAsia="zh-CN"/>
        </w:rPr>
        <w:t>成交人</w:t>
      </w:r>
      <w:r>
        <w:rPr>
          <w:rFonts w:hint="eastAsia" w:ascii="宋体" w:hAnsi="宋体"/>
          <w:color w:val="auto"/>
          <w:sz w:val="24"/>
          <w:highlight w:val="none"/>
        </w:rPr>
        <w:t>索赔</w:t>
      </w:r>
      <w:r>
        <w:rPr>
          <w:rFonts w:hint="eastAsia" w:ascii="宋体" w:hAnsi="宋体"/>
          <w:color w:val="auto"/>
          <w:sz w:val="24"/>
          <w:highlight w:val="none"/>
          <w:lang w:val="en-US" w:eastAsia="zh-CN"/>
        </w:rPr>
        <w:t>任务单</w:t>
      </w:r>
      <w:r>
        <w:rPr>
          <w:rFonts w:hint="eastAsia" w:ascii="宋体" w:hAnsi="宋体"/>
          <w:color w:val="auto"/>
          <w:sz w:val="24"/>
          <w:highlight w:val="none"/>
        </w:rPr>
        <w:t>造价5%以上10%以下的罚款。</w:t>
      </w:r>
      <w:r>
        <w:rPr>
          <w:rFonts w:hint="eastAsia" w:ascii="宋体" w:hAnsi="宋体" w:cs="宋体"/>
          <w:color w:val="auto"/>
          <w:sz w:val="24"/>
          <w:szCs w:val="20"/>
          <w:highlight w:val="none"/>
        </w:rPr>
        <w:t>同时交易发起人有权没收</w:t>
      </w:r>
      <w:r>
        <w:rPr>
          <w:rFonts w:hint="eastAsia" w:ascii="宋体" w:hAnsi="宋体" w:cs="宋体"/>
          <w:color w:val="auto"/>
          <w:sz w:val="24"/>
          <w:szCs w:val="20"/>
          <w:highlight w:val="none"/>
          <w:lang w:val="en-US" w:eastAsia="zh-CN"/>
        </w:rPr>
        <w:t>成交人</w:t>
      </w:r>
      <w:r>
        <w:rPr>
          <w:rFonts w:hint="eastAsia" w:ascii="宋体" w:hAnsi="宋体" w:cs="宋体"/>
          <w:color w:val="auto"/>
          <w:sz w:val="24"/>
          <w:szCs w:val="20"/>
          <w:highlight w:val="none"/>
        </w:rPr>
        <w:t>履约保证金</w:t>
      </w:r>
      <w:r>
        <w:rPr>
          <w:rFonts w:hint="eastAsia" w:ascii="宋体" w:hAnsi="宋体" w:cs="宋体"/>
          <w:color w:val="auto"/>
          <w:sz w:val="24"/>
          <w:szCs w:val="20"/>
          <w:highlight w:val="none"/>
          <w:lang w:eastAsia="zh-CN"/>
        </w:rPr>
        <w:t>。</w:t>
      </w:r>
    </w:p>
    <w:p>
      <w:pPr>
        <w:spacing w:line="360" w:lineRule="auto"/>
        <w:ind w:firstLine="352" w:firstLineChars="147"/>
        <w:rPr>
          <w:rFonts w:hint="eastAsia" w:ascii="宋体" w:hAnsi="宋体" w:cs="宋体"/>
          <w:color w:val="auto"/>
          <w:sz w:val="24"/>
          <w:szCs w:val="20"/>
          <w:highlight w:val="none"/>
        </w:rPr>
      </w:pPr>
      <w:r>
        <w:rPr>
          <w:rFonts w:hint="eastAsia" w:ascii="宋体" w:hAnsi="宋体" w:cs="宋体"/>
          <w:color w:val="auto"/>
          <w:sz w:val="24"/>
          <w:szCs w:val="20"/>
          <w:highlight w:val="none"/>
        </w:rPr>
        <w:t>2.4合同履行完毕后，在未找到接替</w:t>
      </w:r>
      <w:r>
        <w:rPr>
          <w:rFonts w:hint="eastAsia" w:ascii="宋体" w:hAnsi="宋体" w:cs="宋体"/>
          <w:color w:val="auto"/>
          <w:sz w:val="24"/>
          <w:szCs w:val="20"/>
          <w:highlight w:val="none"/>
          <w:lang w:val="en-US" w:eastAsia="zh-CN"/>
        </w:rPr>
        <w:t>供应商</w:t>
      </w:r>
      <w:r>
        <w:rPr>
          <w:rFonts w:hint="eastAsia" w:ascii="宋体" w:hAnsi="宋体" w:cs="宋体"/>
          <w:color w:val="auto"/>
          <w:sz w:val="24"/>
          <w:szCs w:val="20"/>
          <w:highlight w:val="none"/>
        </w:rPr>
        <w:t>前，成交人应延续1-2个月的服务，费用按原合同签订的标准支付。合同期满后，15日历天内妥善处理退场移交等，如果出现劳资纠纷，责任在成交人。</w:t>
      </w:r>
    </w:p>
    <w:p>
      <w:pPr>
        <w:spacing w:line="360" w:lineRule="auto"/>
        <w:ind w:firstLine="354" w:firstLineChars="147"/>
        <w:rPr>
          <w:rFonts w:hint="eastAsia" w:ascii="宋体" w:hAnsi="宋体" w:cs="宋体"/>
          <w:b/>
          <w:bCs/>
          <w:color w:val="auto"/>
          <w:sz w:val="24"/>
          <w:szCs w:val="20"/>
          <w:highlight w:val="none"/>
        </w:rPr>
      </w:pPr>
      <w:r>
        <w:rPr>
          <w:rFonts w:hint="eastAsia" w:ascii="宋体" w:hAnsi="宋体"/>
          <w:b/>
          <w:bCs/>
          <w:color w:val="auto"/>
          <w:sz w:val="24"/>
          <w:highlight w:val="none"/>
          <w:lang w:val="en-US" w:eastAsia="zh-CN"/>
        </w:rPr>
        <w:t>2.5</w:t>
      </w:r>
      <w:r>
        <w:rPr>
          <w:rFonts w:hint="eastAsia" w:ascii="宋体" w:hAnsi="宋体"/>
          <w:b/>
          <w:bCs/>
          <w:color w:val="auto"/>
          <w:sz w:val="24"/>
          <w:highlight w:val="none"/>
        </w:rPr>
        <w:t>若其中某一</w:t>
      </w:r>
      <w:r>
        <w:rPr>
          <w:rFonts w:hint="eastAsia" w:ascii="宋体" w:hAnsi="宋体"/>
          <w:b/>
          <w:bCs/>
          <w:color w:val="auto"/>
          <w:sz w:val="24"/>
          <w:highlight w:val="none"/>
          <w:lang w:eastAsia="zh-CN"/>
        </w:rPr>
        <w:t>标项</w:t>
      </w:r>
      <w:r>
        <w:rPr>
          <w:rFonts w:hint="eastAsia" w:ascii="宋体" w:hAnsi="宋体"/>
          <w:b/>
          <w:bCs/>
          <w:color w:val="auto"/>
          <w:sz w:val="24"/>
          <w:highlight w:val="none"/>
        </w:rPr>
        <w:t>的</w:t>
      </w:r>
      <w:r>
        <w:rPr>
          <w:rFonts w:hint="eastAsia" w:ascii="宋体" w:hAnsi="宋体"/>
          <w:b/>
          <w:bCs/>
          <w:color w:val="auto"/>
          <w:sz w:val="24"/>
          <w:highlight w:val="none"/>
          <w:lang w:val="en-US" w:eastAsia="zh-CN"/>
        </w:rPr>
        <w:t>成交人</w:t>
      </w:r>
      <w:r>
        <w:rPr>
          <w:rFonts w:hint="eastAsia" w:ascii="宋体" w:hAnsi="宋体"/>
          <w:b/>
          <w:bCs/>
          <w:color w:val="auto"/>
          <w:sz w:val="24"/>
          <w:highlight w:val="none"/>
        </w:rPr>
        <w:t>不能满足</w:t>
      </w:r>
      <w:r>
        <w:rPr>
          <w:rFonts w:hint="eastAsia" w:ascii="宋体" w:hAnsi="宋体"/>
          <w:b/>
          <w:bCs/>
          <w:color w:val="auto"/>
          <w:sz w:val="24"/>
          <w:highlight w:val="none"/>
          <w:lang w:val="en-US" w:eastAsia="zh-CN"/>
        </w:rPr>
        <w:t>交易发起人</w:t>
      </w:r>
      <w:r>
        <w:rPr>
          <w:rFonts w:hint="eastAsia" w:ascii="宋体" w:hAnsi="宋体"/>
          <w:b/>
          <w:bCs/>
          <w:color w:val="auto"/>
          <w:sz w:val="24"/>
          <w:highlight w:val="none"/>
        </w:rPr>
        <w:t>要求而终止合同的，</w:t>
      </w:r>
      <w:r>
        <w:rPr>
          <w:rFonts w:hint="eastAsia" w:ascii="宋体" w:hAnsi="宋体" w:cs="宋体"/>
          <w:b/>
          <w:bCs/>
          <w:color w:val="auto"/>
          <w:sz w:val="24"/>
          <w:highlight w:val="none"/>
        </w:rPr>
        <w:t>造成本</w:t>
      </w:r>
      <w:r>
        <w:rPr>
          <w:rFonts w:hint="eastAsia" w:ascii="宋体" w:hAnsi="宋体" w:cs="宋体"/>
          <w:b/>
          <w:bCs/>
          <w:color w:val="auto"/>
          <w:sz w:val="24"/>
          <w:highlight w:val="none"/>
          <w:lang w:eastAsia="zh-CN"/>
        </w:rPr>
        <w:t>标项</w:t>
      </w:r>
      <w:r>
        <w:rPr>
          <w:rFonts w:hint="eastAsia" w:ascii="宋体" w:hAnsi="宋体" w:cs="宋体"/>
          <w:b/>
          <w:bCs/>
          <w:color w:val="auto"/>
          <w:sz w:val="24"/>
          <w:highlight w:val="none"/>
        </w:rPr>
        <w:t>需要重新</w:t>
      </w:r>
      <w:r>
        <w:rPr>
          <w:rFonts w:hint="eastAsia" w:ascii="宋体" w:hAnsi="宋体" w:cs="宋体"/>
          <w:b/>
          <w:bCs/>
          <w:color w:val="auto"/>
          <w:sz w:val="24"/>
          <w:highlight w:val="none"/>
          <w:lang w:val="en-US" w:eastAsia="zh-CN"/>
        </w:rPr>
        <w:t>组织交易活动</w:t>
      </w:r>
      <w:r>
        <w:rPr>
          <w:rFonts w:hint="eastAsia" w:ascii="宋体" w:hAnsi="宋体" w:cs="宋体"/>
          <w:b/>
          <w:bCs/>
          <w:color w:val="auto"/>
          <w:sz w:val="24"/>
          <w:highlight w:val="none"/>
        </w:rPr>
        <w:t>的，在重新</w:t>
      </w:r>
      <w:r>
        <w:rPr>
          <w:rFonts w:hint="eastAsia" w:ascii="宋体" w:hAnsi="宋体" w:cs="宋体"/>
          <w:b/>
          <w:bCs/>
          <w:color w:val="auto"/>
          <w:sz w:val="24"/>
          <w:highlight w:val="none"/>
          <w:lang w:val="en-US" w:eastAsia="zh-CN"/>
        </w:rPr>
        <w:t>组织交易活动</w:t>
      </w:r>
      <w:r>
        <w:rPr>
          <w:rFonts w:hint="eastAsia" w:ascii="宋体" w:hAnsi="宋体" w:cs="宋体"/>
          <w:b/>
          <w:bCs/>
          <w:color w:val="auto"/>
          <w:sz w:val="24"/>
          <w:highlight w:val="none"/>
        </w:rPr>
        <w:t>期间由另一</w:t>
      </w:r>
      <w:r>
        <w:rPr>
          <w:rFonts w:hint="eastAsia" w:ascii="宋体" w:hAnsi="宋体" w:cs="宋体"/>
          <w:b/>
          <w:bCs/>
          <w:color w:val="auto"/>
          <w:sz w:val="24"/>
          <w:highlight w:val="none"/>
          <w:lang w:eastAsia="zh-CN"/>
        </w:rPr>
        <w:t>标项</w:t>
      </w:r>
      <w:r>
        <w:rPr>
          <w:rFonts w:hint="eastAsia" w:ascii="宋体" w:hAnsi="宋体" w:cs="宋体"/>
          <w:b/>
          <w:bCs/>
          <w:color w:val="auto"/>
          <w:sz w:val="24"/>
          <w:highlight w:val="none"/>
        </w:rPr>
        <w:t>的</w:t>
      </w:r>
      <w:r>
        <w:rPr>
          <w:rFonts w:hint="eastAsia" w:ascii="宋体" w:hAnsi="宋体" w:cs="宋体"/>
          <w:b/>
          <w:bCs/>
          <w:color w:val="auto"/>
          <w:sz w:val="24"/>
          <w:highlight w:val="none"/>
          <w:lang w:val="en-US" w:eastAsia="zh-CN"/>
        </w:rPr>
        <w:t>成交人</w:t>
      </w:r>
      <w:r>
        <w:rPr>
          <w:rFonts w:hint="eastAsia" w:ascii="宋体" w:hAnsi="宋体" w:cs="宋体"/>
          <w:b/>
          <w:bCs/>
          <w:color w:val="auto"/>
          <w:sz w:val="24"/>
          <w:highlight w:val="none"/>
        </w:rPr>
        <w:t>完成本</w:t>
      </w:r>
      <w:r>
        <w:rPr>
          <w:rFonts w:hint="eastAsia" w:ascii="宋体" w:hAnsi="宋体" w:cs="宋体"/>
          <w:b/>
          <w:bCs/>
          <w:color w:val="auto"/>
          <w:sz w:val="24"/>
          <w:highlight w:val="none"/>
          <w:lang w:eastAsia="zh-CN"/>
        </w:rPr>
        <w:t>标项</w:t>
      </w:r>
      <w:r>
        <w:rPr>
          <w:rFonts w:hint="eastAsia" w:ascii="宋体" w:hAnsi="宋体" w:cs="宋体"/>
          <w:b/>
          <w:bCs/>
          <w:color w:val="auto"/>
          <w:sz w:val="24"/>
          <w:highlight w:val="none"/>
        </w:rPr>
        <w:t>的工作内容。</w:t>
      </w:r>
    </w:p>
    <w:p>
      <w:pPr>
        <w:autoSpaceDE w:val="0"/>
        <w:autoSpaceDN w:val="0"/>
        <w:spacing w:line="360" w:lineRule="auto"/>
        <w:jc w:val="left"/>
        <w:textAlignment w:val="bottom"/>
        <w:rPr>
          <w:rFonts w:hint="eastAsia" w:ascii="宋体" w:hAnsi="宋体"/>
          <w:b/>
          <w:bCs/>
          <w:color w:val="auto"/>
          <w:sz w:val="24"/>
          <w:highlight w:val="none"/>
        </w:rPr>
      </w:pPr>
      <w:r>
        <w:rPr>
          <w:rFonts w:hint="eastAsia" w:ascii="宋体" w:hAnsi="宋体"/>
          <w:b/>
          <w:bCs/>
          <w:color w:val="auto"/>
          <w:sz w:val="24"/>
          <w:highlight w:val="none"/>
          <w:lang w:val="en-US" w:eastAsia="zh-CN"/>
        </w:rPr>
        <w:t>3.</w:t>
      </w:r>
      <w:r>
        <w:rPr>
          <w:rFonts w:hint="eastAsia" w:ascii="宋体" w:hAnsi="宋体"/>
          <w:b/>
          <w:bCs/>
          <w:color w:val="auto"/>
          <w:sz w:val="24"/>
          <w:highlight w:val="none"/>
        </w:rPr>
        <w:t>任务单流程</w:t>
      </w:r>
    </w:p>
    <w:p>
      <w:pPr>
        <w:autoSpaceDE w:val="0"/>
        <w:autoSpaceDN w:val="0"/>
        <w:spacing w:line="360" w:lineRule="auto"/>
        <w:jc w:val="left"/>
        <w:textAlignment w:val="bottom"/>
        <w:rPr>
          <w:rFonts w:hint="eastAsia" w:ascii="宋体" w:hAnsi="宋体"/>
          <w:color w:val="auto"/>
          <w:sz w:val="24"/>
          <w:highlight w:val="none"/>
        </w:rPr>
      </w:pPr>
      <w:r>
        <w:rPr>
          <w:rFonts w:hint="eastAsia" w:ascii="宋体" w:hAnsi="宋体"/>
          <w:color w:val="auto"/>
          <w:sz w:val="24"/>
          <w:highlight w:val="none"/>
          <w:lang w:val="en-US" w:eastAsia="zh-CN"/>
        </w:rPr>
        <w:t>　 3.1交易发起人</w:t>
      </w:r>
      <w:r>
        <w:rPr>
          <w:rFonts w:hint="eastAsia" w:ascii="宋体" w:hAnsi="宋体"/>
          <w:color w:val="auto"/>
          <w:sz w:val="24"/>
          <w:highlight w:val="none"/>
        </w:rPr>
        <w:t>根据</w:t>
      </w:r>
      <w:r>
        <w:rPr>
          <w:rFonts w:hint="eastAsia" w:ascii="宋体" w:hAnsi="宋体"/>
          <w:color w:val="auto"/>
          <w:sz w:val="24"/>
          <w:highlight w:val="none"/>
          <w:lang w:val="en-US" w:eastAsia="zh-CN"/>
        </w:rPr>
        <w:t>装修、维修等工作</w:t>
      </w:r>
      <w:r>
        <w:rPr>
          <w:rFonts w:hint="eastAsia" w:ascii="宋体" w:hAnsi="宋体"/>
          <w:color w:val="auto"/>
          <w:sz w:val="24"/>
          <w:highlight w:val="none"/>
        </w:rPr>
        <w:t>的实际情况，不定期对成交人派发任务单。</w:t>
      </w:r>
    </w:p>
    <w:p>
      <w:pPr>
        <w:autoSpaceDE w:val="0"/>
        <w:autoSpaceDN w:val="0"/>
        <w:spacing w:line="360" w:lineRule="auto"/>
        <w:jc w:val="left"/>
        <w:textAlignment w:val="bottom"/>
        <w:rPr>
          <w:rFonts w:hint="eastAsia" w:ascii="宋体" w:hAnsi="宋体"/>
          <w:color w:val="auto"/>
          <w:sz w:val="24"/>
          <w:highlight w:val="none"/>
        </w:rPr>
      </w:pPr>
      <w:r>
        <w:rPr>
          <w:rFonts w:hint="eastAsia" w:ascii="宋体" w:hAnsi="宋体"/>
          <w:color w:val="auto"/>
          <w:sz w:val="24"/>
          <w:highlight w:val="none"/>
          <w:lang w:val="en-US" w:eastAsia="zh-CN"/>
        </w:rPr>
        <w:t>　 3.2</w:t>
      </w:r>
      <w:r>
        <w:rPr>
          <w:rFonts w:hint="eastAsia" w:ascii="宋体" w:hAnsi="宋体"/>
          <w:color w:val="auto"/>
          <w:sz w:val="24"/>
          <w:highlight w:val="none"/>
        </w:rPr>
        <w:t>成交人在接到</w:t>
      </w:r>
      <w:r>
        <w:rPr>
          <w:rFonts w:hint="eastAsia" w:ascii="宋体" w:hAnsi="宋体"/>
          <w:color w:val="auto"/>
          <w:sz w:val="24"/>
          <w:highlight w:val="none"/>
          <w:lang w:val="en-US" w:eastAsia="zh-CN"/>
        </w:rPr>
        <w:t>交易发起人</w:t>
      </w:r>
      <w:r>
        <w:rPr>
          <w:rFonts w:hint="eastAsia" w:ascii="宋体" w:hAnsi="宋体"/>
          <w:color w:val="auto"/>
          <w:sz w:val="24"/>
          <w:highlight w:val="none"/>
        </w:rPr>
        <w:t>派发的任务单后，涉及独立、较大的任务单须在2天内以书面形式上报详细的建设计划，计划须根据</w:t>
      </w:r>
      <w:r>
        <w:rPr>
          <w:rFonts w:hint="eastAsia" w:ascii="宋体" w:hAnsi="宋体"/>
          <w:color w:val="auto"/>
          <w:sz w:val="24"/>
          <w:highlight w:val="none"/>
          <w:lang w:val="en-US" w:eastAsia="zh-CN"/>
        </w:rPr>
        <w:t>交易发起人</w:t>
      </w:r>
      <w:r>
        <w:rPr>
          <w:rFonts w:hint="eastAsia" w:ascii="宋体" w:hAnsi="宋体"/>
          <w:color w:val="auto"/>
          <w:sz w:val="24"/>
          <w:highlight w:val="none"/>
        </w:rPr>
        <w:t>的任务单内容，明确说明该次任务的进度安排和人员、车辆、设备、安排等。</w:t>
      </w:r>
    </w:p>
    <w:p>
      <w:pPr>
        <w:autoSpaceDE w:val="0"/>
        <w:autoSpaceDN w:val="0"/>
        <w:spacing w:line="360" w:lineRule="auto"/>
        <w:jc w:val="left"/>
        <w:textAlignment w:val="bottom"/>
        <w:rPr>
          <w:rFonts w:hint="eastAsia" w:ascii="宋体" w:hAnsi="宋体"/>
          <w:color w:val="auto"/>
          <w:sz w:val="24"/>
          <w:highlight w:val="none"/>
        </w:rPr>
      </w:pPr>
      <w:r>
        <w:rPr>
          <w:rFonts w:hint="eastAsia" w:ascii="宋体" w:hAnsi="宋体"/>
          <w:color w:val="auto"/>
          <w:sz w:val="24"/>
          <w:highlight w:val="none"/>
          <w:lang w:val="en-US" w:eastAsia="zh-CN"/>
        </w:rPr>
        <w:t>　 3.3</w:t>
      </w:r>
      <w:r>
        <w:rPr>
          <w:rFonts w:hint="eastAsia" w:ascii="宋体" w:hAnsi="宋体"/>
          <w:color w:val="auto"/>
          <w:sz w:val="24"/>
          <w:highlight w:val="none"/>
        </w:rPr>
        <w:t>成交人须严格按计划实施任务，并且及时汇报实际完成情况。单次任务单内容完成后，成交人必须立即通知</w:t>
      </w:r>
      <w:r>
        <w:rPr>
          <w:rFonts w:hint="eastAsia" w:ascii="宋体" w:hAnsi="宋体"/>
          <w:color w:val="auto"/>
          <w:sz w:val="24"/>
          <w:highlight w:val="none"/>
          <w:lang w:val="en-US" w:eastAsia="zh-CN"/>
        </w:rPr>
        <w:t>交易发起人</w:t>
      </w:r>
      <w:r>
        <w:rPr>
          <w:rFonts w:hint="eastAsia" w:ascii="宋体" w:hAnsi="宋体"/>
          <w:color w:val="auto"/>
          <w:sz w:val="24"/>
          <w:highlight w:val="none"/>
        </w:rPr>
        <w:t>相关工作人员，并及时提交真实、完整的清单</w:t>
      </w:r>
      <w:r>
        <w:rPr>
          <w:rFonts w:hint="eastAsia" w:ascii="宋体" w:hAnsi="宋体"/>
          <w:color w:val="auto"/>
          <w:sz w:val="24"/>
          <w:highlight w:val="none"/>
          <w:lang w:val="en-US" w:eastAsia="zh-CN"/>
        </w:rPr>
        <w:t>资料</w:t>
      </w:r>
      <w:r>
        <w:rPr>
          <w:rFonts w:hint="eastAsia" w:ascii="宋体" w:hAnsi="宋体"/>
          <w:color w:val="auto"/>
          <w:sz w:val="24"/>
          <w:highlight w:val="none"/>
        </w:rPr>
        <w:t>（</w:t>
      </w:r>
      <w:r>
        <w:rPr>
          <w:rFonts w:hint="eastAsia" w:ascii="宋体" w:hAnsi="宋体"/>
          <w:color w:val="auto"/>
          <w:sz w:val="24"/>
          <w:highlight w:val="none"/>
          <w:lang w:val="en-US" w:eastAsia="zh-CN"/>
        </w:rPr>
        <w:t>交易发起人</w:t>
      </w:r>
      <w:r>
        <w:rPr>
          <w:rFonts w:hint="eastAsia" w:ascii="宋体" w:hAnsi="宋体"/>
          <w:color w:val="auto"/>
          <w:sz w:val="24"/>
          <w:highlight w:val="none"/>
        </w:rPr>
        <w:t>认为必要的，须提供竣工图纸），</w:t>
      </w:r>
      <w:r>
        <w:rPr>
          <w:rFonts w:hint="eastAsia" w:ascii="宋体" w:hAnsi="宋体"/>
          <w:color w:val="auto"/>
          <w:sz w:val="24"/>
          <w:highlight w:val="none"/>
          <w:lang w:val="en-US" w:eastAsia="zh-CN"/>
        </w:rPr>
        <w:t>交易发起人</w:t>
      </w:r>
      <w:r>
        <w:rPr>
          <w:rFonts w:hint="eastAsia" w:ascii="宋体" w:hAnsi="宋体"/>
          <w:color w:val="auto"/>
          <w:sz w:val="24"/>
          <w:highlight w:val="none"/>
        </w:rPr>
        <w:t>将根据项目进度和质量等情况，对成交人进行验收。对评定不合格的任务单，成交人必须整改并通过</w:t>
      </w:r>
      <w:r>
        <w:rPr>
          <w:rFonts w:hint="eastAsia" w:ascii="宋体" w:hAnsi="宋体"/>
          <w:color w:val="auto"/>
          <w:sz w:val="24"/>
          <w:highlight w:val="none"/>
          <w:lang w:val="en-US" w:eastAsia="zh-CN"/>
        </w:rPr>
        <w:t>交易发起人</w:t>
      </w:r>
      <w:r>
        <w:rPr>
          <w:rFonts w:hint="eastAsia" w:ascii="宋体" w:hAnsi="宋体"/>
          <w:color w:val="auto"/>
          <w:sz w:val="24"/>
          <w:highlight w:val="none"/>
        </w:rPr>
        <w:t>的再次验收，否则不予结算。</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lang w:val="en-US" w:eastAsia="zh-CN"/>
        </w:rPr>
        <w:t xml:space="preserve"> 3.4</w:t>
      </w:r>
      <w:r>
        <w:rPr>
          <w:rFonts w:hint="eastAsia" w:ascii="宋体" w:hAnsi="宋体"/>
          <w:color w:val="auto"/>
          <w:sz w:val="24"/>
          <w:highlight w:val="none"/>
        </w:rPr>
        <w:t>对</w:t>
      </w:r>
      <w:r>
        <w:rPr>
          <w:rFonts w:hint="eastAsia" w:ascii="宋体" w:hAnsi="宋体"/>
          <w:color w:val="auto"/>
          <w:sz w:val="24"/>
          <w:highlight w:val="none"/>
          <w:lang w:val="en-US" w:eastAsia="zh-CN"/>
        </w:rPr>
        <w:t>交易发起人</w:t>
      </w:r>
      <w:r>
        <w:rPr>
          <w:rFonts w:hint="eastAsia" w:ascii="宋体" w:hAnsi="宋体"/>
          <w:color w:val="auto"/>
          <w:sz w:val="24"/>
          <w:highlight w:val="none"/>
        </w:rPr>
        <w:t>派发（包括口头通知）的紧急任务，成交人须在规定时间内保质、保量完成，并及时汇报。</w:t>
      </w:r>
      <w:r>
        <w:rPr>
          <w:rFonts w:hint="eastAsia" w:ascii="宋体" w:hAnsi="宋体"/>
          <w:color w:val="auto"/>
          <w:sz w:val="24"/>
          <w:highlight w:val="none"/>
          <w:lang w:val="en-US" w:eastAsia="zh-CN"/>
        </w:rPr>
        <w:t>交易发起人</w:t>
      </w:r>
      <w:r>
        <w:rPr>
          <w:rFonts w:hint="eastAsia" w:ascii="宋体" w:hAnsi="宋体"/>
          <w:color w:val="auto"/>
          <w:sz w:val="24"/>
          <w:highlight w:val="none"/>
        </w:rPr>
        <w:t>须在事后补发相关任务单。</w:t>
      </w:r>
    </w:p>
    <w:p>
      <w:pPr>
        <w:snapToGrid w:val="0"/>
        <w:spacing w:line="360" w:lineRule="auto"/>
        <w:jc w:val="left"/>
        <w:rPr>
          <w:rFonts w:hint="eastAsia" w:ascii="宋体" w:hAnsi="宋体"/>
          <w:b/>
          <w:color w:val="auto"/>
          <w:sz w:val="24"/>
          <w:highlight w:val="none"/>
        </w:rPr>
      </w:pPr>
      <w:r>
        <w:rPr>
          <w:rFonts w:hint="eastAsia" w:ascii="宋体" w:hAnsi="宋体"/>
          <w:b/>
          <w:color w:val="auto"/>
          <w:sz w:val="24"/>
          <w:highlight w:val="none"/>
          <w:lang w:val="en-US" w:eastAsia="zh-CN"/>
        </w:rPr>
        <w:t>4</w:t>
      </w:r>
      <w:r>
        <w:rPr>
          <w:rFonts w:hint="eastAsia" w:ascii="宋体" w:hAnsi="宋体"/>
          <w:b/>
          <w:color w:val="auto"/>
          <w:sz w:val="24"/>
          <w:highlight w:val="none"/>
        </w:rPr>
        <w:t>.项目实施计划</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项目实施的组织工作方案：工作时间进度表、工作程序或步骤、管理和协调方法、送货方案等。</w:t>
      </w:r>
    </w:p>
    <w:p>
      <w:pPr>
        <w:snapToGrid w:val="0"/>
        <w:spacing w:line="360" w:lineRule="auto"/>
        <w:jc w:val="left"/>
        <w:rPr>
          <w:rFonts w:hint="eastAsia" w:ascii="宋体" w:hAnsi="宋体"/>
          <w:b/>
          <w:color w:val="auto"/>
          <w:sz w:val="24"/>
          <w:highlight w:val="none"/>
        </w:rPr>
      </w:pPr>
      <w:r>
        <w:rPr>
          <w:rFonts w:hint="eastAsia" w:ascii="宋体" w:hAnsi="宋体"/>
          <w:color w:val="auto"/>
          <w:sz w:val="24"/>
          <w:highlight w:val="none"/>
          <w:lang w:eastAsia="zh-CN"/>
        </w:rPr>
        <w:t>▲</w:t>
      </w:r>
      <w:r>
        <w:rPr>
          <w:rFonts w:hint="eastAsia" w:ascii="宋体" w:hAnsi="宋体"/>
          <w:b/>
          <w:color w:val="auto"/>
          <w:sz w:val="24"/>
          <w:highlight w:val="none"/>
          <w:lang w:val="en-US" w:eastAsia="zh-CN"/>
        </w:rPr>
        <w:t>5</w:t>
      </w:r>
      <w:r>
        <w:rPr>
          <w:rFonts w:hint="eastAsia" w:ascii="宋体" w:hAnsi="宋体"/>
          <w:b/>
          <w:color w:val="auto"/>
          <w:sz w:val="24"/>
          <w:highlight w:val="none"/>
        </w:rPr>
        <w:t>.付款方式</w:t>
      </w:r>
    </w:p>
    <w:p>
      <w:pPr>
        <w:autoSpaceDE w:val="0"/>
        <w:autoSpaceDN w:val="0"/>
        <w:spacing w:line="360" w:lineRule="auto"/>
        <w:ind w:firstLine="480" w:firstLineChars="200"/>
        <w:jc w:val="left"/>
        <w:textAlignment w:val="bottom"/>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本项目具体服务内容以交易</w:t>
      </w:r>
      <w:r>
        <w:rPr>
          <w:rFonts w:hint="eastAsia" w:ascii="宋体" w:hAnsi="宋体" w:cs="宋体"/>
          <w:color w:val="auto"/>
          <w:sz w:val="24"/>
          <w:highlight w:val="none"/>
          <w:lang w:val="en-US" w:eastAsia="zh-CN"/>
        </w:rPr>
        <w:t>发起</w:t>
      </w:r>
      <w:r>
        <w:rPr>
          <w:rFonts w:hint="eastAsia" w:ascii="宋体" w:hAnsi="宋体" w:cs="宋体"/>
          <w:color w:val="auto"/>
          <w:sz w:val="24"/>
          <w:highlight w:val="none"/>
        </w:rPr>
        <w:t>人发放的任务单为准</w:t>
      </w:r>
      <w:r>
        <w:rPr>
          <w:rFonts w:hint="eastAsia" w:ascii="宋体" w:hAnsi="宋体" w:cs="宋体"/>
          <w:b w:val="0"/>
          <w:bCs w:val="0"/>
          <w:color w:val="auto"/>
          <w:sz w:val="24"/>
          <w:highlight w:val="none"/>
        </w:rPr>
        <w:t>，具体金额按实际工程量</w:t>
      </w:r>
      <w:r>
        <w:rPr>
          <w:rFonts w:hint="eastAsia" w:ascii="宋体" w:hAnsi="宋体" w:cs="宋体"/>
          <w:b w:val="0"/>
          <w:bCs w:val="0"/>
          <w:color w:val="auto"/>
          <w:sz w:val="24"/>
          <w:highlight w:val="none"/>
          <w:lang w:val="en-US" w:eastAsia="zh-CN"/>
        </w:rPr>
        <w:t>经交易发起人委托第三方审核机构结合本次成交优惠率审定结算造价（舍五入为整数）后，</w:t>
      </w:r>
      <w:r>
        <w:rPr>
          <w:rFonts w:hint="eastAsia" w:ascii="宋体" w:hAnsi="宋体" w:cs="宋体"/>
          <w:color w:val="auto"/>
          <w:sz w:val="24"/>
          <w:highlight w:val="none"/>
        </w:rPr>
        <w:t>以季度为单位进行结算</w:t>
      </w:r>
      <w:r>
        <w:rPr>
          <w:rFonts w:hint="eastAsia" w:ascii="宋体" w:hAnsi="宋体" w:cs="宋体"/>
          <w:color w:val="auto"/>
          <w:sz w:val="24"/>
          <w:highlight w:val="none"/>
          <w:lang w:eastAsia="zh-CN"/>
        </w:rPr>
        <w:t>。</w:t>
      </w:r>
      <w:r>
        <w:rPr>
          <w:rFonts w:hint="eastAsia" w:ascii="宋体" w:hAnsi="宋体"/>
          <w:color w:val="auto"/>
          <w:sz w:val="24"/>
          <w:highlight w:val="none"/>
          <w:lang w:val="en-US" w:eastAsia="zh-CN"/>
        </w:rPr>
        <w:t>成交人</w:t>
      </w:r>
      <w:r>
        <w:rPr>
          <w:rFonts w:hint="eastAsia" w:ascii="宋体" w:hAnsi="宋体" w:cs="仿宋_GB2312"/>
          <w:color w:val="auto"/>
          <w:sz w:val="24"/>
          <w:highlight w:val="none"/>
        </w:rPr>
        <w:t>按季度报送结算资料</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经</w:t>
      </w:r>
      <w:r>
        <w:rPr>
          <w:rFonts w:hint="eastAsia" w:ascii="宋体" w:hAnsi="宋体" w:cs="宋体"/>
          <w:color w:val="auto"/>
          <w:sz w:val="24"/>
          <w:highlight w:val="none"/>
          <w:lang w:val="en-US" w:eastAsia="zh-CN"/>
        </w:rPr>
        <w:t>验收合格</w:t>
      </w:r>
      <w:r>
        <w:rPr>
          <w:rFonts w:hint="eastAsia" w:ascii="宋体" w:hAnsi="宋体" w:cs="宋体"/>
          <w:color w:val="auto"/>
          <w:sz w:val="24"/>
          <w:highlight w:val="none"/>
        </w:rPr>
        <w:t>后费用支付至结算审核价的98.5%</w:t>
      </w:r>
      <w:r>
        <w:rPr>
          <w:rFonts w:hint="eastAsia" w:ascii="宋体" w:hAnsi="宋体" w:cs="仿宋_GB2312"/>
          <w:color w:val="auto"/>
          <w:sz w:val="24"/>
          <w:highlight w:val="none"/>
        </w:rPr>
        <w:t>，剩余</w:t>
      </w:r>
      <w:r>
        <w:rPr>
          <w:rFonts w:hint="eastAsia" w:ascii="宋体" w:hAnsi="宋体" w:cs="宋体"/>
          <w:color w:val="auto"/>
          <w:sz w:val="24"/>
          <w:highlight w:val="none"/>
        </w:rPr>
        <w:t>1.5%</w:t>
      </w:r>
      <w:r>
        <w:rPr>
          <w:rFonts w:hint="eastAsia" w:ascii="宋体" w:hAnsi="宋体" w:cs="仿宋_GB2312"/>
          <w:color w:val="auto"/>
          <w:sz w:val="24"/>
          <w:highlight w:val="none"/>
        </w:rPr>
        <w:t>作为质量保修金，在质保期满后</w:t>
      </w:r>
      <w:r>
        <w:rPr>
          <w:rFonts w:hint="eastAsia" w:ascii="宋体" w:hAnsi="宋体" w:cs="宋体"/>
          <w:color w:val="auto"/>
          <w:sz w:val="24"/>
          <w:highlight w:val="none"/>
        </w:rPr>
        <w:t>无质量问题一次性无息退还</w:t>
      </w:r>
      <w:r>
        <w:rPr>
          <w:rFonts w:hint="eastAsia" w:ascii="宋体" w:hAnsi="宋体" w:cs="仿宋_GB2312"/>
          <w:color w:val="auto"/>
          <w:sz w:val="24"/>
          <w:highlight w:val="none"/>
        </w:rPr>
        <w:t>。每次付款前，</w:t>
      </w:r>
      <w:r>
        <w:rPr>
          <w:rFonts w:hint="eastAsia" w:ascii="宋体" w:hAnsi="宋体" w:cs="仿宋_GB2312"/>
          <w:color w:val="auto"/>
          <w:sz w:val="24"/>
          <w:highlight w:val="none"/>
          <w:lang w:val="en-US" w:eastAsia="zh-CN"/>
        </w:rPr>
        <w:t>成交人</w:t>
      </w:r>
      <w:r>
        <w:rPr>
          <w:rFonts w:hint="eastAsia" w:ascii="宋体" w:hAnsi="宋体" w:cs="仿宋_GB2312"/>
          <w:color w:val="auto"/>
          <w:sz w:val="24"/>
          <w:highlight w:val="none"/>
        </w:rPr>
        <w:t>须开具等额的有效税务发票，否则</w:t>
      </w:r>
      <w:r>
        <w:rPr>
          <w:rFonts w:hint="eastAsia" w:ascii="宋体" w:hAnsi="宋体" w:cs="宋体"/>
          <w:color w:val="auto"/>
          <w:sz w:val="24"/>
          <w:highlight w:val="none"/>
          <w:lang w:eastAsia="zh-CN"/>
        </w:rPr>
        <w:t>交易发起人</w:t>
      </w:r>
      <w:r>
        <w:rPr>
          <w:rFonts w:hint="eastAsia" w:ascii="宋体" w:hAnsi="宋体" w:cs="仿宋_GB2312"/>
          <w:color w:val="auto"/>
          <w:sz w:val="24"/>
          <w:highlight w:val="none"/>
        </w:rPr>
        <w:t>有权拒绝或延期支付费用</w:t>
      </w:r>
      <w:r>
        <w:rPr>
          <w:rFonts w:hint="eastAsia" w:ascii="宋体" w:hAnsi="宋体" w:cs="仿宋_GB2312"/>
          <w:color w:val="auto"/>
          <w:sz w:val="24"/>
          <w:highlight w:val="none"/>
          <w:lang w:eastAsia="zh-CN"/>
        </w:rPr>
        <w:t>。</w:t>
      </w:r>
    </w:p>
    <w:p>
      <w:pPr>
        <w:autoSpaceDE w:val="0"/>
        <w:autoSpaceDN w:val="0"/>
        <w:spacing w:line="360" w:lineRule="auto"/>
        <w:ind w:firstLine="480" w:firstLineChars="200"/>
        <w:jc w:val="left"/>
        <w:textAlignment w:val="bottom"/>
        <w:rPr>
          <w:rFonts w:hint="eastAsia" w:ascii="宋体" w:hAnsi="宋体" w:cs="宋体"/>
          <w:color w:val="auto"/>
          <w:sz w:val="24"/>
          <w:highlight w:val="none"/>
        </w:rPr>
      </w:pPr>
      <w:r>
        <w:rPr>
          <w:rFonts w:hint="eastAsia" w:ascii="宋体" w:hAnsi="宋体" w:cs="宋体"/>
          <w:color w:val="auto"/>
          <w:sz w:val="24"/>
          <w:highlight w:val="none"/>
        </w:rPr>
        <w:t>本</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涉及设施、设备质保期均为一年，</w:t>
      </w:r>
      <w:r>
        <w:rPr>
          <w:rFonts w:hint="eastAsia" w:ascii="宋体" w:hAnsi="宋体"/>
          <w:color w:val="auto"/>
          <w:sz w:val="24"/>
          <w:highlight w:val="none"/>
        </w:rPr>
        <w:t>质保期按每个季度独立计算</w:t>
      </w:r>
      <w:r>
        <w:rPr>
          <w:rFonts w:hint="eastAsia" w:ascii="宋体" w:hAnsi="宋体" w:cs="仿宋_GB2312"/>
          <w:color w:val="auto"/>
          <w:sz w:val="24"/>
          <w:highlight w:val="none"/>
        </w:rPr>
        <w:t>。</w:t>
      </w:r>
    </w:p>
    <w:p>
      <w:pPr>
        <w:spacing w:line="360" w:lineRule="auto"/>
        <w:rPr>
          <w:rFonts w:hint="eastAsia" w:ascii="宋体" w:hAnsi="宋体" w:cs="宋体"/>
          <w:b/>
          <w:color w:val="auto"/>
          <w:kern w:val="1"/>
          <w:sz w:val="24"/>
          <w:highlight w:val="none"/>
          <w:lang w:val="zh-CN"/>
        </w:rPr>
      </w:pPr>
      <w:r>
        <w:rPr>
          <w:rFonts w:hint="eastAsia" w:ascii="宋体" w:hAnsi="宋体" w:cs="宋体"/>
          <w:b/>
          <w:color w:val="auto"/>
          <w:kern w:val="1"/>
          <w:sz w:val="24"/>
          <w:highlight w:val="none"/>
          <w:lang w:val="en-US" w:eastAsia="zh-CN"/>
        </w:rPr>
        <w:t>6</w:t>
      </w:r>
      <w:r>
        <w:rPr>
          <w:rFonts w:hint="eastAsia" w:ascii="宋体" w:hAnsi="宋体" w:cs="宋体"/>
          <w:b/>
          <w:color w:val="auto"/>
          <w:kern w:val="1"/>
          <w:sz w:val="24"/>
          <w:highlight w:val="none"/>
          <w:lang w:val="zh-CN"/>
        </w:rPr>
        <w:t>.特殊要求</w:t>
      </w:r>
    </w:p>
    <w:p>
      <w:pPr>
        <w:spacing w:line="360" w:lineRule="auto"/>
        <w:ind w:firstLine="480"/>
        <w:rPr>
          <w:rFonts w:hint="eastAsia" w:ascii="宋体" w:hAnsi="宋体" w:cs="宋体"/>
          <w:color w:val="auto"/>
          <w:kern w:val="1"/>
          <w:sz w:val="24"/>
          <w:highlight w:val="none"/>
          <w:lang w:val="zh-CN"/>
        </w:rPr>
      </w:pPr>
      <w:r>
        <w:rPr>
          <w:rFonts w:hint="eastAsia" w:ascii="宋体" w:hAnsi="宋体" w:cs="宋体"/>
          <w:color w:val="auto"/>
          <w:kern w:val="1"/>
          <w:sz w:val="24"/>
          <w:highlight w:val="none"/>
          <w:lang w:val="en-US" w:eastAsia="zh-CN"/>
        </w:rPr>
        <w:t>6</w:t>
      </w:r>
      <w:r>
        <w:rPr>
          <w:rFonts w:hint="eastAsia" w:ascii="宋体" w:hAnsi="宋体" w:cs="宋体"/>
          <w:color w:val="auto"/>
          <w:kern w:val="1"/>
          <w:sz w:val="24"/>
          <w:highlight w:val="none"/>
          <w:lang w:val="zh-CN"/>
        </w:rPr>
        <w:t>.1杭州萧山城市服务管理有限公司</w:t>
      </w:r>
      <w:r>
        <w:rPr>
          <w:rFonts w:hint="eastAsia" w:ascii="宋体" w:hAnsi="宋体" w:cs="宋体"/>
          <w:color w:val="auto"/>
          <w:kern w:val="1"/>
          <w:sz w:val="24"/>
          <w:highlight w:val="none"/>
          <w:lang w:val="en-US" w:eastAsia="zh-CN"/>
        </w:rPr>
        <w:t>2024-</w:t>
      </w:r>
      <w:r>
        <w:rPr>
          <w:rFonts w:hint="eastAsia" w:ascii="宋体" w:hAnsi="宋体" w:cs="宋体"/>
          <w:color w:val="auto"/>
          <w:kern w:val="1"/>
          <w:sz w:val="24"/>
          <w:highlight w:val="none"/>
          <w:lang w:val="zh-CN"/>
        </w:rPr>
        <w:t>2025年度零星维修及装修</w:t>
      </w:r>
      <w:r>
        <w:rPr>
          <w:rFonts w:hint="eastAsia" w:ascii="宋体" w:hAnsi="宋体" w:cs="宋体"/>
          <w:color w:val="auto"/>
          <w:kern w:val="1"/>
          <w:sz w:val="24"/>
          <w:highlight w:val="none"/>
          <w:lang w:val="en-US" w:eastAsia="zh-CN"/>
        </w:rPr>
        <w:t>工程</w:t>
      </w:r>
      <w:r>
        <w:rPr>
          <w:rFonts w:hint="eastAsia" w:ascii="宋体" w:hAnsi="宋体" w:cs="宋体"/>
          <w:color w:val="auto"/>
          <w:kern w:val="1"/>
          <w:sz w:val="24"/>
          <w:highlight w:val="none"/>
          <w:lang w:val="zh-CN"/>
        </w:rPr>
        <w:t>项目共</w:t>
      </w:r>
      <w:r>
        <w:rPr>
          <w:rFonts w:hint="eastAsia" w:ascii="宋体" w:hAnsi="宋体" w:cs="宋体"/>
          <w:color w:val="auto"/>
          <w:kern w:val="1"/>
          <w:sz w:val="24"/>
          <w:highlight w:val="none"/>
          <w:lang w:val="en-US" w:eastAsia="zh-CN"/>
        </w:rPr>
        <w:t>评选成交人</w:t>
      </w:r>
      <w:r>
        <w:rPr>
          <w:rFonts w:hint="eastAsia" w:ascii="宋体" w:hAnsi="宋体" w:cs="宋体"/>
          <w:color w:val="auto"/>
          <w:kern w:val="1"/>
          <w:sz w:val="24"/>
          <w:highlight w:val="none"/>
          <w:lang w:val="zh-CN"/>
        </w:rPr>
        <w:t>两家，每个标项各一家，成交</w:t>
      </w:r>
      <w:r>
        <w:rPr>
          <w:rFonts w:hint="eastAsia" w:ascii="宋体" w:hAnsi="宋体" w:cs="宋体"/>
          <w:color w:val="auto"/>
          <w:kern w:val="1"/>
          <w:sz w:val="24"/>
          <w:highlight w:val="none"/>
          <w:lang w:val="en-US" w:eastAsia="zh-CN"/>
        </w:rPr>
        <w:t>人</w:t>
      </w:r>
      <w:r>
        <w:rPr>
          <w:rFonts w:hint="eastAsia" w:ascii="宋体" w:hAnsi="宋体" w:cs="宋体"/>
          <w:color w:val="auto"/>
          <w:kern w:val="1"/>
          <w:sz w:val="24"/>
          <w:highlight w:val="none"/>
          <w:lang w:val="zh-CN"/>
        </w:rPr>
        <w:t>用于服务杭州萧山城市服务管理有限公司</w:t>
      </w:r>
      <w:r>
        <w:rPr>
          <w:rFonts w:hint="eastAsia" w:ascii="宋体" w:hAnsi="宋体" w:cs="宋体"/>
          <w:color w:val="auto"/>
          <w:kern w:val="1"/>
          <w:sz w:val="24"/>
          <w:highlight w:val="none"/>
          <w:lang w:val="en-US" w:eastAsia="zh-CN"/>
        </w:rPr>
        <w:t>和杭州萧山城市物业服务有限公司所需任务（</w:t>
      </w:r>
      <w:r>
        <w:rPr>
          <w:rFonts w:hint="eastAsia" w:ascii="宋体" w:hAnsi="宋体" w:cs="宋体"/>
          <w:color w:val="auto"/>
          <w:kern w:val="1"/>
          <w:sz w:val="24"/>
          <w:highlight w:val="none"/>
          <w:lang w:val="zh-CN"/>
        </w:rPr>
        <w:t>杭州萧山城市服务管理有限公司</w:t>
      </w:r>
      <w:r>
        <w:rPr>
          <w:rFonts w:hint="eastAsia" w:ascii="宋体" w:hAnsi="宋体" w:cs="宋体"/>
          <w:color w:val="auto"/>
          <w:kern w:val="1"/>
          <w:sz w:val="24"/>
          <w:highlight w:val="none"/>
          <w:lang w:val="en-US" w:eastAsia="zh-CN"/>
        </w:rPr>
        <w:t>和杭州萧山城市物业服务有限公司为两块牌子一套班子的运转模式），各标项成交人分别和杭州萧山城市服务管理有限公司、杭州萧山城市物业服务有限公司共同签署三方合同</w:t>
      </w:r>
      <w:r>
        <w:rPr>
          <w:rFonts w:hint="eastAsia" w:ascii="宋体" w:hAnsi="宋体" w:cs="宋体"/>
          <w:color w:val="auto"/>
          <w:kern w:val="1"/>
          <w:sz w:val="24"/>
          <w:highlight w:val="none"/>
          <w:lang w:val="zh-CN"/>
        </w:rPr>
        <w:t>。</w:t>
      </w:r>
    </w:p>
    <w:p>
      <w:pPr>
        <w:spacing w:line="360" w:lineRule="auto"/>
        <w:ind w:firstLine="480"/>
        <w:rPr>
          <w:rFonts w:hint="eastAsia" w:ascii="宋体" w:hAnsi="宋体" w:cs="宋体"/>
          <w:color w:val="auto"/>
          <w:kern w:val="1"/>
          <w:sz w:val="24"/>
          <w:highlight w:val="none"/>
          <w:lang w:val="zh-CN"/>
        </w:rPr>
      </w:pPr>
      <w:r>
        <w:rPr>
          <w:rFonts w:hint="eastAsia" w:ascii="宋体" w:hAnsi="宋体" w:cs="宋体"/>
          <w:color w:val="auto"/>
          <w:kern w:val="1"/>
          <w:sz w:val="24"/>
          <w:highlight w:val="none"/>
          <w:lang w:val="en-US" w:eastAsia="zh-CN"/>
        </w:rPr>
        <w:t>6</w:t>
      </w:r>
      <w:r>
        <w:rPr>
          <w:rFonts w:hint="eastAsia" w:ascii="宋体" w:hAnsi="宋体" w:cs="宋体"/>
          <w:color w:val="auto"/>
          <w:kern w:val="1"/>
          <w:sz w:val="24"/>
          <w:highlight w:val="none"/>
          <w:lang w:val="zh-CN"/>
        </w:rPr>
        <w:t>.2本次</w:t>
      </w:r>
      <w:r>
        <w:rPr>
          <w:rFonts w:hint="eastAsia" w:ascii="宋体" w:hAnsi="宋体" w:cs="宋体"/>
          <w:color w:val="auto"/>
          <w:kern w:val="1"/>
          <w:sz w:val="24"/>
          <w:highlight w:val="none"/>
          <w:lang w:val="en-US" w:eastAsia="zh-CN"/>
        </w:rPr>
        <w:t>交易</w:t>
      </w:r>
      <w:r>
        <w:rPr>
          <w:rFonts w:hint="eastAsia" w:ascii="宋体" w:hAnsi="宋体" w:cs="宋体"/>
          <w:color w:val="auto"/>
          <w:kern w:val="1"/>
          <w:sz w:val="24"/>
          <w:highlight w:val="none"/>
          <w:lang w:val="zh-CN"/>
        </w:rPr>
        <w:t>服务期限内</w:t>
      </w:r>
      <w:r>
        <w:rPr>
          <w:rFonts w:hint="eastAsia" w:ascii="宋体" w:hAnsi="宋体" w:cs="宋体"/>
          <w:color w:val="auto"/>
          <w:kern w:val="1"/>
          <w:sz w:val="24"/>
          <w:highlight w:val="none"/>
          <w:lang w:val="en-US" w:eastAsia="zh-CN"/>
        </w:rPr>
        <w:t>预算</w:t>
      </w:r>
      <w:r>
        <w:rPr>
          <w:rFonts w:hint="eastAsia" w:ascii="宋体" w:hAnsi="宋体" w:cs="宋体"/>
          <w:color w:val="auto"/>
          <w:kern w:val="1"/>
          <w:sz w:val="24"/>
          <w:highlight w:val="none"/>
          <w:lang w:val="zh-CN"/>
        </w:rPr>
        <w:t>金额为最高</w:t>
      </w:r>
      <w:r>
        <w:rPr>
          <w:rFonts w:hint="eastAsia" w:ascii="宋体" w:hAnsi="宋体" w:cs="宋体"/>
          <w:color w:val="auto"/>
          <w:kern w:val="1"/>
          <w:sz w:val="24"/>
          <w:highlight w:val="none"/>
          <w:lang w:val="en-US" w:eastAsia="zh-CN"/>
        </w:rPr>
        <w:t>暂定</w:t>
      </w:r>
      <w:r>
        <w:rPr>
          <w:rFonts w:hint="eastAsia" w:ascii="宋体" w:hAnsi="宋体" w:cs="宋体"/>
          <w:color w:val="auto"/>
          <w:kern w:val="1"/>
          <w:sz w:val="24"/>
          <w:highlight w:val="none"/>
          <w:lang w:val="zh-CN"/>
        </w:rPr>
        <w:t>金额，服务期内的</w:t>
      </w:r>
      <w:r>
        <w:rPr>
          <w:rFonts w:hint="eastAsia" w:ascii="宋体" w:hAnsi="宋体" w:cs="宋体"/>
          <w:color w:val="auto"/>
          <w:kern w:val="1"/>
          <w:sz w:val="24"/>
          <w:highlight w:val="none"/>
          <w:lang w:val="en-US" w:eastAsia="zh-CN"/>
        </w:rPr>
        <w:t>任务单</w:t>
      </w:r>
      <w:r>
        <w:rPr>
          <w:rFonts w:hint="eastAsia" w:ascii="宋体" w:hAnsi="宋体" w:cs="宋体"/>
          <w:color w:val="auto"/>
          <w:kern w:val="1"/>
          <w:sz w:val="24"/>
          <w:highlight w:val="none"/>
          <w:lang w:val="zh-CN"/>
        </w:rPr>
        <w:t>按</w:t>
      </w:r>
      <w:r>
        <w:rPr>
          <w:rFonts w:hint="eastAsia" w:ascii="宋体" w:hAnsi="宋体" w:cs="宋体"/>
          <w:color w:val="auto"/>
          <w:kern w:val="1"/>
          <w:sz w:val="24"/>
          <w:highlight w:val="none"/>
          <w:lang w:val="en-US" w:eastAsia="zh-CN"/>
        </w:rPr>
        <w:t>标项</w:t>
      </w:r>
      <w:r>
        <w:rPr>
          <w:rFonts w:hint="eastAsia" w:ascii="宋体" w:hAnsi="宋体" w:cs="宋体"/>
          <w:color w:val="auto"/>
          <w:kern w:val="1"/>
          <w:sz w:val="24"/>
          <w:highlight w:val="none"/>
          <w:lang w:val="zh-CN"/>
        </w:rPr>
        <w:t>根据实际发生量进行分派。</w:t>
      </w:r>
    </w:p>
    <w:p>
      <w:pPr>
        <w:spacing w:line="360" w:lineRule="auto"/>
        <w:ind w:firstLine="480"/>
        <w:rPr>
          <w:rFonts w:hint="eastAsia" w:eastAsia="黑体"/>
          <w:color w:val="auto"/>
          <w:highlight w:val="none"/>
          <w:lang w:val="en-US" w:eastAsia="zh-CN"/>
        </w:rPr>
      </w:pPr>
      <w:r>
        <w:rPr>
          <w:rFonts w:hint="eastAsia" w:ascii="宋体" w:hAnsi="宋体" w:cs="宋体"/>
          <w:color w:val="auto"/>
          <w:kern w:val="1"/>
          <w:sz w:val="24"/>
          <w:highlight w:val="none"/>
          <w:lang w:val="en-US" w:eastAsia="zh-CN"/>
        </w:rPr>
        <w:t>6</w:t>
      </w:r>
      <w:r>
        <w:rPr>
          <w:rFonts w:hint="eastAsia" w:ascii="宋体" w:hAnsi="宋体" w:cs="宋体"/>
          <w:color w:val="auto"/>
          <w:kern w:val="1"/>
          <w:sz w:val="24"/>
          <w:highlight w:val="none"/>
          <w:lang w:val="zh-CN"/>
        </w:rPr>
        <w:t>.</w:t>
      </w:r>
      <w:r>
        <w:rPr>
          <w:rFonts w:hint="eastAsia" w:ascii="宋体" w:hAnsi="宋体" w:cs="宋体"/>
          <w:color w:val="auto"/>
          <w:kern w:val="1"/>
          <w:sz w:val="24"/>
          <w:highlight w:val="none"/>
        </w:rPr>
        <w:t>3</w:t>
      </w:r>
      <w:r>
        <w:rPr>
          <w:rFonts w:hint="eastAsia" w:ascii="宋体" w:hAnsi="宋体" w:cs="宋体"/>
          <w:color w:val="auto"/>
          <w:kern w:val="1"/>
          <w:sz w:val="24"/>
          <w:highlight w:val="none"/>
          <w:lang w:val="en-US" w:eastAsia="zh-CN"/>
        </w:rPr>
        <w:t>本项目各标项预算资金均为</w:t>
      </w:r>
      <w:r>
        <w:rPr>
          <w:rFonts w:hint="eastAsia" w:ascii="宋体" w:hAnsi="宋体" w:cs="宋体"/>
          <w:color w:val="auto"/>
          <w:kern w:val="1"/>
          <w:sz w:val="24"/>
          <w:highlight w:val="none"/>
          <w:lang w:val="zh-CN"/>
        </w:rPr>
        <w:t>杭州萧山城市服务管理有限公司</w:t>
      </w:r>
      <w:r>
        <w:rPr>
          <w:rFonts w:hint="eastAsia" w:ascii="宋体" w:hAnsi="宋体" w:cs="宋体"/>
          <w:color w:val="auto"/>
          <w:kern w:val="1"/>
          <w:sz w:val="24"/>
          <w:highlight w:val="none"/>
          <w:lang w:val="en-US" w:eastAsia="zh-CN"/>
        </w:rPr>
        <w:t>和杭州萧山城市物业服务有限公司两家法人相应预算资金之和。</w:t>
      </w:r>
      <w:r>
        <w:rPr>
          <w:rFonts w:hint="eastAsia" w:ascii="宋体" w:hAnsi="宋体" w:cs="宋体"/>
          <w:color w:val="auto"/>
          <w:kern w:val="1"/>
          <w:sz w:val="24"/>
          <w:highlight w:val="none"/>
          <w:lang w:val="zh-CN"/>
        </w:rPr>
        <w:t>在服务期内，</w:t>
      </w:r>
      <w:r>
        <w:rPr>
          <w:rFonts w:hint="eastAsia" w:ascii="宋体" w:hAnsi="宋体" w:cs="宋体"/>
          <w:color w:val="auto"/>
          <w:kern w:val="1"/>
          <w:sz w:val="24"/>
          <w:highlight w:val="none"/>
          <w:lang w:val="en-US" w:eastAsia="zh-CN"/>
        </w:rPr>
        <w:t>任意一标项成交人与两家法人</w:t>
      </w:r>
      <w:r>
        <w:rPr>
          <w:rFonts w:hint="eastAsia" w:ascii="宋体" w:hAnsi="宋体" w:cs="宋体"/>
          <w:color w:val="auto"/>
          <w:kern w:val="1"/>
          <w:sz w:val="24"/>
          <w:highlight w:val="none"/>
          <w:lang w:val="zh-CN"/>
        </w:rPr>
        <w:t>的</w:t>
      </w:r>
      <w:r>
        <w:rPr>
          <w:rFonts w:hint="eastAsia" w:ascii="宋体" w:hAnsi="宋体" w:cs="宋体"/>
          <w:color w:val="auto"/>
          <w:kern w:val="1"/>
          <w:sz w:val="24"/>
          <w:highlight w:val="none"/>
          <w:lang w:val="en-US" w:eastAsia="zh-CN"/>
        </w:rPr>
        <w:t>实际</w:t>
      </w:r>
      <w:r>
        <w:rPr>
          <w:rFonts w:hint="eastAsia" w:ascii="宋体" w:hAnsi="宋体" w:cs="宋体"/>
          <w:color w:val="auto"/>
          <w:kern w:val="1"/>
          <w:sz w:val="24"/>
          <w:highlight w:val="none"/>
          <w:lang w:val="zh-CN"/>
        </w:rPr>
        <w:t>结算</w:t>
      </w:r>
      <w:r>
        <w:rPr>
          <w:rFonts w:hint="eastAsia" w:ascii="宋体" w:hAnsi="宋体" w:cs="宋体"/>
          <w:color w:val="auto"/>
          <w:kern w:val="1"/>
          <w:sz w:val="24"/>
          <w:highlight w:val="none"/>
          <w:lang w:val="en-US" w:eastAsia="zh-CN"/>
        </w:rPr>
        <w:t>金额</w:t>
      </w:r>
      <w:r>
        <w:rPr>
          <w:rFonts w:hint="eastAsia" w:ascii="宋体" w:hAnsi="宋体" w:cs="宋体"/>
          <w:color w:val="auto"/>
          <w:kern w:val="1"/>
          <w:sz w:val="24"/>
          <w:highlight w:val="none"/>
          <w:lang w:val="zh-CN"/>
        </w:rPr>
        <w:t>累计</w:t>
      </w:r>
      <w:r>
        <w:rPr>
          <w:rFonts w:hint="eastAsia" w:ascii="宋体" w:hAnsi="宋体" w:cs="宋体"/>
          <w:color w:val="auto"/>
          <w:kern w:val="1"/>
          <w:sz w:val="24"/>
          <w:highlight w:val="none"/>
          <w:lang w:val="en-US" w:eastAsia="zh-CN"/>
        </w:rPr>
        <w:t>之和</w:t>
      </w:r>
      <w:r>
        <w:rPr>
          <w:rFonts w:hint="eastAsia" w:ascii="宋体" w:hAnsi="宋体" w:cs="宋体"/>
          <w:color w:val="auto"/>
          <w:kern w:val="1"/>
          <w:sz w:val="24"/>
          <w:highlight w:val="none"/>
          <w:lang w:val="zh-CN"/>
        </w:rPr>
        <w:t>达到</w:t>
      </w:r>
      <w:r>
        <w:rPr>
          <w:rFonts w:hint="eastAsia" w:ascii="宋体" w:hAnsi="宋体" w:cs="宋体"/>
          <w:color w:val="auto"/>
          <w:kern w:val="1"/>
          <w:sz w:val="24"/>
          <w:highlight w:val="none"/>
          <w:lang w:val="en-US" w:eastAsia="zh-CN"/>
        </w:rPr>
        <w:t>该标项</w:t>
      </w:r>
      <w:r>
        <w:rPr>
          <w:rFonts w:hint="eastAsia" w:ascii="宋体" w:hAnsi="宋体" w:cs="宋体"/>
          <w:color w:val="auto"/>
          <w:kern w:val="1"/>
          <w:sz w:val="24"/>
          <w:highlight w:val="none"/>
          <w:lang w:val="zh-CN"/>
        </w:rPr>
        <w:t>预算资金</w:t>
      </w:r>
      <w:r>
        <w:rPr>
          <w:rFonts w:hint="eastAsia" w:ascii="宋体" w:hAnsi="宋体" w:cs="宋体"/>
          <w:color w:val="auto"/>
          <w:kern w:val="1"/>
          <w:sz w:val="24"/>
          <w:highlight w:val="none"/>
          <w:lang w:val="en-US" w:eastAsia="zh-CN"/>
        </w:rPr>
        <w:t>的90%及以上</w:t>
      </w:r>
      <w:r>
        <w:rPr>
          <w:rFonts w:hint="eastAsia" w:ascii="宋体" w:hAnsi="宋体" w:cs="宋体"/>
          <w:color w:val="auto"/>
          <w:kern w:val="1"/>
          <w:sz w:val="24"/>
          <w:highlight w:val="none"/>
          <w:lang w:val="zh-CN"/>
        </w:rPr>
        <w:t>时，交易发起人</w:t>
      </w:r>
      <w:r>
        <w:rPr>
          <w:rFonts w:hint="eastAsia" w:ascii="宋体" w:hAnsi="宋体" w:cs="宋体"/>
          <w:color w:val="auto"/>
          <w:kern w:val="1"/>
          <w:sz w:val="24"/>
          <w:highlight w:val="none"/>
          <w:lang w:val="en-US" w:eastAsia="zh-CN"/>
        </w:rPr>
        <w:t>有权</w:t>
      </w:r>
      <w:r>
        <w:rPr>
          <w:rFonts w:hint="eastAsia" w:ascii="宋体" w:hAnsi="宋体" w:cs="宋体"/>
          <w:color w:val="auto"/>
          <w:kern w:val="1"/>
          <w:sz w:val="24"/>
          <w:highlight w:val="none"/>
          <w:lang w:val="zh-CN"/>
        </w:rPr>
        <w:t>停止委托并终止</w:t>
      </w:r>
      <w:r>
        <w:rPr>
          <w:rFonts w:hint="eastAsia" w:ascii="宋体" w:hAnsi="宋体" w:cs="宋体"/>
          <w:color w:val="auto"/>
          <w:kern w:val="1"/>
          <w:sz w:val="24"/>
          <w:highlight w:val="none"/>
          <w:lang w:val="en-US" w:eastAsia="zh-CN"/>
        </w:rPr>
        <w:t>该标项</w:t>
      </w:r>
      <w:r>
        <w:rPr>
          <w:rFonts w:hint="eastAsia" w:ascii="宋体" w:hAnsi="宋体" w:cs="宋体"/>
          <w:color w:val="auto"/>
          <w:kern w:val="1"/>
          <w:sz w:val="24"/>
          <w:highlight w:val="none"/>
          <w:lang w:val="zh-CN"/>
        </w:rPr>
        <w:t>合同，再次组织</w:t>
      </w:r>
      <w:r>
        <w:rPr>
          <w:rFonts w:hint="eastAsia" w:ascii="宋体" w:hAnsi="宋体" w:cs="宋体"/>
          <w:color w:val="auto"/>
          <w:kern w:val="1"/>
          <w:sz w:val="24"/>
          <w:highlight w:val="none"/>
          <w:lang w:val="en-US" w:eastAsia="zh-CN"/>
        </w:rPr>
        <w:t>交易活动</w:t>
      </w:r>
      <w:r>
        <w:rPr>
          <w:rFonts w:hint="eastAsia" w:ascii="宋体" w:hAnsi="宋体" w:cs="宋体"/>
          <w:color w:val="auto"/>
          <w:kern w:val="1"/>
          <w:sz w:val="24"/>
          <w:highlight w:val="none"/>
          <w:lang w:val="zh-CN"/>
        </w:rPr>
        <w:t>。</w:t>
      </w:r>
    </w:p>
    <w:p>
      <w:pPr>
        <w:spacing w:line="360" w:lineRule="auto"/>
        <w:rPr>
          <w:rFonts w:hint="eastAsia" w:ascii="宋体" w:hAnsi="宋体" w:eastAsia="宋体" w:cs="宋体"/>
          <w:b/>
          <w:color w:val="auto"/>
          <w:kern w:val="1"/>
          <w:sz w:val="24"/>
          <w:highlight w:val="none"/>
          <w:lang w:val="zh-CN"/>
        </w:rPr>
      </w:pPr>
      <w:r>
        <w:rPr>
          <w:rFonts w:hint="eastAsia" w:ascii="宋体" w:hAnsi="宋体" w:eastAsia="宋体" w:cs="宋体"/>
          <w:b/>
          <w:color w:val="auto"/>
          <w:kern w:val="1"/>
          <w:sz w:val="24"/>
          <w:highlight w:val="none"/>
          <w:lang w:val="en-US" w:eastAsia="zh-CN"/>
        </w:rPr>
        <w:t>7.</w:t>
      </w:r>
      <w:r>
        <w:rPr>
          <w:rFonts w:hint="eastAsia" w:ascii="宋体" w:hAnsi="宋体" w:eastAsia="宋体" w:cs="宋体"/>
          <w:b/>
          <w:color w:val="auto"/>
          <w:kern w:val="1"/>
          <w:sz w:val="24"/>
          <w:highlight w:val="none"/>
          <w:lang w:val="zh-CN"/>
        </w:rPr>
        <w:t>考核制度</w:t>
      </w:r>
    </w:p>
    <w:p>
      <w:pP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7.1</w:t>
      </w:r>
      <w:r>
        <w:rPr>
          <w:rFonts w:hint="eastAsia" w:ascii="宋体" w:hAnsi="宋体" w:eastAsia="宋体" w:cs="Times New Roman"/>
          <w:color w:val="auto"/>
          <w:sz w:val="24"/>
          <w:highlight w:val="none"/>
          <w:lang w:eastAsia="zh-CN"/>
        </w:rPr>
        <w:t>本项目考核办法分单项考核、季度考核，由交易</w:t>
      </w:r>
      <w:r>
        <w:rPr>
          <w:rFonts w:hint="eastAsia" w:ascii="宋体" w:hAnsi="宋体" w:cs="Times New Roman"/>
          <w:color w:val="auto"/>
          <w:sz w:val="24"/>
          <w:highlight w:val="none"/>
          <w:lang w:val="en-US" w:eastAsia="zh-CN"/>
        </w:rPr>
        <w:t>发起人</w:t>
      </w:r>
      <w:r>
        <w:rPr>
          <w:rFonts w:hint="eastAsia" w:ascii="宋体" w:hAnsi="宋体" w:eastAsia="宋体" w:cs="Times New Roman"/>
          <w:color w:val="auto"/>
          <w:sz w:val="24"/>
          <w:highlight w:val="none"/>
          <w:lang w:eastAsia="zh-CN"/>
        </w:rPr>
        <w:t>对</w:t>
      </w:r>
      <w:r>
        <w:rPr>
          <w:rFonts w:hint="eastAsia" w:ascii="宋体" w:hAnsi="宋体" w:cs="Times New Roman"/>
          <w:color w:val="auto"/>
          <w:sz w:val="24"/>
          <w:highlight w:val="none"/>
          <w:lang w:val="en-US" w:eastAsia="zh-CN"/>
        </w:rPr>
        <w:t>成交人呢</w:t>
      </w:r>
      <w:r>
        <w:rPr>
          <w:rFonts w:hint="eastAsia" w:ascii="宋体" w:hAnsi="宋体" w:eastAsia="宋体" w:cs="Times New Roman"/>
          <w:color w:val="auto"/>
          <w:sz w:val="24"/>
          <w:highlight w:val="none"/>
          <w:lang w:eastAsia="zh-CN"/>
        </w:rPr>
        <w:t>的服务态度、服务效率、服务质量和服务成效等方面进行考核，并填写《城市</w:t>
      </w:r>
      <w:r>
        <w:rPr>
          <w:rFonts w:hint="eastAsia" w:ascii="宋体" w:hAnsi="宋体" w:eastAsia="宋体" w:cs="Times New Roman"/>
          <w:color w:val="auto"/>
          <w:sz w:val="24"/>
          <w:highlight w:val="none"/>
          <w:lang w:val="en-US" w:eastAsia="zh-CN"/>
        </w:rPr>
        <w:t>服务</w:t>
      </w:r>
      <w:r>
        <w:rPr>
          <w:rFonts w:hint="eastAsia" w:ascii="宋体" w:hAnsi="宋体" w:eastAsia="宋体" w:cs="Times New Roman"/>
          <w:color w:val="auto"/>
          <w:sz w:val="24"/>
          <w:highlight w:val="none"/>
          <w:lang w:eastAsia="zh-CN"/>
        </w:rPr>
        <w:t>供应商业务考核表》。单项考核用于不定期抽查考核。</w:t>
      </w:r>
    </w:p>
    <w:p>
      <w:pPr>
        <w:widowControl/>
        <w:spacing w:line="360" w:lineRule="auto"/>
        <w:ind w:right="-87" w:firstLine="480" w:firstLineChars="200"/>
        <w:rPr>
          <w:rFonts w:hint="eastAsia" w:ascii="宋体" w:hAnsi="宋体" w:eastAsia="宋体" w:cs="宋体"/>
          <w:color w:val="auto"/>
          <w:sz w:val="24"/>
          <w:szCs w:val="24"/>
          <w:highlight w:val="none"/>
        </w:rPr>
      </w:pPr>
      <w:r>
        <w:rPr>
          <w:rFonts w:hint="eastAsia" w:ascii="宋体" w:hAnsi="宋体" w:eastAsia="宋体" w:cs="Times New Roman"/>
          <w:color w:val="auto"/>
          <w:sz w:val="24"/>
          <w:highlight w:val="none"/>
          <w:lang w:val="en-US" w:eastAsia="zh-CN"/>
        </w:rPr>
        <w:t>7.2</w:t>
      </w:r>
      <w:r>
        <w:rPr>
          <w:rFonts w:hint="eastAsia" w:ascii="宋体" w:hAnsi="宋体" w:eastAsia="宋体" w:cs="Times New Roman"/>
          <w:color w:val="auto"/>
          <w:sz w:val="24"/>
          <w:highlight w:val="none"/>
          <w:lang w:eastAsia="zh-CN"/>
        </w:rPr>
        <w:t>考核评定总分为90分以上(含)的中标单位可继续委托业务；考核评定总分为90分以下（不含）-70分(含)的，暂停业务委托，给予限期整改；如</w:t>
      </w:r>
      <w:r>
        <w:rPr>
          <w:rFonts w:hint="eastAsia" w:ascii="宋体" w:hAnsi="宋体" w:cs="Times New Roman"/>
          <w:color w:val="auto"/>
          <w:sz w:val="24"/>
          <w:highlight w:val="none"/>
          <w:lang w:val="en-US" w:eastAsia="zh-CN"/>
        </w:rPr>
        <w:t>服务期限内</w:t>
      </w:r>
      <w:r>
        <w:rPr>
          <w:rFonts w:hint="eastAsia" w:ascii="宋体" w:hAnsi="宋体" w:eastAsia="宋体" w:cs="Times New Roman"/>
          <w:color w:val="auto"/>
          <w:sz w:val="24"/>
          <w:highlight w:val="none"/>
          <w:lang w:eastAsia="zh-CN"/>
        </w:rPr>
        <w:t>累计两次考核未达到70分(不含)的，则</w:t>
      </w:r>
      <w:r>
        <w:rPr>
          <w:rFonts w:hint="eastAsia" w:ascii="宋体" w:hAnsi="宋体" w:cs="Times New Roman"/>
          <w:color w:val="auto"/>
          <w:sz w:val="24"/>
          <w:highlight w:val="none"/>
          <w:lang w:val="en-US" w:eastAsia="zh-CN"/>
        </w:rPr>
        <w:t>停止</w:t>
      </w:r>
      <w:r>
        <w:rPr>
          <w:rFonts w:hint="eastAsia" w:ascii="宋体" w:hAnsi="宋体" w:eastAsia="宋体" w:cs="Times New Roman"/>
          <w:color w:val="auto"/>
          <w:sz w:val="24"/>
          <w:highlight w:val="none"/>
          <w:lang w:val="en-US" w:eastAsia="zh-CN"/>
        </w:rPr>
        <w:t>一切</w:t>
      </w:r>
      <w:r>
        <w:rPr>
          <w:rFonts w:hint="eastAsia" w:ascii="宋体" w:hAnsi="宋体" w:cs="Times New Roman"/>
          <w:color w:val="auto"/>
          <w:sz w:val="24"/>
          <w:highlight w:val="none"/>
          <w:lang w:val="en-US" w:eastAsia="zh-CN"/>
        </w:rPr>
        <w:t>委托任务</w:t>
      </w:r>
      <w:r>
        <w:rPr>
          <w:rFonts w:hint="eastAsia" w:ascii="宋体" w:hAnsi="宋体" w:eastAsia="宋体" w:cs="Times New Roman"/>
          <w:color w:val="auto"/>
          <w:sz w:val="24"/>
          <w:highlight w:val="none"/>
          <w:lang w:eastAsia="zh-CN"/>
        </w:rPr>
        <w:t>，</w:t>
      </w:r>
      <w:r>
        <w:rPr>
          <w:rFonts w:hint="eastAsia" w:ascii="宋体" w:hAnsi="宋体" w:cs="Times New Roman"/>
          <w:color w:val="auto"/>
          <w:sz w:val="24"/>
          <w:highlight w:val="none"/>
          <w:lang w:val="en-US" w:eastAsia="zh-CN"/>
        </w:rPr>
        <w:t>合同自动终止，</w:t>
      </w:r>
      <w:r>
        <w:rPr>
          <w:rFonts w:hint="eastAsia" w:ascii="宋体" w:hAnsi="宋体" w:eastAsia="宋体" w:cs="Times New Roman"/>
          <w:color w:val="auto"/>
          <w:sz w:val="24"/>
          <w:highlight w:val="none"/>
          <w:lang w:eastAsia="zh-CN"/>
        </w:rPr>
        <w:t>并全额扣除履约保证金，同时三年内将被拒绝参与交易活动。另外，该</w:t>
      </w:r>
      <w:r>
        <w:rPr>
          <w:rFonts w:hint="eastAsia" w:ascii="宋体" w:hAnsi="宋体" w:cs="Times New Roman"/>
          <w:color w:val="auto"/>
          <w:sz w:val="24"/>
          <w:highlight w:val="none"/>
          <w:lang w:val="en-US" w:eastAsia="zh-CN"/>
        </w:rPr>
        <w:t>成交人</w:t>
      </w:r>
      <w:r>
        <w:rPr>
          <w:rFonts w:hint="eastAsia" w:ascii="宋体" w:hAnsi="宋体" w:eastAsia="宋体" w:cs="Times New Roman"/>
          <w:color w:val="auto"/>
          <w:sz w:val="24"/>
          <w:highlight w:val="none"/>
          <w:lang w:eastAsia="zh-CN"/>
        </w:rPr>
        <w:t>所</w:t>
      </w:r>
      <w:r>
        <w:rPr>
          <w:rFonts w:hint="eastAsia" w:ascii="宋体" w:hAnsi="宋体" w:cs="Times New Roman"/>
          <w:color w:val="auto"/>
          <w:sz w:val="24"/>
          <w:highlight w:val="none"/>
          <w:lang w:val="en-US" w:eastAsia="zh-CN"/>
        </w:rPr>
        <w:t>服务标项</w:t>
      </w:r>
      <w:r>
        <w:rPr>
          <w:rFonts w:hint="eastAsia" w:ascii="宋体" w:hAnsi="宋体" w:eastAsia="宋体" w:cs="Times New Roman"/>
          <w:color w:val="auto"/>
          <w:sz w:val="24"/>
          <w:highlight w:val="none"/>
          <w:lang w:eastAsia="zh-CN"/>
        </w:rPr>
        <w:t>的</w:t>
      </w:r>
      <w:r>
        <w:rPr>
          <w:rFonts w:hint="eastAsia" w:ascii="宋体" w:hAnsi="宋体" w:cs="Times New Roman"/>
          <w:color w:val="auto"/>
          <w:sz w:val="24"/>
          <w:highlight w:val="none"/>
          <w:lang w:val="en-US" w:eastAsia="zh-CN"/>
        </w:rPr>
        <w:t>所有业务</w:t>
      </w:r>
      <w:r>
        <w:rPr>
          <w:rFonts w:hint="eastAsia" w:ascii="宋体" w:hAnsi="宋体" w:eastAsia="宋体" w:cs="Times New Roman"/>
          <w:color w:val="auto"/>
          <w:sz w:val="24"/>
          <w:highlight w:val="none"/>
          <w:lang w:eastAsia="zh-CN"/>
        </w:rPr>
        <w:t>立即终止，交易人将重新组织交易活动。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交易文件中打▲内容为实质性要求，不允许有负偏离，否则将以涉及无效响应条款作无效响应。</w:t>
      </w:r>
    </w:p>
    <w:p>
      <w:pPr>
        <w:widowControl/>
        <w:adjustRightInd/>
        <w:jc w:val="left"/>
        <w:rPr>
          <w:rFonts w:hint="eastAsia" w:ascii="宋体" w:hAnsi="宋体" w:eastAsia="宋体" w:cs="宋体"/>
          <w:color w:val="auto"/>
          <w:sz w:val="24"/>
          <w:highlight w:val="none"/>
        </w:rPr>
      </w:pPr>
    </w:p>
    <w:p>
      <w:pPr>
        <w:rPr>
          <w:rFonts w:hint="eastAsia" w:ascii="宋体" w:hAnsi="宋体" w:eastAsia="宋体" w:cs="宋体"/>
          <w:color w:val="auto"/>
          <w:sz w:val="32"/>
          <w:szCs w:val="32"/>
          <w:highlight w:val="none"/>
          <w:shd w:val="clear" w:color="auto" w:fill="FFFFFF"/>
          <w:lang w:bidi="ar"/>
        </w:rPr>
      </w:pPr>
      <w:r>
        <w:rPr>
          <w:rFonts w:hint="eastAsia" w:ascii="宋体" w:hAnsi="宋体" w:eastAsia="宋体" w:cs="宋体"/>
          <w:color w:val="auto"/>
          <w:sz w:val="32"/>
          <w:szCs w:val="32"/>
          <w:highlight w:val="none"/>
          <w:shd w:val="clear" w:color="auto" w:fill="FFFFFF"/>
          <w:lang w:bidi="ar"/>
        </w:rPr>
        <w:br w:type="page"/>
      </w:r>
    </w:p>
    <w:p>
      <w:pPr>
        <w:spacing w:before="45" w:line="219" w:lineRule="auto"/>
        <w:jc w:val="center"/>
        <w:rPr>
          <w:rFonts w:ascii="宋体" w:hAnsi="宋体" w:eastAsia="宋体" w:cs="宋体"/>
          <w:color w:val="auto"/>
          <w:sz w:val="32"/>
          <w:szCs w:val="32"/>
          <w:highlight w:val="none"/>
        </w:rPr>
      </w:pPr>
      <w:r>
        <w:rPr>
          <w:rFonts w:hint="eastAsia" w:ascii="宋体" w:hAnsi="宋体" w:eastAsia="宋体" w:cs="宋体"/>
          <w:b/>
          <w:bCs/>
          <w:color w:val="auto"/>
          <w:spacing w:val="8"/>
          <w:sz w:val="32"/>
          <w:szCs w:val="32"/>
          <w:highlight w:val="none"/>
        </w:rPr>
        <w:t>城市服务供应商业务考核表</w:t>
      </w:r>
    </w:p>
    <w:p>
      <w:pPr>
        <w:spacing w:line="232" w:lineRule="exact"/>
        <w:rPr>
          <w:rFonts w:ascii="Times New Roman" w:hAnsi="Times New Roman" w:eastAsia="宋体" w:cs="Times New Roman"/>
          <w:color w:val="auto"/>
          <w:highlight w:val="none"/>
        </w:rPr>
      </w:pPr>
    </w:p>
    <w:tbl>
      <w:tblPr>
        <w:tblStyle w:val="971"/>
        <w:tblW w:w="98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4"/>
        <w:gridCol w:w="1289"/>
        <w:gridCol w:w="2373"/>
        <w:gridCol w:w="1603"/>
        <w:gridCol w:w="889"/>
        <w:gridCol w:w="859"/>
        <w:gridCol w:w="1069"/>
        <w:gridCol w:w="1307"/>
        <w:gridCol w:w="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634" w:hRule="atLeast"/>
          <w:jc w:val="center"/>
        </w:trPr>
        <w:tc>
          <w:tcPr>
            <w:tcW w:w="17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auto"/>
              <w:jc w:val="center"/>
              <w:textAlignment w:val="auto"/>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项目名称</w:t>
            </w:r>
          </w:p>
        </w:tc>
        <w:tc>
          <w:tcPr>
            <w:tcW w:w="2373" w:type="dxa"/>
            <w:noWrap w:val="0"/>
            <w:vAlign w:val="center"/>
          </w:tcPr>
          <w:p>
            <w:pPr>
              <w:pStyle w:val="345"/>
              <w:keepNext w:val="0"/>
              <w:keepLines w:val="0"/>
              <w:pageBreakBefore w:val="0"/>
              <w:widowControl w:val="0"/>
              <w:kinsoku/>
              <w:wordWrap/>
              <w:overflowPunct/>
              <w:topLinePunct w:val="0"/>
              <w:autoSpaceDE/>
              <w:autoSpaceDN/>
              <w:bidi w:val="0"/>
              <w:adjustRightInd/>
              <w:snapToGrid/>
              <w:jc w:val="center"/>
              <w:textAlignment w:val="auto"/>
              <w:rPr>
                <w:color w:val="auto"/>
                <w:highlight w:val="none"/>
              </w:rPr>
            </w:pPr>
          </w:p>
        </w:tc>
        <w:tc>
          <w:tcPr>
            <w:tcW w:w="1603"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auto"/>
              <w:jc w:val="center"/>
              <w:textAlignment w:val="auto"/>
              <w:rPr>
                <w:rFonts w:ascii="宋体" w:hAnsi="宋体" w:eastAsia="宋体" w:cs="宋体"/>
                <w:color w:val="auto"/>
                <w:sz w:val="22"/>
                <w:szCs w:val="22"/>
                <w:highlight w:val="none"/>
              </w:rPr>
            </w:pPr>
            <w:r>
              <w:rPr>
                <w:rFonts w:ascii="宋体" w:hAnsi="宋体" w:eastAsia="宋体" w:cs="宋体"/>
                <w:color w:val="auto"/>
                <w:spacing w:val="4"/>
                <w:sz w:val="22"/>
                <w:szCs w:val="22"/>
                <w:highlight w:val="none"/>
              </w:rPr>
              <w:t>考核类别</w:t>
            </w:r>
          </w:p>
        </w:tc>
        <w:tc>
          <w:tcPr>
            <w:tcW w:w="1748" w:type="dxa"/>
            <w:gridSpan w:val="2"/>
            <w:noWrap w:val="0"/>
            <w:vAlign w:val="center"/>
          </w:tcPr>
          <w:p>
            <w:pPr>
              <w:pStyle w:val="345"/>
              <w:keepNext w:val="0"/>
              <w:keepLines w:val="0"/>
              <w:pageBreakBefore w:val="0"/>
              <w:widowControl w:val="0"/>
              <w:kinsoku/>
              <w:wordWrap/>
              <w:overflowPunct/>
              <w:topLinePunct w:val="0"/>
              <w:autoSpaceDE/>
              <w:autoSpaceDN/>
              <w:bidi w:val="0"/>
              <w:adjustRightInd/>
              <w:snapToGrid/>
              <w:jc w:val="center"/>
              <w:textAlignment w:val="auto"/>
              <w:rPr>
                <w:color w:val="auto"/>
                <w:highlight w:val="none"/>
              </w:rPr>
            </w:pPr>
          </w:p>
        </w:tc>
        <w:tc>
          <w:tcPr>
            <w:tcW w:w="1069" w:type="dxa"/>
            <w:noWrap w:val="0"/>
            <w:vAlign w:val="center"/>
          </w:tcPr>
          <w:p>
            <w:pPr>
              <w:keepNext w:val="0"/>
              <w:keepLines w:val="0"/>
              <w:pageBreakBefore w:val="0"/>
              <w:widowControl w:val="0"/>
              <w:kinsoku/>
              <w:wordWrap/>
              <w:overflowPunct/>
              <w:topLinePunct w:val="0"/>
              <w:autoSpaceDE/>
              <w:autoSpaceDN/>
              <w:bidi w:val="0"/>
              <w:adjustRightInd/>
              <w:snapToGrid/>
              <w:spacing w:line="227" w:lineRule="auto"/>
              <w:ind w:left="307" w:right="22" w:hanging="270"/>
              <w:jc w:val="center"/>
              <w:textAlignment w:val="auto"/>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实施部室</w:t>
            </w:r>
          </w:p>
        </w:tc>
        <w:tc>
          <w:tcPr>
            <w:tcW w:w="1307" w:type="dxa"/>
            <w:noWrap w:val="0"/>
            <w:vAlign w:val="center"/>
          </w:tcPr>
          <w:p>
            <w:pPr>
              <w:pStyle w:val="345"/>
              <w:keepNext w:val="0"/>
              <w:keepLines w:val="0"/>
              <w:pageBreakBefore w:val="0"/>
              <w:widowControl w:val="0"/>
              <w:kinsoku/>
              <w:wordWrap/>
              <w:overflowPunct/>
              <w:topLinePunct w:val="0"/>
              <w:autoSpaceDE/>
              <w:autoSpaceDN/>
              <w:bidi w:val="0"/>
              <w:adjustRightInd/>
              <w:snapToGrid/>
              <w:jc w:val="center"/>
              <w:textAlignment w:val="auto"/>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610" w:hRule="atLeast"/>
          <w:jc w:val="center"/>
        </w:trPr>
        <w:tc>
          <w:tcPr>
            <w:tcW w:w="17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304"/>
              <w:jc w:val="center"/>
              <w:textAlignment w:val="auto"/>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供应商名称</w:t>
            </w:r>
          </w:p>
        </w:tc>
        <w:tc>
          <w:tcPr>
            <w:tcW w:w="2373" w:type="dxa"/>
            <w:noWrap w:val="0"/>
            <w:vAlign w:val="center"/>
          </w:tcPr>
          <w:p>
            <w:pPr>
              <w:pStyle w:val="345"/>
              <w:keepNext w:val="0"/>
              <w:keepLines w:val="0"/>
              <w:pageBreakBefore w:val="0"/>
              <w:widowControl w:val="0"/>
              <w:kinsoku/>
              <w:wordWrap/>
              <w:overflowPunct/>
              <w:topLinePunct w:val="0"/>
              <w:autoSpaceDE/>
              <w:autoSpaceDN/>
              <w:bidi w:val="0"/>
              <w:adjustRightInd/>
              <w:snapToGrid/>
              <w:jc w:val="center"/>
              <w:textAlignment w:val="auto"/>
              <w:rPr>
                <w:color w:val="auto"/>
                <w:highlight w:val="none"/>
              </w:rPr>
            </w:pPr>
          </w:p>
        </w:tc>
        <w:tc>
          <w:tcPr>
            <w:tcW w:w="1603"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auto"/>
              <w:jc w:val="center"/>
              <w:textAlignment w:val="auto"/>
              <w:rPr>
                <w:rFonts w:hint="default" w:ascii="宋体" w:hAnsi="宋体" w:eastAsia="宋体" w:cs="宋体"/>
                <w:color w:val="auto"/>
                <w:sz w:val="22"/>
                <w:szCs w:val="22"/>
                <w:highlight w:val="none"/>
                <w:lang w:val="en-US"/>
              </w:rPr>
            </w:pPr>
            <w:r>
              <w:rPr>
                <w:rFonts w:hint="eastAsia" w:ascii="宋体" w:hAnsi="宋体" w:eastAsia="宋体" w:cs="宋体"/>
                <w:color w:val="auto"/>
                <w:spacing w:val="3"/>
                <w:sz w:val="22"/>
                <w:szCs w:val="22"/>
                <w:highlight w:val="none"/>
                <w:lang w:eastAsia="zh-CN"/>
              </w:rPr>
              <w:t>项目经理</w:t>
            </w:r>
            <w:r>
              <w:rPr>
                <w:rFonts w:hint="eastAsia" w:ascii="宋体" w:hAnsi="宋体" w:eastAsia="宋体" w:cs="宋体"/>
                <w:color w:val="auto"/>
                <w:spacing w:val="3"/>
                <w:sz w:val="22"/>
                <w:szCs w:val="22"/>
                <w:highlight w:val="none"/>
                <w:lang w:val="en-US" w:eastAsia="zh-CN"/>
              </w:rPr>
              <w:t>/主管</w:t>
            </w:r>
          </w:p>
        </w:tc>
        <w:tc>
          <w:tcPr>
            <w:tcW w:w="1748" w:type="dxa"/>
            <w:gridSpan w:val="2"/>
            <w:noWrap w:val="0"/>
            <w:vAlign w:val="center"/>
          </w:tcPr>
          <w:p>
            <w:pPr>
              <w:pStyle w:val="345"/>
              <w:keepNext w:val="0"/>
              <w:keepLines w:val="0"/>
              <w:pageBreakBefore w:val="0"/>
              <w:widowControl w:val="0"/>
              <w:kinsoku/>
              <w:wordWrap/>
              <w:overflowPunct/>
              <w:topLinePunct w:val="0"/>
              <w:autoSpaceDE/>
              <w:autoSpaceDN/>
              <w:bidi w:val="0"/>
              <w:adjustRightInd/>
              <w:snapToGrid/>
              <w:jc w:val="center"/>
              <w:textAlignment w:val="auto"/>
              <w:rPr>
                <w:color w:val="auto"/>
                <w:highlight w:val="none"/>
              </w:rPr>
            </w:pPr>
          </w:p>
        </w:tc>
        <w:tc>
          <w:tcPr>
            <w:tcW w:w="1069"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197"/>
              <w:jc w:val="center"/>
              <w:textAlignment w:val="auto"/>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经办人</w:t>
            </w:r>
          </w:p>
        </w:tc>
        <w:tc>
          <w:tcPr>
            <w:tcW w:w="1307" w:type="dxa"/>
            <w:noWrap w:val="0"/>
            <w:vAlign w:val="top"/>
          </w:tcPr>
          <w:p>
            <w:pPr>
              <w:pStyle w:val="345"/>
              <w:keepNext w:val="0"/>
              <w:keepLines w:val="0"/>
              <w:pageBreakBefore w:val="0"/>
              <w:widowControl w:val="0"/>
              <w:kinsoku/>
              <w:wordWrap/>
              <w:overflowPunct/>
              <w:topLinePunct w:val="0"/>
              <w:autoSpaceDE/>
              <w:autoSpaceDN/>
              <w:bidi w:val="0"/>
              <w:adjustRightInd/>
              <w:snapToGrid/>
              <w:textAlignment w:val="auto"/>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520" w:hRule="atLeast"/>
          <w:jc w:val="center"/>
        </w:trPr>
        <w:tc>
          <w:tcPr>
            <w:tcW w:w="1723" w:type="dxa"/>
            <w:gridSpan w:val="2"/>
            <w:noWrap w:val="0"/>
            <w:vAlign w:val="top"/>
          </w:tcPr>
          <w:p>
            <w:pPr>
              <w:spacing w:before="150" w:line="219" w:lineRule="auto"/>
              <w:ind w:left="414"/>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考核周期</w:t>
            </w:r>
          </w:p>
        </w:tc>
        <w:tc>
          <w:tcPr>
            <w:tcW w:w="8100"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1423"/>
              <w:textAlignment w:val="auto"/>
              <w:rPr>
                <w:rFonts w:hint="default" w:ascii="宋体" w:hAnsi="宋体" w:eastAsia="宋体" w:cs="宋体"/>
                <w:color w:val="auto"/>
                <w:sz w:val="22"/>
                <w:szCs w:val="22"/>
                <w:highlight w:val="none"/>
                <w:lang w:val="en-US" w:eastAsia="zh-CN"/>
              </w:rPr>
            </w:pPr>
            <w:r>
              <w:rPr>
                <w:rFonts w:ascii="宋体" w:hAnsi="宋体" w:eastAsia="宋体" w:cs="宋体"/>
                <w:color w:val="auto"/>
                <w:sz w:val="22"/>
                <w:szCs w:val="22"/>
                <w:highlight w:val="none"/>
              </w:rPr>
              <w:t>口</w:t>
            </w:r>
            <w:r>
              <w:rPr>
                <w:rFonts w:hint="eastAsia" w:ascii="宋体" w:hAnsi="宋体" w:eastAsia="宋体" w:cs="宋体"/>
                <w:color w:val="auto"/>
                <w:sz w:val="22"/>
                <w:szCs w:val="22"/>
                <w:highlight w:val="none"/>
                <w:lang w:val="en-US" w:eastAsia="zh-CN"/>
              </w:rPr>
              <w:t xml:space="preserve">第一季度   </w:t>
            </w:r>
            <w:r>
              <w:rPr>
                <w:rFonts w:ascii="宋体" w:hAnsi="宋体" w:eastAsia="宋体" w:cs="宋体"/>
                <w:color w:val="auto"/>
                <w:sz w:val="22"/>
                <w:szCs w:val="22"/>
                <w:highlight w:val="none"/>
              </w:rPr>
              <w:t>口</w:t>
            </w:r>
            <w:r>
              <w:rPr>
                <w:rFonts w:hint="eastAsia" w:ascii="宋体" w:hAnsi="宋体" w:eastAsia="宋体" w:cs="宋体"/>
                <w:color w:val="auto"/>
                <w:sz w:val="22"/>
                <w:szCs w:val="22"/>
                <w:highlight w:val="none"/>
                <w:lang w:val="en-US" w:eastAsia="zh-CN"/>
              </w:rPr>
              <w:t xml:space="preserve">第二季度   </w:t>
            </w:r>
            <w:r>
              <w:rPr>
                <w:rFonts w:ascii="宋体" w:hAnsi="宋体" w:eastAsia="宋体" w:cs="宋体"/>
                <w:color w:val="auto"/>
                <w:sz w:val="22"/>
                <w:szCs w:val="22"/>
                <w:highlight w:val="none"/>
              </w:rPr>
              <w:t>口</w:t>
            </w:r>
            <w:r>
              <w:rPr>
                <w:rFonts w:hint="eastAsia" w:ascii="宋体" w:hAnsi="宋体" w:eastAsia="宋体" w:cs="宋体"/>
                <w:color w:val="auto"/>
                <w:sz w:val="22"/>
                <w:szCs w:val="22"/>
                <w:highlight w:val="none"/>
                <w:lang w:val="en-US" w:eastAsia="zh-CN"/>
              </w:rPr>
              <w:t xml:space="preserve">第三季度   </w:t>
            </w:r>
            <w:r>
              <w:rPr>
                <w:rFonts w:ascii="宋体" w:hAnsi="宋体" w:eastAsia="宋体" w:cs="宋体"/>
                <w:color w:val="auto"/>
                <w:sz w:val="22"/>
                <w:szCs w:val="22"/>
                <w:highlight w:val="none"/>
              </w:rPr>
              <w:t>口</w:t>
            </w:r>
            <w:r>
              <w:rPr>
                <w:rFonts w:hint="eastAsia" w:ascii="宋体" w:hAnsi="宋体" w:eastAsia="宋体" w:cs="宋体"/>
                <w:color w:val="auto"/>
                <w:sz w:val="22"/>
                <w:szCs w:val="22"/>
                <w:highlight w:val="none"/>
                <w:lang w:val="en-US" w:eastAsia="zh-CN"/>
              </w:rPr>
              <w:t>第四季度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704" w:hRule="atLeast"/>
          <w:jc w:val="center"/>
        </w:trPr>
        <w:tc>
          <w:tcPr>
            <w:tcW w:w="434" w:type="dxa"/>
            <w:noWrap w:val="0"/>
            <w:textDirection w:val="tbRlV"/>
            <w:vAlign w:val="center"/>
          </w:tcPr>
          <w:p>
            <w:pPr>
              <w:spacing w:before="109" w:line="217" w:lineRule="auto"/>
              <w:ind w:left="0" w:leftChars="0" w:firstLine="0" w:firstLineChars="0"/>
              <w:jc w:val="center"/>
              <w:rPr>
                <w:rFonts w:ascii="宋体" w:hAnsi="宋体" w:eastAsia="宋体" w:cs="宋体"/>
                <w:color w:val="auto"/>
                <w:sz w:val="22"/>
                <w:szCs w:val="22"/>
                <w:highlight w:val="none"/>
              </w:rPr>
            </w:pPr>
            <w:r>
              <w:rPr>
                <w:rFonts w:ascii="宋体" w:hAnsi="宋体" w:eastAsia="宋体" w:cs="宋体"/>
                <w:color w:val="auto"/>
                <w:sz w:val="22"/>
                <w:szCs w:val="22"/>
                <w:highlight w:val="none"/>
              </w:rPr>
              <w:t>序号</w:t>
            </w:r>
          </w:p>
        </w:tc>
        <w:tc>
          <w:tcPr>
            <w:tcW w:w="1289" w:type="dxa"/>
            <w:noWrap w:val="0"/>
            <w:vAlign w:val="center"/>
          </w:tcPr>
          <w:p>
            <w:pPr>
              <w:spacing w:before="72" w:line="219" w:lineRule="auto"/>
              <w:jc w:val="center"/>
              <w:rPr>
                <w:rFonts w:ascii="宋体" w:hAnsi="宋体" w:eastAsia="宋体" w:cs="宋体"/>
                <w:color w:val="auto"/>
                <w:sz w:val="22"/>
                <w:szCs w:val="22"/>
                <w:highlight w:val="none"/>
              </w:rPr>
            </w:pPr>
            <w:r>
              <w:rPr>
                <w:rFonts w:ascii="宋体" w:hAnsi="宋体" w:eastAsia="宋体" w:cs="宋体"/>
                <w:color w:val="auto"/>
                <w:spacing w:val="10"/>
                <w:sz w:val="22"/>
                <w:szCs w:val="22"/>
                <w:highlight w:val="none"/>
              </w:rPr>
              <w:t>考核项目</w:t>
            </w:r>
          </w:p>
        </w:tc>
        <w:tc>
          <w:tcPr>
            <w:tcW w:w="3976" w:type="dxa"/>
            <w:gridSpan w:val="2"/>
            <w:noWrap w:val="0"/>
            <w:vAlign w:val="center"/>
          </w:tcPr>
          <w:p>
            <w:pPr>
              <w:spacing w:before="72" w:line="219" w:lineRule="auto"/>
              <w:jc w:val="center"/>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考核指标</w:t>
            </w:r>
          </w:p>
        </w:tc>
        <w:tc>
          <w:tcPr>
            <w:tcW w:w="889" w:type="dxa"/>
            <w:noWrap w:val="0"/>
            <w:vAlign w:val="center"/>
          </w:tcPr>
          <w:p>
            <w:pPr>
              <w:spacing w:before="71" w:line="232" w:lineRule="auto"/>
              <w:ind w:right="170"/>
              <w:jc w:val="center"/>
              <w:rPr>
                <w:rFonts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lang w:val="en-US" w:eastAsia="zh-CN"/>
              </w:rPr>
              <w:t xml:space="preserve"> </w:t>
            </w:r>
            <w:r>
              <w:rPr>
                <w:rFonts w:ascii="宋体" w:hAnsi="宋体" w:eastAsia="宋体" w:cs="宋体"/>
                <w:color w:val="auto"/>
                <w:spacing w:val="3"/>
                <w:sz w:val="22"/>
                <w:szCs w:val="22"/>
                <w:highlight w:val="none"/>
              </w:rPr>
              <w:t>评分</w:t>
            </w:r>
          </w:p>
        </w:tc>
        <w:tc>
          <w:tcPr>
            <w:tcW w:w="3235" w:type="dxa"/>
            <w:gridSpan w:val="3"/>
            <w:noWrap w:val="0"/>
            <w:vAlign w:val="center"/>
          </w:tcPr>
          <w:p>
            <w:pPr>
              <w:spacing w:before="72" w:line="219" w:lineRule="auto"/>
              <w:jc w:val="center"/>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计分办法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3044" w:hRule="atLeast"/>
          <w:jc w:val="center"/>
        </w:trPr>
        <w:tc>
          <w:tcPr>
            <w:tcW w:w="434" w:type="dxa"/>
            <w:noWrap w:val="0"/>
            <w:vAlign w:val="center"/>
          </w:tcPr>
          <w:p>
            <w:pPr>
              <w:spacing w:before="71" w:line="184" w:lineRule="auto"/>
              <w:jc w:val="center"/>
              <w:rPr>
                <w:rFonts w:ascii="宋体" w:hAnsi="宋体" w:eastAsia="宋体" w:cs="宋体"/>
                <w:color w:val="auto"/>
                <w:sz w:val="22"/>
                <w:szCs w:val="22"/>
                <w:highlight w:val="none"/>
              </w:rPr>
            </w:pPr>
            <w:r>
              <w:rPr>
                <w:rFonts w:ascii="宋体" w:hAnsi="宋体" w:eastAsia="宋体" w:cs="宋体"/>
                <w:color w:val="auto"/>
                <w:sz w:val="22"/>
                <w:szCs w:val="22"/>
                <w:highlight w:val="none"/>
              </w:rPr>
              <w:t>1</w:t>
            </w:r>
          </w:p>
        </w:tc>
        <w:tc>
          <w:tcPr>
            <w:tcW w:w="1289" w:type="dxa"/>
            <w:noWrap w:val="0"/>
            <w:vAlign w:val="center"/>
          </w:tcPr>
          <w:p>
            <w:pPr>
              <w:spacing w:before="71" w:line="219" w:lineRule="auto"/>
              <w:jc w:val="center"/>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服务态度</w:t>
            </w:r>
          </w:p>
          <w:p>
            <w:pPr>
              <w:spacing w:before="49" w:line="220" w:lineRule="auto"/>
              <w:jc w:val="center"/>
              <w:rPr>
                <w:rFonts w:ascii="宋体" w:hAnsi="宋体" w:eastAsia="宋体" w:cs="宋体"/>
                <w:color w:val="auto"/>
                <w:sz w:val="22"/>
                <w:szCs w:val="22"/>
                <w:highlight w:val="none"/>
              </w:rPr>
            </w:pPr>
            <w:r>
              <w:rPr>
                <w:rFonts w:ascii="宋体" w:hAnsi="宋体" w:eastAsia="宋体" w:cs="宋体"/>
                <w:color w:val="auto"/>
                <w:spacing w:val="9"/>
                <w:sz w:val="22"/>
                <w:szCs w:val="22"/>
                <w:highlight w:val="none"/>
              </w:rPr>
              <w:t>(20分)</w:t>
            </w:r>
          </w:p>
        </w:tc>
        <w:tc>
          <w:tcPr>
            <w:tcW w:w="39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3" w:lineRule="auto"/>
              <w:ind w:left="105" w:leftChars="50" w:right="105" w:rightChars="50"/>
              <w:jc w:val="both"/>
              <w:textAlignment w:val="auto"/>
              <w:rPr>
                <w:rFonts w:ascii="宋体" w:hAnsi="宋体" w:eastAsia="宋体" w:cs="宋体"/>
                <w:color w:val="auto"/>
                <w:sz w:val="22"/>
                <w:szCs w:val="22"/>
                <w:highlight w:val="none"/>
              </w:rPr>
            </w:pPr>
            <w:r>
              <w:rPr>
                <w:rFonts w:ascii="宋体" w:hAnsi="宋体" w:eastAsia="宋体" w:cs="宋体"/>
                <w:color w:val="auto"/>
                <w:sz w:val="22"/>
                <w:szCs w:val="22"/>
                <w:highlight w:val="none"/>
              </w:rPr>
              <w:t>1、服务单位应有专人负责对接，电话</w:t>
            </w:r>
            <w:r>
              <w:rPr>
                <w:rFonts w:ascii="宋体" w:hAnsi="宋体" w:eastAsia="宋体" w:cs="宋体"/>
                <w:color w:val="auto"/>
                <w:spacing w:val="3"/>
                <w:sz w:val="22"/>
                <w:szCs w:val="22"/>
                <w:highlight w:val="none"/>
              </w:rPr>
              <w:t>畅通，态度应当热情诚挚；(5分)</w:t>
            </w:r>
          </w:p>
          <w:p>
            <w:pPr>
              <w:keepNext w:val="0"/>
              <w:keepLines w:val="0"/>
              <w:pageBreakBefore w:val="0"/>
              <w:widowControl w:val="0"/>
              <w:kinsoku/>
              <w:wordWrap/>
              <w:overflowPunct/>
              <w:topLinePunct w:val="0"/>
              <w:autoSpaceDE/>
              <w:autoSpaceDN/>
              <w:bidi w:val="0"/>
              <w:adjustRightInd/>
              <w:snapToGrid/>
              <w:spacing w:line="225" w:lineRule="auto"/>
              <w:ind w:left="105" w:leftChars="50" w:right="105" w:rightChars="50"/>
              <w:jc w:val="both"/>
              <w:textAlignment w:val="auto"/>
              <w:rPr>
                <w:rFonts w:ascii="宋体" w:hAnsi="宋体" w:eastAsia="宋体" w:cs="宋体"/>
                <w:color w:val="auto"/>
                <w:sz w:val="22"/>
                <w:szCs w:val="22"/>
                <w:highlight w:val="none"/>
              </w:rPr>
            </w:pPr>
            <w:r>
              <w:rPr>
                <w:rFonts w:ascii="宋体" w:hAnsi="宋体" w:eastAsia="宋体" w:cs="宋体"/>
                <w:color w:val="auto"/>
                <w:sz w:val="22"/>
                <w:szCs w:val="22"/>
                <w:highlight w:val="none"/>
              </w:rPr>
              <w:t>2、是否能够提供有效的前期咨询、后</w:t>
            </w:r>
            <w:r>
              <w:rPr>
                <w:rFonts w:ascii="宋体" w:hAnsi="宋体" w:eastAsia="宋体" w:cs="宋体"/>
                <w:color w:val="auto"/>
                <w:spacing w:val="15"/>
                <w:sz w:val="22"/>
                <w:szCs w:val="22"/>
                <w:highlight w:val="none"/>
              </w:rPr>
              <w:t xml:space="preserve"> </w:t>
            </w:r>
            <w:r>
              <w:rPr>
                <w:rFonts w:ascii="宋体" w:hAnsi="宋体" w:eastAsia="宋体" w:cs="宋体"/>
                <w:color w:val="auto"/>
                <w:spacing w:val="1"/>
                <w:sz w:val="22"/>
                <w:szCs w:val="22"/>
                <w:highlight w:val="none"/>
              </w:rPr>
              <w:t>期维护保障和相应的意见和措施；(10</w:t>
            </w:r>
            <w:r>
              <w:rPr>
                <w:rFonts w:ascii="宋体" w:hAnsi="宋体" w:eastAsia="宋体" w:cs="宋体"/>
                <w:color w:val="auto"/>
                <w:spacing w:val="2"/>
                <w:sz w:val="22"/>
                <w:szCs w:val="22"/>
                <w:highlight w:val="none"/>
              </w:rPr>
              <w:t xml:space="preserve"> </w:t>
            </w:r>
            <w:r>
              <w:rPr>
                <w:rFonts w:ascii="宋体" w:hAnsi="宋体" w:eastAsia="宋体" w:cs="宋体"/>
                <w:color w:val="auto"/>
                <w:spacing w:val="-6"/>
                <w:sz w:val="22"/>
                <w:szCs w:val="22"/>
                <w:highlight w:val="none"/>
              </w:rPr>
              <w:t>分</w:t>
            </w:r>
            <w:r>
              <w:rPr>
                <w:rFonts w:ascii="宋体" w:hAnsi="宋体" w:eastAsia="宋体" w:cs="宋体"/>
                <w:color w:val="auto"/>
                <w:spacing w:val="-42"/>
                <w:sz w:val="22"/>
                <w:szCs w:val="22"/>
                <w:highlight w:val="none"/>
              </w:rPr>
              <w:t xml:space="preserve"> </w:t>
            </w:r>
            <w:r>
              <w:rPr>
                <w:rFonts w:ascii="宋体" w:hAnsi="宋体" w:eastAsia="宋体" w:cs="宋体"/>
                <w:color w:val="auto"/>
                <w:spacing w:val="-6"/>
                <w:sz w:val="22"/>
                <w:szCs w:val="22"/>
                <w:highlight w:val="none"/>
              </w:rPr>
              <w:t>)</w:t>
            </w:r>
          </w:p>
          <w:p>
            <w:pPr>
              <w:keepNext w:val="0"/>
              <w:keepLines w:val="0"/>
              <w:pageBreakBefore w:val="0"/>
              <w:widowControl w:val="0"/>
              <w:kinsoku/>
              <w:wordWrap/>
              <w:overflowPunct/>
              <w:topLinePunct w:val="0"/>
              <w:autoSpaceDE/>
              <w:autoSpaceDN/>
              <w:bidi w:val="0"/>
              <w:adjustRightInd/>
              <w:snapToGrid/>
              <w:spacing w:line="223" w:lineRule="auto"/>
              <w:ind w:left="105" w:leftChars="50" w:right="105" w:rightChars="50"/>
              <w:jc w:val="both"/>
              <w:textAlignment w:val="auto"/>
              <w:rPr>
                <w:rFonts w:ascii="宋体" w:hAnsi="宋体" w:eastAsia="宋体" w:cs="宋体"/>
                <w:color w:val="auto"/>
                <w:sz w:val="22"/>
                <w:szCs w:val="22"/>
                <w:highlight w:val="none"/>
              </w:rPr>
            </w:pPr>
            <w:r>
              <w:rPr>
                <w:rFonts w:ascii="宋体" w:hAnsi="宋体" w:eastAsia="宋体" w:cs="宋体"/>
                <w:color w:val="auto"/>
                <w:sz w:val="22"/>
                <w:szCs w:val="22"/>
                <w:highlight w:val="none"/>
              </w:rPr>
              <w:t>3、不得出现消极怠工现象，对于我方</w:t>
            </w:r>
            <w:r>
              <w:rPr>
                <w:rFonts w:ascii="宋体" w:hAnsi="宋体" w:eastAsia="宋体" w:cs="宋体"/>
                <w:color w:val="auto"/>
                <w:spacing w:val="7"/>
                <w:sz w:val="22"/>
                <w:szCs w:val="22"/>
                <w:highlight w:val="none"/>
              </w:rPr>
              <w:t xml:space="preserve"> </w:t>
            </w:r>
            <w:r>
              <w:rPr>
                <w:rFonts w:ascii="宋体" w:hAnsi="宋体" w:eastAsia="宋体" w:cs="宋体"/>
                <w:color w:val="auto"/>
                <w:spacing w:val="2"/>
                <w:sz w:val="22"/>
                <w:szCs w:val="22"/>
                <w:highlight w:val="none"/>
              </w:rPr>
              <w:t>合理要求应予严格执行完成。(5分)</w:t>
            </w:r>
          </w:p>
        </w:tc>
        <w:tc>
          <w:tcPr>
            <w:tcW w:w="889" w:type="dxa"/>
            <w:noWrap w:val="0"/>
            <w:vAlign w:val="center"/>
          </w:tcPr>
          <w:p>
            <w:pPr>
              <w:pStyle w:val="345"/>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color w:val="auto"/>
                <w:highlight w:val="none"/>
              </w:rPr>
            </w:pPr>
          </w:p>
        </w:tc>
        <w:tc>
          <w:tcPr>
            <w:tcW w:w="3235" w:type="dxa"/>
            <w:gridSpan w:val="3"/>
            <w:noWrap w:val="0"/>
            <w:vAlign w:val="center"/>
          </w:tcPr>
          <w:p>
            <w:pPr>
              <w:pStyle w:val="345"/>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2834" w:hRule="atLeast"/>
          <w:jc w:val="center"/>
        </w:trPr>
        <w:tc>
          <w:tcPr>
            <w:tcW w:w="434" w:type="dxa"/>
            <w:noWrap w:val="0"/>
            <w:vAlign w:val="center"/>
          </w:tcPr>
          <w:p>
            <w:pPr>
              <w:spacing w:before="72" w:line="183" w:lineRule="auto"/>
              <w:jc w:val="center"/>
              <w:rPr>
                <w:rFonts w:ascii="宋体" w:hAnsi="宋体" w:eastAsia="宋体" w:cs="宋体"/>
                <w:color w:val="auto"/>
                <w:sz w:val="22"/>
                <w:szCs w:val="22"/>
                <w:highlight w:val="none"/>
              </w:rPr>
            </w:pPr>
            <w:r>
              <w:rPr>
                <w:rFonts w:ascii="宋体" w:hAnsi="宋体" w:eastAsia="宋体" w:cs="宋体"/>
                <w:color w:val="auto"/>
                <w:sz w:val="22"/>
                <w:szCs w:val="22"/>
                <w:highlight w:val="none"/>
              </w:rPr>
              <w:t>2</w:t>
            </w:r>
          </w:p>
        </w:tc>
        <w:tc>
          <w:tcPr>
            <w:tcW w:w="1289" w:type="dxa"/>
            <w:noWrap w:val="0"/>
            <w:vAlign w:val="center"/>
          </w:tcPr>
          <w:p>
            <w:pPr>
              <w:spacing w:before="71" w:line="219" w:lineRule="auto"/>
              <w:jc w:val="center"/>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服务效率</w:t>
            </w:r>
          </w:p>
          <w:p>
            <w:pPr>
              <w:spacing w:before="49" w:line="220" w:lineRule="auto"/>
              <w:jc w:val="center"/>
              <w:rPr>
                <w:rFonts w:ascii="宋体" w:hAnsi="宋体" w:eastAsia="宋体" w:cs="宋体"/>
                <w:color w:val="auto"/>
                <w:sz w:val="22"/>
                <w:szCs w:val="22"/>
                <w:highlight w:val="none"/>
              </w:rPr>
            </w:pPr>
            <w:r>
              <w:rPr>
                <w:rFonts w:ascii="宋体" w:hAnsi="宋体" w:eastAsia="宋体" w:cs="宋体"/>
                <w:color w:val="auto"/>
                <w:spacing w:val="9"/>
                <w:sz w:val="22"/>
                <w:szCs w:val="22"/>
                <w:highlight w:val="none"/>
              </w:rPr>
              <w:t>(20分)</w:t>
            </w:r>
          </w:p>
        </w:tc>
        <w:tc>
          <w:tcPr>
            <w:tcW w:w="3976" w:type="dxa"/>
            <w:gridSpan w:val="2"/>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27" w:lineRule="auto"/>
              <w:ind w:left="105" w:leftChars="50" w:right="105" w:rightChars="50"/>
              <w:jc w:val="both"/>
              <w:textAlignment w:val="auto"/>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及时开展每项工作，严格按照合同约</w:t>
            </w:r>
            <w:r>
              <w:rPr>
                <w:rFonts w:ascii="宋体" w:hAnsi="宋体" w:eastAsia="宋体" w:cs="宋体"/>
                <w:color w:val="auto"/>
                <w:sz w:val="22"/>
                <w:szCs w:val="22"/>
                <w:highlight w:val="none"/>
              </w:rPr>
              <w:t>定委派专人及时落实完成相关工作；(</w:t>
            </w:r>
            <w:r>
              <w:rPr>
                <w:rFonts w:hint="eastAsia" w:ascii="宋体" w:hAnsi="宋体" w:eastAsia="宋体" w:cs="宋体"/>
                <w:color w:val="auto"/>
                <w:sz w:val="22"/>
                <w:szCs w:val="22"/>
                <w:highlight w:val="none"/>
                <w:lang w:val="en-US" w:eastAsia="zh-CN"/>
              </w:rPr>
              <w:t>7</w:t>
            </w:r>
            <w:r>
              <w:rPr>
                <w:rFonts w:ascii="宋体" w:hAnsi="宋体" w:eastAsia="宋体" w:cs="宋体"/>
                <w:color w:val="auto"/>
                <w:sz w:val="22"/>
                <w:szCs w:val="22"/>
                <w:highlight w:val="none"/>
              </w:rPr>
              <w:t xml:space="preserve"> </w:t>
            </w:r>
            <w:r>
              <w:rPr>
                <w:rFonts w:ascii="宋体" w:hAnsi="宋体" w:eastAsia="宋体" w:cs="宋体"/>
                <w:color w:val="auto"/>
                <w:spacing w:val="-17"/>
                <w:position w:val="1"/>
                <w:sz w:val="22"/>
                <w:szCs w:val="22"/>
                <w:highlight w:val="none"/>
              </w:rPr>
              <w:t>分</w:t>
            </w:r>
            <w:r>
              <w:rPr>
                <w:rFonts w:ascii="宋体" w:hAnsi="宋体" w:eastAsia="宋体" w:cs="宋体"/>
                <w:color w:val="auto"/>
                <w:spacing w:val="-40"/>
                <w:position w:val="1"/>
                <w:sz w:val="22"/>
                <w:szCs w:val="22"/>
                <w:highlight w:val="none"/>
              </w:rPr>
              <w:t xml:space="preserve"> </w:t>
            </w:r>
            <w:r>
              <w:rPr>
                <w:rFonts w:ascii="宋体" w:hAnsi="宋体" w:eastAsia="宋体" w:cs="宋体"/>
                <w:color w:val="auto"/>
                <w:spacing w:val="-17"/>
                <w:position w:val="1"/>
                <w:sz w:val="22"/>
                <w:szCs w:val="22"/>
                <w:highlight w:val="none"/>
              </w:rPr>
              <w:t>)</w:t>
            </w:r>
            <w:r>
              <w:rPr>
                <w:rFonts w:ascii="宋体" w:hAnsi="宋体" w:eastAsia="宋体" w:cs="宋体"/>
                <w:color w:val="auto"/>
                <w:spacing w:val="3"/>
                <w:position w:val="1"/>
                <w:sz w:val="22"/>
                <w:szCs w:val="22"/>
                <w:highlight w:val="none"/>
              </w:rPr>
              <w:t xml:space="preserve">                          </w:t>
            </w:r>
            <w:r>
              <w:rPr>
                <w:rFonts w:ascii="宋体" w:hAnsi="宋体" w:eastAsia="宋体" w:cs="宋体"/>
                <w:color w:val="auto"/>
                <w:spacing w:val="2"/>
                <w:position w:val="1"/>
                <w:sz w:val="22"/>
                <w:szCs w:val="22"/>
                <w:highlight w:val="none"/>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227" w:lineRule="auto"/>
              <w:ind w:left="105" w:leftChars="50" w:right="105" w:rightChars="50"/>
              <w:jc w:val="both"/>
              <w:textAlignment w:val="auto"/>
              <w:rPr>
                <w:rFonts w:ascii="宋体" w:hAnsi="宋体" w:eastAsia="宋体" w:cs="宋体"/>
                <w:color w:val="auto"/>
                <w:spacing w:val="1"/>
                <w:sz w:val="22"/>
                <w:szCs w:val="22"/>
                <w:highlight w:val="none"/>
              </w:rPr>
            </w:pPr>
            <w:r>
              <w:rPr>
                <w:rFonts w:ascii="宋体" w:hAnsi="宋体" w:eastAsia="宋体" w:cs="宋体"/>
                <w:color w:val="auto"/>
                <w:spacing w:val="-1"/>
                <w:sz w:val="22"/>
                <w:szCs w:val="22"/>
                <w:highlight w:val="none"/>
              </w:rPr>
              <w:t>服务单位按照合同约定的时间地点提</w:t>
            </w:r>
            <w:r>
              <w:rPr>
                <w:rFonts w:ascii="宋体" w:hAnsi="宋体" w:eastAsia="宋体" w:cs="宋体"/>
                <w:color w:val="auto"/>
                <w:spacing w:val="1"/>
                <w:sz w:val="22"/>
                <w:szCs w:val="22"/>
                <w:highlight w:val="none"/>
              </w:rPr>
              <w:t>供服务：(</w:t>
            </w:r>
            <w:r>
              <w:rPr>
                <w:rFonts w:hint="eastAsia" w:ascii="宋体" w:hAnsi="宋体" w:eastAsia="宋体" w:cs="宋体"/>
                <w:color w:val="auto"/>
                <w:spacing w:val="1"/>
                <w:sz w:val="22"/>
                <w:szCs w:val="22"/>
                <w:highlight w:val="none"/>
                <w:lang w:val="en-US" w:eastAsia="zh-CN"/>
              </w:rPr>
              <w:t>7</w:t>
            </w:r>
            <w:r>
              <w:rPr>
                <w:rFonts w:ascii="宋体" w:hAnsi="宋体" w:eastAsia="宋体" w:cs="宋体"/>
                <w:color w:val="auto"/>
                <w:spacing w:val="1"/>
                <w:sz w:val="22"/>
                <w:szCs w:val="22"/>
                <w:highlight w:val="none"/>
              </w:rPr>
              <w:t xml:space="preserve">分)                   </w:t>
            </w:r>
          </w:p>
          <w:p>
            <w:pPr>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3、</w:t>
            </w:r>
            <w:r>
              <w:rPr>
                <w:rFonts w:ascii="宋体" w:hAnsi="宋体" w:eastAsia="宋体" w:cs="宋体"/>
                <w:color w:val="auto"/>
                <w:sz w:val="22"/>
                <w:szCs w:val="22"/>
                <w:highlight w:val="none"/>
              </w:rPr>
              <w:t xml:space="preserve">存在逾期或影响公司正常开展相关工作 </w:t>
            </w:r>
            <w:r>
              <w:rPr>
                <w:rFonts w:ascii="宋体" w:hAnsi="宋体" w:eastAsia="宋体" w:cs="宋体"/>
                <w:color w:val="auto"/>
                <w:spacing w:val="6"/>
                <w:sz w:val="22"/>
                <w:szCs w:val="22"/>
                <w:highlight w:val="none"/>
              </w:rPr>
              <w:t>情况；(</w:t>
            </w:r>
            <w:r>
              <w:rPr>
                <w:rFonts w:hint="eastAsia" w:ascii="宋体" w:hAnsi="宋体" w:eastAsia="宋体" w:cs="宋体"/>
                <w:color w:val="auto"/>
                <w:spacing w:val="6"/>
                <w:sz w:val="22"/>
                <w:szCs w:val="22"/>
                <w:highlight w:val="none"/>
                <w:lang w:val="en-US" w:eastAsia="zh-CN"/>
              </w:rPr>
              <w:t>6</w:t>
            </w:r>
            <w:r>
              <w:rPr>
                <w:rFonts w:ascii="宋体" w:hAnsi="宋体" w:eastAsia="宋体" w:cs="宋体"/>
                <w:color w:val="auto"/>
                <w:spacing w:val="6"/>
                <w:sz w:val="22"/>
                <w:szCs w:val="22"/>
                <w:highlight w:val="none"/>
              </w:rPr>
              <w:t>分)</w:t>
            </w:r>
          </w:p>
        </w:tc>
        <w:tc>
          <w:tcPr>
            <w:tcW w:w="889" w:type="dxa"/>
            <w:noWrap w:val="0"/>
            <w:vAlign w:val="center"/>
          </w:tcPr>
          <w:p>
            <w:pPr>
              <w:pStyle w:val="345"/>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color w:val="auto"/>
                <w:highlight w:val="none"/>
              </w:rPr>
            </w:pPr>
          </w:p>
        </w:tc>
        <w:tc>
          <w:tcPr>
            <w:tcW w:w="3235" w:type="dxa"/>
            <w:gridSpan w:val="3"/>
            <w:noWrap w:val="0"/>
            <w:vAlign w:val="center"/>
          </w:tcPr>
          <w:p>
            <w:pPr>
              <w:pStyle w:val="345"/>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3482" w:hRule="atLeast"/>
          <w:jc w:val="center"/>
        </w:trPr>
        <w:tc>
          <w:tcPr>
            <w:tcW w:w="434" w:type="dxa"/>
            <w:noWrap w:val="0"/>
            <w:vAlign w:val="center"/>
          </w:tcPr>
          <w:p>
            <w:pPr>
              <w:spacing w:before="71" w:line="183" w:lineRule="auto"/>
              <w:jc w:val="center"/>
              <w:rPr>
                <w:rFonts w:ascii="宋体" w:hAnsi="宋体" w:eastAsia="宋体" w:cs="宋体"/>
                <w:color w:val="auto"/>
                <w:sz w:val="22"/>
                <w:szCs w:val="22"/>
                <w:highlight w:val="none"/>
              </w:rPr>
            </w:pPr>
            <w:r>
              <w:rPr>
                <w:rFonts w:ascii="宋体" w:hAnsi="宋体" w:eastAsia="宋体" w:cs="宋体"/>
                <w:color w:val="auto"/>
                <w:sz w:val="22"/>
                <w:szCs w:val="22"/>
                <w:highlight w:val="none"/>
              </w:rPr>
              <w:t>3</w:t>
            </w:r>
          </w:p>
        </w:tc>
        <w:tc>
          <w:tcPr>
            <w:tcW w:w="1289" w:type="dxa"/>
            <w:noWrap w:val="0"/>
            <w:vAlign w:val="center"/>
          </w:tcPr>
          <w:p>
            <w:pPr>
              <w:spacing w:before="72" w:line="219" w:lineRule="auto"/>
              <w:jc w:val="center"/>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服务质量</w:t>
            </w:r>
          </w:p>
          <w:p>
            <w:pPr>
              <w:spacing w:before="29" w:line="220" w:lineRule="auto"/>
              <w:jc w:val="center"/>
              <w:rPr>
                <w:rFonts w:ascii="宋体" w:hAnsi="宋体" w:eastAsia="宋体" w:cs="宋体"/>
                <w:color w:val="auto"/>
                <w:sz w:val="22"/>
                <w:szCs w:val="22"/>
                <w:highlight w:val="none"/>
              </w:rPr>
            </w:pPr>
            <w:r>
              <w:rPr>
                <w:rFonts w:ascii="宋体" w:hAnsi="宋体" w:eastAsia="宋体" w:cs="宋体"/>
                <w:color w:val="auto"/>
                <w:spacing w:val="9"/>
                <w:sz w:val="22"/>
                <w:szCs w:val="22"/>
                <w:highlight w:val="none"/>
              </w:rPr>
              <w:t>(40分)</w:t>
            </w:r>
          </w:p>
        </w:tc>
        <w:tc>
          <w:tcPr>
            <w:tcW w:w="39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7" w:lineRule="auto"/>
              <w:ind w:left="105" w:leftChars="50" w:right="105" w:rightChars="50"/>
              <w:jc w:val="both"/>
              <w:textAlignment w:val="auto"/>
              <w:rPr>
                <w:rFonts w:ascii="宋体" w:hAnsi="宋体" w:eastAsia="宋体" w:cs="宋体"/>
                <w:color w:val="auto"/>
                <w:spacing w:val="-3"/>
                <w:sz w:val="22"/>
                <w:szCs w:val="22"/>
                <w:highlight w:val="none"/>
              </w:rPr>
            </w:pPr>
            <w:r>
              <w:rPr>
                <w:rFonts w:ascii="宋体" w:hAnsi="宋体" w:eastAsia="宋体" w:cs="宋体"/>
                <w:color w:val="auto"/>
                <w:spacing w:val="-2"/>
                <w:sz w:val="22"/>
                <w:szCs w:val="22"/>
                <w:highlight w:val="none"/>
              </w:rPr>
              <w:t>1、在满足时效性要求的前提下，提供的</w:t>
            </w:r>
            <w:r>
              <w:rPr>
                <w:rFonts w:ascii="宋体" w:hAnsi="宋体" w:eastAsia="宋体" w:cs="宋体"/>
                <w:color w:val="auto"/>
                <w:sz w:val="22"/>
                <w:szCs w:val="22"/>
                <w:highlight w:val="none"/>
              </w:rPr>
              <w:t>服务是否能保证符合行业质量与安</w:t>
            </w:r>
            <w:r>
              <w:rPr>
                <w:rFonts w:ascii="宋体" w:hAnsi="宋体" w:eastAsia="宋体" w:cs="宋体"/>
                <w:color w:val="auto"/>
                <w:spacing w:val="-3"/>
                <w:sz w:val="22"/>
                <w:szCs w:val="22"/>
                <w:highlight w:val="none"/>
              </w:rPr>
              <w:t xml:space="preserve">全要求；(15分)                  </w:t>
            </w:r>
          </w:p>
          <w:p>
            <w:pPr>
              <w:keepNext w:val="0"/>
              <w:keepLines w:val="0"/>
              <w:pageBreakBefore w:val="0"/>
              <w:widowControl w:val="0"/>
              <w:kinsoku/>
              <w:wordWrap/>
              <w:overflowPunct/>
              <w:topLinePunct w:val="0"/>
              <w:autoSpaceDE/>
              <w:autoSpaceDN/>
              <w:bidi w:val="0"/>
              <w:adjustRightInd/>
              <w:snapToGrid/>
              <w:spacing w:line="236" w:lineRule="auto"/>
              <w:ind w:left="105" w:leftChars="50" w:right="105" w:rightChars="50" w:firstLine="19"/>
              <w:jc w:val="both"/>
              <w:textAlignment w:val="auto"/>
              <w:rPr>
                <w:rFonts w:ascii="宋体" w:hAnsi="宋体" w:eastAsia="宋体" w:cs="宋体"/>
                <w:color w:val="auto"/>
                <w:sz w:val="22"/>
                <w:szCs w:val="22"/>
                <w:highlight w:val="none"/>
              </w:rPr>
            </w:pPr>
            <w:r>
              <w:rPr>
                <w:rFonts w:ascii="宋体" w:hAnsi="宋体" w:eastAsia="宋体" w:cs="宋体"/>
                <w:color w:val="auto"/>
                <w:spacing w:val="-3"/>
                <w:position w:val="1"/>
                <w:sz w:val="19"/>
                <w:szCs w:val="19"/>
                <w:highlight w:val="none"/>
              </w:rPr>
              <w:t>2、</w:t>
            </w:r>
            <w:r>
              <w:rPr>
                <w:rFonts w:ascii="宋体" w:hAnsi="宋体" w:eastAsia="宋体" w:cs="宋体"/>
                <w:color w:val="auto"/>
                <w:spacing w:val="-6"/>
                <w:sz w:val="22"/>
                <w:szCs w:val="22"/>
                <w:highlight w:val="none"/>
              </w:rPr>
              <w:t>服务内容是否完整，技术规范等步骤是</w:t>
            </w:r>
            <w:r>
              <w:rPr>
                <w:rFonts w:ascii="宋体" w:hAnsi="宋体" w:eastAsia="宋体" w:cs="宋体"/>
                <w:color w:val="auto"/>
                <w:spacing w:val="4"/>
                <w:sz w:val="22"/>
                <w:szCs w:val="22"/>
                <w:highlight w:val="none"/>
              </w:rPr>
              <w:t xml:space="preserve">   </w:t>
            </w:r>
            <w:r>
              <w:rPr>
                <w:rFonts w:ascii="宋体" w:hAnsi="宋体" w:eastAsia="宋体" w:cs="宋体"/>
                <w:color w:val="auto"/>
                <w:spacing w:val="-5"/>
                <w:sz w:val="22"/>
                <w:szCs w:val="22"/>
                <w:highlight w:val="none"/>
              </w:rPr>
              <w:t>否齐全，与公司要求相匹配，不偷工减  料，使用劣质材料等；服务应满足规范</w:t>
            </w:r>
            <w:r>
              <w:rPr>
                <w:rFonts w:ascii="宋体" w:hAnsi="宋体" w:eastAsia="宋体" w:cs="宋体"/>
                <w:color w:val="auto"/>
                <w:sz w:val="22"/>
                <w:szCs w:val="22"/>
                <w:highlight w:val="none"/>
              </w:rPr>
              <w:t xml:space="preserve">技术要求，符合验收标准；(15分)  </w:t>
            </w:r>
          </w:p>
          <w:p>
            <w:pPr>
              <w:keepNext w:val="0"/>
              <w:keepLines w:val="0"/>
              <w:pageBreakBefore w:val="0"/>
              <w:widowControl w:val="0"/>
              <w:kinsoku/>
              <w:wordWrap/>
              <w:overflowPunct/>
              <w:topLinePunct w:val="0"/>
              <w:autoSpaceDE/>
              <w:autoSpaceDN/>
              <w:bidi w:val="0"/>
              <w:adjustRightInd/>
              <w:snapToGrid/>
              <w:spacing w:line="236" w:lineRule="auto"/>
              <w:ind w:left="105" w:leftChars="50" w:right="105" w:rightChars="50" w:firstLine="19"/>
              <w:jc w:val="both"/>
              <w:textAlignment w:val="auto"/>
              <w:rPr>
                <w:rFonts w:ascii="宋体" w:hAnsi="宋体" w:eastAsia="宋体" w:cs="宋体"/>
                <w:color w:val="auto"/>
                <w:sz w:val="22"/>
                <w:szCs w:val="22"/>
                <w:highlight w:val="none"/>
              </w:rPr>
            </w:pPr>
            <w:r>
              <w:rPr>
                <w:rFonts w:ascii="宋体" w:hAnsi="宋体" w:eastAsia="宋体" w:cs="宋体"/>
                <w:color w:val="auto"/>
                <w:sz w:val="22"/>
                <w:szCs w:val="22"/>
                <w:highlight w:val="none"/>
              </w:rPr>
              <w:t>3、</w:t>
            </w:r>
            <w:r>
              <w:rPr>
                <w:rFonts w:ascii="宋体" w:hAnsi="宋体" w:eastAsia="宋体" w:cs="宋体"/>
                <w:color w:val="auto"/>
                <w:spacing w:val="-5"/>
                <w:sz w:val="22"/>
                <w:szCs w:val="22"/>
                <w:highlight w:val="none"/>
              </w:rPr>
              <w:t xml:space="preserve">完成服务后能否提供齐全、完整的档案  </w:t>
            </w:r>
            <w:r>
              <w:rPr>
                <w:rFonts w:ascii="宋体" w:hAnsi="宋体" w:eastAsia="宋体" w:cs="宋体"/>
                <w:color w:val="auto"/>
                <w:spacing w:val="2"/>
                <w:sz w:val="22"/>
                <w:szCs w:val="22"/>
                <w:highlight w:val="none"/>
              </w:rPr>
              <w:t>资料。(10分)</w:t>
            </w:r>
          </w:p>
        </w:tc>
        <w:tc>
          <w:tcPr>
            <w:tcW w:w="889" w:type="dxa"/>
            <w:noWrap w:val="0"/>
            <w:vAlign w:val="center"/>
          </w:tcPr>
          <w:p>
            <w:pPr>
              <w:pStyle w:val="345"/>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color w:val="auto"/>
                <w:highlight w:val="none"/>
              </w:rPr>
            </w:pPr>
          </w:p>
        </w:tc>
        <w:tc>
          <w:tcPr>
            <w:tcW w:w="32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105" w:leftChars="50" w:right="105" w:rightChars="50"/>
              <w:jc w:val="both"/>
              <w:textAlignment w:val="auto"/>
              <w:rPr>
                <w:rFonts w:ascii="宋体" w:hAnsi="宋体" w:eastAsia="宋体" w:cs="宋体"/>
                <w:color w:val="auto"/>
                <w:sz w:val="22"/>
                <w:szCs w:val="22"/>
                <w:highlight w:val="none"/>
              </w:rPr>
            </w:pPr>
            <w:r>
              <w:rPr>
                <w:rFonts w:ascii="宋体" w:hAnsi="宋体" w:eastAsia="宋体" w:cs="宋体"/>
                <w:color w:val="auto"/>
                <w:sz w:val="22"/>
                <w:szCs w:val="22"/>
                <w:highlight w:val="none"/>
              </w:rPr>
              <w:t>提供的服务：</w:t>
            </w:r>
          </w:p>
          <w:p>
            <w:pPr>
              <w:keepNext w:val="0"/>
              <w:keepLines w:val="0"/>
              <w:pageBreakBefore w:val="0"/>
              <w:widowControl w:val="0"/>
              <w:kinsoku/>
              <w:wordWrap/>
              <w:overflowPunct/>
              <w:topLinePunct w:val="0"/>
              <w:autoSpaceDE/>
              <w:autoSpaceDN/>
              <w:bidi w:val="0"/>
              <w:adjustRightInd/>
              <w:snapToGrid/>
              <w:spacing w:line="219" w:lineRule="auto"/>
              <w:ind w:left="105" w:leftChars="50" w:right="105" w:rightChars="50"/>
              <w:jc w:val="both"/>
              <w:textAlignment w:val="auto"/>
              <w:rPr>
                <w:rFonts w:ascii="宋体" w:hAnsi="宋体" w:eastAsia="宋体" w:cs="宋体"/>
                <w:color w:val="auto"/>
                <w:sz w:val="22"/>
                <w:szCs w:val="22"/>
                <w:highlight w:val="none"/>
              </w:rPr>
            </w:pPr>
            <w:r>
              <w:rPr>
                <w:rFonts w:ascii="宋体" w:hAnsi="宋体" w:eastAsia="宋体" w:cs="宋体"/>
                <w:color w:val="auto"/>
                <w:sz w:val="22"/>
                <w:szCs w:val="22"/>
                <w:highlight w:val="none"/>
              </w:rPr>
              <w:t>1、服务类报送的相关资</w:t>
            </w:r>
          </w:p>
          <w:p>
            <w:pPr>
              <w:keepNext w:val="0"/>
              <w:keepLines w:val="0"/>
              <w:pageBreakBefore w:val="0"/>
              <w:widowControl w:val="0"/>
              <w:kinsoku/>
              <w:wordWrap/>
              <w:overflowPunct/>
              <w:topLinePunct w:val="0"/>
              <w:autoSpaceDE/>
              <w:autoSpaceDN/>
              <w:bidi w:val="0"/>
              <w:adjustRightInd/>
              <w:snapToGrid/>
              <w:spacing w:line="233" w:lineRule="auto"/>
              <w:ind w:left="105" w:leftChars="50" w:right="105" w:rightChars="50" w:firstLine="9"/>
              <w:jc w:val="both"/>
              <w:textAlignment w:val="auto"/>
              <w:rPr>
                <w:rFonts w:ascii="宋体" w:hAnsi="宋体" w:eastAsia="宋体" w:cs="宋体"/>
                <w:color w:val="auto"/>
                <w:sz w:val="22"/>
                <w:szCs w:val="22"/>
                <w:highlight w:val="none"/>
              </w:rPr>
            </w:pPr>
            <w:r>
              <w:rPr>
                <w:rFonts w:ascii="宋体" w:hAnsi="宋体" w:eastAsia="宋体" w:cs="宋体"/>
                <w:color w:val="auto"/>
                <w:sz w:val="22"/>
                <w:szCs w:val="22"/>
                <w:highlight w:val="none"/>
              </w:rPr>
              <w:t>料是否完整有效，出具</w:t>
            </w:r>
            <w:r>
              <w:rPr>
                <w:rFonts w:ascii="宋体" w:hAnsi="宋体" w:eastAsia="宋体" w:cs="宋体"/>
                <w:color w:val="auto"/>
                <w:spacing w:val="5"/>
                <w:sz w:val="22"/>
                <w:szCs w:val="22"/>
                <w:highlight w:val="none"/>
              </w:rPr>
              <w:t xml:space="preserve"> </w:t>
            </w:r>
            <w:r>
              <w:rPr>
                <w:rFonts w:ascii="宋体" w:hAnsi="宋体" w:eastAsia="宋体" w:cs="宋体"/>
                <w:color w:val="auto"/>
                <w:spacing w:val="1"/>
                <w:sz w:val="22"/>
                <w:szCs w:val="22"/>
                <w:highlight w:val="none"/>
              </w:rPr>
              <w:t>的成果报告能否</w:t>
            </w:r>
            <w:r>
              <w:rPr>
                <w:rFonts w:ascii="宋体" w:hAnsi="宋体" w:eastAsia="宋体" w:cs="宋体"/>
                <w:color w:val="auto"/>
                <w:spacing w:val="1"/>
                <w:sz w:val="22"/>
                <w:szCs w:val="22"/>
                <w:highlight w:val="none"/>
              </w:rPr>
              <w:t>被上级</w:t>
            </w:r>
            <w:r>
              <w:rPr>
                <w:rFonts w:ascii="宋体" w:hAnsi="宋体" w:eastAsia="宋体" w:cs="宋体"/>
                <w:color w:val="auto"/>
                <w:spacing w:val="15"/>
                <w:sz w:val="22"/>
                <w:szCs w:val="22"/>
                <w:highlight w:val="none"/>
              </w:rPr>
              <w:t>部</w:t>
            </w:r>
            <w:r>
              <w:rPr>
                <w:rFonts w:hint="eastAsia" w:ascii="宋体" w:hAnsi="宋体" w:eastAsia="宋体" w:cs="宋体"/>
                <w:color w:val="auto"/>
                <w:spacing w:val="15"/>
                <w:sz w:val="22"/>
                <w:szCs w:val="22"/>
                <w:highlight w:val="none"/>
                <w:lang w:eastAsia="zh-CN"/>
              </w:rPr>
              <w:t>门</w:t>
            </w:r>
            <w:r>
              <w:rPr>
                <w:rFonts w:ascii="宋体" w:hAnsi="宋体" w:eastAsia="宋体" w:cs="宋体"/>
                <w:color w:val="auto"/>
                <w:spacing w:val="15"/>
                <w:sz w:val="22"/>
                <w:szCs w:val="22"/>
                <w:highlight w:val="none"/>
              </w:rPr>
              <w:t>验收合格；</w:t>
            </w:r>
          </w:p>
          <w:p>
            <w:pPr>
              <w:keepNext w:val="0"/>
              <w:keepLines w:val="0"/>
              <w:pageBreakBefore w:val="0"/>
              <w:widowControl w:val="0"/>
              <w:kinsoku/>
              <w:wordWrap/>
              <w:overflowPunct/>
              <w:topLinePunct w:val="0"/>
              <w:autoSpaceDE/>
              <w:autoSpaceDN/>
              <w:bidi w:val="0"/>
              <w:adjustRightInd/>
              <w:snapToGrid/>
              <w:spacing w:line="219" w:lineRule="auto"/>
              <w:ind w:left="105" w:leftChars="50" w:right="105" w:rightChars="50"/>
              <w:jc w:val="both"/>
              <w:textAlignment w:val="auto"/>
              <w:rPr>
                <w:rFonts w:ascii="宋体" w:hAnsi="宋体" w:eastAsia="宋体" w:cs="宋体"/>
                <w:color w:val="auto"/>
                <w:sz w:val="22"/>
                <w:szCs w:val="22"/>
                <w:highlight w:val="none"/>
              </w:rPr>
            </w:pPr>
            <w:r>
              <w:rPr>
                <w:rFonts w:ascii="宋体" w:hAnsi="宋体" w:eastAsia="宋体" w:cs="宋体"/>
                <w:color w:val="auto"/>
                <w:sz w:val="22"/>
                <w:szCs w:val="22"/>
                <w:highlight w:val="none"/>
              </w:rPr>
              <w:t>2、采购类能提供完整清</w:t>
            </w:r>
          </w:p>
          <w:p>
            <w:pPr>
              <w:keepNext w:val="0"/>
              <w:keepLines w:val="0"/>
              <w:pageBreakBefore w:val="0"/>
              <w:widowControl w:val="0"/>
              <w:kinsoku/>
              <w:wordWrap/>
              <w:overflowPunct/>
              <w:topLinePunct w:val="0"/>
              <w:autoSpaceDE/>
              <w:autoSpaceDN/>
              <w:bidi w:val="0"/>
              <w:adjustRightInd/>
              <w:snapToGrid/>
              <w:spacing w:line="235" w:lineRule="auto"/>
              <w:ind w:left="105" w:leftChars="50" w:right="105" w:rightChars="50" w:firstLine="9"/>
              <w:jc w:val="both"/>
              <w:textAlignment w:val="auto"/>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单，货物质量是否符合</w:t>
            </w:r>
            <w:r>
              <w:rPr>
                <w:rFonts w:ascii="宋体" w:hAnsi="宋体" w:eastAsia="宋体" w:cs="宋体"/>
                <w:color w:val="auto"/>
                <w:spacing w:val="8"/>
                <w:sz w:val="22"/>
                <w:szCs w:val="22"/>
                <w:highlight w:val="none"/>
              </w:rPr>
              <w:t xml:space="preserve"> </w:t>
            </w:r>
            <w:r>
              <w:rPr>
                <w:rFonts w:ascii="宋体" w:hAnsi="宋体" w:eastAsia="宋体" w:cs="宋体"/>
                <w:color w:val="auto"/>
                <w:spacing w:val="1"/>
                <w:sz w:val="22"/>
                <w:szCs w:val="22"/>
                <w:highlight w:val="none"/>
              </w:rPr>
              <w:t>合同规定的质量规格和性能标准，是否有存在</w:t>
            </w:r>
            <w:r>
              <w:rPr>
                <w:rFonts w:ascii="宋体" w:hAnsi="宋体" w:eastAsia="宋体" w:cs="宋体"/>
                <w:color w:val="auto"/>
                <w:spacing w:val="-1"/>
                <w:sz w:val="22"/>
                <w:szCs w:val="22"/>
                <w:highlight w:val="none"/>
              </w:rPr>
              <w:t>缺陷退货更换现象。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1576" w:hRule="atLeast"/>
          <w:jc w:val="center"/>
        </w:trPr>
        <w:tc>
          <w:tcPr>
            <w:tcW w:w="434" w:type="dxa"/>
            <w:noWrap w:val="0"/>
            <w:vAlign w:val="center"/>
          </w:tcPr>
          <w:p>
            <w:pPr>
              <w:spacing w:before="71" w:line="183" w:lineRule="auto"/>
              <w:jc w:val="center"/>
              <w:rPr>
                <w:rFonts w:ascii="宋体" w:hAnsi="宋体" w:eastAsia="宋体" w:cs="宋体"/>
                <w:color w:val="auto"/>
                <w:sz w:val="22"/>
                <w:szCs w:val="22"/>
                <w:highlight w:val="none"/>
              </w:rPr>
            </w:pPr>
            <w:r>
              <w:rPr>
                <w:rFonts w:ascii="宋体" w:hAnsi="宋体" w:eastAsia="宋体" w:cs="宋体"/>
                <w:color w:val="auto"/>
                <w:sz w:val="22"/>
                <w:szCs w:val="22"/>
                <w:highlight w:val="none"/>
              </w:rPr>
              <w:t>4</w:t>
            </w:r>
          </w:p>
        </w:tc>
        <w:tc>
          <w:tcPr>
            <w:tcW w:w="1289" w:type="dxa"/>
            <w:noWrap w:val="0"/>
            <w:vAlign w:val="center"/>
          </w:tcPr>
          <w:p>
            <w:pPr>
              <w:spacing w:before="72" w:line="219" w:lineRule="auto"/>
              <w:jc w:val="center"/>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服务成效</w:t>
            </w:r>
          </w:p>
          <w:p>
            <w:pPr>
              <w:spacing w:before="79" w:line="220" w:lineRule="auto"/>
              <w:jc w:val="center"/>
              <w:rPr>
                <w:rFonts w:ascii="宋体" w:hAnsi="宋体" w:eastAsia="宋体" w:cs="宋体"/>
                <w:color w:val="auto"/>
                <w:spacing w:val="9"/>
                <w:sz w:val="22"/>
                <w:szCs w:val="22"/>
                <w:highlight w:val="none"/>
              </w:rPr>
            </w:pPr>
            <w:r>
              <w:rPr>
                <w:rFonts w:ascii="宋体" w:hAnsi="宋体" w:eastAsia="宋体" w:cs="宋体"/>
                <w:color w:val="auto"/>
                <w:spacing w:val="9"/>
                <w:sz w:val="22"/>
                <w:szCs w:val="22"/>
                <w:highlight w:val="none"/>
              </w:rPr>
              <w:t>(20分)</w:t>
            </w:r>
          </w:p>
        </w:tc>
        <w:tc>
          <w:tcPr>
            <w:tcW w:w="39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4" w:lineRule="auto"/>
              <w:ind w:left="105" w:leftChars="50" w:right="105" w:rightChars="50"/>
              <w:jc w:val="both"/>
              <w:textAlignment w:val="auto"/>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1、服务期内出现问题是否可以及时解</w:t>
            </w:r>
            <w:r>
              <w:rPr>
                <w:rFonts w:ascii="宋体" w:hAnsi="宋体" w:eastAsia="宋体" w:cs="宋体"/>
                <w:color w:val="auto"/>
                <w:spacing w:val="-21"/>
                <w:sz w:val="22"/>
                <w:szCs w:val="22"/>
                <w:highlight w:val="none"/>
              </w:rPr>
              <w:t>决，后期使用中质量是否出现问题；(10分)</w:t>
            </w:r>
          </w:p>
          <w:p>
            <w:pPr>
              <w:keepNext w:val="0"/>
              <w:keepLines w:val="0"/>
              <w:pageBreakBefore w:val="0"/>
              <w:widowControl w:val="0"/>
              <w:kinsoku/>
              <w:wordWrap/>
              <w:overflowPunct/>
              <w:topLinePunct w:val="0"/>
              <w:autoSpaceDE/>
              <w:autoSpaceDN/>
              <w:bidi w:val="0"/>
              <w:adjustRightInd/>
              <w:snapToGrid/>
              <w:spacing w:line="236" w:lineRule="auto"/>
              <w:ind w:left="303" w:leftChars="50" w:right="105" w:rightChars="50" w:hanging="198" w:firstLineChars="0"/>
              <w:jc w:val="both"/>
              <w:textAlignment w:val="auto"/>
              <w:rPr>
                <w:rFonts w:ascii="宋体" w:hAnsi="宋体" w:eastAsia="宋体" w:cs="宋体"/>
                <w:color w:val="auto"/>
                <w:spacing w:val="-3"/>
                <w:sz w:val="22"/>
                <w:szCs w:val="22"/>
                <w:highlight w:val="none"/>
              </w:rPr>
            </w:pPr>
            <w:r>
              <w:rPr>
                <w:rFonts w:ascii="宋体" w:hAnsi="宋体" w:eastAsia="宋体" w:cs="宋体"/>
                <w:color w:val="auto"/>
                <w:spacing w:val="-2"/>
                <w:sz w:val="22"/>
                <w:szCs w:val="22"/>
                <w:highlight w:val="none"/>
              </w:rPr>
              <w:t>2、日常维护保养和技术培训能否达标。</w:t>
            </w:r>
            <w:r>
              <w:rPr>
                <w:rFonts w:ascii="宋体" w:hAnsi="宋体" w:eastAsia="宋体" w:cs="宋体"/>
                <w:color w:val="auto"/>
                <w:spacing w:val="9"/>
                <w:sz w:val="22"/>
                <w:szCs w:val="22"/>
                <w:highlight w:val="none"/>
              </w:rPr>
              <w:t xml:space="preserve"> </w:t>
            </w:r>
            <w:r>
              <w:rPr>
                <w:rFonts w:ascii="宋体" w:hAnsi="宋体" w:eastAsia="宋体" w:cs="宋体"/>
                <w:color w:val="auto"/>
                <w:spacing w:val="8"/>
                <w:sz w:val="22"/>
                <w:szCs w:val="22"/>
                <w:highlight w:val="none"/>
              </w:rPr>
              <w:t>(10分)</w:t>
            </w:r>
          </w:p>
        </w:tc>
        <w:tc>
          <w:tcPr>
            <w:tcW w:w="889" w:type="dxa"/>
            <w:noWrap w:val="0"/>
            <w:vAlign w:val="center"/>
          </w:tcPr>
          <w:p>
            <w:pPr>
              <w:pStyle w:val="345"/>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color w:val="auto"/>
                <w:highlight w:val="none"/>
              </w:rPr>
            </w:pPr>
          </w:p>
        </w:tc>
        <w:tc>
          <w:tcPr>
            <w:tcW w:w="3235" w:type="dxa"/>
            <w:gridSpan w:val="3"/>
            <w:noWrap w:val="0"/>
            <w:vAlign w:val="center"/>
          </w:tcPr>
          <w:p>
            <w:pPr>
              <w:pStyle w:val="345"/>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ascii="宋体" w:hAnsi="宋体" w:eastAsia="宋体" w:cs="宋体"/>
                <w:color w:val="auto"/>
                <w:spacing w:val="-3"/>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2035" w:hRule="atLeast"/>
          <w:jc w:val="center"/>
        </w:trPr>
        <w:tc>
          <w:tcPr>
            <w:tcW w:w="434" w:type="dxa"/>
            <w:noWrap w:val="0"/>
            <w:vAlign w:val="center"/>
          </w:tcPr>
          <w:p>
            <w:pPr>
              <w:spacing w:before="71" w:line="182" w:lineRule="auto"/>
              <w:jc w:val="center"/>
              <w:rPr>
                <w:rFonts w:ascii="宋体" w:hAnsi="宋体" w:eastAsia="宋体" w:cs="宋体"/>
                <w:color w:val="auto"/>
                <w:sz w:val="22"/>
                <w:szCs w:val="22"/>
                <w:highlight w:val="none"/>
              </w:rPr>
            </w:pPr>
            <w:r>
              <w:rPr>
                <w:rFonts w:ascii="宋体" w:hAnsi="宋体" w:eastAsia="宋体" w:cs="宋体"/>
                <w:color w:val="auto"/>
                <w:sz w:val="22"/>
                <w:szCs w:val="22"/>
                <w:highlight w:val="none"/>
              </w:rPr>
              <w:t>5</w:t>
            </w:r>
          </w:p>
        </w:tc>
        <w:tc>
          <w:tcPr>
            <w:tcW w:w="1289" w:type="dxa"/>
            <w:noWrap w:val="0"/>
            <w:vAlign w:val="center"/>
          </w:tcPr>
          <w:p>
            <w:pPr>
              <w:spacing w:before="72" w:line="219" w:lineRule="auto"/>
              <w:jc w:val="center"/>
              <w:rPr>
                <w:rFonts w:ascii="宋体" w:hAnsi="宋体" w:eastAsia="宋体" w:cs="宋体"/>
                <w:color w:val="auto"/>
                <w:spacing w:val="9"/>
                <w:sz w:val="22"/>
                <w:szCs w:val="22"/>
                <w:highlight w:val="none"/>
              </w:rPr>
            </w:pPr>
            <w:r>
              <w:rPr>
                <w:rFonts w:ascii="宋体" w:hAnsi="宋体" w:eastAsia="宋体" w:cs="宋体"/>
                <w:color w:val="auto"/>
                <w:spacing w:val="2"/>
                <w:sz w:val="22"/>
                <w:szCs w:val="22"/>
                <w:highlight w:val="none"/>
              </w:rPr>
              <w:t>一票否决</w:t>
            </w:r>
          </w:p>
        </w:tc>
        <w:tc>
          <w:tcPr>
            <w:tcW w:w="39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57" w:lineRule="auto"/>
              <w:ind w:left="105" w:leftChars="50" w:right="105" w:rightChars="50"/>
              <w:jc w:val="both"/>
              <w:textAlignment w:val="auto"/>
              <w:rPr>
                <w:rFonts w:ascii="宋体" w:hAnsi="宋体" w:eastAsia="宋体" w:cs="宋体"/>
                <w:color w:val="auto"/>
                <w:spacing w:val="-2"/>
                <w:sz w:val="22"/>
                <w:szCs w:val="22"/>
                <w:highlight w:val="none"/>
              </w:rPr>
            </w:pPr>
            <w:r>
              <w:rPr>
                <w:rFonts w:ascii="宋体" w:hAnsi="宋体" w:eastAsia="宋体" w:cs="宋体"/>
                <w:color w:val="auto"/>
                <w:spacing w:val="40"/>
                <w:sz w:val="22"/>
                <w:szCs w:val="22"/>
                <w:highlight w:val="none"/>
              </w:rPr>
              <w:t>供应商必须严格保守公司的商业</w:t>
            </w:r>
            <w:r>
              <w:rPr>
                <w:rFonts w:ascii="宋体" w:hAnsi="宋体" w:eastAsia="宋体" w:cs="宋体"/>
                <w:color w:val="auto"/>
                <w:spacing w:val="-1"/>
                <w:sz w:val="22"/>
                <w:szCs w:val="22"/>
                <w:highlight w:val="none"/>
              </w:rPr>
              <w:t>机密，不得出现违反法律法规和行业职</w:t>
            </w:r>
            <w:r>
              <w:rPr>
                <w:rFonts w:ascii="宋体" w:hAnsi="宋体" w:eastAsia="宋体" w:cs="宋体"/>
                <w:color w:val="auto"/>
                <w:sz w:val="22"/>
                <w:szCs w:val="22"/>
                <w:highlight w:val="none"/>
              </w:rPr>
              <w:t>业道德、滥用职权、玩忽职守、徇私舞弊、操作不当引发作业安全事故等一票</w:t>
            </w:r>
            <w:r>
              <w:rPr>
                <w:rFonts w:ascii="宋体" w:hAnsi="宋体" w:eastAsia="宋体" w:cs="宋体"/>
                <w:color w:val="auto"/>
                <w:spacing w:val="10"/>
                <w:sz w:val="22"/>
                <w:szCs w:val="22"/>
                <w:highlight w:val="none"/>
              </w:rPr>
              <w:t>否决情况。</w:t>
            </w:r>
          </w:p>
        </w:tc>
        <w:tc>
          <w:tcPr>
            <w:tcW w:w="889" w:type="dxa"/>
            <w:noWrap w:val="0"/>
            <w:vAlign w:val="center"/>
          </w:tcPr>
          <w:p>
            <w:pPr>
              <w:pStyle w:val="345"/>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color w:val="auto"/>
                <w:highlight w:val="none"/>
              </w:rPr>
            </w:pPr>
          </w:p>
        </w:tc>
        <w:tc>
          <w:tcPr>
            <w:tcW w:w="3235" w:type="dxa"/>
            <w:gridSpan w:val="3"/>
            <w:noWrap w:val="0"/>
            <w:vAlign w:val="center"/>
          </w:tcPr>
          <w:p>
            <w:pPr>
              <w:pStyle w:val="345"/>
              <w:keepNext w:val="0"/>
              <w:keepLines w:val="0"/>
              <w:pageBreakBefore w:val="0"/>
              <w:widowControl w:val="0"/>
              <w:kinsoku/>
              <w:wordWrap/>
              <w:overflowPunct/>
              <w:topLinePunct w:val="0"/>
              <w:autoSpaceDE/>
              <w:autoSpaceDN/>
              <w:bidi w:val="0"/>
              <w:adjustRightInd/>
              <w:snapToGrid/>
              <w:spacing w:line="295" w:lineRule="auto"/>
              <w:ind w:left="105" w:leftChars="50" w:right="105" w:rightChars="50"/>
              <w:jc w:val="both"/>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248" w:lineRule="auto"/>
              <w:ind w:left="105" w:leftChars="50" w:right="105" w:rightChars="50"/>
              <w:jc w:val="both"/>
              <w:textAlignment w:val="auto"/>
              <w:rPr>
                <w:rFonts w:ascii="宋体" w:hAnsi="宋体" w:eastAsia="宋体" w:cs="宋体"/>
                <w:color w:val="auto"/>
                <w:spacing w:val="-3"/>
                <w:sz w:val="22"/>
                <w:szCs w:val="22"/>
                <w:highlight w:val="none"/>
              </w:rPr>
            </w:pPr>
            <w:r>
              <w:rPr>
                <w:rFonts w:ascii="宋体" w:hAnsi="宋体" w:eastAsia="宋体" w:cs="宋体"/>
                <w:color w:val="auto"/>
                <w:spacing w:val="-8"/>
                <w:sz w:val="22"/>
                <w:szCs w:val="22"/>
                <w:highlight w:val="none"/>
              </w:rPr>
              <w:t>此项内容必须满足，否</w:t>
            </w:r>
            <w:r>
              <w:rPr>
                <w:rFonts w:ascii="宋体" w:hAnsi="宋体" w:eastAsia="宋体" w:cs="宋体"/>
                <w:color w:val="auto"/>
                <w:spacing w:val="-1"/>
                <w:sz w:val="22"/>
                <w:szCs w:val="22"/>
                <w:highlight w:val="none"/>
              </w:rPr>
              <w:t>则视为考核不合格。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434" w:type="dxa"/>
            <w:noWrap w:val="0"/>
            <w:vAlign w:val="center"/>
          </w:tcPr>
          <w:p>
            <w:pPr>
              <w:spacing w:before="72" w:line="166"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5265" w:type="dxa"/>
            <w:gridSpan w:val="3"/>
            <w:noWrap w:val="0"/>
            <w:vAlign w:val="center"/>
          </w:tcPr>
          <w:p>
            <w:pPr>
              <w:spacing w:before="71" w:line="221" w:lineRule="auto"/>
              <w:jc w:val="center"/>
              <w:rPr>
                <w:rFonts w:ascii="宋体" w:hAnsi="宋体" w:eastAsia="宋体" w:cs="宋体"/>
                <w:color w:val="auto"/>
                <w:sz w:val="22"/>
                <w:szCs w:val="22"/>
                <w:highlight w:val="none"/>
              </w:rPr>
            </w:pPr>
            <w:r>
              <w:rPr>
                <w:rFonts w:ascii="宋体" w:hAnsi="宋体" w:eastAsia="宋体" w:cs="宋体"/>
                <w:color w:val="auto"/>
                <w:spacing w:val="4"/>
                <w:sz w:val="22"/>
                <w:szCs w:val="22"/>
                <w:highlight w:val="none"/>
              </w:rPr>
              <w:t>总计</w:t>
            </w:r>
          </w:p>
        </w:tc>
        <w:tc>
          <w:tcPr>
            <w:tcW w:w="889" w:type="dxa"/>
            <w:noWrap w:val="0"/>
            <w:vAlign w:val="top"/>
          </w:tcPr>
          <w:p>
            <w:pPr>
              <w:pStyle w:val="345"/>
              <w:rPr>
                <w:color w:val="auto"/>
                <w:highlight w:val="none"/>
              </w:rPr>
            </w:pPr>
          </w:p>
        </w:tc>
        <w:tc>
          <w:tcPr>
            <w:tcW w:w="3238" w:type="dxa"/>
            <w:gridSpan w:val="4"/>
            <w:noWrap w:val="0"/>
            <w:vAlign w:val="top"/>
          </w:tcPr>
          <w:p>
            <w:pPr>
              <w:pStyle w:val="345"/>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8" w:hRule="atLeast"/>
          <w:jc w:val="center"/>
        </w:trPr>
        <w:tc>
          <w:tcPr>
            <w:tcW w:w="1723" w:type="dxa"/>
            <w:gridSpan w:val="2"/>
            <w:noWrap w:val="0"/>
            <w:vAlign w:val="center"/>
          </w:tcPr>
          <w:p>
            <w:pPr>
              <w:spacing w:before="71" w:line="219" w:lineRule="auto"/>
              <w:jc w:val="center"/>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eastAsia="zh-CN"/>
              </w:rPr>
              <w:t>项目经理</w:t>
            </w:r>
            <w:r>
              <w:rPr>
                <w:rFonts w:hint="eastAsia" w:ascii="宋体" w:hAnsi="宋体" w:eastAsia="宋体" w:cs="宋体"/>
                <w:color w:val="auto"/>
                <w:spacing w:val="2"/>
                <w:sz w:val="22"/>
                <w:szCs w:val="22"/>
                <w:highlight w:val="none"/>
                <w:lang w:val="en-US" w:eastAsia="zh-CN"/>
              </w:rPr>
              <w:t>/主管</w:t>
            </w:r>
          </w:p>
          <w:p>
            <w:pPr>
              <w:spacing w:before="71" w:line="219" w:lineRule="auto"/>
              <w:jc w:val="center"/>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意见</w:t>
            </w:r>
          </w:p>
        </w:tc>
        <w:tc>
          <w:tcPr>
            <w:tcW w:w="3976" w:type="dxa"/>
            <w:gridSpan w:val="2"/>
            <w:noWrap w:val="0"/>
            <w:vAlign w:val="top"/>
          </w:tcPr>
          <w:p>
            <w:pPr>
              <w:pStyle w:val="345"/>
              <w:rPr>
                <w:color w:val="auto"/>
                <w:highlight w:val="none"/>
              </w:rPr>
            </w:pPr>
          </w:p>
        </w:tc>
        <w:tc>
          <w:tcPr>
            <w:tcW w:w="889" w:type="dxa"/>
            <w:noWrap w:val="0"/>
            <w:vAlign w:val="center"/>
          </w:tcPr>
          <w:p>
            <w:pPr>
              <w:pStyle w:val="345"/>
              <w:spacing w:line="276" w:lineRule="auto"/>
              <w:jc w:val="center"/>
              <w:rPr>
                <w:color w:val="auto"/>
                <w:highlight w:val="none"/>
              </w:rPr>
            </w:pPr>
          </w:p>
          <w:p>
            <w:pPr>
              <w:spacing w:before="71" w:line="250" w:lineRule="auto"/>
              <w:ind w:right="63"/>
              <w:jc w:val="center"/>
              <w:rPr>
                <w:rFonts w:ascii="宋体" w:hAnsi="宋体" w:eastAsia="宋体" w:cs="宋体"/>
                <w:color w:val="auto"/>
                <w:sz w:val="22"/>
                <w:szCs w:val="22"/>
                <w:highlight w:val="none"/>
              </w:rPr>
            </w:pPr>
            <w:r>
              <w:rPr>
                <w:rFonts w:ascii="宋体" w:hAnsi="宋体" w:eastAsia="宋体" w:cs="宋体"/>
                <w:color w:val="auto"/>
                <w:spacing w:val="7"/>
                <w:sz w:val="22"/>
                <w:szCs w:val="22"/>
                <w:highlight w:val="none"/>
              </w:rPr>
              <w:t>部室负</w:t>
            </w:r>
            <w:r>
              <w:rPr>
                <w:rFonts w:ascii="宋体" w:hAnsi="宋体" w:eastAsia="宋体" w:cs="宋体"/>
                <w:color w:val="auto"/>
                <w:sz w:val="22"/>
                <w:szCs w:val="22"/>
                <w:highlight w:val="none"/>
              </w:rPr>
              <w:t xml:space="preserve"> </w:t>
            </w:r>
            <w:r>
              <w:rPr>
                <w:rFonts w:ascii="宋体" w:hAnsi="宋体" w:eastAsia="宋体" w:cs="宋体"/>
                <w:color w:val="auto"/>
                <w:spacing w:val="-14"/>
                <w:sz w:val="22"/>
                <w:szCs w:val="22"/>
                <w:highlight w:val="none"/>
              </w:rPr>
              <w:t>责人</w:t>
            </w:r>
            <w:r>
              <w:rPr>
                <w:rFonts w:ascii="宋体" w:hAnsi="宋体" w:eastAsia="宋体" w:cs="宋体"/>
                <w:color w:val="auto"/>
                <w:spacing w:val="5"/>
                <w:sz w:val="22"/>
                <w:szCs w:val="22"/>
                <w:highlight w:val="none"/>
              </w:rPr>
              <w:t>意见</w:t>
            </w:r>
          </w:p>
        </w:tc>
        <w:tc>
          <w:tcPr>
            <w:tcW w:w="3238" w:type="dxa"/>
            <w:gridSpan w:val="4"/>
            <w:noWrap w:val="0"/>
            <w:vAlign w:val="top"/>
          </w:tcPr>
          <w:p>
            <w:pPr>
              <w:pStyle w:val="345"/>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9826" w:type="dxa"/>
            <w:gridSpan w:val="9"/>
            <w:noWrap w:val="0"/>
            <w:vAlign w:val="top"/>
          </w:tcPr>
          <w:p>
            <w:pPr>
              <w:spacing w:before="206" w:line="219" w:lineRule="auto"/>
              <w:ind w:left="155"/>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1</w:t>
            </w:r>
            <w:r>
              <w:rPr>
                <w:rFonts w:ascii="宋体" w:hAnsi="宋体" w:eastAsia="宋体" w:cs="宋体"/>
                <w:color w:val="auto"/>
                <w:spacing w:val="44"/>
                <w:sz w:val="22"/>
                <w:szCs w:val="22"/>
                <w:highlight w:val="none"/>
              </w:rPr>
              <w:t xml:space="preserve"> </w:t>
            </w:r>
            <w:r>
              <w:rPr>
                <w:rFonts w:ascii="宋体" w:hAnsi="宋体" w:eastAsia="宋体" w:cs="宋体"/>
                <w:color w:val="auto"/>
                <w:spacing w:val="2"/>
                <w:sz w:val="22"/>
                <w:szCs w:val="22"/>
                <w:highlight w:val="none"/>
              </w:rPr>
              <w:t>、考核类别有单项考核、季度考核；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9826" w:type="dxa"/>
            <w:gridSpan w:val="9"/>
            <w:noWrap w:val="0"/>
            <w:vAlign w:val="top"/>
          </w:tcPr>
          <w:p>
            <w:pPr>
              <w:spacing w:before="197" w:line="219" w:lineRule="auto"/>
              <w:ind w:left="155"/>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2</w:t>
            </w:r>
            <w:r>
              <w:rPr>
                <w:rFonts w:ascii="宋体" w:hAnsi="宋体" w:eastAsia="宋体" w:cs="宋体"/>
                <w:color w:val="auto"/>
                <w:spacing w:val="43"/>
                <w:sz w:val="22"/>
                <w:szCs w:val="22"/>
                <w:highlight w:val="none"/>
              </w:rPr>
              <w:t xml:space="preserve"> </w:t>
            </w:r>
            <w:r>
              <w:rPr>
                <w:rFonts w:ascii="宋体" w:hAnsi="宋体" w:eastAsia="宋体" w:cs="宋体"/>
                <w:color w:val="auto"/>
                <w:spacing w:val="-2"/>
                <w:sz w:val="22"/>
                <w:szCs w:val="22"/>
                <w:highlight w:val="none"/>
              </w:rPr>
              <w:t>、本表由实施部室签字后</w:t>
            </w:r>
            <w:r>
              <w:rPr>
                <w:rFonts w:hint="eastAsia" w:ascii="宋体" w:hAnsi="宋体" w:eastAsia="宋体" w:cs="宋体"/>
                <w:color w:val="auto"/>
                <w:spacing w:val="-2"/>
                <w:sz w:val="22"/>
                <w:szCs w:val="22"/>
                <w:highlight w:val="none"/>
                <w:lang w:eastAsia="zh-CN"/>
              </w:rPr>
              <w:t>提交</w:t>
            </w:r>
            <w:r>
              <w:rPr>
                <w:rFonts w:ascii="宋体" w:hAnsi="宋体" w:eastAsia="宋体" w:cs="宋体"/>
                <w:color w:val="auto"/>
                <w:spacing w:val="-2"/>
                <w:sz w:val="22"/>
                <w:szCs w:val="22"/>
                <w:highlight w:val="none"/>
              </w:rPr>
              <w:t>公司</w:t>
            </w:r>
            <w:r>
              <w:rPr>
                <w:rFonts w:hint="eastAsia" w:ascii="宋体" w:hAnsi="宋体" w:eastAsia="宋体" w:cs="宋体"/>
                <w:color w:val="auto"/>
                <w:spacing w:val="-2"/>
                <w:sz w:val="22"/>
                <w:szCs w:val="22"/>
                <w:highlight w:val="none"/>
                <w:lang w:val="en-US" w:eastAsia="zh-CN"/>
              </w:rPr>
              <w:t>相关部室</w:t>
            </w:r>
            <w:r>
              <w:rPr>
                <w:rFonts w:ascii="宋体" w:hAnsi="宋体" w:eastAsia="宋体" w:cs="宋体"/>
                <w:color w:val="auto"/>
                <w:spacing w:val="-2"/>
                <w:sz w:val="22"/>
                <w:szCs w:val="22"/>
                <w:highlight w:val="none"/>
              </w:rPr>
              <w:t>备案。</w:t>
            </w:r>
          </w:p>
        </w:tc>
      </w:tr>
    </w:tbl>
    <w:p>
      <w:pPr>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16" w:name="_Toc184312100"/>
      <w:bookmarkEnd w:id="16"/>
      <w:bookmarkStart w:id="17" w:name="_Toc184308039"/>
      <w:bookmarkEnd w:id="17"/>
      <w:bookmarkStart w:id="18" w:name="_Toc184314477"/>
      <w:bookmarkEnd w:id="18"/>
      <w:bookmarkStart w:id="19" w:name="_Toc184314415"/>
      <w:bookmarkEnd w:id="19"/>
      <w:bookmarkStart w:id="20" w:name="_Toc184310277"/>
      <w:bookmarkEnd w:id="20"/>
      <w:bookmarkStart w:id="21" w:name="_Toc184308080"/>
      <w:bookmarkEnd w:id="21"/>
      <w:bookmarkStart w:id="22" w:name="_Toc184308094"/>
      <w:bookmarkEnd w:id="22"/>
      <w:bookmarkStart w:id="23" w:name="_Toc184310296"/>
      <w:bookmarkEnd w:id="23"/>
      <w:bookmarkStart w:id="24" w:name="_Toc184308044"/>
      <w:bookmarkEnd w:id="24"/>
      <w:bookmarkStart w:id="25" w:name="_Toc184312115"/>
      <w:bookmarkEnd w:id="25"/>
      <w:bookmarkStart w:id="26" w:name="_Toc184314445"/>
      <w:bookmarkEnd w:id="26"/>
      <w:bookmarkStart w:id="27" w:name="_Toc184313263"/>
      <w:bookmarkEnd w:id="27"/>
      <w:bookmarkStart w:id="28" w:name="_Toc184308043"/>
      <w:bookmarkEnd w:id="28"/>
      <w:bookmarkStart w:id="29" w:name="_Toc184313252"/>
      <w:bookmarkEnd w:id="29"/>
      <w:bookmarkStart w:id="30" w:name="_Toc184313268"/>
      <w:bookmarkEnd w:id="30"/>
      <w:bookmarkStart w:id="31" w:name="_Toc184312124"/>
      <w:bookmarkEnd w:id="31"/>
      <w:bookmarkStart w:id="32" w:name="_Toc184310299"/>
      <w:bookmarkEnd w:id="32"/>
      <w:bookmarkStart w:id="33" w:name="_Toc184312073"/>
      <w:bookmarkEnd w:id="33"/>
      <w:bookmarkStart w:id="34" w:name="_Toc184312125"/>
      <w:bookmarkEnd w:id="34"/>
      <w:bookmarkStart w:id="35" w:name="_Toc184310300"/>
      <w:bookmarkEnd w:id="35"/>
      <w:bookmarkStart w:id="36" w:name="_Toc184312080"/>
      <w:bookmarkEnd w:id="36"/>
      <w:bookmarkStart w:id="37" w:name="_Toc184313278"/>
      <w:bookmarkEnd w:id="37"/>
      <w:bookmarkStart w:id="38" w:name="_Toc184314414"/>
      <w:bookmarkEnd w:id="38"/>
      <w:bookmarkStart w:id="39" w:name="_Toc184314474"/>
      <w:bookmarkEnd w:id="39"/>
      <w:bookmarkStart w:id="40" w:name="_Toc184312095"/>
      <w:bookmarkEnd w:id="40"/>
      <w:bookmarkStart w:id="41" w:name="_Toc184310297"/>
      <w:bookmarkEnd w:id="41"/>
      <w:bookmarkStart w:id="42" w:name="_Toc184312119"/>
      <w:bookmarkEnd w:id="42"/>
      <w:bookmarkStart w:id="43" w:name="_Toc184312134"/>
      <w:bookmarkEnd w:id="43"/>
      <w:bookmarkStart w:id="44" w:name="_Toc184314427"/>
      <w:bookmarkEnd w:id="44"/>
      <w:bookmarkStart w:id="45" w:name="_Toc184308073"/>
      <w:bookmarkEnd w:id="45"/>
      <w:bookmarkStart w:id="46" w:name="_Toc184310340"/>
      <w:bookmarkEnd w:id="46"/>
      <w:bookmarkStart w:id="47" w:name="_Toc184308061"/>
      <w:bookmarkEnd w:id="47"/>
      <w:bookmarkStart w:id="48" w:name="_Toc184308084"/>
      <w:bookmarkEnd w:id="48"/>
      <w:bookmarkStart w:id="49" w:name="_Toc184313301"/>
      <w:bookmarkEnd w:id="49"/>
      <w:bookmarkStart w:id="50" w:name="_Toc184314413"/>
      <w:bookmarkEnd w:id="50"/>
      <w:bookmarkStart w:id="51" w:name="_Toc184314471"/>
      <w:bookmarkEnd w:id="51"/>
      <w:bookmarkStart w:id="52" w:name="_Toc184312091"/>
      <w:bookmarkEnd w:id="52"/>
      <w:bookmarkStart w:id="53" w:name="_Toc184314463"/>
      <w:bookmarkEnd w:id="53"/>
      <w:bookmarkStart w:id="54" w:name="_Toc184312129"/>
      <w:bookmarkEnd w:id="54"/>
      <w:bookmarkStart w:id="55" w:name="_Toc184308088"/>
      <w:bookmarkEnd w:id="55"/>
      <w:bookmarkStart w:id="56" w:name="_Toc184312079"/>
      <w:bookmarkEnd w:id="56"/>
      <w:bookmarkStart w:id="57" w:name="_Toc184314410"/>
      <w:bookmarkEnd w:id="57"/>
      <w:bookmarkStart w:id="58" w:name="_Toc184312126"/>
      <w:bookmarkEnd w:id="58"/>
      <w:bookmarkStart w:id="59" w:name="_Toc184310275"/>
      <w:bookmarkEnd w:id="59"/>
      <w:bookmarkStart w:id="60" w:name="_Toc184308071"/>
      <w:bookmarkEnd w:id="60"/>
      <w:bookmarkStart w:id="61" w:name="_Toc184310343"/>
      <w:bookmarkEnd w:id="61"/>
      <w:bookmarkStart w:id="62" w:name="_Toc184310313"/>
      <w:bookmarkEnd w:id="62"/>
      <w:bookmarkStart w:id="63" w:name="_Toc184310279"/>
      <w:bookmarkEnd w:id="63"/>
      <w:bookmarkStart w:id="64" w:name="_Toc184313308"/>
      <w:bookmarkEnd w:id="64"/>
      <w:bookmarkStart w:id="65" w:name="_Toc184310290"/>
      <w:bookmarkEnd w:id="65"/>
      <w:bookmarkStart w:id="66" w:name="_Toc184314437"/>
      <w:bookmarkEnd w:id="66"/>
      <w:bookmarkStart w:id="67" w:name="_Toc184313269"/>
      <w:bookmarkEnd w:id="67"/>
      <w:bookmarkStart w:id="68" w:name="_Toc184308081"/>
      <w:bookmarkEnd w:id="68"/>
      <w:bookmarkStart w:id="69" w:name="_Toc184313307"/>
      <w:bookmarkEnd w:id="69"/>
      <w:bookmarkStart w:id="70" w:name="_Toc184310315"/>
      <w:bookmarkEnd w:id="70"/>
      <w:bookmarkStart w:id="71" w:name="_Toc184312071"/>
      <w:bookmarkEnd w:id="71"/>
      <w:bookmarkStart w:id="72" w:name="_Toc184313293"/>
      <w:bookmarkEnd w:id="72"/>
      <w:bookmarkStart w:id="73" w:name="_Toc184314460"/>
      <w:bookmarkEnd w:id="73"/>
      <w:bookmarkStart w:id="74" w:name="_Toc184312112"/>
      <w:bookmarkEnd w:id="74"/>
      <w:bookmarkStart w:id="75" w:name="_Toc184308063"/>
      <w:bookmarkEnd w:id="75"/>
      <w:bookmarkStart w:id="76" w:name="_Toc184310325"/>
      <w:bookmarkEnd w:id="76"/>
      <w:bookmarkStart w:id="77" w:name="_Toc184310333"/>
      <w:bookmarkEnd w:id="77"/>
      <w:bookmarkStart w:id="78" w:name="_Toc184310342"/>
      <w:bookmarkEnd w:id="78"/>
      <w:bookmarkStart w:id="79" w:name="_Toc184308054"/>
      <w:bookmarkEnd w:id="79"/>
      <w:bookmarkStart w:id="80" w:name="_Toc184310309"/>
      <w:bookmarkEnd w:id="80"/>
      <w:bookmarkStart w:id="81" w:name="_Toc184313290"/>
      <w:bookmarkEnd w:id="81"/>
      <w:bookmarkStart w:id="82" w:name="_Toc184312082"/>
      <w:bookmarkEnd w:id="82"/>
      <w:bookmarkStart w:id="83" w:name="_Toc184313306"/>
      <w:bookmarkEnd w:id="83"/>
      <w:bookmarkStart w:id="84" w:name="_Toc184313241"/>
      <w:bookmarkEnd w:id="84"/>
      <w:bookmarkStart w:id="85" w:name="_Toc184308056"/>
      <w:bookmarkEnd w:id="85"/>
      <w:bookmarkStart w:id="86" w:name="_Toc184308055"/>
      <w:bookmarkEnd w:id="86"/>
      <w:bookmarkStart w:id="87" w:name="_Toc184312111"/>
      <w:bookmarkEnd w:id="87"/>
      <w:bookmarkStart w:id="88" w:name="_Toc184310305"/>
      <w:bookmarkEnd w:id="88"/>
      <w:bookmarkStart w:id="89" w:name="_Toc184313284"/>
      <w:bookmarkEnd w:id="89"/>
      <w:bookmarkStart w:id="90" w:name="_Toc184313256"/>
      <w:bookmarkEnd w:id="90"/>
      <w:bookmarkStart w:id="91" w:name="_Toc184314431"/>
      <w:bookmarkEnd w:id="91"/>
      <w:bookmarkStart w:id="92" w:name="_Toc184313297"/>
      <w:bookmarkEnd w:id="92"/>
      <w:bookmarkStart w:id="93" w:name="_Toc184312137"/>
      <w:bookmarkEnd w:id="93"/>
      <w:bookmarkStart w:id="94" w:name="_Toc184310302"/>
      <w:bookmarkEnd w:id="94"/>
      <w:bookmarkStart w:id="95" w:name="_Toc184312138"/>
      <w:bookmarkEnd w:id="95"/>
      <w:bookmarkStart w:id="96" w:name="_Toc184308098"/>
      <w:bookmarkEnd w:id="96"/>
      <w:bookmarkStart w:id="97" w:name="_Toc184313245"/>
      <w:bookmarkEnd w:id="97"/>
      <w:bookmarkStart w:id="98" w:name="_Toc184310336"/>
      <w:bookmarkEnd w:id="98"/>
      <w:bookmarkStart w:id="99" w:name="_Toc184314419"/>
      <w:bookmarkEnd w:id="99"/>
      <w:bookmarkStart w:id="100" w:name="_Toc184308072"/>
      <w:bookmarkEnd w:id="100"/>
      <w:bookmarkStart w:id="101" w:name="_Toc184308069"/>
      <w:bookmarkEnd w:id="101"/>
      <w:bookmarkStart w:id="102" w:name="_Toc184312136"/>
      <w:bookmarkEnd w:id="102"/>
      <w:bookmarkStart w:id="103" w:name="_Toc184312081"/>
      <w:bookmarkEnd w:id="103"/>
      <w:bookmarkStart w:id="104" w:name="_Toc184314456"/>
      <w:bookmarkEnd w:id="104"/>
      <w:bookmarkStart w:id="105" w:name="_Toc184313260"/>
      <w:bookmarkEnd w:id="105"/>
      <w:bookmarkStart w:id="106" w:name="_Toc184310318"/>
      <w:bookmarkEnd w:id="106"/>
      <w:bookmarkStart w:id="107" w:name="_Toc184312120"/>
      <w:bookmarkEnd w:id="107"/>
      <w:bookmarkStart w:id="108" w:name="_Toc184308093"/>
      <w:bookmarkEnd w:id="108"/>
      <w:bookmarkStart w:id="109" w:name="_Toc184308060"/>
      <w:bookmarkEnd w:id="109"/>
      <w:bookmarkStart w:id="110" w:name="_Toc184312110"/>
      <w:bookmarkEnd w:id="110"/>
      <w:bookmarkStart w:id="111" w:name="_Toc184313254"/>
      <w:bookmarkEnd w:id="111"/>
      <w:bookmarkStart w:id="112" w:name="_Toc184308085"/>
      <w:bookmarkEnd w:id="112"/>
      <w:bookmarkStart w:id="113" w:name="_Toc184310287"/>
      <w:bookmarkEnd w:id="113"/>
      <w:bookmarkStart w:id="114" w:name="_Toc184313279"/>
      <w:bookmarkEnd w:id="114"/>
      <w:bookmarkStart w:id="115" w:name="_Toc184314462"/>
      <w:bookmarkEnd w:id="115"/>
      <w:bookmarkStart w:id="116" w:name="_Toc184312098"/>
      <w:bookmarkEnd w:id="116"/>
      <w:bookmarkStart w:id="117" w:name="_Toc184312114"/>
      <w:bookmarkEnd w:id="117"/>
      <w:bookmarkStart w:id="118" w:name="_Toc184312103"/>
      <w:bookmarkEnd w:id="118"/>
      <w:bookmarkStart w:id="119" w:name="_Toc184314420"/>
      <w:bookmarkEnd w:id="119"/>
      <w:bookmarkStart w:id="120" w:name="_Toc184314429"/>
      <w:bookmarkEnd w:id="120"/>
      <w:bookmarkStart w:id="121" w:name="_Toc184314432"/>
      <w:bookmarkEnd w:id="121"/>
      <w:bookmarkStart w:id="122" w:name="_Toc184314465"/>
      <w:bookmarkEnd w:id="122"/>
      <w:bookmarkStart w:id="123" w:name="_Toc184308051"/>
      <w:bookmarkEnd w:id="123"/>
      <w:bookmarkStart w:id="124" w:name="_Toc184312087"/>
      <w:bookmarkEnd w:id="124"/>
      <w:bookmarkStart w:id="125" w:name="_Toc184313273"/>
      <w:bookmarkEnd w:id="125"/>
      <w:bookmarkStart w:id="126" w:name="_Toc184312099"/>
      <w:bookmarkEnd w:id="126"/>
      <w:bookmarkStart w:id="127" w:name="_Toc184312116"/>
      <w:bookmarkEnd w:id="127"/>
      <w:bookmarkStart w:id="128" w:name="_Toc184314482"/>
      <w:bookmarkEnd w:id="128"/>
      <w:bookmarkStart w:id="129" w:name="_Toc184310308"/>
      <w:bookmarkEnd w:id="129"/>
      <w:bookmarkStart w:id="130" w:name="_Toc184310320"/>
      <w:bookmarkEnd w:id="130"/>
      <w:bookmarkStart w:id="131" w:name="_Toc184313275"/>
      <w:bookmarkEnd w:id="131"/>
      <w:bookmarkStart w:id="132" w:name="_Toc184312128"/>
      <w:bookmarkEnd w:id="132"/>
      <w:bookmarkStart w:id="133" w:name="_Toc184313272"/>
      <w:bookmarkEnd w:id="133"/>
      <w:bookmarkStart w:id="134" w:name="_Toc184310273"/>
      <w:bookmarkEnd w:id="134"/>
      <w:bookmarkStart w:id="135" w:name="_Toc184312113"/>
      <w:bookmarkEnd w:id="135"/>
      <w:bookmarkStart w:id="136" w:name="_Toc184312130"/>
      <w:bookmarkEnd w:id="136"/>
      <w:bookmarkStart w:id="137" w:name="_Toc184310285"/>
      <w:bookmarkEnd w:id="137"/>
      <w:bookmarkStart w:id="138" w:name="_Toc184313238"/>
      <w:bookmarkEnd w:id="138"/>
      <w:bookmarkStart w:id="139" w:name="_Toc184308052"/>
      <w:bookmarkEnd w:id="139"/>
      <w:bookmarkStart w:id="140" w:name="_Toc184314480"/>
      <w:bookmarkEnd w:id="140"/>
      <w:bookmarkStart w:id="141" w:name="_Toc184308070"/>
      <w:bookmarkEnd w:id="141"/>
      <w:bookmarkStart w:id="142" w:name="_Toc184314425"/>
      <w:bookmarkEnd w:id="142"/>
      <w:bookmarkStart w:id="143" w:name="_Toc184310327"/>
      <w:bookmarkEnd w:id="143"/>
      <w:bookmarkStart w:id="144" w:name="_Toc184313289"/>
      <w:bookmarkEnd w:id="144"/>
      <w:bookmarkStart w:id="145" w:name="_Toc184312085"/>
      <w:bookmarkEnd w:id="145"/>
      <w:bookmarkStart w:id="146" w:name="_Toc184312067"/>
      <w:bookmarkEnd w:id="146"/>
      <w:bookmarkStart w:id="147" w:name="_Toc184313240"/>
      <w:bookmarkEnd w:id="147"/>
      <w:bookmarkStart w:id="148" w:name="_Toc184308038"/>
      <w:bookmarkEnd w:id="148"/>
      <w:bookmarkStart w:id="149" w:name="_Toc184313292"/>
      <w:bookmarkEnd w:id="149"/>
      <w:bookmarkStart w:id="150" w:name="_Toc184310344"/>
      <w:bookmarkEnd w:id="150"/>
      <w:bookmarkStart w:id="151" w:name="_Toc184310334"/>
      <w:bookmarkEnd w:id="151"/>
      <w:bookmarkStart w:id="152" w:name="_Toc184314449"/>
      <w:bookmarkEnd w:id="152"/>
      <w:bookmarkStart w:id="153" w:name="_Toc184308037"/>
      <w:bookmarkEnd w:id="153"/>
      <w:bookmarkStart w:id="154" w:name="_Toc184313291"/>
      <w:bookmarkEnd w:id="154"/>
      <w:bookmarkStart w:id="155" w:name="_Toc184314424"/>
      <w:bookmarkEnd w:id="155"/>
      <w:bookmarkStart w:id="156" w:name="_Toc184313283"/>
      <w:bookmarkEnd w:id="156"/>
      <w:bookmarkStart w:id="157" w:name="_Toc184312086"/>
      <w:bookmarkEnd w:id="157"/>
      <w:bookmarkStart w:id="158" w:name="_Toc184308082"/>
      <w:bookmarkEnd w:id="158"/>
      <w:bookmarkStart w:id="159" w:name="_Toc184313259"/>
      <w:bookmarkEnd w:id="159"/>
      <w:bookmarkStart w:id="160" w:name="_Toc184310321"/>
      <w:bookmarkEnd w:id="160"/>
      <w:bookmarkStart w:id="161" w:name="_Toc184313288"/>
      <w:bookmarkEnd w:id="161"/>
      <w:bookmarkStart w:id="162" w:name="_Toc184312070"/>
      <w:bookmarkEnd w:id="162"/>
      <w:bookmarkStart w:id="163" w:name="_Toc184308057"/>
      <w:bookmarkEnd w:id="163"/>
      <w:bookmarkStart w:id="164" w:name="_Toc184314467"/>
      <w:bookmarkEnd w:id="164"/>
      <w:bookmarkStart w:id="165" w:name="_Toc184314439"/>
      <w:bookmarkEnd w:id="165"/>
      <w:bookmarkStart w:id="166" w:name="_Toc184313310"/>
      <w:bookmarkEnd w:id="166"/>
      <w:bookmarkStart w:id="167" w:name="_Toc184314454"/>
      <w:bookmarkEnd w:id="167"/>
      <w:bookmarkStart w:id="168" w:name="_Toc184308062"/>
      <w:bookmarkEnd w:id="168"/>
      <w:bookmarkStart w:id="169" w:name="_Toc184310339"/>
      <w:bookmarkEnd w:id="169"/>
      <w:bookmarkStart w:id="170" w:name="_Toc184312068"/>
      <w:bookmarkEnd w:id="170"/>
      <w:bookmarkStart w:id="171" w:name="_Toc184310281"/>
      <w:bookmarkEnd w:id="171"/>
      <w:bookmarkStart w:id="172" w:name="_Toc184313296"/>
      <w:bookmarkEnd w:id="172"/>
      <w:bookmarkStart w:id="173" w:name="_Toc184313303"/>
      <w:bookmarkEnd w:id="173"/>
      <w:bookmarkStart w:id="174" w:name="_Toc184313280"/>
      <w:bookmarkEnd w:id="174"/>
      <w:bookmarkStart w:id="175" w:name="_Toc184314418"/>
      <w:bookmarkEnd w:id="175"/>
      <w:bookmarkStart w:id="176" w:name="_Toc184313239"/>
      <w:bookmarkEnd w:id="176"/>
      <w:bookmarkStart w:id="177" w:name="_Toc184314434"/>
      <w:bookmarkEnd w:id="177"/>
      <w:bookmarkStart w:id="178" w:name="_Toc184313299"/>
      <w:bookmarkEnd w:id="178"/>
      <w:bookmarkStart w:id="179" w:name="_Toc184308089"/>
      <w:bookmarkEnd w:id="179"/>
      <w:bookmarkStart w:id="180" w:name="_Toc184308046"/>
      <w:bookmarkEnd w:id="180"/>
      <w:bookmarkStart w:id="181" w:name="_Toc184314459"/>
      <w:bookmarkEnd w:id="181"/>
      <w:bookmarkStart w:id="182" w:name="_Toc184312092"/>
      <w:bookmarkEnd w:id="182"/>
      <w:bookmarkStart w:id="183" w:name="_Toc184308075"/>
      <w:bookmarkEnd w:id="183"/>
      <w:bookmarkStart w:id="184" w:name="_Toc184310293"/>
      <w:bookmarkEnd w:id="184"/>
      <w:bookmarkStart w:id="185" w:name="_Toc184312076"/>
      <w:bookmarkEnd w:id="185"/>
      <w:bookmarkStart w:id="186" w:name="_Toc184308077"/>
      <w:bookmarkEnd w:id="186"/>
      <w:bookmarkStart w:id="187" w:name="_Toc184308048"/>
      <w:bookmarkEnd w:id="187"/>
      <w:bookmarkStart w:id="188" w:name="_Toc184314470"/>
      <w:bookmarkEnd w:id="188"/>
      <w:bookmarkStart w:id="189" w:name="_Toc184314481"/>
      <w:bookmarkEnd w:id="189"/>
      <w:bookmarkStart w:id="190" w:name="_Toc184313243"/>
      <w:bookmarkEnd w:id="190"/>
      <w:bookmarkStart w:id="191" w:name="_Toc184312093"/>
      <w:bookmarkEnd w:id="191"/>
      <w:bookmarkStart w:id="192" w:name="_Toc184312078"/>
      <w:bookmarkEnd w:id="192"/>
      <w:bookmarkStart w:id="193" w:name="_Toc184313271"/>
      <w:bookmarkEnd w:id="193"/>
      <w:bookmarkStart w:id="194" w:name="_Toc184310328"/>
      <w:bookmarkEnd w:id="194"/>
      <w:bookmarkStart w:id="195" w:name="_Toc184310337"/>
      <w:bookmarkEnd w:id="195"/>
      <w:bookmarkStart w:id="196" w:name="_Toc184314426"/>
      <w:bookmarkEnd w:id="196"/>
      <w:bookmarkStart w:id="197" w:name="_Toc184308090"/>
      <w:bookmarkEnd w:id="197"/>
      <w:bookmarkStart w:id="198" w:name="_Toc184310319"/>
      <w:bookmarkEnd w:id="198"/>
      <w:bookmarkStart w:id="199" w:name="_Toc184308107"/>
      <w:bookmarkEnd w:id="199"/>
      <w:bookmarkStart w:id="200" w:name="_Toc184314466"/>
      <w:bookmarkEnd w:id="200"/>
      <w:bookmarkStart w:id="201" w:name="_Toc184308105"/>
      <w:bookmarkEnd w:id="201"/>
      <w:bookmarkStart w:id="202" w:name="_Toc184308076"/>
      <w:bookmarkEnd w:id="202"/>
      <w:bookmarkStart w:id="203" w:name="_Toc184308097"/>
      <w:bookmarkEnd w:id="203"/>
      <w:bookmarkStart w:id="204" w:name="_Toc184314421"/>
      <w:bookmarkEnd w:id="204"/>
      <w:bookmarkStart w:id="205" w:name="_Toc184308092"/>
      <w:bookmarkEnd w:id="205"/>
      <w:bookmarkStart w:id="206" w:name="_Toc184313257"/>
      <w:bookmarkEnd w:id="206"/>
      <w:bookmarkStart w:id="207" w:name="_Toc184312135"/>
      <w:bookmarkEnd w:id="207"/>
      <w:bookmarkStart w:id="208" w:name="_Toc184314455"/>
      <w:bookmarkEnd w:id="208"/>
      <w:bookmarkStart w:id="209" w:name="_Toc184310294"/>
      <w:bookmarkEnd w:id="209"/>
      <w:bookmarkStart w:id="210" w:name="_Toc184313244"/>
      <w:bookmarkEnd w:id="210"/>
      <w:bookmarkStart w:id="211" w:name="_Toc184313261"/>
      <w:bookmarkEnd w:id="211"/>
      <w:bookmarkStart w:id="212" w:name="_Toc184314417"/>
      <w:bookmarkEnd w:id="212"/>
      <w:bookmarkStart w:id="213" w:name="_Toc184312096"/>
      <w:bookmarkEnd w:id="213"/>
      <w:bookmarkStart w:id="214" w:name="_Toc184314461"/>
      <w:bookmarkEnd w:id="214"/>
      <w:bookmarkStart w:id="215" w:name="_Toc184313274"/>
      <w:bookmarkEnd w:id="215"/>
      <w:bookmarkStart w:id="216" w:name="_Toc184314453"/>
      <w:bookmarkEnd w:id="216"/>
      <w:bookmarkStart w:id="217" w:name="_Toc184312106"/>
      <w:bookmarkEnd w:id="217"/>
      <w:bookmarkStart w:id="218" w:name="_Toc184308079"/>
      <w:bookmarkEnd w:id="218"/>
      <w:bookmarkStart w:id="219" w:name="_Toc184310288"/>
      <w:bookmarkEnd w:id="219"/>
      <w:bookmarkStart w:id="220" w:name="_Toc184314412"/>
      <w:bookmarkEnd w:id="220"/>
      <w:bookmarkStart w:id="221" w:name="_Toc184308065"/>
      <w:bookmarkEnd w:id="221"/>
      <w:bookmarkStart w:id="222" w:name="_Toc184310274"/>
      <w:bookmarkEnd w:id="222"/>
      <w:bookmarkStart w:id="223" w:name="_Toc184314444"/>
      <w:bookmarkEnd w:id="223"/>
      <w:bookmarkStart w:id="224" w:name="_Toc184310312"/>
      <w:bookmarkEnd w:id="224"/>
      <w:bookmarkStart w:id="225" w:name="_Toc184313250"/>
      <w:bookmarkEnd w:id="225"/>
      <w:bookmarkStart w:id="226" w:name="_Toc184312074"/>
      <w:bookmarkEnd w:id="226"/>
      <w:bookmarkStart w:id="227" w:name="_Toc184313300"/>
      <w:bookmarkEnd w:id="227"/>
      <w:bookmarkStart w:id="228" w:name="_Toc184314469"/>
      <w:bookmarkEnd w:id="228"/>
      <w:bookmarkStart w:id="229" w:name="_Toc184310324"/>
      <w:bookmarkEnd w:id="229"/>
      <w:bookmarkStart w:id="230" w:name="_Toc184310341"/>
      <w:bookmarkEnd w:id="230"/>
      <w:bookmarkStart w:id="231" w:name="_Toc184310330"/>
      <w:bookmarkEnd w:id="231"/>
      <w:bookmarkStart w:id="232" w:name="_Toc184308087"/>
      <w:bookmarkEnd w:id="232"/>
      <w:bookmarkStart w:id="233" w:name="_Toc184308095"/>
      <w:bookmarkEnd w:id="233"/>
      <w:bookmarkStart w:id="234" w:name="_Toc184308103"/>
      <w:bookmarkEnd w:id="234"/>
      <w:bookmarkStart w:id="235" w:name="_Toc184312107"/>
      <w:bookmarkEnd w:id="235"/>
      <w:bookmarkStart w:id="236" w:name="_Toc184310332"/>
      <w:bookmarkEnd w:id="236"/>
      <w:bookmarkStart w:id="237" w:name="_Toc184314430"/>
      <w:bookmarkEnd w:id="237"/>
      <w:bookmarkStart w:id="238" w:name="_Toc184310295"/>
      <w:bookmarkEnd w:id="238"/>
      <w:bookmarkStart w:id="239" w:name="_Toc184312089"/>
      <w:bookmarkEnd w:id="239"/>
      <w:bookmarkStart w:id="240" w:name="_Toc184308049"/>
      <w:bookmarkEnd w:id="240"/>
      <w:bookmarkStart w:id="241" w:name="_Toc184310280"/>
      <w:bookmarkEnd w:id="241"/>
      <w:bookmarkStart w:id="242" w:name="_Toc184308106"/>
      <w:bookmarkEnd w:id="242"/>
      <w:bookmarkStart w:id="243" w:name="_Toc184308078"/>
      <w:bookmarkEnd w:id="243"/>
      <w:bookmarkStart w:id="244" w:name="_Toc184310310"/>
      <w:bookmarkEnd w:id="244"/>
      <w:bookmarkStart w:id="245" w:name="_Toc184308100"/>
      <w:bookmarkEnd w:id="245"/>
      <w:bookmarkStart w:id="246" w:name="_Toc184313265"/>
      <w:bookmarkEnd w:id="246"/>
      <w:bookmarkStart w:id="247" w:name="_Toc184314476"/>
      <w:bookmarkEnd w:id="247"/>
      <w:bookmarkStart w:id="248" w:name="_Toc184313270"/>
      <w:bookmarkEnd w:id="248"/>
      <w:bookmarkStart w:id="249" w:name="_Toc184314438"/>
      <w:bookmarkEnd w:id="249"/>
      <w:bookmarkStart w:id="250" w:name="_Toc184314475"/>
      <w:bookmarkEnd w:id="250"/>
      <w:bookmarkStart w:id="251" w:name="_Toc184310292"/>
      <w:bookmarkEnd w:id="251"/>
      <w:bookmarkStart w:id="252" w:name="_Toc184314416"/>
      <w:bookmarkEnd w:id="252"/>
      <w:bookmarkStart w:id="253" w:name="_Toc184313246"/>
      <w:bookmarkEnd w:id="253"/>
      <w:bookmarkStart w:id="254" w:name="_Toc184314464"/>
      <w:bookmarkEnd w:id="254"/>
      <w:bookmarkStart w:id="255" w:name="_Toc184310331"/>
      <w:bookmarkEnd w:id="255"/>
      <w:bookmarkStart w:id="256" w:name="_Toc184313247"/>
      <w:bookmarkEnd w:id="256"/>
      <w:bookmarkStart w:id="257" w:name="_Toc184308040"/>
      <w:bookmarkEnd w:id="257"/>
      <w:bookmarkStart w:id="258" w:name="_Toc184314443"/>
      <w:bookmarkEnd w:id="258"/>
      <w:bookmarkStart w:id="259" w:name="_Toc184313255"/>
      <w:bookmarkEnd w:id="259"/>
      <w:bookmarkStart w:id="260" w:name="_Toc184308101"/>
      <w:bookmarkEnd w:id="260"/>
      <w:bookmarkStart w:id="261" w:name="_Toc184308066"/>
      <w:bookmarkEnd w:id="261"/>
      <w:bookmarkStart w:id="262" w:name="_Toc184314428"/>
      <w:bookmarkEnd w:id="262"/>
      <w:bookmarkStart w:id="263" w:name="_Toc184310303"/>
      <w:bookmarkEnd w:id="263"/>
      <w:bookmarkStart w:id="264" w:name="_Toc184313287"/>
      <w:bookmarkEnd w:id="264"/>
      <w:bookmarkStart w:id="265" w:name="_Toc184312108"/>
      <w:bookmarkEnd w:id="265"/>
      <w:bookmarkStart w:id="266" w:name="_Toc184312090"/>
      <w:bookmarkEnd w:id="266"/>
      <w:bookmarkStart w:id="267" w:name="_Toc184310283"/>
      <w:bookmarkEnd w:id="267"/>
      <w:bookmarkStart w:id="268" w:name="_Toc184312121"/>
      <w:bookmarkEnd w:id="268"/>
      <w:bookmarkStart w:id="269" w:name="_Toc184314451"/>
      <w:bookmarkEnd w:id="269"/>
      <w:bookmarkStart w:id="270" w:name="_Toc184313249"/>
      <w:bookmarkEnd w:id="270"/>
      <w:bookmarkStart w:id="271" w:name="_Toc184310307"/>
      <w:bookmarkEnd w:id="271"/>
      <w:bookmarkStart w:id="272" w:name="_Toc184312075"/>
      <w:bookmarkEnd w:id="272"/>
      <w:bookmarkStart w:id="273" w:name="_Toc184308036"/>
      <w:bookmarkEnd w:id="273"/>
      <w:bookmarkStart w:id="274" w:name="_Toc184310282"/>
      <w:bookmarkEnd w:id="274"/>
      <w:bookmarkStart w:id="275" w:name="_Toc184312083"/>
      <w:bookmarkEnd w:id="275"/>
      <w:bookmarkStart w:id="276" w:name="_Toc184310338"/>
      <w:bookmarkEnd w:id="276"/>
      <w:bookmarkStart w:id="277" w:name="_Toc184313305"/>
      <w:bookmarkEnd w:id="277"/>
      <w:bookmarkStart w:id="278" w:name="_Toc184314473"/>
      <w:bookmarkEnd w:id="278"/>
      <w:bookmarkStart w:id="279" w:name="_Toc184310322"/>
      <w:bookmarkEnd w:id="279"/>
      <w:bookmarkStart w:id="280" w:name="_Toc184308068"/>
      <w:bookmarkEnd w:id="280"/>
      <w:bookmarkStart w:id="281" w:name="_Toc184313276"/>
      <w:bookmarkEnd w:id="281"/>
      <w:bookmarkStart w:id="282" w:name="_Toc184310335"/>
      <w:bookmarkEnd w:id="282"/>
      <w:bookmarkStart w:id="283" w:name="_Toc184308091"/>
      <w:bookmarkEnd w:id="283"/>
      <w:bookmarkStart w:id="284" w:name="_Toc184310286"/>
      <w:bookmarkEnd w:id="284"/>
      <w:bookmarkStart w:id="285" w:name="_Toc184312131"/>
      <w:bookmarkEnd w:id="285"/>
      <w:bookmarkStart w:id="286" w:name="_Toc184312122"/>
      <w:bookmarkEnd w:id="286"/>
      <w:bookmarkStart w:id="287" w:name="_Toc184313262"/>
      <w:bookmarkEnd w:id="287"/>
      <w:bookmarkStart w:id="288" w:name="_Toc184313285"/>
      <w:bookmarkEnd w:id="288"/>
      <w:bookmarkStart w:id="289" w:name="_Toc184314440"/>
      <w:bookmarkEnd w:id="289"/>
      <w:bookmarkStart w:id="290" w:name="_Toc184308096"/>
      <w:bookmarkEnd w:id="290"/>
      <w:bookmarkStart w:id="291" w:name="_Toc184312105"/>
      <w:bookmarkEnd w:id="291"/>
      <w:bookmarkStart w:id="292" w:name="_Toc184310317"/>
      <w:bookmarkEnd w:id="292"/>
      <w:bookmarkStart w:id="293" w:name="_Toc184310316"/>
      <w:bookmarkEnd w:id="293"/>
      <w:bookmarkStart w:id="294" w:name="_Toc184314452"/>
      <w:bookmarkEnd w:id="294"/>
      <w:bookmarkStart w:id="295" w:name="_Toc184314446"/>
      <w:bookmarkEnd w:id="295"/>
      <w:bookmarkStart w:id="296" w:name="_Toc184310276"/>
      <w:bookmarkEnd w:id="296"/>
      <w:bookmarkStart w:id="297" w:name="_Toc184312084"/>
      <w:bookmarkEnd w:id="297"/>
      <w:bookmarkStart w:id="298" w:name="_Toc184313294"/>
      <w:bookmarkEnd w:id="298"/>
      <w:bookmarkStart w:id="299" w:name="_Toc184313258"/>
      <w:bookmarkEnd w:id="299"/>
      <w:bookmarkStart w:id="300" w:name="_Toc184310301"/>
      <w:bookmarkEnd w:id="300"/>
      <w:bookmarkStart w:id="301" w:name="_Toc184310272"/>
      <w:bookmarkEnd w:id="301"/>
      <w:bookmarkStart w:id="302" w:name="_Toc184313304"/>
      <w:bookmarkEnd w:id="302"/>
      <w:bookmarkStart w:id="303" w:name="_Toc184312102"/>
      <w:bookmarkEnd w:id="303"/>
      <w:bookmarkStart w:id="304" w:name="_Toc184312069"/>
      <w:bookmarkEnd w:id="304"/>
      <w:bookmarkStart w:id="305" w:name="_Toc184312088"/>
      <w:bookmarkEnd w:id="305"/>
      <w:bookmarkStart w:id="306" w:name="_Toc184314450"/>
      <w:bookmarkEnd w:id="306"/>
      <w:bookmarkStart w:id="307" w:name="_Toc184308058"/>
      <w:bookmarkEnd w:id="307"/>
      <w:bookmarkStart w:id="308" w:name="_Toc184312133"/>
      <w:bookmarkEnd w:id="308"/>
      <w:bookmarkStart w:id="309" w:name="_Toc184313298"/>
      <w:bookmarkEnd w:id="309"/>
      <w:bookmarkStart w:id="310" w:name="_Toc184312118"/>
      <w:bookmarkEnd w:id="310"/>
      <w:bookmarkStart w:id="311" w:name="_Toc184310323"/>
      <w:bookmarkEnd w:id="311"/>
      <w:bookmarkStart w:id="312" w:name="_Toc184312072"/>
      <w:bookmarkEnd w:id="312"/>
      <w:bookmarkStart w:id="313" w:name="_Toc184314423"/>
      <w:bookmarkEnd w:id="313"/>
      <w:bookmarkStart w:id="314" w:name="_Toc184312101"/>
      <w:bookmarkEnd w:id="314"/>
      <w:bookmarkStart w:id="315" w:name="_Toc184312117"/>
      <w:bookmarkEnd w:id="315"/>
      <w:bookmarkStart w:id="316" w:name="_Toc184308074"/>
      <w:bookmarkEnd w:id="316"/>
      <w:bookmarkStart w:id="317" w:name="_Toc184308059"/>
      <w:bookmarkEnd w:id="317"/>
      <w:bookmarkStart w:id="318" w:name="_Toc184312127"/>
      <w:bookmarkEnd w:id="318"/>
      <w:bookmarkStart w:id="319" w:name="_Toc184310304"/>
      <w:bookmarkEnd w:id="319"/>
      <w:bookmarkStart w:id="320" w:name="_Toc184308067"/>
      <w:bookmarkEnd w:id="320"/>
      <w:bookmarkStart w:id="321" w:name="_Toc184313281"/>
      <w:bookmarkEnd w:id="321"/>
      <w:bookmarkStart w:id="322" w:name="_Toc184312097"/>
      <w:bookmarkEnd w:id="322"/>
      <w:bookmarkStart w:id="323" w:name="_Toc184314448"/>
      <w:bookmarkEnd w:id="323"/>
      <w:bookmarkStart w:id="324" w:name="_Toc184312077"/>
      <w:bookmarkEnd w:id="324"/>
      <w:bookmarkStart w:id="325" w:name="_Toc184314441"/>
      <w:bookmarkEnd w:id="325"/>
      <w:bookmarkStart w:id="326" w:name="_Toc184308050"/>
      <w:bookmarkEnd w:id="326"/>
      <w:bookmarkStart w:id="327" w:name="_Toc184313266"/>
      <w:bookmarkEnd w:id="327"/>
      <w:bookmarkStart w:id="328" w:name="_Toc184312132"/>
      <w:bookmarkEnd w:id="328"/>
      <w:bookmarkStart w:id="329" w:name="_Toc184308108"/>
      <w:bookmarkEnd w:id="329"/>
      <w:bookmarkStart w:id="330" w:name="_Toc184310278"/>
      <w:bookmarkEnd w:id="330"/>
      <w:bookmarkStart w:id="331" w:name="_Toc184313309"/>
      <w:bookmarkEnd w:id="331"/>
      <w:bookmarkStart w:id="332" w:name="_Toc184308086"/>
      <w:bookmarkEnd w:id="332"/>
      <w:bookmarkStart w:id="333" w:name="_Toc184308083"/>
      <w:bookmarkEnd w:id="333"/>
      <w:bookmarkStart w:id="334" w:name="_Toc184314433"/>
      <w:bookmarkEnd w:id="334"/>
      <w:bookmarkStart w:id="335" w:name="_Toc184310291"/>
      <w:bookmarkEnd w:id="335"/>
      <w:bookmarkStart w:id="336" w:name="_Toc184308041"/>
      <w:bookmarkEnd w:id="336"/>
      <w:bookmarkStart w:id="337" w:name="_Toc184314422"/>
      <w:bookmarkEnd w:id="337"/>
      <w:bookmarkStart w:id="338" w:name="_Toc184313251"/>
      <w:bookmarkEnd w:id="338"/>
      <w:bookmarkStart w:id="339" w:name="_Toc184314457"/>
      <w:bookmarkEnd w:id="339"/>
      <w:bookmarkStart w:id="340" w:name="_Toc184313264"/>
      <w:bookmarkEnd w:id="340"/>
      <w:bookmarkStart w:id="341" w:name="_Toc184310289"/>
      <w:bookmarkEnd w:id="341"/>
      <w:bookmarkStart w:id="342" w:name="_Toc184314472"/>
      <w:bookmarkEnd w:id="342"/>
      <w:bookmarkStart w:id="343" w:name="_Toc184314435"/>
      <w:bookmarkEnd w:id="343"/>
      <w:bookmarkStart w:id="344" w:name="_Toc184310284"/>
      <w:bookmarkEnd w:id="344"/>
      <w:bookmarkStart w:id="345" w:name="_Toc184313302"/>
      <w:bookmarkEnd w:id="345"/>
      <w:bookmarkStart w:id="346" w:name="_Toc184313267"/>
      <w:bookmarkEnd w:id="346"/>
      <w:bookmarkStart w:id="347" w:name="_Toc184313286"/>
      <w:bookmarkEnd w:id="347"/>
      <w:bookmarkStart w:id="348" w:name="_Toc184310326"/>
      <w:bookmarkEnd w:id="348"/>
      <w:bookmarkStart w:id="349" w:name="_Toc184310306"/>
      <w:bookmarkEnd w:id="349"/>
      <w:bookmarkStart w:id="350" w:name="_Toc184313277"/>
      <w:bookmarkEnd w:id="350"/>
      <w:bookmarkStart w:id="351" w:name="_Toc184308099"/>
      <w:bookmarkEnd w:id="351"/>
      <w:bookmarkStart w:id="352" w:name="_Toc184308047"/>
      <w:bookmarkEnd w:id="352"/>
      <w:bookmarkStart w:id="353" w:name="_Toc184314479"/>
      <w:bookmarkEnd w:id="353"/>
      <w:bookmarkStart w:id="354" w:name="_Toc184313295"/>
      <w:bookmarkEnd w:id="354"/>
      <w:bookmarkStart w:id="355" w:name="_Toc184308042"/>
      <w:bookmarkEnd w:id="355"/>
      <w:bookmarkStart w:id="356" w:name="_Toc184308053"/>
      <w:bookmarkEnd w:id="356"/>
      <w:bookmarkStart w:id="357" w:name="_Toc184314447"/>
      <w:bookmarkEnd w:id="357"/>
      <w:bookmarkStart w:id="358" w:name="_Toc184313282"/>
      <w:bookmarkEnd w:id="358"/>
      <w:bookmarkStart w:id="359" w:name="_Toc184310329"/>
      <w:bookmarkEnd w:id="359"/>
      <w:bookmarkStart w:id="360" w:name="_Toc184314458"/>
      <w:bookmarkEnd w:id="360"/>
      <w:bookmarkStart w:id="361" w:name="_Toc184308102"/>
      <w:bookmarkEnd w:id="361"/>
      <w:bookmarkStart w:id="362" w:name="_Toc184314478"/>
      <w:bookmarkEnd w:id="362"/>
      <w:bookmarkStart w:id="363" w:name="_Toc184310298"/>
      <w:bookmarkEnd w:id="363"/>
      <w:bookmarkStart w:id="364" w:name="_Toc184313253"/>
      <w:bookmarkEnd w:id="364"/>
      <w:bookmarkStart w:id="365" w:name="_Toc184312123"/>
      <w:bookmarkEnd w:id="365"/>
      <w:bookmarkStart w:id="366" w:name="_Toc184312104"/>
      <w:bookmarkEnd w:id="366"/>
      <w:bookmarkStart w:id="367" w:name="_Toc184312109"/>
      <w:bookmarkEnd w:id="367"/>
      <w:bookmarkStart w:id="368" w:name="_Toc184308064"/>
      <w:bookmarkEnd w:id="368"/>
      <w:bookmarkStart w:id="369" w:name="_Toc184308104"/>
      <w:bookmarkEnd w:id="369"/>
      <w:bookmarkStart w:id="370" w:name="_Toc184312094"/>
      <w:bookmarkEnd w:id="370"/>
      <w:bookmarkStart w:id="371" w:name="_Toc184314436"/>
      <w:bookmarkEnd w:id="371"/>
      <w:bookmarkStart w:id="372" w:name="_Toc184313248"/>
      <w:bookmarkEnd w:id="372"/>
      <w:bookmarkStart w:id="373" w:name="_Toc184308045"/>
      <w:bookmarkEnd w:id="373"/>
      <w:bookmarkStart w:id="374" w:name="_Toc184310311"/>
      <w:bookmarkEnd w:id="374"/>
      <w:bookmarkStart w:id="375" w:name="_Toc184314468"/>
      <w:bookmarkEnd w:id="375"/>
      <w:bookmarkStart w:id="376" w:name="_Toc184312139"/>
      <w:bookmarkEnd w:id="376"/>
      <w:bookmarkStart w:id="377" w:name="_Toc184314442"/>
      <w:bookmarkEnd w:id="377"/>
      <w:bookmarkStart w:id="378" w:name="_Toc184313242"/>
      <w:bookmarkEnd w:id="378"/>
      <w:bookmarkStart w:id="379" w:name="_Toc184310314"/>
      <w:bookmarkEnd w:id="379"/>
      <w:bookmarkStart w:id="380" w:name="_Toc184314411"/>
      <w:bookmarkEnd w:id="380"/>
      <w:r>
        <w:rPr>
          <w:rFonts w:hint="eastAsia" w:ascii="宋体" w:hAnsi="宋体" w:eastAsia="宋体" w:cs="宋体"/>
          <w:b/>
          <w:color w:val="auto"/>
          <w:sz w:val="36"/>
          <w:szCs w:val="36"/>
          <w:highlight w:val="none"/>
        </w:rPr>
        <w:t>交易办法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交易办法前附表</w:t>
      </w:r>
    </w:p>
    <w:p>
      <w:pPr>
        <w:widowControl/>
        <w:spacing w:line="360" w:lineRule="auto"/>
        <w:rPr>
          <w:rFonts w:hint="eastAsia" w:ascii="宋体" w:hAnsi="宋体" w:eastAsia="宋体" w:cs="宋体"/>
          <w:color w:val="auto"/>
          <w:highlight w:val="none"/>
        </w:rPr>
      </w:pPr>
      <w:r>
        <w:rPr>
          <w:rFonts w:hint="eastAsia" w:ascii="宋体" w:hAnsi="宋体" w:eastAsia="宋体" w:cs="宋体"/>
          <w:b/>
          <w:bCs/>
          <w:color w:val="auto"/>
          <w:sz w:val="24"/>
          <w:highlight w:val="none"/>
          <w:lang w:val="en-US" w:eastAsia="zh-CN"/>
        </w:rPr>
        <w:t>标项1、标项2：</w:t>
      </w:r>
      <w:r>
        <w:rPr>
          <w:rFonts w:hint="eastAsia" w:ascii="宋体" w:hAnsi="宋体" w:eastAsia="宋体" w:cs="宋体"/>
          <w:b/>
          <w:bCs/>
          <w:color w:val="auto"/>
          <w:sz w:val="24"/>
          <w:highlight w:val="none"/>
        </w:rPr>
        <w:t>1、商务技术部分（</w:t>
      </w:r>
      <w:r>
        <w:rPr>
          <w:rFonts w:hint="eastAsia" w:ascii="宋体" w:hAnsi="宋体" w:cs="宋体"/>
          <w:b/>
          <w:bCs/>
          <w:color w:val="auto"/>
          <w:sz w:val="24"/>
          <w:highlight w:val="none"/>
          <w:lang w:val="en-US" w:eastAsia="zh-CN"/>
        </w:rPr>
        <w:t>70</w:t>
      </w:r>
      <w:r>
        <w:rPr>
          <w:rFonts w:hint="eastAsia" w:ascii="宋体" w:hAnsi="宋体" w:eastAsia="宋体" w:cs="宋体"/>
          <w:b/>
          <w:bCs/>
          <w:color w:val="auto"/>
          <w:sz w:val="24"/>
          <w:highlight w:val="none"/>
        </w:rPr>
        <w:t>分）：</w:t>
      </w:r>
    </w:p>
    <w:tbl>
      <w:tblPr>
        <w:tblStyle w:val="65"/>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524"/>
        <w:gridCol w:w="7047"/>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40" w:type="dxa"/>
            <w:noWrap w:val="0"/>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7571" w:type="dxa"/>
            <w:gridSpan w:val="2"/>
            <w:noWrap w:val="0"/>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评分内容和标准</w:t>
            </w:r>
          </w:p>
        </w:tc>
        <w:tc>
          <w:tcPr>
            <w:tcW w:w="787" w:type="dxa"/>
            <w:noWrap w:val="0"/>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分值区间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40" w:type="dxa"/>
            <w:vMerge w:val="restart"/>
            <w:noWrap w:val="0"/>
            <w:vAlign w:val="center"/>
          </w:tcPr>
          <w:p>
            <w:pPr>
              <w:widowControl/>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商务</w:t>
            </w:r>
          </w:p>
          <w:p>
            <w:pPr>
              <w:widowControl/>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资信</w:t>
            </w:r>
          </w:p>
          <w:p>
            <w:pPr>
              <w:widowControl/>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分</w:t>
            </w:r>
          </w:p>
          <w:p>
            <w:pPr>
              <w:widowControl/>
              <w:spacing w:line="24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（20分）</w:t>
            </w:r>
          </w:p>
        </w:tc>
        <w:tc>
          <w:tcPr>
            <w:tcW w:w="524" w:type="dxa"/>
            <w:noWrap w:val="0"/>
            <w:vAlign w:val="center"/>
          </w:tcPr>
          <w:p>
            <w:pPr>
              <w:widowControl/>
              <w:spacing w:line="24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7047" w:type="dxa"/>
            <w:noWrap w:val="0"/>
            <w:vAlign w:val="center"/>
          </w:tcPr>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根据企业2023年度财务审计报告，资产负债率小于等于50%的得5分，50（不含）</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55（含）的得4分，55（不含）</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60（含）的得3分，60（不含）</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65（含）的得2分，65（不含）</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70（含）的得1分。</w:t>
            </w:r>
          </w:p>
        </w:tc>
        <w:tc>
          <w:tcPr>
            <w:tcW w:w="787" w:type="dxa"/>
            <w:noWrap w:val="0"/>
            <w:vAlign w:val="center"/>
          </w:tcPr>
          <w:p>
            <w:pPr>
              <w:widowControl/>
              <w:spacing w:line="24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40" w:type="dxa"/>
            <w:vMerge w:val="continue"/>
            <w:noWrap w:val="0"/>
            <w:vAlign w:val="center"/>
          </w:tcPr>
          <w:p>
            <w:pPr>
              <w:widowControl/>
              <w:spacing w:line="240" w:lineRule="auto"/>
              <w:jc w:val="left"/>
              <w:rPr>
                <w:rFonts w:ascii="宋体" w:hAnsi="宋体" w:cs="宋体"/>
                <w:color w:val="auto"/>
                <w:kern w:val="0"/>
                <w:sz w:val="24"/>
                <w:szCs w:val="24"/>
                <w:highlight w:val="none"/>
              </w:rPr>
            </w:pPr>
          </w:p>
        </w:tc>
        <w:tc>
          <w:tcPr>
            <w:tcW w:w="524" w:type="dxa"/>
            <w:noWrap w:val="0"/>
            <w:vAlign w:val="center"/>
          </w:tcPr>
          <w:p>
            <w:pPr>
              <w:widowControl/>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7047" w:type="dxa"/>
            <w:noWrap w:val="0"/>
            <w:vAlign w:val="center"/>
          </w:tcPr>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获得ISO9001质量保证体系认证得1分；取得ISO45001职业健康安全管理体系认证得1分；取得ISO14001环境管理体系认证证书得1分；本项最高得3分（附认证证书复印件且在有效期内）</w:t>
            </w:r>
          </w:p>
        </w:tc>
        <w:tc>
          <w:tcPr>
            <w:tcW w:w="787" w:type="dxa"/>
            <w:noWrap w:val="0"/>
            <w:vAlign w:val="center"/>
          </w:tcPr>
          <w:p>
            <w:pPr>
              <w:widowControl/>
              <w:spacing w:line="24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40" w:type="dxa"/>
            <w:vMerge w:val="continue"/>
            <w:noWrap w:val="0"/>
            <w:vAlign w:val="center"/>
          </w:tcPr>
          <w:p>
            <w:pPr>
              <w:widowControl/>
              <w:spacing w:line="240" w:lineRule="auto"/>
              <w:jc w:val="left"/>
              <w:rPr>
                <w:rFonts w:ascii="宋体" w:hAnsi="宋体" w:cs="宋体"/>
                <w:color w:val="auto"/>
                <w:kern w:val="0"/>
                <w:sz w:val="24"/>
                <w:szCs w:val="24"/>
                <w:highlight w:val="none"/>
              </w:rPr>
            </w:pPr>
          </w:p>
        </w:tc>
        <w:tc>
          <w:tcPr>
            <w:tcW w:w="524"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7047" w:type="dxa"/>
            <w:noWrap w:val="0"/>
            <w:vAlign w:val="center"/>
          </w:tcPr>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拟派项目负责人在满足报名资格条件的前提下，如具备中级工程师职称的得1.5分，具备高级</w:t>
            </w:r>
            <w:r>
              <w:rPr>
                <w:rFonts w:hint="eastAsia" w:ascii="宋体" w:hAnsi="宋体" w:eastAsia="宋体" w:cs="宋体"/>
                <w:color w:val="auto"/>
                <w:kern w:val="0"/>
                <w:sz w:val="24"/>
                <w:szCs w:val="24"/>
                <w:highlight w:val="none"/>
                <w:lang w:val="en-US" w:eastAsia="zh-CN"/>
              </w:rPr>
              <w:t>工程师</w:t>
            </w:r>
            <w:r>
              <w:rPr>
                <w:rFonts w:hint="eastAsia" w:ascii="宋体" w:hAnsi="宋体" w:eastAsia="宋体" w:cs="宋体"/>
                <w:color w:val="auto"/>
                <w:kern w:val="0"/>
                <w:sz w:val="24"/>
                <w:szCs w:val="24"/>
                <w:highlight w:val="none"/>
              </w:rPr>
              <w:t>职称的得3分，本项最高得3分（附职称证书复印件）</w:t>
            </w:r>
          </w:p>
        </w:tc>
        <w:tc>
          <w:tcPr>
            <w:tcW w:w="78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40" w:type="dxa"/>
            <w:vMerge w:val="continue"/>
            <w:noWrap w:val="0"/>
            <w:vAlign w:val="center"/>
          </w:tcPr>
          <w:p>
            <w:pPr>
              <w:widowControl/>
              <w:spacing w:line="240" w:lineRule="auto"/>
              <w:jc w:val="left"/>
              <w:rPr>
                <w:rFonts w:ascii="宋体" w:hAnsi="宋体" w:cs="宋体"/>
                <w:color w:val="auto"/>
                <w:kern w:val="0"/>
                <w:sz w:val="24"/>
                <w:szCs w:val="24"/>
                <w:highlight w:val="none"/>
              </w:rPr>
            </w:pPr>
          </w:p>
        </w:tc>
        <w:tc>
          <w:tcPr>
            <w:tcW w:w="524"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7047" w:type="dxa"/>
            <w:noWrap w:val="0"/>
            <w:vAlign w:val="center"/>
          </w:tcPr>
          <w:p>
            <w:pPr>
              <w:widowControl/>
              <w:spacing w:line="24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响应单位在满足报名条件的前提下，具有市政公用工程施工总承包三级及以上的得1分，具有机电工程施工总承包三级及以上的得1分，具有消防设施专业承包二级及以上的得1分。本项最高得3分（提供证书复印件加盖公章，不提供不得分）</w:t>
            </w:r>
          </w:p>
        </w:tc>
        <w:tc>
          <w:tcPr>
            <w:tcW w:w="78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40" w:type="dxa"/>
            <w:vMerge w:val="continue"/>
            <w:noWrap w:val="0"/>
            <w:vAlign w:val="center"/>
          </w:tcPr>
          <w:p>
            <w:pPr>
              <w:widowControl/>
              <w:spacing w:line="240" w:lineRule="auto"/>
              <w:jc w:val="left"/>
              <w:rPr>
                <w:rFonts w:ascii="宋体" w:hAnsi="宋体" w:cs="宋体"/>
                <w:color w:val="auto"/>
                <w:kern w:val="0"/>
                <w:sz w:val="24"/>
                <w:szCs w:val="24"/>
                <w:highlight w:val="none"/>
              </w:rPr>
            </w:pPr>
          </w:p>
        </w:tc>
        <w:tc>
          <w:tcPr>
            <w:tcW w:w="524"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7047" w:type="dxa"/>
            <w:noWrap w:val="0"/>
            <w:vAlign w:val="center"/>
          </w:tcPr>
          <w:p>
            <w:pPr>
              <w:widowControl/>
              <w:spacing w:line="24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自</w:t>
            </w:r>
            <w:r>
              <w:rPr>
                <w:rFonts w:hint="eastAsia" w:ascii="宋体" w:hAnsi="宋体" w:eastAsia="宋体" w:cs="宋体"/>
                <w:color w:val="auto"/>
                <w:kern w:val="0"/>
                <w:sz w:val="24"/>
                <w:szCs w:val="24"/>
                <w:highlight w:val="none"/>
              </w:rPr>
              <w:t>202</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月1日以来（时间以</w:t>
            </w:r>
            <w:r>
              <w:rPr>
                <w:rFonts w:hint="eastAsia" w:ascii="宋体" w:hAnsi="宋体" w:eastAsia="宋体" w:cs="宋体"/>
                <w:color w:val="auto"/>
                <w:kern w:val="0"/>
                <w:sz w:val="24"/>
                <w:szCs w:val="24"/>
                <w:highlight w:val="none"/>
                <w:lang w:val="en-US" w:eastAsia="zh-CN"/>
              </w:rPr>
              <w:t>竣工验收</w:t>
            </w:r>
            <w:r>
              <w:rPr>
                <w:rFonts w:hint="eastAsia" w:ascii="宋体" w:hAnsi="宋体" w:eastAsia="宋体" w:cs="宋体"/>
                <w:color w:val="auto"/>
                <w:kern w:val="0"/>
                <w:sz w:val="24"/>
                <w:szCs w:val="24"/>
                <w:highlight w:val="none"/>
              </w:rPr>
              <w:t>日期为准），响应单位</w:t>
            </w:r>
            <w:r>
              <w:rPr>
                <w:rFonts w:hint="eastAsia" w:ascii="宋体" w:hAnsi="宋体" w:cs="宋体"/>
                <w:color w:val="auto"/>
                <w:kern w:val="0"/>
                <w:sz w:val="24"/>
                <w:szCs w:val="24"/>
                <w:highlight w:val="none"/>
                <w:lang w:val="en-US" w:eastAsia="zh-CN"/>
              </w:rPr>
              <w:t>有</w:t>
            </w:r>
            <w:r>
              <w:rPr>
                <w:rFonts w:hint="eastAsia" w:ascii="宋体" w:hAnsi="宋体" w:eastAsia="宋体" w:cs="宋体"/>
                <w:color w:val="auto"/>
                <w:kern w:val="0"/>
                <w:sz w:val="24"/>
                <w:szCs w:val="24"/>
                <w:highlight w:val="none"/>
                <w:lang w:val="en-US" w:eastAsia="zh-CN"/>
              </w:rPr>
              <w:t>住宅</w:t>
            </w:r>
            <w:r>
              <w:rPr>
                <w:rFonts w:hint="eastAsia" w:ascii="宋体" w:hAnsi="宋体" w:eastAsia="宋体" w:cs="宋体"/>
                <w:color w:val="auto"/>
                <w:kern w:val="0"/>
                <w:sz w:val="24"/>
                <w:szCs w:val="24"/>
                <w:highlight w:val="none"/>
              </w:rPr>
              <w:t>小区</w:t>
            </w:r>
            <w:r>
              <w:rPr>
                <w:rFonts w:hint="eastAsia" w:ascii="宋体" w:hAnsi="宋体" w:cs="宋体"/>
                <w:color w:val="auto"/>
                <w:kern w:val="0"/>
                <w:sz w:val="24"/>
                <w:szCs w:val="24"/>
                <w:highlight w:val="none"/>
                <w:lang w:val="en-US" w:eastAsia="zh-CN"/>
              </w:rPr>
              <w:t>维修</w:t>
            </w:r>
            <w:r>
              <w:rPr>
                <w:rFonts w:hint="eastAsia" w:ascii="宋体" w:hAnsi="宋体" w:eastAsia="宋体" w:cs="宋体"/>
                <w:color w:val="auto"/>
                <w:kern w:val="0"/>
                <w:sz w:val="24"/>
                <w:szCs w:val="24"/>
                <w:highlight w:val="none"/>
              </w:rPr>
              <w:t>改造</w:t>
            </w:r>
            <w:r>
              <w:rPr>
                <w:rFonts w:hint="eastAsia" w:ascii="宋体" w:hAnsi="宋体" w:cs="宋体"/>
                <w:color w:val="auto"/>
                <w:kern w:val="0"/>
                <w:sz w:val="24"/>
                <w:szCs w:val="24"/>
                <w:highlight w:val="none"/>
                <w:lang w:val="en-US" w:eastAsia="zh-CN"/>
              </w:rPr>
              <w:t>类似</w:t>
            </w:r>
            <w:r>
              <w:rPr>
                <w:rFonts w:hint="eastAsia" w:ascii="宋体" w:hAnsi="宋体" w:eastAsia="宋体" w:cs="宋体"/>
                <w:color w:val="auto"/>
                <w:kern w:val="0"/>
                <w:sz w:val="24"/>
                <w:szCs w:val="24"/>
                <w:highlight w:val="none"/>
              </w:rPr>
              <w:t>业绩</w:t>
            </w:r>
            <w:r>
              <w:rPr>
                <w:rFonts w:hint="eastAsia" w:ascii="宋体" w:hAnsi="宋体" w:cs="宋体"/>
                <w:color w:val="auto"/>
                <w:kern w:val="0"/>
                <w:sz w:val="24"/>
                <w:szCs w:val="24"/>
                <w:highlight w:val="none"/>
                <w:lang w:val="en-US" w:eastAsia="zh-CN"/>
              </w:rPr>
              <w:t>且单项合同金额在100万元及以上</w:t>
            </w:r>
            <w:r>
              <w:rPr>
                <w:rFonts w:hint="eastAsia" w:ascii="宋体" w:hAnsi="宋体" w:eastAsia="宋体" w:cs="宋体"/>
                <w:color w:val="auto"/>
                <w:kern w:val="0"/>
                <w:sz w:val="24"/>
                <w:szCs w:val="24"/>
                <w:highlight w:val="none"/>
              </w:rPr>
              <w:t>的，每个业绩得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分，最高得4分。以上提供的业绩，项目所在地在萧山区的，每个</w:t>
            </w:r>
            <w:r>
              <w:rPr>
                <w:rFonts w:hint="eastAsia" w:ascii="宋体" w:hAnsi="宋体" w:cs="宋体"/>
                <w:color w:val="auto"/>
                <w:kern w:val="0"/>
                <w:sz w:val="24"/>
                <w:szCs w:val="24"/>
                <w:highlight w:val="none"/>
                <w:lang w:val="en-US" w:eastAsia="zh-CN"/>
              </w:rPr>
              <w:t>加0.5</w:t>
            </w:r>
            <w:r>
              <w:rPr>
                <w:rFonts w:hint="eastAsia" w:ascii="宋体" w:hAnsi="宋体" w:eastAsia="宋体" w:cs="宋体"/>
                <w:color w:val="auto"/>
                <w:kern w:val="0"/>
                <w:sz w:val="24"/>
                <w:szCs w:val="24"/>
                <w:highlight w:val="none"/>
              </w:rPr>
              <w:t>分，最高加2分，本项满分为6分（必须同时具备以下有效证明材料：（1）施工合同</w:t>
            </w:r>
            <w:r>
              <w:rPr>
                <w:rFonts w:hint="eastAsia" w:ascii="宋体" w:hAnsi="宋体" w:eastAsia="宋体" w:cs="宋体"/>
                <w:color w:val="auto"/>
                <w:kern w:val="0"/>
                <w:sz w:val="24"/>
                <w:szCs w:val="24"/>
                <w:highlight w:val="none"/>
                <w:lang w:eastAsia="zh-CN"/>
              </w:rPr>
              <w:t>或</w:t>
            </w:r>
            <w:r>
              <w:rPr>
                <w:rFonts w:hint="eastAsia" w:ascii="宋体" w:hAnsi="宋体" w:eastAsia="宋体" w:cs="宋体"/>
                <w:color w:val="auto"/>
                <w:kern w:val="0"/>
                <w:sz w:val="24"/>
                <w:szCs w:val="24"/>
                <w:highlight w:val="none"/>
              </w:rPr>
              <w:t>中标通知书；（2）竣工报告或验收证明；（3）如上述材料所能承载的证明内容不能完全体现业绩要求的具体表述，需同时提供其他相关资料证明；）</w:t>
            </w:r>
          </w:p>
        </w:tc>
        <w:tc>
          <w:tcPr>
            <w:tcW w:w="78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40" w:type="dxa"/>
            <w:vMerge w:val="restart"/>
            <w:noWrap w:val="0"/>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技术分(50分)</w:t>
            </w:r>
          </w:p>
        </w:tc>
        <w:tc>
          <w:tcPr>
            <w:tcW w:w="524" w:type="dxa"/>
            <w:noWrap w:val="0"/>
            <w:vAlign w:val="center"/>
          </w:tcPr>
          <w:p>
            <w:pPr>
              <w:widowControl/>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7047" w:type="dxa"/>
            <w:noWrap w:val="0"/>
            <w:vAlign w:val="center"/>
          </w:tcPr>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响应方案的合理性、科学性、全面性（根据对响应项目的理解程度、总体设计、组织实施、独到优势等情况综合评定）</w:t>
            </w:r>
          </w:p>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一般2.0-</w:t>
            </w:r>
            <w:r>
              <w:rPr>
                <w:rFonts w:hint="eastAsia" w:ascii="宋体" w:hAnsi="宋体" w:eastAsia="宋体" w:cs="宋体"/>
                <w:color w:val="auto"/>
                <w:kern w:val="0"/>
                <w:sz w:val="24"/>
                <w:szCs w:val="24"/>
                <w:highlight w:val="none"/>
                <w:lang w:val="en-US" w:eastAsia="zh-CN"/>
              </w:rPr>
              <w:t>3.0</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较好</w:t>
            </w:r>
            <w:r>
              <w:rPr>
                <w:rFonts w:hint="eastAsia" w:ascii="宋体" w:hAnsi="宋体" w:eastAsia="宋体" w:cs="宋体"/>
                <w:color w:val="auto"/>
                <w:kern w:val="0"/>
                <w:sz w:val="24"/>
                <w:szCs w:val="24"/>
                <w:highlight w:val="none"/>
                <w:lang w:val="en-US" w:eastAsia="zh-CN"/>
              </w:rPr>
              <w:t>3.1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好5.1-</w:t>
            </w:r>
            <w:r>
              <w:rPr>
                <w:rFonts w:hint="eastAsia" w:ascii="宋体" w:hAnsi="宋体" w:eastAsia="宋体" w:cs="宋体"/>
                <w:color w:val="auto"/>
                <w:kern w:val="0"/>
                <w:sz w:val="24"/>
                <w:szCs w:val="24"/>
                <w:highlight w:val="none"/>
                <w:lang w:val="en-US" w:eastAsia="zh-CN"/>
              </w:rPr>
              <w:t>7</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 xml:space="preserve"> </w:t>
            </w:r>
          </w:p>
        </w:tc>
        <w:tc>
          <w:tcPr>
            <w:tcW w:w="78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40" w:type="dxa"/>
            <w:vMerge w:val="continue"/>
            <w:noWrap w:val="0"/>
            <w:vAlign w:val="center"/>
          </w:tcPr>
          <w:p>
            <w:pPr>
              <w:widowControl/>
              <w:spacing w:line="240" w:lineRule="auto"/>
              <w:jc w:val="left"/>
              <w:rPr>
                <w:rFonts w:ascii="宋体" w:hAnsi="宋体" w:cs="宋体"/>
                <w:color w:val="auto"/>
                <w:kern w:val="0"/>
                <w:sz w:val="24"/>
                <w:szCs w:val="24"/>
                <w:highlight w:val="none"/>
              </w:rPr>
            </w:pPr>
          </w:p>
        </w:tc>
        <w:tc>
          <w:tcPr>
            <w:tcW w:w="524" w:type="dxa"/>
            <w:noWrap w:val="0"/>
            <w:vAlign w:val="center"/>
          </w:tcPr>
          <w:p>
            <w:pPr>
              <w:widowControl/>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7047" w:type="dxa"/>
            <w:noWrap w:val="0"/>
            <w:vAlign w:val="center"/>
          </w:tcPr>
          <w:p>
            <w:pPr>
              <w:widowControl/>
              <w:spacing w:line="24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有</w:t>
            </w:r>
            <w:r>
              <w:rPr>
                <w:rFonts w:hint="eastAsia" w:ascii="宋体" w:hAnsi="宋体" w:eastAsia="宋体" w:cs="宋体"/>
                <w:color w:val="auto"/>
                <w:kern w:val="0"/>
                <w:sz w:val="24"/>
                <w:szCs w:val="24"/>
                <w:highlight w:val="none"/>
              </w:rPr>
              <w:t>安全文明和质量保证措施，与各方对接配合的措施</w:t>
            </w:r>
            <w:r>
              <w:rPr>
                <w:rFonts w:hint="eastAsia" w:ascii="宋体" w:hAnsi="宋体" w:eastAsia="宋体" w:cs="宋体"/>
                <w:color w:val="auto"/>
                <w:kern w:val="0"/>
                <w:sz w:val="24"/>
                <w:szCs w:val="24"/>
                <w:highlight w:val="none"/>
                <w:lang w:eastAsia="zh-CN"/>
              </w:rPr>
              <w:t>以及</w:t>
            </w:r>
            <w:r>
              <w:rPr>
                <w:rFonts w:hint="eastAsia" w:ascii="宋体" w:hAnsi="宋体" w:eastAsia="宋体" w:cs="宋体"/>
                <w:color w:val="auto"/>
                <w:kern w:val="0"/>
                <w:sz w:val="24"/>
                <w:szCs w:val="24"/>
                <w:highlight w:val="none"/>
              </w:rPr>
              <w:t>完善的管理制度、作业流程、维保工作计划及实施时间，并建立和完善标准化服务，管理服务水平是否符合国家和行业标准</w:t>
            </w:r>
            <w:r>
              <w:rPr>
                <w:rFonts w:hint="eastAsia" w:ascii="宋体" w:hAnsi="宋体" w:eastAsia="宋体" w:cs="宋体"/>
                <w:color w:val="auto"/>
                <w:kern w:val="0"/>
                <w:sz w:val="24"/>
                <w:szCs w:val="24"/>
                <w:highlight w:val="none"/>
                <w:lang w:eastAsia="zh-CN"/>
              </w:rPr>
              <w:t>。</w:t>
            </w:r>
          </w:p>
          <w:p>
            <w:pPr>
              <w:widowControl/>
              <w:spacing w:line="24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一般2.0-</w:t>
            </w:r>
            <w:r>
              <w:rPr>
                <w:rFonts w:hint="eastAsia" w:ascii="宋体" w:hAnsi="宋体" w:eastAsia="宋体" w:cs="宋体"/>
                <w:color w:val="auto"/>
                <w:kern w:val="0"/>
                <w:sz w:val="24"/>
                <w:szCs w:val="24"/>
                <w:highlight w:val="none"/>
                <w:lang w:val="en-US" w:eastAsia="zh-CN"/>
              </w:rPr>
              <w:t>3.0</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较好</w:t>
            </w:r>
            <w:r>
              <w:rPr>
                <w:rFonts w:hint="eastAsia" w:ascii="宋体" w:hAnsi="宋体" w:eastAsia="宋体" w:cs="宋体"/>
                <w:color w:val="auto"/>
                <w:kern w:val="0"/>
                <w:sz w:val="24"/>
                <w:szCs w:val="24"/>
                <w:highlight w:val="none"/>
                <w:lang w:val="en-US" w:eastAsia="zh-CN"/>
              </w:rPr>
              <w:t>3.1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好5.1-</w:t>
            </w:r>
            <w:r>
              <w:rPr>
                <w:rFonts w:hint="eastAsia" w:ascii="宋体" w:hAnsi="宋体" w:eastAsia="宋体" w:cs="宋体"/>
                <w:color w:val="auto"/>
                <w:kern w:val="0"/>
                <w:sz w:val="24"/>
                <w:szCs w:val="24"/>
                <w:highlight w:val="none"/>
                <w:lang w:val="en-US" w:eastAsia="zh-CN"/>
              </w:rPr>
              <w:t>8</w:t>
            </w:r>
            <w:r>
              <w:rPr>
                <w:rFonts w:hint="eastAsia" w:ascii="宋体" w:hAnsi="宋体" w:cs="宋体"/>
                <w:color w:val="auto"/>
                <w:kern w:val="0"/>
                <w:sz w:val="24"/>
                <w:szCs w:val="24"/>
                <w:highlight w:val="none"/>
                <w:lang w:val="en-US" w:eastAsia="zh-CN"/>
              </w:rPr>
              <w:t>.0</w:t>
            </w:r>
          </w:p>
        </w:tc>
        <w:tc>
          <w:tcPr>
            <w:tcW w:w="78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40" w:type="dxa"/>
            <w:vMerge w:val="continue"/>
            <w:noWrap w:val="0"/>
            <w:vAlign w:val="center"/>
          </w:tcPr>
          <w:p>
            <w:pPr>
              <w:widowControl/>
              <w:spacing w:line="240" w:lineRule="auto"/>
              <w:jc w:val="left"/>
              <w:rPr>
                <w:rFonts w:ascii="宋体" w:hAnsi="宋体" w:cs="宋体"/>
                <w:color w:val="auto"/>
                <w:kern w:val="0"/>
                <w:sz w:val="24"/>
                <w:szCs w:val="24"/>
                <w:highlight w:val="none"/>
              </w:rPr>
            </w:pPr>
          </w:p>
        </w:tc>
        <w:tc>
          <w:tcPr>
            <w:tcW w:w="524" w:type="dxa"/>
            <w:noWrap w:val="0"/>
            <w:vAlign w:val="center"/>
          </w:tcPr>
          <w:p>
            <w:pPr>
              <w:widowControl/>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7047" w:type="dxa"/>
            <w:noWrap w:val="0"/>
            <w:vAlign w:val="center"/>
          </w:tcPr>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突发事件的应急措施：对突发事件时的应急预案及相应的措施、对突发故障的应急检修措施等</w:t>
            </w:r>
          </w:p>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一般2.0-</w:t>
            </w:r>
            <w:r>
              <w:rPr>
                <w:rFonts w:hint="eastAsia" w:ascii="宋体" w:hAnsi="宋体" w:eastAsia="宋体" w:cs="宋体"/>
                <w:color w:val="auto"/>
                <w:kern w:val="0"/>
                <w:sz w:val="24"/>
                <w:szCs w:val="24"/>
                <w:highlight w:val="none"/>
                <w:lang w:val="en-US" w:eastAsia="zh-CN"/>
              </w:rPr>
              <w:t>3.0</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较好</w:t>
            </w:r>
            <w:r>
              <w:rPr>
                <w:rFonts w:hint="eastAsia" w:ascii="宋体" w:hAnsi="宋体" w:eastAsia="宋体" w:cs="宋体"/>
                <w:color w:val="auto"/>
                <w:kern w:val="0"/>
                <w:sz w:val="24"/>
                <w:szCs w:val="24"/>
                <w:highlight w:val="none"/>
                <w:lang w:val="en-US" w:eastAsia="zh-CN"/>
              </w:rPr>
              <w:t>3.1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好5.1-</w:t>
            </w:r>
            <w:r>
              <w:rPr>
                <w:rFonts w:hint="eastAsia" w:ascii="宋体" w:hAnsi="宋体" w:eastAsia="宋体" w:cs="宋体"/>
                <w:color w:val="auto"/>
                <w:kern w:val="0"/>
                <w:sz w:val="24"/>
                <w:szCs w:val="24"/>
                <w:highlight w:val="none"/>
                <w:lang w:val="en-US" w:eastAsia="zh-CN"/>
              </w:rPr>
              <w:t>6</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 xml:space="preserve"> </w:t>
            </w:r>
          </w:p>
        </w:tc>
        <w:tc>
          <w:tcPr>
            <w:tcW w:w="78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40" w:type="dxa"/>
            <w:vMerge w:val="continue"/>
            <w:noWrap w:val="0"/>
            <w:vAlign w:val="center"/>
          </w:tcPr>
          <w:p>
            <w:pPr>
              <w:widowControl/>
              <w:spacing w:line="240" w:lineRule="auto"/>
              <w:jc w:val="left"/>
              <w:rPr>
                <w:rFonts w:ascii="宋体" w:hAnsi="宋体" w:cs="宋体"/>
                <w:color w:val="auto"/>
                <w:kern w:val="0"/>
                <w:sz w:val="24"/>
                <w:szCs w:val="24"/>
                <w:highlight w:val="none"/>
              </w:rPr>
            </w:pPr>
          </w:p>
        </w:tc>
        <w:tc>
          <w:tcPr>
            <w:tcW w:w="524" w:type="dxa"/>
            <w:noWrap w:val="0"/>
            <w:vAlign w:val="center"/>
          </w:tcPr>
          <w:p>
            <w:pPr>
              <w:widowControl/>
              <w:spacing w:line="24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7047" w:type="dxa"/>
            <w:noWrap w:val="0"/>
            <w:vAlign w:val="center"/>
          </w:tcPr>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保证进度和项目完成的方案和措施等综合评定　</w:t>
            </w:r>
          </w:p>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一般2.0-</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较好</w:t>
            </w:r>
            <w:r>
              <w:rPr>
                <w:rFonts w:hint="eastAsia" w:ascii="宋体" w:hAnsi="宋体" w:eastAsia="宋体" w:cs="宋体"/>
                <w:color w:val="auto"/>
                <w:kern w:val="0"/>
                <w:sz w:val="24"/>
                <w:szCs w:val="24"/>
                <w:highlight w:val="none"/>
                <w:lang w:val="en-US" w:eastAsia="zh-CN"/>
              </w:rPr>
              <w:t>3.1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好5.1-</w:t>
            </w:r>
            <w:r>
              <w:rPr>
                <w:rFonts w:hint="eastAsia" w:ascii="宋体" w:hAnsi="宋体" w:eastAsia="宋体" w:cs="宋体"/>
                <w:color w:val="auto"/>
                <w:kern w:val="0"/>
                <w:sz w:val="24"/>
                <w:szCs w:val="24"/>
                <w:highlight w:val="none"/>
                <w:lang w:val="en-US" w:eastAsia="zh-CN"/>
              </w:rPr>
              <w:t>6</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 xml:space="preserve"> </w:t>
            </w:r>
          </w:p>
        </w:tc>
        <w:tc>
          <w:tcPr>
            <w:tcW w:w="78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40" w:type="dxa"/>
            <w:vMerge w:val="continue"/>
            <w:noWrap w:val="0"/>
            <w:vAlign w:val="center"/>
          </w:tcPr>
          <w:p>
            <w:pPr>
              <w:widowControl/>
              <w:spacing w:line="240" w:lineRule="auto"/>
              <w:jc w:val="left"/>
              <w:rPr>
                <w:rFonts w:ascii="宋体" w:hAnsi="宋体" w:cs="宋体"/>
                <w:color w:val="auto"/>
                <w:kern w:val="0"/>
                <w:sz w:val="24"/>
                <w:szCs w:val="24"/>
                <w:highlight w:val="none"/>
              </w:rPr>
            </w:pPr>
          </w:p>
        </w:tc>
        <w:tc>
          <w:tcPr>
            <w:tcW w:w="524" w:type="dxa"/>
            <w:noWrap w:val="0"/>
            <w:vAlign w:val="center"/>
          </w:tcPr>
          <w:p>
            <w:pPr>
              <w:widowControl/>
              <w:spacing w:line="24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7047" w:type="dxa"/>
            <w:noWrap w:val="0"/>
            <w:vAlign w:val="center"/>
          </w:tcPr>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提供</w:t>
            </w:r>
            <w:r>
              <w:rPr>
                <w:rFonts w:hint="eastAsia" w:ascii="宋体" w:hAnsi="宋体" w:eastAsia="宋体" w:cs="宋体"/>
                <w:color w:val="auto"/>
                <w:kern w:val="0"/>
                <w:sz w:val="24"/>
                <w:szCs w:val="24"/>
                <w:highlight w:val="none"/>
              </w:rPr>
              <w:t>拟投入的维修专用设备配置情况综合评定（需提供拟投入设备相应图片，未提供不得分）。</w:t>
            </w:r>
          </w:p>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一般2.0-</w:t>
            </w:r>
            <w:r>
              <w:rPr>
                <w:rFonts w:hint="eastAsia" w:ascii="宋体" w:hAnsi="宋体" w:eastAsia="宋体" w:cs="宋体"/>
                <w:color w:val="auto"/>
                <w:kern w:val="0"/>
                <w:sz w:val="24"/>
                <w:szCs w:val="24"/>
                <w:highlight w:val="none"/>
                <w:lang w:val="en-US" w:eastAsia="zh-CN"/>
              </w:rPr>
              <w:t>3.0</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较好</w:t>
            </w:r>
            <w:r>
              <w:rPr>
                <w:rFonts w:hint="eastAsia" w:ascii="宋体" w:hAnsi="宋体" w:eastAsia="宋体" w:cs="宋体"/>
                <w:color w:val="auto"/>
                <w:kern w:val="0"/>
                <w:sz w:val="24"/>
                <w:szCs w:val="24"/>
                <w:highlight w:val="none"/>
                <w:lang w:val="en-US" w:eastAsia="zh-CN"/>
              </w:rPr>
              <w:t>3.1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好5.1-</w:t>
            </w:r>
            <w:r>
              <w:rPr>
                <w:rFonts w:hint="eastAsia" w:ascii="宋体" w:hAnsi="宋体" w:eastAsia="宋体" w:cs="宋体"/>
                <w:color w:val="auto"/>
                <w:kern w:val="0"/>
                <w:sz w:val="24"/>
                <w:szCs w:val="24"/>
                <w:highlight w:val="none"/>
                <w:lang w:val="en-US" w:eastAsia="zh-CN"/>
              </w:rPr>
              <w:t>6</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 xml:space="preserve"> </w:t>
            </w:r>
          </w:p>
        </w:tc>
        <w:tc>
          <w:tcPr>
            <w:tcW w:w="78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40" w:type="dxa"/>
            <w:vMerge w:val="continue"/>
            <w:noWrap w:val="0"/>
            <w:vAlign w:val="center"/>
          </w:tcPr>
          <w:p>
            <w:pPr>
              <w:widowControl/>
              <w:spacing w:line="240" w:lineRule="auto"/>
              <w:jc w:val="left"/>
              <w:rPr>
                <w:rFonts w:ascii="宋体" w:hAnsi="宋体" w:cs="宋体"/>
                <w:color w:val="auto"/>
                <w:kern w:val="0"/>
                <w:sz w:val="24"/>
                <w:szCs w:val="24"/>
                <w:highlight w:val="none"/>
              </w:rPr>
            </w:pPr>
          </w:p>
        </w:tc>
        <w:tc>
          <w:tcPr>
            <w:tcW w:w="524" w:type="dxa"/>
            <w:noWrap w:val="0"/>
            <w:vAlign w:val="center"/>
          </w:tcPr>
          <w:p>
            <w:pPr>
              <w:widowControl/>
              <w:spacing w:line="24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7047" w:type="dxa"/>
            <w:noWrap w:val="0"/>
            <w:vAlign w:val="center"/>
          </w:tcPr>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提供售后服务情况及售后服务计划书；包括本地售后服务机构及人员情况等综合评定</w:t>
            </w:r>
            <w:r>
              <w:rPr>
                <w:rFonts w:hint="eastAsia" w:ascii="宋体" w:hAnsi="宋体" w:eastAsia="宋体" w:cs="宋体"/>
                <w:color w:val="auto"/>
                <w:kern w:val="0"/>
                <w:sz w:val="24"/>
                <w:szCs w:val="24"/>
                <w:highlight w:val="none"/>
              </w:rPr>
              <w:t xml:space="preserve"> 项目负责人及技术力量安排等综合评定（根据持有特种设备作业人员证人数等综合评定）</w:t>
            </w:r>
          </w:p>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一般2.0-</w:t>
            </w:r>
            <w:r>
              <w:rPr>
                <w:rFonts w:hint="eastAsia" w:ascii="宋体" w:hAnsi="宋体" w:eastAsia="宋体" w:cs="宋体"/>
                <w:color w:val="auto"/>
                <w:kern w:val="0"/>
                <w:sz w:val="24"/>
                <w:szCs w:val="24"/>
                <w:highlight w:val="none"/>
                <w:lang w:val="en-US" w:eastAsia="zh-CN"/>
              </w:rPr>
              <w:t>3.0</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较好</w:t>
            </w:r>
            <w:r>
              <w:rPr>
                <w:rFonts w:hint="eastAsia" w:ascii="宋体" w:hAnsi="宋体" w:eastAsia="宋体" w:cs="宋体"/>
                <w:color w:val="auto"/>
                <w:kern w:val="0"/>
                <w:sz w:val="24"/>
                <w:szCs w:val="24"/>
                <w:highlight w:val="none"/>
                <w:lang w:val="en-US" w:eastAsia="zh-CN"/>
              </w:rPr>
              <w:t>3.1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好5.1-</w:t>
            </w:r>
            <w:r>
              <w:rPr>
                <w:rFonts w:hint="eastAsia" w:ascii="宋体" w:hAnsi="宋体" w:eastAsia="宋体" w:cs="宋体"/>
                <w:color w:val="auto"/>
                <w:kern w:val="0"/>
                <w:sz w:val="24"/>
                <w:szCs w:val="24"/>
                <w:highlight w:val="none"/>
                <w:lang w:val="en-US" w:eastAsia="zh-CN"/>
              </w:rPr>
              <w:t>6</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 xml:space="preserve"> </w:t>
            </w:r>
          </w:p>
        </w:tc>
        <w:tc>
          <w:tcPr>
            <w:tcW w:w="78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40" w:type="dxa"/>
            <w:vMerge w:val="continue"/>
            <w:noWrap w:val="0"/>
            <w:vAlign w:val="center"/>
          </w:tcPr>
          <w:p>
            <w:pPr>
              <w:widowControl/>
              <w:spacing w:line="240" w:lineRule="auto"/>
              <w:jc w:val="left"/>
              <w:rPr>
                <w:rFonts w:ascii="宋体" w:hAnsi="宋体" w:cs="宋体"/>
                <w:color w:val="auto"/>
                <w:kern w:val="0"/>
                <w:sz w:val="24"/>
                <w:szCs w:val="24"/>
                <w:highlight w:val="none"/>
              </w:rPr>
            </w:pPr>
          </w:p>
        </w:tc>
        <w:tc>
          <w:tcPr>
            <w:tcW w:w="524" w:type="dxa"/>
            <w:noWrap w:val="0"/>
            <w:vAlign w:val="center"/>
          </w:tcPr>
          <w:p>
            <w:pPr>
              <w:widowControl/>
              <w:spacing w:line="24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7047" w:type="dxa"/>
            <w:noWrap w:val="0"/>
            <w:vAlign w:val="center"/>
          </w:tcPr>
          <w:p>
            <w:pPr>
              <w:widowControl/>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本地化服务能力（根据单位注册地</w:t>
            </w:r>
            <w:r>
              <w:rPr>
                <w:rFonts w:hint="eastAsia" w:ascii="宋体" w:hAnsi="宋体" w:eastAsia="宋体" w:cs="宋体"/>
                <w:color w:val="auto"/>
                <w:kern w:val="0"/>
                <w:sz w:val="24"/>
                <w:szCs w:val="24"/>
                <w:highlight w:val="none"/>
                <w:lang w:val="en-US" w:eastAsia="zh-CN"/>
              </w:rPr>
              <w:t>或办公场所</w:t>
            </w:r>
            <w:r>
              <w:rPr>
                <w:rFonts w:hint="eastAsia" w:ascii="宋体" w:hAnsi="宋体" w:eastAsia="宋体" w:cs="宋体"/>
                <w:color w:val="auto"/>
                <w:kern w:val="0"/>
                <w:sz w:val="24"/>
                <w:szCs w:val="24"/>
                <w:highlight w:val="none"/>
                <w:lang w:val="zh-CN"/>
              </w:rPr>
              <w:t>距离萧山城区远近、响应时效等综合评定）</w:t>
            </w:r>
          </w:p>
          <w:p>
            <w:pPr>
              <w:widowControl/>
              <w:spacing w:line="240" w:lineRule="auto"/>
              <w:jc w:val="left"/>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一般</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2.0</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较好</w:t>
            </w:r>
            <w:r>
              <w:rPr>
                <w:rFonts w:hint="eastAsia" w:ascii="宋体" w:hAnsi="宋体" w:eastAsia="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好</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5</w:t>
            </w:r>
            <w:r>
              <w:rPr>
                <w:rFonts w:hint="eastAsia" w:ascii="宋体" w:hAnsi="宋体" w:cs="宋体"/>
                <w:color w:val="auto"/>
                <w:kern w:val="0"/>
                <w:sz w:val="24"/>
                <w:szCs w:val="24"/>
                <w:highlight w:val="none"/>
                <w:lang w:val="en-US" w:eastAsia="zh-CN"/>
              </w:rPr>
              <w:t>.0</w:t>
            </w:r>
          </w:p>
        </w:tc>
        <w:tc>
          <w:tcPr>
            <w:tcW w:w="78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40" w:type="dxa"/>
            <w:vMerge w:val="continue"/>
            <w:noWrap w:val="0"/>
            <w:vAlign w:val="center"/>
          </w:tcPr>
          <w:p>
            <w:pPr>
              <w:widowControl/>
              <w:spacing w:line="240" w:lineRule="auto"/>
              <w:jc w:val="left"/>
              <w:rPr>
                <w:rFonts w:ascii="宋体" w:hAnsi="宋体" w:cs="宋体"/>
                <w:color w:val="auto"/>
                <w:kern w:val="0"/>
                <w:sz w:val="24"/>
                <w:szCs w:val="24"/>
                <w:highlight w:val="none"/>
              </w:rPr>
            </w:pPr>
          </w:p>
        </w:tc>
        <w:tc>
          <w:tcPr>
            <w:tcW w:w="524" w:type="dxa"/>
            <w:noWrap w:val="0"/>
            <w:vAlign w:val="center"/>
          </w:tcPr>
          <w:p>
            <w:pPr>
              <w:widowControl/>
              <w:spacing w:line="24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7047" w:type="dxa"/>
            <w:noWrap w:val="0"/>
            <w:vAlign w:val="center"/>
          </w:tcPr>
          <w:p>
            <w:pPr>
              <w:widowControl/>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服务承诺（根据售后服务方案、措施、响应等情况综合评定）</w:t>
            </w:r>
          </w:p>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一般2.0-</w:t>
            </w:r>
            <w:r>
              <w:rPr>
                <w:rFonts w:hint="eastAsia" w:ascii="宋体" w:hAnsi="宋体" w:eastAsia="宋体" w:cs="宋体"/>
                <w:color w:val="auto"/>
                <w:kern w:val="0"/>
                <w:sz w:val="24"/>
                <w:szCs w:val="24"/>
                <w:highlight w:val="none"/>
                <w:lang w:val="en-US" w:eastAsia="zh-CN"/>
              </w:rPr>
              <w:t>3.0</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较好</w:t>
            </w:r>
            <w:r>
              <w:rPr>
                <w:rFonts w:hint="eastAsia" w:ascii="宋体" w:hAnsi="宋体" w:eastAsia="宋体" w:cs="宋体"/>
                <w:color w:val="auto"/>
                <w:kern w:val="0"/>
                <w:sz w:val="24"/>
                <w:szCs w:val="24"/>
                <w:highlight w:val="none"/>
                <w:lang w:val="en-US" w:eastAsia="zh-CN"/>
              </w:rPr>
              <w:t>3.1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好5.1-</w:t>
            </w:r>
            <w:r>
              <w:rPr>
                <w:rFonts w:hint="eastAsia" w:ascii="宋体" w:hAnsi="宋体" w:eastAsia="宋体" w:cs="宋体"/>
                <w:color w:val="auto"/>
                <w:kern w:val="0"/>
                <w:sz w:val="24"/>
                <w:szCs w:val="24"/>
                <w:highlight w:val="none"/>
                <w:lang w:val="en-US" w:eastAsia="zh-CN"/>
              </w:rPr>
              <w:t>6</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 xml:space="preserve"> </w:t>
            </w:r>
          </w:p>
        </w:tc>
        <w:tc>
          <w:tcPr>
            <w:tcW w:w="78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r>
    </w:tbl>
    <w:p>
      <w:pPr>
        <w:widowControl/>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1、评分条款中涉及的业绩、荣誉、人员、社保等分公司均有效。</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3、响应人编制响应文件（商务技术文件部分）时，建议按此目录（序号和内容）提供评审标准相应的商务技术资料。</w:t>
      </w:r>
    </w:p>
    <w:p>
      <w:pPr>
        <w:widowControl/>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标项1、标项2：</w:t>
      </w:r>
      <w:r>
        <w:rPr>
          <w:rFonts w:hint="eastAsia" w:ascii="宋体" w:hAnsi="宋体" w:eastAsia="宋体" w:cs="宋体"/>
          <w:b/>
          <w:bCs/>
          <w:color w:val="auto"/>
          <w:sz w:val="24"/>
          <w:highlight w:val="none"/>
        </w:rPr>
        <w:t>2、价格</w:t>
      </w:r>
      <w:r>
        <w:rPr>
          <w:rFonts w:hint="eastAsia" w:ascii="宋体" w:hAnsi="宋体" w:eastAsia="宋体" w:cs="宋体"/>
          <w:b/>
          <w:bCs/>
          <w:color w:val="auto"/>
          <w:sz w:val="24"/>
          <w:highlight w:val="none"/>
          <w:lang w:val="en-US" w:eastAsia="zh-CN"/>
        </w:rPr>
        <w:t>部分</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30</w:t>
      </w:r>
      <w:r>
        <w:rPr>
          <w:rFonts w:hint="eastAsia" w:ascii="宋体" w:hAnsi="宋体" w:eastAsia="宋体" w:cs="宋体"/>
          <w:b/>
          <w:bCs/>
          <w:color w:val="auto"/>
          <w:sz w:val="24"/>
          <w:highlight w:val="none"/>
        </w:rPr>
        <w:t>分）：</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7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95" w:type="dxa"/>
            <w:noWrap w:val="0"/>
            <w:vAlign w:val="center"/>
          </w:tcPr>
          <w:p>
            <w:pPr>
              <w:jc w:val="center"/>
              <w:rPr>
                <w:rFonts w:ascii="宋体" w:hAnsi="宋体"/>
                <w:color w:val="auto"/>
                <w:sz w:val="24"/>
                <w:highlight w:val="none"/>
              </w:rPr>
            </w:pPr>
            <w:r>
              <w:rPr>
                <w:rFonts w:hint="eastAsia" w:ascii="宋体" w:hAnsi="宋体"/>
                <w:color w:val="auto"/>
                <w:sz w:val="24"/>
                <w:highlight w:val="none"/>
              </w:rPr>
              <w:t>价格权值</w:t>
            </w:r>
          </w:p>
        </w:tc>
        <w:tc>
          <w:tcPr>
            <w:tcW w:w="7096" w:type="dxa"/>
            <w:noWrap w:val="0"/>
            <w:vAlign w:val="center"/>
          </w:tcPr>
          <w:p>
            <w:pPr>
              <w:jc w:val="center"/>
              <w:rPr>
                <w:rFonts w:ascii="宋体" w:hAnsi="宋体"/>
                <w:color w:val="auto"/>
                <w:sz w:val="24"/>
                <w:highlight w:val="none"/>
              </w:rPr>
            </w:pPr>
            <w:r>
              <w:rPr>
                <w:rFonts w:hint="eastAsia" w:ascii="宋体" w:hAnsi="宋体"/>
                <w:color w:val="auto"/>
                <w:sz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995" w:type="dxa"/>
            <w:noWrap w:val="0"/>
            <w:vAlign w:val="center"/>
          </w:tcPr>
          <w:p>
            <w:pPr>
              <w:spacing w:line="360" w:lineRule="exact"/>
              <w:jc w:val="center"/>
              <w:rPr>
                <w:rFonts w:hint="eastAsia" w:ascii="宋体" w:hAnsi="宋体"/>
                <w:color w:val="auto"/>
                <w:sz w:val="24"/>
                <w:highlight w:val="none"/>
              </w:rPr>
            </w:pPr>
            <w:r>
              <w:rPr>
                <w:rFonts w:hint="eastAsia" w:ascii="宋体" w:hAnsi="宋体" w:cs="宋体"/>
                <w:color w:val="auto"/>
                <w:sz w:val="24"/>
                <w:highlight w:val="none"/>
              </w:rPr>
              <w:t>价格权值=0.30</w:t>
            </w:r>
          </w:p>
        </w:tc>
        <w:tc>
          <w:tcPr>
            <w:tcW w:w="7096" w:type="dxa"/>
            <w:noWrap w:val="0"/>
            <w:vAlign w:val="center"/>
          </w:tcPr>
          <w:p>
            <w:pPr>
              <w:widowControl/>
              <w:rPr>
                <w:rFonts w:hint="eastAsia" w:ascii="宋体" w:hAnsi="宋体" w:cs="宋体"/>
                <w:color w:val="auto"/>
                <w:sz w:val="24"/>
                <w:highlight w:val="none"/>
              </w:rPr>
            </w:pPr>
            <w:r>
              <w:rPr>
                <w:rFonts w:hint="eastAsia" w:ascii="宋体" w:hAnsi="宋体" w:cs="宋体"/>
                <w:color w:val="auto"/>
                <w:sz w:val="24"/>
                <w:highlight w:val="none"/>
              </w:rPr>
              <w:t>所有有效响应优惠率的平均值为评审基准优惠率。</w:t>
            </w:r>
          </w:p>
          <w:p>
            <w:pPr>
              <w:widowControl/>
              <w:rPr>
                <w:rFonts w:hint="eastAsia" w:ascii="宋体" w:hAnsi="宋体" w:cs="宋体"/>
                <w:color w:val="auto"/>
                <w:sz w:val="24"/>
                <w:highlight w:val="none"/>
              </w:rPr>
            </w:pPr>
            <w:r>
              <w:rPr>
                <w:rFonts w:hint="eastAsia" w:ascii="宋体" w:hAnsi="宋体" w:cs="宋体"/>
                <w:color w:val="auto"/>
                <w:sz w:val="24"/>
                <w:highlight w:val="none"/>
              </w:rPr>
              <w:t>a)响应优惠率等于基准优惠率的为满分，即30分。</w:t>
            </w:r>
          </w:p>
          <w:p>
            <w:pPr>
              <w:widowControl/>
              <w:rPr>
                <w:rFonts w:hint="eastAsia" w:ascii="宋体" w:hAnsi="宋体" w:cs="宋体"/>
                <w:color w:val="auto"/>
                <w:sz w:val="24"/>
                <w:highlight w:val="none"/>
              </w:rPr>
            </w:pPr>
            <w:r>
              <w:rPr>
                <w:rFonts w:hint="eastAsia" w:ascii="宋体" w:hAnsi="宋体" w:cs="宋体"/>
                <w:color w:val="auto"/>
                <w:sz w:val="24"/>
                <w:highlight w:val="none"/>
              </w:rPr>
              <w:t>b)当响应人的响应优惠率与评审基准优惠率的比值每高一个百分点时在满分基础上扣0.3分，扣至0分止；即得分＝30－|[（响应优惠率/评标基准优惠率）－1]*100*0.3|</w:t>
            </w:r>
          </w:p>
          <w:p>
            <w:pPr>
              <w:widowControl/>
              <w:rPr>
                <w:rFonts w:hint="eastAsia" w:ascii="宋体" w:hAnsi="宋体" w:cs="宋体"/>
                <w:color w:val="auto"/>
                <w:sz w:val="24"/>
                <w:highlight w:val="none"/>
              </w:rPr>
            </w:pPr>
            <w:r>
              <w:rPr>
                <w:rFonts w:hint="eastAsia" w:ascii="宋体" w:hAnsi="宋体" w:cs="宋体"/>
                <w:color w:val="auto"/>
                <w:sz w:val="24"/>
                <w:highlight w:val="none"/>
              </w:rPr>
              <w:t>C)当响应人的响应优惠率与评审基准优惠率的比值每低一个百分点时在满分基础上扣0.5分，扣至0分止；得分＝30－|[（响应优惠率/评标基准优惠率）－1]*100*0.5|</w:t>
            </w:r>
          </w:p>
          <w:p>
            <w:pPr>
              <w:widowControl/>
              <w:rPr>
                <w:rFonts w:ascii="宋体" w:hAnsi="宋体"/>
                <w:color w:val="auto"/>
                <w:sz w:val="24"/>
                <w:highlight w:val="none"/>
              </w:rPr>
            </w:pPr>
            <w:r>
              <w:rPr>
                <w:rFonts w:hint="eastAsia" w:ascii="宋体" w:hAnsi="宋体" w:cs="宋体"/>
                <w:color w:val="auto"/>
                <w:sz w:val="24"/>
                <w:highlight w:val="none"/>
              </w:rPr>
              <w:t>不为整数时用插入法计算（分值保留二位小数，四舍五入）。</w:t>
            </w:r>
          </w:p>
        </w:tc>
      </w:tr>
    </w:tbl>
    <w:p>
      <w:pPr>
        <w:spacing w:line="360" w:lineRule="auto"/>
        <w:ind w:firstLine="482" w:firstLineChars="200"/>
        <w:rPr>
          <w:rFonts w:hint="eastAsia" w:ascii="宋体" w:hAnsi="宋体" w:eastAsia="宋体" w:cs="宋体"/>
          <w:b/>
          <w:color w:val="auto"/>
          <w:sz w:val="32"/>
          <w:highlight w:val="none"/>
        </w:rPr>
      </w:pPr>
      <w:r>
        <w:rPr>
          <w:rFonts w:hint="eastAsia" w:ascii="宋体" w:hAnsi="宋体" w:eastAsia="宋体" w:cs="宋体"/>
          <w:b/>
          <w:bCs/>
          <w:color w:val="auto"/>
          <w:sz w:val="24"/>
          <w:highlight w:val="none"/>
        </w:rPr>
        <w:t>注：本项目为优惠率报价，最高响应优惠率为20%，最低响应优惠率为1</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%，响应优惠率超过最高优惠率或低于最低优惠率均作无效</w:t>
      </w:r>
      <w:r>
        <w:rPr>
          <w:rFonts w:hint="eastAsia" w:ascii="宋体" w:hAnsi="宋体" w:cs="宋体"/>
          <w:b/>
          <w:bCs/>
          <w:color w:val="auto"/>
          <w:sz w:val="24"/>
          <w:highlight w:val="none"/>
          <w:lang w:val="en-US" w:eastAsia="zh-CN"/>
        </w:rPr>
        <w:t>响应</w:t>
      </w:r>
      <w:r>
        <w:rPr>
          <w:rFonts w:hint="eastAsia" w:ascii="宋体" w:hAnsi="宋体" w:eastAsia="宋体" w:cs="宋体"/>
          <w:b/>
          <w:bCs/>
          <w:color w:val="auto"/>
          <w:sz w:val="24"/>
          <w:highlight w:val="none"/>
        </w:rPr>
        <w:t>处理。</w:t>
      </w:r>
      <w:r>
        <w:rPr>
          <w:rFonts w:hint="eastAsia" w:ascii="宋体" w:hAnsi="宋体" w:eastAsia="宋体" w:cs="宋体"/>
          <w:b/>
          <w:color w:val="auto"/>
          <w:sz w:val="32"/>
          <w:highlight w:val="none"/>
        </w:rPr>
        <w:br w:type="page"/>
      </w:r>
    </w:p>
    <w:p>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一、交易方法</w:t>
      </w:r>
    </w:p>
    <w:p>
      <w:pPr>
        <w:adjustRightInd/>
        <w:spacing w:line="57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w:t>
      </w:r>
      <w:r>
        <w:rPr>
          <w:rFonts w:hint="eastAsia" w:ascii="宋体" w:hAnsi="宋体" w:cs="宋体"/>
          <w:b/>
          <w:color w:val="auto"/>
          <w:kern w:val="0"/>
          <w:sz w:val="24"/>
          <w:highlight w:val="none"/>
          <w:lang w:val="en-US" w:eastAsia="zh-CN"/>
        </w:rPr>
        <w:t>分</w:t>
      </w:r>
      <w:r>
        <w:rPr>
          <w:rFonts w:hint="eastAsia" w:ascii="宋体" w:hAnsi="宋体" w:eastAsia="宋体" w:cs="宋体"/>
          <w:b/>
          <w:color w:val="auto"/>
          <w:kern w:val="0"/>
          <w:sz w:val="24"/>
          <w:highlight w:val="none"/>
        </w:rPr>
        <w:t>法。</w:t>
      </w:r>
      <w:r>
        <w:rPr>
          <w:rFonts w:hint="eastAsia" w:ascii="宋体" w:hAnsi="宋体" w:eastAsia="宋体" w:cs="宋体"/>
          <w:color w:val="auto"/>
          <w:kern w:val="0"/>
          <w:sz w:val="24"/>
          <w:highlight w:val="none"/>
        </w:rPr>
        <w:t>综合评</w:t>
      </w:r>
      <w:r>
        <w:rPr>
          <w:rFonts w:hint="eastAsia" w:ascii="宋体" w:hAnsi="宋体" w:cs="宋体"/>
          <w:color w:val="auto"/>
          <w:kern w:val="0"/>
          <w:sz w:val="24"/>
          <w:highlight w:val="none"/>
          <w:lang w:val="en-US" w:eastAsia="zh-CN"/>
        </w:rPr>
        <w:t>分</w:t>
      </w:r>
      <w:r>
        <w:rPr>
          <w:rFonts w:hint="eastAsia" w:ascii="宋体" w:hAnsi="宋体" w:eastAsia="宋体" w:cs="宋体"/>
          <w:color w:val="auto"/>
          <w:kern w:val="0"/>
          <w:sz w:val="24"/>
          <w:highlight w:val="none"/>
        </w:rPr>
        <w:t>法，是指响应文件满足公开竞争文件全部实质性要求，且按照评审因素的量化指标评审得分最高的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的评标方法。</w:t>
      </w:r>
    </w:p>
    <w:p>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二、交易标准</w:t>
      </w:r>
    </w:p>
    <w:p>
      <w:pPr>
        <w:spacing w:line="570" w:lineRule="exact"/>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见交易办法前附表。</w:t>
      </w:r>
    </w:p>
    <w:p>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三、交易程序</w:t>
      </w:r>
    </w:p>
    <w:bookmarkEnd w:id="15"/>
    <w:p>
      <w:pPr>
        <w:spacing w:line="570" w:lineRule="exact"/>
        <w:ind w:firstLine="472" w:firstLineChars="196"/>
        <w:rPr>
          <w:rFonts w:hint="eastAsia" w:ascii="宋体" w:hAnsi="宋体" w:eastAsia="宋体" w:cs="宋体"/>
          <w:color w:val="auto"/>
          <w:kern w:val="0"/>
          <w:sz w:val="24"/>
          <w:highlight w:val="none"/>
        </w:rPr>
      </w:pPr>
      <w:bookmarkStart w:id="381" w:name="第五部分"/>
      <w:bookmarkStart w:id="382" w:name="_Toc86217003"/>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rPr>
        <w:t>评审委员会应当按照公开竞争文件中规定的评标方法和标准，对符合性审查合格的响应文件进行商务和技术评估，综合比较与评价。</w:t>
      </w:r>
    </w:p>
    <w:p>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评审委员会各成员应当独立对每个响应人的商务和技术文件进行评价，并汇总商务技术得分情况。</w:t>
      </w:r>
    </w:p>
    <w:p>
      <w:pPr>
        <w:spacing w:line="570" w:lineRule="exact"/>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7"/>
        <w:spacing w:before="0" w:line="570" w:lineRule="exact"/>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3.4.1响应文件报价出现前后不一致的，按照下列规定修正：</w:t>
      </w:r>
    </w:p>
    <w:p>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3.4.1.1响应文件中交易一览表(报价表)内容与响应文件中相应内容不一致的，以交易一览表(报价表)为准；</w:t>
      </w:r>
    </w:p>
    <w:p>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3.4.1.3单价金额小数点或者百分比有明显错位的，以交易一览表的总价为准，并修改单价；</w:t>
      </w:r>
    </w:p>
    <w:p>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pPr>
        <w:snapToGrid w:val="0"/>
        <w:spacing w:line="57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3.4.2响应文件出现不是唯一的、有选择性交易报价的，交易无效。</w:t>
      </w:r>
    </w:p>
    <w:p>
      <w:pPr>
        <w:snapToGrid w:val="0"/>
        <w:spacing w:line="57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3.4.3交易报价超过公开竞争文件中规定的预算金额或者最高限价的，交易无效。</w:t>
      </w:r>
    </w:p>
    <w:p>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pPr>
        <w:spacing w:line="570" w:lineRule="exact"/>
        <w:ind w:firstLine="482" w:firstLineChars="200"/>
        <w:rPr>
          <w:rFonts w:hint="eastAsia" w:ascii="宋体" w:hAnsi="宋体" w:eastAsia="宋体" w:cs="宋体"/>
          <w:color w:val="auto"/>
          <w:kern w:val="0"/>
          <w:sz w:val="24"/>
          <w:highlight w:val="none"/>
          <w:lang w:eastAsia="zh-CN"/>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w:t>
      </w:r>
      <w:r>
        <w:rPr>
          <w:rFonts w:hint="eastAsia" w:ascii="宋体" w:hAnsi="宋体" w:cs="宋体"/>
          <w:color w:val="auto"/>
          <w:kern w:val="0"/>
          <w:sz w:val="24"/>
          <w:highlight w:val="none"/>
          <w:lang w:val="en-US" w:eastAsia="zh-CN"/>
        </w:rPr>
        <w:t>分</w:t>
      </w:r>
      <w:r>
        <w:rPr>
          <w:rFonts w:hint="eastAsia" w:ascii="宋体" w:hAnsi="宋体" w:eastAsia="宋体" w:cs="宋体"/>
          <w:color w:val="auto"/>
          <w:kern w:val="0"/>
          <w:sz w:val="24"/>
          <w:highlight w:val="none"/>
        </w:rPr>
        <w:t>法的，评标结果按评审后得分由高到低顺序排列。得分相同的，按交易报价由低到高顺序排列。得分且交易报价相同的并列。</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为排名第一的</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w:t>
      </w:r>
    </w:p>
    <w:p>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3.6编写评审报告。</w:t>
      </w:r>
      <w:r>
        <w:rPr>
          <w:rFonts w:hint="eastAsia" w:ascii="宋体" w:hAnsi="宋体" w:eastAsia="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pPr>
        <w:pStyle w:val="137"/>
        <w:spacing w:before="0" w:line="570" w:lineRule="exact"/>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4.1响应人澄清、说明或者补正。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pPr>
        <w:pStyle w:val="17"/>
        <w:spacing w:line="570" w:lineRule="exact"/>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4.2交易无效。</w:t>
      </w:r>
      <w:r>
        <w:rPr>
          <w:rFonts w:hint="eastAsia" w:ascii="宋体" w:hAnsi="宋体" w:eastAsia="宋体" w:cs="宋体"/>
          <w:color w:val="auto"/>
          <w:szCs w:val="21"/>
          <w:highlight w:val="none"/>
        </w:rPr>
        <w:t>有下列情形之一的，交易无效：</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4.2.1响应人不具备公开竞争文件中规定的资格要求的（响应人未提供有效的资格文件的，视为响应人不具备公开竞争文件中规定的资格要求）；</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4.2.2响应文件未按照公开竞争文件要求签署、盖章的；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4.2.3响应文件含有交易发起人不能接受的附加条件的；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4.2.4响应文件中承诺的交易有效期少于公开竞争文件中载明的交易有效期的；</w:t>
      </w:r>
    </w:p>
    <w:p>
      <w:pPr>
        <w:snapToGrid w:val="0"/>
        <w:spacing w:line="570" w:lineRule="exact"/>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4.2.5响应文件出现不是唯一的、有选择性交易报价的；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4.2.6交易报价超过公开竞争文件中规定的预算金额或者最高限价的；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4.2.8响应人对根据修正原则修正后的报价不确认的；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4.2.9响应人提供虚假材料投标的；</w:t>
      </w:r>
    </w:p>
    <w:p>
      <w:pPr>
        <w:spacing w:line="570" w:lineRule="exact"/>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4.2.10响应人有恶意串通、妨碍其他响应人的竞争行为、损害交易发起人或者其他响应人的合法权益情形的；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4.2.11响应人未在电子交易平台传输递交响应文件的，交易无效；</w:t>
      </w:r>
    </w:p>
    <w:p>
      <w:pPr>
        <w:pStyle w:val="3"/>
        <w:spacing w:line="570" w:lineRule="exact"/>
        <w:ind w:left="862" w:leftChars="205"/>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4.2.12响应文件不满足公开竞争文件的其它实质性要求的；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4.2.13法律、法规、规章（适用本市的）及省级以上规范性文件（适用本市的）规定的其他无效情形。</w:t>
      </w:r>
    </w:p>
    <w:p>
      <w:pPr>
        <w:pStyle w:val="17"/>
        <w:snapToGrid w:val="0"/>
        <w:spacing w:line="570" w:lineRule="exact"/>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根据《中华人民共和国政府采购法》第三十六条之规定，在交易过程中，出现下列情形之一的，应予废标：</w:t>
      </w:r>
    </w:p>
    <w:p>
      <w:pPr>
        <w:pStyle w:val="17"/>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5.1符合专业条件的响应人或者对公开竞争文件作实质响应的响应人不足</w:t>
      </w:r>
      <w:r>
        <w:rPr>
          <w:rFonts w:hint="eastAsia" w:cs="宋体"/>
          <w:color w:val="auto"/>
          <w:highlight w:val="none"/>
          <w:lang w:val="en-US" w:eastAsia="zh-CN"/>
        </w:rPr>
        <w:t>3</w:t>
      </w:r>
      <w:r>
        <w:rPr>
          <w:rFonts w:hint="eastAsia" w:ascii="宋体" w:hAnsi="宋体" w:eastAsia="宋体" w:cs="宋体"/>
          <w:color w:val="auto"/>
          <w:highlight w:val="none"/>
        </w:rPr>
        <w:t>家的；</w:t>
      </w:r>
    </w:p>
    <w:p>
      <w:pPr>
        <w:pStyle w:val="17"/>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17"/>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5.3响应人的报价均超过了采购预算，交易发起人不能支付的；</w:t>
      </w:r>
    </w:p>
    <w:p>
      <w:pPr>
        <w:pStyle w:val="17"/>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17"/>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废标后，代理机构应当将废标理由通知所有响应人。</w:t>
      </w:r>
    </w:p>
    <w:p>
      <w:pPr>
        <w:pStyle w:val="17"/>
        <w:snapToGrid w:val="0"/>
        <w:spacing w:line="570" w:lineRule="exact"/>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6.修改公开竞争文件，重新组织交易活动。</w:t>
      </w:r>
      <w:r>
        <w:rPr>
          <w:rFonts w:hint="eastAsia" w:ascii="宋体" w:hAnsi="宋体" w:eastAsia="宋体" w:cs="宋体"/>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pPr>
        <w:pStyle w:val="17"/>
        <w:snapToGrid w:val="0"/>
        <w:spacing w:line="570" w:lineRule="exact"/>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7.重新开展交易。</w:t>
      </w:r>
      <w:r>
        <w:rPr>
          <w:rFonts w:hint="eastAsia" w:ascii="宋体" w:hAnsi="宋体" w:eastAsia="宋体" w:cs="宋体"/>
          <w:color w:val="auto"/>
          <w:highlight w:val="none"/>
        </w:rPr>
        <w:t>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、成交结果的，依照下列规定处理：</w:t>
      </w:r>
    </w:p>
    <w:p>
      <w:pPr>
        <w:pStyle w:val="17"/>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或者成交人的，终止本次交易活动，重新开展交易活动。</w:t>
      </w:r>
    </w:p>
    <w:p>
      <w:pPr>
        <w:pStyle w:val="17"/>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或者成交人但尚未签订合同的，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pPr>
        <w:pStyle w:val="17"/>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7.3书面合同已签订但尚未履行的，撤销合同，从合格的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pPr>
        <w:pStyle w:val="17"/>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7.4书面合同已经履行，给交易发起人、响应人造成损失的，由责任人承担赔偿责任。</w:t>
      </w:r>
    </w:p>
    <w:p>
      <w:pPr>
        <w:pStyle w:val="17"/>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7.5交易当事人有其他违反政府采购法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、成交无效的，依照7.1-7.4规定处理。</w:t>
      </w:r>
    </w:p>
    <w:p>
      <w:pPr>
        <w:pStyle w:val="17"/>
        <w:snapToGrid w:val="0"/>
        <w:spacing w:line="360" w:lineRule="auto"/>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numPr>
          <w:ilvl w:val="0"/>
          <w:numId w:val="0"/>
        </w:numPr>
        <w:spacing w:line="360" w:lineRule="auto"/>
        <w:ind w:left="718" w:leftChars="342" w:firstLine="119" w:firstLineChars="3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kern w:val="2"/>
          <w:sz w:val="36"/>
          <w:szCs w:val="36"/>
          <w:highlight w:val="none"/>
          <w:lang w:val="en-US" w:eastAsia="zh-CN" w:bidi="ar-SA"/>
        </w:rPr>
        <w:t xml:space="preserve">第五部分 </w:t>
      </w:r>
      <w:r>
        <w:rPr>
          <w:rFonts w:hint="eastAsia" w:ascii="宋体" w:hAnsi="宋体" w:eastAsia="宋体" w:cs="宋体"/>
          <w:b/>
          <w:color w:val="auto"/>
          <w:sz w:val="36"/>
          <w:szCs w:val="36"/>
          <w:highlight w:val="none"/>
        </w:rPr>
        <w:t>拟签订的合同文本</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本合同为合同样稿，仅供参考，具体以双方签定的正式合同为准，合同内容不得违背本交易文件实质性要求。</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甲方(1)</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发包人1</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甲方(2)</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发包人2</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乙方（承包人）：</w:t>
      </w:r>
      <w:r>
        <w:rPr>
          <w:rFonts w:hint="eastAsia" w:ascii="宋体" w:hAnsi="宋体" w:eastAsia="宋体" w:cs="宋体"/>
          <w:color w:val="auto"/>
          <w:sz w:val="24"/>
          <w:highlight w:val="none"/>
        </w:rPr>
        <w:t xml:space="preserve">                                     </w:t>
      </w:r>
    </w:p>
    <w:p>
      <w:pPr>
        <w:spacing w:line="360" w:lineRule="auto"/>
        <w:ind w:firstLine="480" w:firstLineChars="200"/>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甲方(1)、甲方(2)及乙方</w:t>
      </w: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项目（交易编号</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）交易结果和交易文件的要求，并经</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rPr>
        <w:t>方协调一致，订立本交易合同。</w:t>
      </w:r>
      <w:r>
        <w:rPr>
          <w:rFonts w:hint="eastAsia" w:ascii="宋体" w:hAnsi="宋体" w:cs="宋体"/>
          <w:color w:val="auto"/>
          <w:sz w:val="24"/>
          <w:highlight w:val="none"/>
          <w:lang w:val="en-US" w:eastAsia="zh-CN"/>
        </w:rPr>
        <w:t>以下内容无特指情况下，甲方为甲方(1)和甲方(2)的统称。</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一、合同文件</w:t>
      </w:r>
      <w:r>
        <w:rPr>
          <w:rFonts w:hint="eastAsia" w:ascii="宋体" w:hAnsi="宋体" w:cs="宋体"/>
          <w:color w:val="auto"/>
          <w:sz w:val="24"/>
          <w:highlight w:val="none"/>
          <w:lang w:val="en-US" w:eastAsia="zh-CN"/>
        </w:rPr>
        <w:t>组成</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合同条款。</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成交通知书。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交易文件。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更正公告。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成交单位响应文件。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其他。</w:t>
      </w:r>
    </w:p>
    <w:p>
      <w:pPr>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二、服务内容及范围</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1.服务内容: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项目（包括但不限于建（构）筑物的维修维护及装修、设施设备维修维护、市政设施维修维护、绿化养护以及其他新建、改（扩）建项目等，具体委托项目内容在各项任务委托书中明确）。</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2.服务范围：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三、服务要求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1.服务采用包工、包料、包工期、包质量、包安全的形式。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2.本项目由乙方实行总承包，不得转包或违规分包，一经发现乙方存在转包或违规分包的行为，本项目合同立即自动终止，并向乙方索赔任务单造价5%以上10%以下的罚款。同时甲方有权没收乙方履约保证金。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3.乙方需无条件服从甲方的管理及相关要求。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4.乙方须做好现场施工人员及周边交通安全文明维护工作，若因各种原因造成的各类安全事故均由乙方负责与甲方无关。</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在收到数字城管案卷或督办单信息后，需在1小时内到达案卷或督办单现场，在数字城管案卷或督办单规定的处理时间范围内完成维修或维护，并及时将情况反馈给甲方，务必确保服务期内甲方数字城管案卷及督办单解决率与及时解决率均达到100%。</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6.在防汛、防台、防雪等特殊时期，乙方需成立应急工作组，并做好抢险的人员、机械等准备工作，确保随时能在第一时间到达事故现场，使抢险工作顺利进行。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四、合同金额</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1.本合同暂定</w:t>
      </w:r>
      <w:r>
        <w:rPr>
          <w:rFonts w:hint="eastAsia" w:ascii="宋体" w:hAnsi="宋体" w:cs="宋体"/>
          <w:color w:val="auto"/>
          <w:sz w:val="24"/>
          <w:highlight w:val="none"/>
          <w:lang w:val="en-US" w:eastAsia="zh-CN"/>
        </w:rPr>
        <w:t>总价</w:t>
      </w:r>
      <w:r>
        <w:rPr>
          <w:rFonts w:hint="eastAsia" w:ascii="宋体" w:hAnsi="宋体" w:eastAsia="宋体" w:cs="宋体"/>
          <w:color w:val="auto"/>
          <w:sz w:val="24"/>
          <w:highlight w:val="none"/>
        </w:rPr>
        <w:t>为(大写)</w:t>
      </w:r>
      <w:r>
        <w:rPr>
          <w:rFonts w:hint="eastAsia" w:ascii="宋体" w:hAnsi="宋体" w:eastAsia="宋体" w:cs="宋体"/>
          <w:color w:val="auto"/>
          <w:sz w:val="24"/>
          <w:highlight w:val="none"/>
          <w:u w:val="single"/>
        </w:rPr>
        <w:t>人民币壹佰玖拾捌万</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u w:val="single"/>
        </w:rPr>
        <w:t>1980000</w:t>
      </w:r>
      <w:r>
        <w:rPr>
          <w:rFonts w:hint="eastAsia" w:ascii="宋体" w:hAnsi="宋体" w:eastAsia="宋体" w:cs="宋体"/>
          <w:color w:val="auto"/>
          <w:sz w:val="24"/>
          <w:highlight w:val="none"/>
        </w:rPr>
        <w:t>元）</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具体以实际结算金额为准，最终合同实际结算总金额不得超过本合同暂定总价</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2.在服务期内，</w:t>
      </w:r>
      <w:r>
        <w:rPr>
          <w:rFonts w:hint="eastAsia" w:ascii="宋体" w:hAnsi="宋体" w:cs="宋体"/>
          <w:color w:val="auto"/>
          <w:sz w:val="24"/>
          <w:highlight w:val="none"/>
          <w:lang w:val="en-US" w:eastAsia="zh-CN"/>
        </w:rPr>
        <w:t>本次项目交易中</w:t>
      </w:r>
      <w:r>
        <w:rPr>
          <w:rFonts w:hint="eastAsia" w:ascii="宋体" w:hAnsi="宋体" w:eastAsia="宋体" w:cs="宋体"/>
          <w:color w:val="auto"/>
          <w:sz w:val="24"/>
          <w:highlight w:val="none"/>
        </w:rPr>
        <w:t>任意一标项</w:t>
      </w:r>
      <w:r>
        <w:rPr>
          <w:rFonts w:hint="eastAsia" w:ascii="宋体" w:hAnsi="宋体" w:cs="宋体"/>
          <w:color w:val="auto"/>
          <w:sz w:val="24"/>
          <w:highlight w:val="none"/>
          <w:lang w:val="en-US" w:eastAsia="zh-CN"/>
        </w:rPr>
        <w:t>的合同</w:t>
      </w:r>
      <w:r>
        <w:rPr>
          <w:rFonts w:hint="eastAsia" w:ascii="宋体" w:hAnsi="宋体" w:eastAsia="宋体" w:cs="宋体"/>
          <w:color w:val="auto"/>
          <w:sz w:val="24"/>
          <w:highlight w:val="none"/>
        </w:rPr>
        <w:t>实际结算金额累计达到该标项</w:t>
      </w:r>
      <w:r>
        <w:rPr>
          <w:rFonts w:hint="eastAsia" w:ascii="宋体" w:hAnsi="宋体" w:cs="宋体"/>
          <w:color w:val="auto"/>
          <w:sz w:val="24"/>
          <w:highlight w:val="none"/>
          <w:lang w:val="en-US" w:eastAsia="zh-CN"/>
        </w:rPr>
        <w:t>合同暂定总价</w:t>
      </w:r>
      <w:r>
        <w:rPr>
          <w:rFonts w:hint="eastAsia" w:ascii="宋体" w:hAnsi="宋体" w:eastAsia="宋体" w:cs="宋体"/>
          <w:color w:val="auto"/>
          <w:sz w:val="24"/>
          <w:highlight w:val="none"/>
        </w:rPr>
        <w:t>的90%及以上时，交易发起人有权停止委托并终止该标项合同，再次组织</w:t>
      </w:r>
      <w:r>
        <w:rPr>
          <w:rFonts w:hint="eastAsia" w:ascii="宋体" w:hAnsi="宋体" w:cs="宋体"/>
          <w:color w:val="auto"/>
          <w:sz w:val="24"/>
          <w:highlight w:val="none"/>
          <w:lang w:val="en-US" w:eastAsia="zh-CN"/>
        </w:rPr>
        <w:t>交易活动</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五、费用结算</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1.结算：所有</w:t>
      </w:r>
      <w:r>
        <w:rPr>
          <w:rFonts w:hint="eastAsia" w:ascii="宋体" w:hAnsi="宋体" w:cs="宋体"/>
          <w:color w:val="auto"/>
          <w:sz w:val="24"/>
          <w:highlight w:val="none"/>
          <w:lang w:val="en-US" w:eastAsia="zh-CN"/>
        </w:rPr>
        <w:t>任务</w:t>
      </w:r>
      <w:r>
        <w:rPr>
          <w:rFonts w:hint="eastAsia" w:ascii="宋体" w:hAnsi="宋体" w:eastAsia="宋体" w:cs="宋体"/>
          <w:color w:val="auto"/>
          <w:sz w:val="24"/>
          <w:highlight w:val="none"/>
        </w:rPr>
        <w:t>最终结算价为经</w:t>
      </w:r>
      <w:r>
        <w:rPr>
          <w:rFonts w:hint="eastAsia" w:ascii="宋体" w:hAnsi="宋体" w:cs="宋体"/>
          <w:color w:val="auto"/>
          <w:sz w:val="24"/>
          <w:highlight w:val="none"/>
          <w:lang w:val="en-US" w:eastAsia="zh-CN"/>
        </w:rPr>
        <w:t>甲方委托的</w:t>
      </w:r>
      <w:r>
        <w:rPr>
          <w:rFonts w:hint="eastAsia" w:ascii="宋体" w:hAnsi="宋体" w:eastAsia="宋体" w:cs="宋体"/>
          <w:color w:val="auto"/>
          <w:sz w:val="24"/>
          <w:highlight w:val="none"/>
        </w:rPr>
        <w:t>第三方审核机构结合本次成交优惠率</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审定的结算造价（舍五入为整数），费用每季度支付一次</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如当季度应结算的所有任务单累计送审价总额在20万元及以下的，当季度不进行费用结算，当季度应结算任务单费用顺延至下一季度结算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，单个</w:t>
      </w:r>
      <w:r>
        <w:rPr>
          <w:rFonts w:hint="eastAsia" w:ascii="宋体" w:hAnsi="宋体" w:cs="宋体"/>
          <w:color w:val="auto"/>
          <w:sz w:val="24"/>
          <w:highlight w:val="none"/>
          <w:lang w:val="en-US" w:eastAsia="zh-CN"/>
        </w:rPr>
        <w:t>任务</w:t>
      </w:r>
      <w:r>
        <w:rPr>
          <w:rFonts w:hint="eastAsia" w:ascii="宋体" w:hAnsi="宋体" w:eastAsia="宋体" w:cs="宋体"/>
          <w:color w:val="auto"/>
          <w:sz w:val="24"/>
          <w:highlight w:val="none"/>
        </w:rPr>
        <w:t>最终结算价不得超过50万元。重大、特殊的项目或单个项目额度较大的，甲方有权一标一招</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不在本合同范围中委托。</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2.所有任务单工程造价按相应委托任务单当期施工阶段的信息价及现行工程预算定额规定计取，最终经</w:t>
      </w:r>
      <w:r>
        <w:rPr>
          <w:rFonts w:hint="eastAsia" w:ascii="宋体" w:hAnsi="宋体" w:cs="宋体"/>
          <w:color w:val="auto"/>
          <w:sz w:val="24"/>
          <w:highlight w:val="none"/>
          <w:lang w:val="en-US" w:eastAsia="zh-CN"/>
        </w:rPr>
        <w:t>甲方委托的</w:t>
      </w:r>
      <w:r>
        <w:rPr>
          <w:rFonts w:hint="eastAsia" w:ascii="宋体" w:hAnsi="宋体" w:eastAsia="宋体" w:cs="宋体"/>
          <w:color w:val="auto"/>
          <w:sz w:val="24"/>
          <w:highlight w:val="none"/>
        </w:rPr>
        <w:t>第三方审核机构结合本次成交优惠率（单个任务单造价10000元及以下的小额零星项目内计价人工部分不再结合优惠率下浮，按实审定）审定结算造价。结算审核依据2018版浙江省预算定额及施工费用定额、《关于发布营改增后浙江省建设工程施工取费费率的通知》（浙建站定【2016】23号、浙建站定【2016】54号）、建建发【2018】104号文件及省、市、区现行有关造价管理文件；材料价格执行《杭州造价信息》萧山区建材价格（施工当期信息价）（未列材料执行杭州相应信息价）、安装材料执行《浙江造价信息》（施工当期信息价）（未列材料执行前几期信息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结算审核时如产生追加审计费，追加审计费由</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承担。</w:t>
      </w:r>
    </w:p>
    <w:p>
      <w:pPr>
        <w:numPr>
          <w:ilvl w:val="0"/>
          <w:numId w:val="0"/>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六、任务单流程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1.甲方根据装修、维修等工作的实际情况，不定期对乙方派发任务单。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2.乙方在接到甲方派发的任务单后，涉及独立、较大的任务单须在2天内以书面形式上报详细的建设计划，计划须根据甲方的任务单内容，明确说明该次任务的进度安排和人员、车辆、设备、安排等。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须严格按计划实施任务，并且及时汇报实际完成情况。单次任务单内容完成后，乙方必须立即通知甲方相关工作人员，并及时提交真实、完整的清单资料（甲方认为必要的，须提供竣工图纸），甲方将根据项目进度和质量等情况，对乙方进行验收。对评定不合格的任务单，乙方必须整改并通过甲方的再次验收，否则不予结算。</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4.除合同另有更严格约定外，对甲方派发（包括口头通知）的紧急任务，乙方须在甲方派发后一小时内响应，并在二小时内保质、保量完成，并及时汇报。甲方须在事后补发相关任务单。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七、合同期限</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本合同期限为一年，自</w:t>
      </w:r>
      <w:r>
        <w:rPr>
          <w:rFonts w:hint="eastAsia" w:ascii="宋体" w:hAnsi="宋体" w:cs="宋体"/>
          <w:color w:val="auto"/>
          <w:sz w:val="24"/>
          <w:highlight w:val="none"/>
          <w:lang w:val="en-US" w:eastAsia="zh-CN"/>
        </w:rPr>
        <w:t>XXXX</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XX</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XX</w:t>
      </w:r>
      <w:r>
        <w:rPr>
          <w:rFonts w:hint="eastAsia" w:ascii="宋体" w:hAnsi="宋体" w:eastAsia="宋体" w:cs="宋体"/>
          <w:color w:val="auto"/>
          <w:sz w:val="24"/>
          <w:highlight w:val="none"/>
        </w:rPr>
        <w:t>日起至</w:t>
      </w:r>
      <w:r>
        <w:rPr>
          <w:rFonts w:hint="eastAsia" w:ascii="宋体" w:hAnsi="宋体" w:cs="宋体"/>
          <w:color w:val="auto"/>
          <w:sz w:val="24"/>
          <w:highlight w:val="none"/>
          <w:lang w:val="en-US" w:eastAsia="zh-CN"/>
        </w:rPr>
        <w:t>XXXX</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XX</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XX</w:t>
      </w:r>
      <w:r>
        <w:rPr>
          <w:rFonts w:hint="eastAsia" w:ascii="宋体" w:hAnsi="宋体" w:eastAsia="宋体" w:cs="宋体"/>
          <w:color w:val="auto"/>
          <w:sz w:val="24"/>
          <w:highlight w:val="none"/>
        </w:rPr>
        <w:t>日止。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八、履约保证金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1.在本合同签订5个工作日内，乙方应向甲方</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支付履约保证金</w:t>
      </w:r>
      <w:r>
        <w:rPr>
          <w:rFonts w:hint="eastAsia" w:ascii="宋体" w:hAnsi="宋体" w:cs="宋体"/>
          <w:color w:val="auto"/>
          <w:sz w:val="24"/>
          <w:highlight w:val="none"/>
          <w:lang w:val="en-US" w:eastAsia="zh-CN"/>
        </w:rPr>
        <w:t>玖万玖仟</w:t>
      </w:r>
      <w:r>
        <w:rPr>
          <w:rFonts w:hint="eastAsia" w:ascii="宋体" w:hAnsi="宋体" w:eastAsia="宋体" w:cs="宋体"/>
          <w:color w:val="auto"/>
          <w:sz w:val="24"/>
          <w:highlight w:val="none"/>
        </w:rPr>
        <w:t>元整，作为乙方认真履行合同条款的保证。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没有履行本合同项下约定的责任和义务所需承担的违约金、赔偿金及其他费用，甲方有权直接从履约保证金中扣除，扣除后乙方在5个工作日内自行补足履约保证金。履约保证金不足以扣除的，甲方有权从任何一笔款项中扣除。履约保证金自合同到期后由甲方</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无息退还给乙方。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3.甲方根据相关考核制度对乙方进行单项考核、季度考核，根据考核结果甲方有权从履约保证金中扣除相应费用，90分（含）以上不扣费，90分（不含）至70分（含）扣除5000元</w:t>
      </w:r>
      <w:r>
        <w:rPr>
          <w:rFonts w:hint="eastAsia" w:ascii="宋体" w:hAnsi="宋体" w:cs="宋体"/>
          <w:color w:val="auto"/>
          <w:sz w:val="24"/>
          <w:highlight w:val="none"/>
          <w:lang w:val="en-US" w:eastAsia="zh-CN"/>
        </w:rPr>
        <w:t>/次</w:t>
      </w:r>
      <w:r>
        <w:rPr>
          <w:rFonts w:hint="eastAsia" w:ascii="宋体" w:hAnsi="宋体" w:eastAsia="宋体" w:cs="宋体"/>
          <w:color w:val="auto"/>
          <w:sz w:val="24"/>
          <w:highlight w:val="none"/>
        </w:rPr>
        <w:t>，70分（不含）以下扣除10000元</w:t>
      </w:r>
      <w:r>
        <w:rPr>
          <w:rFonts w:hint="eastAsia" w:ascii="宋体" w:hAnsi="宋体" w:cs="宋体"/>
          <w:color w:val="auto"/>
          <w:sz w:val="24"/>
          <w:highlight w:val="none"/>
          <w:lang w:val="en-US" w:eastAsia="zh-CN"/>
        </w:rPr>
        <w:t>/次</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九、付款方式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季度为单位进行结算。乙方按季度报送结算资料，经验收合格后费用支付至结算审核价的98.5%，剩余1.5%作为质量保修金，在质保期满后无质量问题一次性无息退还。每次付款前，乙方须开具等额的有效税务发票，否则甲方有权拒绝或延期支付费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本项目涉及设施、设备质保期为一年</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如涉及防水工程相关的，设施、设备质保期为两年</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如相关</w:t>
      </w:r>
      <w:r>
        <w:rPr>
          <w:rFonts w:hint="eastAsia" w:ascii="宋体" w:hAnsi="宋体" w:eastAsia="宋体" w:cs="宋体"/>
          <w:color w:val="auto"/>
          <w:sz w:val="24"/>
          <w:highlight w:val="none"/>
        </w:rPr>
        <w:t>原材料厂家质保期超过一年的，以厂家质保期为准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质保期按每个季度独立计算。</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十、安全文明施工要求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1.乙方必须严格遵守安全、文明施工的操作规程，完善相关措施，做好自身的保险等工作。乙方需自行为员工购买意外伤害保险，工作中发生的一切安全责任事故、投诉、信访，由乙方负责。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2.工程凡涉及治安、市政、市容、环保、交通、计划生育、所在地村民关系协调等发生的问题和费用均由乙方负责解决并承担经济支出。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工作组人员应严格按交易文件要求配备。若项目工作组人员不具备相关资质或在实施过程中施工人员与报表不符且不具备相应特种作业操作证的，甲方有权罚没全部合同履约保证金并终止合同，乙方承担由此引起的一切损失。</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4.乙方在施工时必须做好周边安全围护，施工人员在作业过程中必须穿警示背心，并设置相应的安全警示标志，特殊工种务必持证上岗。如出现相关的安全责任事故，由乙方承担相应责任。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5.乙方施工结束必须做好施工现场清洁工作，保证甲方设施及周边受施工影响区域的干净、整洁。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乙方在实际施工操作中应严格遵循施工规范，避免因现场施工、施工成品造成安全隐患或投诉、信访事件。若在今后的工作中发生安全事故或投诉、信访事件，一切责任均由乙方承担。乙方在施工过程中严格按规范做到安全文明施工，做好成品保护工作，在未验收合格前，设施设备出现的损毁等由乙方自行负责修复，相关费用不予另行结算。</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十一、责任与义务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①本合同性质为承揽合同，施工期间应当确保不发生安全事故。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②负责项目正式开工前的一切准备工作，乙方应严格按照项目质量的技术要求进行施工，确保项目的质量。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③乙方应按照现场文明施工及环保有关条例进行施工，遵守当地政府、有关部门及甲方对施工现场的一切规定和要求，承担因自身原因违反有关规定造成的损失和罚款。</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④乙方在现场施工应接受甲方及甲方委托第三方监理单位的监督和管理，积极配合现场其他施工队伍的施工。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⑤会同甲方确定项目方案，并据此进行合理报价。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①负责乙方进场前必要的工作交底。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②乙方不服从甲方的协调、管理，有严重的质量、安全问题，有不履行合同的情况，甲方有权下达停工整改通知，严重的直至终止合同。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③按时支付项目款。</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十二、考核制度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1.本项目考核办法分单项考核、季度考核，由甲方对乙方的服务态度、服务效率、服务质量和服务成效等方面进行考核，并填写《</w:t>
      </w:r>
      <w:r>
        <w:rPr>
          <w:rFonts w:hint="eastAsia" w:ascii="宋体" w:hAnsi="宋体" w:cs="宋体"/>
          <w:color w:val="auto"/>
          <w:sz w:val="24"/>
          <w:highlight w:val="none"/>
          <w:lang w:val="en-US" w:eastAsia="zh-CN"/>
        </w:rPr>
        <w:t>城市服务供应商</w:t>
      </w:r>
      <w:r>
        <w:rPr>
          <w:rFonts w:hint="eastAsia" w:ascii="宋体" w:hAnsi="宋体" w:eastAsia="宋体" w:cs="宋体"/>
          <w:color w:val="auto"/>
          <w:sz w:val="24"/>
          <w:highlight w:val="none"/>
        </w:rPr>
        <w:t>考核表》。单项考核用于不定期抽查考核。</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2.考核评定总分为90分以上(含)的</w:t>
      </w:r>
      <w:r>
        <w:rPr>
          <w:rFonts w:hint="eastAsia" w:ascii="宋体" w:hAnsi="宋体" w:cs="宋体"/>
          <w:color w:val="auto"/>
          <w:sz w:val="24"/>
          <w:highlight w:val="none"/>
          <w:lang w:val="en-US" w:eastAsia="zh-CN"/>
        </w:rPr>
        <w:t>承包人</w:t>
      </w:r>
      <w:r>
        <w:rPr>
          <w:rFonts w:hint="eastAsia" w:ascii="宋体" w:hAnsi="宋体" w:eastAsia="宋体" w:cs="宋体"/>
          <w:color w:val="auto"/>
          <w:sz w:val="24"/>
          <w:highlight w:val="none"/>
        </w:rPr>
        <w:t>可继续委托业务；考核评定总分为90分以下（不含）的，暂停业务委托，给予限期整改；如</w:t>
      </w:r>
      <w:r>
        <w:rPr>
          <w:rFonts w:hint="eastAsia" w:ascii="宋体" w:hAnsi="宋体" w:cs="宋体"/>
          <w:color w:val="auto"/>
          <w:sz w:val="24"/>
          <w:highlight w:val="none"/>
          <w:lang w:val="en-US" w:eastAsia="zh-CN"/>
        </w:rPr>
        <w:t>服务期内</w:t>
      </w:r>
      <w:r>
        <w:rPr>
          <w:rFonts w:hint="eastAsia" w:ascii="宋体" w:hAnsi="宋体" w:eastAsia="宋体" w:cs="宋体"/>
          <w:color w:val="auto"/>
          <w:sz w:val="24"/>
          <w:highlight w:val="none"/>
        </w:rPr>
        <w:t>累计两次考核未达到70分(不含)的，则停止一切委托任务，合同自动终止，并全额扣除履约保证金，同时三年内将被拒绝参与交易活动。另外，</w:t>
      </w:r>
      <w:r>
        <w:rPr>
          <w:rFonts w:hint="eastAsia" w:ascii="宋体" w:hAnsi="宋体" w:cs="宋体"/>
          <w:color w:val="auto"/>
          <w:sz w:val="24"/>
          <w:highlight w:val="none"/>
          <w:lang w:val="en-US" w:eastAsia="zh-CN"/>
        </w:rPr>
        <w:t>本合同</w:t>
      </w:r>
      <w:r>
        <w:rPr>
          <w:rFonts w:hint="eastAsia" w:ascii="宋体" w:hAnsi="宋体" w:eastAsia="宋体" w:cs="宋体"/>
          <w:color w:val="auto"/>
          <w:sz w:val="24"/>
          <w:highlight w:val="none"/>
        </w:rPr>
        <w:t>所有业务立即终止，</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将重新组织交易活动。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十三、违约责任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1.甲方无故逾期验收和办理款项支付手续的，甲方应按逾期付款总额每日万分之五向乙方支付违约金。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未能如期提供服务或提供服务不符合约定的，每日向甲方支付本合同预算总额的千分之二作为违约金。乙方超过约定日期10个工作日仍不能提供服务或提供服务不符合约定的，甲方可解除本合同，不予退还履约保证金，如造成甲方损失超过履约保证金的，超出部分由乙方继续承担赔偿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3.乙方在服务项目验收合格之日起质保期内违反本合同有关承诺保证的，甲方将有权不予退还质量保证金，损失赔偿不足部分，由乙方承担赔偿。</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4.因乙方原因造成甲方财产损失或额外增加费用的，乙方应赔偿甲方实际损失。</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十四、其他要求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1.乙方应根据甲方的要求制订详细的工作计划、实施方案，保质保量的在约定的时间内完成任务，并接受甲方的监督、检查及考核。如验收不通过须整改完善并加强管理，因此产生的一切费用由乙方承担。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2.乙方需自行准备工作器具、劳保用品等。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3.因乙方工作不到位而造成甲方苗木死亡、设施、设备损坏或财物被窃等，乙方须无偿修复或照价赔偿。合同履约完成后乙方应及时向甲方办理移交，经甲方检查确认后办理结算。</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4.在开展相关专业部分工作时，若乙方无资质或有资质但资质等级未达到该专业资质要求的允许分包，但须征得甲方同意后，可以分包给具有相应资质的单位。</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5.工期要求：按甲方要求，单个项目因乙方原因工期延误每天按审计结算价的百分之</w:t>
      </w: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rPr>
        <w:t>进行处罚。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6.工程质量标准：工程质量要求合格，按现行施工质量验收规范标准进行验收。工程竣工验收结论报告由甲方组织验收并盖章。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乙方工作组必须随时待命，保证通讯工具24小时畅通，并在第一时间对甲方下达的任务进行落实，在规定时间内完成任务。遇到特殊情况无法按时完成的，必须提前上报。凡未经甲方确认同意的施工，甲方有权不予确认和结算。</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十五、争议的解决</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因本合同引起的或与本合同有关的任何争议，合同双方应首先通过协商解决，达成书面协议，如协商不成，可向项目所在地的人民法院提起诉讼。</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十六、合同生效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1、本合同经甲、乙双方法定代表人或代表人签字并加盖单位公章后生效。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2、补充协议与本协议具有同等法律效力。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3、本合同一式四份，甲乙双方各执二份。</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 xml:space="preserve">（盖章）：                  </w:t>
      </w:r>
      <w:r>
        <w:rPr>
          <w:rFonts w:hint="eastAsia" w:ascii="宋体" w:hAnsi="宋体" w:cs="宋体"/>
          <w:color w:val="auto"/>
          <w:sz w:val="24"/>
          <w:highlight w:val="none"/>
          <w:lang w:val="en-US" w:eastAsia="zh-CN"/>
        </w:rPr>
        <w:t>甲</w:t>
      </w:r>
      <w:r>
        <w:rPr>
          <w:rFonts w:hint="eastAsia" w:ascii="宋体" w:hAnsi="宋体" w:eastAsia="宋体" w:cs="宋体"/>
          <w:color w:val="auto"/>
          <w:sz w:val="24"/>
          <w:highlight w:val="none"/>
        </w:rPr>
        <w:t>方</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（盖章）：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地址：</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法定代表人（或代表人）签名：       法定代表人（或代表人）签名：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                         联系电话：</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                         邮政编码：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账</w:t>
      </w:r>
      <w:r>
        <w:rPr>
          <w:rFonts w:hint="eastAsia" w:ascii="宋体" w:hAnsi="宋体" w:eastAsia="宋体" w:cs="宋体"/>
          <w:color w:val="auto"/>
          <w:sz w:val="24"/>
          <w:highlight w:val="none"/>
        </w:rPr>
        <w:t xml:space="preserve">号：                             </w:t>
      </w:r>
      <w:r>
        <w:rPr>
          <w:rFonts w:hint="eastAsia" w:ascii="宋体" w:hAnsi="宋体" w:cs="宋体"/>
          <w:color w:val="auto"/>
          <w:sz w:val="24"/>
          <w:highlight w:val="none"/>
          <w:lang w:val="en-US" w:eastAsia="zh-CN"/>
        </w:rPr>
        <w:t>账</w:t>
      </w:r>
      <w:r>
        <w:rPr>
          <w:rFonts w:hint="eastAsia" w:ascii="宋体" w:hAnsi="宋体" w:eastAsia="宋体" w:cs="宋体"/>
          <w:color w:val="auto"/>
          <w:sz w:val="24"/>
          <w:highlight w:val="none"/>
        </w:rPr>
        <w:t>号：</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乙方（盖章）：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法定代表人（或代表人）签名：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账</w:t>
      </w:r>
      <w:r>
        <w:rPr>
          <w:rFonts w:hint="eastAsia" w:ascii="宋体" w:hAnsi="宋体" w:eastAsia="宋体" w:cs="宋体"/>
          <w:color w:val="auto"/>
          <w:sz w:val="24"/>
          <w:highlight w:val="none"/>
        </w:rPr>
        <w:t>号：</w:t>
      </w:r>
    </w:p>
    <w:p>
      <w:pPr>
        <w:rPr>
          <w:rFonts w:hint="eastAsia" w:ascii="宋体" w:hAnsi="宋体" w:cs="宋体"/>
          <w:b/>
          <w:bCs/>
          <w:color w:val="auto"/>
          <w:kern w:val="44"/>
          <w:sz w:val="24"/>
          <w:highlight w:val="none"/>
        </w:rPr>
      </w:pPr>
      <w:r>
        <w:rPr>
          <w:rFonts w:hint="eastAsia" w:ascii="宋体" w:hAnsi="宋体" w:cs="宋体"/>
          <w:b/>
          <w:bCs/>
          <w:color w:val="auto"/>
          <w:kern w:val="44"/>
          <w:sz w:val="24"/>
          <w:highlight w:val="none"/>
        </w:rPr>
        <w:br w:type="page"/>
      </w:r>
    </w:p>
    <w:p>
      <w:pPr>
        <w:pStyle w:val="25"/>
        <w:rPr>
          <w:rFonts w:hint="eastAsia" w:ascii="宋体" w:hAnsi="宋体" w:cs="宋体"/>
          <w:b/>
          <w:bCs/>
          <w:color w:val="auto"/>
          <w:kern w:val="44"/>
          <w:sz w:val="24"/>
          <w:highlight w:val="none"/>
        </w:rPr>
      </w:pPr>
      <w:r>
        <w:rPr>
          <w:rFonts w:hint="eastAsia" w:ascii="宋体" w:hAnsi="宋体" w:cs="宋体"/>
          <w:b/>
          <w:bCs/>
          <w:color w:val="auto"/>
          <w:kern w:val="44"/>
          <w:sz w:val="24"/>
          <w:highlight w:val="none"/>
        </w:rPr>
        <w:t>附件一：</w:t>
      </w:r>
    </w:p>
    <w:p>
      <w:pPr>
        <w:spacing w:line="470" w:lineRule="exact"/>
        <w:jc w:val="center"/>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u w:val="single"/>
          <w:lang w:val="en-US" w:eastAsia="zh-CN"/>
        </w:rPr>
        <w:t>XXXXXX</w:t>
      </w:r>
      <w:r>
        <w:rPr>
          <w:rFonts w:hint="eastAsia" w:ascii="宋体" w:hAnsi="宋体" w:cs="宋体"/>
          <w:b/>
          <w:bCs w:val="0"/>
          <w:color w:val="auto"/>
          <w:sz w:val="24"/>
          <w:szCs w:val="24"/>
          <w:highlight w:val="none"/>
          <w:lang w:val="en-US" w:eastAsia="zh-CN"/>
        </w:rPr>
        <w:t>项目</w:t>
      </w:r>
      <w:r>
        <w:rPr>
          <w:rFonts w:hint="eastAsia" w:ascii="宋体" w:hAnsi="宋体" w:eastAsia="宋体" w:cs="宋体"/>
          <w:b/>
          <w:bCs w:val="0"/>
          <w:color w:val="auto"/>
          <w:sz w:val="24"/>
          <w:szCs w:val="24"/>
          <w:highlight w:val="none"/>
        </w:rPr>
        <w:t>安全协议</w:t>
      </w:r>
    </w:p>
    <w:p>
      <w:pPr>
        <w:spacing w:line="52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甲方</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发包人</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u w:val="single"/>
          <w:lang w:val="en-US" w:eastAsia="zh-CN"/>
        </w:rPr>
        <w:t>XXXXXX</w:t>
      </w:r>
    </w:p>
    <w:p>
      <w:pPr>
        <w:spacing w:line="52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乙方</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承包人</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u w:val="single"/>
          <w:lang w:val="en-US" w:eastAsia="zh-CN"/>
        </w:rPr>
        <w:t>XXXXXX</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为贯彻“安全第一，预防为主，综合治理”方针，明确双方的安全责任，确保</w:t>
      </w:r>
      <w:r>
        <w:rPr>
          <w:rFonts w:hint="eastAsia" w:ascii="宋体" w:hAnsi="宋体" w:eastAsia="宋体" w:cs="宋体"/>
          <w:b w:val="0"/>
          <w:bCs/>
          <w:color w:val="auto"/>
          <w:sz w:val="24"/>
          <w:szCs w:val="24"/>
          <w:highlight w:val="none"/>
          <w:lang w:val="en-US" w:eastAsia="zh-CN"/>
        </w:rPr>
        <w:t>项目实施</w:t>
      </w:r>
      <w:r>
        <w:rPr>
          <w:rFonts w:hint="eastAsia" w:ascii="宋体" w:hAnsi="宋体" w:eastAsia="宋体" w:cs="宋体"/>
          <w:b w:val="0"/>
          <w:bCs/>
          <w:color w:val="auto"/>
          <w:sz w:val="24"/>
          <w:szCs w:val="24"/>
          <w:highlight w:val="none"/>
        </w:rPr>
        <w:t>过程中人身、设备</w:t>
      </w:r>
      <w:r>
        <w:rPr>
          <w:rFonts w:hint="eastAsia" w:ascii="宋体" w:hAnsi="宋体" w:eastAsia="宋体" w:cs="宋体"/>
          <w:b w:val="0"/>
          <w:bCs/>
          <w:color w:val="auto"/>
          <w:sz w:val="24"/>
          <w:szCs w:val="24"/>
          <w:highlight w:val="none"/>
          <w:lang w:val="en-US" w:eastAsia="zh-CN"/>
        </w:rPr>
        <w:t>设施</w:t>
      </w:r>
      <w:r>
        <w:rPr>
          <w:rFonts w:hint="eastAsia" w:ascii="宋体" w:hAnsi="宋体" w:eastAsia="宋体" w:cs="宋体"/>
          <w:b w:val="0"/>
          <w:bCs/>
          <w:color w:val="auto"/>
          <w:sz w:val="24"/>
          <w:szCs w:val="24"/>
          <w:highlight w:val="none"/>
        </w:rPr>
        <w:t xml:space="preserve">的安全，根据国家有关法律法规，经双方协商一致签订本协议。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w:t>
      </w:r>
      <w:r>
        <w:rPr>
          <w:rFonts w:hint="eastAsia" w:ascii="宋体" w:hAnsi="宋体" w:cs="宋体"/>
          <w:b w:val="0"/>
          <w:bCs/>
          <w:color w:val="auto"/>
          <w:sz w:val="24"/>
          <w:szCs w:val="24"/>
          <w:highlight w:val="none"/>
          <w:lang w:val="en-US" w:eastAsia="zh-CN"/>
        </w:rPr>
        <w:t>一</w:t>
      </w:r>
      <w:r>
        <w:rPr>
          <w:rFonts w:hint="eastAsia" w:ascii="宋体" w:hAnsi="宋体" w:eastAsia="宋体" w:cs="宋体"/>
          <w:b w:val="0"/>
          <w:bCs/>
          <w:color w:val="auto"/>
          <w:sz w:val="24"/>
          <w:szCs w:val="24"/>
          <w:highlight w:val="none"/>
        </w:rPr>
        <w:t xml:space="preserve">条 甲方安全责任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、甲方应要求乙方制定相关</w:t>
      </w:r>
      <w:r>
        <w:rPr>
          <w:rFonts w:hint="eastAsia" w:ascii="宋体" w:hAnsi="宋体" w:eastAsia="宋体" w:cs="宋体"/>
          <w:b w:val="0"/>
          <w:bCs/>
          <w:color w:val="auto"/>
          <w:sz w:val="24"/>
          <w:szCs w:val="24"/>
          <w:highlight w:val="none"/>
          <w:lang w:val="en-US" w:eastAsia="zh-CN"/>
        </w:rPr>
        <w:t>项目实施</w:t>
      </w:r>
      <w:r>
        <w:rPr>
          <w:rFonts w:hint="eastAsia" w:ascii="宋体" w:hAnsi="宋体" w:eastAsia="宋体" w:cs="宋体"/>
          <w:b w:val="0"/>
          <w:bCs/>
          <w:color w:val="auto"/>
          <w:sz w:val="24"/>
          <w:szCs w:val="24"/>
          <w:highlight w:val="none"/>
        </w:rPr>
        <w:t xml:space="preserve">安全措施，报甲方备案。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、甲方有权检查督促乙方执行有关安全生产方面的工作规定，对乙方不符合安全文明施工的行为进行制止、纠正并发出安全整改通知书，直至清退出场。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、甲方指派专人负责与乙方联系安全生产方面的工作。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w:t>
      </w:r>
      <w:r>
        <w:rPr>
          <w:rFonts w:hint="eastAsia" w:ascii="宋体" w:hAnsi="宋体" w:cs="宋体"/>
          <w:b w:val="0"/>
          <w:bCs/>
          <w:color w:val="auto"/>
          <w:sz w:val="24"/>
          <w:szCs w:val="24"/>
          <w:highlight w:val="none"/>
          <w:lang w:val="en-US" w:eastAsia="zh-CN"/>
        </w:rPr>
        <w:t>二</w:t>
      </w:r>
      <w:r>
        <w:rPr>
          <w:rFonts w:hint="eastAsia" w:ascii="宋体" w:hAnsi="宋体" w:eastAsia="宋体" w:cs="宋体"/>
          <w:b w:val="0"/>
          <w:bCs/>
          <w:color w:val="auto"/>
          <w:sz w:val="24"/>
          <w:szCs w:val="24"/>
          <w:highlight w:val="none"/>
        </w:rPr>
        <w:t>条 乙方安全责任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乙方作为</w:t>
      </w:r>
      <w:r>
        <w:rPr>
          <w:rFonts w:hint="eastAsia" w:ascii="宋体" w:hAnsi="宋体" w:cs="宋体"/>
          <w:b w:val="0"/>
          <w:bCs/>
          <w:color w:val="auto"/>
          <w:sz w:val="24"/>
          <w:szCs w:val="24"/>
          <w:highlight w:val="none"/>
          <w:lang w:val="en-US" w:eastAsia="zh-CN"/>
        </w:rPr>
        <w:t>本</w:t>
      </w:r>
      <w:r>
        <w:rPr>
          <w:rFonts w:hint="eastAsia" w:ascii="宋体" w:hAnsi="宋体" w:eastAsia="宋体" w:cs="宋体"/>
          <w:b w:val="0"/>
          <w:bCs/>
          <w:color w:val="auto"/>
          <w:sz w:val="24"/>
          <w:szCs w:val="24"/>
          <w:highlight w:val="none"/>
          <w:lang w:val="en-US" w:eastAsia="zh-CN"/>
        </w:rPr>
        <w:t>项目</w:t>
      </w:r>
      <w:r>
        <w:rPr>
          <w:rFonts w:hint="eastAsia" w:ascii="宋体" w:hAnsi="宋体" w:cs="宋体"/>
          <w:b w:val="0"/>
          <w:bCs/>
          <w:color w:val="auto"/>
          <w:sz w:val="24"/>
          <w:szCs w:val="24"/>
          <w:highlight w:val="none"/>
          <w:lang w:val="en-US" w:eastAsia="zh-CN"/>
        </w:rPr>
        <w:t>承包人</w:t>
      </w:r>
      <w:r>
        <w:rPr>
          <w:rFonts w:hint="eastAsia" w:ascii="宋体" w:hAnsi="宋体" w:eastAsia="宋体" w:cs="宋体"/>
          <w:b w:val="0"/>
          <w:bCs/>
          <w:color w:val="auto"/>
          <w:sz w:val="24"/>
          <w:szCs w:val="24"/>
          <w:highlight w:val="none"/>
        </w:rPr>
        <w:t>，在</w:t>
      </w:r>
      <w:r>
        <w:rPr>
          <w:rFonts w:hint="eastAsia" w:ascii="宋体" w:hAnsi="宋体" w:eastAsia="宋体" w:cs="宋体"/>
          <w:b w:val="0"/>
          <w:bCs/>
          <w:color w:val="auto"/>
          <w:sz w:val="24"/>
          <w:szCs w:val="24"/>
          <w:highlight w:val="none"/>
          <w:lang w:val="en-US" w:eastAsia="zh-CN"/>
        </w:rPr>
        <w:t>项目实施</w:t>
      </w:r>
      <w:r>
        <w:rPr>
          <w:rFonts w:hint="eastAsia" w:ascii="宋体" w:hAnsi="宋体" w:eastAsia="宋体" w:cs="宋体"/>
          <w:b w:val="0"/>
          <w:bCs/>
          <w:color w:val="auto"/>
          <w:sz w:val="24"/>
          <w:szCs w:val="24"/>
          <w:highlight w:val="none"/>
        </w:rPr>
        <w:t>期间以甲方生产经营管理需要为前提，对</w:t>
      </w:r>
      <w:r>
        <w:rPr>
          <w:rFonts w:hint="eastAsia" w:ascii="宋体" w:hAnsi="宋体" w:eastAsia="宋体" w:cs="宋体"/>
          <w:b w:val="0"/>
          <w:bCs/>
          <w:color w:val="auto"/>
          <w:sz w:val="24"/>
          <w:szCs w:val="24"/>
          <w:highlight w:val="none"/>
          <w:lang w:val="en-US" w:eastAsia="zh-CN"/>
        </w:rPr>
        <w:t>实施</w:t>
      </w:r>
      <w:r>
        <w:rPr>
          <w:rFonts w:hint="eastAsia" w:ascii="宋体" w:hAnsi="宋体" w:eastAsia="宋体" w:cs="宋体"/>
          <w:b w:val="0"/>
          <w:bCs/>
          <w:color w:val="auto"/>
          <w:sz w:val="24"/>
          <w:szCs w:val="24"/>
          <w:highlight w:val="none"/>
          <w:lang w:eastAsia="zh-CN"/>
        </w:rPr>
        <w:t>过程</w:t>
      </w:r>
      <w:r>
        <w:rPr>
          <w:rFonts w:hint="eastAsia" w:ascii="宋体" w:hAnsi="宋体" w:eastAsia="宋体" w:cs="宋体"/>
          <w:b w:val="0"/>
          <w:bCs/>
          <w:color w:val="auto"/>
          <w:sz w:val="24"/>
          <w:szCs w:val="24"/>
          <w:highlight w:val="none"/>
        </w:rPr>
        <w:t>中发生的人身伤害、设备</w:t>
      </w:r>
      <w:r>
        <w:rPr>
          <w:rFonts w:hint="eastAsia" w:ascii="宋体" w:hAnsi="宋体" w:eastAsia="宋体" w:cs="宋体"/>
          <w:b w:val="0"/>
          <w:bCs/>
          <w:color w:val="auto"/>
          <w:sz w:val="24"/>
          <w:szCs w:val="24"/>
          <w:highlight w:val="none"/>
          <w:lang w:val="en-US" w:eastAsia="zh-CN"/>
        </w:rPr>
        <w:t>设施</w:t>
      </w:r>
      <w:r>
        <w:rPr>
          <w:rFonts w:hint="eastAsia" w:ascii="宋体" w:hAnsi="宋体" w:eastAsia="宋体" w:cs="宋体"/>
          <w:b w:val="0"/>
          <w:bCs/>
          <w:color w:val="auto"/>
          <w:sz w:val="24"/>
          <w:szCs w:val="24"/>
          <w:highlight w:val="none"/>
        </w:rPr>
        <w:t>损坏事故承担安全责任。乙方应切实履行以下安全责任：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1、乙方必须贯彻执行国家有关安全生产的方针、政策、法令、法规，遵守国家、行业有关安全生产、文明生产的规定，必须制定相应的安全管理制度并严格执行。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eastAsia="zh-CN"/>
        </w:rPr>
        <w:t>乙方</w:t>
      </w:r>
      <w:r>
        <w:rPr>
          <w:rFonts w:hint="eastAsia" w:ascii="宋体" w:hAnsi="宋体" w:eastAsia="宋体" w:cs="宋体"/>
          <w:b w:val="0"/>
          <w:bCs/>
          <w:color w:val="auto"/>
          <w:sz w:val="24"/>
          <w:szCs w:val="24"/>
          <w:highlight w:val="none"/>
        </w:rPr>
        <w:t>应遵守国家关于劳动安全，劳务用工法律法规及规章制度，保证其用工的合法性。乙方必须按国家有关规定，为</w:t>
      </w:r>
      <w:r>
        <w:rPr>
          <w:rFonts w:hint="eastAsia" w:ascii="宋体" w:hAnsi="宋体" w:eastAsia="宋体" w:cs="宋体"/>
          <w:b w:val="0"/>
          <w:bCs/>
          <w:color w:val="auto"/>
          <w:sz w:val="24"/>
          <w:szCs w:val="24"/>
          <w:highlight w:val="none"/>
          <w:lang w:val="en-US" w:eastAsia="zh-CN"/>
        </w:rPr>
        <w:t>项目工作</w:t>
      </w:r>
      <w:r>
        <w:rPr>
          <w:rFonts w:hint="eastAsia" w:ascii="宋体" w:hAnsi="宋体" w:eastAsia="宋体" w:cs="宋体"/>
          <w:b w:val="0"/>
          <w:bCs/>
          <w:color w:val="auto"/>
          <w:sz w:val="24"/>
          <w:szCs w:val="24"/>
          <w:highlight w:val="none"/>
        </w:rPr>
        <w:t xml:space="preserve">人员进行人身保险，配备合格的劳动防护用品、安全用具。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eastAsia="zh-CN"/>
        </w:rPr>
        <w:t>在</w:t>
      </w:r>
      <w:r>
        <w:rPr>
          <w:rFonts w:hint="eastAsia" w:ascii="宋体" w:hAnsi="宋体" w:eastAsia="宋体" w:cs="宋体"/>
          <w:b w:val="0"/>
          <w:bCs/>
          <w:color w:val="auto"/>
          <w:sz w:val="24"/>
          <w:szCs w:val="24"/>
          <w:highlight w:val="none"/>
          <w:lang w:val="en-US" w:eastAsia="zh-CN"/>
        </w:rPr>
        <w:t>项目实施</w:t>
      </w:r>
      <w:r>
        <w:rPr>
          <w:rFonts w:hint="eastAsia" w:ascii="宋体" w:hAnsi="宋体" w:eastAsia="宋体" w:cs="宋体"/>
          <w:b w:val="0"/>
          <w:bCs/>
          <w:color w:val="auto"/>
          <w:sz w:val="24"/>
          <w:szCs w:val="24"/>
          <w:highlight w:val="none"/>
        </w:rPr>
        <w:t>期间，乙方应设有专（兼）职安全员。乙方指派</w:t>
      </w:r>
      <w:r>
        <w:rPr>
          <w:rFonts w:hint="eastAsia" w:ascii="宋体" w:hAnsi="宋体" w:cs="宋体"/>
          <w:b w:val="0"/>
          <w:bCs/>
          <w:color w:val="auto"/>
          <w:sz w:val="24"/>
          <w:szCs w:val="24"/>
          <w:highlight w:val="none"/>
          <w:u w:val="single"/>
          <w:lang w:val="en-US" w:eastAsia="zh-CN"/>
        </w:rPr>
        <w:t>XXXXXX</w:t>
      </w:r>
      <w:r>
        <w:rPr>
          <w:rFonts w:hint="eastAsia" w:ascii="宋体" w:hAnsi="宋体" w:eastAsia="宋体" w:cs="宋体"/>
          <w:b w:val="0"/>
          <w:bCs/>
          <w:color w:val="auto"/>
          <w:sz w:val="24"/>
          <w:szCs w:val="24"/>
          <w:highlight w:val="none"/>
        </w:rPr>
        <w:t xml:space="preserve">作为安全工作联系人。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4、乙方一切</w:t>
      </w:r>
      <w:r>
        <w:rPr>
          <w:rFonts w:hint="eastAsia" w:ascii="宋体" w:hAnsi="宋体" w:eastAsia="宋体" w:cs="宋体"/>
          <w:b w:val="0"/>
          <w:bCs/>
          <w:color w:val="auto"/>
          <w:sz w:val="24"/>
          <w:szCs w:val="24"/>
          <w:highlight w:val="none"/>
          <w:lang w:val="en-US" w:eastAsia="zh-CN"/>
        </w:rPr>
        <w:t>项目实施</w:t>
      </w:r>
      <w:r>
        <w:rPr>
          <w:rFonts w:hint="eastAsia" w:ascii="宋体" w:hAnsi="宋体" w:eastAsia="宋体" w:cs="宋体"/>
          <w:b w:val="0"/>
          <w:bCs/>
          <w:color w:val="auto"/>
          <w:sz w:val="24"/>
          <w:szCs w:val="24"/>
          <w:highlight w:val="none"/>
          <w:lang w:eastAsia="zh-CN"/>
        </w:rPr>
        <w:t>工作</w:t>
      </w:r>
      <w:r>
        <w:rPr>
          <w:rFonts w:hint="eastAsia" w:ascii="宋体" w:hAnsi="宋体" w:eastAsia="宋体" w:cs="宋体"/>
          <w:b w:val="0"/>
          <w:bCs/>
          <w:color w:val="auto"/>
          <w:sz w:val="24"/>
          <w:szCs w:val="24"/>
          <w:highlight w:val="none"/>
        </w:rPr>
        <w:t>，必须编制安全施工措施，对</w:t>
      </w:r>
      <w:r>
        <w:rPr>
          <w:rFonts w:hint="eastAsia" w:ascii="宋体" w:hAnsi="宋体" w:eastAsia="宋体" w:cs="宋体"/>
          <w:b w:val="0"/>
          <w:bCs/>
          <w:color w:val="auto"/>
          <w:sz w:val="24"/>
          <w:szCs w:val="24"/>
          <w:highlight w:val="none"/>
          <w:lang w:eastAsia="zh-CN"/>
        </w:rPr>
        <w:t>乙方</w:t>
      </w:r>
      <w:r>
        <w:rPr>
          <w:rFonts w:hint="eastAsia" w:ascii="宋体" w:hAnsi="宋体" w:eastAsia="宋体" w:cs="宋体"/>
          <w:b w:val="0"/>
          <w:bCs/>
          <w:color w:val="auto"/>
          <w:sz w:val="24"/>
          <w:szCs w:val="24"/>
          <w:highlight w:val="none"/>
        </w:rPr>
        <w:t>全体人员进行全面的安全技术交底，并在整个</w:t>
      </w:r>
      <w:r>
        <w:rPr>
          <w:rFonts w:hint="eastAsia" w:ascii="宋体" w:hAnsi="宋体" w:eastAsia="宋体" w:cs="宋体"/>
          <w:b w:val="0"/>
          <w:bCs/>
          <w:color w:val="auto"/>
          <w:sz w:val="24"/>
          <w:szCs w:val="24"/>
          <w:highlight w:val="none"/>
          <w:lang w:val="en-US" w:eastAsia="zh-CN"/>
        </w:rPr>
        <w:t>实施</w:t>
      </w:r>
      <w:r>
        <w:rPr>
          <w:rFonts w:hint="eastAsia" w:ascii="宋体" w:hAnsi="宋体" w:eastAsia="宋体" w:cs="宋体"/>
          <w:b w:val="0"/>
          <w:bCs/>
          <w:color w:val="auto"/>
          <w:sz w:val="24"/>
          <w:szCs w:val="24"/>
          <w:highlight w:val="none"/>
        </w:rPr>
        <w:t>过程正确、完整地执行，无措施或未交底严禁</w:t>
      </w:r>
      <w:r>
        <w:rPr>
          <w:rFonts w:hint="eastAsia" w:ascii="宋体" w:hAnsi="宋体" w:eastAsia="宋体" w:cs="宋体"/>
          <w:b w:val="0"/>
          <w:bCs/>
          <w:color w:val="auto"/>
          <w:sz w:val="24"/>
          <w:szCs w:val="24"/>
          <w:highlight w:val="none"/>
          <w:lang w:eastAsia="zh-CN"/>
        </w:rPr>
        <w:t>保洁、秩序维护员进场工作</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5、在</w:t>
      </w:r>
      <w:r>
        <w:rPr>
          <w:rFonts w:hint="eastAsia" w:ascii="宋体" w:hAnsi="宋体" w:eastAsia="宋体" w:cs="宋体"/>
          <w:b w:val="0"/>
          <w:bCs/>
          <w:color w:val="auto"/>
          <w:sz w:val="24"/>
          <w:szCs w:val="24"/>
          <w:highlight w:val="none"/>
          <w:lang w:eastAsia="zh-CN"/>
        </w:rPr>
        <w:t>进场</w:t>
      </w:r>
      <w:r>
        <w:rPr>
          <w:rFonts w:hint="eastAsia" w:ascii="宋体" w:hAnsi="宋体" w:eastAsia="宋体" w:cs="宋体"/>
          <w:b w:val="0"/>
          <w:bCs/>
          <w:color w:val="auto"/>
          <w:sz w:val="24"/>
          <w:szCs w:val="24"/>
          <w:highlight w:val="none"/>
        </w:rPr>
        <w:t>前，乙方应组织全体人员进行安全教育。特种作业人员必须持有有关部门核发的合格有效的上岗资格证书。乙方进场人员应与上报证件相符，做到“人”“证”一致。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6、未经甲方同意，乙方不得擅自使用甲方设施设备；不得擅自拆除、变更甲方防护设施及标示。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7、乙方</w:t>
      </w:r>
      <w:r>
        <w:rPr>
          <w:rFonts w:hint="eastAsia" w:ascii="宋体" w:hAnsi="宋体" w:eastAsia="宋体" w:cs="宋体"/>
          <w:b w:val="0"/>
          <w:bCs/>
          <w:color w:val="auto"/>
          <w:sz w:val="24"/>
          <w:szCs w:val="24"/>
          <w:highlight w:val="none"/>
          <w:lang w:eastAsia="zh-CN"/>
        </w:rPr>
        <w:t>工作</w:t>
      </w:r>
      <w:r>
        <w:rPr>
          <w:rFonts w:hint="eastAsia" w:ascii="宋体" w:hAnsi="宋体" w:eastAsia="宋体" w:cs="宋体"/>
          <w:b w:val="0"/>
          <w:bCs/>
          <w:color w:val="auto"/>
          <w:sz w:val="24"/>
          <w:szCs w:val="24"/>
          <w:highlight w:val="none"/>
        </w:rPr>
        <w:t>过程中需使用电、水源，应事先与甲方取得联系，不得私拉乱接。中断作业或遇故障应立即切断有关开关。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rPr>
        <w:t xml:space="preserve">、乙方必须接受甲方的监督、检查，对甲方提出的安全整改意见必须及时整改。 </w:t>
      </w:r>
    </w:p>
    <w:p>
      <w:pPr>
        <w:keepNext w:val="0"/>
        <w:keepLines w:val="0"/>
        <w:pageBreakBefore w:val="0"/>
        <w:widowControl w:val="0"/>
        <w:tabs>
          <w:tab w:val="left" w:pos="540"/>
        </w:tabs>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rPr>
        <w:t>、乙方</w:t>
      </w:r>
      <w:r>
        <w:rPr>
          <w:rFonts w:hint="eastAsia" w:ascii="宋体" w:hAnsi="宋体" w:eastAsia="宋体" w:cs="宋体"/>
          <w:b w:val="0"/>
          <w:bCs/>
          <w:color w:val="auto"/>
          <w:sz w:val="24"/>
          <w:szCs w:val="24"/>
          <w:highlight w:val="none"/>
          <w:lang w:eastAsia="zh-CN"/>
        </w:rPr>
        <w:t>在工作</w:t>
      </w:r>
      <w:r>
        <w:rPr>
          <w:rFonts w:hint="eastAsia" w:ascii="宋体" w:hAnsi="宋体" w:eastAsia="宋体" w:cs="宋体"/>
          <w:b w:val="0"/>
          <w:bCs/>
          <w:color w:val="auto"/>
          <w:sz w:val="24"/>
          <w:szCs w:val="24"/>
          <w:highlight w:val="none"/>
        </w:rPr>
        <w:t>过程中发生</w:t>
      </w:r>
      <w:r>
        <w:rPr>
          <w:rFonts w:hint="eastAsia" w:ascii="宋体" w:hAnsi="宋体" w:eastAsia="宋体" w:cs="宋体"/>
          <w:b w:val="0"/>
          <w:bCs/>
          <w:color w:val="auto"/>
          <w:sz w:val="24"/>
          <w:szCs w:val="24"/>
          <w:highlight w:val="none"/>
          <w:lang w:val="en-US" w:eastAsia="zh-CN"/>
        </w:rPr>
        <w:t>人身</w:t>
      </w:r>
      <w:r>
        <w:rPr>
          <w:rFonts w:hint="eastAsia" w:ascii="宋体" w:hAnsi="宋体" w:eastAsia="宋体" w:cs="宋体"/>
          <w:b w:val="0"/>
          <w:bCs/>
          <w:color w:val="auto"/>
          <w:sz w:val="24"/>
          <w:szCs w:val="24"/>
          <w:highlight w:val="none"/>
        </w:rPr>
        <w:t>伤亡和设备</w:t>
      </w:r>
      <w:r>
        <w:rPr>
          <w:rFonts w:hint="eastAsia" w:ascii="宋体" w:hAnsi="宋体" w:eastAsia="宋体" w:cs="宋体"/>
          <w:b w:val="0"/>
          <w:bCs/>
          <w:color w:val="auto"/>
          <w:sz w:val="24"/>
          <w:szCs w:val="24"/>
          <w:highlight w:val="none"/>
          <w:lang w:val="en-US" w:eastAsia="zh-CN"/>
        </w:rPr>
        <w:t>设施</w:t>
      </w:r>
      <w:r>
        <w:rPr>
          <w:rFonts w:hint="eastAsia" w:ascii="宋体" w:hAnsi="宋体" w:eastAsia="宋体" w:cs="宋体"/>
          <w:b w:val="0"/>
          <w:bCs/>
          <w:color w:val="auto"/>
          <w:sz w:val="24"/>
          <w:szCs w:val="24"/>
          <w:highlight w:val="none"/>
        </w:rPr>
        <w:t>事故等不安全情况，应立即报告甲方，并积极配合调查。</w:t>
      </w:r>
    </w:p>
    <w:p>
      <w:pPr>
        <w:keepNext w:val="0"/>
        <w:keepLines w:val="0"/>
        <w:pageBreakBefore w:val="0"/>
        <w:widowControl w:val="0"/>
        <w:tabs>
          <w:tab w:val="left" w:pos="540"/>
        </w:tabs>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1</w:t>
      </w:r>
      <w:r>
        <w:rPr>
          <w:rFonts w:hint="eastAsia" w:ascii="宋体" w:hAnsi="宋体" w:eastAsia="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rPr>
        <w:t>、乙方</w:t>
      </w:r>
      <w:r>
        <w:rPr>
          <w:rFonts w:hint="eastAsia" w:ascii="宋体" w:hAnsi="宋体" w:eastAsia="宋体" w:cs="宋体"/>
          <w:b w:val="0"/>
          <w:bCs/>
          <w:color w:val="auto"/>
          <w:sz w:val="24"/>
          <w:szCs w:val="24"/>
          <w:highlight w:val="none"/>
          <w:lang w:eastAsia="zh-CN"/>
        </w:rPr>
        <w:t>在工作</w:t>
      </w:r>
      <w:r>
        <w:rPr>
          <w:rFonts w:hint="eastAsia" w:ascii="宋体" w:hAnsi="宋体" w:eastAsia="宋体" w:cs="宋体"/>
          <w:b w:val="0"/>
          <w:bCs/>
          <w:color w:val="auto"/>
          <w:sz w:val="24"/>
          <w:szCs w:val="24"/>
          <w:highlight w:val="none"/>
        </w:rPr>
        <w:t>过程中,应采取严格的安全措施,如发生人身安全事故,责任与费用由乙方承担。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、乙方应执行国务院《生产安全事故报告和调查处理条例》</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对人员在</w:t>
      </w:r>
      <w:r>
        <w:rPr>
          <w:rFonts w:hint="eastAsia" w:ascii="宋体" w:hAnsi="宋体" w:eastAsia="宋体" w:cs="宋体"/>
          <w:b w:val="0"/>
          <w:bCs/>
          <w:color w:val="auto"/>
          <w:sz w:val="24"/>
          <w:szCs w:val="24"/>
          <w:highlight w:val="none"/>
          <w:lang w:eastAsia="zh-CN"/>
        </w:rPr>
        <w:t>工作过程</w:t>
      </w:r>
      <w:r>
        <w:rPr>
          <w:rFonts w:hint="eastAsia" w:ascii="宋体" w:hAnsi="宋体" w:eastAsia="宋体" w:cs="宋体"/>
          <w:b w:val="0"/>
          <w:bCs/>
          <w:color w:val="auto"/>
          <w:sz w:val="24"/>
          <w:szCs w:val="24"/>
          <w:highlight w:val="none"/>
        </w:rPr>
        <w:t>中发生的人身伤亡事故，还必须立即用电话等方式向事故所在地的政府安全管理部门、公安部门、工会报告，按规定组织调查处理，并由乙方统计上报；如发生国务院《生产安全事故报告和调查处理条例》所规定的特大事故，还应立即通知当地政府、公安部门，并要求派人保护现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、乙方应将事故调查组的事故调查报告及乙方事故处理意见提交甲方备案。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w:t>
      </w:r>
      <w:r>
        <w:rPr>
          <w:rFonts w:hint="eastAsia" w:ascii="宋体" w:hAnsi="宋体" w:cs="宋体"/>
          <w:b w:val="0"/>
          <w:bCs/>
          <w:color w:val="auto"/>
          <w:sz w:val="24"/>
          <w:szCs w:val="24"/>
          <w:highlight w:val="none"/>
          <w:lang w:val="en-US" w:eastAsia="zh-CN"/>
        </w:rPr>
        <w:t>三</w:t>
      </w:r>
      <w:r>
        <w:rPr>
          <w:rFonts w:hint="eastAsia" w:ascii="宋体" w:hAnsi="宋体" w:eastAsia="宋体" w:cs="宋体"/>
          <w:b w:val="0"/>
          <w:bCs/>
          <w:color w:val="auto"/>
          <w:sz w:val="24"/>
          <w:szCs w:val="24"/>
          <w:highlight w:val="none"/>
        </w:rPr>
        <w:t xml:space="preserve">条 违约责任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1、由于甲方或乙方责任造成对方或第三方的人身伤害、设备</w:t>
      </w:r>
      <w:r>
        <w:rPr>
          <w:rFonts w:hint="eastAsia" w:ascii="宋体" w:hAnsi="宋体" w:eastAsia="宋体" w:cs="宋体"/>
          <w:b w:val="0"/>
          <w:bCs/>
          <w:color w:val="auto"/>
          <w:sz w:val="24"/>
          <w:szCs w:val="24"/>
          <w:highlight w:val="none"/>
          <w:lang w:val="en-US" w:eastAsia="zh-CN"/>
        </w:rPr>
        <w:t>设施</w:t>
      </w:r>
      <w:r>
        <w:rPr>
          <w:rFonts w:hint="eastAsia" w:ascii="宋体" w:hAnsi="宋体" w:eastAsia="宋体" w:cs="宋体"/>
          <w:b w:val="0"/>
          <w:bCs/>
          <w:color w:val="auto"/>
          <w:sz w:val="24"/>
          <w:szCs w:val="24"/>
          <w:highlight w:val="none"/>
        </w:rPr>
        <w:t xml:space="preserve">损坏等财产损失，由责任方承担相应责任，并赔偿对方或第三方因此造成的全部损失。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2、合同履行中，发现乙方提供的有关资质材料无效，甲方有权解除合同，并由乙方承担由此造成的一切损失。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3、乙方未设置安全员；未能正确、全面执行安全技术措施，甲方有权要求乙方立即停工整改，由此引起的后果及损失由乙方承担。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4、乙方使用甲方提供的设施设备、工器具等造成损坏的，应照价赔偿。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5、因乙方采取的安全措施不当、违反有关安全规程造成的一切事故或对第三方造成损失的，均由乙方负责。 </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6、由于乙方违章指挥，强令冒险作业，或者乙方人员违章、违规操作，造成人身伤亡或者设备</w:t>
      </w:r>
      <w:r>
        <w:rPr>
          <w:rFonts w:hint="eastAsia" w:ascii="宋体" w:hAnsi="宋体" w:eastAsia="宋体" w:cs="宋体"/>
          <w:b w:val="0"/>
          <w:bCs/>
          <w:color w:val="auto"/>
          <w:sz w:val="24"/>
          <w:szCs w:val="24"/>
          <w:highlight w:val="none"/>
          <w:lang w:val="en-US" w:eastAsia="zh-CN"/>
        </w:rPr>
        <w:t>设施</w:t>
      </w:r>
      <w:r>
        <w:rPr>
          <w:rFonts w:hint="eastAsia" w:ascii="宋体" w:hAnsi="宋体" w:eastAsia="宋体" w:cs="宋体"/>
          <w:b w:val="0"/>
          <w:bCs/>
          <w:color w:val="auto"/>
          <w:sz w:val="24"/>
          <w:szCs w:val="24"/>
          <w:highlight w:val="none"/>
        </w:rPr>
        <w:t>财产损失的，由乙方承担全部责任。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、乙方对甲方提出的安全整改意见不及时整改的，每逾期一天，乙方按200元至1000元/天承担违约责任</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乙方逾期五个工作日未完成整改的，甲方有权单方面解除合同，并有权追究乙方相应法律责任和相关费用。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8、甲方有权从乙方支付的履约保证金或合同应付款项中扣除违约金和损失赔偿费用，并有权就不足部分向乙方追偿。如存在履约保证金扣除情形，乙方须在5个工作日内补足履约保证金。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w:t>
      </w:r>
      <w:r>
        <w:rPr>
          <w:rFonts w:hint="eastAsia" w:ascii="宋体" w:hAnsi="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rPr>
        <w:t>条 甲乙双方约定的其他事项：</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第</w:t>
      </w:r>
      <w:r>
        <w:rPr>
          <w:rFonts w:hint="eastAsia" w:ascii="宋体" w:hAnsi="宋体" w:cs="宋体"/>
          <w:b w:val="0"/>
          <w:bCs/>
          <w:color w:val="auto"/>
          <w:sz w:val="24"/>
          <w:szCs w:val="24"/>
          <w:highlight w:val="none"/>
          <w:lang w:val="en-US" w:eastAsia="zh-CN"/>
        </w:rPr>
        <w:t>五</w:t>
      </w:r>
      <w:r>
        <w:rPr>
          <w:rFonts w:hint="eastAsia" w:ascii="宋体" w:hAnsi="宋体" w:eastAsia="宋体" w:cs="宋体"/>
          <w:b w:val="0"/>
          <w:bCs/>
          <w:color w:val="auto"/>
          <w:sz w:val="24"/>
          <w:szCs w:val="24"/>
          <w:highlight w:val="none"/>
          <w:lang w:val="en-US" w:eastAsia="zh-CN"/>
        </w:rPr>
        <w:t>条 本协议作为</w:t>
      </w:r>
      <w:r>
        <w:rPr>
          <w:rFonts w:hint="eastAsia" w:ascii="宋体" w:hAnsi="宋体" w:cs="宋体"/>
          <w:b w:val="0"/>
          <w:bCs/>
          <w:color w:val="auto"/>
          <w:sz w:val="24"/>
          <w:szCs w:val="24"/>
          <w:highlight w:val="none"/>
          <w:u w:val="single"/>
          <w:lang w:val="en-US" w:eastAsia="zh-CN"/>
        </w:rPr>
        <w:t>XXXXXX</w:t>
      </w:r>
      <w:r>
        <w:rPr>
          <w:rFonts w:hint="eastAsia" w:ascii="宋体" w:hAnsi="宋体" w:eastAsia="宋体" w:cs="宋体"/>
          <w:b w:val="0"/>
          <w:bCs/>
          <w:color w:val="auto"/>
          <w:sz w:val="24"/>
          <w:szCs w:val="24"/>
          <w:highlight w:val="none"/>
          <w:lang w:val="en-US" w:eastAsia="zh-CN"/>
        </w:rPr>
        <w:t>项目合同附件，与项目合同具有同等的法律效力。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第</w:t>
      </w:r>
      <w:r>
        <w:rPr>
          <w:rFonts w:hint="eastAsia" w:ascii="宋体" w:hAnsi="宋体" w:cs="宋体"/>
          <w:b w:val="0"/>
          <w:bCs/>
          <w:color w:val="auto"/>
          <w:sz w:val="24"/>
          <w:szCs w:val="24"/>
          <w:highlight w:val="none"/>
          <w:lang w:val="en-US" w:eastAsia="zh-CN"/>
        </w:rPr>
        <w:t>六</w:t>
      </w:r>
      <w:r>
        <w:rPr>
          <w:rFonts w:hint="eastAsia" w:ascii="宋体" w:hAnsi="宋体" w:eastAsia="宋体" w:cs="宋体"/>
          <w:b w:val="0"/>
          <w:bCs/>
          <w:color w:val="auto"/>
          <w:sz w:val="24"/>
          <w:szCs w:val="24"/>
          <w:highlight w:val="none"/>
          <w:lang w:val="en-US" w:eastAsia="zh-CN"/>
        </w:rPr>
        <w:t>条 本协议一式肆份，甲、乙双方各执贰份，经甲乙双方签字并加盖公章后生效。</w:t>
      </w:r>
    </w:p>
    <w:p>
      <w:pPr>
        <w:spacing w:line="470" w:lineRule="exact"/>
        <w:jc w:val="left"/>
        <w:rPr>
          <w:rFonts w:hint="eastAsia" w:ascii="宋体" w:hAnsi="宋体" w:eastAsia="宋体" w:cs="宋体"/>
          <w:b w:val="0"/>
          <w:bCs/>
          <w:color w:val="auto"/>
          <w:sz w:val="24"/>
          <w:szCs w:val="24"/>
          <w:highlight w:val="none"/>
        </w:rPr>
      </w:pPr>
    </w:p>
    <w:p>
      <w:pPr>
        <w:spacing w:line="470" w:lineRule="exact"/>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甲方</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盖章</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                    乙方</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盖章</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w:t>
      </w:r>
    </w:p>
    <w:p>
      <w:pPr>
        <w:spacing w:line="470" w:lineRule="exact"/>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法定代表人</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或</w:t>
      </w:r>
      <w:r>
        <w:rPr>
          <w:rFonts w:hint="eastAsia" w:ascii="宋体" w:hAnsi="宋体" w:eastAsia="宋体" w:cs="宋体"/>
          <w:b w:val="0"/>
          <w:bCs/>
          <w:color w:val="auto"/>
          <w:sz w:val="24"/>
          <w:szCs w:val="24"/>
          <w:highlight w:val="none"/>
        </w:rPr>
        <w:t>委托代理人</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      法定代表人</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或</w:t>
      </w:r>
      <w:r>
        <w:rPr>
          <w:rFonts w:hint="eastAsia" w:ascii="宋体" w:hAnsi="宋体" w:eastAsia="宋体" w:cs="宋体"/>
          <w:b w:val="0"/>
          <w:bCs/>
          <w:color w:val="auto"/>
          <w:sz w:val="24"/>
          <w:szCs w:val="24"/>
          <w:highlight w:val="none"/>
        </w:rPr>
        <w:t>委托代理人</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w:t>
      </w:r>
    </w:p>
    <w:p>
      <w:pPr>
        <w:spacing w:line="47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p>
    <w:p>
      <w:pPr>
        <w:spacing w:line="47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联系电话：                        联系电话：</w:t>
      </w:r>
    </w:p>
    <w:p>
      <w:pPr>
        <w:spacing w:line="47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签订时间：</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 xml:space="preserve">年   月   日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签订时间：</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年   月   日</w:t>
      </w:r>
    </w:p>
    <w:p>
      <w:pPr>
        <w:spacing w:line="470" w:lineRule="exact"/>
        <w:rPr>
          <w:rFonts w:hint="eastAsia" w:ascii="宋体" w:hAnsi="宋体" w:eastAsia="宋体" w:cs="宋体"/>
          <w:b w:val="0"/>
          <w:bCs/>
          <w:color w:val="auto"/>
          <w:sz w:val="24"/>
          <w:szCs w:val="24"/>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25"/>
        <w:rPr>
          <w:rFonts w:hint="eastAsia" w:ascii="宋体" w:hAnsi="宋体" w:cs="宋体"/>
          <w:b/>
          <w:bCs/>
          <w:color w:val="auto"/>
          <w:kern w:val="44"/>
          <w:sz w:val="24"/>
          <w:highlight w:val="none"/>
        </w:rPr>
      </w:pPr>
      <w:r>
        <w:rPr>
          <w:rFonts w:hint="eastAsia" w:ascii="宋体" w:hAnsi="宋体" w:cs="宋体"/>
          <w:b/>
          <w:bCs/>
          <w:color w:val="auto"/>
          <w:kern w:val="44"/>
          <w:sz w:val="24"/>
          <w:highlight w:val="none"/>
        </w:rPr>
        <w:t>附件二：</w:t>
      </w:r>
    </w:p>
    <w:p>
      <w:pPr>
        <w:pStyle w:val="25"/>
        <w:jc w:val="center"/>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u w:val="single"/>
          <w:lang w:val="en-US" w:eastAsia="zh-CN"/>
        </w:rPr>
        <w:t>XXXXXX</w:t>
      </w:r>
      <w:r>
        <w:rPr>
          <w:rFonts w:hint="eastAsia" w:hAnsi="宋体" w:cs="宋体"/>
          <w:b/>
          <w:bCs/>
          <w:color w:val="auto"/>
          <w:sz w:val="24"/>
          <w:szCs w:val="24"/>
          <w:highlight w:val="none"/>
          <w:lang w:val="en-US" w:eastAsia="zh-CN"/>
        </w:rPr>
        <w:t>项目</w:t>
      </w:r>
      <w:r>
        <w:rPr>
          <w:rFonts w:hint="eastAsia" w:ascii="宋体" w:hAnsi="宋体" w:eastAsia="宋体" w:cs="宋体"/>
          <w:b/>
          <w:bCs/>
          <w:color w:val="auto"/>
          <w:sz w:val="24"/>
          <w:szCs w:val="24"/>
          <w:highlight w:val="none"/>
        </w:rPr>
        <w:t>廉政</w:t>
      </w:r>
      <w:r>
        <w:rPr>
          <w:rFonts w:hint="eastAsia" w:ascii="宋体" w:hAnsi="宋体" w:eastAsia="宋体" w:cs="宋体"/>
          <w:b/>
          <w:bCs/>
          <w:color w:val="auto"/>
          <w:sz w:val="24"/>
          <w:szCs w:val="24"/>
          <w:highlight w:val="none"/>
          <w:lang w:val="en-US" w:eastAsia="zh-CN"/>
        </w:rPr>
        <w:t>协议</w:t>
      </w:r>
    </w:p>
    <w:p>
      <w:pPr>
        <w:spacing w:line="52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甲方</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发包人</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u w:val="single"/>
          <w:lang w:eastAsia="zh-CN"/>
        </w:rPr>
        <w:t>XXXXXX</w:t>
      </w:r>
    </w:p>
    <w:p>
      <w:pPr>
        <w:spacing w:line="52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乙方</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承包人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u w:val="single"/>
          <w:lang w:val="en-US" w:eastAsia="zh-CN"/>
        </w:rPr>
        <w:t>XXXXXX</w:t>
      </w:r>
    </w:p>
    <w:p>
      <w:pPr>
        <w:pStyle w:val="25"/>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根据有关项目</w:t>
      </w:r>
      <w:r>
        <w:rPr>
          <w:rFonts w:hint="eastAsia" w:ascii="宋体" w:hAnsi="宋体" w:eastAsia="宋体" w:cs="宋体"/>
          <w:b w:val="0"/>
          <w:bCs w:val="0"/>
          <w:color w:val="auto"/>
          <w:sz w:val="24"/>
          <w:szCs w:val="24"/>
          <w:highlight w:val="none"/>
          <w:lang w:val="en-US" w:eastAsia="zh-CN"/>
        </w:rPr>
        <w:t>实施</w:t>
      </w:r>
      <w:r>
        <w:rPr>
          <w:rFonts w:hint="eastAsia" w:ascii="宋体" w:hAnsi="宋体" w:eastAsia="宋体" w:cs="宋体"/>
          <w:b w:val="0"/>
          <w:bCs w:val="0"/>
          <w:color w:val="auto"/>
          <w:sz w:val="24"/>
          <w:szCs w:val="24"/>
          <w:highlight w:val="none"/>
        </w:rPr>
        <w:t>、廉政</w:t>
      </w:r>
      <w:r>
        <w:rPr>
          <w:rFonts w:hint="eastAsia" w:ascii="宋体" w:hAnsi="宋体" w:eastAsia="宋体" w:cs="宋体"/>
          <w:b w:val="0"/>
          <w:bCs w:val="0"/>
          <w:color w:val="auto"/>
          <w:sz w:val="24"/>
          <w:szCs w:val="24"/>
          <w:highlight w:val="none"/>
          <w:lang w:val="en-US" w:eastAsia="zh-CN"/>
        </w:rPr>
        <w:t>实施</w:t>
      </w:r>
      <w:r>
        <w:rPr>
          <w:rFonts w:hint="eastAsia" w:ascii="宋体" w:hAnsi="宋体" w:eastAsia="宋体" w:cs="宋体"/>
          <w:b w:val="0"/>
          <w:bCs w:val="0"/>
          <w:color w:val="auto"/>
          <w:sz w:val="24"/>
          <w:szCs w:val="24"/>
          <w:highlight w:val="none"/>
        </w:rPr>
        <w:t>的规定，为做好项目</w:t>
      </w:r>
      <w:r>
        <w:rPr>
          <w:rFonts w:hint="eastAsia" w:ascii="宋体" w:hAnsi="宋体" w:eastAsia="宋体" w:cs="宋体"/>
          <w:b w:val="0"/>
          <w:bCs w:val="0"/>
          <w:color w:val="auto"/>
          <w:sz w:val="24"/>
          <w:szCs w:val="24"/>
          <w:highlight w:val="none"/>
          <w:lang w:val="en-US" w:eastAsia="zh-CN"/>
        </w:rPr>
        <w:t>实施</w:t>
      </w:r>
      <w:r>
        <w:rPr>
          <w:rFonts w:hint="eastAsia" w:ascii="宋体" w:hAnsi="宋体" w:eastAsia="宋体" w:cs="宋体"/>
          <w:b w:val="0"/>
          <w:bCs w:val="0"/>
          <w:color w:val="auto"/>
          <w:sz w:val="24"/>
          <w:szCs w:val="24"/>
          <w:highlight w:val="none"/>
        </w:rPr>
        <w:t>中的党风廉政建设，保证项目高效优质，保证</w:t>
      </w:r>
      <w:r>
        <w:rPr>
          <w:rFonts w:hint="eastAsia" w:ascii="宋体" w:hAnsi="宋体" w:eastAsia="宋体" w:cs="宋体"/>
          <w:b w:val="0"/>
          <w:bCs w:val="0"/>
          <w:color w:val="auto"/>
          <w:sz w:val="24"/>
          <w:szCs w:val="24"/>
          <w:highlight w:val="none"/>
          <w:lang w:val="en-US" w:eastAsia="zh-CN"/>
        </w:rPr>
        <w:t>项目</w:t>
      </w:r>
      <w:r>
        <w:rPr>
          <w:rFonts w:hint="eastAsia" w:ascii="宋体" w:hAnsi="宋体" w:eastAsia="宋体" w:cs="宋体"/>
          <w:b w:val="0"/>
          <w:bCs w:val="0"/>
          <w:color w:val="auto"/>
          <w:sz w:val="24"/>
          <w:szCs w:val="24"/>
          <w:highlight w:val="none"/>
        </w:rPr>
        <w:t>资金的安全和有效使用以及投资效益</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特订立如下</w:t>
      </w:r>
      <w:r>
        <w:rPr>
          <w:rFonts w:hint="eastAsia" w:ascii="宋体" w:hAnsi="宋体" w:eastAsia="宋体" w:cs="宋体"/>
          <w:b w:val="0"/>
          <w:bCs w:val="0"/>
          <w:color w:val="auto"/>
          <w:sz w:val="24"/>
          <w:szCs w:val="24"/>
          <w:highlight w:val="none"/>
          <w:lang w:val="en-US" w:eastAsia="zh-CN"/>
        </w:rPr>
        <w:t>协议</w:t>
      </w:r>
      <w:r>
        <w:rPr>
          <w:rFonts w:hint="eastAsia" w:ascii="宋体" w:hAnsi="宋体" w:eastAsia="宋体" w:cs="宋体"/>
          <w:b w:val="0"/>
          <w:bCs w:val="0"/>
          <w:color w:val="auto"/>
          <w:sz w:val="24"/>
          <w:szCs w:val="24"/>
          <w:highlight w:val="none"/>
        </w:rPr>
        <w:t>。</w:t>
      </w:r>
    </w:p>
    <w:p>
      <w:pPr>
        <w:pStyle w:val="25"/>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第一条　甲、乙双方的权利和义务</w:t>
      </w:r>
    </w:p>
    <w:p>
      <w:pPr>
        <w:pStyle w:val="25"/>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（一）严格遵守党和国家有关法律法规及</w:t>
      </w:r>
      <w:r>
        <w:rPr>
          <w:rFonts w:hint="eastAsia" w:ascii="宋体" w:hAnsi="宋体" w:eastAsia="宋体" w:cs="宋体"/>
          <w:b w:val="0"/>
          <w:bCs w:val="0"/>
          <w:color w:val="auto"/>
          <w:sz w:val="24"/>
          <w:szCs w:val="24"/>
          <w:highlight w:val="none"/>
          <w:lang w:val="en-US" w:eastAsia="zh-CN"/>
        </w:rPr>
        <w:t>相关部门</w:t>
      </w:r>
      <w:r>
        <w:rPr>
          <w:rFonts w:hint="eastAsia" w:ascii="宋体" w:hAnsi="宋体" w:eastAsia="宋体" w:cs="宋体"/>
          <w:b w:val="0"/>
          <w:bCs w:val="0"/>
          <w:color w:val="auto"/>
          <w:sz w:val="24"/>
          <w:szCs w:val="24"/>
          <w:highlight w:val="none"/>
        </w:rPr>
        <w:t>的有关规定。</w:t>
      </w:r>
    </w:p>
    <w:p>
      <w:pPr>
        <w:pStyle w:val="25"/>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（二）严格执行</w:t>
      </w:r>
      <w:r>
        <w:rPr>
          <w:rFonts w:hint="eastAsia" w:hAnsi="宋体" w:cs="宋体"/>
          <w:b w:val="0"/>
          <w:bCs w:val="0"/>
          <w:color w:val="auto"/>
          <w:sz w:val="24"/>
          <w:szCs w:val="24"/>
          <w:highlight w:val="none"/>
          <w:u w:val="none"/>
          <w:lang w:val="en-US" w:eastAsia="zh-CN"/>
        </w:rPr>
        <w:t>本</w:t>
      </w:r>
      <w:r>
        <w:rPr>
          <w:rFonts w:hint="eastAsia" w:ascii="宋体" w:hAnsi="宋体" w:eastAsia="宋体" w:cs="宋体"/>
          <w:b w:val="0"/>
          <w:bCs w:val="0"/>
          <w:color w:val="auto"/>
          <w:sz w:val="24"/>
          <w:szCs w:val="24"/>
          <w:highlight w:val="none"/>
          <w:lang w:val="en-US" w:eastAsia="zh-CN"/>
        </w:rPr>
        <w:t>项目</w:t>
      </w:r>
      <w:r>
        <w:rPr>
          <w:rFonts w:hint="eastAsia" w:ascii="宋体" w:hAnsi="宋体" w:eastAsia="宋体" w:cs="宋体"/>
          <w:b w:val="0"/>
          <w:bCs w:val="0"/>
          <w:color w:val="auto"/>
          <w:sz w:val="24"/>
          <w:szCs w:val="24"/>
          <w:highlight w:val="none"/>
        </w:rPr>
        <w:t>合同文件，自觉按合同办事。</w:t>
      </w:r>
    </w:p>
    <w:p>
      <w:pPr>
        <w:pStyle w:val="25"/>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（三）双方的业务活动坚持公开、公正、诚信、透明的原则（除法律认定的商业秘密和合同文件另有规定之外），不得损害国家和集体利益，违反项目管理规章制度。</w:t>
      </w:r>
    </w:p>
    <w:p>
      <w:pPr>
        <w:pStyle w:val="25"/>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（四）建立健全廉政制度，开展廉政教育，设立廉政告示牌，公布举报电话，监督并认真查处违法违纪行为。</w:t>
      </w:r>
    </w:p>
    <w:p>
      <w:pPr>
        <w:pStyle w:val="25"/>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（五）发现对方在业务活动中有违反廉政规定的行为，有及时提醒对方纠正的权利和义务。</w:t>
      </w:r>
    </w:p>
    <w:p>
      <w:pPr>
        <w:pStyle w:val="25"/>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（六）发现对方严重违反本合同义务条款的行为，有向其上级有关部门举报、建议给予处理并要求告知处理结果的权利。</w:t>
      </w:r>
    </w:p>
    <w:p>
      <w:pPr>
        <w:pStyle w:val="25"/>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第二条　甲方的义务</w:t>
      </w:r>
    </w:p>
    <w:p>
      <w:pPr>
        <w:pStyle w:val="25"/>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（一）甲方及其工作人员不得索要或接受乙方的礼金、有价证券和贵重物品，不得在乙方报销任何应由甲方或个人支付的费用等。</w:t>
      </w:r>
    </w:p>
    <w:p>
      <w:pPr>
        <w:pStyle w:val="25"/>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（二）甲方工作人员不得参加乙方安排的超标准宴请和娱乐活动，不得接受乙方提供的通讯工具、交通工具和高档办公用品等。</w:t>
      </w:r>
    </w:p>
    <w:p>
      <w:pPr>
        <w:pStyle w:val="25"/>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（三）甲方及其工作人员不得要求或者接受乙方为其住房装修、婚丧嫁娶活动、配偶子女的工作安排以及出国出境、旅游等提供方便等。</w:t>
      </w:r>
    </w:p>
    <w:p>
      <w:pPr>
        <w:pStyle w:val="25"/>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（四）甲方工作人员的配偶、子女不得从事与项目有关的材料设备供应、项目分包、劳务等经济活动等。</w:t>
      </w:r>
    </w:p>
    <w:p>
      <w:pPr>
        <w:pStyle w:val="25"/>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（五）甲方及其工作人员不得以任何理由向乙方推荐分包单位，不得要求乙方购买合同外的材料和设备。</w:t>
      </w:r>
    </w:p>
    <w:p>
      <w:pPr>
        <w:pStyle w:val="25"/>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第三条　乙方义务</w:t>
      </w:r>
    </w:p>
    <w:p>
      <w:pPr>
        <w:pStyle w:val="25"/>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（一）乙方不得以任何理由向甲方及其工作人员行贿或馈赠礼金，有价证券、贵重礼品。</w:t>
      </w:r>
    </w:p>
    <w:p>
      <w:pPr>
        <w:pStyle w:val="25"/>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（二）乙方不得以任何名义为甲方及其工作人员报销应由甲方单位或个人支付的任何费用。</w:t>
      </w:r>
    </w:p>
    <w:p>
      <w:pPr>
        <w:pStyle w:val="25"/>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（三）乙方不得以任何理由安排甲方工作人员参加超标准宴请及娱乐活动。</w:t>
      </w:r>
    </w:p>
    <w:p>
      <w:pPr>
        <w:pStyle w:val="25"/>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（四）乙方不得为甲方单位和个人购置或提供通讯工具、交通工具和高档办公用品等。</w:t>
      </w:r>
    </w:p>
    <w:p>
      <w:pPr>
        <w:pStyle w:val="25"/>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第四条　违约责任</w:t>
      </w:r>
    </w:p>
    <w:p>
      <w:pPr>
        <w:pStyle w:val="25"/>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（一）甲方及其工作人员违反本</w:t>
      </w:r>
      <w:r>
        <w:rPr>
          <w:rFonts w:hint="eastAsia" w:ascii="宋体" w:hAnsi="宋体" w:eastAsia="宋体" w:cs="宋体"/>
          <w:b w:val="0"/>
          <w:bCs w:val="0"/>
          <w:color w:val="auto"/>
          <w:sz w:val="24"/>
          <w:szCs w:val="24"/>
          <w:highlight w:val="none"/>
          <w:lang w:val="en-US" w:eastAsia="zh-CN"/>
        </w:rPr>
        <w:t>协议</w:t>
      </w:r>
      <w:r>
        <w:rPr>
          <w:rFonts w:hint="eastAsia" w:ascii="宋体" w:hAnsi="宋体" w:eastAsia="宋体" w:cs="宋体"/>
          <w:b w:val="0"/>
          <w:bCs w:val="0"/>
          <w:color w:val="auto"/>
          <w:sz w:val="24"/>
          <w:szCs w:val="24"/>
          <w:highlight w:val="none"/>
        </w:rPr>
        <w:t>第一、二条，按管理权限，依据有关规定给予党纪、政纪或组织处理；涉嫌犯罪的，移交司法机关追究刑事责任；给乙方单位造成经济损失的，应予以赔偿。</w:t>
      </w:r>
    </w:p>
    <w:p>
      <w:pPr>
        <w:pStyle w:val="25"/>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（二）乙方及其工作人员违反本</w:t>
      </w:r>
      <w:r>
        <w:rPr>
          <w:rFonts w:hint="eastAsia" w:ascii="宋体" w:hAnsi="宋体" w:eastAsia="宋体" w:cs="宋体"/>
          <w:b w:val="0"/>
          <w:bCs w:val="0"/>
          <w:color w:val="auto"/>
          <w:sz w:val="24"/>
          <w:szCs w:val="24"/>
          <w:highlight w:val="none"/>
          <w:lang w:val="en-US" w:eastAsia="zh-CN"/>
        </w:rPr>
        <w:t>协议</w:t>
      </w:r>
      <w:r>
        <w:rPr>
          <w:rFonts w:hint="eastAsia" w:ascii="宋体" w:hAnsi="宋体" w:eastAsia="宋体" w:cs="宋体"/>
          <w:b w:val="0"/>
          <w:bCs w:val="0"/>
          <w:color w:val="auto"/>
          <w:sz w:val="24"/>
          <w:szCs w:val="24"/>
          <w:highlight w:val="none"/>
        </w:rPr>
        <w:t>第一、三条，按管理权限，依据有关规定，给予党纪、政纪或组织处理；给甲方单位造成经济损失的，应予以赔偿；情节严重的，甲方建议项目主管部门给予乙方一至三年内不得进入其主管市场的处罚。</w:t>
      </w:r>
    </w:p>
    <w:p>
      <w:pPr>
        <w:pStyle w:val="25"/>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第五条　四方约定</w:t>
      </w:r>
    </w:p>
    <w:p>
      <w:pPr>
        <w:pStyle w:val="25"/>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w:t>
      </w:r>
      <w:r>
        <w:rPr>
          <w:rFonts w:hint="eastAsia" w:ascii="宋体" w:hAnsi="宋体" w:eastAsia="宋体" w:cs="宋体"/>
          <w:b w:val="0"/>
          <w:bCs w:val="0"/>
          <w:color w:val="auto"/>
          <w:sz w:val="24"/>
          <w:szCs w:val="24"/>
          <w:highlight w:val="none"/>
          <w:lang w:val="en-US" w:eastAsia="zh-CN"/>
        </w:rPr>
        <w:t>协议</w:t>
      </w:r>
      <w:r>
        <w:rPr>
          <w:rFonts w:hint="eastAsia" w:ascii="宋体" w:hAnsi="宋体" w:eastAsia="宋体" w:cs="宋体"/>
          <w:b w:val="0"/>
          <w:bCs w:val="0"/>
          <w:color w:val="auto"/>
          <w:sz w:val="24"/>
          <w:szCs w:val="24"/>
          <w:highlight w:val="none"/>
        </w:rPr>
        <w:t>由各方或各方上级单位的纪检监察机关负责监督。由甲方或甲方上级单位的纪检监察机关约请乙方或乙方上级单位纪检监察机关对本合同履行情况进行检查提出在本</w:t>
      </w:r>
      <w:r>
        <w:rPr>
          <w:rFonts w:hint="eastAsia" w:ascii="宋体" w:hAnsi="宋体" w:eastAsia="宋体" w:cs="宋体"/>
          <w:b w:val="0"/>
          <w:bCs w:val="0"/>
          <w:color w:val="auto"/>
          <w:sz w:val="24"/>
          <w:szCs w:val="24"/>
          <w:highlight w:val="none"/>
          <w:lang w:val="en-US" w:eastAsia="zh-CN"/>
        </w:rPr>
        <w:t>协议</w:t>
      </w:r>
      <w:r>
        <w:rPr>
          <w:rFonts w:hint="eastAsia" w:ascii="宋体" w:hAnsi="宋体" w:eastAsia="宋体" w:cs="宋体"/>
          <w:b w:val="0"/>
          <w:bCs w:val="0"/>
          <w:color w:val="auto"/>
          <w:sz w:val="24"/>
          <w:szCs w:val="24"/>
          <w:highlight w:val="none"/>
        </w:rPr>
        <w:t>规定范围内的裁定意见。</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第六条  </w:t>
      </w:r>
      <w:r>
        <w:rPr>
          <w:rFonts w:hint="eastAsia" w:ascii="宋体" w:hAnsi="宋体" w:eastAsia="宋体" w:cs="宋体"/>
          <w:b w:val="0"/>
          <w:bCs w:val="0"/>
          <w:color w:val="auto"/>
          <w:sz w:val="24"/>
          <w:szCs w:val="24"/>
          <w:highlight w:val="none"/>
        </w:rPr>
        <w:t>本</w:t>
      </w:r>
      <w:r>
        <w:rPr>
          <w:rFonts w:hint="eastAsia" w:ascii="宋体" w:hAnsi="宋体" w:eastAsia="宋体" w:cs="宋体"/>
          <w:b w:val="0"/>
          <w:bCs w:val="0"/>
          <w:color w:val="auto"/>
          <w:sz w:val="24"/>
          <w:szCs w:val="24"/>
          <w:highlight w:val="none"/>
          <w:lang w:val="en-US" w:eastAsia="zh-CN"/>
        </w:rPr>
        <w:t>协议</w:t>
      </w:r>
      <w:r>
        <w:rPr>
          <w:rFonts w:hint="eastAsia" w:ascii="宋体" w:hAnsi="宋体" w:eastAsia="宋体" w:cs="宋体"/>
          <w:b w:val="0"/>
          <w:bCs w:val="0"/>
          <w:color w:val="auto"/>
          <w:sz w:val="24"/>
          <w:szCs w:val="24"/>
          <w:highlight w:val="none"/>
        </w:rPr>
        <w:t>作为</w:t>
      </w:r>
      <w:r>
        <w:rPr>
          <w:rFonts w:hint="eastAsia" w:ascii="宋体" w:hAnsi="宋体" w:eastAsia="宋体" w:cs="宋体"/>
          <w:b w:val="0"/>
          <w:bCs w:val="0"/>
          <w:color w:val="auto"/>
          <w:sz w:val="24"/>
          <w:szCs w:val="24"/>
          <w:highlight w:val="none"/>
          <w:u w:val="single"/>
          <w:lang w:val="en-US" w:eastAsia="zh-CN"/>
        </w:rPr>
        <w:t>XXXXXX</w:t>
      </w:r>
      <w:r>
        <w:rPr>
          <w:rFonts w:hint="eastAsia" w:ascii="宋体" w:hAnsi="宋体" w:eastAsia="宋体" w:cs="宋体"/>
          <w:b w:val="0"/>
          <w:bCs w:val="0"/>
          <w:color w:val="auto"/>
          <w:sz w:val="24"/>
          <w:szCs w:val="24"/>
          <w:highlight w:val="none"/>
          <w:lang w:val="en-US" w:eastAsia="zh-CN"/>
        </w:rPr>
        <w:t>项目</w:t>
      </w:r>
      <w:r>
        <w:rPr>
          <w:rFonts w:hint="eastAsia" w:ascii="宋体" w:hAnsi="宋体" w:eastAsia="宋体" w:cs="宋体"/>
          <w:b w:val="0"/>
          <w:bCs w:val="0"/>
          <w:color w:val="auto"/>
          <w:sz w:val="24"/>
          <w:szCs w:val="24"/>
          <w:highlight w:val="none"/>
        </w:rPr>
        <w:t>合同的附件，与项目合同具有同等的法律效力。</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第七条  </w:t>
      </w:r>
      <w:r>
        <w:rPr>
          <w:rFonts w:hint="eastAsia" w:ascii="宋体" w:hAnsi="宋体" w:eastAsia="宋体" w:cs="宋体"/>
          <w:b w:val="0"/>
          <w:bCs w:val="0"/>
          <w:color w:val="auto"/>
          <w:sz w:val="24"/>
          <w:szCs w:val="24"/>
          <w:highlight w:val="none"/>
        </w:rPr>
        <w:t>本协议一式肆份，甲、乙双方各执贰份，</w:t>
      </w:r>
      <w:r>
        <w:rPr>
          <w:rFonts w:hint="eastAsia" w:ascii="宋体" w:hAnsi="宋体" w:eastAsia="宋体" w:cs="宋体"/>
          <w:b w:val="0"/>
          <w:bCs w:val="0"/>
          <w:color w:val="auto"/>
          <w:sz w:val="24"/>
          <w:szCs w:val="24"/>
          <w:highlight w:val="none"/>
          <w:lang w:val="en-US" w:eastAsia="zh-CN"/>
        </w:rPr>
        <w:t>经甲乙</w:t>
      </w:r>
      <w:r>
        <w:rPr>
          <w:rFonts w:hint="eastAsia" w:ascii="宋体" w:hAnsi="宋体" w:eastAsia="宋体" w:cs="宋体"/>
          <w:b w:val="0"/>
          <w:bCs w:val="0"/>
          <w:color w:val="auto"/>
          <w:sz w:val="24"/>
          <w:szCs w:val="24"/>
          <w:highlight w:val="none"/>
        </w:rPr>
        <w:t>双方</w:t>
      </w:r>
      <w:r>
        <w:rPr>
          <w:rFonts w:hint="eastAsia" w:ascii="宋体" w:hAnsi="宋体" w:eastAsia="宋体" w:cs="宋体"/>
          <w:b w:val="0"/>
          <w:bCs w:val="0"/>
          <w:color w:val="auto"/>
          <w:sz w:val="24"/>
          <w:szCs w:val="24"/>
          <w:highlight w:val="none"/>
          <w:lang w:val="en-US" w:eastAsia="zh-CN"/>
        </w:rPr>
        <w:t>签字</w:t>
      </w:r>
      <w:r>
        <w:rPr>
          <w:rFonts w:hint="eastAsia" w:ascii="宋体" w:hAnsi="宋体" w:eastAsia="宋体" w:cs="宋体"/>
          <w:b w:val="0"/>
          <w:bCs w:val="0"/>
          <w:color w:val="auto"/>
          <w:sz w:val="24"/>
          <w:szCs w:val="24"/>
          <w:highlight w:val="none"/>
        </w:rPr>
        <w:t>并加盖公章后生效。</w:t>
      </w:r>
    </w:p>
    <w:p>
      <w:pPr>
        <w:spacing w:line="470" w:lineRule="exact"/>
        <w:jc w:val="left"/>
        <w:rPr>
          <w:rFonts w:hint="eastAsia" w:ascii="宋体" w:hAnsi="宋体" w:eastAsia="宋体" w:cs="宋体"/>
          <w:b w:val="0"/>
          <w:bCs/>
          <w:color w:val="auto"/>
          <w:sz w:val="24"/>
          <w:szCs w:val="24"/>
          <w:highlight w:val="none"/>
        </w:rPr>
      </w:pPr>
    </w:p>
    <w:p>
      <w:pPr>
        <w:spacing w:line="470" w:lineRule="exact"/>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甲方</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盖章</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                    乙方</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盖章</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w:t>
      </w:r>
    </w:p>
    <w:p>
      <w:pPr>
        <w:spacing w:line="470" w:lineRule="exact"/>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法定代表人</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或</w:t>
      </w:r>
      <w:r>
        <w:rPr>
          <w:rFonts w:hint="eastAsia" w:ascii="宋体" w:hAnsi="宋体" w:eastAsia="宋体" w:cs="宋体"/>
          <w:b w:val="0"/>
          <w:bCs/>
          <w:color w:val="auto"/>
          <w:sz w:val="24"/>
          <w:szCs w:val="24"/>
          <w:highlight w:val="none"/>
        </w:rPr>
        <w:t>委托代理人</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      法定代表人</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或</w:t>
      </w:r>
      <w:r>
        <w:rPr>
          <w:rFonts w:hint="eastAsia" w:ascii="宋体" w:hAnsi="宋体" w:eastAsia="宋体" w:cs="宋体"/>
          <w:b w:val="0"/>
          <w:bCs/>
          <w:color w:val="auto"/>
          <w:sz w:val="24"/>
          <w:szCs w:val="24"/>
          <w:highlight w:val="none"/>
        </w:rPr>
        <w:t>委托代理人</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w:t>
      </w:r>
    </w:p>
    <w:p>
      <w:pPr>
        <w:spacing w:line="47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p>
    <w:p>
      <w:pPr>
        <w:spacing w:line="47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联系电话：                        联系电话：</w:t>
      </w:r>
    </w:p>
    <w:p>
      <w:pPr>
        <w:spacing w:line="47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签订时间：</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 xml:space="preserve">年   月   日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签订时间：</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年   月   日</w:t>
      </w:r>
    </w:p>
    <w:p>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1"/>
      <w:bookmarkEnd w:id="382"/>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（1）符合参加交易活动应当具备的一般条件的承诺函…………………（页码）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符合参加交易活动应当具备的一般条件的承诺函</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（项目名称）【交易编号：】</w:t>
      </w:r>
      <w:r>
        <w:rPr>
          <w:rFonts w:hint="eastAsia" w:ascii="宋体" w:hAnsi="宋体" w:eastAsia="宋体" w:cs="宋体"/>
          <w:color w:val="auto"/>
          <w:sz w:val="24"/>
          <w:highlight w:val="none"/>
        </w:rPr>
        <w:t>交易活动，郑重承诺：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（一）具备以下条件：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t>（根据交易公告本项目的特定资格要求提供相应的材料；未要求的，无需提供）</w:t>
      </w: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（1）交易函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（3）营业执照</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（5）评审标准相应的商务技术资料</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（6）商务技术偏离表</w:t>
      </w:r>
      <w:r>
        <w:rPr>
          <w:rFonts w:hint="eastAsia" w:ascii="宋体" w:hAnsi="宋体" w:eastAsia="宋体" w:cs="宋体"/>
          <w:color w:val="auto"/>
          <w:highlight w:val="none"/>
        </w:rPr>
        <w:t>………………………………………………………………………（页码）</w:t>
      </w:r>
    </w:p>
    <w:p>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响应人廉洁自律承诺书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一、交易函</w:t>
      </w: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（项目名称）【交易编号：】</w:t>
      </w:r>
      <w:r>
        <w:rPr>
          <w:rFonts w:hint="eastAsia" w:ascii="宋体" w:hAnsi="宋体" w:cs="宋体"/>
          <w:color w:val="auto"/>
          <w:sz w:val="24"/>
          <w:highlight w:val="none"/>
          <w:u w:val="single"/>
          <w:lang w:val="en-US" w:eastAsia="zh-CN"/>
        </w:rPr>
        <w:t>交易</w:t>
      </w:r>
      <w:r>
        <w:rPr>
          <w:rFonts w:hint="eastAsia" w:ascii="宋体" w:hAnsi="宋体" w:eastAsia="宋体" w:cs="宋体"/>
          <w:color w:val="auto"/>
          <w:sz w:val="24"/>
          <w:highlight w:val="none"/>
        </w:rPr>
        <w:t>的有关活动，并对此项目进行投标。为此：</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1、我方承诺交易有效期从提交响应文件的截止之日起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本响应文件在交易有效期满之前均具有约束力。</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pPr>
        <w:snapToGrid w:val="0"/>
        <w:spacing w:line="440" w:lineRule="exact"/>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2.2.1交易函；</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2.2.3营业执照；</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440" w:lineRule="exact"/>
        <w:ind w:left="420" w:lef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2.2.5评审标准相应的商务技术资料；</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响应人廉洁自律承诺书。</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2.3.1交易一览表（报价表）。</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3、我方承诺除商务技术偏离表列出的偏离外，我方响应公开竞争文件的全部要求。</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4.3按照公开竞争文件要求提交履约保证金；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pPr>
        <w:spacing w:line="44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响应人名称（电子签名）：                          </w:t>
      </w:r>
    </w:p>
    <w:p>
      <w:pPr>
        <w:spacing w:line="440" w:lineRule="exact"/>
        <w:jc w:val="center"/>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pStyle w:val="25"/>
        <w:rPr>
          <w:rFonts w:hint="eastAsia" w:ascii="宋体" w:hAnsi="宋体" w:eastAsia="宋体" w:cs="宋体"/>
          <w:color w:val="auto"/>
          <w:highlight w:val="none"/>
          <w:lang w:val="en-US"/>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r>
        <w:rPr>
          <w:rFonts w:hint="eastAsia" w:ascii="宋体" w:hAnsi="宋体" w:eastAsia="宋体" w:cs="宋体"/>
          <w:b/>
          <w:color w:val="auto"/>
          <w:sz w:val="30"/>
          <w:szCs w:val="30"/>
          <w:highlight w:val="none"/>
        </w:rPr>
        <w:t>（适用于</w:t>
      </w:r>
      <w:r>
        <w:rPr>
          <w:rFonts w:hint="eastAsia" w:ascii="宋体" w:hAnsi="宋体" w:eastAsia="宋体" w:cs="宋体"/>
          <w:b/>
          <w:color w:val="auto"/>
          <w:sz w:val="30"/>
          <w:szCs w:val="30"/>
          <w:highlight w:val="none"/>
          <w:lang w:val="en-US" w:eastAsia="zh-CN"/>
        </w:rPr>
        <w:t>非</w:t>
      </w:r>
      <w:r>
        <w:rPr>
          <w:rFonts w:hint="eastAsia" w:ascii="宋体" w:hAnsi="宋体" w:eastAsia="宋体" w:cs="宋体"/>
          <w:b/>
          <w:color w:val="auto"/>
          <w:sz w:val="30"/>
          <w:szCs w:val="30"/>
          <w:highlight w:val="none"/>
        </w:rPr>
        <w:t>法定代表人代表响应人参加投标）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，手机：</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（项目名称）【交易编号：】</w:t>
      </w:r>
      <w:r>
        <w:rPr>
          <w:rFonts w:hint="eastAsia" w:ascii="宋体" w:hAnsi="宋体" w:eastAsia="宋体" w:cs="宋体"/>
          <w:color w:val="auto"/>
          <w:kern w:val="0"/>
          <w:sz w:val="24"/>
          <w:highlight w:val="none"/>
          <w:lang w:val="zh-CN"/>
        </w:rPr>
        <w:t>交易项目的一切事项，其法律后果由我方承担。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自年月日起至年月日止。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lang w:val="zh-CN"/>
        </w:rPr>
      </w:pP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的身份证明（适用于法定代表人、单位负责人或者自然人本人代表响应人参加投标）</w:t>
      </w:r>
    </w:p>
    <w:p>
      <w:pPr>
        <w:pStyle w:val="155"/>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5"/>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55"/>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三、营业执照</w:t>
      </w:r>
    </w:p>
    <w:p>
      <w:pPr>
        <w:jc w:val="center"/>
        <w:rPr>
          <w:rFonts w:hint="eastAsia" w:ascii="宋体" w:hAnsi="宋体" w:eastAsia="宋体" w:cs="宋体"/>
          <w:b/>
          <w:color w:val="auto"/>
          <w:kern w:val="0"/>
          <w:sz w:val="32"/>
          <w:szCs w:val="32"/>
          <w:highlight w:val="none"/>
        </w:rPr>
      </w:pP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5"/>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响应人名称(电子签名)：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响应文件按照公开竞争文件要求签署、盖章。</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pPr>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响应文件中承诺的交易有效期不少于公开竞争文件中载明的交易有效期。</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交易函</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响应文件满足公开竞争文件的其它实质性要求。</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五、评审标准相应的商务技术资料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（按公开竞争文件第四部分交易办法前附表中“响应文件中评审标准相应的商务技术资料目录”提供资料。）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62"/>
        <w:rPr>
          <w:rFonts w:hint="eastAsia" w:ascii="宋体" w:hAnsi="宋体" w:eastAsia="宋体" w:cs="宋体"/>
          <w:b/>
          <w:color w:val="auto"/>
          <w:kern w:val="0"/>
          <w:sz w:val="32"/>
          <w:szCs w:val="32"/>
          <w:highlight w:val="none"/>
        </w:rPr>
      </w:pPr>
    </w:p>
    <w:p>
      <w:pPr>
        <w:pStyle w:val="52"/>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公开竞争文件章节及具体内容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响应人保证：除商务技术偏离表列出的偏离外，响应人响应公开竞争文件的全部要求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响应人廉洁自律承诺书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w:t>
      </w:r>
      <w:r>
        <w:rPr>
          <w:rFonts w:hint="eastAsia" w:ascii="宋体" w:hAnsi="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要求参加投标。在这次投标过程中和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w:t>
      </w:r>
      <w:r>
        <w:rPr>
          <w:rFonts w:hint="eastAsia" w:ascii="宋体" w:hAnsi="宋体" w:cs="宋体"/>
          <w:color w:val="auto"/>
          <w:kern w:val="0"/>
          <w:sz w:val="24"/>
          <w:highlight w:val="none"/>
          <w:lang w:val="en-US" w:eastAsia="zh-CN"/>
        </w:rPr>
        <w:t>上级部门</w:t>
      </w:r>
      <w:r>
        <w:rPr>
          <w:rFonts w:hint="eastAsia" w:ascii="宋体" w:hAnsi="宋体" w:eastAsia="宋体" w:cs="宋体"/>
          <w:color w:val="auto"/>
          <w:kern w:val="0"/>
          <w:sz w:val="24"/>
          <w:highlight w:val="none"/>
          <w:lang w:val="zh-CN"/>
        </w:rPr>
        <w:t>。由此引起的相应损失均由我单位承担。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footerReference r:id="rId8" w:type="first"/>
          <w:footerReference r:id="rId7" w:type="default"/>
          <w:pgSz w:w="11906" w:h="16838"/>
          <w:pgMar w:top="1247" w:right="1417" w:bottom="1247" w:left="1417" w:header="851" w:footer="992" w:gutter="0"/>
          <w:pgNumType w:start="2"/>
          <w:cols w:space="0" w:num="1"/>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（1）交易一览表（报价表）………………………………………………………（页码）</w:t>
      </w:r>
    </w:p>
    <w:p>
      <w:pPr>
        <w:snapToGrid w:val="0"/>
        <w:spacing w:line="360" w:lineRule="auto"/>
        <w:rPr>
          <w:rFonts w:hint="eastAsia" w:ascii="仿宋" w:hAnsi="仿宋" w:eastAsia="仿宋" w:cs="仿宋"/>
          <w:b/>
          <w:bCs/>
          <w:color w:val="auto"/>
          <w:sz w:val="52"/>
          <w:szCs w:val="52"/>
          <w:highlight w:val="none"/>
        </w:rPr>
      </w:pPr>
    </w:p>
    <w:p>
      <w:pPr>
        <w:snapToGrid w:val="0"/>
        <w:spacing w:line="360" w:lineRule="auto"/>
        <w:rPr>
          <w:rFonts w:hint="eastAsia" w:ascii="仿宋" w:hAnsi="仿宋" w:eastAsia="仿宋" w:cs="仿宋"/>
          <w:b/>
          <w:bCs/>
          <w:color w:val="auto"/>
          <w:sz w:val="52"/>
          <w:szCs w:val="52"/>
          <w:highlight w:val="none"/>
        </w:rPr>
      </w:pPr>
    </w:p>
    <w:p>
      <w:pPr>
        <w:snapToGrid w:val="0"/>
        <w:spacing w:line="360" w:lineRule="auto"/>
        <w:rPr>
          <w:rFonts w:hint="eastAsia" w:ascii="宋体" w:hAnsi="宋体" w:eastAsia="宋体" w:cs="宋体"/>
          <w:color w:val="auto"/>
          <w:sz w:val="24"/>
          <w:highlight w:val="none"/>
        </w:rPr>
        <w:sectPr>
          <w:headerReference r:id="rId10" w:type="first"/>
          <w:footerReference r:id="rId12" w:type="first"/>
          <w:headerReference r:id="rId9" w:type="default"/>
          <w:footerReference r:id="rId11" w:type="default"/>
          <w:pgSz w:w="11906" w:h="16838"/>
          <w:pgMar w:top="1247" w:right="1417" w:bottom="1247" w:left="1417" w:header="851" w:footer="992" w:gutter="0"/>
          <w:cols w:space="0" w:num="1"/>
          <w:titlePg/>
          <w:docGrid w:linePitch="312" w:charSpace="0"/>
        </w:sectPr>
      </w:pPr>
      <w:r>
        <w:rPr>
          <w:rFonts w:hint="eastAsia" w:ascii="仿宋" w:hAnsi="仿宋" w:eastAsia="仿宋" w:cs="仿宋"/>
          <w:b/>
          <w:bCs/>
          <w:color w:val="auto"/>
          <w:sz w:val="52"/>
          <w:szCs w:val="52"/>
          <w:highlight w:val="none"/>
        </w:rPr>
        <w:t>注：</w:t>
      </w:r>
      <w:r>
        <w:rPr>
          <w:rFonts w:hint="eastAsia" w:ascii="仿宋" w:hAnsi="仿宋" w:eastAsia="仿宋" w:cs="仿宋"/>
          <w:b/>
          <w:bCs/>
          <w:color w:val="auto"/>
          <w:sz w:val="52"/>
          <w:szCs w:val="52"/>
          <w:highlight w:val="none"/>
          <w:lang w:val="en-US" w:eastAsia="zh-CN"/>
        </w:rPr>
        <w:t>若多个标项响应投标时，</w:t>
      </w:r>
      <w:r>
        <w:rPr>
          <w:rFonts w:hint="eastAsia" w:ascii="仿宋" w:hAnsi="仿宋" w:eastAsia="仿宋" w:cs="仿宋"/>
          <w:b/>
          <w:bCs/>
          <w:color w:val="auto"/>
          <w:sz w:val="52"/>
          <w:szCs w:val="52"/>
          <w:highlight w:val="none"/>
        </w:rPr>
        <w:t>各标项报价文件</w:t>
      </w:r>
      <w:r>
        <w:rPr>
          <w:rFonts w:hint="eastAsia" w:ascii="仿宋" w:hAnsi="仿宋" w:eastAsia="仿宋" w:cs="仿宋"/>
          <w:b/>
          <w:bCs/>
          <w:color w:val="auto"/>
          <w:sz w:val="52"/>
          <w:szCs w:val="52"/>
          <w:highlight w:val="none"/>
          <w:lang w:val="en-US" w:eastAsia="zh-CN"/>
        </w:rPr>
        <w:t>须</w:t>
      </w:r>
      <w:r>
        <w:rPr>
          <w:rFonts w:hint="eastAsia" w:ascii="仿宋" w:hAnsi="仿宋" w:eastAsia="仿宋" w:cs="仿宋"/>
          <w:b/>
          <w:bCs/>
          <w:color w:val="auto"/>
          <w:sz w:val="52"/>
          <w:szCs w:val="52"/>
          <w:highlight w:val="none"/>
        </w:rPr>
        <w:t>单独制作，单独上传。</w:t>
      </w:r>
    </w:p>
    <w:p>
      <w:pPr>
        <w:pStyle w:val="69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napToGrid w:val="0"/>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交易一览表（报价表）</w:t>
      </w:r>
    </w:p>
    <w:tbl>
      <w:tblPr>
        <w:tblStyle w:val="65"/>
        <w:tblW w:w="14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5100"/>
        <w:gridCol w:w="2205"/>
        <w:gridCol w:w="3390"/>
        <w:gridCol w:w="160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51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名称</w:t>
            </w:r>
          </w:p>
        </w:tc>
        <w:tc>
          <w:tcPr>
            <w:tcW w:w="22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标项</w:t>
            </w:r>
          </w:p>
        </w:tc>
        <w:tc>
          <w:tcPr>
            <w:tcW w:w="33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响应优惠率</w:t>
            </w:r>
          </w:p>
        </w:tc>
        <w:tc>
          <w:tcPr>
            <w:tcW w:w="160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工期</w:t>
            </w:r>
          </w:p>
        </w:tc>
        <w:tc>
          <w:tcPr>
            <w:tcW w:w="12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10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eastAsia="zh-CN"/>
              </w:rPr>
              <w:t>杭州萧山城市服务管理有限公司</w:t>
            </w:r>
            <w:r>
              <w:rPr>
                <w:rFonts w:hint="eastAsia" w:ascii="宋体" w:hAnsi="宋体" w:cs="宋体"/>
                <w:color w:val="auto"/>
                <w:sz w:val="24"/>
                <w:highlight w:val="none"/>
                <w:lang w:val="en-US" w:eastAsia="zh-CN"/>
              </w:rPr>
              <w:t>2024-</w:t>
            </w:r>
            <w:r>
              <w:rPr>
                <w:rFonts w:hint="eastAsia" w:ascii="宋体" w:hAnsi="宋体" w:eastAsia="宋体" w:cs="宋体"/>
                <w:color w:val="auto"/>
                <w:sz w:val="24"/>
                <w:highlight w:val="none"/>
                <w:lang w:eastAsia="zh-CN"/>
              </w:rPr>
              <w:t>2025年度零星维修及装修</w:t>
            </w:r>
            <w:r>
              <w:rPr>
                <w:rFonts w:hint="eastAsia" w:ascii="宋体" w:hAnsi="宋体" w:cs="宋体"/>
                <w:color w:val="auto"/>
                <w:sz w:val="24"/>
                <w:highlight w:val="none"/>
                <w:lang w:val="en-US" w:eastAsia="zh-CN"/>
              </w:rPr>
              <w:t>工程</w:t>
            </w:r>
            <w:r>
              <w:rPr>
                <w:rFonts w:hint="eastAsia" w:ascii="宋体" w:hAnsi="宋体" w:eastAsia="宋体" w:cs="宋体"/>
                <w:color w:val="auto"/>
                <w:sz w:val="24"/>
                <w:highlight w:val="none"/>
                <w:lang w:eastAsia="zh-CN"/>
              </w:rPr>
              <w:t>项目</w:t>
            </w:r>
          </w:p>
        </w:tc>
        <w:tc>
          <w:tcPr>
            <w:tcW w:w="22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33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60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pPr>
        <w:numPr>
          <w:ilvl w:val="0"/>
          <w:numId w:val="0"/>
        </w:num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zh-CN" w:eastAsia="zh-CN" w:bidi="ar-SA"/>
        </w:rPr>
        <w:t>、</w:t>
      </w:r>
      <w:r>
        <w:rPr>
          <w:rFonts w:hint="eastAsia" w:ascii="宋体" w:hAnsi="宋体" w:eastAsia="宋体" w:cs="宋体"/>
          <w:color w:val="auto"/>
          <w:kern w:val="0"/>
          <w:sz w:val="24"/>
          <w:highlight w:val="none"/>
          <w:lang w:val="zh-CN"/>
        </w:rPr>
        <w:t>响应人需按本表格式填写，不得自行更改。</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、有关本项目实施所涉及的一切费用均计入报价。</w:t>
      </w:r>
      <w:r>
        <w:rPr>
          <w:rFonts w:hint="eastAsia" w:ascii="宋体" w:hAnsi="宋体" w:eastAsia="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响应文件含有交易发起人不能接受的附加条件的，交易无效</w:t>
      </w:r>
      <w:r>
        <w:rPr>
          <w:rFonts w:hint="eastAsia" w:ascii="宋体" w:hAnsi="宋体" w:eastAsia="宋体" w:cs="宋体"/>
          <w:b/>
          <w:color w:val="auto"/>
          <w:kern w:val="0"/>
          <w:sz w:val="24"/>
          <w:highlight w:val="none"/>
          <w:lang w:val="zh-CN"/>
        </w:rPr>
        <w:t>；交易内容未包含在《交易一览表（报价表）》名称栏中，响应人不能作出合理解释的，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响应文件含有交易发起人不能接受的附加条件的，交易无效。</w:t>
      </w:r>
    </w:p>
    <w:p>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sectPr>
          <w:pgSz w:w="16838" w:h="11906" w:orient="landscape"/>
          <w:pgMar w:top="1417" w:right="1247" w:bottom="1417" w:left="1247" w:header="851" w:footer="992" w:gutter="0"/>
          <w:cols w:space="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r>
        <w:rPr>
          <w:rFonts w:hint="eastAsia" w:ascii="宋体" w:hAnsi="宋体" w:eastAsia="宋体" w:cs="宋体"/>
          <w:b/>
          <w:color w:val="auto"/>
          <w:spacing w:val="6"/>
          <w:sz w:val="32"/>
          <w:szCs w:val="32"/>
          <w:highlight w:val="none"/>
          <w:lang w:val="zh-CN"/>
        </w:rPr>
        <w:t>异议</w:t>
      </w:r>
      <w:r>
        <w:rPr>
          <w:rFonts w:hint="eastAsia" w:ascii="宋体" w:hAnsi="宋体" w:eastAsia="宋体" w:cs="宋体"/>
          <w:b/>
          <w:color w:val="auto"/>
          <w:spacing w:val="6"/>
          <w:sz w:val="32"/>
          <w:szCs w:val="32"/>
          <w:highlight w:val="none"/>
        </w:rPr>
        <w:t>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异议函范本</w:t>
      </w:r>
    </w:p>
    <w:p>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一、异议响应人基本信息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异议响应人：</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联系人：联系电话：</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邮编：</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二、异议项目基本情况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异议项目的名称：</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异议项目的编号：包号：</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交易发起人名称：</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公开竞争文件获取日期：</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三、异议事项具体内容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异议事项1：</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p>
    <w:p>
      <w:pPr>
        <w:snapToGrid w:val="0"/>
        <w:spacing w:line="360" w:lineRule="auto"/>
        <w:rPr>
          <w:rFonts w:hint="eastAsia" w:ascii="宋体" w:hAnsi="宋体" w:eastAsia="宋体" w:cs="宋体"/>
          <w:color w:val="auto"/>
          <w:sz w:val="24"/>
          <w:highlight w:val="none"/>
          <w:u w:val="dotted"/>
        </w:rPr>
      </w:pP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四、与异议事项相关的异议请求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1.响应人提出异议时，应提交异议函和必要的证明材料。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2.异议响应人若委托代理人进行异议的，异议函应按要求列明“授权代表”的有关内容，并在附件中提交由异议</w:t>
      </w:r>
      <w:r>
        <w:rPr>
          <w:rFonts w:hint="eastAsia" w:ascii="宋体" w:hAnsi="宋体" w:eastAsia="宋体" w:cs="宋体"/>
          <w:color w:val="auto"/>
          <w:kern w:val="0"/>
          <w:sz w:val="24"/>
          <w:highlight w:val="none"/>
        </w:rPr>
        <w:t>响应人签署的授权委托书。授权委托书应载明代理人的姓名或者名称、代理事项、具体权限、期限和相关事项。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3.异议响应人若对项目的某一分包进行异议，异议函中应列明具体分包号。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4.异议函的异议事项应具体、明确，并有必要的事实依据和法律依据。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5.异议函的异议请求应与异议事项相关。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相关响应人：</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交易名称：</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交易编号：包号：</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交易发起人名称：</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公开竞争文件公告: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成交结果公告: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三、异议基本情况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投诉人于年月日,向提出异议，异议事项为：</w:t>
      </w:r>
    </w:p>
    <w:p>
      <w:pPr>
        <w:spacing w:line="360" w:lineRule="auto"/>
        <w:rPr>
          <w:rFonts w:hint="eastAsia" w:ascii="宋体" w:hAnsi="宋体" w:eastAsia="宋体" w:cs="宋体"/>
          <w:color w:val="auto"/>
          <w:sz w:val="24"/>
          <w:highlight w:val="none"/>
          <w:u w:val="dotted"/>
        </w:rPr>
      </w:pP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交易发起人/代理机构</w:t>
      </w:r>
      <w:r>
        <w:rPr>
          <w:rFonts w:hint="eastAsia" w:ascii="宋体" w:hAnsi="宋体" w:eastAsia="宋体" w:cs="宋体"/>
          <w:color w:val="auto"/>
          <w:sz w:val="24"/>
          <w:highlight w:val="none"/>
        </w:rPr>
        <w:t>于年月日,就异议事项作出了答复/没有在法定期限内作出答复。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p>
    <w:p>
      <w:pPr>
        <w:spacing w:line="360" w:lineRule="auto"/>
        <w:rPr>
          <w:rFonts w:hint="eastAsia" w:ascii="宋体" w:hAnsi="宋体" w:eastAsia="宋体" w:cs="宋体"/>
          <w:color w:val="auto"/>
          <w:sz w:val="24"/>
          <w:highlight w:val="none"/>
          <w:u w:val="dotted"/>
        </w:rPr>
      </w:pP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p>
    <w:p>
      <w:pPr>
        <w:spacing w:line="360" w:lineRule="auto"/>
        <w:rPr>
          <w:rFonts w:hint="eastAsia" w:ascii="宋体" w:hAnsi="宋体" w:eastAsia="宋体" w:cs="宋体"/>
          <w:color w:val="auto"/>
          <w:sz w:val="24"/>
          <w:highlight w:val="none"/>
          <w:u w:val="dotted"/>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1.投诉人提起投诉时，应当提交投诉书和必要的证明材料，并按照被投诉人和与投诉事项有关的响应人数量提供投诉书副本。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4.投诉书应简要列明异议事项，异议函、异议答复等作为附件材料提供。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p>
    <w:p>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w:t>
      </w:r>
    </w:p>
    <w:p>
      <w:pPr>
        <w:autoSpaceDE w:val="0"/>
        <w:autoSpaceDN w:val="0"/>
        <w:jc w:val="center"/>
        <w:rPr>
          <w:rFonts w:hint="eastAsia" w:ascii="宋体" w:hAnsi="宋体" w:eastAsia="宋体" w:cs="宋体"/>
          <w:b/>
          <w:bCs/>
          <w:color w:val="auto"/>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（交易发起人）、（代理机构）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sz w:val="24"/>
          <w:highlight w:val="none"/>
        </w:rPr>
        <w:t>(响应人全称)是中华人民共和国依法登记注册的合法企业，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（项目名称）项目【交易编号：）】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sectPr>
      <w:headerReference r:id="rId14" w:type="first"/>
      <w:footerReference r:id="rId17" w:type="first"/>
      <w:headerReference r:id="rId13" w:type="default"/>
      <w:footerReference r:id="rId15" w:type="default"/>
      <w:footerReference r:id="rId16" w:type="even"/>
      <w:pgSz w:w="11906" w:h="16838"/>
      <w:pgMar w:top="1247"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287"/>
      <w:jc w:val="right"/>
      <w:rPr>
        <w:rFonts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287"/>
      <w:jc w:val="right"/>
      <w:rPr>
        <w:rFonts w:ascii="宋体" w:hAnsi="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5"/>
      </w:rPr>
    </w:pPr>
    <w:r>
      <w:fldChar w:fldCharType="begin"/>
    </w:r>
    <w:r>
      <w:rPr>
        <w:rStyle w:val="75"/>
      </w:rPr>
      <w:instrText xml:space="preserve">PAGE  </w:instrText>
    </w:r>
    <w:r>
      <w:fldChar w:fldCharType="end"/>
    </w:r>
  </w:p>
  <w:p>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CFE1A"/>
    <w:multiLevelType w:val="singleLevel"/>
    <w:tmpl w:val="B98CFE1A"/>
    <w:lvl w:ilvl="0" w:tentative="0">
      <w:start w:val="1"/>
      <w:numFmt w:val="decimal"/>
      <w:suff w:val="nothing"/>
      <w:lvlText w:val="%1、"/>
      <w:lvlJc w:val="left"/>
    </w:lvl>
  </w:abstractNum>
  <w:abstractNum w:abstractNumId="1">
    <w:nsid w:val="3C27D226"/>
    <w:multiLevelType w:val="singleLevel"/>
    <w:tmpl w:val="3C27D226"/>
    <w:lvl w:ilvl="0" w:tentative="0">
      <w:start w:val="1"/>
      <w:numFmt w:val="decimal"/>
      <w:suff w:val="nothing"/>
      <w:lvlText w:val="（%1）"/>
      <w:lvlJc w:val="left"/>
    </w:lvl>
  </w:abstractNum>
  <w:abstractNum w:abstractNumId="2">
    <w:nsid w:val="434CA0FB"/>
    <w:multiLevelType w:val="singleLevel"/>
    <w:tmpl w:val="434CA0FB"/>
    <w:lvl w:ilvl="0" w:tentative="0">
      <w:start w:val="14"/>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YTAwYWNlYjBlNjIyYzM4NjRkYjlmMDIzYzNkN2E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0C0EF6"/>
    <w:rsid w:val="025F0711"/>
    <w:rsid w:val="02644317"/>
    <w:rsid w:val="026B2E25"/>
    <w:rsid w:val="02824D4D"/>
    <w:rsid w:val="02BE3979"/>
    <w:rsid w:val="02DC4B10"/>
    <w:rsid w:val="02DD76CE"/>
    <w:rsid w:val="02F36323"/>
    <w:rsid w:val="02F5619C"/>
    <w:rsid w:val="0326446A"/>
    <w:rsid w:val="032D5555"/>
    <w:rsid w:val="036634D2"/>
    <w:rsid w:val="03756463"/>
    <w:rsid w:val="038A68D9"/>
    <w:rsid w:val="03DD35E4"/>
    <w:rsid w:val="04076900"/>
    <w:rsid w:val="041A5A3B"/>
    <w:rsid w:val="042311BA"/>
    <w:rsid w:val="042B157A"/>
    <w:rsid w:val="048F763B"/>
    <w:rsid w:val="049F330E"/>
    <w:rsid w:val="04AA775C"/>
    <w:rsid w:val="04AF1889"/>
    <w:rsid w:val="04B85F11"/>
    <w:rsid w:val="04EE3F9B"/>
    <w:rsid w:val="04F66F48"/>
    <w:rsid w:val="051E28A6"/>
    <w:rsid w:val="05251E14"/>
    <w:rsid w:val="053632B2"/>
    <w:rsid w:val="05507636"/>
    <w:rsid w:val="05770BD6"/>
    <w:rsid w:val="058806C7"/>
    <w:rsid w:val="05A16594"/>
    <w:rsid w:val="05A7762D"/>
    <w:rsid w:val="05BF4603"/>
    <w:rsid w:val="05C04DC2"/>
    <w:rsid w:val="060E5941"/>
    <w:rsid w:val="06110FAF"/>
    <w:rsid w:val="06493CA7"/>
    <w:rsid w:val="065A6178"/>
    <w:rsid w:val="066D3597"/>
    <w:rsid w:val="066F1CF3"/>
    <w:rsid w:val="06930BB8"/>
    <w:rsid w:val="06956198"/>
    <w:rsid w:val="071F43AD"/>
    <w:rsid w:val="07245D42"/>
    <w:rsid w:val="07264C62"/>
    <w:rsid w:val="072F6604"/>
    <w:rsid w:val="074460BC"/>
    <w:rsid w:val="0779354C"/>
    <w:rsid w:val="077F0C95"/>
    <w:rsid w:val="07C300BD"/>
    <w:rsid w:val="07FE18F3"/>
    <w:rsid w:val="08061376"/>
    <w:rsid w:val="08127C83"/>
    <w:rsid w:val="081A0204"/>
    <w:rsid w:val="08452D77"/>
    <w:rsid w:val="085A5FF7"/>
    <w:rsid w:val="086401F8"/>
    <w:rsid w:val="08751CAA"/>
    <w:rsid w:val="0876556A"/>
    <w:rsid w:val="087E4C40"/>
    <w:rsid w:val="08A53637"/>
    <w:rsid w:val="08A871D0"/>
    <w:rsid w:val="08A93957"/>
    <w:rsid w:val="08D66AD6"/>
    <w:rsid w:val="08DA33A3"/>
    <w:rsid w:val="08E80F13"/>
    <w:rsid w:val="092612F3"/>
    <w:rsid w:val="092748F4"/>
    <w:rsid w:val="09335624"/>
    <w:rsid w:val="093D0981"/>
    <w:rsid w:val="093E11FE"/>
    <w:rsid w:val="0944690F"/>
    <w:rsid w:val="09535675"/>
    <w:rsid w:val="095F057D"/>
    <w:rsid w:val="09642282"/>
    <w:rsid w:val="09733572"/>
    <w:rsid w:val="09772C16"/>
    <w:rsid w:val="097B2960"/>
    <w:rsid w:val="098353B5"/>
    <w:rsid w:val="09A92330"/>
    <w:rsid w:val="09B06B87"/>
    <w:rsid w:val="09C13146"/>
    <w:rsid w:val="09E04166"/>
    <w:rsid w:val="09E268B9"/>
    <w:rsid w:val="09F81448"/>
    <w:rsid w:val="0A1C0718"/>
    <w:rsid w:val="0A2C10A7"/>
    <w:rsid w:val="0A3E7710"/>
    <w:rsid w:val="0A5B7E63"/>
    <w:rsid w:val="0A5E227D"/>
    <w:rsid w:val="0A7F4701"/>
    <w:rsid w:val="0AA374A5"/>
    <w:rsid w:val="0AAB7649"/>
    <w:rsid w:val="0AAF5E89"/>
    <w:rsid w:val="0AB86C5C"/>
    <w:rsid w:val="0ABC5606"/>
    <w:rsid w:val="0AC306B6"/>
    <w:rsid w:val="0AC42692"/>
    <w:rsid w:val="0ADE3108"/>
    <w:rsid w:val="0ADF4EB4"/>
    <w:rsid w:val="0B0F74C5"/>
    <w:rsid w:val="0B1D0314"/>
    <w:rsid w:val="0B240D92"/>
    <w:rsid w:val="0B30404E"/>
    <w:rsid w:val="0B4C6C14"/>
    <w:rsid w:val="0B524759"/>
    <w:rsid w:val="0B631A88"/>
    <w:rsid w:val="0B683D45"/>
    <w:rsid w:val="0B76461B"/>
    <w:rsid w:val="0B7F3F11"/>
    <w:rsid w:val="0B884417"/>
    <w:rsid w:val="0B93709B"/>
    <w:rsid w:val="0BA212C6"/>
    <w:rsid w:val="0BF6188C"/>
    <w:rsid w:val="0BF73C91"/>
    <w:rsid w:val="0C170175"/>
    <w:rsid w:val="0C41327A"/>
    <w:rsid w:val="0C571A41"/>
    <w:rsid w:val="0C5C1171"/>
    <w:rsid w:val="0C5E1CBC"/>
    <w:rsid w:val="0C615B50"/>
    <w:rsid w:val="0C6E0EEC"/>
    <w:rsid w:val="0C8445DA"/>
    <w:rsid w:val="0C87121B"/>
    <w:rsid w:val="0CAE0BF3"/>
    <w:rsid w:val="0CC007F7"/>
    <w:rsid w:val="0CC617AC"/>
    <w:rsid w:val="0CE56EB3"/>
    <w:rsid w:val="0CFE707A"/>
    <w:rsid w:val="0D063BDA"/>
    <w:rsid w:val="0D08375F"/>
    <w:rsid w:val="0D184CFB"/>
    <w:rsid w:val="0D37621D"/>
    <w:rsid w:val="0D3D3B60"/>
    <w:rsid w:val="0D400115"/>
    <w:rsid w:val="0D4A7419"/>
    <w:rsid w:val="0D827401"/>
    <w:rsid w:val="0D84094E"/>
    <w:rsid w:val="0D8A00E9"/>
    <w:rsid w:val="0D8D589E"/>
    <w:rsid w:val="0D95362E"/>
    <w:rsid w:val="0DA01C73"/>
    <w:rsid w:val="0DD63300"/>
    <w:rsid w:val="0DF50604"/>
    <w:rsid w:val="0DF702FE"/>
    <w:rsid w:val="0E060E51"/>
    <w:rsid w:val="0E146CAB"/>
    <w:rsid w:val="0E22536A"/>
    <w:rsid w:val="0E24319C"/>
    <w:rsid w:val="0E373674"/>
    <w:rsid w:val="0E5604B2"/>
    <w:rsid w:val="0E6D5D79"/>
    <w:rsid w:val="0E6F14E6"/>
    <w:rsid w:val="0E9B5E39"/>
    <w:rsid w:val="0E9D0089"/>
    <w:rsid w:val="0EB803EE"/>
    <w:rsid w:val="0EF94D4B"/>
    <w:rsid w:val="0F0B13B6"/>
    <w:rsid w:val="0F182768"/>
    <w:rsid w:val="0F4277E5"/>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156805"/>
    <w:rsid w:val="10646583"/>
    <w:rsid w:val="107D4B15"/>
    <w:rsid w:val="10841832"/>
    <w:rsid w:val="108A3C80"/>
    <w:rsid w:val="10A15184"/>
    <w:rsid w:val="10C26171"/>
    <w:rsid w:val="10DC700E"/>
    <w:rsid w:val="10F33360"/>
    <w:rsid w:val="10F4083A"/>
    <w:rsid w:val="10FC16EA"/>
    <w:rsid w:val="11011608"/>
    <w:rsid w:val="110F1D40"/>
    <w:rsid w:val="11266F33"/>
    <w:rsid w:val="113055C1"/>
    <w:rsid w:val="118963A1"/>
    <w:rsid w:val="11C6522A"/>
    <w:rsid w:val="11E104CC"/>
    <w:rsid w:val="11E20309"/>
    <w:rsid w:val="11FD14B9"/>
    <w:rsid w:val="12255233"/>
    <w:rsid w:val="12530213"/>
    <w:rsid w:val="12620DA8"/>
    <w:rsid w:val="127723A9"/>
    <w:rsid w:val="12862074"/>
    <w:rsid w:val="12883966"/>
    <w:rsid w:val="129E45B4"/>
    <w:rsid w:val="12B72C8C"/>
    <w:rsid w:val="12D14480"/>
    <w:rsid w:val="12D21374"/>
    <w:rsid w:val="12D81596"/>
    <w:rsid w:val="13072A44"/>
    <w:rsid w:val="131A1B7F"/>
    <w:rsid w:val="13474EA5"/>
    <w:rsid w:val="135F4BE2"/>
    <w:rsid w:val="13692E64"/>
    <w:rsid w:val="13913864"/>
    <w:rsid w:val="139B1A0A"/>
    <w:rsid w:val="139B5BDE"/>
    <w:rsid w:val="139D25C7"/>
    <w:rsid w:val="13BF3CE4"/>
    <w:rsid w:val="13E47441"/>
    <w:rsid w:val="13E674F4"/>
    <w:rsid w:val="140F0A5D"/>
    <w:rsid w:val="141008D8"/>
    <w:rsid w:val="14125FE6"/>
    <w:rsid w:val="142B70E5"/>
    <w:rsid w:val="14500381"/>
    <w:rsid w:val="146D271E"/>
    <w:rsid w:val="147B24A0"/>
    <w:rsid w:val="14982588"/>
    <w:rsid w:val="149A5AD9"/>
    <w:rsid w:val="14A7619D"/>
    <w:rsid w:val="14AA2978"/>
    <w:rsid w:val="14C445F3"/>
    <w:rsid w:val="14F25B02"/>
    <w:rsid w:val="14FA277D"/>
    <w:rsid w:val="150536C3"/>
    <w:rsid w:val="150C1963"/>
    <w:rsid w:val="151447A0"/>
    <w:rsid w:val="154A6454"/>
    <w:rsid w:val="15762120"/>
    <w:rsid w:val="15844A86"/>
    <w:rsid w:val="1586383D"/>
    <w:rsid w:val="158E3B61"/>
    <w:rsid w:val="15C1630E"/>
    <w:rsid w:val="15F56AC3"/>
    <w:rsid w:val="1608540D"/>
    <w:rsid w:val="16204A74"/>
    <w:rsid w:val="1655313D"/>
    <w:rsid w:val="166C515D"/>
    <w:rsid w:val="16A8729C"/>
    <w:rsid w:val="16B33777"/>
    <w:rsid w:val="16BC70A7"/>
    <w:rsid w:val="16C6339E"/>
    <w:rsid w:val="16C730F7"/>
    <w:rsid w:val="16D6012D"/>
    <w:rsid w:val="16FE2244"/>
    <w:rsid w:val="172F2D79"/>
    <w:rsid w:val="17557BEF"/>
    <w:rsid w:val="176D1E2A"/>
    <w:rsid w:val="17852075"/>
    <w:rsid w:val="178B06F1"/>
    <w:rsid w:val="179B74BF"/>
    <w:rsid w:val="17A05FFC"/>
    <w:rsid w:val="17D349C1"/>
    <w:rsid w:val="17E066D8"/>
    <w:rsid w:val="1830729E"/>
    <w:rsid w:val="18394486"/>
    <w:rsid w:val="183A3B38"/>
    <w:rsid w:val="185134E3"/>
    <w:rsid w:val="1870062C"/>
    <w:rsid w:val="18817102"/>
    <w:rsid w:val="18830A15"/>
    <w:rsid w:val="18852B28"/>
    <w:rsid w:val="188B5321"/>
    <w:rsid w:val="18A0112E"/>
    <w:rsid w:val="18C776A6"/>
    <w:rsid w:val="18CA21AC"/>
    <w:rsid w:val="18D64F20"/>
    <w:rsid w:val="18EE574D"/>
    <w:rsid w:val="190E7583"/>
    <w:rsid w:val="19341F4D"/>
    <w:rsid w:val="193742F6"/>
    <w:rsid w:val="197524E7"/>
    <w:rsid w:val="19761DA4"/>
    <w:rsid w:val="19932372"/>
    <w:rsid w:val="19A07A88"/>
    <w:rsid w:val="19A20DD5"/>
    <w:rsid w:val="19AE03F1"/>
    <w:rsid w:val="19D16EBE"/>
    <w:rsid w:val="19E05098"/>
    <w:rsid w:val="1A071A03"/>
    <w:rsid w:val="1A1A5A79"/>
    <w:rsid w:val="1A1A697E"/>
    <w:rsid w:val="1A1F16AE"/>
    <w:rsid w:val="1A242D83"/>
    <w:rsid w:val="1A3B5C77"/>
    <w:rsid w:val="1A78287A"/>
    <w:rsid w:val="1A7A249A"/>
    <w:rsid w:val="1A984BAD"/>
    <w:rsid w:val="1AB8220E"/>
    <w:rsid w:val="1AE4166C"/>
    <w:rsid w:val="1AF06CFB"/>
    <w:rsid w:val="1AF11B8D"/>
    <w:rsid w:val="1B11359C"/>
    <w:rsid w:val="1B2A271F"/>
    <w:rsid w:val="1B530544"/>
    <w:rsid w:val="1B713184"/>
    <w:rsid w:val="1B825FBC"/>
    <w:rsid w:val="1B9A3283"/>
    <w:rsid w:val="1BA209CF"/>
    <w:rsid w:val="1BA411A5"/>
    <w:rsid w:val="1BB4777D"/>
    <w:rsid w:val="1BBC0C21"/>
    <w:rsid w:val="1BD75AB8"/>
    <w:rsid w:val="1BE22A26"/>
    <w:rsid w:val="1C0459C2"/>
    <w:rsid w:val="1C1B3B4A"/>
    <w:rsid w:val="1C537570"/>
    <w:rsid w:val="1C88086E"/>
    <w:rsid w:val="1C9D126B"/>
    <w:rsid w:val="1CA045EE"/>
    <w:rsid w:val="1CC47A8B"/>
    <w:rsid w:val="1D266CE1"/>
    <w:rsid w:val="1D316024"/>
    <w:rsid w:val="1D3963AF"/>
    <w:rsid w:val="1D6A673C"/>
    <w:rsid w:val="1D9247AE"/>
    <w:rsid w:val="1DB567EC"/>
    <w:rsid w:val="1DEC22C4"/>
    <w:rsid w:val="1DF13F4F"/>
    <w:rsid w:val="1DF51A98"/>
    <w:rsid w:val="1E3D060F"/>
    <w:rsid w:val="1E3F7D2E"/>
    <w:rsid w:val="1E4134E4"/>
    <w:rsid w:val="1E5062B3"/>
    <w:rsid w:val="1E523514"/>
    <w:rsid w:val="1E5A660D"/>
    <w:rsid w:val="1E714A66"/>
    <w:rsid w:val="1E730E11"/>
    <w:rsid w:val="1E743AF2"/>
    <w:rsid w:val="1E802593"/>
    <w:rsid w:val="1E8B6156"/>
    <w:rsid w:val="1EA703CC"/>
    <w:rsid w:val="1EB7330C"/>
    <w:rsid w:val="1F0A0FF3"/>
    <w:rsid w:val="1F313724"/>
    <w:rsid w:val="1F5771FF"/>
    <w:rsid w:val="1FB35F55"/>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B3021E"/>
    <w:rsid w:val="21D56769"/>
    <w:rsid w:val="21D62C50"/>
    <w:rsid w:val="21E52EF3"/>
    <w:rsid w:val="21FB5D7B"/>
    <w:rsid w:val="220B1C3D"/>
    <w:rsid w:val="221D1D20"/>
    <w:rsid w:val="22334A87"/>
    <w:rsid w:val="22A747D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663E6"/>
    <w:rsid w:val="24D77F2B"/>
    <w:rsid w:val="24E4449F"/>
    <w:rsid w:val="24E64937"/>
    <w:rsid w:val="254F52B1"/>
    <w:rsid w:val="25571FF4"/>
    <w:rsid w:val="258B00E2"/>
    <w:rsid w:val="258D6809"/>
    <w:rsid w:val="25A34E23"/>
    <w:rsid w:val="25A917A6"/>
    <w:rsid w:val="25BE27CC"/>
    <w:rsid w:val="25E92F53"/>
    <w:rsid w:val="25EA3C74"/>
    <w:rsid w:val="25F74A5C"/>
    <w:rsid w:val="260C23EB"/>
    <w:rsid w:val="261260D7"/>
    <w:rsid w:val="2628662C"/>
    <w:rsid w:val="262D45DE"/>
    <w:rsid w:val="266E6AE8"/>
    <w:rsid w:val="267E09C1"/>
    <w:rsid w:val="26871DC8"/>
    <w:rsid w:val="26A53EF9"/>
    <w:rsid w:val="26A6481F"/>
    <w:rsid w:val="26A94201"/>
    <w:rsid w:val="26AC274F"/>
    <w:rsid w:val="270377E9"/>
    <w:rsid w:val="27044A29"/>
    <w:rsid w:val="271D34C8"/>
    <w:rsid w:val="2729764F"/>
    <w:rsid w:val="272C4634"/>
    <w:rsid w:val="272F6449"/>
    <w:rsid w:val="274C4FBA"/>
    <w:rsid w:val="276142BF"/>
    <w:rsid w:val="27783712"/>
    <w:rsid w:val="27907362"/>
    <w:rsid w:val="279B7084"/>
    <w:rsid w:val="27A02A0E"/>
    <w:rsid w:val="27D668AA"/>
    <w:rsid w:val="282D0BDB"/>
    <w:rsid w:val="28333E1D"/>
    <w:rsid w:val="28454BD6"/>
    <w:rsid w:val="28455253"/>
    <w:rsid w:val="28551971"/>
    <w:rsid w:val="285B1C53"/>
    <w:rsid w:val="289B26A7"/>
    <w:rsid w:val="289F7086"/>
    <w:rsid w:val="28C32028"/>
    <w:rsid w:val="28CC490F"/>
    <w:rsid w:val="28DE40AA"/>
    <w:rsid w:val="29345E77"/>
    <w:rsid w:val="29453CBE"/>
    <w:rsid w:val="294C65AD"/>
    <w:rsid w:val="294E3480"/>
    <w:rsid w:val="29806583"/>
    <w:rsid w:val="298B3C4C"/>
    <w:rsid w:val="29B740B1"/>
    <w:rsid w:val="29C43830"/>
    <w:rsid w:val="29EB63A2"/>
    <w:rsid w:val="29F26D24"/>
    <w:rsid w:val="2A15033F"/>
    <w:rsid w:val="2A1662C1"/>
    <w:rsid w:val="2A196977"/>
    <w:rsid w:val="2A1C7367"/>
    <w:rsid w:val="2A200230"/>
    <w:rsid w:val="2A2815FA"/>
    <w:rsid w:val="2A6D6092"/>
    <w:rsid w:val="2A7A1CCA"/>
    <w:rsid w:val="2A7D76B4"/>
    <w:rsid w:val="2A830ABD"/>
    <w:rsid w:val="2AD8021A"/>
    <w:rsid w:val="2AEE1B3B"/>
    <w:rsid w:val="2AF47F2E"/>
    <w:rsid w:val="2B437463"/>
    <w:rsid w:val="2B7807EE"/>
    <w:rsid w:val="2B8C47CE"/>
    <w:rsid w:val="2B945BCF"/>
    <w:rsid w:val="2BA50BF7"/>
    <w:rsid w:val="2BAA3ABE"/>
    <w:rsid w:val="2BBF00EC"/>
    <w:rsid w:val="2BC37CFD"/>
    <w:rsid w:val="2BCB2E8E"/>
    <w:rsid w:val="2BD5237F"/>
    <w:rsid w:val="2BE536CE"/>
    <w:rsid w:val="2BE758D9"/>
    <w:rsid w:val="2BEA7DD3"/>
    <w:rsid w:val="2C09049E"/>
    <w:rsid w:val="2C0A653C"/>
    <w:rsid w:val="2C191F85"/>
    <w:rsid w:val="2C37616F"/>
    <w:rsid w:val="2C6B3DCF"/>
    <w:rsid w:val="2C8C4873"/>
    <w:rsid w:val="2C994A93"/>
    <w:rsid w:val="2CE82D6F"/>
    <w:rsid w:val="2D2216DE"/>
    <w:rsid w:val="2D343236"/>
    <w:rsid w:val="2D956040"/>
    <w:rsid w:val="2DC53663"/>
    <w:rsid w:val="2DD15014"/>
    <w:rsid w:val="2DF72DE4"/>
    <w:rsid w:val="2DFD17EA"/>
    <w:rsid w:val="2E0220AF"/>
    <w:rsid w:val="2E2A66CA"/>
    <w:rsid w:val="2E4B082A"/>
    <w:rsid w:val="2E5D4E86"/>
    <w:rsid w:val="2E5D790B"/>
    <w:rsid w:val="2E776A61"/>
    <w:rsid w:val="2E9A143D"/>
    <w:rsid w:val="2E9A3C18"/>
    <w:rsid w:val="2EBB0FEE"/>
    <w:rsid w:val="2EC63002"/>
    <w:rsid w:val="2ECB46DA"/>
    <w:rsid w:val="2F064D1A"/>
    <w:rsid w:val="2F0A6B38"/>
    <w:rsid w:val="2F0E78D3"/>
    <w:rsid w:val="2F484F80"/>
    <w:rsid w:val="2F585F5C"/>
    <w:rsid w:val="2F797671"/>
    <w:rsid w:val="2F923332"/>
    <w:rsid w:val="2F946CCB"/>
    <w:rsid w:val="2FD25781"/>
    <w:rsid w:val="2FDE33BA"/>
    <w:rsid w:val="2FF346DE"/>
    <w:rsid w:val="2FF750CA"/>
    <w:rsid w:val="2FFB7730"/>
    <w:rsid w:val="2FFD7934"/>
    <w:rsid w:val="30201A01"/>
    <w:rsid w:val="305A2255"/>
    <w:rsid w:val="30733ACD"/>
    <w:rsid w:val="308C3862"/>
    <w:rsid w:val="309379D8"/>
    <w:rsid w:val="309B6899"/>
    <w:rsid w:val="30A270F7"/>
    <w:rsid w:val="30DF1478"/>
    <w:rsid w:val="30EA055D"/>
    <w:rsid w:val="30EC586F"/>
    <w:rsid w:val="31147F35"/>
    <w:rsid w:val="319C6071"/>
    <w:rsid w:val="31AC537E"/>
    <w:rsid w:val="31B420C4"/>
    <w:rsid w:val="31B82C24"/>
    <w:rsid w:val="31C17BA9"/>
    <w:rsid w:val="31C549B6"/>
    <w:rsid w:val="31E3679B"/>
    <w:rsid w:val="31E732FD"/>
    <w:rsid w:val="324E33D2"/>
    <w:rsid w:val="32517576"/>
    <w:rsid w:val="3262346C"/>
    <w:rsid w:val="32A64673"/>
    <w:rsid w:val="32BE5C2C"/>
    <w:rsid w:val="32FB6478"/>
    <w:rsid w:val="331D3EFA"/>
    <w:rsid w:val="331E793D"/>
    <w:rsid w:val="332637C2"/>
    <w:rsid w:val="33263B3F"/>
    <w:rsid w:val="336963EB"/>
    <w:rsid w:val="33816EEB"/>
    <w:rsid w:val="338863E7"/>
    <w:rsid w:val="33EB55CD"/>
    <w:rsid w:val="33EC4C02"/>
    <w:rsid w:val="340D2360"/>
    <w:rsid w:val="340D3EB8"/>
    <w:rsid w:val="3410665D"/>
    <w:rsid w:val="34211214"/>
    <w:rsid w:val="342E63AB"/>
    <w:rsid w:val="34433534"/>
    <w:rsid w:val="3466782F"/>
    <w:rsid w:val="347B5D1E"/>
    <w:rsid w:val="34812DB4"/>
    <w:rsid w:val="34950E68"/>
    <w:rsid w:val="34986E94"/>
    <w:rsid w:val="34AF62C9"/>
    <w:rsid w:val="34CB4388"/>
    <w:rsid w:val="34DC2C0A"/>
    <w:rsid w:val="34FA6E12"/>
    <w:rsid w:val="354D7158"/>
    <w:rsid w:val="358D5588"/>
    <w:rsid w:val="36136070"/>
    <w:rsid w:val="363924A3"/>
    <w:rsid w:val="363A3B40"/>
    <w:rsid w:val="365302AE"/>
    <w:rsid w:val="36607A0A"/>
    <w:rsid w:val="366E227C"/>
    <w:rsid w:val="366F2E0D"/>
    <w:rsid w:val="367B6A5C"/>
    <w:rsid w:val="36A74ADA"/>
    <w:rsid w:val="36AD60D5"/>
    <w:rsid w:val="36B224F9"/>
    <w:rsid w:val="36EC0CC9"/>
    <w:rsid w:val="37390A8E"/>
    <w:rsid w:val="373F410B"/>
    <w:rsid w:val="3756404C"/>
    <w:rsid w:val="37611015"/>
    <w:rsid w:val="376A0174"/>
    <w:rsid w:val="3786509C"/>
    <w:rsid w:val="378C13F6"/>
    <w:rsid w:val="379D5E81"/>
    <w:rsid w:val="37BD1A5A"/>
    <w:rsid w:val="37E16E9C"/>
    <w:rsid w:val="37EE7094"/>
    <w:rsid w:val="38296C89"/>
    <w:rsid w:val="383002EB"/>
    <w:rsid w:val="38586797"/>
    <w:rsid w:val="388843DC"/>
    <w:rsid w:val="38BC0149"/>
    <w:rsid w:val="38C277EB"/>
    <w:rsid w:val="38D87D1C"/>
    <w:rsid w:val="38DE6D4B"/>
    <w:rsid w:val="391F535F"/>
    <w:rsid w:val="392E73EA"/>
    <w:rsid w:val="39636459"/>
    <w:rsid w:val="396B7F6C"/>
    <w:rsid w:val="399C14F7"/>
    <w:rsid w:val="39B417A9"/>
    <w:rsid w:val="39D00F17"/>
    <w:rsid w:val="39D17336"/>
    <w:rsid w:val="39F5707E"/>
    <w:rsid w:val="39FC5695"/>
    <w:rsid w:val="3A006D8E"/>
    <w:rsid w:val="3A3651E5"/>
    <w:rsid w:val="3A4E2342"/>
    <w:rsid w:val="3A744481"/>
    <w:rsid w:val="3A8C7BEF"/>
    <w:rsid w:val="3A906246"/>
    <w:rsid w:val="3B2349B7"/>
    <w:rsid w:val="3B4677B8"/>
    <w:rsid w:val="3B4F5EBB"/>
    <w:rsid w:val="3B616CFF"/>
    <w:rsid w:val="3B6259F6"/>
    <w:rsid w:val="3B894B0B"/>
    <w:rsid w:val="3B976654"/>
    <w:rsid w:val="3B9B68EE"/>
    <w:rsid w:val="3BB64A27"/>
    <w:rsid w:val="3BC01EFC"/>
    <w:rsid w:val="3BC52CC1"/>
    <w:rsid w:val="3BCA786A"/>
    <w:rsid w:val="3BD06659"/>
    <w:rsid w:val="3BD31E2F"/>
    <w:rsid w:val="3BF15831"/>
    <w:rsid w:val="3C105946"/>
    <w:rsid w:val="3C3A44D8"/>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A70824"/>
    <w:rsid w:val="3DB67810"/>
    <w:rsid w:val="3DD50C8A"/>
    <w:rsid w:val="3DE041CB"/>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482B"/>
    <w:rsid w:val="3FAF4907"/>
    <w:rsid w:val="400B2468"/>
    <w:rsid w:val="4019136A"/>
    <w:rsid w:val="4019356B"/>
    <w:rsid w:val="401E1828"/>
    <w:rsid w:val="40592157"/>
    <w:rsid w:val="406E1CAE"/>
    <w:rsid w:val="40937DD1"/>
    <w:rsid w:val="40A0133A"/>
    <w:rsid w:val="40C31A53"/>
    <w:rsid w:val="40C657CD"/>
    <w:rsid w:val="40F33AA5"/>
    <w:rsid w:val="40F92A66"/>
    <w:rsid w:val="40FF545D"/>
    <w:rsid w:val="410067C8"/>
    <w:rsid w:val="413C45E3"/>
    <w:rsid w:val="4147433B"/>
    <w:rsid w:val="418F0D2A"/>
    <w:rsid w:val="4193304C"/>
    <w:rsid w:val="419500D6"/>
    <w:rsid w:val="41D01505"/>
    <w:rsid w:val="4238518B"/>
    <w:rsid w:val="42474939"/>
    <w:rsid w:val="424C3C57"/>
    <w:rsid w:val="42551547"/>
    <w:rsid w:val="42613FF3"/>
    <w:rsid w:val="42660D96"/>
    <w:rsid w:val="428667D2"/>
    <w:rsid w:val="42CD1CE0"/>
    <w:rsid w:val="42D53E10"/>
    <w:rsid w:val="42DD4A99"/>
    <w:rsid w:val="42DD4DBD"/>
    <w:rsid w:val="42E1381E"/>
    <w:rsid w:val="42ED6459"/>
    <w:rsid w:val="42FE58DD"/>
    <w:rsid w:val="43174B3D"/>
    <w:rsid w:val="433F0E43"/>
    <w:rsid w:val="434B790E"/>
    <w:rsid w:val="435A7958"/>
    <w:rsid w:val="4360274F"/>
    <w:rsid w:val="436F60A5"/>
    <w:rsid w:val="43977AB6"/>
    <w:rsid w:val="43A3342B"/>
    <w:rsid w:val="43AA2F9D"/>
    <w:rsid w:val="43C77C27"/>
    <w:rsid w:val="43DE09EE"/>
    <w:rsid w:val="44002FAD"/>
    <w:rsid w:val="4430589B"/>
    <w:rsid w:val="44356927"/>
    <w:rsid w:val="449101DD"/>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A2D71"/>
    <w:rsid w:val="458E4BD4"/>
    <w:rsid w:val="45C63B94"/>
    <w:rsid w:val="45F134FD"/>
    <w:rsid w:val="460E7DA5"/>
    <w:rsid w:val="461B579A"/>
    <w:rsid w:val="46422483"/>
    <w:rsid w:val="4659254A"/>
    <w:rsid w:val="465B0637"/>
    <w:rsid w:val="465E3F0D"/>
    <w:rsid w:val="466A16E6"/>
    <w:rsid w:val="466D0DD7"/>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53049A"/>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6D6E85"/>
    <w:rsid w:val="4B707271"/>
    <w:rsid w:val="4B9739F7"/>
    <w:rsid w:val="4B974368"/>
    <w:rsid w:val="4B9A6B21"/>
    <w:rsid w:val="4B9C1FA2"/>
    <w:rsid w:val="4BE96C25"/>
    <w:rsid w:val="4BEE2503"/>
    <w:rsid w:val="4BF80D38"/>
    <w:rsid w:val="4C245A30"/>
    <w:rsid w:val="4C5D53ED"/>
    <w:rsid w:val="4C676029"/>
    <w:rsid w:val="4CAF7256"/>
    <w:rsid w:val="4CB6685F"/>
    <w:rsid w:val="4CC367FE"/>
    <w:rsid w:val="4CD54317"/>
    <w:rsid w:val="4D077F3C"/>
    <w:rsid w:val="4D123355"/>
    <w:rsid w:val="4D2A3B31"/>
    <w:rsid w:val="4D312C52"/>
    <w:rsid w:val="4D4B0F25"/>
    <w:rsid w:val="4D905305"/>
    <w:rsid w:val="4D964A72"/>
    <w:rsid w:val="4D9C1254"/>
    <w:rsid w:val="4E526455"/>
    <w:rsid w:val="4E5A0B37"/>
    <w:rsid w:val="4E793892"/>
    <w:rsid w:val="4E800872"/>
    <w:rsid w:val="4E9532A8"/>
    <w:rsid w:val="4E9A20A5"/>
    <w:rsid w:val="4EC569ED"/>
    <w:rsid w:val="4ED50EA1"/>
    <w:rsid w:val="4EEC050C"/>
    <w:rsid w:val="4EF833C6"/>
    <w:rsid w:val="4F104EC3"/>
    <w:rsid w:val="4F47354A"/>
    <w:rsid w:val="4F911C54"/>
    <w:rsid w:val="4FE625E0"/>
    <w:rsid w:val="4FED5402"/>
    <w:rsid w:val="5021480F"/>
    <w:rsid w:val="505D15FC"/>
    <w:rsid w:val="506C1562"/>
    <w:rsid w:val="50707CB0"/>
    <w:rsid w:val="50755E1B"/>
    <w:rsid w:val="50962ECB"/>
    <w:rsid w:val="50A42E38"/>
    <w:rsid w:val="50A4577F"/>
    <w:rsid w:val="50AE51A5"/>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1F4743E"/>
    <w:rsid w:val="522E4CC3"/>
    <w:rsid w:val="5244713B"/>
    <w:rsid w:val="526019E2"/>
    <w:rsid w:val="52615633"/>
    <w:rsid w:val="526A04DD"/>
    <w:rsid w:val="52977FD4"/>
    <w:rsid w:val="52A25790"/>
    <w:rsid w:val="52A96B6F"/>
    <w:rsid w:val="52B45975"/>
    <w:rsid w:val="52D94AA4"/>
    <w:rsid w:val="52EA3A62"/>
    <w:rsid w:val="52F50BB8"/>
    <w:rsid w:val="53097272"/>
    <w:rsid w:val="53544462"/>
    <w:rsid w:val="53676980"/>
    <w:rsid w:val="53960CB2"/>
    <w:rsid w:val="5397158E"/>
    <w:rsid w:val="53D42C20"/>
    <w:rsid w:val="54013861"/>
    <w:rsid w:val="54487265"/>
    <w:rsid w:val="544D6070"/>
    <w:rsid w:val="545B4ECF"/>
    <w:rsid w:val="54605E1E"/>
    <w:rsid w:val="548D56AF"/>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0A7BD7"/>
    <w:rsid w:val="561C1BE8"/>
    <w:rsid w:val="562D3934"/>
    <w:rsid w:val="566B6D1E"/>
    <w:rsid w:val="567D2234"/>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4238"/>
    <w:rsid w:val="58917D2F"/>
    <w:rsid w:val="5894085C"/>
    <w:rsid w:val="58AE4F0C"/>
    <w:rsid w:val="58B85899"/>
    <w:rsid w:val="58C0702C"/>
    <w:rsid w:val="58E363A9"/>
    <w:rsid w:val="591A154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37A76"/>
    <w:rsid w:val="5A686384"/>
    <w:rsid w:val="5A6D33BA"/>
    <w:rsid w:val="5A792B1F"/>
    <w:rsid w:val="5A874767"/>
    <w:rsid w:val="5A9A655F"/>
    <w:rsid w:val="5AA85BE2"/>
    <w:rsid w:val="5AAD6F28"/>
    <w:rsid w:val="5AD63A24"/>
    <w:rsid w:val="5AE51FB6"/>
    <w:rsid w:val="5B0B0B6B"/>
    <w:rsid w:val="5B2E1A1D"/>
    <w:rsid w:val="5B540F34"/>
    <w:rsid w:val="5B843A1C"/>
    <w:rsid w:val="5B873E3F"/>
    <w:rsid w:val="5C02690E"/>
    <w:rsid w:val="5C196DA7"/>
    <w:rsid w:val="5C2A048C"/>
    <w:rsid w:val="5C35640B"/>
    <w:rsid w:val="5C641793"/>
    <w:rsid w:val="5C7422AE"/>
    <w:rsid w:val="5C80234E"/>
    <w:rsid w:val="5C8A680C"/>
    <w:rsid w:val="5C990941"/>
    <w:rsid w:val="5CE45C2B"/>
    <w:rsid w:val="5CEB387F"/>
    <w:rsid w:val="5D0C4701"/>
    <w:rsid w:val="5D0F0395"/>
    <w:rsid w:val="5D221076"/>
    <w:rsid w:val="5D307D5D"/>
    <w:rsid w:val="5D397964"/>
    <w:rsid w:val="5D551783"/>
    <w:rsid w:val="5D5A391C"/>
    <w:rsid w:val="5D5F10C0"/>
    <w:rsid w:val="5D891B7B"/>
    <w:rsid w:val="5D8A5E82"/>
    <w:rsid w:val="5D930F65"/>
    <w:rsid w:val="5D945FAA"/>
    <w:rsid w:val="5DAD38EE"/>
    <w:rsid w:val="5E006862"/>
    <w:rsid w:val="5E0207B9"/>
    <w:rsid w:val="5E093CEF"/>
    <w:rsid w:val="5E1834A1"/>
    <w:rsid w:val="5E261785"/>
    <w:rsid w:val="5E4A7017"/>
    <w:rsid w:val="5E552BBA"/>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D0B1D"/>
    <w:rsid w:val="5F8D0B82"/>
    <w:rsid w:val="5FA61B85"/>
    <w:rsid w:val="5FCC5339"/>
    <w:rsid w:val="5FE34A5B"/>
    <w:rsid w:val="5FFE1E36"/>
    <w:rsid w:val="60172C7B"/>
    <w:rsid w:val="60232584"/>
    <w:rsid w:val="60305BC5"/>
    <w:rsid w:val="605864BB"/>
    <w:rsid w:val="607330CE"/>
    <w:rsid w:val="60825176"/>
    <w:rsid w:val="60873AD9"/>
    <w:rsid w:val="609F2AC4"/>
    <w:rsid w:val="60C413D5"/>
    <w:rsid w:val="60FA2EE8"/>
    <w:rsid w:val="60FD48E7"/>
    <w:rsid w:val="61054A27"/>
    <w:rsid w:val="610A52BC"/>
    <w:rsid w:val="611D2366"/>
    <w:rsid w:val="61421856"/>
    <w:rsid w:val="615227C4"/>
    <w:rsid w:val="61654E3F"/>
    <w:rsid w:val="617514F6"/>
    <w:rsid w:val="6182292A"/>
    <w:rsid w:val="618B5F69"/>
    <w:rsid w:val="61985864"/>
    <w:rsid w:val="619F7F92"/>
    <w:rsid w:val="61BB155E"/>
    <w:rsid w:val="61BD2EFD"/>
    <w:rsid w:val="61DA2E84"/>
    <w:rsid w:val="61F94C26"/>
    <w:rsid w:val="62000E56"/>
    <w:rsid w:val="62244584"/>
    <w:rsid w:val="624F3E49"/>
    <w:rsid w:val="62632286"/>
    <w:rsid w:val="62775066"/>
    <w:rsid w:val="62885958"/>
    <w:rsid w:val="628903DB"/>
    <w:rsid w:val="62BC7606"/>
    <w:rsid w:val="62C860CC"/>
    <w:rsid w:val="62F40B65"/>
    <w:rsid w:val="62FC2CFE"/>
    <w:rsid w:val="63024505"/>
    <w:rsid w:val="63540CCD"/>
    <w:rsid w:val="635B1DB5"/>
    <w:rsid w:val="63711FED"/>
    <w:rsid w:val="6384682A"/>
    <w:rsid w:val="63880DDC"/>
    <w:rsid w:val="63885935"/>
    <w:rsid w:val="638D750D"/>
    <w:rsid w:val="63AC52D2"/>
    <w:rsid w:val="63AC6CC0"/>
    <w:rsid w:val="63B048E8"/>
    <w:rsid w:val="64043733"/>
    <w:rsid w:val="64055776"/>
    <w:rsid w:val="64175397"/>
    <w:rsid w:val="64240056"/>
    <w:rsid w:val="64337D05"/>
    <w:rsid w:val="643E143A"/>
    <w:rsid w:val="644A0C02"/>
    <w:rsid w:val="648B6EEF"/>
    <w:rsid w:val="64C158BF"/>
    <w:rsid w:val="64CE2EAA"/>
    <w:rsid w:val="65092215"/>
    <w:rsid w:val="653139EE"/>
    <w:rsid w:val="653C3090"/>
    <w:rsid w:val="653D2237"/>
    <w:rsid w:val="65854376"/>
    <w:rsid w:val="658767BE"/>
    <w:rsid w:val="65882CD5"/>
    <w:rsid w:val="65892531"/>
    <w:rsid w:val="65D8030E"/>
    <w:rsid w:val="65E616BA"/>
    <w:rsid w:val="66153939"/>
    <w:rsid w:val="66195831"/>
    <w:rsid w:val="662E75B1"/>
    <w:rsid w:val="66342C2E"/>
    <w:rsid w:val="663E784C"/>
    <w:rsid w:val="66551A38"/>
    <w:rsid w:val="666D1F69"/>
    <w:rsid w:val="667133EA"/>
    <w:rsid w:val="668B6A45"/>
    <w:rsid w:val="66DE04FB"/>
    <w:rsid w:val="66F85C8F"/>
    <w:rsid w:val="671E7365"/>
    <w:rsid w:val="67230B7E"/>
    <w:rsid w:val="67277552"/>
    <w:rsid w:val="672F3F24"/>
    <w:rsid w:val="673E055F"/>
    <w:rsid w:val="67551CE3"/>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5F5EA3"/>
    <w:rsid w:val="69627681"/>
    <w:rsid w:val="6977531D"/>
    <w:rsid w:val="699C5D3A"/>
    <w:rsid w:val="69B51747"/>
    <w:rsid w:val="69BD5BBB"/>
    <w:rsid w:val="69CC2BFF"/>
    <w:rsid w:val="69D327F2"/>
    <w:rsid w:val="69FD55B8"/>
    <w:rsid w:val="6A0B1C62"/>
    <w:rsid w:val="6A0C584D"/>
    <w:rsid w:val="6A0D3F4C"/>
    <w:rsid w:val="6A23426E"/>
    <w:rsid w:val="6A2406C8"/>
    <w:rsid w:val="6A3B6C2E"/>
    <w:rsid w:val="6A4B328A"/>
    <w:rsid w:val="6A4B36BE"/>
    <w:rsid w:val="6A6362C3"/>
    <w:rsid w:val="6A8F2B46"/>
    <w:rsid w:val="6AB20DE6"/>
    <w:rsid w:val="6ABA3454"/>
    <w:rsid w:val="6ADC5EF8"/>
    <w:rsid w:val="6ADE0BD1"/>
    <w:rsid w:val="6AE96859"/>
    <w:rsid w:val="6B147746"/>
    <w:rsid w:val="6B24787C"/>
    <w:rsid w:val="6B573233"/>
    <w:rsid w:val="6B5B6274"/>
    <w:rsid w:val="6B694FD4"/>
    <w:rsid w:val="6B710BD6"/>
    <w:rsid w:val="6B935D53"/>
    <w:rsid w:val="6C196F71"/>
    <w:rsid w:val="6C226FCB"/>
    <w:rsid w:val="6C31226F"/>
    <w:rsid w:val="6C340BCC"/>
    <w:rsid w:val="6C390C24"/>
    <w:rsid w:val="6C552F0B"/>
    <w:rsid w:val="6C8C2DF7"/>
    <w:rsid w:val="6C8C67B7"/>
    <w:rsid w:val="6C9D744C"/>
    <w:rsid w:val="6CFD6256"/>
    <w:rsid w:val="6CFE67A8"/>
    <w:rsid w:val="6D167928"/>
    <w:rsid w:val="6D261515"/>
    <w:rsid w:val="6D26299B"/>
    <w:rsid w:val="6D4772EC"/>
    <w:rsid w:val="6D6D4FC1"/>
    <w:rsid w:val="6D8007DE"/>
    <w:rsid w:val="6D9078AF"/>
    <w:rsid w:val="6DAA3FEF"/>
    <w:rsid w:val="6DC0172B"/>
    <w:rsid w:val="6DCB690C"/>
    <w:rsid w:val="6DD41A5B"/>
    <w:rsid w:val="6DF43C2E"/>
    <w:rsid w:val="6DF4670C"/>
    <w:rsid w:val="6DF51CA3"/>
    <w:rsid w:val="6E8335BD"/>
    <w:rsid w:val="6E8E12EF"/>
    <w:rsid w:val="6E9045AA"/>
    <w:rsid w:val="6E972936"/>
    <w:rsid w:val="6EB74327"/>
    <w:rsid w:val="6EC91D52"/>
    <w:rsid w:val="6ED34821"/>
    <w:rsid w:val="6ED446C5"/>
    <w:rsid w:val="6EDD6C63"/>
    <w:rsid w:val="6EF77EB7"/>
    <w:rsid w:val="6EFA6CD6"/>
    <w:rsid w:val="6F0F7527"/>
    <w:rsid w:val="6F184A18"/>
    <w:rsid w:val="6F2A7D94"/>
    <w:rsid w:val="6F802313"/>
    <w:rsid w:val="6F8331F1"/>
    <w:rsid w:val="6FAE1A09"/>
    <w:rsid w:val="6FD75BF8"/>
    <w:rsid w:val="6FD97A1B"/>
    <w:rsid w:val="6FEF3B3E"/>
    <w:rsid w:val="7011120D"/>
    <w:rsid w:val="703C638E"/>
    <w:rsid w:val="704318A8"/>
    <w:rsid w:val="707723D0"/>
    <w:rsid w:val="70D54F38"/>
    <w:rsid w:val="70DB77AC"/>
    <w:rsid w:val="70F5661B"/>
    <w:rsid w:val="70FF0D7D"/>
    <w:rsid w:val="7123737D"/>
    <w:rsid w:val="71360107"/>
    <w:rsid w:val="713B688E"/>
    <w:rsid w:val="716167CC"/>
    <w:rsid w:val="7183561A"/>
    <w:rsid w:val="71BE6408"/>
    <w:rsid w:val="71D43752"/>
    <w:rsid w:val="71D7083C"/>
    <w:rsid w:val="71DF0B1D"/>
    <w:rsid w:val="71F1796A"/>
    <w:rsid w:val="720846CC"/>
    <w:rsid w:val="72154626"/>
    <w:rsid w:val="721F290F"/>
    <w:rsid w:val="72202699"/>
    <w:rsid w:val="72262B5D"/>
    <w:rsid w:val="72283FF7"/>
    <w:rsid w:val="722E7212"/>
    <w:rsid w:val="723A0474"/>
    <w:rsid w:val="723F6D35"/>
    <w:rsid w:val="725923E4"/>
    <w:rsid w:val="72864BF7"/>
    <w:rsid w:val="729023FC"/>
    <w:rsid w:val="729B6005"/>
    <w:rsid w:val="733470C6"/>
    <w:rsid w:val="73533CC2"/>
    <w:rsid w:val="736D2DF9"/>
    <w:rsid w:val="73B253BC"/>
    <w:rsid w:val="73BE440C"/>
    <w:rsid w:val="73C0646E"/>
    <w:rsid w:val="73D62258"/>
    <w:rsid w:val="742222F5"/>
    <w:rsid w:val="742348D0"/>
    <w:rsid w:val="74476126"/>
    <w:rsid w:val="74624977"/>
    <w:rsid w:val="74706664"/>
    <w:rsid w:val="7475702A"/>
    <w:rsid w:val="747F3682"/>
    <w:rsid w:val="749C4185"/>
    <w:rsid w:val="74A73931"/>
    <w:rsid w:val="74BE006A"/>
    <w:rsid w:val="74DA51BD"/>
    <w:rsid w:val="75067759"/>
    <w:rsid w:val="752E6DCD"/>
    <w:rsid w:val="7551380D"/>
    <w:rsid w:val="75600BE5"/>
    <w:rsid w:val="7564475C"/>
    <w:rsid w:val="75834A5C"/>
    <w:rsid w:val="7583797F"/>
    <w:rsid w:val="75D20F1D"/>
    <w:rsid w:val="75DA2C18"/>
    <w:rsid w:val="75F54412"/>
    <w:rsid w:val="75FF1B9F"/>
    <w:rsid w:val="761969BC"/>
    <w:rsid w:val="761D08E0"/>
    <w:rsid w:val="76400B70"/>
    <w:rsid w:val="765D347C"/>
    <w:rsid w:val="76826699"/>
    <w:rsid w:val="7688753D"/>
    <w:rsid w:val="76C87133"/>
    <w:rsid w:val="76CD08D5"/>
    <w:rsid w:val="76DB4B92"/>
    <w:rsid w:val="76FF4961"/>
    <w:rsid w:val="77052AA4"/>
    <w:rsid w:val="77136511"/>
    <w:rsid w:val="77340A39"/>
    <w:rsid w:val="77351FD0"/>
    <w:rsid w:val="77472422"/>
    <w:rsid w:val="777F31F2"/>
    <w:rsid w:val="77925931"/>
    <w:rsid w:val="77BC4C63"/>
    <w:rsid w:val="77C24C2D"/>
    <w:rsid w:val="77D1700D"/>
    <w:rsid w:val="77E4568D"/>
    <w:rsid w:val="77EC04CC"/>
    <w:rsid w:val="78006A23"/>
    <w:rsid w:val="78775729"/>
    <w:rsid w:val="78A42DB0"/>
    <w:rsid w:val="78A656AB"/>
    <w:rsid w:val="78B2245C"/>
    <w:rsid w:val="78E172CC"/>
    <w:rsid w:val="78EA1D1F"/>
    <w:rsid w:val="7904172F"/>
    <w:rsid w:val="79062AD2"/>
    <w:rsid w:val="790F7E27"/>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A2978"/>
    <w:rsid w:val="7B5A7E4C"/>
    <w:rsid w:val="7B667AF9"/>
    <w:rsid w:val="7B7468F8"/>
    <w:rsid w:val="7BE64CF7"/>
    <w:rsid w:val="7BEE0103"/>
    <w:rsid w:val="7C0A0FE4"/>
    <w:rsid w:val="7C254906"/>
    <w:rsid w:val="7C5022FF"/>
    <w:rsid w:val="7C590818"/>
    <w:rsid w:val="7C6E0182"/>
    <w:rsid w:val="7C7C10F6"/>
    <w:rsid w:val="7C853BEA"/>
    <w:rsid w:val="7C881368"/>
    <w:rsid w:val="7CE27788"/>
    <w:rsid w:val="7CE64D74"/>
    <w:rsid w:val="7CF548F1"/>
    <w:rsid w:val="7D0357E5"/>
    <w:rsid w:val="7D0C32F1"/>
    <w:rsid w:val="7D0F408D"/>
    <w:rsid w:val="7D491C6C"/>
    <w:rsid w:val="7D5429C0"/>
    <w:rsid w:val="7D6E6D43"/>
    <w:rsid w:val="7D7069D2"/>
    <w:rsid w:val="7D894AA5"/>
    <w:rsid w:val="7D8E125C"/>
    <w:rsid w:val="7DAD6DD7"/>
    <w:rsid w:val="7DB57A34"/>
    <w:rsid w:val="7DDB10A1"/>
    <w:rsid w:val="7DE60973"/>
    <w:rsid w:val="7DEF0916"/>
    <w:rsid w:val="7E1E5218"/>
    <w:rsid w:val="7E7514D4"/>
    <w:rsid w:val="7E9A1632"/>
    <w:rsid w:val="7E9A4E1F"/>
    <w:rsid w:val="7EA7723A"/>
    <w:rsid w:val="7EB659FE"/>
    <w:rsid w:val="7EBC6AFC"/>
    <w:rsid w:val="7ED456CF"/>
    <w:rsid w:val="7EF56FBB"/>
    <w:rsid w:val="7EFC38CE"/>
    <w:rsid w:val="7F015C50"/>
    <w:rsid w:val="7F067E4D"/>
    <w:rsid w:val="7F0768EB"/>
    <w:rsid w:val="7F143BEC"/>
    <w:rsid w:val="7F19715A"/>
    <w:rsid w:val="7F5856D4"/>
    <w:rsid w:val="7F6137FA"/>
    <w:rsid w:val="7F715AF2"/>
    <w:rsid w:val="7F793597"/>
    <w:rsid w:val="7F886E69"/>
    <w:rsid w:val="7FCF2D12"/>
    <w:rsid w:val="7FFA1DC8"/>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7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link w:val="199"/>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next w:val="1"/>
    <w:link w:val="270"/>
    <w:qFormat/>
    <w:uiPriority w:val="0"/>
    <w:pPr>
      <w:spacing w:line="480" w:lineRule="exact"/>
      <w:ind w:firstLine="480" w:firstLineChars="200"/>
    </w:pPr>
    <w:rPr>
      <w:rFonts w:ascii="宋体" w:hAnsi="宋体"/>
      <w:sz w:val="24"/>
    </w:rPr>
  </w:style>
  <w:style w:type="paragraph" w:styleId="18">
    <w:name w:val="caption"/>
    <w:basedOn w:val="1"/>
    <w:next w:val="1"/>
    <w:link w:val="235"/>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8"/>
    <w:qFormat/>
    <w:uiPriority w:val="0"/>
    <w:pPr>
      <w:shd w:val="clear" w:color="auto" w:fill="000080"/>
    </w:pPr>
  </w:style>
  <w:style w:type="paragraph" w:styleId="21">
    <w:name w:val="annotation text"/>
    <w:basedOn w:val="1"/>
    <w:link w:val="349"/>
    <w:qFormat/>
    <w:uiPriority w:val="99"/>
    <w:pPr>
      <w:jc w:val="left"/>
    </w:pPr>
  </w:style>
  <w:style w:type="paragraph" w:styleId="22">
    <w:name w:val="Salutation"/>
    <w:basedOn w:val="1"/>
    <w:next w:val="1"/>
    <w:link w:val="303"/>
    <w:qFormat/>
    <w:uiPriority w:val="0"/>
    <w:rPr>
      <w:rFonts w:ascii="仿宋_GB2312" w:eastAsia="仿宋_GB2312"/>
      <w:sz w:val="28"/>
      <w:szCs w:val="20"/>
    </w:rPr>
  </w:style>
  <w:style w:type="paragraph" w:styleId="23">
    <w:name w:val="Body Text 3"/>
    <w:basedOn w:val="1"/>
    <w:link w:val="335"/>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5"/>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31"/>
    <w:qFormat/>
    <w:uiPriority w:val="0"/>
    <w:rPr>
      <w:rFonts w:ascii="宋体" w:hAnsi="Courier New" w:cs="Arial"/>
      <w:snapToGrid w:val="0"/>
      <w:szCs w:val="21"/>
    </w:rPr>
  </w:style>
  <w:style w:type="paragraph" w:styleId="34">
    <w:name w:val="Date"/>
    <w:basedOn w:val="1"/>
    <w:next w:val="1"/>
    <w:link w:val="187"/>
    <w:qFormat/>
    <w:uiPriority w:val="0"/>
    <w:pPr>
      <w:ind w:left="100" w:leftChars="2500"/>
    </w:pPr>
    <w:rPr>
      <w:rFonts w:ascii="宋体"/>
      <w:sz w:val="24"/>
      <w:szCs w:val="21"/>
      <w:lang w:val="zh-CN"/>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8">
    <w:name w:val="endnote text"/>
    <w:basedOn w:val="1"/>
    <w:link w:val="936"/>
    <w:qFormat/>
    <w:uiPriority w:val="0"/>
    <w:rPr>
      <w:lang w:val="zh-CN"/>
    </w:rPr>
  </w:style>
  <w:style w:type="paragraph" w:styleId="39">
    <w:name w:val="Balloon Text"/>
    <w:basedOn w:val="1"/>
    <w:link w:val="194"/>
    <w:qFormat/>
    <w:uiPriority w:val="0"/>
    <w:rPr>
      <w:sz w:val="18"/>
      <w:szCs w:val="18"/>
    </w:rPr>
  </w:style>
  <w:style w:type="paragraph" w:styleId="40">
    <w:name w:val="footer"/>
    <w:basedOn w:val="1"/>
    <w:link w:val="388"/>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5"/>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0"/>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7"/>
    <w:qFormat/>
    <w:uiPriority w:val="0"/>
    <w:pPr>
      <w:spacing w:after="120" w:line="480" w:lineRule="auto"/>
    </w:pPr>
  </w:style>
  <w:style w:type="paragraph" w:styleId="58">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2"/>
    <w:qFormat/>
    <w:uiPriority w:val="0"/>
    <w:rPr>
      <w:b/>
      <w:bCs/>
    </w:rPr>
  </w:style>
  <w:style w:type="paragraph" w:styleId="62">
    <w:name w:val="Body Text First Indent"/>
    <w:basedOn w:val="25"/>
    <w:next w:val="1"/>
    <w:link w:val="326"/>
    <w:qFormat/>
    <w:uiPriority w:val="0"/>
    <w:pPr>
      <w:ind w:firstLine="420"/>
    </w:pPr>
    <w:rPr>
      <w:rFonts w:hAnsi="Calibri" w:cs="Times New Roman"/>
      <w:snapToGrid/>
      <w:szCs w:val="20"/>
    </w:rPr>
  </w:style>
  <w:style w:type="paragraph" w:styleId="63">
    <w:name w:val="Body Text First Indent 2"/>
    <w:basedOn w:val="17"/>
    <w:next w:val="64"/>
    <w:link w:val="127"/>
    <w:qFormat/>
    <w:uiPriority w:val="0"/>
    <w:pPr>
      <w:adjustRightInd/>
      <w:spacing w:after="120" w:line="240" w:lineRule="auto"/>
      <w:ind w:left="420" w:leftChars="200" w:firstLine="210"/>
    </w:pPr>
    <w:rPr>
      <w:sz w:val="21"/>
    </w:rPr>
  </w:style>
  <w:style w:type="paragraph" w:customStyle="1" w:styleId="64">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正文首行缩进1"/>
    <w:basedOn w:val="25"/>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3">
    <w:name w:val="Default"/>
    <w:next w:val="84"/>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5">
    <w:name w:val="[Normal]"/>
    <w:qFormat/>
    <w:uiPriority w:val="0"/>
    <w:rPr>
      <w:rFonts w:ascii="宋体" w:hAnsi="宋体" w:eastAsia="宋体" w:cs="Times New Roman"/>
      <w:sz w:val="24"/>
      <w:lang w:val="zh-CN" w:eastAsia="zh-CN" w:bidi="ar-SA"/>
    </w:rPr>
  </w:style>
  <w:style w:type="paragraph" w:styleId="86">
    <w:name w:val="List Paragraph"/>
    <w:basedOn w:val="1"/>
    <w:qFormat/>
    <w:uiPriority w:val="34"/>
    <w:pPr>
      <w:spacing w:line="360" w:lineRule="auto"/>
      <w:ind w:firstLine="200" w:firstLineChars="200"/>
    </w:pPr>
    <w:rPr>
      <w:rFonts w:eastAsia="楷体_GB2312" w:cs="Lucida Sans"/>
      <w:sz w:val="24"/>
    </w:rPr>
  </w:style>
  <w:style w:type="paragraph" w:customStyle="1" w:styleId="87">
    <w:name w:val="正文文本首行缩进 21"/>
    <w:basedOn w:val="17"/>
    <w:qFormat/>
    <w:uiPriority w:val="99"/>
    <w:pPr>
      <w:spacing w:line="200" w:lineRule="atLeast"/>
      <w:ind w:firstLine="420"/>
    </w:pPr>
    <w:rPr>
      <w:rFonts w:hAnsi="Courier New"/>
      <w:spacing w:val="-4"/>
      <w:sz w:val="18"/>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61"/>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63"/>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2"/>
    <w:qFormat/>
    <w:uiPriority w:val="0"/>
    <w:rPr>
      <w:rFonts w:ascii="Arial" w:hAnsi="Arial" w:eastAsia="黑体" w:cs="Arial"/>
      <w:snapToGrid w:val="0"/>
      <w:kern w:val="0"/>
      <w:szCs w:val="21"/>
    </w:rPr>
  </w:style>
  <w:style w:type="character" w:customStyle="1" w:styleId="131">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48"/>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7"/>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4"/>
    <w:qFormat/>
    <w:uiPriority w:val="0"/>
    <w:rPr>
      <w:rFonts w:ascii="宋体"/>
      <w:kern w:val="2"/>
      <w:sz w:val="24"/>
      <w:szCs w:val="21"/>
      <w:lang w:val="zh-CN"/>
    </w:rPr>
  </w:style>
  <w:style w:type="character" w:customStyle="1" w:styleId="188">
    <w:name w:val="标题 9 Char"/>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39"/>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16"/>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20"/>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2"/>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0"/>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8"/>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3"/>
    <w:qFormat/>
    <w:uiPriority w:val="0"/>
    <w:rPr>
      <w:rFonts w:ascii="仿宋_GB2312" w:eastAsia="仿宋_GB2312" w:cs="仿宋_GB2312"/>
      <w:color w:val="000000"/>
      <w:sz w:val="24"/>
      <w:szCs w:val="24"/>
      <w:lang w:val="en-US" w:eastAsia="zh-CN" w:bidi="ar-SA"/>
    </w:rPr>
  </w:style>
  <w:style w:type="paragraph" w:customStyle="1" w:styleId="24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86"/>
    <w:link w:val="262"/>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17"/>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2"/>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60"/>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2"/>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58"/>
    <w:qFormat/>
    <w:uiPriority w:val="0"/>
    <w:rPr>
      <w:rFonts w:ascii="黑体" w:hAnsi="Courier New" w:eastAsia="黑体"/>
    </w:rPr>
  </w:style>
  <w:style w:type="character" w:customStyle="1" w:styleId="307">
    <w:name w:val="正文文本 2 Char1"/>
    <w:link w:val="57"/>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8"/>
    <w:qFormat/>
    <w:uiPriority w:val="0"/>
    <w:rPr>
      <w:b/>
      <w:bCs/>
      <w:kern w:val="2"/>
      <w:sz w:val="24"/>
      <w:szCs w:val="24"/>
    </w:rPr>
  </w:style>
  <w:style w:type="character" w:customStyle="1" w:styleId="313">
    <w:name w:val="正文文本缩进 2 Char"/>
    <w:link w:val="37"/>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51"/>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62"/>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5"/>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23"/>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21"/>
    <w:qFormat/>
    <w:uiPriority w:val="0"/>
    <w:rPr>
      <w:kern w:val="2"/>
      <w:sz w:val="21"/>
      <w:szCs w:val="24"/>
    </w:rPr>
  </w:style>
  <w:style w:type="character" w:customStyle="1" w:styleId="350">
    <w:name w:val="签名 Char"/>
    <w:link w:val="43"/>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9"/>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54"/>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0"/>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42"/>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2"/>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6"/>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6">
    <w:name w:val="gray6"/>
    <w:basedOn w:val="72"/>
    <w:qFormat/>
    <w:uiPriority w:val="0"/>
    <w:rPr>
      <w:rFonts w:ascii="Arial" w:hAnsi="Arial" w:eastAsia="黑体" w:cs="Arial"/>
      <w:snapToGrid w:val="0"/>
      <w:kern w:val="0"/>
      <w:szCs w:val="21"/>
    </w:rPr>
  </w:style>
  <w:style w:type="character" w:customStyle="1" w:styleId="437">
    <w:name w:val="hui"/>
    <w:basedOn w:val="72"/>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1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5"/>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8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7"/>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6"/>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next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5"/>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3"/>
    <w:next w:val="83"/>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3"/>
    <w:next w:val="83"/>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1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1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7"/>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3"/>
    <w:next w:val="1"/>
    <w:qFormat/>
    <w:uiPriority w:val="0"/>
    <w:pPr>
      <w:tabs>
        <w:tab w:val="left" w:pos="578"/>
        <w:tab w:val="left" w:pos="900"/>
        <w:tab w:val="left" w:pos="1440"/>
      </w:tabs>
      <w:ind w:left="1440" w:hanging="360"/>
    </w:pPr>
    <w:rPr>
      <w:rFonts w:ascii="仿宋" w:eastAsia="仿宋" w:cs="宋体"/>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2"/>
    <w:qFormat/>
    <w:uiPriority w:val="0"/>
    <w:pPr>
      <w:tabs>
        <w:tab w:val="left" w:pos="840"/>
      </w:tabs>
      <w:adjustRightInd/>
      <w:ind w:left="840" w:hanging="420"/>
    </w:pPr>
  </w:style>
  <w:style w:type="paragraph" w:customStyle="1" w:styleId="63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Lines="0" w:afterLines="0"/>
      <w:ind w:left="1680"/>
      <w:outlineLvl w:val="2"/>
    </w:pPr>
  </w:style>
  <w:style w:type="paragraph" w:customStyle="1" w:styleId="663">
    <w:name w:val="章标题"/>
    <w:next w:val="64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5"/>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Lines="50"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7"/>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1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5"/>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29"/>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17"/>
    <w:qFormat/>
    <w:uiPriority w:val="0"/>
    <w:pPr>
      <w:adjustRightInd/>
      <w:spacing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0"/>
    <w:rPr>
      <w:rFonts w:ascii="仿宋_GB2312" w:eastAsia="仿宋_GB2312"/>
      <w:b/>
      <w:sz w:val="32"/>
      <w:szCs w:val="20"/>
    </w:rPr>
  </w:style>
  <w:style w:type="paragraph" w:customStyle="1" w:styleId="8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0"/>
    <w:rPr>
      <w:rFonts w:ascii="仿宋_GB2312" w:eastAsia="仿宋_GB2312"/>
      <w:b/>
      <w:sz w:val="32"/>
      <w:szCs w:val="20"/>
    </w:rPr>
  </w:style>
  <w:style w:type="paragraph" w:customStyle="1" w:styleId="85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0"/>
    <w:pPr>
      <w:widowControl/>
      <w:spacing w:after="160" w:line="240" w:lineRule="exact"/>
      <w:jc w:val="left"/>
    </w:pPr>
    <w:rPr>
      <w:rFonts w:eastAsia="仿宋_GB2312"/>
      <w:sz w:val="28"/>
    </w:rPr>
  </w:style>
  <w:style w:type="paragraph" w:customStyle="1" w:styleId="866">
    <w:name w:val="Char21"/>
    <w:basedOn w:val="1"/>
    <w:qFormat/>
    <w:uiPriority w:val="0"/>
    <w:pPr>
      <w:adjustRightInd/>
      <w:ind w:firstLine="200" w:firstLineChars="200"/>
    </w:pPr>
    <w:rPr>
      <w:rFonts w:ascii="仿宋_GB2312" w:eastAsia="仿宋_GB2312"/>
      <w:b/>
      <w:sz w:val="32"/>
      <w:szCs w:val="32"/>
    </w:rPr>
  </w:style>
  <w:style w:type="paragraph" w:customStyle="1" w:styleId="867">
    <w:name w:val="列表段落1"/>
    <w:basedOn w:val="1"/>
    <w:qFormat/>
    <w:uiPriority w:val="34"/>
    <w:pPr>
      <w:adjustRightInd/>
      <w:ind w:right="238" w:firstLine="420"/>
    </w:pPr>
    <w:rPr>
      <w:rFonts w:ascii="Calibri" w:hAnsi="Calibri"/>
      <w:sz w:val="24"/>
    </w:rPr>
  </w:style>
  <w:style w:type="paragraph" w:customStyle="1" w:styleId="868">
    <w:name w:val="Char Char110"/>
    <w:basedOn w:val="1"/>
    <w:qFormat/>
    <w:uiPriority w:val="6"/>
    <w:pPr>
      <w:spacing w:line="360" w:lineRule="auto"/>
    </w:pPr>
    <w:rPr>
      <w:rFonts w:ascii="Tahoma" w:hAnsi="Tahoma"/>
      <w:sz w:val="24"/>
      <w:szCs w:val="20"/>
    </w:rPr>
  </w:style>
  <w:style w:type="paragraph" w:customStyle="1" w:styleId="86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0"/>
    <w:rPr>
      <w:rFonts w:ascii="Tahoma" w:hAnsi="Tahoma" w:cs="仿宋_GB2312"/>
      <w:sz w:val="24"/>
      <w:szCs w:val="20"/>
    </w:rPr>
  </w:style>
  <w:style w:type="paragraph" w:customStyle="1" w:styleId="87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8">
    <w:name w:val="_Style 12"/>
    <w:basedOn w:val="20"/>
    <w:qFormat/>
    <w:uiPriority w:val="0"/>
    <w:pPr>
      <w:snapToGrid w:val="0"/>
      <w:spacing w:line="360" w:lineRule="auto"/>
    </w:pPr>
  </w:style>
  <w:style w:type="paragraph" w:customStyle="1" w:styleId="87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86"/>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qFormat/>
    <w:uiPriority w:val="0"/>
    <w:pPr>
      <w:outlineLvl w:val="2"/>
    </w:pPr>
  </w:style>
  <w:style w:type="paragraph" w:customStyle="1" w:styleId="88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qFormat/>
    <w:uiPriority w:val="0"/>
    <w:pPr>
      <w:adjustRightInd/>
      <w:ind w:firstLine="200" w:firstLineChars="200"/>
    </w:pPr>
    <w:rPr>
      <w:rFonts w:ascii="Tahoma" w:hAnsi="Tahoma"/>
      <w:sz w:val="24"/>
      <w:szCs w:val="20"/>
    </w:rPr>
  </w:style>
  <w:style w:type="paragraph" w:customStyle="1" w:styleId="88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9">
    <w:name w:val="MM Empty"/>
    <w:basedOn w:val="1"/>
    <w:qFormat/>
    <w:uiPriority w:val="0"/>
    <w:pPr>
      <w:adjustRightInd/>
    </w:pPr>
  </w:style>
  <w:style w:type="paragraph" w:customStyle="1" w:styleId="890">
    <w:name w:val="Char24"/>
    <w:basedOn w:val="1"/>
    <w:qFormat/>
    <w:uiPriority w:val="0"/>
    <w:rPr>
      <w:rFonts w:ascii="仿宋_GB2312" w:eastAsia="仿宋_GB2312"/>
      <w:b/>
      <w:sz w:val="32"/>
      <w:szCs w:val="32"/>
    </w:rPr>
  </w:style>
  <w:style w:type="paragraph" w:customStyle="1" w:styleId="891">
    <w:name w:val="正文箭头"/>
    <w:basedOn w:val="543"/>
    <w:qFormat/>
    <w:uiPriority w:val="0"/>
  </w:style>
  <w:style w:type="paragraph" w:customStyle="1" w:styleId="892">
    <w:name w:val="U_编号2"/>
    <w:basedOn w:val="1"/>
    <w:qFormat/>
    <w:uiPriority w:val="0"/>
    <w:pPr>
      <w:tabs>
        <w:tab w:val="left" w:pos="785"/>
      </w:tabs>
      <w:adjustRightInd/>
      <w:spacing w:beforeLines="10" w:afterLines="10" w:line="300" w:lineRule="auto"/>
    </w:pPr>
    <w:rPr>
      <w:sz w:val="24"/>
    </w:rPr>
  </w:style>
  <w:style w:type="paragraph" w:customStyle="1" w:styleId="89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qFormat/>
    <w:uiPriority w:val="34"/>
    <w:pPr>
      <w:adjustRightInd/>
      <w:ind w:firstLine="420" w:firstLineChars="200"/>
    </w:pPr>
    <w:rPr>
      <w:rFonts w:eastAsia="仿宋_GB2312"/>
      <w:sz w:val="28"/>
    </w:rPr>
  </w:style>
  <w:style w:type="paragraph" w:customStyle="1" w:styleId="898">
    <w:name w:val="表格 内容"/>
    <w:basedOn w:val="734"/>
    <w:qFormat/>
    <w:uiPriority w:val="0"/>
    <w:rPr>
      <w:b w:val="0"/>
      <w:sz w:val="20"/>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6"/>
    <w:next w:val="1"/>
    <w:qFormat/>
    <w:uiPriority w:val="0"/>
    <w:pPr>
      <w:tabs>
        <w:tab w:val="left" w:pos="1080"/>
      </w:tabs>
      <w:ind w:left="1080" w:hanging="1080"/>
    </w:pPr>
  </w:style>
  <w:style w:type="paragraph" w:customStyle="1" w:styleId="901">
    <w:name w:val="数字标题1"/>
    <w:basedOn w:val="2"/>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8"/>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7"/>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Char"/>
    <w:link w:val="38"/>
    <w:qFormat/>
    <w:uiPriority w:val="0"/>
    <w:rPr>
      <w:kern w:val="2"/>
      <w:sz w:val="21"/>
      <w:szCs w:val="24"/>
      <w:lang w:val="zh-CN"/>
    </w:rPr>
  </w:style>
  <w:style w:type="character" w:customStyle="1" w:styleId="937">
    <w:name w:val="无间隔 Char"/>
    <w:link w:val="488"/>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86"/>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3"/>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2"/>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Body text|1"/>
    <w:basedOn w:val="1"/>
    <w:qFormat/>
    <w:uiPriority w:val="0"/>
    <w:pPr>
      <w:spacing w:line="391" w:lineRule="auto"/>
      <w:ind w:firstLine="400"/>
    </w:pPr>
    <w:rPr>
      <w:rFonts w:ascii="宋体" w:hAnsi="宋体" w:cs="宋体"/>
      <w:lang w:val="zh-TW" w:eastAsia="zh-TW" w:bidi="zh-TW"/>
    </w:rPr>
  </w:style>
  <w:style w:type="character" w:customStyle="1" w:styleId="969">
    <w:name w:val="font101"/>
    <w:basedOn w:val="72"/>
    <w:qFormat/>
    <w:uiPriority w:val="0"/>
    <w:rPr>
      <w:rFonts w:hint="eastAsia" w:ascii="宋体" w:hAnsi="宋体" w:eastAsia="宋体" w:cs="宋体"/>
      <w:color w:val="FF0000"/>
      <w:sz w:val="20"/>
      <w:szCs w:val="20"/>
      <w:u w:val="none"/>
    </w:rPr>
  </w:style>
  <w:style w:type="paragraph" w:customStyle="1" w:styleId="970">
    <w:name w:val="封面编号"/>
    <w:basedOn w:val="1"/>
    <w:qFormat/>
    <w:uiPriority w:val="0"/>
    <w:pPr>
      <w:spacing w:line="360" w:lineRule="auto"/>
      <w:jc w:val="center"/>
    </w:pPr>
    <w:rPr>
      <w:rFonts w:ascii="黑体" w:hAnsi="宋体" w:eastAsia="黑体" w:cs="宋体"/>
      <w:b/>
      <w:bCs/>
      <w:sz w:val="38"/>
      <w:szCs w:val="20"/>
    </w:rPr>
  </w:style>
  <w:style w:type="table" w:customStyle="1" w:styleId="971">
    <w:name w:val="Table Normal"/>
    <w:semiHidden/>
    <w:unhideWhenUsed/>
    <w:qFormat/>
    <w:uiPriority w:val="0"/>
    <w:tblPr>
      <w:tblCellMar>
        <w:top w:w="0" w:type="dxa"/>
        <w:left w:w="0" w:type="dxa"/>
        <w:bottom w:w="0" w:type="dxa"/>
        <w:right w:w="0" w:type="dxa"/>
      </w:tblCellMar>
    </w:tblPr>
  </w:style>
  <w:style w:type="character" w:customStyle="1" w:styleId="972">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973">
    <w:name w:val="null3"/>
    <w:qFormat/>
    <w:uiPriority w:val="0"/>
    <w:rPr>
      <w:rFonts w:hint="eastAsia" w:ascii="Calibri" w:hAnsi="Calibri" w:eastAsia="宋体" w:cs="Times New Roman"/>
      <w:kern w:val="0"/>
      <w:sz w:val="20"/>
      <w:szCs w:val="20"/>
      <w:lang w:val="en-US" w:eastAsia="zh-Hans" w:bidi="ar-SA"/>
    </w:rPr>
  </w:style>
  <w:style w:type="paragraph" w:customStyle="1" w:styleId="974">
    <w:name w:val="Normal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5">
    <w:name w:val="_Style 2"/>
    <w:basedOn w:val="1"/>
    <w:qFormat/>
    <w:uiPriority w:val="0"/>
    <w:pPr>
      <w:ind w:firstLine="200" w:firstLineChars="200"/>
    </w:pPr>
    <w:rPr>
      <w:rFonts w:ascii="Calibri" w:hAnsi="Calibri"/>
      <w:sz w:val="28"/>
      <w:szCs w:val="22"/>
    </w:rPr>
  </w:style>
  <w:style w:type="paragraph" w:customStyle="1" w:styleId="976">
    <w:name w:val="列出段落"/>
    <w:basedOn w:val="1"/>
    <w:qFormat/>
    <w:uiPriority w:val="99"/>
    <w:pPr>
      <w:ind w:firstLine="420"/>
    </w:pPr>
    <w:rPr>
      <w:rFonts w:cs="Calibri"/>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53</Pages>
  <Words>27200</Words>
  <Characters>28785</Characters>
  <Lines>153</Lines>
  <Paragraphs>43</Paragraphs>
  <TotalTime>3</TotalTime>
  <ScaleCrop>false</ScaleCrop>
  <LinksUpToDate>false</LinksUpToDate>
  <CharactersWithSpaces>30368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2023-11-09T15:59:00Z</dcterms:created>
  <dc:creator>玥</dc:creator>
  <cp:lastModifiedBy>DELL</cp:lastModifiedBy>
  <cp:lastPrinted>2021-12-27T03:06:00Z</cp:lastPrinted>
  <dcterms:modified xsi:type="dcterms:W3CDTF">2024-12-03T00:34:38Z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CB16B2BF4F1A4CEB9AF8CC33CC1EBD0F_13</vt:lpwstr>
  </property>
  <property fmtid="{D5CDD505-2E9C-101B-9397-08002B2CF9AE}" pid="5" name="commondata">
    <vt:lpwstr>eyJoZGlkIjoiMzdkYTNjODAzOWEyZTBjZWI2OWE0Y2U2MTNhOGNiNmUifQ==</vt:lpwstr>
  </property>
</Properties>
</file>