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1"/>
        <w:spacing w:line="760" w:lineRule="exact"/>
        <w:rPr>
          <w:rFonts w:hint="eastAsia" w:ascii="宋体" w:hAnsi="宋体" w:eastAsia="宋体" w:cs="宋体"/>
          <w:b/>
          <w:bCs/>
          <w:color w:val="auto"/>
          <w:kern w:val="2"/>
          <w:sz w:val="72"/>
          <w:szCs w:val="72"/>
          <w:highlight w:val="none"/>
          <w:lang w:val="en-US" w:eastAsia="zh-CN" w:bidi="ar-SA"/>
        </w:rPr>
      </w:pPr>
    </w:p>
    <w:p>
      <w:pPr>
        <w:pStyle w:val="24"/>
        <w:jc w:val="center"/>
        <w:rPr>
          <w:rFonts w:hint="eastAsia" w:ascii="宋体" w:hAnsi="宋体" w:eastAsia="宋体" w:cs="宋体"/>
          <w:b/>
          <w:bCs/>
          <w:color w:val="auto"/>
          <w:spacing w:val="0"/>
          <w:kern w:val="2"/>
          <w:sz w:val="56"/>
          <w:szCs w:val="56"/>
          <w:highlight w:val="none"/>
          <w:lang w:val="en-US" w:eastAsia="zh-CN" w:bidi="ar-SA"/>
        </w:rPr>
      </w:pPr>
      <w:r>
        <w:rPr>
          <w:rFonts w:hint="eastAsia" w:hAnsi="宋体" w:cs="宋体"/>
          <w:b/>
          <w:bCs/>
          <w:color w:val="auto"/>
          <w:spacing w:val="0"/>
          <w:kern w:val="2"/>
          <w:sz w:val="44"/>
          <w:szCs w:val="44"/>
          <w:highlight w:val="none"/>
          <w:lang w:val="en-US" w:eastAsia="zh-CN" w:bidi="ar-SA"/>
        </w:rPr>
        <w:t>金融纠纷人民调解服务采购项目</w:t>
      </w:r>
    </w:p>
    <w:p>
      <w:pPr>
        <w:pStyle w:val="84"/>
        <w:rPr>
          <w:rFonts w:hint="eastAsia" w:ascii="宋体" w:hAnsi="宋体" w:eastAsia="宋体" w:cs="宋体"/>
          <w:color w:val="auto"/>
          <w:highlight w:val="none"/>
          <w:lang w:val="en-US" w:eastAsia="zh-CN"/>
        </w:rPr>
      </w:pPr>
    </w:p>
    <w:p>
      <w:pPr>
        <w:adjustRightInd/>
        <w:spacing w:line="360" w:lineRule="auto"/>
        <w:jc w:val="center"/>
        <w:rPr>
          <w:rFonts w:hint="eastAsia" w:ascii="宋体" w:hAnsi="宋体" w:eastAsia="宋体" w:cs="宋体"/>
          <w:b/>
          <w:bCs/>
          <w:color w:val="auto"/>
          <w:sz w:val="72"/>
          <w:szCs w:val="72"/>
          <w:highlight w:val="none"/>
          <w:lang w:eastAsia="zh-CN"/>
        </w:rPr>
      </w:pPr>
    </w:p>
    <w:p>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公开竞争文件</w:t>
      </w:r>
    </w:p>
    <w:p>
      <w:pPr>
        <w:adjustRightInd/>
        <w:spacing w:line="360" w:lineRule="auto"/>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eastAsia="zh-CN"/>
        </w:rPr>
        <w:t>（</w:t>
      </w:r>
      <w:r>
        <w:rPr>
          <w:rFonts w:hint="eastAsia" w:ascii="宋体" w:hAnsi="宋体" w:cs="宋体"/>
          <w:b/>
          <w:color w:val="auto"/>
          <w:sz w:val="40"/>
          <w:szCs w:val="40"/>
          <w:highlight w:val="none"/>
          <w:lang w:val="en-US" w:eastAsia="zh-CN"/>
        </w:rPr>
        <w:t>电子交易</w:t>
      </w:r>
      <w:r>
        <w:rPr>
          <w:rFonts w:hint="eastAsia" w:ascii="宋体" w:hAnsi="宋体" w:cs="宋体"/>
          <w:b/>
          <w:color w:val="auto"/>
          <w:sz w:val="40"/>
          <w:szCs w:val="40"/>
          <w:highlight w:val="none"/>
          <w:lang w:eastAsia="zh-CN"/>
        </w:rPr>
        <w:t>）</w:t>
      </w:r>
    </w:p>
    <w:p>
      <w:pPr>
        <w:snapToGrid w:val="0"/>
        <w:spacing w:line="360" w:lineRule="auto"/>
        <w:jc w:val="center"/>
        <w:rPr>
          <w:rFonts w:hint="eastAsia" w:ascii="宋体" w:hAnsi="宋体" w:eastAsia="宋体" w:cs="宋体"/>
          <w:b/>
          <w:bCs/>
          <w:color w:val="auto"/>
          <w:sz w:val="30"/>
          <w:szCs w:val="30"/>
          <w:highlight w:val="none"/>
          <w:lang w:eastAsia="zh-CN"/>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交易</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w:t>
      </w:r>
      <w:r>
        <w:rPr>
          <w:rFonts w:hint="eastAsia" w:ascii="宋体" w:hAnsi="宋体" w:cs="宋体"/>
          <w:b/>
          <w:bCs/>
          <w:color w:val="auto"/>
          <w:sz w:val="30"/>
          <w:szCs w:val="30"/>
          <w:highlight w:val="none"/>
          <w:lang w:eastAsia="zh-CN"/>
        </w:rPr>
        <w:t>BWZBDL2024-</w:t>
      </w:r>
      <w:r>
        <w:rPr>
          <w:rFonts w:hint="eastAsia" w:ascii="宋体" w:hAnsi="宋体" w:cs="宋体"/>
          <w:b/>
          <w:bCs/>
          <w:color w:val="auto"/>
          <w:sz w:val="30"/>
          <w:szCs w:val="30"/>
          <w:highlight w:val="none"/>
          <w:lang w:val="en-US" w:eastAsia="zh-CN"/>
        </w:rPr>
        <w:t>246（2）</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pacing w:val="-34"/>
          <w:kern w:val="2"/>
          <w:sz w:val="32"/>
          <w:szCs w:val="30"/>
          <w:highlight w:val="none"/>
          <w:lang w:val="en-US" w:eastAsia="zh-CN"/>
        </w:rPr>
      </w:pPr>
    </w:p>
    <w:p>
      <w:pPr>
        <w:spacing w:line="360" w:lineRule="auto"/>
        <w:ind w:firstLine="964" w:firstLineChars="300"/>
        <w:jc w:val="both"/>
        <w:rPr>
          <w:rFonts w:hint="eastAsia" w:ascii="宋体" w:hAnsi="宋体" w:eastAsia="宋体" w:cs="宋体"/>
          <w:b/>
          <w:color w:val="auto"/>
          <w:spacing w:val="0"/>
          <w:kern w:val="2"/>
          <w:sz w:val="32"/>
          <w:szCs w:val="30"/>
          <w:highlight w:val="none"/>
          <w:lang w:val="en-US" w:eastAsia="zh-CN"/>
        </w:rPr>
      </w:pPr>
    </w:p>
    <w:p>
      <w:pPr>
        <w:spacing w:line="360" w:lineRule="auto"/>
        <w:ind w:firstLine="964" w:firstLineChars="300"/>
        <w:jc w:val="both"/>
        <w:rPr>
          <w:rFonts w:hint="eastAsia" w:ascii="宋体" w:hAnsi="宋体" w:eastAsia="宋体" w:cs="宋体"/>
          <w:b/>
          <w:color w:val="auto"/>
          <w:spacing w:val="0"/>
          <w:kern w:val="2"/>
          <w:sz w:val="32"/>
          <w:szCs w:val="30"/>
          <w:highlight w:val="none"/>
          <w:lang w:val="en-US" w:eastAsia="zh-CN"/>
        </w:rPr>
      </w:pPr>
    </w:p>
    <w:p>
      <w:pPr>
        <w:spacing w:line="360" w:lineRule="auto"/>
        <w:ind w:firstLine="964" w:firstLineChars="300"/>
        <w:jc w:val="both"/>
        <w:rPr>
          <w:rFonts w:hint="eastAsia" w:ascii="宋体" w:hAnsi="宋体" w:eastAsia="宋体" w:cs="宋体"/>
          <w:b/>
          <w:color w:val="auto"/>
          <w:spacing w:val="0"/>
          <w:kern w:val="2"/>
          <w:sz w:val="32"/>
          <w:szCs w:val="30"/>
          <w:highlight w:val="none"/>
          <w:lang w:val="en-US" w:eastAsia="zh-CN"/>
        </w:rPr>
      </w:pPr>
    </w:p>
    <w:p>
      <w:pPr>
        <w:spacing w:line="360" w:lineRule="auto"/>
        <w:ind w:firstLine="964" w:firstLineChars="300"/>
        <w:jc w:val="both"/>
        <w:rPr>
          <w:rFonts w:hint="eastAsia" w:ascii="宋体" w:hAnsi="宋体" w:cs="宋体"/>
          <w:b/>
          <w:color w:val="auto"/>
          <w:spacing w:val="0"/>
          <w:kern w:val="2"/>
          <w:sz w:val="32"/>
          <w:szCs w:val="30"/>
          <w:highlight w:val="none"/>
          <w:lang w:eastAsia="zh-CN"/>
        </w:rPr>
      </w:pPr>
      <w:r>
        <w:rPr>
          <w:rFonts w:hint="eastAsia" w:ascii="宋体" w:hAnsi="宋体" w:eastAsia="宋体" w:cs="宋体"/>
          <w:b/>
          <w:color w:val="auto"/>
          <w:spacing w:val="0"/>
          <w:kern w:val="2"/>
          <w:sz w:val="32"/>
          <w:szCs w:val="30"/>
          <w:highlight w:val="none"/>
          <w:lang w:val="en-US" w:eastAsia="zh-CN"/>
        </w:rPr>
        <w:t>交易</w:t>
      </w:r>
      <w:r>
        <w:rPr>
          <w:rFonts w:hint="eastAsia" w:ascii="宋体" w:hAnsi="宋体" w:eastAsia="宋体" w:cs="宋体"/>
          <w:b/>
          <w:color w:val="auto"/>
          <w:spacing w:val="0"/>
          <w:kern w:val="2"/>
          <w:sz w:val="32"/>
          <w:szCs w:val="30"/>
          <w:highlight w:val="none"/>
          <w:lang w:eastAsia="zh-CN"/>
        </w:rPr>
        <w:t>发起人：</w:t>
      </w:r>
      <w:r>
        <w:rPr>
          <w:rFonts w:hint="eastAsia" w:ascii="宋体" w:hAnsi="宋体" w:cs="宋体"/>
          <w:b/>
          <w:color w:val="auto"/>
          <w:spacing w:val="0"/>
          <w:kern w:val="2"/>
          <w:sz w:val="32"/>
          <w:szCs w:val="30"/>
          <w:highlight w:val="none"/>
          <w:lang w:eastAsia="zh-CN"/>
        </w:rPr>
        <w:t>杭州市萧山区人民政府办公室</w:t>
      </w:r>
    </w:p>
    <w:p>
      <w:pPr>
        <w:spacing w:line="360" w:lineRule="auto"/>
        <w:ind w:firstLine="964" w:firstLineChars="300"/>
        <w:jc w:val="both"/>
        <w:rPr>
          <w:rFonts w:hint="eastAsia" w:ascii="宋体" w:hAnsi="宋体" w:eastAsia="宋体" w:cs="宋体"/>
          <w:b/>
          <w:bCs w:val="0"/>
          <w:color w:val="auto"/>
          <w:spacing w:val="0"/>
          <w:sz w:val="32"/>
          <w:szCs w:val="32"/>
          <w:highlight w:val="none"/>
          <w:lang w:eastAsia="zh-CN"/>
        </w:rPr>
      </w:pPr>
      <w:r>
        <w:rPr>
          <w:rFonts w:hint="eastAsia" w:ascii="宋体" w:hAnsi="宋体" w:eastAsia="宋体" w:cs="宋体"/>
          <w:b/>
          <w:bCs w:val="0"/>
          <w:color w:val="auto"/>
          <w:spacing w:val="0"/>
          <w:sz w:val="32"/>
          <w:szCs w:val="30"/>
          <w:highlight w:val="none"/>
          <w:lang w:val="en-US" w:eastAsia="zh-CN"/>
        </w:rPr>
        <w:t>代理机构</w:t>
      </w:r>
      <w:r>
        <w:rPr>
          <w:rFonts w:hint="eastAsia" w:ascii="宋体" w:hAnsi="宋体" w:eastAsia="宋体" w:cs="宋体"/>
          <w:b/>
          <w:bCs w:val="0"/>
          <w:color w:val="auto"/>
          <w:spacing w:val="0"/>
          <w:sz w:val="32"/>
          <w:szCs w:val="30"/>
          <w:highlight w:val="none"/>
          <w:lang w:eastAsia="zh-CN"/>
        </w:rPr>
        <w:t>：杭州博望建设工程招标投标代理有限公司</w:t>
      </w:r>
    </w:p>
    <w:p>
      <w:pPr>
        <w:snapToGrid w:val="0"/>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bCs w:val="0"/>
          <w:color w:val="auto"/>
          <w:sz w:val="32"/>
          <w:szCs w:val="32"/>
          <w:highlight w:val="none"/>
        </w:rPr>
        <w:t>二〇二</w:t>
      </w:r>
      <w:r>
        <w:rPr>
          <w:rFonts w:hint="eastAsia" w:ascii="宋体" w:hAnsi="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十</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十六</w:t>
      </w:r>
      <w:r>
        <w:rPr>
          <w:rFonts w:hint="eastAsia" w:ascii="宋体" w:hAnsi="宋体" w:eastAsia="宋体" w:cs="宋体"/>
          <w:b/>
          <w:bCs w:val="0"/>
          <w:color w:val="auto"/>
          <w:sz w:val="32"/>
          <w:szCs w:val="32"/>
          <w:highlight w:val="none"/>
          <w:lang w:eastAsia="zh-CN"/>
        </w:rPr>
        <w:t>日</w:t>
      </w:r>
    </w:p>
    <w:p>
      <w:pPr>
        <w:jc w:val="center"/>
        <w:rPr>
          <w:rFonts w:hint="eastAsia" w:ascii="宋体" w:hAnsi="宋体" w:eastAsia="宋体" w:cs="宋体"/>
          <w:b/>
          <w:color w:val="auto"/>
          <w:sz w:val="48"/>
          <w:szCs w:val="48"/>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3"/>
        <w:rPr>
          <w:rFonts w:hint="eastAsia"/>
          <w:color w:val="auto"/>
          <w:highlight w:val="none"/>
        </w:rPr>
      </w:pPr>
    </w:p>
    <w:p>
      <w:pPr>
        <w:jc w:val="center"/>
        <w:rPr>
          <w:rFonts w:hint="eastAsia" w:ascii="宋体" w:hAnsi="宋体" w:eastAsia="宋体" w:cs="宋体"/>
          <w:b/>
          <w:color w:val="auto"/>
          <w:sz w:val="48"/>
          <w:szCs w:val="48"/>
          <w:highlight w:val="none"/>
        </w:r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响应人</w:t>
      </w:r>
      <w:r>
        <w:rPr>
          <w:rFonts w:hint="eastAsia" w:ascii="宋体" w:hAnsi="宋体" w:eastAsia="宋体" w:cs="宋体"/>
          <w:color w:val="auto"/>
          <w:sz w:val="32"/>
          <w:szCs w:val="32"/>
          <w:highlight w:val="none"/>
        </w:rPr>
        <w:t>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color w:val="auto"/>
          <w:sz w:val="32"/>
          <w:szCs w:val="32"/>
          <w:highlight w:val="none"/>
          <w:lang w:eastAsia="zh-CN"/>
        </w:rPr>
        <w:t>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b/>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编号：</w:t>
      </w:r>
      <w:r>
        <w:rPr>
          <w:rFonts w:hint="eastAsia" w:ascii="宋体" w:hAnsi="宋体" w:cs="宋体"/>
          <w:b w:val="0"/>
          <w:bCs/>
          <w:color w:val="auto"/>
          <w:sz w:val="24"/>
          <w:highlight w:val="none"/>
          <w:u w:val="none"/>
          <w:lang w:eastAsia="zh-CN"/>
        </w:rPr>
        <w:t>BWZBDL2024-</w:t>
      </w:r>
      <w:r>
        <w:rPr>
          <w:rFonts w:hint="eastAsia" w:ascii="宋体" w:hAnsi="宋体" w:cs="宋体"/>
          <w:b w:val="0"/>
          <w:bCs/>
          <w:color w:val="auto"/>
          <w:sz w:val="24"/>
          <w:highlight w:val="none"/>
          <w:u w:val="none"/>
          <w:lang w:val="en-US" w:eastAsia="zh-CN"/>
        </w:rPr>
        <w:t>246（2）</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val="0"/>
          <w:bCs/>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名称：</w:t>
      </w:r>
      <w:r>
        <w:rPr>
          <w:rFonts w:hint="eastAsia" w:ascii="宋体" w:hAnsi="宋体" w:cs="宋体"/>
          <w:b w:val="0"/>
          <w:bCs/>
          <w:color w:val="auto"/>
          <w:sz w:val="24"/>
          <w:highlight w:val="none"/>
          <w:u w:val="none"/>
          <w:lang w:val="en-US" w:eastAsia="zh-CN"/>
        </w:rPr>
        <w:t>金融纠纷人民调解服务采购项目</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color w:val="auto"/>
          <w:sz w:val="24"/>
          <w:szCs w:val="28"/>
          <w:highlight w:val="none"/>
          <w:u w:val="none"/>
          <w:lang w:val="en-US" w:eastAsia="zh-CN"/>
        </w:rPr>
      </w:pPr>
      <w:r>
        <w:rPr>
          <w:rFonts w:hint="eastAsia" w:ascii="宋体" w:hAnsi="宋体" w:eastAsia="宋体" w:cs="宋体"/>
          <w:b/>
          <w:color w:val="auto"/>
          <w:sz w:val="24"/>
          <w:highlight w:val="none"/>
          <w:u w:val="none"/>
        </w:rPr>
        <w:t>预算金额</w:t>
      </w:r>
      <w:r>
        <w:rPr>
          <w:rFonts w:hint="eastAsia" w:ascii="宋体" w:hAnsi="宋体" w:eastAsia="宋体" w:cs="宋体"/>
          <w:b/>
          <w:color w:val="auto"/>
          <w:sz w:val="24"/>
          <w:highlight w:val="none"/>
          <w:u w:val="none"/>
          <w:lang w:val="en-US" w:eastAsia="zh-CN"/>
        </w:rPr>
        <w:t>(元）</w:t>
      </w:r>
      <w:r>
        <w:rPr>
          <w:rFonts w:hint="eastAsia" w:ascii="宋体" w:hAnsi="宋体" w:eastAsia="宋体" w:cs="宋体"/>
          <w:b/>
          <w:color w:val="auto"/>
          <w:sz w:val="24"/>
          <w:highlight w:val="none"/>
          <w:u w:val="none"/>
        </w:rPr>
        <w:t>：</w:t>
      </w:r>
      <w:r>
        <w:rPr>
          <w:rFonts w:hint="eastAsia" w:ascii="宋体" w:hAnsi="宋体" w:cs="宋体"/>
          <w:b w:val="0"/>
          <w:bCs/>
          <w:color w:val="auto"/>
          <w:sz w:val="24"/>
          <w:highlight w:val="none"/>
          <w:u w:val="none"/>
          <w:lang w:val="en-US" w:eastAsia="zh-CN"/>
        </w:rPr>
        <w:t>200000.00</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szCs w:val="28"/>
          <w:highlight w:val="none"/>
          <w:u w:val="none"/>
          <w:lang w:val="en-US" w:eastAsia="zh-CN"/>
        </w:rPr>
      </w:pPr>
      <w:r>
        <w:rPr>
          <w:rFonts w:hint="eastAsia" w:ascii="宋体" w:hAnsi="宋体" w:eastAsia="宋体" w:cs="宋体"/>
          <w:b/>
          <w:color w:val="auto"/>
          <w:sz w:val="24"/>
          <w:highlight w:val="none"/>
          <w:u w:val="none"/>
        </w:rPr>
        <w:t>最高限价</w:t>
      </w:r>
      <w:r>
        <w:rPr>
          <w:rFonts w:hint="eastAsia" w:ascii="宋体" w:hAnsi="宋体" w:eastAsia="宋体" w:cs="宋体"/>
          <w:b/>
          <w:color w:val="auto"/>
          <w:sz w:val="24"/>
          <w:highlight w:val="none"/>
          <w:u w:val="none"/>
          <w:lang w:val="en-US" w:eastAsia="zh-CN"/>
        </w:rPr>
        <w:t>(元）</w:t>
      </w:r>
      <w:r>
        <w:rPr>
          <w:rFonts w:hint="eastAsia" w:ascii="宋体" w:hAnsi="宋体" w:eastAsia="宋体" w:cs="宋体"/>
          <w:b/>
          <w:color w:val="auto"/>
          <w:sz w:val="24"/>
          <w:highlight w:val="none"/>
          <w:u w:val="none"/>
        </w:rPr>
        <w:t>：</w:t>
      </w:r>
      <w:r>
        <w:rPr>
          <w:rFonts w:hint="eastAsia" w:ascii="宋体" w:hAnsi="宋体" w:cs="宋体"/>
          <w:b w:val="0"/>
          <w:bCs/>
          <w:color w:val="auto"/>
          <w:sz w:val="24"/>
          <w:highlight w:val="none"/>
          <w:u w:val="none"/>
          <w:lang w:val="en-US" w:eastAsia="zh-CN"/>
        </w:rPr>
        <w:t>200000.00</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需求：</w:t>
      </w:r>
      <w:r>
        <w:rPr>
          <w:rFonts w:hint="eastAsia" w:ascii="宋体" w:hAnsi="宋体" w:cs="宋体"/>
          <w:b w:val="0"/>
          <w:bCs/>
          <w:color w:val="auto"/>
          <w:sz w:val="24"/>
          <w:highlight w:val="none"/>
          <w:u w:val="none"/>
          <w:lang w:val="en-US" w:eastAsia="zh-CN"/>
        </w:rPr>
        <w:t>金融纠纷人民调解服务</w:t>
      </w:r>
      <w:r>
        <w:rPr>
          <w:rFonts w:hint="eastAsia" w:hAnsi="宋体" w:cs="宋体"/>
          <w:bCs/>
          <w:color w:val="auto"/>
          <w:sz w:val="24"/>
          <w:highlight w:val="none"/>
          <w:lang w:val="en-US" w:eastAsia="zh-CN"/>
        </w:rPr>
        <w:t>，1年，</w:t>
      </w:r>
      <w:r>
        <w:rPr>
          <w:rFonts w:hint="eastAsia" w:ascii="宋体" w:hAnsi="宋体" w:eastAsia="宋体" w:cs="宋体"/>
          <w:color w:val="auto"/>
          <w:sz w:val="24"/>
          <w:highlight w:val="none"/>
          <w:u w:val="none"/>
          <w:lang w:val="en-US" w:eastAsia="zh-CN"/>
        </w:rPr>
        <w:t>详见交易需求。</w:t>
      </w:r>
    </w:p>
    <w:p>
      <w:pPr>
        <w:pStyle w:val="2"/>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公开竞争文件</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）是；（√）否</w:t>
      </w:r>
      <w:r>
        <w:rPr>
          <w:rFonts w:hint="eastAsia" w:ascii="宋体" w:hAnsi="宋体" w:eastAsia="宋体" w:cs="宋体"/>
          <w:b w:val="0"/>
          <w:bCs/>
          <w:color w:val="auto"/>
          <w:sz w:val="24"/>
          <w:highlight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具有独立承担民事责任的能力；</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具有良好的商业信誉和健全的财务会计制度；</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具有履行合同所必需的设备和专业技术能力；</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有依法缴纳税收和社会保障资金的良好记录；</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参加采购活动前三年内，在经营活动中没有重大违法记录；</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法律、行政法规规定的其他条件；</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本项目不接受联合体参与（潜在供应商能独立完成本项目）。</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 xml:space="preserve">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cs="宋体"/>
          <w:color w:val="auto"/>
          <w:sz w:val="24"/>
          <w:highlight w:val="none"/>
          <w:lang w:eastAsia="zh-CN"/>
        </w:rPr>
        <w:t>乐采云平台（www.lecaiyun.com）</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登录乐采云平台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在线申请获取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文件（进入“项目采购”应用，在获取采购文件菜单中选择项目，申请获取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 xml:space="preserve">文件）。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和地点</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乐采云平台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cs="宋体"/>
          <w:color w:val="auto"/>
          <w:sz w:val="24"/>
          <w:highlight w:val="none"/>
          <w:lang w:eastAsia="zh-CN"/>
        </w:rPr>
        <w:t>）</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23</w:t>
      </w:r>
      <w:bookmarkStart w:id="383" w:name="_GoBack"/>
      <w:bookmarkEnd w:id="383"/>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乐采云平台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cs="宋体"/>
          <w:color w:val="auto"/>
          <w:sz w:val="24"/>
          <w:highlight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、其他补充事宜</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使自己的权益受到损害的，可以自获取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和代理机构提出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、代理机构的答复不满意或者</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、代理机构未在规定的时间内作出答复的，可以在答复期满后</w:t>
      </w:r>
      <w:r>
        <w:rPr>
          <w:rFonts w:hint="eastAsia" w:ascii="宋体" w:hAnsi="宋体" w:eastAsia="宋体" w:cs="宋体"/>
          <w:color w:val="auto"/>
          <w:sz w:val="24"/>
          <w:highlight w:val="none"/>
          <w:lang w:val="en-US" w:eastAsia="zh-CN"/>
        </w:rPr>
        <w:t>10日</w:t>
      </w:r>
      <w:r>
        <w:rPr>
          <w:rFonts w:hint="eastAsia" w:ascii="宋体" w:hAnsi="宋体" w:eastAsia="宋体" w:cs="宋体"/>
          <w:color w:val="auto"/>
          <w:sz w:val="24"/>
          <w:highlight w:val="none"/>
        </w:rPr>
        <w:t>内向</w:t>
      </w:r>
      <w:r>
        <w:rPr>
          <w:rFonts w:hint="eastAsia" w:ascii="宋体" w:hAnsi="宋体" w:eastAsia="宋体" w:cs="宋体"/>
          <w:color w:val="auto"/>
          <w:sz w:val="24"/>
          <w:highlight w:val="none"/>
          <w:lang w:eastAsia="zh-CN"/>
        </w:rPr>
        <w:t>基层交易</w:t>
      </w:r>
      <w:r>
        <w:rPr>
          <w:rFonts w:hint="eastAsia" w:ascii="宋体" w:hAnsi="宋体" w:eastAsia="宋体" w:cs="宋体"/>
          <w:color w:val="auto"/>
          <w:sz w:val="24"/>
          <w:highlight w:val="none"/>
        </w:rPr>
        <w:t>监督</w:t>
      </w:r>
      <w:r>
        <w:rPr>
          <w:rFonts w:hint="eastAsia" w:ascii="宋体" w:hAnsi="宋体" w:eastAsia="宋体" w:cs="宋体"/>
          <w:color w:val="auto"/>
          <w:sz w:val="24"/>
          <w:highlight w:val="none"/>
          <w:lang w:eastAsia="zh-CN"/>
        </w:rPr>
        <w:t>机构提出</w:t>
      </w:r>
      <w:r>
        <w:rPr>
          <w:rFonts w:hint="eastAsia" w:ascii="宋体" w:hAnsi="宋体" w:eastAsia="宋体" w:cs="宋体"/>
          <w:color w:val="auto"/>
          <w:sz w:val="24"/>
          <w:highlight w:val="none"/>
        </w:rPr>
        <w:t>投诉。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cs="宋体"/>
          <w:color w:val="auto"/>
          <w:sz w:val="24"/>
          <w:highlight w:val="none"/>
          <w:lang w:eastAsia="zh-CN"/>
        </w:rPr>
        <w:t>乐采云平台（www.lecaiyun.com）</w:t>
      </w:r>
      <w:r>
        <w:rPr>
          <w:rFonts w:hint="eastAsia" w:ascii="宋体" w:hAnsi="宋体" w:eastAsia="宋体" w:cs="宋体"/>
          <w:color w:val="auto"/>
          <w:sz w:val="24"/>
          <w:highlight w:val="none"/>
        </w:rPr>
        <w:t>”进行招投标活动，不接受纸质响应文件；②投标准备：注册账号--点击“商家入驻”，进行政府采购供应商资料填写；申领CA数字证书---申领流程详见“</w:t>
      </w:r>
      <w:r>
        <w:rPr>
          <w:rFonts w:hint="eastAsia" w:ascii="宋体" w:hAnsi="宋体" w:cs="宋体"/>
          <w:color w:val="auto"/>
          <w:sz w:val="24"/>
          <w:highlight w:val="none"/>
          <w:lang w:val="en-US"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电子交易客户端”----前往“</w:t>
      </w:r>
      <w:r>
        <w:rPr>
          <w:rFonts w:hint="eastAsia" w:ascii="宋体" w:hAnsi="宋体" w:cs="宋体"/>
          <w:color w:val="auto"/>
          <w:sz w:val="24"/>
          <w:highlight w:val="none"/>
          <w:lang w:val="en-US" w:eastAsia="zh-CN"/>
        </w:rPr>
        <w:t>浙江企业采购信息服务网</w:t>
      </w:r>
      <w:r>
        <w:rPr>
          <w:rFonts w:hint="eastAsia" w:ascii="宋体" w:hAnsi="宋体" w:eastAsia="宋体" w:cs="宋体"/>
          <w:color w:val="auto"/>
          <w:sz w:val="24"/>
          <w:highlight w:val="none"/>
        </w:rPr>
        <w:t>-下载专区-电子交易客户端”进行下载并安装；③公开竞争文件的获取：使用账号登录或者使用CA登录</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平台；进入“项目采购”应用，在获取采购文件菜单中选择项目，获取公开竞争文件；④响应文件的制作：在“</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电子交易客户端”中完成“填写基本信息”“导入响应文件”“标书关联”“标书检查”“电子签名”“生成电子标书”等操作；⑤交易发起人、代理机构将依托</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lang w:val="en-US" w:eastAsia="zh-CN"/>
        </w:rPr>
        <w:t>乐</w:t>
      </w:r>
      <w:r>
        <w:rPr>
          <w:rFonts w:hint="eastAsia" w:ascii="宋体" w:hAnsi="宋体" w:cs="宋体"/>
          <w:color w:val="auto"/>
          <w:sz w:val="24"/>
          <w:highlight w:val="none"/>
          <w:lang w:val="en-US" w:eastAsia="zh-CN"/>
        </w:rPr>
        <w:t>采</w:t>
      </w:r>
      <w:r>
        <w:rPr>
          <w:rFonts w:hint="eastAsia" w:ascii="宋体" w:hAnsi="宋体" w:eastAsia="宋体" w:cs="宋体"/>
          <w:color w:val="auto"/>
          <w:sz w:val="24"/>
          <w:highlight w:val="none"/>
        </w:rPr>
        <w:t>云平台；⑨响应文件的解密：响应人按照平台提示和公开竞争文件的规定在半小时内完成在线解密。通过“</w:t>
      </w:r>
      <w:r>
        <w:rPr>
          <w:rFonts w:hint="eastAsia" w:ascii="宋体" w:hAnsi="宋体" w:eastAsia="宋体" w:cs="宋体"/>
          <w:color w:val="auto"/>
          <w:sz w:val="24"/>
          <w:highlight w:val="none"/>
          <w:lang w:val="en-US" w:eastAsia="zh-CN"/>
        </w:rPr>
        <w:t>乐</w:t>
      </w:r>
      <w:r>
        <w:rPr>
          <w:rFonts w:hint="eastAsia" w:ascii="宋体" w:hAnsi="宋体" w:cs="宋体"/>
          <w:color w:val="auto"/>
          <w:sz w:val="24"/>
          <w:highlight w:val="none"/>
          <w:lang w:val="en-US" w:eastAsia="zh-CN"/>
        </w:rPr>
        <w:t>采</w:t>
      </w:r>
      <w:r>
        <w:rPr>
          <w:rFonts w:hint="eastAsia" w:ascii="宋体" w:hAnsi="宋体" w:eastAsia="宋体" w:cs="宋体"/>
          <w:color w:val="auto"/>
          <w:sz w:val="24"/>
          <w:highlight w:val="none"/>
        </w:rPr>
        <w:t>云平台”上传递交的响应文件无法按时解密，视为响应文件撤回；⑩具体操作指南：详见</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平台“服务中心-帮助文档-项目采购-操作流程-电子招投标-政府采购项目电子交易管理操作指南-供应商”。</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、对本次</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提出</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、投诉，请按以下方式联系</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、交易发起人</w:t>
      </w:r>
      <w:r>
        <w:rPr>
          <w:rFonts w:hint="eastAsia" w:ascii="宋体" w:hAnsi="宋体" w:eastAsia="宋体" w:cs="宋体"/>
          <w:color w:val="auto"/>
          <w:sz w:val="24"/>
          <w:szCs w:val="28"/>
          <w:highlight w:val="none"/>
        </w:rPr>
        <w:t>信息</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名称：</w:t>
      </w:r>
      <w:r>
        <w:rPr>
          <w:rFonts w:hint="eastAsia" w:ascii="宋体" w:hAnsi="宋体" w:cs="宋体"/>
          <w:bCs/>
          <w:color w:val="auto"/>
          <w:sz w:val="24"/>
          <w:highlight w:val="none"/>
          <w:lang w:eastAsia="zh-CN"/>
        </w:rPr>
        <w:t>杭州市萧山区人民政府办公室</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杭州市萧山区金城路685号</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项目联系人（询问）：陈丹妮</w:t>
      </w:r>
    </w:p>
    <w:p>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项目联系方式（询问）：0571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89619022</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rPr>
      </w:pPr>
      <w:bookmarkStart w:id="10" w:name="_Toc28359086"/>
      <w:bookmarkStart w:id="11" w:name="_Toc28359009"/>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代理机构信息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val="en-US" w:eastAsia="zh-CN"/>
        </w:rPr>
        <w:t>赵鑫华</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szCs w:val="28"/>
          <w:highlight w:val="none"/>
        </w:rPr>
        <w:t>项目联系方式（询问）：0571-838812</w:t>
      </w:r>
      <w:r>
        <w:rPr>
          <w:rFonts w:hint="eastAsia" w:ascii="宋体" w:hAnsi="宋体" w:eastAsia="宋体" w:cs="宋体"/>
          <w:color w:val="auto"/>
          <w:sz w:val="24"/>
          <w:szCs w:val="28"/>
          <w:highlight w:val="none"/>
          <w:lang w:val="en-US" w:eastAsia="zh-CN"/>
        </w:rPr>
        <w:t>08</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若对项目电子交易系统操作有疑问，可登录乐采云平台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，点击右侧咨询小采，获取采小蜜智能服务管家帮助，或拨打</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响应人</w:t>
      </w:r>
      <w:r>
        <w:rPr>
          <w:rFonts w:hint="eastAsia" w:ascii="宋体" w:hAnsi="宋体" w:eastAsia="宋体" w:cs="宋体"/>
          <w:b/>
          <w:color w:val="auto"/>
          <w:sz w:val="36"/>
          <w:szCs w:val="20"/>
          <w:highlight w:val="none"/>
        </w:rPr>
        <w:t>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A货物类</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A适用</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现场</w:t>
            </w:r>
            <w:r>
              <w:rPr>
                <w:rFonts w:hint="eastAsia" w:ascii="宋体" w:hAnsi="宋体" w:cs="宋体"/>
                <w:b/>
                <w:bCs/>
                <w:color w:val="auto"/>
                <w:highlight w:val="none"/>
                <w:lang w:val="en-US" w:eastAsia="zh-CN"/>
              </w:rPr>
              <w:t>演示</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（√）A不组织。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4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交易一览表</w:t>
            </w:r>
            <w:r>
              <w:rPr>
                <w:rFonts w:hint="eastAsia" w:ascii="宋体" w:hAnsi="宋体" w:eastAsia="宋体" w:cs="宋体"/>
                <w:b w:val="0"/>
                <w:bCs/>
                <w:color w:val="auto"/>
                <w:kern w:val="0"/>
                <w:sz w:val="24"/>
                <w:highlight w:val="none"/>
              </w:rPr>
              <w:t>（报价表）是报价的唯一载体</w:t>
            </w:r>
            <w:r>
              <w:rPr>
                <w:rFonts w:hint="eastAsia" w:ascii="宋体" w:hAnsi="宋体" w:eastAsia="宋体" w:cs="宋体"/>
                <w:b w:val="0"/>
                <w:bCs/>
                <w:color w:val="auto"/>
                <w:kern w:val="0"/>
                <w:sz w:val="24"/>
                <w:highlight w:val="none"/>
                <w:lang w:val="zh-CN"/>
              </w:rPr>
              <w:t>。响应文件中价格全部采用人民币报价。公开竞争文件未列明，而响应人认为必需的费用也需列入报价。</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交易报价出现下列情形的，交易无效：</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响应文件出现不是唯一的、有选择性交易报价的；</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交易报价超过公开竞争文件中规定的预算金额或者最高限价的；</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adjustRightInd w:val="0"/>
              <w:spacing w:line="400" w:lineRule="exact"/>
              <w:ind w:left="0" w:leftChars="0" w:hanging="4" w:firstLineChars="0"/>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备份文件是否收取：不收取。</w:t>
            </w:r>
          </w:p>
          <w:p>
            <w:pPr>
              <w:pStyle w:val="34"/>
              <w:keepNext w:val="0"/>
              <w:keepLines w:val="0"/>
              <w:pageBreakBefore w:val="0"/>
              <w:widowControl w:val="0"/>
              <w:kinsoku/>
              <w:wordWrap/>
              <w:overflowPunct/>
              <w:topLinePunct w:val="0"/>
              <w:autoSpaceDE/>
              <w:autoSpaceDN/>
              <w:bidi w:val="0"/>
              <w:adjustRightInd w:val="0"/>
              <w:spacing w:line="400" w:lineRule="exact"/>
              <w:ind w:left="0" w:leftChars="0" w:hanging="4" w:firstLineChars="0"/>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单位在</w:t>
            </w: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后提供纸质</w:t>
            </w:r>
            <w:r>
              <w:rPr>
                <w:rFonts w:hint="eastAsia" w:ascii="宋体" w:hAnsi="宋体" w:eastAsia="宋体" w:cs="宋体"/>
                <w:b/>
                <w:bCs w:val="0"/>
                <w:color w:val="auto"/>
                <w:sz w:val="24"/>
                <w:highlight w:val="none"/>
                <w:lang w:val="en-US" w:eastAsia="zh-CN"/>
              </w:rPr>
              <w:t>响应</w:t>
            </w:r>
            <w:r>
              <w:rPr>
                <w:rFonts w:hint="eastAsia" w:ascii="宋体" w:hAnsi="宋体" w:eastAsia="宋体" w:cs="宋体"/>
                <w:b/>
                <w:bCs w:val="0"/>
                <w:color w:val="auto"/>
                <w:sz w:val="24"/>
                <w:highlight w:val="none"/>
                <w:lang w:eastAsia="zh-CN"/>
              </w:rPr>
              <w:t>文件一正</w:t>
            </w:r>
            <w:r>
              <w:rPr>
                <w:rFonts w:hint="eastAsia" w:ascii="宋体" w:hAnsi="宋体" w:eastAsia="宋体" w:cs="宋体"/>
                <w:b/>
                <w:bCs w:val="0"/>
                <w:color w:val="auto"/>
                <w:sz w:val="24"/>
                <w:highlight w:val="none"/>
                <w:lang w:val="en-US" w:eastAsia="zh-CN"/>
              </w:rPr>
              <w:t>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auto"/>
                <w:kern w:val="0"/>
                <w:sz w:val="24"/>
                <w:highlight w:val="none"/>
                <w:lang w:val="zh-CN" w:eastAsia="zh-CN"/>
              </w:rPr>
            </w:pPr>
            <w:r>
              <w:rPr>
                <w:rFonts w:hint="eastAsia" w:ascii="宋体" w:hAnsi="宋体" w:eastAsia="宋体" w:cs="宋体"/>
                <w:b w:val="0"/>
                <w:bCs/>
                <w:color w:val="auto"/>
                <w:kern w:val="0"/>
                <w:sz w:val="24"/>
                <w:highlight w:val="none"/>
                <w:lang w:val="zh-CN" w:eastAsia="zh-CN"/>
              </w:rPr>
              <w:t>本项目采购代理费由</w:t>
            </w:r>
            <w:r>
              <w:rPr>
                <w:rFonts w:hint="eastAsia" w:ascii="宋体" w:hAnsi="宋体" w:eastAsia="宋体" w:cs="宋体"/>
                <w:b w:val="0"/>
                <w:bCs/>
                <w:color w:val="auto"/>
                <w:kern w:val="0"/>
                <w:sz w:val="24"/>
                <w:highlight w:val="none"/>
                <w:lang w:val="en-US" w:eastAsia="zh-CN"/>
              </w:rPr>
              <w:t>成交人</w:t>
            </w:r>
            <w:r>
              <w:rPr>
                <w:rFonts w:hint="eastAsia" w:ascii="宋体" w:hAnsi="宋体" w:eastAsia="宋体" w:cs="宋体"/>
                <w:b w:val="0"/>
                <w:bCs/>
                <w:color w:val="auto"/>
                <w:kern w:val="0"/>
                <w:sz w:val="24"/>
                <w:highlight w:val="none"/>
                <w:lang w:val="zh-CN" w:eastAsia="zh-CN"/>
              </w:rPr>
              <w:t>支付，</w:t>
            </w:r>
            <w:r>
              <w:rPr>
                <w:rFonts w:hint="eastAsia" w:ascii="宋体" w:hAnsi="宋体" w:eastAsia="宋体" w:cs="宋体"/>
                <w:b w:val="0"/>
                <w:bCs/>
                <w:color w:val="auto"/>
                <w:kern w:val="0"/>
                <w:sz w:val="24"/>
                <w:highlight w:val="none"/>
                <w:lang w:val="en-US" w:eastAsia="zh-CN"/>
              </w:rPr>
              <w:t>按</w:t>
            </w:r>
            <w:r>
              <w:rPr>
                <w:rFonts w:hint="eastAsia" w:ascii="宋体" w:hAnsi="宋体" w:cs="宋体"/>
                <w:b w:val="0"/>
                <w:bCs/>
                <w:color w:val="auto"/>
                <w:kern w:val="0"/>
                <w:sz w:val="24"/>
                <w:highlight w:val="none"/>
                <w:lang w:val="en-US" w:eastAsia="zh-CN"/>
              </w:rPr>
              <w:t>3100.</w:t>
            </w:r>
            <w:r>
              <w:rPr>
                <w:rFonts w:hint="eastAsia" w:ascii="宋体" w:hAnsi="宋体" w:eastAsia="宋体" w:cs="宋体"/>
                <w:b w:val="0"/>
                <w:bCs/>
                <w:color w:val="auto"/>
                <w:kern w:val="0"/>
                <w:sz w:val="24"/>
                <w:highlight w:val="none"/>
                <w:lang w:val="en-US" w:eastAsia="zh-CN"/>
              </w:rPr>
              <w:t>00元结算收取</w:t>
            </w:r>
            <w:r>
              <w:rPr>
                <w:rFonts w:hint="eastAsia" w:ascii="宋体" w:hAnsi="宋体" w:eastAsia="宋体" w:cs="宋体"/>
                <w:b w:val="0"/>
                <w:bCs/>
                <w:color w:val="auto"/>
                <w:kern w:val="0"/>
                <w:sz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auto"/>
                <w:kern w:val="0"/>
                <w:sz w:val="24"/>
                <w:highlight w:val="none"/>
                <w:lang w:val="zh-CN" w:eastAsia="zh-CN"/>
              </w:rPr>
            </w:pPr>
            <w:r>
              <w:rPr>
                <w:rFonts w:hint="eastAsia" w:ascii="宋体" w:hAnsi="宋体" w:eastAsia="宋体" w:cs="宋体"/>
                <w:b w:val="0"/>
                <w:bCs/>
                <w:color w:val="auto"/>
                <w:kern w:val="0"/>
                <w:sz w:val="24"/>
                <w:highlight w:val="none"/>
                <w:lang w:val="zh-CN" w:eastAsia="zh-CN"/>
              </w:rPr>
              <w:t>服务费缴纳账号：</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auto"/>
                <w:kern w:val="0"/>
                <w:sz w:val="24"/>
                <w:highlight w:val="none"/>
                <w:lang w:val="zh-CN" w:eastAsia="zh-CN"/>
              </w:rPr>
            </w:pPr>
            <w:r>
              <w:rPr>
                <w:rFonts w:hint="eastAsia" w:ascii="宋体" w:hAnsi="宋体" w:eastAsia="宋体" w:cs="宋体"/>
                <w:b w:val="0"/>
                <w:bCs/>
                <w:color w:val="auto"/>
                <w:kern w:val="0"/>
                <w:sz w:val="24"/>
                <w:highlight w:val="none"/>
                <w:lang w:val="zh-CN" w:eastAsia="zh-CN"/>
              </w:rPr>
              <w:t>开户银行：上海浦东发展银行萧山支行</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auto"/>
                <w:kern w:val="0"/>
                <w:sz w:val="24"/>
                <w:highlight w:val="none"/>
                <w:lang w:val="zh-CN" w:eastAsia="zh-CN"/>
              </w:rPr>
            </w:pPr>
            <w:r>
              <w:rPr>
                <w:rFonts w:hint="eastAsia" w:ascii="宋体" w:hAnsi="宋体" w:eastAsia="宋体" w:cs="宋体"/>
                <w:b w:val="0"/>
                <w:bCs/>
                <w:color w:val="auto"/>
                <w:kern w:val="0"/>
                <w:sz w:val="24"/>
                <w:highlight w:val="none"/>
                <w:lang w:val="zh-CN" w:eastAsia="zh-CN"/>
              </w:rPr>
              <w:t>账户名称：杭州博望建设工程招标投标代理有限公司</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val="zh-CN" w:eastAsia="zh-CN"/>
              </w:rPr>
              <w:t>银行账号：95070154740001005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质量保证金</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adjustRightInd w:val="0"/>
              <w:spacing w:line="400" w:lineRule="exact"/>
              <w:ind w:hanging="4"/>
              <w:textAlignment w:val="auto"/>
              <w:rPr>
                <w:rFonts w:hint="eastAsia" w:hAnsi="宋体" w:eastAsia="宋体" w:cs="宋体"/>
                <w:color w:val="auto"/>
                <w:kern w:val="28"/>
                <w:sz w:val="24"/>
                <w:szCs w:val="20"/>
                <w:highlight w:val="none"/>
                <w:lang w:eastAsia="zh-CN"/>
              </w:rPr>
            </w:pPr>
            <w:r>
              <w:rPr>
                <w:rFonts w:hint="eastAsia" w:hAnsi="宋体" w:cs="宋体"/>
                <w:color w:val="auto"/>
                <w:kern w:val="28"/>
                <w:sz w:val="24"/>
                <w:szCs w:val="20"/>
                <w:highlight w:val="none"/>
              </w:rPr>
              <w:t>质量保证金：</w:t>
            </w:r>
            <w:r>
              <w:rPr>
                <w:rFonts w:hint="eastAsia" w:hAnsi="宋体" w:cs="宋体"/>
                <w:color w:val="auto"/>
                <w:kern w:val="28"/>
                <w:sz w:val="24"/>
                <w:szCs w:val="20"/>
                <w:highlight w:val="none"/>
                <w:lang w:val="en-US" w:eastAsia="zh-CN"/>
              </w:rPr>
              <w:t>不收取</w:t>
            </w:r>
            <w:r>
              <w:rPr>
                <w:rFonts w:hint="eastAsia" w:hAnsi="宋体" w:cs="宋体"/>
                <w:color w:val="auto"/>
                <w:kern w:val="28"/>
                <w:sz w:val="24"/>
                <w:szCs w:val="2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履约保证金：不收取</w:t>
            </w:r>
            <w:r>
              <w:rPr>
                <w:rFonts w:hint="eastAsia" w:ascii="宋体" w:hAnsi="宋体" w:eastAsia="宋体" w:cs="宋体"/>
                <w:b w:val="0"/>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rPr>
              <w:t>本项目由</w:t>
            </w:r>
            <w:r>
              <w:rPr>
                <w:rFonts w:hint="eastAsia" w:ascii="宋体" w:hAnsi="宋体" w:eastAsia="宋体" w:cs="宋体"/>
                <w:b w:val="0"/>
                <w:bCs/>
                <w:color w:val="auto"/>
                <w:kern w:val="0"/>
                <w:sz w:val="24"/>
                <w:highlight w:val="none"/>
                <w:lang w:eastAsia="zh-CN"/>
              </w:rPr>
              <w:t>交易发起人</w:t>
            </w:r>
            <w:r>
              <w:rPr>
                <w:rFonts w:hint="eastAsia" w:ascii="宋体" w:hAnsi="宋体" w:eastAsia="宋体" w:cs="宋体"/>
                <w:b w:val="0"/>
                <w:bCs/>
                <w:color w:val="auto"/>
                <w:kern w:val="0"/>
                <w:sz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eastAsia="zh-CN"/>
              </w:rPr>
              <w:t>代理机构异议</w:t>
            </w:r>
            <w:r>
              <w:rPr>
                <w:rFonts w:hint="eastAsia" w:ascii="宋体" w:hAnsi="宋体" w:eastAsia="宋体" w:cs="宋体"/>
                <w:color w:val="auto"/>
                <w:sz w:val="24"/>
                <w:highlight w:val="none"/>
                <w:u w:val="none"/>
              </w:rPr>
              <w:t>接收人：</w:t>
            </w:r>
            <w:r>
              <w:rPr>
                <w:rFonts w:hint="eastAsia" w:ascii="宋体" w:hAnsi="宋体" w:eastAsia="宋体" w:cs="宋体"/>
                <w:color w:val="auto"/>
                <w:sz w:val="24"/>
                <w:highlight w:val="none"/>
                <w:u w:val="single"/>
                <w:lang w:val="en-US" w:eastAsia="zh-CN"/>
              </w:rPr>
              <w:t>高华萍</w:t>
            </w:r>
            <w:r>
              <w:rPr>
                <w:rFonts w:hint="eastAsia" w:ascii="宋体" w:hAnsi="宋体" w:eastAsia="宋体" w:cs="宋体"/>
                <w:color w:val="auto"/>
                <w:sz w:val="24"/>
                <w:highlight w:val="none"/>
                <w:u w:val="none"/>
              </w:rPr>
              <w:t xml:space="preserve"> 联系方式：</w:t>
            </w:r>
            <w:r>
              <w:rPr>
                <w:rFonts w:hint="eastAsia" w:ascii="宋体" w:hAnsi="宋体" w:eastAsia="宋体" w:cs="宋体"/>
                <w:color w:val="auto"/>
                <w:sz w:val="24"/>
                <w:highlight w:val="none"/>
                <w:u w:val="single"/>
              </w:rPr>
              <w:t>0571-83881208</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地址：</w:t>
            </w:r>
            <w:r>
              <w:rPr>
                <w:rFonts w:hint="eastAsia" w:ascii="宋体" w:hAnsi="宋体" w:eastAsia="宋体" w:cs="宋体"/>
                <w:color w:val="auto"/>
                <w:sz w:val="24"/>
                <w:highlight w:val="none"/>
                <w:u w:val="single"/>
              </w:rPr>
              <w:t>杭州市萧山区金城路433号天汇园一幢A座5楼</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邮箱：</w:t>
            </w:r>
            <w:r>
              <w:rPr>
                <w:rFonts w:hint="eastAsia" w:ascii="宋体" w:hAnsi="宋体" w:eastAsia="宋体" w:cs="宋体"/>
                <w:color w:val="auto"/>
                <w:sz w:val="24"/>
                <w:highlight w:val="none"/>
                <w:u w:val="single"/>
              </w:rPr>
              <w:t>751200605@qq.com</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，须提交符合法规及</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要求的</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文件（参考附件</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），盖章扫描后发送，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的受理按答复主体划分以</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或</w:t>
            </w: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邮箱回复确认受理为准。</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过程中有关现场考察或开标前答疑会事项由</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进行答复。</w:t>
            </w:r>
          </w:p>
          <w:p>
            <w:pPr>
              <w:pStyle w:val="34"/>
              <w:keepNext w:val="0"/>
              <w:keepLines w:val="0"/>
              <w:pageBreakBefore w:val="0"/>
              <w:widowControl w:val="0"/>
              <w:kinsoku/>
              <w:wordWrap/>
              <w:overflowPunct/>
              <w:topLinePunct w:val="0"/>
              <w:autoSpaceDE/>
              <w:autoSpaceDN/>
              <w:bidi w:val="0"/>
              <w:adjustRightInd w:val="0"/>
              <w:spacing w:line="400" w:lineRule="exact"/>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bookmarkEnd w:id="9"/>
    </w:tbl>
    <w:p>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keepNext w:val="0"/>
        <w:keepLines w:val="0"/>
        <w:pageBreakBefore w:val="0"/>
        <w:kinsoku/>
        <w:wordWrap/>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keepNext w:val="0"/>
        <w:keepLines w:val="0"/>
        <w:pageBreakBefore w:val="0"/>
        <w:kinsoku/>
        <w:wordWrap/>
        <w:overflowPunct/>
        <w:topLinePunct w:val="0"/>
        <w:bidi w:val="0"/>
        <w:snapToGrid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、资格审查及信用信息查询、评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、定标、合同、验收等行为（法律、法规另有规定的，从其规定）。</w:t>
      </w:r>
    </w:p>
    <w:p>
      <w:pPr>
        <w:keepNext w:val="0"/>
        <w:keepLines w:val="0"/>
        <w:pageBreakBefore w:val="0"/>
        <w:kinsoku/>
        <w:wordWrap/>
        <w:overflowPunct/>
        <w:topLinePunct w:val="0"/>
        <w:bidi w:val="0"/>
        <w:adjustRightInd/>
        <w:spacing w:line="46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”系指响应招标、参加投标竞争的法人、其他组织或者自然人。</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响应人电子签名指响应人电子公章</w:t>
      </w:r>
      <w:r>
        <w:rPr>
          <w:rFonts w:hint="eastAsia" w:ascii="宋体" w:hAnsi="宋体" w:eastAsia="宋体" w:cs="宋体"/>
          <w:color w:val="auto"/>
          <w:sz w:val="24"/>
          <w:highlight w:val="none"/>
        </w:rPr>
        <w:t>；“公章”系指单位法定名称章。因特殊原因需要使用冠以法定名称的业务专用章的，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r>
        <w:rPr>
          <w:rFonts w:hint="eastAsia" w:ascii="宋体" w:hAnsi="宋体" w:cs="宋体"/>
          <w:color w:val="auto"/>
          <w:sz w:val="24"/>
          <w:highlight w:val="none"/>
        </w:rPr>
        <w:t>“电子交易平台”是指本项目交易活动所依托的</w:t>
      </w:r>
      <w:r>
        <w:rPr>
          <w:rFonts w:hint="eastAsia" w:ascii="宋体" w:hAnsi="宋体" w:eastAsia="宋体" w:cs="宋体"/>
          <w:color w:val="auto"/>
          <w:sz w:val="24"/>
          <w:highlight w:val="none"/>
        </w:rPr>
        <w:t>乐采云平台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w:t>
      </w:r>
    </w:p>
    <w:p>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.1响应人</w:t>
      </w:r>
      <w:r>
        <w:rPr>
          <w:rFonts w:hint="eastAsia" w:ascii="宋体" w:hAnsi="宋体" w:eastAsia="宋体" w:cs="宋体"/>
          <w:color w:val="auto"/>
          <w:kern w:val="0"/>
          <w:sz w:val="24"/>
          <w:highlight w:val="none"/>
          <w:lang w:val="zh-CN" w:eastAsia="zh-CN"/>
        </w:rPr>
        <w:t>异议</w:t>
      </w:r>
    </w:p>
    <w:p>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活动事项有疑问的，可以提出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.2响应人</w:t>
      </w:r>
      <w:r>
        <w:rPr>
          <w:rFonts w:hint="eastAsia" w:ascii="宋体" w:hAnsi="宋体" w:eastAsia="宋体" w:cs="宋体"/>
          <w:color w:val="auto"/>
          <w:kern w:val="0"/>
          <w:sz w:val="24"/>
          <w:highlight w:val="none"/>
          <w:lang w:val="zh-CN" w:eastAsia="zh-CN"/>
        </w:rPr>
        <w:t>异议</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应当是参与所质</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已依法获取其可</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的，可以对该文件提出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过程和</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使自己的权益受到损害的，可以在知道或者应知其权益受到损害之日起</w:t>
      </w:r>
      <w:r>
        <w:rPr>
          <w:rFonts w:hint="eastAsia" w:ascii="宋体" w:hAnsi="宋体" w:eastAsia="宋体" w:cs="宋体"/>
          <w:color w:val="auto"/>
          <w:sz w:val="24"/>
          <w:highlight w:val="none"/>
          <w:lang w:val="en-US" w:eastAsia="zh-CN"/>
        </w:rPr>
        <w:t>3日内</w:t>
      </w:r>
      <w:r>
        <w:rPr>
          <w:rFonts w:hint="eastAsia" w:ascii="宋体" w:hAnsi="宋体" w:eastAsia="宋体" w:cs="宋体"/>
          <w:color w:val="auto"/>
          <w:sz w:val="24"/>
          <w:highlight w:val="none"/>
        </w:rPr>
        <w:t>，以书面形式向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，否则，</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不予受理：</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过程提出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期限为各</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程序环节结束之日起计算。对同一</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须一次性提出。</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函应当包括下列内容：</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.2.3.1响应人的姓名或者名称、地址、邮编、联系人及联系电话；</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.2.3.2</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项目的名称、编号；</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.2.3.3具体、明确的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事项和与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事项相关的请求；</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.2.3.4事实依据；</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.2.3.6提出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的日期。</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提交的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函需一式三份。</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为自然人的，应当由本人签字；</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为法人或者其他组织的，应当由法定代表人、主要负责人，或者其授权代表签字或者盖章，并加盖公章。</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函范本及制作说明详见附件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.2.4</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或者</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应当在收到</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的书面</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后</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日内作出答复，并以书面形式通知</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和其他与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处理结果有利害关系的</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当事人，但答复的内容不得涉及商业秘密。</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.2.5询问或者</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事项可能影响</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结果的，</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应当暂停签订合同，已经签订合同的，应当中止履行合同。</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.3响应人投诉</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.3.1</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对</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的答复不满意或者</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未在规定的时间内作出答复的，可以在答复期满后</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日内向</w:t>
      </w:r>
      <w:r>
        <w:rPr>
          <w:rFonts w:hint="eastAsia" w:ascii="宋体" w:hAnsi="宋体" w:eastAsia="宋体" w:cs="宋体"/>
          <w:color w:val="auto"/>
          <w:kern w:val="0"/>
          <w:sz w:val="24"/>
          <w:highlight w:val="none"/>
          <w:lang w:val="zh-CN" w:eastAsia="zh-CN"/>
        </w:rPr>
        <w:t>基层</w:t>
      </w:r>
      <w:r>
        <w:rPr>
          <w:rFonts w:hint="eastAsia" w:ascii="宋体" w:hAnsi="宋体" w:eastAsia="宋体" w:cs="宋体"/>
          <w:color w:val="auto"/>
          <w:kern w:val="0"/>
          <w:sz w:val="24"/>
          <w:highlight w:val="none"/>
          <w:lang w:val="zh-CN"/>
        </w:rPr>
        <w:t>监督</w:t>
      </w:r>
      <w:r>
        <w:rPr>
          <w:rFonts w:hint="eastAsia" w:ascii="宋体" w:hAnsi="宋体" w:eastAsia="宋体" w:cs="宋体"/>
          <w:color w:val="auto"/>
          <w:kern w:val="0"/>
          <w:sz w:val="24"/>
          <w:highlight w:val="none"/>
          <w:lang w:val="zh-CN" w:eastAsia="zh-CN"/>
        </w:rPr>
        <w:t>机构</w:t>
      </w:r>
      <w:r>
        <w:rPr>
          <w:rFonts w:hint="eastAsia" w:ascii="宋体" w:hAnsi="宋体" w:eastAsia="宋体" w:cs="宋体"/>
          <w:color w:val="auto"/>
          <w:kern w:val="0"/>
          <w:sz w:val="24"/>
          <w:highlight w:val="none"/>
          <w:lang w:val="zh-CN"/>
        </w:rPr>
        <w:t>部门提出投诉。</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.3.2</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投诉的事项不得超出已</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事项的范围，基于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答复内容提出的投诉事项除外。</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投诉应当有明确的请求和必要的证明材料。</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以联合体形式参加</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活动的，其投诉应当由组成联合体的所有</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共同提出。</w:t>
      </w:r>
    </w:p>
    <w:p>
      <w:pPr>
        <w:pStyle w:val="34"/>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w:t>
      </w:r>
    </w:p>
    <w:p>
      <w:pPr>
        <w:pStyle w:val="138"/>
        <w:keepNext w:val="0"/>
        <w:keepLines w:val="0"/>
        <w:pageBreakBefore w:val="0"/>
        <w:kinsoku/>
        <w:wordWrap/>
        <w:overflowPunct/>
        <w:topLinePunct w:val="0"/>
        <w:bidi w:val="0"/>
        <w:snapToGrid w:val="0"/>
        <w:spacing w:before="0" w:line="460" w:lineRule="exact"/>
        <w:ind w:firstLine="360"/>
        <w:textAlignment w:val="auto"/>
        <w:rPr>
          <w:rFonts w:hint="eastAsia" w:ascii="宋体" w:hAnsi="宋体" w:eastAsia="宋体" w:cs="宋体"/>
          <w:color w:val="auto"/>
          <w:sz w:val="18"/>
          <w:szCs w:val="18"/>
          <w:highlight w:val="none"/>
        </w:rPr>
      </w:pP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公开竞争文件</w:t>
      </w:r>
      <w:r>
        <w:rPr>
          <w:rFonts w:hint="eastAsia" w:ascii="宋体" w:hAnsi="宋体" w:eastAsia="宋体" w:cs="宋体"/>
          <w:b/>
          <w:color w:val="auto"/>
          <w:sz w:val="32"/>
          <w:szCs w:val="20"/>
          <w:highlight w:val="none"/>
        </w:rPr>
        <w:t>的构成、澄清、修改</w:t>
      </w:r>
    </w:p>
    <w:p>
      <w:pPr>
        <w:pStyle w:val="34"/>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的构成</w:t>
      </w:r>
    </w:p>
    <w:p>
      <w:pPr>
        <w:pStyle w:val="34"/>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包括下列文件及附件：</w:t>
      </w:r>
    </w:p>
    <w:p>
      <w:pPr>
        <w:pStyle w:val="34"/>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pPr>
        <w:pStyle w:val="34"/>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w:t>
      </w:r>
    </w:p>
    <w:p>
      <w:pPr>
        <w:pStyle w:val="34"/>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pPr>
        <w:pStyle w:val="34"/>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交易办法</w:t>
      </w:r>
      <w:r>
        <w:rPr>
          <w:rFonts w:hint="eastAsia" w:ascii="宋体" w:hAnsi="宋体" w:eastAsia="宋体" w:cs="宋体"/>
          <w:color w:val="auto"/>
          <w:sz w:val="24"/>
          <w:szCs w:val="24"/>
          <w:highlight w:val="none"/>
        </w:rPr>
        <w:t>；</w:t>
      </w:r>
    </w:p>
    <w:p>
      <w:pPr>
        <w:pStyle w:val="34"/>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pPr>
        <w:pStyle w:val="34"/>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公开竞争文件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pPr>
        <w:pStyle w:val="34"/>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的澄清、修改</w:t>
      </w:r>
    </w:p>
    <w:p>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截止时间前，以书面形式向</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提出。</w:t>
      </w:r>
    </w:p>
    <w:p>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的组成部分。</w:t>
      </w: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rPr>
      </w:pP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响应</w:t>
      </w:r>
    </w:p>
    <w:p>
      <w:pPr>
        <w:pStyle w:val="34"/>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的获取</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售价。</w:t>
      </w:r>
    </w:p>
    <w:p>
      <w:pPr>
        <w:pStyle w:val="34"/>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pPr>
        <w:pStyle w:val="34"/>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须知前附表的规定参加现场考察或者开标前答疑会。</w:t>
      </w:r>
    </w:p>
    <w:p>
      <w:pPr>
        <w:pStyle w:val="34"/>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交易保证金</w:t>
      </w:r>
    </w:p>
    <w:p>
      <w:pPr>
        <w:pStyle w:val="2"/>
        <w:keepNext w:val="0"/>
        <w:keepLines w:val="0"/>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交易保证金</w:t>
      </w:r>
      <w:r>
        <w:rPr>
          <w:rFonts w:hint="eastAsia" w:ascii="宋体" w:hAnsi="宋体" w:eastAsia="宋体" w:cs="宋体"/>
          <w:color w:val="auto"/>
          <w:sz w:val="24"/>
          <w:highlight w:val="none"/>
        </w:rPr>
        <w:t>。</w:t>
      </w:r>
    </w:p>
    <w:p>
      <w:pPr>
        <w:pStyle w:val="34"/>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pPr>
        <w:pStyle w:val="34"/>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.1资格文件</w:t>
      </w:r>
      <w:r>
        <w:rPr>
          <w:rFonts w:hint="eastAsia" w:ascii="宋体" w:hAnsi="宋体" w:cs="宋体"/>
          <w:b/>
          <w:bCs/>
          <w:color w:val="auto"/>
          <w:sz w:val="24"/>
          <w:highlight w:val="none"/>
          <w:lang w:eastAsia="zh-CN"/>
        </w:rPr>
        <w:t>：</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.2授权委托书或法定代表人（单位负责人、自然人本人）身份证明；</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.4符合性审查资料；</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响应人廉洁自律承诺书。</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val="en-US" w:eastAsia="zh-CN"/>
        </w:rPr>
        <w:t>。</w:t>
      </w:r>
    </w:p>
    <w:p>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提供虚假材料投标的，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pStyle w:val="138"/>
        <w:keepNext w:val="0"/>
        <w:keepLines w:val="0"/>
        <w:pageBreakBefore w:val="0"/>
        <w:kinsoku/>
        <w:wordWrap/>
        <w:overflowPunct/>
        <w:topLinePunct w:val="0"/>
        <w:bidi w:val="0"/>
        <w:snapToGrid w:val="0"/>
        <w:spacing w:before="0" w:line="460" w:lineRule="exact"/>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.2响应人进行电子投标应安装客户端软件—“</w:t>
      </w:r>
      <w:r>
        <w:rPr>
          <w:rFonts w:hint="eastAsia" w:ascii="宋体" w:hAnsi="宋体" w:cs="宋体"/>
          <w:color w:val="auto"/>
          <w:kern w:val="0"/>
          <w:sz w:val="24"/>
          <w:highlight w:val="none"/>
          <w:lang w:val="en-US" w:eastAsia="zh-CN"/>
        </w:rPr>
        <w:t>乐采</w:t>
      </w:r>
      <w:r>
        <w:rPr>
          <w:rFonts w:hint="eastAsia" w:ascii="宋体" w:hAnsi="宋体" w:eastAsia="宋体" w:cs="宋体"/>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w:t>
      </w:r>
      <w:r>
        <w:rPr>
          <w:rFonts w:hint="eastAsia" w:ascii="宋体" w:hAnsi="宋体" w:cs="宋体"/>
          <w:color w:val="auto"/>
          <w:kern w:val="0"/>
          <w:sz w:val="24"/>
          <w:highlight w:val="none"/>
          <w:lang w:val="en-US" w:eastAsia="zh-CN"/>
        </w:rPr>
        <w:t>乐采</w:t>
      </w:r>
      <w:r>
        <w:rPr>
          <w:rFonts w:hint="eastAsia" w:ascii="宋体" w:hAnsi="宋体" w:eastAsia="宋体" w:cs="宋体"/>
          <w:color w:val="auto"/>
          <w:kern w:val="0"/>
          <w:sz w:val="24"/>
          <w:highlight w:val="none"/>
          <w:lang w:val="zh-CN"/>
        </w:rPr>
        <w:t>云电子交易客户端”需要提前申领CA数字证书，申领流程请自行前往“</w:t>
      </w:r>
      <w:r>
        <w:rPr>
          <w:rFonts w:hint="eastAsia" w:ascii="宋体" w:hAnsi="宋体" w:cs="宋体"/>
          <w:color w:val="auto"/>
          <w:sz w:val="24"/>
          <w:highlight w:val="none"/>
          <w:lang w:val="en-US" w:eastAsia="zh-CN"/>
        </w:rPr>
        <w:t>浙江企业采购信息服务网</w:t>
      </w:r>
      <w:r>
        <w:rPr>
          <w:rFonts w:hint="eastAsia" w:ascii="宋体" w:hAnsi="宋体" w:eastAsia="宋体" w:cs="宋体"/>
          <w:color w:val="auto"/>
          <w:sz w:val="24"/>
          <w:highlight w:val="none"/>
        </w:rPr>
        <w:t>-下载专区-电子交易客户端</w:t>
      </w:r>
      <w:r>
        <w:rPr>
          <w:rFonts w:hint="eastAsia" w:ascii="宋体" w:hAnsi="宋体" w:eastAsia="宋体" w:cs="宋体"/>
          <w:color w:val="auto"/>
          <w:kern w:val="0"/>
          <w:sz w:val="24"/>
          <w:highlight w:val="none"/>
          <w:lang w:val="zh-CN"/>
        </w:rPr>
        <w:t>-CA驱动和申领流程”进行查阅。</w:t>
      </w:r>
    </w:p>
    <w:p>
      <w:pPr>
        <w:keepNext w:val="0"/>
        <w:keepLines w:val="0"/>
        <w:pageBreakBefore w:val="0"/>
        <w:kinsoku/>
        <w:wordWrap/>
        <w:overflowPunct/>
        <w:topLinePunct w:val="0"/>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公开竞争文件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响应人</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交易无效</w:t>
      </w:r>
      <w:r>
        <w:rPr>
          <w:rFonts w:hint="eastAsia" w:ascii="宋体" w:hAnsi="宋体" w:eastAsia="宋体" w:cs="宋体"/>
          <w:color w:val="auto"/>
          <w:szCs w:val="24"/>
          <w:highlight w:val="none"/>
        </w:rPr>
        <w:t>。</w:t>
      </w:r>
    </w:p>
    <w:p>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应当在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截止时间前完成在“</w:t>
      </w:r>
      <w:r>
        <w:rPr>
          <w:rFonts w:hint="eastAsia" w:ascii="宋体" w:hAnsi="宋体" w:cs="宋体"/>
          <w:color w:val="auto"/>
          <w:highlight w:val="none"/>
          <w:lang w:val="en-US" w:eastAsia="zh-CN"/>
        </w:rPr>
        <w:t>乐采</w:t>
      </w:r>
      <w:r>
        <w:rPr>
          <w:rFonts w:hint="eastAsia" w:ascii="宋体" w:hAnsi="宋体" w:eastAsia="宋体" w:cs="宋体"/>
          <w:color w:val="auto"/>
          <w:highlight w:val="none"/>
        </w:rPr>
        <w:t>云平台”的身份认证，确保在电子投标过程中能够对相关数据电文进行加密和使用电子签名。</w:t>
      </w:r>
    </w:p>
    <w:p>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pPr>
        <w:pStyle w:val="138"/>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pPr>
        <w:pStyle w:val="138"/>
        <w:keepNext w:val="0"/>
        <w:keepLines w:val="0"/>
        <w:pageBreakBefore w:val="0"/>
        <w:kinsoku/>
        <w:wordWrap/>
        <w:overflowPunct/>
        <w:topLinePunct w:val="0"/>
        <w:bidi w:val="0"/>
        <w:spacing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应当在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的，应当先行撤回原文件，补充、修改后重新传输递交。投标截止时间前未完成传输的，视为撤回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发出确认回执通知。在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截止时间前，除</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与</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以前在投标截止期方面的全部权利、责任和义务，将适用于延长至新的投标截止期。</w:t>
      </w:r>
    </w:p>
    <w:p>
      <w:pPr>
        <w:pStyle w:val="34"/>
        <w:keepNext w:val="0"/>
        <w:keepLines w:val="0"/>
        <w:pageBreakBefore w:val="0"/>
        <w:numPr>
          <w:ilvl w:val="0"/>
          <w:numId w:val="1"/>
        </w:numPr>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pPr>
        <w:pStyle w:val="34"/>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pPr>
        <w:pStyle w:val="138"/>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pPr>
        <w:pStyle w:val="25"/>
        <w:keepNext w:val="0"/>
        <w:keepLines w:val="0"/>
        <w:pageBreakBefore w:val="0"/>
        <w:kinsoku/>
        <w:wordWrap/>
        <w:overflowPunct/>
        <w:topLinePunct w:val="0"/>
        <w:bidi w:val="0"/>
        <w:spacing w:line="460" w:lineRule="exact"/>
        <w:ind w:left="0" w:leftChars="0"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公开竞争文件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Style w:val="138"/>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交易有效期</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交易有效期</w:t>
      </w:r>
      <w:r>
        <w:rPr>
          <w:rFonts w:hint="eastAsia" w:ascii="宋体" w:hAnsi="宋体" w:eastAsia="宋体" w:cs="宋体"/>
          <w:color w:val="auto"/>
          <w:sz w:val="24"/>
          <w:szCs w:val="20"/>
          <w:highlight w:val="none"/>
        </w:rPr>
        <w:t>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响应人</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少于</w:t>
      </w:r>
      <w:r>
        <w:rPr>
          <w:rFonts w:hint="eastAsia" w:ascii="宋体" w:hAnsi="宋体" w:eastAsia="宋体" w:cs="宋体"/>
          <w:b/>
          <w:color w:val="auto"/>
          <w:sz w:val="24"/>
          <w:szCs w:val="21"/>
          <w:highlight w:val="none"/>
          <w:lang w:eastAsia="zh-CN"/>
        </w:rPr>
        <w:t>公开竞争文件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eastAsia="zh-CN"/>
        </w:rPr>
        <w:t>交易无效</w:t>
      </w:r>
      <w:r>
        <w:rPr>
          <w:rFonts w:hint="eastAsia" w:ascii="宋体" w:hAnsi="宋体" w:eastAsia="宋体" w:cs="宋体"/>
          <w:b/>
          <w:color w:val="auto"/>
          <w:sz w:val="24"/>
          <w:szCs w:val="21"/>
          <w:highlight w:val="none"/>
        </w:rPr>
        <w:t>。</w:t>
      </w:r>
    </w:p>
    <w:p>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合格投递后，自投标截止日期起，在</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内有效。</w:t>
      </w:r>
    </w:p>
    <w:p>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满之前，如果出现特殊情况，</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可以以书面形式通知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pPr>
        <w:pStyle w:val="138"/>
        <w:keepNext w:val="0"/>
        <w:keepLines w:val="0"/>
        <w:pageBreakBefore w:val="0"/>
        <w:kinsoku/>
        <w:wordWrap/>
        <w:overflowPunct/>
        <w:topLinePunct w:val="0"/>
        <w:bidi w:val="0"/>
        <w:spacing w:before="0" w:line="460" w:lineRule="exact"/>
        <w:ind w:firstLine="643"/>
        <w:textAlignment w:val="auto"/>
        <w:rPr>
          <w:rFonts w:hint="eastAsia" w:ascii="宋体" w:hAnsi="宋体" w:eastAsia="宋体" w:cs="宋体"/>
          <w:b/>
          <w:color w:val="auto"/>
          <w:sz w:val="32"/>
          <w:highlight w:val="none"/>
        </w:rPr>
      </w:pPr>
    </w:p>
    <w:p>
      <w:pPr>
        <w:pStyle w:val="138"/>
        <w:keepNext w:val="0"/>
        <w:keepLines w:val="0"/>
        <w:pageBreakBefore w:val="0"/>
        <w:kinsoku/>
        <w:wordWrap/>
        <w:overflowPunct/>
        <w:topLinePunct w:val="0"/>
        <w:bidi w:val="0"/>
        <w:spacing w:before="0" w:line="460" w:lineRule="exact"/>
        <w:ind w:left="0" w:leftChars="0" w:firstLine="0" w:firstLine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、资格审查</w:t>
      </w:r>
    </w:p>
    <w:p>
      <w:pPr>
        <w:pStyle w:val="563"/>
        <w:keepNext w:val="0"/>
        <w:keepLines w:val="0"/>
        <w:pageBreakBefore w:val="0"/>
        <w:kinsoku/>
        <w:wordWrap/>
        <w:overflowPunct/>
        <w:topLinePunct w:val="0"/>
        <w:bidi w:val="0"/>
        <w:spacing w:before="0" w:line="460" w:lineRule="exact"/>
        <w:ind w:left="0" w:leftChars="0" w:firstLine="0" w:firstLineChars="0"/>
        <w:contextualSpacing/>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17.交易 </w:t>
      </w:r>
    </w:p>
    <w:p>
      <w:pPr>
        <w:pStyle w:val="563"/>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规定的时间通过电子交易平台组织开标，所有</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均</w:t>
      </w:r>
      <w:r>
        <w:rPr>
          <w:rFonts w:hint="eastAsia" w:ascii="宋体" w:hAnsi="宋体" w:eastAsia="宋体" w:cs="宋体"/>
          <w:b w:val="0"/>
          <w:bCs w:val="0"/>
          <w:color w:val="auto"/>
          <w:sz w:val="24"/>
          <w:highlight w:val="none"/>
        </w:rPr>
        <w:t>应当准时在线参加。</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不足3家的，不得开标。</w:t>
      </w:r>
    </w:p>
    <w:p>
      <w:pPr>
        <w:pStyle w:val="563"/>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交易</w:t>
      </w:r>
      <w:r>
        <w:rPr>
          <w:rFonts w:hint="eastAsia" w:ascii="宋体" w:hAnsi="宋体" w:eastAsia="宋体" w:cs="宋体"/>
          <w:b w:val="0"/>
          <w:bCs w:val="0"/>
          <w:color w:val="auto"/>
          <w:sz w:val="24"/>
          <w:highlight w:val="none"/>
        </w:rPr>
        <w:t>时，电子交易平台按</w:t>
      </w:r>
      <w:r>
        <w:rPr>
          <w:rFonts w:hint="eastAsia" w:ascii="宋体" w:hAnsi="宋体" w:eastAsia="宋体" w:cs="宋体"/>
          <w:b w:val="0"/>
          <w:bCs w:val="0"/>
          <w:color w:val="auto"/>
          <w:sz w:val="24"/>
          <w:highlight w:val="none"/>
          <w:lang w:eastAsia="zh-CN"/>
        </w:rPr>
        <w:t>交易时间</w:t>
      </w:r>
      <w:r>
        <w:rPr>
          <w:rFonts w:hint="eastAsia" w:ascii="宋体" w:hAnsi="宋体" w:eastAsia="宋体" w:cs="宋体"/>
          <w:b w:val="0"/>
          <w:bCs w:val="0"/>
          <w:color w:val="auto"/>
          <w:sz w:val="24"/>
          <w:highlight w:val="none"/>
        </w:rPr>
        <w:t>自动提取所有</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代理机构</w:t>
      </w:r>
      <w:r>
        <w:rPr>
          <w:rFonts w:hint="eastAsia" w:ascii="宋体" w:hAnsi="宋体" w:eastAsia="宋体" w:cs="宋体"/>
          <w:b w:val="0"/>
          <w:bCs w:val="0"/>
          <w:color w:val="auto"/>
          <w:sz w:val="24"/>
          <w:highlight w:val="none"/>
        </w:rPr>
        <w:t>依托电子交易平台发起开始解密指令，</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按照平台提示和</w:t>
      </w:r>
      <w:r>
        <w:rPr>
          <w:rFonts w:hint="eastAsia" w:ascii="宋体" w:hAnsi="宋体" w:eastAsia="宋体" w:cs="宋体"/>
          <w:b w:val="0"/>
          <w:bCs w:val="0"/>
          <w:color w:val="auto"/>
          <w:sz w:val="24"/>
          <w:highlight w:val="none"/>
          <w:lang w:eastAsia="zh-CN"/>
        </w:rPr>
        <w:t>公开竞争文件</w:t>
      </w:r>
      <w:r>
        <w:rPr>
          <w:rFonts w:hint="eastAsia" w:ascii="宋体" w:hAnsi="宋体" w:eastAsia="宋体" w:cs="宋体"/>
          <w:b w:val="0"/>
          <w:bCs w:val="0"/>
          <w:color w:val="auto"/>
          <w:sz w:val="24"/>
          <w:highlight w:val="none"/>
        </w:rPr>
        <w:t>的规定在半小时内完成在线解密。</w:t>
      </w:r>
    </w:p>
    <w:p>
      <w:pPr>
        <w:pStyle w:val="563"/>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未按时解密，视为</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撤回。</w:t>
      </w:r>
    </w:p>
    <w:p>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w:t>
      </w: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lang w:eastAsia="zh-CN"/>
        </w:rPr>
        <w:t>、资格审查</w:t>
      </w:r>
    </w:p>
    <w:p>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交易发起人</w:t>
      </w:r>
      <w:r>
        <w:rPr>
          <w:rFonts w:hint="eastAsia" w:ascii="宋体" w:hAnsi="宋体" w:eastAsia="宋体" w:cs="宋体"/>
          <w:color w:val="auto"/>
          <w:kern w:val="0"/>
          <w:szCs w:val="24"/>
          <w:highlight w:val="none"/>
        </w:rPr>
        <w:t>或</w:t>
      </w:r>
      <w:r>
        <w:rPr>
          <w:rFonts w:hint="eastAsia" w:ascii="宋体" w:hAnsi="宋体" w:eastAsia="宋体" w:cs="宋体"/>
          <w:color w:val="auto"/>
          <w:kern w:val="0"/>
          <w:szCs w:val="24"/>
          <w:highlight w:val="none"/>
          <w:lang w:eastAsia="zh-CN"/>
        </w:rPr>
        <w:t>代理机构</w:t>
      </w:r>
      <w:r>
        <w:rPr>
          <w:rFonts w:hint="eastAsia" w:ascii="宋体" w:hAnsi="宋体" w:eastAsia="宋体" w:cs="宋体"/>
          <w:color w:val="auto"/>
          <w:kern w:val="0"/>
          <w:szCs w:val="24"/>
          <w:highlight w:val="none"/>
        </w:rPr>
        <w:t>将依法对</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的资格进行审查。</w:t>
      </w:r>
    </w:p>
    <w:p>
      <w:pPr>
        <w:keepNext w:val="0"/>
        <w:keepLines w:val="0"/>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依据法律法规和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的基本资格条件、特定资格条件进行审查。</w:t>
      </w:r>
    </w:p>
    <w:p>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公开竞争文件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交易无效</w:t>
      </w:r>
      <w:r>
        <w:rPr>
          <w:rFonts w:hint="eastAsia" w:ascii="宋体" w:hAnsi="宋体" w:eastAsia="宋体" w:cs="宋体"/>
          <w:color w:val="auto"/>
          <w:highlight w:val="none"/>
        </w:rPr>
        <w:t>。</w:t>
      </w:r>
    </w:p>
    <w:p>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告知其未通过的原因。</w:t>
      </w:r>
    </w:p>
    <w:p>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不足3家的，不再评标。</w:t>
      </w:r>
    </w:p>
    <w:p>
      <w:pPr>
        <w:pStyle w:val="138"/>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color w:val="auto"/>
          <w:kern w:val="0"/>
          <w:szCs w:val="24"/>
          <w:highlight w:val="none"/>
        </w:rPr>
      </w:pPr>
    </w:p>
    <w:p>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pPr>
        <w:keepNext w:val="0"/>
        <w:keepLines w:val="0"/>
        <w:pageBreakBefore w:val="0"/>
        <w:kinsoku/>
        <w:wordWrap/>
        <w:overflowPunct/>
        <w:topLinePunct w:val="0"/>
        <w:bidi w:val="0"/>
        <w:spacing w:line="460" w:lineRule="exact"/>
        <w:textAlignment w:val="auto"/>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评审委员会</w:t>
      </w:r>
      <w:r>
        <w:rPr>
          <w:rFonts w:hint="eastAsia" w:ascii="宋体" w:hAnsi="宋体" w:eastAsia="宋体" w:cs="宋体"/>
          <w:color w:val="auto"/>
          <w:sz w:val="24"/>
          <w:highlight w:val="none"/>
        </w:rPr>
        <w:t>将根据</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的先后顺序，并按顺序提出授标建议。</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w:t>
      </w:r>
      <w:r>
        <w:rPr>
          <w:rFonts w:hint="eastAsia" w:ascii="宋体" w:hAnsi="宋体" w:eastAsia="宋体" w:cs="宋体"/>
          <w:b/>
          <w:color w:val="auto"/>
          <w:highlight w:val="none"/>
          <w:lang w:eastAsia="zh-CN"/>
        </w:rPr>
        <w:t>成交响应人</w:t>
      </w:r>
    </w:p>
    <w:p>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eastAsia="zh-CN"/>
        </w:rPr>
        <w:t>成交候选人</w:t>
      </w:r>
      <w:r>
        <w:rPr>
          <w:rFonts w:hint="eastAsia" w:ascii="宋体" w:hAnsi="宋体" w:eastAsia="宋体" w:cs="宋体"/>
          <w:color w:val="auto"/>
          <w:szCs w:val="24"/>
          <w:highlight w:val="none"/>
        </w:rPr>
        <w:t>中按顺序确定</w:t>
      </w:r>
      <w:r>
        <w:rPr>
          <w:rFonts w:hint="eastAsia" w:ascii="宋体" w:hAnsi="宋体" w:eastAsia="宋体" w:cs="宋体"/>
          <w:color w:val="auto"/>
          <w:szCs w:val="24"/>
          <w:highlight w:val="none"/>
          <w:lang w:eastAsia="zh-CN"/>
        </w:rPr>
        <w:t>成交响应人</w:t>
      </w:r>
      <w:r>
        <w:rPr>
          <w:rFonts w:hint="eastAsia" w:ascii="宋体" w:hAnsi="宋体" w:eastAsia="宋体" w:cs="宋体"/>
          <w:color w:val="auto"/>
          <w:szCs w:val="24"/>
          <w:highlight w:val="none"/>
        </w:rPr>
        <w:t>。</w:t>
      </w:r>
    </w:p>
    <w:p>
      <w:pPr>
        <w:pStyle w:val="138"/>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成交通知</w:t>
      </w:r>
      <w:r>
        <w:rPr>
          <w:rFonts w:hint="eastAsia" w:ascii="宋体" w:hAnsi="宋体" w:eastAsia="宋体" w:cs="宋体"/>
          <w:b/>
          <w:color w:val="auto"/>
          <w:szCs w:val="24"/>
          <w:highlight w:val="none"/>
        </w:rPr>
        <w:t>与</w:t>
      </w:r>
      <w:r>
        <w:rPr>
          <w:rFonts w:hint="eastAsia" w:ascii="宋体" w:hAnsi="宋体" w:eastAsia="宋体" w:cs="宋体"/>
          <w:b/>
          <w:color w:val="auto"/>
          <w:szCs w:val="24"/>
          <w:highlight w:val="none"/>
          <w:lang w:eastAsia="zh-CN"/>
        </w:rPr>
        <w:t>成交结果</w:t>
      </w:r>
      <w:r>
        <w:rPr>
          <w:rFonts w:hint="eastAsia" w:ascii="宋体" w:hAnsi="宋体" w:eastAsia="宋体" w:cs="宋体"/>
          <w:b/>
          <w:color w:val="auto"/>
          <w:szCs w:val="24"/>
          <w:highlight w:val="none"/>
        </w:rPr>
        <w:t>公告</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确定之日起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通过电子交易平台向</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书，同时编制发布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也可以以纸质形式进行</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公告内容包括</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及其委托的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的名称、地址、联系方式，项目名称和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名称、地址和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金额。</w:t>
      </w: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成交通知</w:t>
      </w:r>
      <w:r>
        <w:rPr>
          <w:rFonts w:hint="eastAsia" w:ascii="宋体" w:hAnsi="宋体" w:eastAsia="宋体" w:cs="宋体"/>
          <w:color w:val="auto"/>
          <w:kern w:val="0"/>
          <w:sz w:val="24"/>
          <w:highlight w:val="none"/>
        </w:rPr>
        <w:t>书发出之日起三十日内，按照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确定的事项签订</w:t>
      </w:r>
      <w:r>
        <w:rPr>
          <w:rFonts w:hint="eastAsia" w:ascii="宋体" w:hAnsi="宋体" w:eastAsia="宋体" w:cs="宋体"/>
          <w:color w:val="auto"/>
          <w:kern w:val="0"/>
          <w:sz w:val="24"/>
          <w:highlight w:val="none"/>
          <w:lang w:eastAsia="zh-CN"/>
        </w:rPr>
        <w:t>书面</w:t>
      </w:r>
      <w:r>
        <w:rPr>
          <w:rFonts w:hint="eastAsia" w:ascii="宋体" w:hAnsi="宋体" w:eastAsia="宋体" w:cs="宋体"/>
          <w:color w:val="auto"/>
          <w:kern w:val="0"/>
          <w:sz w:val="24"/>
          <w:highlight w:val="none"/>
        </w:rPr>
        <w:t>合同。</w:t>
      </w:r>
    </w:p>
    <w:p>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无故拒绝或延期，除按照合同条款处理外，列入不良行为记录一次，并给予通报。</w:t>
      </w:r>
    </w:p>
    <w:p>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拒绝与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可以按照评审报告推荐的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，也可以重新开展</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138"/>
        <w:keepNext w:val="0"/>
        <w:keepLines w:val="0"/>
        <w:pageBreakBefore w:val="0"/>
        <w:kinsoku/>
        <w:wordWrap/>
        <w:overflowPunct/>
        <w:topLinePunct w:val="0"/>
        <w:bidi w:val="0"/>
        <w:snapToGrid w:val="0"/>
        <w:spacing w:before="0" w:after="12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合同由</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等内容签订</w:t>
      </w:r>
      <w:r>
        <w:rPr>
          <w:rFonts w:hint="eastAsia" w:ascii="宋体" w:hAnsi="宋体" w:eastAsia="宋体" w:cs="宋体"/>
          <w:color w:val="auto"/>
          <w:highlight w:val="none"/>
          <w:lang w:eastAsia="zh-CN"/>
        </w:rPr>
        <w:t>合同</w:t>
      </w:r>
      <w:r>
        <w:rPr>
          <w:rFonts w:hint="eastAsia" w:ascii="宋体" w:hAnsi="宋体" w:eastAsia="宋体" w:cs="宋体"/>
          <w:color w:val="auto"/>
          <w:highlight w:val="none"/>
        </w:rPr>
        <w:t>。</w:t>
      </w:r>
    </w:p>
    <w:p>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r>
        <w:rPr>
          <w:rFonts w:hint="eastAsia" w:ascii="宋体" w:hAnsi="宋体" w:eastAsia="宋体" w:cs="宋体"/>
          <w:b/>
          <w:color w:val="auto"/>
          <w:highlight w:val="none"/>
          <w:lang w:eastAsia="zh-CN"/>
        </w:rPr>
        <w:t>：</w:t>
      </w:r>
      <w:r>
        <w:rPr>
          <w:rFonts w:hint="eastAsia" w:cs="宋体"/>
          <w:b w:val="0"/>
          <w:bCs/>
          <w:color w:val="auto"/>
          <w:highlight w:val="none"/>
          <w:lang w:val="en-US" w:eastAsia="zh-CN"/>
        </w:rPr>
        <w:t>详见前附表</w:t>
      </w:r>
      <w:r>
        <w:rPr>
          <w:rFonts w:hint="eastAsia" w:ascii="宋体" w:hAnsi="宋体" w:eastAsia="宋体" w:cs="宋体"/>
          <w:b w:val="0"/>
          <w:bCs/>
          <w:color w:val="auto"/>
          <w:sz w:val="24"/>
          <w:highlight w:val="none"/>
        </w:rPr>
        <w:t>。</w:t>
      </w:r>
    </w:p>
    <w:p>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32"/>
          <w:highlight w:val="none"/>
        </w:rPr>
      </w:pPr>
    </w:p>
    <w:p>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8"/>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b w:val="0"/>
          <w:bCs/>
          <w:color w:val="auto"/>
          <w:szCs w:val="24"/>
          <w:highlight w:val="none"/>
          <w:lang w:eastAsia="zh-CN"/>
        </w:rPr>
        <w:t>交易</w:t>
      </w:r>
      <w:r>
        <w:rPr>
          <w:rFonts w:hint="eastAsia" w:ascii="宋体" w:hAnsi="宋体" w:eastAsia="宋体" w:cs="宋体"/>
          <w:color w:val="auto"/>
          <w:highlight w:val="none"/>
        </w:rPr>
        <w:t>过程中出现以下情形，导致电子交易平台无法正常运行，或者无法保证电子交易的公平、公正和安全时，</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可中止电子交易活动：</w:t>
      </w:r>
    </w:p>
    <w:p>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pPr>
        <w:pStyle w:val="138"/>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可以待上述情形消除后继续组织电子交易活动，也可以决定某些环节以纸质形式进行；影响或可能影响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公平、公正性的，应当重新</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w:t>
      </w: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5"/>
        <w:keepNext w:val="0"/>
        <w:keepLines w:val="0"/>
        <w:pageBreakBefore w:val="0"/>
        <w:kinsoku/>
        <w:wordWrap/>
        <w:overflowPunct/>
        <w:topLinePunct w:val="0"/>
        <w:bidi w:val="0"/>
        <w:spacing w:line="46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p>
    <w:p>
      <w:pPr>
        <w:keepNext w:val="0"/>
        <w:keepLines w:val="0"/>
        <w:pageBreakBefore w:val="0"/>
        <w:tabs>
          <w:tab w:val="left" w:pos="0"/>
        </w:tabs>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应当组织对</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numPr>
          <w:ilvl w:val="0"/>
          <w:numId w:val="0"/>
        </w:numPr>
        <w:spacing w:line="360" w:lineRule="auto"/>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一、</w:t>
      </w:r>
      <w:r>
        <w:rPr>
          <w:rFonts w:hint="eastAsia" w:ascii="宋体" w:hAnsi="宋体" w:eastAsia="宋体" w:cs="宋体"/>
          <w:b/>
          <w:color w:val="auto"/>
          <w:sz w:val="28"/>
          <w:szCs w:val="28"/>
          <w:highlight w:val="none"/>
          <w:lang w:eastAsia="zh-CN"/>
        </w:rPr>
        <w:t>交易一览表</w:t>
      </w:r>
    </w:p>
    <w:tbl>
      <w:tblPr>
        <w:tblStyle w:val="64"/>
        <w:tblW w:w="9017" w:type="dxa"/>
        <w:jc w:val="center"/>
        <w:tblLayout w:type="fixed"/>
        <w:tblCellMar>
          <w:top w:w="0" w:type="dxa"/>
          <w:left w:w="0" w:type="dxa"/>
          <w:bottom w:w="0" w:type="dxa"/>
          <w:right w:w="0" w:type="dxa"/>
        </w:tblCellMar>
      </w:tblPr>
      <w:tblGrid>
        <w:gridCol w:w="935"/>
        <w:gridCol w:w="3721"/>
        <w:gridCol w:w="1950"/>
        <w:gridCol w:w="803"/>
        <w:gridCol w:w="803"/>
        <w:gridCol w:w="805"/>
      </w:tblGrid>
      <w:tr>
        <w:tblPrEx>
          <w:tblCellMar>
            <w:top w:w="0" w:type="dxa"/>
            <w:left w:w="0" w:type="dxa"/>
            <w:bottom w:w="0" w:type="dxa"/>
            <w:right w:w="0" w:type="dxa"/>
          </w:tblCellMar>
        </w:tblPrEx>
        <w:trPr>
          <w:cantSplit/>
          <w:trHeight w:val="778" w:hRule="atLeast"/>
          <w:jc w:val="center"/>
        </w:trPr>
        <w:tc>
          <w:tcPr>
            <w:tcW w:w="9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序号</w:t>
            </w:r>
          </w:p>
        </w:tc>
        <w:tc>
          <w:tcPr>
            <w:tcW w:w="37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8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805" w:type="dxa"/>
            <w:tcBorders>
              <w:top w:val="single" w:color="auto" w:sz="4" w:space="0"/>
              <w:left w:val="nil"/>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备注</w:t>
            </w:r>
          </w:p>
        </w:tc>
      </w:tr>
      <w:tr>
        <w:tblPrEx>
          <w:tblCellMar>
            <w:top w:w="0" w:type="dxa"/>
            <w:left w:w="0" w:type="dxa"/>
            <w:bottom w:w="0" w:type="dxa"/>
            <w:right w:w="0" w:type="dxa"/>
          </w:tblCellMar>
        </w:tblPrEx>
        <w:trPr>
          <w:cantSplit/>
          <w:trHeight w:val="812" w:hRule="atLeast"/>
          <w:jc w:val="center"/>
        </w:trPr>
        <w:tc>
          <w:tcPr>
            <w:tcW w:w="9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7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金融纠纷人民调解服务采购项目</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8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8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年</w:t>
            </w:r>
          </w:p>
        </w:tc>
        <w:tc>
          <w:tcPr>
            <w:tcW w:w="805" w:type="dxa"/>
            <w:tcBorders>
              <w:top w:val="single" w:color="auto" w:sz="4" w:space="0"/>
              <w:left w:val="nil"/>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p>
        </w:tc>
      </w:tr>
    </w:tbl>
    <w:p>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pPr>
        <w:numPr>
          <w:ilvl w:val="0"/>
          <w:numId w:val="0"/>
        </w:numPr>
        <w:spacing w:line="360" w:lineRule="auto"/>
        <w:ind w:left="0" w:leftChars="0" w:firstLine="0" w:firstLineChars="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二、交易</w:t>
      </w:r>
      <w:r>
        <w:rPr>
          <w:rFonts w:hint="eastAsia" w:ascii="宋体" w:hAnsi="宋体" w:eastAsia="宋体" w:cs="宋体"/>
          <w:b/>
          <w:color w:val="auto"/>
          <w:sz w:val="28"/>
          <w:szCs w:val="28"/>
          <w:highlight w:val="none"/>
          <w:lang w:eastAsia="zh-CN"/>
        </w:rPr>
        <w:t>需求</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b/>
          <w:bCs/>
          <w:sz w:val="24"/>
          <w:szCs w:val="24"/>
          <w:lang w:eastAsia="zh-CN"/>
        </w:rPr>
      </w:pPr>
      <w:r>
        <w:rPr>
          <w:rFonts w:hint="eastAsia"/>
          <w:b/>
          <w:bCs/>
          <w:sz w:val="24"/>
          <w:szCs w:val="24"/>
        </w:rPr>
        <w:t>一、</w:t>
      </w:r>
      <w:r>
        <w:rPr>
          <w:rFonts w:hint="eastAsia"/>
          <w:b/>
          <w:bCs/>
          <w:sz w:val="24"/>
          <w:szCs w:val="24"/>
          <w:lang w:val="en-US" w:eastAsia="zh-CN"/>
        </w:rPr>
        <w:t>技术需求</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1、成立机构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调解委员会包括服务外包单位安排的人民调解员、银行法律顾问等。要求外包单位做好调解员委会设立及运行，包括但不限于：外包单位安排的负责人为资深调解专家，最好是获得过金牌调解员等调解方面的荣誉，在调解协会或委员会内担任职务，参与过重大调解项目；外包单位从事调解工作2年以上，可提供2名及以上固定人员驻矛调中心，可协助建立建成一支不少于10人的调解员队伍。</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2、机制建设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有能力建立完善的纠纷调解制度，制定规范、公平的纠纷调解程序；建立与人民法院诉调对接工作机制，建立诉调对接工作平台，制定工作对接制度。</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3、业务能力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有能力开展业务研讨、课题研究、统一法律适用观点、适时发布典型案例，推进金融纠纷多元化解理论研究。</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4、宣传推广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sz w:val="24"/>
          <w:szCs w:val="24"/>
        </w:rPr>
      </w:pPr>
      <w:r>
        <w:rPr>
          <w:rFonts w:hint="eastAsia"/>
          <w:sz w:val="24"/>
          <w:szCs w:val="24"/>
          <w:lang w:val="en-US" w:eastAsia="zh-CN"/>
        </w:rPr>
        <w:t>有能力有资源开展宣传和培训，推进多元化解机制优势，提高全社会，尤其是金融机构对协商、调解金融纠纷的接受程度。</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b/>
          <w:bCs/>
          <w:sz w:val="24"/>
          <w:szCs w:val="24"/>
          <w:lang w:eastAsia="zh-CN"/>
        </w:rPr>
      </w:pPr>
      <w:r>
        <w:rPr>
          <w:rFonts w:hint="eastAsia"/>
          <w:b/>
          <w:bCs/>
          <w:sz w:val="24"/>
          <w:szCs w:val="24"/>
          <w:lang w:val="en-US" w:eastAsia="zh-CN"/>
        </w:rPr>
        <w:t>二</w:t>
      </w:r>
      <w:r>
        <w:rPr>
          <w:rFonts w:hint="eastAsia"/>
          <w:b/>
          <w:bCs/>
          <w:sz w:val="24"/>
          <w:szCs w:val="24"/>
        </w:rPr>
        <w:t>、</w:t>
      </w:r>
      <w:r>
        <w:rPr>
          <w:rFonts w:hint="eastAsia"/>
          <w:b/>
          <w:bCs/>
          <w:sz w:val="24"/>
          <w:szCs w:val="24"/>
          <w:lang w:val="en-US" w:eastAsia="zh-CN"/>
        </w:rPr>
        <w:t>商务需求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eastAsia="宋体"/>
          <w:sz w:val="24"/>
          <w:szCs w:val="24"/>
          <w:lang w:eastAsia="zh-CN"/>
        </w:rPr>
      </w:pPr>
      <w:r>
        <w:rPr>
          <w:rFonts w:hint="eastAsia"/>
          <w:sz w:val="24"/>
          <w:szCs w:val="24"/>
        </w:rPr>
        <w:t>1、合同期限：1年</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sz w:val="24"/>
          <w:szCs w:val="24"/>
        </w:rPr>
      </w:pPr>
      <w:r>
        <w:rPr>
          <w:rFonts w:hint="eastAsia"/>
          <w:sz w:val="24"/>
          <w:szCs w:val="24"/>
        </w:rPr>
        <w:t>2、付款要求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sz w:val="24"/>
          <w:szCs w:val="24"/>
        </w:rPr>
      </w:pPr>
      <w:r>
        <w:rPr>
          <w:rFonts w:hint="eastAsia"/>
          <w:sz w:val="24"/>
          <w:szCs w:val="24"/>
        </w:rPr>
        <w:t>项目签约后15天内下拨项目经费的80%用于项目实施，项目通过终期考核后支付剩余20%的项目经费。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sz w:val="24"/>
          <w:szCs w:val="24"/>
        </w:rPr>
      </w:pPr>
      <w:r>
        <w:rPr>
          <w:rFonts w:hint="eastAsia"/>
          <w:sz w:val="24"/>
          <w:szCs w:val="24"/>
        </w:rPr>
        <w:t>考核标准为调解委员会建立情况，包括：</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sz w:val="24"/>
          <w:szCs w:val="24"/>
        </w:rPr>
      </w:pPr>
      <w:r>
        <w:rPr>
          <w:rFonts w:hint="eastAsia"/>
          <w:sz w:val="24"/>
          <w:szCs w:val="24"/>
        </w:rPr>
        <w:t>1.人民调解委员会制度建立健全，调解符合金融监管部门要求，能够良好运行；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sz w:val="24"/>
          <w:szCs w:val="24"/>
        </w:rPr>
      </w:pPr>
      <w:r>
        <w:rPr>
          <w:rFonts w:hint="eastAsia"/>
          <w:sz w:val="24"/>
          <w:szCs w:val="24"/>
        </w:rPr>
        <w:t>2.有</w:t>
      </w:r>
      <w:r>
        <w:rPr>
          <w:rFonts w:hint="eastAsia"/>
          <w:sz w:val="24"/>
          <w:szCs w:val="24"/>
          <w:lang w:val="en-US" w:eastAsia="zh-CN"/>
        </w:rPr>
        <w:t>至少</w:t>
      </w:r>
      <w:r>
        <w:rPr>
          <w:rFonts w:hint="eastAsia"/>
          <w:sz w:val="24"/>
          <w:szCs w:val="24"/>
        </w:rPr>
        <w:t>2名专职人员按照采购单位要求按指定时间，在指定地点开展调解工作；组建3人以上的专职调解员队伍，其中女性不少于1名。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sz w:val="24"/>
          <w:szCs w:val="24"/>
        </w:rPr>
      </w:pPr>
      <w:r>
        <w:rPr>
          <w:rFonts w:hint="eastAsia"/>
          <w:sz w:val="24"/>
          <w:szCs w:val="24"/>
        </w:rPr>
        <w:t>3.所有进入调解系统的案件全部进入调解程序，不断提高调解率，有完整且明确的调解流程及制度，档案管理制度，宣传制度。积极配合做好省市考核工作。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sz w:val="24"/>
          <w:szCs w:val="24"/>
        </w:rPr>
      </w:pPr>
      <w:r>
        <w:rPr>
          <w:rFonts w:hint="eastAsia"/>
          <w:sz w:val="24"/>
          <w:szCs w:val="24"/>
        </w:rPr>
        <w:t>4.梳理相关调解纠纷案例，按季向相关部门汇报调解委员会的运行情况,形成年度分析报告一份；编制调解成功的经典案例集</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sz w:val="24"/>
          <w:szCs w:val="24"/>
        </w:rPr>
      </w:pPr>
      <w:r>
        <w:rPr>
          <w:rFonts w:hint="eastAsia"/>
          <w:sz w:val="24"/>
          <w:szCs w:val="24"/>
        </w:rPr>
        <w:t>注</w:t>
      </w:r>
      <w:r>
        <w:rPr>
          <w:rFonts w:hint="eastAsia"/>
          <w:sz w:val="24"/>
          <w:szCs w:val="24"/>
          <w:lang w:eastAsia="zh-CN"/>
        </w:rPr>
        <w:t>：</w:t>
      </w:r>
      <w:r>
        <w:rPr>
          <w:rFonts w:hint="eastAsia"/>
          <w:sz w:val="24"/>
          <w:szCs w:val="24"/>
        </w:rPr>
        <w:t>交易文件中打▲内容为实质性要求，不允许有负偏离，否则将以涉及无效响应条款作无效响应。</w:t>
      </w:r>
    </w:p>
    <w:p>
      <w:pPr>
        <w:rPr>
          <w:rFonts w:hint="eastAsia" w:ascii="宋体" w:hAnsi="宋体" w:eastAsia="宋体" w:cs="宋体"/>
          <w:b/>
          <w:color w:val="auto"/>
          <w:sz w:val="36"/>
          <w:szCs w:val="36"/>
          <w:highlight w:val="none"/>
        </w:rPr>
        <w:sectPr>
          <w:footerReference r:id="rId8" w:type="first"/>
          <w:footerReference r:id="rId7"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2"/>
          <w:cols w:space="720" w:num="1"/>
          <w:docGrid w:linePitch="312" w:charSpace="0"/>
        </w:sectPr>
      </w:pPr>
      <w:r>
        <w:rPr>
          <w:rFonts w:hint="eastAsia" w:ascii="宋体" w:hAnsi="宋体" w:eastAsia="宋体" w:cs="宋体"/>
          <w:b/>
          <w:color w:val="auto"/>
          <w:sz w:val="36"/>
          <w:szCs w:val="36"/>
          <w:highlight w:val="none"/>
        </w:rPr>
        <w:br w:type="page"/>
      </w:r>
    </w:p>
    <w:p>
      <w:pPr>
        <w:pStyle w:val="63"/>
        <w:rPr>
          <w:rFonts w:hint="eastAsia"/>
          <w:color w:val="auto"/>
          <w:highlight w:val="none"/>
        </w:rPr>
      </w:pP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第四部分   </w:t>
      </w:r>
      <w:bookmarkStart w:id="16" w:name="_Toc184308105"/>
      <w:bookmarkEnd w:id="16"/>
      <w:bookmarkStart w:id="17" w:name="_Toc184308108"/>
      <w:bookmarkEnd w:id="17"/>
      <w:bookmarkStart w:id="18" w:name="_Toc184308053"/>
      <w:bookmarkEnd w:id="18"/>
      <w:bookmarkStart w:id="19" w:name="_Toc184308040"/>
      <w:bookmarkEnd w:id="19"/>
      <w:bookmarkStart w:id="20" w:name="_Toc184312094"/>
      <w:bookmarkEnd w:id="20"/>
      <w:bookmarkStart w:id="21" w:name="_Toc184314455"/>
      <w:bookmarkEnd w:id="21"/>
      <w:bookmarkStart w:id="22" w:name="_Toc184314426"/>
      <w:bookmarkEnd w:id="22"/>
      <w:bookmarkStart w:id="23" w:name="_Toc184313310"/>
      <w:bookmarkEnd w:id="23"/>
      <w:bookmarkStart w:id="24" w:name="_Toc184310342"/>
      <w:bookmarkEnd w:id="24"/>
      <w:bookmarkStart w:id="25" w:name="_Toc184312134"/>
      <w:bookmarkEnd w:id="25"/>
      <w:bookmarkStart w:id="26" w:name="_Toc184312106"/>
      <w:bookmarkEnd w:id="26"/>
      <w:bookmarkStart w:id="27" w:name="_Toc184313250"/>
      <w:bookmarkEnd w:id="27"/>
      <w:bookmarkStart w:id="28" w:name="_Toc184310339"/>
      <w:bookmarkEnd w:id="28"/>
      <w:bookmarkStart w:id="29" w:name="_Toc184310326"/>
      <w:bookmarkEnd w:id="29"/>
      <w:bookmarkStart w:id="30" w:name="_Toc184314475"/>
      <w:bookmarkEnd w:id="30"/>
      <w:bookmarkStart w:id="31" w:name="_Toc184310324"/>
      <w:bookmarkEnd w:id="31"/>
      <w:bookmarkStart w:id="32" w:name="_Toc184308102"/>
      <w:bookmarkEnd w:id="32"/>
      <w:bookmarkStart w:id="33" w:name="_Toc184310308"/>
      <w:bookmarkEnd w:id="33"/>
      <w:bookmarkStart w:id="34" w:name="_Toc184314442"/>
      <w:bookmarkEnd w:id="34"/>
      <w:bookmarkStart w:id="35" w:name="_Toc184314482"/>
      <w:bookmarkEnd w:id="35"/>
      <w:bookmarkStart w:id="36" w:name="_Toc184308093"/>
      <w:bookmarkEnd w:id="36"/>
      <w:bookmarkStart w:id="37" w:name="_Toc184313292"/>
      <w:bookmarkEnd w:id="37"/>
      <w:bookmarkStart w:id="38" w:name="_Toc184310325"/>
      <w:bookmarkEnd w:id="38"/>
      <w:bookmarkStart w:id="39" w:name="_Toc184312120"/>
      <w:bookmarkEnd w:id="39"/>
      <w:bookmarkStart w:id="40" w:name="_Toc184314428"/>
      <w:bookmarkEnd w:id="40"/>
      <w:bookmarkStart w:id="41" w:name="_Toc184308098"/>
      <w:bookmarkEnd w:id="41"/>
      <w:bookmarkStart w:id="42" w:name="_Toc184310343"/>
      <w:bookmarkEnd w:id="42"/>
      <w:bookmarkStart w:id="43" w:name="_Toc184308097"/>
      <w:bookmarkEnd w:id="43"/>
      <w:bookmarkStart w:id="44" w:name="_Toc184314473"/>
      <w:bookmarkEnd w:id="44"/>
      <w:bookmarkStart w:id="45" w:name="_Toc184314469"/>
      <w:bookmarkEnd w:id="45"/>
      <w:bookmarkStart w:id="46" w:name="_Toc184313286"/>
      <w:bookmarkEnd w:id="46"/>
      <w:bookmarkStart w:id="47" w:name="_Toc184314457"/>
      <w:bookmarkEnd w:id="47"/>
      <w:bookmarkStart w:id="48" w:name="_Toc184313251"/>
      <w:bookmarkEnd w:id="48"/>
      <w:bookmarkStart w:id="49" w:name="_Toc184314421"/>
      <w:bookmarkEnd w:id="49"/>
      <w:bookmarkStart w:id="50" w:name="_Toc184308045"/>
      <w:bookmarkEnd w:id="50"/>
      <w:bookmarkStart w:id="51" w:name="_Toc184313284"/>
      <w:bookmarkEnd w:id="51"/>
      <w:bookmarkStart w:id="52" w:name="_Toc184312098"/>
      <w:bookmarkEnd w:id="52"/>
      <w:bookmarkStart w:id="53" w:name="_Toc184313278"/>
      <w:bookmarkEnd w:id="53"/>
      <w:bookmarkStart w:id="54" w:name="_Toc184308044"/>
      <w:bookmarkEnd w:id="54"/>
      <w:bookmarkStart w:id="55" w:name="_Toc184310304"/>
      <w:bookmarkEnd w:id="55"/>
      <w:bookmarkStart w:id="56" w:name="_Toc184308049"/>
      <w:bookmarkEnd w:id="56"/>
      <w:bookmarkStart w:id="57" w:name="_Toc184312130"/>
      <w:bookmarkEnd w:id="57"/>
      <w:bookmarkStart w:id="58" w:name="_Toc184310273"/>
      <w:bookmarkEnd w:id="58"/>
      <w:bookmarkStart w:id="59" w:name="_Toc184314463"/>
      <w:bookmarkEnd w:id="59"/>
      <w:bookmarkStart w:id="60" w:name="_Toc184312104"/>
      <w:bookmarkEnd w:id="60"/>
      <w:bookmarkStart w:id="61" w:name="_Toc184313304"/>
      <w:bookmarkEnd w:id="61"/>
      <w:bookmarkStart w:id="62" w:name="_Toc184308103"/>
      <w:bookmarkEnd w:id="62"/>
      <w:bookmarkStart w:id="63" w:name="_Toc184314432"/>
      <w:bookmarkEnd w:id="63"/>
      <w:bookmarkStart w:id="64" w:name="_Toc184313261"/>
      <w:bookmarkEnd w:id="64"/>
      <w:bookmarkStart w:id="65" w:name="_Toc184313239"/>
      <w:bookmarkEnd w:id="65"/>
      <w:bookmarkStart w:id="66" w:name="_Toc184308077"/>
      <w:bookmarkEnd w:id="66"/>
      <w:bookmarkStart w:id="67" w:name="_Toc184313287"/>
      <w:bookmarkEnd w:id="67"/>
      <w:bookmarkStart w:id="68" w:name="_Toc184310332"/>
      <w:bookmarkEnd w:id="68"/>
      <w:bookmarkStart w:id="69" w:name="_Toc184312079"/>
      <w:bookmarkEnd w:id="69"/>
      <w:bookmarkStart w:id="70" w:name="_Toc184308073"/>
      <w:bookmarkEnd w:id="70"/>
      <w:bookmarkStart w:id="71" w:name="_Toc184308058"/>
      <w:bookmarkEnd w:id="71"/>
      <w:bookmarkStart w:id="72" w:name="_Toc184312086"/>
      <w:bookmarkEnd w:id="72"/>
      <w:bookmarkStart w:id="73" w:name="_Toc184310300"/>
      <w:bookmarkEnd w:id="73"/>
      <w:bookmarkStart w:id="74" w:name="_Toc184312133"/>
      <w:bookmarkEnd w:id="74"/>
      <w:bookmarkStart w:id="75" w:name="_Toc184313283"/>
      <w:bookmarkEnd w:id="75"/>
      <w:bookmarkStart w:id="76" w:name="_Toc184313269"/>
      <w:bookmarkEnd w:id="76"/>
      <w:bookmarkStart w:id="77" w:name="_Toc184308099"/>
      <w:bookmarkEnd w:id="77"/>
      <w:bookmarkStart w:id="78" w:name="_Toc184308043"/>
      <w:bookmarkEnd w:id="78"/>
      <w:bookmarkStart w:id="79" w:name="_Toc184312083"/>
      <w:bookmarkEnd w:id="79"/>
      <w:bookmarkStart w:id="80" w:name="_Toc184308082"/>
      <w:bookmarkEnd w:id="80"/>
      <w:bookmarkStart w:id="81" w:name="_Toc184314476"/>
      <w:bookmarkEnd w:id="81"/>
      <w:bookmarkStart w:id="82" w:name="_Toc184310344"/>
      <w:bookmarkEnd w:id="82"/>
      <w:bookmarkStart w:id="83" w:name="_Toc184310338"/>
      <w:bookmarkEnd w:id="83"/>
      <w:bookmarkStart w:id="84" w:name="_Toc184308048"/>
      <w:bookmarkEnd w:id="84"/>
      <w:bookmarkStart w:id="85" w:name="_Toc184313276"/>
      <w:bookmarkEnd w:id="85"/>
      <w:bookmarkStart w:id="86" w:name="_Toc184313308"/>
      <w:bookmarkEnd w:id="86"/>
      <w:bookmarkStart w:id="87" w:name="_Toc184312109"/>
      <w:bookmarkEnd w:id="87"/>
      <w:bookmarkStart w:id="88" w:name="_Toc184312073"/>
      <w:bookmarkEnd w:id="88"/>
      <w:bookmarkStart w:id="89" w:name="_Toc184314462"/>
      <w:bookmarkEnd w:id="89"/>
      <w:bookmarkStart w:id="90" w:name="_Toc184312118"/>
      <w:bookmarkEnd w:id="90"/>
      <w:bookmarkStart w:id="91" w:name="_Toc184308037"/>
      <w:bookmarkEnd w:id="91"/>
      <w:bookmarkStart w:id="92" w:name="_Toc184308101"/>
      <w:bookmarkEnd w:id="92"/>
      <w:bookmarkStart w:id="93" w:name="_Toc184312076"/>
      <w:bookmarkEnd w:id="93"/>
      <w:bookmarkStart w:id="94" w:name="_Toc184314427"/>
      <w:bookmarkEnd w:id="94"/>
      <w:bookmarkStart w:id="95" w:name="_Toc184310293"/>
      <w:bookmarkEnd w:id="95"/>
      <w:bookmarkStart w:id="96" w:name="_Toc184313257"/>
      <w:bookmarkEnd w:id="96"/>
      <w:bookmarkStart w:id="97" w:name="_Toc184313242"/>
      <w:bookmarkEnd w:id="97"/>
      <w:bookmarkStart w:id="98" w:name="_Toc184312138"/>
      <w:bookmarkEnd w:id="98"/>
      <w:bookmarkStart w:id="99" w:name="_Toc184313263"/>
      <w:bookmarkEnd w:id="99"/>
      <w:bookmarkStart w:id="100" w:name="_Toc184314474"/>
      <w:bookmarkEnd w:id="100"/>
      <w:bookmarkStart w:id="101" w:name="_Toc184308036"/>
      <w:bookmarkEnd w:id="101"/>
      <w:bookmarkStart w:id="102" w:name="_Toc184308104"/>
      <w:bookmarkEnd w:id="102"/>
      <w:bookmarkStart w:id="103" w:name="_Toc184314434"/>
      <w:bookmarkEnd w:id="103"/>
      <w:bookmarkStart w:id="104" w:name="_Toc184308074"/>
      <w:bookmarkEnd w:id="104"/>
      <w:bookmarkStart w:id="105" w:name="_Toc184310292"/>
      <w:bookmarkEnd w:id="105"/>
      <w:bookmarkStart w:id="106" w:name="_Toc184312114"/>
      <w:bookmarkEnd w:id="106"/>
      <w:bookmarkStart w:id="107" w:name="_Toc184310289"/>
      <w:bookmarkEnd w:id="107"/>
      <w:bookmarkStart w:id="108" w:name="_Toc184310341"/>
      <w:bookmarkEnd w:id="108"/>
      <w:bookmarkStart w:id="109" w:name="_Toc184313309"/>
      <w:bookmarkEnd w:id="109"/>
      <w:bookmarkStart w:id="110" w:name="_Toc184308065"/>
      <w:bookmarkEnd w:id="110"/>
      <w:bookmarkStart w:id="111" w:name="_Toc184310279"/>
      <w:bookmarkEnd w:id="111"/>
      <w:bookmarkStart w:id="112" w:name="_Toc184308069"/>
      <w:bookmarkEnd w:id="112"/>
      <w:bookmarkStart w:id="113" w:name="_Toc184312087"/>
      <w:bookmarkEnd w:id="113"/>
      <w:bookmarkStart w:id="114" w:name="_Toc184310312"/>
      <w:bookmarkEnd w:id="114"/>
      <w:bookmarkStart w:id="115" w:name="_Toc184313258"/>
      <w:bookmarkEnd w:id="115"/>
      <w:bookmarkStart w:id="116" w:name="_Toc184310323"/>
      <w:bookmarkEnd w:id="116"/>
      <w:bookmarkStart w:id="117" w:name="_Toc184310286"/>
      <w:bookmarkEnd w:id="117"/>
      <w:bookmarkStart w:id="118" w:name="_Toc184312122"/>
      <w:bookmarkEnd w:id="118"/>
      <w:bookmarkStart w:id="119" w:name="_Toc184314445"/>
      <w:bookmarkEnd w:id="119"/>
      <w:bookmarkStart w:id="120" w:name="_Toc184312129"/>
      <w:bookmarkEnd w:id="120"/>
      <w:bookmarkStart w:id="121" w:name="_Toc184314447"/>
      <w:bookmarkEnd w:id="121"/>
      <w:bookmarkStart w:id="122" w:name="_Toc184308070"/>
      <w:bookmarkEnd w:id="122"/>
      <w:bookmarkStart w:id="123" w:name="_Toc184313277"/>
      <w:bookmarkEnd w:id="123"/>
      <w:bookmarkStart w:id="124" w:name="_Toc184312069"/>
      <w:bookmarkEnd w:id="124"/>
      <w:bookmarkStart w:id="125" w:name="_Toc184308066"/>
      <w:bookmarkEnd w:id="125"/>
      <w:bookmarkStart w:id="126" w:name="_Toc184310315"/>
      <w:bookmarkEnd w:id="126"/>
      <w:bookmarkStart w:id="127" w:name="_Toc184308050"/>
      <w:bookmarkEnd w:id="127"/>
      <w:bookmarkStart w:id="128" w:name="_Toc184308051"/>
      <w:bookmarkEnd w:id="128"/>
      <w:bookmarkStart w:id="129" w:name="_Toc184313270"/>
      <w:bookmarkEnd w:id="129"/>
      <w:bookmarkStart w:id="130" w:name="_Toc184310317"/>
      <w:bookmarkEnd w:id="130"/>
      <w:bookmarkStart w:id="131" w:name="_Toc184313255"/>
      <w:bookmarkEnd w:id="131"/>
      <w:bookmarkStart w:id="132" w:name="_Toc184313248"/>
      <w:bookmarkEnd w:id="132"/>
      <w:bookmarkStart w:id="133" w:name="_Toc184308087"/>
      <w:bookmarkEnd w:id="133"/>
      <w:bookmarkStart w:id="134" w:name="_Toc184308054"/>
      <w:bookmarkEnd w:id="134"/>
      <w:bookmarkStart w:id="135" w:name="_Toc184308081"/>
      <w:bookmarkEnd w:id="135"/>
      <w:bookmarkStart w:id="136" w:name="_Toc184314440"/>
      <w:bookmarkEnd w:id="136"/>
      <w:bookmarkStart w:id="137" w:name="_Toc184310322"/>
      <w:bookmarkEnd w:id="137"/>
      <w:bookmarkStart w:id="138" w:name="_Toc184312096"/>
      <w:bookmarkEnd w:id="138"/>
      <w:bookmarkStart w:id="139" w:name="_Toc184313238"/>
      <w:bookmarkEnd w:id="139"/>
      <w:bookmarkStart w:id="140" w:name="_Toc184312115"/>
      <w:bookmarkEnd w:id="140"/>
      <w:bookmarkStart w:id="141" w:name="_Toc184313271"/>
      <w:bookmarkEnd w:id="141"/>
      <w:bookmarkStart w:id="142" w:name="_Toc184308079"/>
      <w:bookmarkEnd w:id="142"/>
      <w:bookmarkStart w:id="143" w:name="_Toc184308055"/>
      <w:bookmarkEnd w:id="143"/>
      <w:bookmarkStart w:id="144" w:name="_Toc184314449"/>
      <w:bookmarkEnd w:id="144"/>
      <w:bookmarkStart w:id="145" w:name="_Toc184314465"/>
      <w:bookmarkEnd w:id="145"/>
      <w:bookmarkStart w:id="146" w:name="_Toc184314436"/>
      <w:bookmarkEnd w:id="146"/>
      <w:bookmarkStart w:id="147" w:name="_Toc184312132"/>
      <w:bookmarkEnd w:id="147"/>
      <w:bookmarkStart w:id="148" w:name="_Toc184308067"/>
      <w:bookmarkEnd w:id="148"/>
      <w:bookmarkStart w:id="149" w:name="_Toc184312071"/>
      <w:bookmarkEnd w:id="149"/>
      <w:bookmarkStart w:id="150" w:name="_Toc184308085"/>
      <w:bookmarkEnd w:id="150"/>
      <w:bookmarkStart w:id="151" w:name="_Toc184308038"/>
      <w:bookmarkEnd w:id="151"/>
      <w:bookmarkStart w:id="152" w:name="_Toc184308056"/>
      <w:bookmarkEnd w:id="152"/>
      <w:bookmarkStart w:id="153" w:name="_Toc184312136"/>
      <w:bookmarkEnd w:id="153"/>
      <w:bookmarkStart w:id="154" w:name="_Toc184310335"/>
      <w:bookmarkEnd w:id="154"/>
      <w:bookmarkStart w:id="155" w:name="_Toc184308086"/>
      <w:bookmarkEnd w:id="155"/>
      <w:bookmarkStart w:id="156" w:name="_Toc184314425"/>
      <w:bookmarkEnd w:id="156"/>
      <w:bookmarkStart w:id="157" w:name="_Toc184310299"/>
      <w:bookmarkEnd w:id="157"/>
      <w:bookmarkStart w:id="158" w:name="_Toc184313297"/>
      <w:bookmarkEnd w:id="158"/>
      <w:bookmarkStart w:id="159" w:name="_Toc184313307"/>
      <w:bookmarkEnd w:id="159"/>
      <w:bookmarkStart w:id="160" w:name="_Toc184310336"/>
      <w:bookmarkEnd w:id="160"/>
      <w:bookmarkStart w:id="161" w:name="_Toc184312139"/>
      <w:bookmarkEnd w:id="161"/>
      <w:bookmarkStart w:id="162" w:name="_Toc184310319"/>
      <w:bookmarkEnd w:id="162"/>
      <w:bookmarkStart w:id="163" w:name="_Toc184314420"/>
      <w:bookmarkEnd w:id="163"/>
      <w:bookmarkStart w:id="164" w:name="_Toc184312099"/>
      <w:bookmarkEnd w:id="164"/>
      <w:bookmarkStart w:id="165" w:name="_Toc184308057"/>
      <w:bookmarkEnd w:id="165"/>
      <w:bookmarkStart w:id="166" w:name="_Toc184312067"/>
      <w:bookmarkEnd w:id="166"/>
      <w:bookmarkStart w:id="167" w:name="_Toc184314418"/>
      <w:bookmarkEnd w:id="167"/>
      <w:bookmarkStart w:id="168" w:name="_Toc184312089"/>
      <w:bookmarkEnd w:id="168"/>
      <w:bookmarkStart w:id="169" w:name="_Toc184314471"/>
      <w:bookmarkEnd w:id="169"/>
      <w:bookmarkStart w:id="170" w:name="_Toc184310301"/>
      <w:bookmarkEnd w:id="170"/>
      <w:bookmarkStart w:id="171" w:name="_Toc184310306"/>
      <w:bookmarkEnd w:id="171"/>
      <w:bookmarkStart w:id="172" w:name="_Toc184310310"/>
      <w:bookmarkEnd w:id="172"/>
      <w:bookmarkStart w:id="173" w:name="_Toc184313301"/>
      <w:bookmarkEnd w:id="173"/>
      <w:bookmarkStart w:id="174" w:name="_Toc184312097"/>
      <w:bookmarkEnd w:id="174"/>
      <w:bookmarkStart w:id="175" w:name="_Toc184314419"/>
      <w:bookmarkEnd w:id="175"/>
      <w:bookmarkStart w:id="176" w:name="_Toc184312102"/>
      <w:bookmarkEnd w:id="176"/>
      <w:bookmarkStart w:id="177" w:name="_Toc184314466"/>
      <w:bookmarkEnd w:id="177"/>
      <w:bookmarkStart w:id="178" w:name="_Toc184308064"/>
      <w:bookmarkEnd w:id="178"/>
      <w:bookmarkStart w:id="179" w:name="_Toc184308076"/>
      <w:bookmarkEnd w:id="179"/>
      <w:bookmarkStart w:id="180" w:name="_Toc184312081"/>
      <w:bookmarkEnd w:id="180"/>
      <w:bookmarkStart w:id="181" w:name="_Toc184313265"/>
      <w:bookmarkEnd w:id="181"/>
      <w:bookmarkStart w:id="182" w:name="_Toc184312095"/>
      <w:bookmarkEnd w:id="182"/>
      <w:bookmarkStart w:id="183" w:name="_Toc184310277"/>
      <w:bookmarkEnd w:id="183"/>
      <w:bookmarkStart w:id="184" w:name="_Toc184314416"/>
      <w:bookmarkEnd w:id="184"/>
      <w:bookmarkStart w:id="185" w:name="_Toc184312091"/>
      <w:bookmarkEnd w:id="185"/>
      <w:bookmarkStart w:id="186" w:name="_Toc184312072"/>
      <w:bookmarkEnd w:id="186"/>
      <w:bookmarkStart w:id="187" w:name="_Toc184314437"/>
      <w:bookmarkEnd w:id="187"/>
      <w:bookmarkStart w:id="188" w:name="_Toc184310337"/>
      <w:bookmarkEnd w:id="188"/>
      <w:bookmarkStart w:id="189" w:name="_Toc184313298"/>
      <w:bookmarkEnd w:id="189"/>
      <w:bookmarkStart w:id="190" w:name="_Toc184313280"/>
      <w:bookmarkEnd w:id="190"/>
      <w:bookmarkStart w:id="191" w:name="_Toc184310311"/>
      <w:bookmarkEnd w:id="191"/>
      <w:bookmarkStart w:id="192" w:name="_Toc184314456"/>
      <w:bookmarkEnd w:id="192"/>
      <w:bookmarkStart w:id="193" w:name="_Toc184313246"/>
      <w:bookmarkEnd w:id="193"/>
      <w:bookmarkStart w:id="194" w:name="_Toc184312092"/>
      <w:bookmarkEnd w:id="194"/>
      <w:bookmarkStart w:id="195" w:name="_Toc184312090"/>
      <w:bookmarkEnd w:id="195"/>
      <w:bookmarkStart w:id="196" w:name="_Toc184312131"/>
      <w:bookmarkEnd w:id="196"/>
      <w:bookmarkStart w:id="197" w:name="_Toc184314433"/>
      <w:bookmarkEnd w:id="197"/>
      <w:bookmarkStart w:id="198" w:name="_Toc184310291"/>
      <w:bookmarkEnd w:id="198"/>
      <w:bookmarkStart w:id="199" w:name="_Toc184310297"/>
      <w:bookmarkEnd w:id="199"/>
      <w:bookmarkStart w:id="200" w:name="_Toc184314450"/>
      <w:bookmarkEnd w:id="200"/>
      <w:bookmarkStart w:id="201" w:name="_Toc184310329"/>
      <w:bookmarkEnd w:id="201"/>
      <w:bookmarkStart w:id="202" w:name="_Toc184313300"/>
      <w:bookmarkEnd w:id="202"/>
      <w:bookmarkStart w:id="203" w:name="_Toc184312124"/>
      <w:bookmarkEnd w:id="203"/>
      <w:bookmarkStart w:id="204" w:name="_Toc184313306"/>
      <w:bookmarkEnd w:id="204"/>
      <w:bookmarkStart w:id="205" w:name="_Toc184313281"/>
      <w:bookmarkEnd w:id="205"/>
      <w:bookmarkStart w:id="206" w:name="_Toc184308092"/>
      <w:bookmarkEnd w:id="206"/>
      <w:bookmarkStart w:id="207" w:name="_Toc184312107"/>
      <w:bookmarkEnd w:id="207"/>
      <w:bookmarkStart w:id="208" w:name="_Toc184312126"/>
      <w:bookmarkEnd w:id="208"/>
      <w:bookmarkStart w:id="209" w:name="_Toc184314477"/>
      <w:bookmarkEnd w:id="209"/>
      <w:bookmarkStart w:id="210" w:name="_Toc184314438"/>
      <w:bookmarkEnd w:id="210"/>
      <w:bookmarkStart w:id="211" w:name="_Toc184313288"/>
      <w:bookmarkEnd w:id="211"/>
      <w:bookmarkStart w:id="212" w:name="_Toc184314459"/>
      <w:bookmarkEnd w:id="212"/>
      <w:bookmarkStart w:id="213" w:name="_Toc184313293"/>
      <w:bookmarkEnd w:id="213"/>
      <w:bookmarkStart w:id="214" w:name="_Toc184314412"/>
      <w:bookmarkEnd w:id="214"/>
      <w:bookmarkStart w:id="215" w:name="_Toc184310296"/>
      <w:bookmarkEnd w:id="215"/>
      <w:bookmarkStart w:id="216" w:name="_Toc184314468"/>
      <w:bookmarkEnd w:id="216"/>
      <w:bookmarkStart w:id="217" w:name="_Toc184308063"/>
      <w:bookmarkEnd w:id="217"/>
      <w:bookmarkStart w:id="218" w:name="_Toc184312111"/>
      <w:bookmarkEnd w:id="218"/>
      <w:bookmarkStart w:id="219" w:name="_Toc184313260"/>
      <w:bookmarkEnd w:id="219"/>
      <w:bookmarkStart w:id="220" w:name="_Toc184314464"/>
      <w:bookmarkEnd w:id="220"/>
      <w:bookmarkStart w:id="221" w:name="_Toc184310307"/>
      <w:bookmarkEnd w:id="221"/>
      <w:bookmarkStart w:id="222" w:name="_Toc184310303"/>
      <w:bookmarkEnd w:id="222"/>
      <w:bookmarkStart w:id="223" w:name="_Toc184308090"/>
      <w:bookmarkEnd w:id="223"/>
      <w:bookmarkStart w:id="224" w:name="_Toc184310309"/>
      <w:bookmarkEnd w:id="224"/>
      <w:bookmarkStart w:id="225" w:name="_Toc184308088"/>
      <w:bookmarkEnd w:id="225"/>
      <w:bookmarkStart w:id="226" w:name="_Toc184313290"/>
      <w:bookmarkEnd w:id="226"/>
      <w:bookmarkStart w:id="227" w:name="_Toc184313275"/>
      <w:bookmarkEnd w:id="227"/>
      <w:bookmarkStart w:id="228" w:name="_Toc184310281"/>
      <w:bookmarkEnd w:id="228"/>
      <w:bookmarkStart w:id="229" w:name="_Toc184308100"/>
      <w:bookmarkEnd w:id="229"/>
      <w:bookmarkStart w:id="230" w:name="_Toc184314453"/>
      <w:bookmarkEnd w:id="230"/>
      <w:bookmarkStart w:id="231" w:name="_Toc184314472"/>
      <w:bookmarkEnd w:id="231"/>
      <w:bookmarkStart w:id="232" w:name="_Toc184310298"/>
      <w:bookmarkEnd w:id="232"/>
      <w:bookmarkStart w:id="233" w:name="_Toc184314424"/>
      <w:bookmarkEnd w:id="233"/>
      <w:bookmarkStart w:id="234" w:name="_Toc184310284"/>
      <w:bookmarkEnd w:id="234"/>
      <w:bookmarkStart w:id="235" w:name="_Toc184313253"/>
      <w:bookmarkEnd w:id="235"/>
      <w:bookmarkStart w:id="236" w:name="_Toc184312074"/>
      <w:bookmarkEnd w:id="236"/>
      <w:bookmarkStart w:id="237" w:name="_Toc184310295"/>
      <w:bookmarkEnd w:id="237"/>
      <w:bookmarkStart w:id="238" w:name="_Toc184313294"/>
      <w:bookmarkEnd w:id="238"/>
      <w:bookmarkStart w:id="239" w:name="_Toc184310327"/>
      <w:bookmarkEnd w:id="239"/>
      <w:bookmarkStart w:id="240" w:name="_Toc184308052"/>
      <w:bookmarkEnd w:id="240"/>
      <w:bookmarkStart w:id="241" w:name="_Toc184313303"/>
      <w:bookmarkEnd w:id="241"/>
      <w:bookmarkStart w:id="242" w:name="_Toc184310283"/>
      <w:bookmarkEnd w:id="242"/>
      <w:bookmarkStart w:id="243" w:name="_Toc184310280"/>
      <w:bookmarkEnd w:id="243"/>
      <w:bookmarkStart w:id="244" w:name="_Toc184313267"/>
      <w:bookmarkEnd w:id="244"/>
      <w:bookmarkStart w:id="245" w:name="_Toc184313282"/>
      <w:bookmarkEnd w:id="245"/>
      <w:bookmarkStart w:id="246" w:name="_Toc184313243"/>
      <w:bookmarkEnd w:id="246"/>
      <w:bookmarkStart w:id="247" w:name="_Toc184310276"/>
      <w:bookmarkEnd w:id="247"/>
      <w:bookmarkStart w:id="248" w:name="_Toc184308071"/>
      <w:bookmarkEnd w:id="248"/>
      <w:bookmarkStart w:id="249" w:name="_Toc184312135"/>
      <w:bookmarkEnd w:id="249"/>
      <w:bookmarkStart w:id="250" w:name="_Toc184310333"/>
      <w:bookmarkEnd w:id="250"/>
      <w:bookmarkStart w:id="251" w:name="_Toc184312084"/>
      <w:bookmarkEnd w:id="251"/>
      <w:bookmarkStart w:id="252" w:name="_Toc184313279"/>
      <w:bookmarkEnd w:id="252"/>
      <w:bookmarkStart w:id="253" w:name="_Toc184314435"/>
      <w:bookmarkEnd w:id="253"/>
      <w:bookmarkStart w:id="254" w:name="_Toc184314431"/>
      <w:bookmarkEnd w:id="254"/>
      <w:bookmarkStart w:id="255" w:name="_Toc184314458"/>
      <w:bookmarkEnd w:id="255"/>
      <w:bookmarkStart w:id="256" w:name="_Toc184310320"/>
      <w:bookmarkEnd w:id="256"/>
      <w:bookmarkStart w:id="257" w:name="_Toc184310274"/>
      <w:bookmarkEnd w:id="257"/>
      <w:bookmarkStart w:id="258" w:name="_Toc184314481"/>
      <w:bookmarkEnd w:id="258"/>
      <w:bookmarkStart w:id="259" w:name="_Toc184313272"/>
      <w:bookmarkEnd w:id="259"/>
      <w:bookmarkStart w:id="260" w:name="_Toc184308059"/>
      <w:bookmarkEnd w:id="260"/>
      <w:bookmarkStart w:id="261" w:name="_Toc184310313"/>
      <w:bookmarkEnd w:id="261"/>
      <w:bookmarkStart w:id="262" w:name="_Toc184312112"/>
      <w:bookmarkEnd w:id="262"/>
      <w:bookmarkStart w:id="263" w:name="_Toc184312117"/>
      <w:bookmarkEnd w:id="263"/>
      <w:bookmarkStart w:id="264" w:name="_Toc184314429"/>
      <w:bookmarkEnd w:id="264"/>
      <w:bookmarkStart w:id="265" w:name="_Toc184308107"/>
      <w:bookmarkEnd w:id="265"/>
      <w:bookmarkStart w:id="266" w:name="_Toc184310318"/>
      <w:bookmarkEnd w:id="266"/>
      <w:bookmarkStart w:id="267" w:name="_Toc184308091"/>
      <w:bookmarkEnd w:id="267"/>
      <w:bookmarkStart w:id="268" w:name="_Toc184314467"/>
      <w:bookmarkEnd w:id="268"/>
      <w:bookmarkStart w:id="269" w:name="_Toc184310287"/>
      <w:bookmarkEnd w:id="269"/>
      <w:bookmarkStart w:id="270" w:name="_Toc184313256"/>
      <w:bookmarkEnd w:id="270"/>
      <w:bookmarkStart w:id="271" w:name="_Toc184313245"/>
      <w:bookmarkEnd w:id="271"/>
      <w:bookmarkStart w:id="272" w:name="_Toc184313291"/>
      <w:bookmarkEnd w:id="272"/>
      <w:bookmarkStart w:id="273" w:name="_Toc184313302"/>
      <w:bookmarkEnd w:id="273"/>
      <w:bookmarkStart w:id="274" w:name="_Toc184312080"/>
      <w:bookmarkEnd w:id="274"/>
      <w:bookmarkStart w:id="275" w:name="_Toc184310316"/>
      <w:bookmarkEnd w:id="275"/>
      <w:bookmarkStart w:id="276" w:name="_Toc184310305"/>
      <w:bookmarkEnd w:id="276"/>
      <w:bookmarkStart w:id="277" w:name="_Toc184308083"/>
      <w:bookmarkEnd w:id="277"/>
      <w:bookmarkStart w:id="278" w:name="_Toc184314470"/>
      <w:bookmarkEnd w:id="278"/>
      <w:bookmarkStart w:id="279" w:name="_Toc184310321"/>
      <w:bookmarkEnd w:id="279"/>
      <w:bookmarkStart w:id="280" w:name="_Toc184314479"/>
      <w:bookmarkEnd w:id="280"/>
      <w:bookmarkStart w:id="281" w:name="_Toc184310285"/>
      <w:bookmarkEnd w:id="281"/>
      <w:bookmarkStart w:id="282" w:name="_Toc184310334"/>
      <w:bookmarkEnd w:id="282"/>
      <w:bookmarkStart w:id="283" w:name="_Toc184313240"/>
      <w:bookmarkEnd w:id="283"/>
      <w:bookmarkStart w:id="284" w:name="_Toc184312125"/>
      <w:bookmarkEnd w:id="284"/>
      <w:bookmarkStart w:id="285" w:name="_Toc184310272"/>
      <w:bookmarkEnd w:id="285"/>
      <w:bookmarkStart w:id="286" w:name="_Toc184312123"/>
      <w:bookmarkEnd w:id="286"/>
      <w:bookmarkStart w:id="287" w:name="_Toc184313273"/>
      <w:bookmarkEnd w:id="287"/>
      <w:bookmarkStart w:id="288" w:name="_Toc184314478"/>
      <w:bookmarkEnd w:id="288"/>
      <w:bookmarkStart w:id="289" w:name="_Toc184312137"/>
      <w:bookmarkEnd w:id="289"/>
      <w:bookmarkStart w:id="290" w:name="_Toc184313241"/>
      <w:bookmarkEnd w:id="290"/>
      <w:bookmarkStart w:id="291" w:name="_Toc184308062"/>
      <w:bookmarkEnd w:id="291"/>
      <w:bookmarkStart w:id="292" w:name="_Toc184312088"/>
      <w:bookmarkEnd w:id="292"/>
      <w:bookmarkStart w:id="293" w:name="_Toc184314448"/>
      <w:bookmarkEnd w:id="293"/>
      <w:bookmarkStart w:id="294" w:name="_Toc184314452"/>
      <w:bookmarkEnd w:id="294"/>
      <w:bookmarkStart w:id="295" w:name="_Toc184312093"/>
      <w:bookmarkEnd w:id="295"/>
      <w:bookmarkStart w:id="296" w:name="_Toc184314422"/>
      <w:bookmarkEnd w:id="296"/>
      <w:bookmarkStart w:id="297" w:name="_Toc184312103"/>
      <w:bookmarkEnd w:id="297"/>
      <w:bookmarkStart w:id="298" w:name="_Toc184313247"/>
      <w:bookmarkEnd w:id="298"/>
      <w:bookmarkStart w:id="299" w:name="_Toc184313289"/>
      <w:bookmarkEnd w:id="299"/>
      <w:bookmarkStart w:id="300" w:name="_Toc184314443"/>
      <w:bookmarkEnd w:id="300"/>
      <w:bookmarkStart w:id="301" w:name="_Toc184310275"/>
      <w:bookmarkEnd w:id="301"/>
      <w:bookmarkStart w:id="302" w:name="_Toc184314414"/>
      <w:bookmarkEnd w:id="302"/>
      <w:bookmarkStart w:id="303" w:name="_Toc184313252"/>
      <w:bookmarkEnd w:id="303"/>
      <w:bookmarkStart w:id="304" w:name="_Toc184314417"/>
      <w:bookmarkEnd w:id="304"/>
      <w:bookmarkStart w:id="305" w:name="_Toc184314461"/>
      <w:bookmarkEnd w:id="305"/>
      <w:bookmarkStart w:id="306" w:name="_Toc184308072"/>
      <w:bookmarkEnd w:id="306"/>
      <w:bookmarkStart w:id="307" w:name="_Toc184308039"/>
      <w:bookmarkEnd w:id="307"/>
      <w:bookmarkStart w:id="308" w:name="_Toc184314439"/>
      <w:bookmarkEnd w:id="308"/>
      <w:bookmarkStart w:id="309" w:name="_Toc184312082"/>
      <w:bookmarkEnd w:id="309"/>
      <w:bookmarkStart w:id="310" w:name="_Toc184312085"/>
      <w:bookmarkEnd w:id="310"/>
      <w:bookmarkStart w:id="311" w:name="_Toc184310288"/>
      <w:bookmarkEnd w:id="311"/>
      <w:bookmarkStart w:id="312" w:name="_Toc184314413"/>
      <w:bookmarkEnd w:id="312"/>
      <w:bookmarkStart w:id="313" w:name="_Toc184313295"/>
      <w:bookmarkEnd w:id="313"/>
      <w:bookmarkStart w:id="314" w:name="_Toc184313254"/>
      <w:bookmarkEnd w:id="314"/>
      <w:bookmarkStart w:id="315" w:name="_Toc184310278"/>
      <w:bookmarkEnd w:id="315"/>
      <w:bookmarkStart w:id="316" w:name="_Toc184313266"/>
      <w:bookmarkEnd w:id="316"/>
      <w:bookmarkStart w:id="317" w:name="_Toc184312121"/>
      <w:bookmarkEnd w:id="317"/>
      <w:bookmarkStart w:id="318" w:name="_Toc184308060"/>
      <w:bookmarkEnd w:id="318"/>
      <w:bookmarkStart w:id="319" w:name="_Toc184312127"/>
      <w:bookmarkEnd w:id="319"/>
      <w:bookmarkStart w:id="320" w:name="_Toc184312068"/>
      <w:bookmarkEnd w:id="320"/>
      <w:bookmarkStart w:id="321" w:name="_Toc184308046"/>
      <w:bookmarkEnd w:id="321"/>
      <w:bookmarkStart w:id="322" w:name="_Toc184313268"/>
      <w:bookmarkEnd w:id="322"/>
      <w:bookmarkStart w:id="323" w:name="_Toc184314451"/>
      <w:bookmarkEnd w:id="323"/>
      <w:bookmarkStart w:id="324" w:name="_Toc184312108"/>
      <w:bookmarkEnd w:id="324"/>
      <w:bookmarkStart w:id="325" w:name="_Toc184308095"/>
      <w:bookmarkEnd w:id="325"/>
      <w:bookmarkStart w:id="326" w:name="_Toc184308042"/>
      <w:bookmarkEnd w:id="326"/>
      <w:bookmarkStart w:id="327" w:name="_Toc184312105"/>
      <w:bookmarkEnd w:id="327"/>
      <w:bookmarkStart w:id="328" w:name="_Toc184314423"/>
      <w:bookmarkEnd w:id="328"/>
      <w:bookmarkStart w:id="329" w:name="_Toc184312101"/>
      <w:bookmarkEnd w:id="329"/>
      <w:bookmarkStart w:id="330" w:name="_Toc184312078"/>
      <w:bookmarkEnd w:id="330"/>
      <w:bookmarkStart w:id="331" w:name="_Toc184314480"/>
      <w:bookmarkEnd w:id="331"/>
      <w:bookmarkStart w:id="332" w:name="_Toc184308096"/>
      <w:bookmarkEnd w:id="332"/>
      <w:bookmarkStart w:id="333" w:name="_Toc184308047"/>
      <w:bookmarkEnd w:id="333"/>
      <w:bookmarkStart w:id="334" w:name="_Toc184313305"/>
      <w:bookmarkEnd w:id="334"/>
      <w:bookmarkStart w:id="335" w:name="_Toc184312113"/>
      <w:bookmarkEnd w:id="335"/>
      <w:bookmarkStart w:id="336" w:name="_Toc184313299"/>
      <w:bookmarkEnd w:id="336"/>
      <w:bookmarkStart w:id="337" w:name="_Toc184310282"/>
      <w:bookmarkEnd w:id="337"/>
      <w:bookmarkStart w:id="338" w:name="_Toc184314415"/>
      <w:bookmarkEnd w:id="338"/>
      <w:bookmarkStart w:id="339" w:name="_Toc184313264"/>
      <w:bookmarkEnd w:id="339"/>
      <w:bookmarkStart w:id="340" w:name="_Toc184313262"/>
      <w:bookmarkEnd w:id="340"/>
      <w:bookmarkStart w:id="341" w:name="_Toc184308106"/>
      <w:bookmarkEnd w:id="341"/>
      <w:bookmarkStart w:id="342" w:name="_Toc184308084"/>
      <w:bookmarkEnd w:id="342"/>
      <w:bookmarkStart w:id="343" w:name="_Toc184308089"/>
      <w:bookmarkEnd w:id="343"/>
      <w:bookmarkStart w:id="344" w:name="_Toc184314454"/>
      <w:bookmarkEnd w:id="344"/>
      <w:bookmarkStart w:id="345" w:name="_Toc184313244"/>
      <w:bookmarkEnd w:id="345"/>
      <w:bookmarkStart w:id="346" w:name="_Toc184308075"/>
      <w:bookmarkEnd w:id="346"/>
      <w:bookmarkStart w:id="347" w:name="_Toc184312116"/>
      <w:bookmarkEnd w:id="347"/>
      <w:bookmarkStart w:id="348" w:name="_Toc184312100"/>
      <w:bookmarkEnd w:id="348"/>
      <w:bookmarkStart w:id="349" w:name="_Toc184314411"/>
      <w:bookmarkEnd w:id="349"/>
      <w:bookmarkStart w:id="350" w:name="_Toc184313259"/>
      <w:bookmarkEnd w:id="350"/>
      <w:bookmarkStart w:id="351" w:name="_Toc184312110"/>
      <w:bookmarkEnd w:id="351"/>
      <w:bookmarkStart w:id="352" w:name="_Toc184313285"/>
      <w:bookmarkEnd w:id="352"/>
      <w:bookmarkStart w:id="353" w:name="_Toc184308061"/>
      <w:bookmarkEnd w:id="353"/>
      <w:bookmarkStart w:id="354" w:name="_Toc184310331"/>
      <w:bookmarkEnd w:id="354"/>
      <w:bookmarkStart w:id="355" w:name="_Toc184313274"/>
      <w:bookmarkEnd w:id="355"/>
      <w:bookmarkStart w:id="356" w:name="_Toc184310328"/>
      <w:bookmarkEnd w:id="356"/>
      <w:bookmarkStart w:id="357" w:name="_Toc184312128"/>
      <w:bookmarkEnd w:id="357"/>
      <w:bookmarkStart w:id="358" w:name="_Toc184314410"/>
      <w:bookmarkEnd w:id="358"/>
      <w:bookmarkStart w:id="359" w:name="_Toc184313249"/>
      <w:bookmarkEnd w:id="359"/>
      <w:bookmarkStart w:id="360" w:name="_Toc184308041"/>
      <w:bookmarkEnd w:id="360"/>
      <w:bookmarkStart w:id="361" w:name="_Toc184310294"/>
      <w:bookmarkEnd w:id="361"/>
      <w:bookmarkStart w:id="362" w:name="_Toc184308094"/>
      <w:bookmarkEnd w:id="362"/>
      <w:bookmarkStart w:id="363" w:name="_Toc184312070"/>
      <w:bookmarkEnd w:id="363"/>
      <w:bookmarkStart w:id="364" w:name="_Toc184310290"/>
      <w:bookmarkEnd w:id="364"/>
      <w:bookmarkStart w:id="365" w:name="_Toc184310340"/>
      <w:bookmarkEnd w:id="365"/>
      <w:bookmarkStart w:id="366" w:name="_Toc184308078"/>
      <w:bookmarkEnd w:id="366"/>
      <w:bookmarkStart w:id="367" w:name="_Toc184314444"/>
      <w:bookmarkEnd w:id="367"/>
      <w:bookmarkStart w:id="368" w:name="_Toc184312077"/>
      <w:bookmarkEnd w:id="368"/>
      <w:bookmarkStart w:id="369" w:name="_Toc184313296"/>
      <w:bookmarkEnd w:id="369"/>
      <w:bookmarkStart w:id="370" w:name="_Toc184310314"/>
      <w:bookmarkEnd w:id="370"/>
      <w:bookmarkStart w:id="371" w:name="_Toc184314460"/>
      <w:bookmarkEnd w:id="371"/>
      <w:bookmarkStart w:id="372" w:name="_Toc184310302"/>
      <w:bookmarkEnd w:id="372"/>
      <w:bookmarkStart w:id="373" w:name="_Toc184314441"/>
      <w:bookmarkEnd w:id="373"/>
      <w:bookmarkStart w:id="374" w:name="_Toc184308068"/>
      <w:bookmarkEnd w:id="374"/>
      <w:bookmarkStart w:id="375" w:name="_Toc184310330"/>
      <w:bookmarkEnd w:id="375"/>
      <w:bookmarkStart w:id="376" w:name="_Toc184314430"/>
      <w:bookmarkEnd w:id="376"/>
      <w:bookmarkStart w:id="377" w:name="_Toc184312075"/>
      <w:bookmarkEnd w:id="377"/>
      <w:bookmarkStart w:id="378" w:name="_Toc184312119"/>
      <w:bookmarkEnd w:id="378"/>
      <w:bookmarkStart w:id="379" w:name="_Toc184308080"/>
      <w:bookmarkEnd w:id="379"/>
      <w:bookmarkStart w:id="380" w:name="_Toc184314446"/>
      <w:bookmarkEnd w:id="380"/>
      <w:r>
        <w:rPr>
          <w:rFonts w:hint="eastAsia" w:ascii="宋体" w:hAnsi="宋体" w:eastAsia="宋体" w:cs="宋体"/>
          <w:b/>
          <w:color w:val="auto"/>
          <w:sz w:val="36"/>
          <w:szCs w:val="36"/>
          <w:highlight w:val="none"/>
          <w:lang w:eastAsia="zh-CN"/>
        </w:rPr>
        <w:t>交易办法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lang w:eastAsia="zh-CN"/>
        </w:rPr>
        <w:t>交易办法</w:t>
      </w:r>
      <w:r>
        <w:rPr>
          <w:rFonts w:hint="eastAsia" w:ascii="宋体" w:hAnsi="宋体" w:eastAsia="宋体" w:cs="宋体"/>
          <w:b/>
          <w:color w:val="auto"/>
          <w:sz w:val="32"/>
          <w:szCs w:val="20"/>
          <w:highlight w:val="none"/>
        </w:rPr>
        <w:t>前附表</w:t>
      </w:r>
    </w:p>
    <w:p>
      <w:pPr>
        <w:widowControl/>
        <w:numPr>
          <w:ilvl w:val="0"/>
          <w:numId w:val="0"/>
        </w:numPr>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90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tbl>
      <w:tblPr>
        <w:tblStyle w:val="64"/>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668"/>
        <w:gridCol w:w="726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90" w:type="dxa"/>
            <w:noWrap w:val="0"/>
            <w:vAlign w:val="center"/>
          </w:tcPr>
          <w:p>
            <w:pPr>
              <w:spacing w:line="340" w:lineRule="exact"/>
              <w:jc w:val="center"/>
              <w:rPr>
                <w:rFonts w:hint="eastAsia" w:ascii="宋体" w:hAnsi="宋体" w:cs="宋体"/>
                <w:sz w:val="24"/>
              </w:rPr>
            </w:pPr>
            <w:r>
              <w:rPr>
                <w:rFonts w:hint="eastAsia" w:ascii="宋体" w:hAnsi="宋体" w:cs="宋体"/>
                <w:sz w:val="24"/>
              </w:rPr>
              <w:t>序号</w:t>
            </w:r>
          </w:p>
        </w:tc>
        <w:tc>
          <w:tcPr>
            <w:tcW w:w="7936" w:type="dxa"/>
            <w:gridSpan w:val="2"/>
            <w:noWrap w:val="0"/>
            <w:vAlign w:val="center"/>
          </w:tcPr>
          <w:p>
            <w:pPr>
              <w:spacing w:line="340" w:lineRule="exact"/>
              <w:jc w:val="center"/>
              <w:rPr>
                <w:rFonts w:ascii="宋体" w:hAnsi="宋体" w:cs="宋体"/>
                <w:sz w:val="24"/>
              </w:rPr>
            </w:pPr>
            <w:r>
              <w:rPr>
                <w:rFonts w:hint="eastAsia" w:ascii="宋体" w:hAnsi="宋体" w:cs="宋体"/>
                <w:sz w:val="24"/>
              </w:rPr>
              <w:t>评标内容及标准</w:t>
            </w:r>
          </w:p>
        </w:tc>
        <w:tc>
          <w:tcPr>
            <w:tcW w:w="993" w:type="dxa"/>
            <w:noWrap w:val="0"/>
            <w:vAlign w:val="center"/>
          </w:tcPr>
          <w:p>
            <w:pPr>
              <w:spacing w:line="340" w:lineRule="exact"/>
              <w:jc w:val="center"/>
            </w:pPr>
            <w:r>
              <w:rPr>
                <w:rFonts w:hint="eastAsia" w:ascii="宋体" w:hAnsi="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90" w:type="dxa"/>
            <w:vMerge w:val="restart"/>
            <w:noWrap w:val="0"/>
            <w:vAlign w:val="center"/>
          </w:tcPr>
          <w:p>
            <w:pPr>
              <w:spacing w:line="340" w:lineRule="exact"/>
              <w:jc w:val="center"/>
              <w:rPr>
                <w:rFonts w:ascii="宋体" w:hAnsi="宋体" w:cs="宋体"/>
                <w:sz w:val="24"/>
              </w:rPr>
            </w:pPr>
            <w:r>
              <w:rPr>
                <w:rFonts w:hint="eastAsia" w:ascii="宋体" w:hAnsi="宋体" w:cs="宋体"/>
                <w:sz w:val="24"/>
              </w:rPr>
              <w:t>商务资信分（35分）</w:t>
            </w:r>
          </w:p>
        </w:tc>
        <w:tc>
          <w:tcPr>
            <w:tcW w:w="668" w:type="dxa"/>
            <w:noWrap w:val="0"/>
            <w:vAlign w:val="center"/>
          </w:tcPr>
          <w:p>
            <w:pPr>
              <w:spacing w:line="340" w:lineRule="exact"/>
              <w:jc w:val="center"/>
              <w:rPr>
                <w:rFonts w:hint="eastAsia" w:ascii="宋体" w:hAnsi="宋体" w:cs="宋体"/>
                <w:sz w:val="24"/>
              </w:rPr>
            </w:pPr>
            <w:r>
              <w:rPr>
                <w:rFonts w:hint="eastAsia" w:ascii="宋体" w:hAnsi="宋体" w:cs="宋体"/>
                <w:sz w:val="24"/>
              </w:rPr>
              <w:t>1</w:t>
            </w:r>
          </w:p>
        </w:tc>
        <w:tc>
          <w:tcPr>
            <w:tcW w:w="7268" w:type="dxa"/>
            <w:noWrap w:val="0"/>
            <w:vAlign w:val="center"/>
          </w:tcPr>
          <w:p>
            <w:pPr>
              <w:spacing w:line="300" w:lineRule="exact"/>
              <w:rPr>
                <w:rFonts w:hint="eastAsia" w:ascii="宋体" w:hAnsi="宋体" w:cs="宋体"/>
                <w:sz w:val="24"/>
              </w:rPr>
            </w:pPr>
            <w:r>
              <w:rPr>
                <w:rFonts w:hint="eastAsia" w:ascii="宋体" w:hAnsi="宋体" w:cs="宋体"/>
                <w:sz w:val="24"/>
              </w:rPr>
              <w:t>根据</w:t>
            </w:r>
            <w:r>
              <w:rPr>
                <w:rFonts w:hint="eastAsia" w:ascii="宋体" w:hAnsi="宋体" w:cs="宋体"/>
                <w:sz w:val="24"/>
                <w:lang w:val="en-US" w:eastAsia="zh-CN"/>
              </w:rPr>
              <w:t>响应人</w:t>
            </w:r>
            <w:r>
              <w:rPr>
                <w:rFonts w:hint="eastAsia" w:ascii="宋体" w:hAnsi="宋体" w:cs="宋体"/>
                <w:sz w:val="24"/>
              </w:rPr>
              <w:t>综合实力、履约能力等情况综合评定。</w:t>
            </w:r>
          </w:p>
        </w:tc>
        <w:tc>
          <w:tcPr>
            <w:tcW w:w="993" w:type="dxa"/>
            <w:noWrap w:val="0"/>
            <w:vAlign w:val="center"/>
          </w:tcPr>
          <w:p>
            <w:pPr>
              <w:spacing w:line="300" w:lineRule="exact"/>
              <w:jc w:val="center"/>
              <w:rPr>
                <w:rFonts w:hint="eastAsia" w:ascii="宋体" w:hAnsi="宋体" w:cs="宋体"/>
                <w:sz w:val="24"/>
              </w:rPr>
            </w:pPr>
            <w:r>
              <w:rPr>
                <w:rFonts w:hint="eastAsia" w:ascii="宋体" w:hAnsi="宋体" w:cs="宋体"/>
                <w:sz w:val="24"/>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0" w:type="dxa"/>
            <w:vMerge w:val="continue"/>
            <w:noWrap w:val="0"/>
            <w:vAlign w:val="center"/>
          </w:tcPr>
          <w:p>
            <w:pPr>
              <w:spacing w:line="340" w:lineRule="exact"/>
              <w:jc w:val="center"/>
              <w:rPr>
                <w:rFonts w:hint="eastAsia" w:ascii="宋体" w:hAnsi="宋体" w:cs="宋体"/>
                <w:sz w:val="24"/>
              </w:rPr>
            </w:pPr>
          </w:p>
        </w:tc>
        <w:tc>
          <w:tcPr>
            <w:tcW w:w="668" w:type="dxa"/>
            <w:noWrap w:val="0"/>
            <w:vAlign w:val="center"/>
          </w:tcPr>
          <w:p>
            <w:pPr>
              <w:spacing w:line="340" w:lineRule="exact"/>
              <w:jc w:val="center"/>
              <w:rPr>
                <w:rFonts w:hint="eastAsia" w:ascii="宋体" w:hAnsi="宋体" w:cs="宋体"/>
                <w:sz w:val="24"/>
              </w:rPr>
            </w:pPr>
            <w:r>
              <w:rPr>
                <w:rFonts w:hint="eastAsia" w:ascii="宋体" w:hAnsi="宋体" w:cs="宋体"/>
                <w:sz w:val="24"/>
              </w:rPr>
              <w:t>2</w:t>
            </w:r>
          </w:p>
        </w:tc>
        <w:tc>
          <w:tcPr>
            <w:tcW w:w="7268" w:type="dxa"/>
            <w:noWrap w:val="0"/>
            <w:vAlign w:val="center"/>
          </w:tcPr>
          <w:p>
            <w:pPr>
              <w:adjustRightInd w:val="0"/>
              <w:rPr>
                <w:rFonts w:hint="eastAsia" w:ascii="宋体" w:hAnsi="宋体" w:cs="宋体"/>
                <w:bCs/>
                <w:color w:val="000000"/>
                <w:sz w:val="24"/>
                <w:lang w:val="zh-CN"/>
              </w:rPr>
            </w:pPr>
            <w:r>
              <w:rPr>
                <w:rFonts w:hint="eastAsia" w:ascii="宋体" w:hAnsi="宋体" w:cs="宋体"/>
                <w:bCs/>
                <w:color w:val="000000"/>
                <w:sz w:val="24"/>
                <w:lang w:val="zh-CN"/>
              </w:rPr>
              <w:t>响应人经营状况</w:t>
            </w:r>
          </w:p>
          <w:p>
            <w:pPr>
              <w:adjustRightInd w:val="0"/>
              <w:rPr>
                <w:rFonts w:hint="eastAsia" w:ascii="宋体" w:hAnsi="宋体" w:cs="宋体"/>
                <w:sz w:val="24"/>
              </w:rPr>
            </w:pPr>
            <w:r>
              <w:rPr>
                <w:rFonts w:hint="eastAsia" w:ascii="宋体" w:hAnsi="宋体" w:cs="宋体"/>
                <w:bCs/>
                <w:color w:val="000000"/>
                <w:sz w:val="24"/>
                <w:lang w:val="zh-CN"/>
              </w:rPr>
              <w:t xml:space="preserve">（根据响应人经营类似项目时间长短、产品市场占有率、获得荣誉等情况综合评定） </w:t>
            </w:r>
          </w:p>
        </w:tc>
        <w:tc>
          <w:tcPr>
            <w:tcW w:w="993" w:type="dxa"/>
            <w:noWrap w:val="0"/>
            <w:vAlign w:val="center"/>
          </w:tcPr>
          <w:p>
            <w:pPr>
              <w:adjustRightInd w:val="0"/>
              <w:jc w:val="center"/>
              <w:rPr>
                <w:rFonts w:hint="eastAsia" w:ascii="宋体" w:hAnsi="宋体" w:cs="宋体"/>
                <w:sz w:val="24"/>
              </w:rPr>
            </w:pPr>
            <w:r>
              <w:rPr>
                <w:rFonts w:hint="eastAsia" w:ascii="宋体" w:hAnsi="宋体" w:cs="宋体"/>
                <w:bCs/>
                <w:sz w:val="24"/>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90" w:type="dxa"/>
            <w:vMerge w:val="continue"/>
            <w:noWrap w:val="0"/>
            <w:vAlign w:val="center"/>
          </w:tcPr>
          <w:p>
            <w:pPr>
              <w:spacing w:line="340" w:lineRule="exact"/>
              <w:jc w:val="center"/>
              <w:rPr>
                <w:rFonts w:hint="eastAsia" w:ascii="宋体" w:hAnsi="宋体" w:cs="宋体"/>
                <w:sz w:val="24"/>
              </w:rPr>
            </w:pPr>
          </w:p>
        </w:tc>
        <w:tc>
          <w:tcPr>
            <w:tcW w:w="668" w:type="dxa"/>
            <w:noWrap w:val="0"/>
            <w:vAlign w:val="center"/>
          </w:tcPr>
          <w:p>
            <w:pPr>
              <w:spacing w:line="340" w:lineRule="exact"/>
              <w:jc w:val="center"/>
              <w:rPr>
                <w:rFonts w:hint="eastAsia" w:ascii="宋体" w:hAnsi="宋体" w:cs="宋体"/>
                <w:sz w:val="24"/>
              </w:rPr>
            </w:pPr>
            <w:r>
              <w:rPr>
                <w:rFonts w:hint="eastAsia" w:ascii="宋体" w:hAnsi="宋体" w:cs="宋体"/>
                <w:sz w:val="24"/>
              </w:rPr>
              <w:t>3</w:t>
            </w:r>
          </w:p>
          <w:p>
            <w:pPr>
              <w:jc w:val="center"/>
              <w:rPr>
                <w:rFonts w:hint="eastAsia" w:ascii="宋体" w:hAnsi="宋体" w:cs="宋体"/>
                <w:sz w:val="24"/>
              </w:rPr>
            </w:pPr>
          </w:p>
        </w:tc>
        <w:tc>
          <w:tcPr>
            <w:tcW w:w="7268" w:type="dxa"/>
            <w:noWrap w:val="0"/>
            <w:vAlign w:val="center"/>
          </w:tcPr>
          <w:p>
            <w:pPr>
              <w:spacing w:line="300" w:lineRule="exact"/>
              <w:rPr>
                <w:rFonts w:hint="default" w:ascii="宋体" w:hAnsi="宋体"/>
                <w:color w:val="auto"/>
                <w:kern w:val="0"/>
                <w:sz w:val="24"/>
                <w:lang w:val="en-US" w:eastAsia="zh-CN"/>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rPr>
              <w:t>响应人</w:t>
            </w:r>
            <w:r>
              <w:rPr>
                <w:rFonts w:hint="eastAsia" w:ascii="宋体" w:hAnsi="宋体"/>
                <w:color w:val="auto"/>
                <w:kern w:val="0"/>
                <w:sz w:val="24"/>
                <w:lang w:val="en-GB"/>
              </w:rPr>
              <w:t>自20</w:t>
            </w:r>
            <w:r>
              <w:rPr>
                <w:rFonts w:hint="eastAsia" w:ascii="宋体" w:hAnsi="宋体"/>
                <w:color w:val="auto"/>
                <w:kern w:val="0"/>
                <w:sz w:val="24"/>
                <w:lang w:val="en-US" w:eastAsia="zh-CN"/>
              </w:rPr>
              <w:t>20</w:t>
            </w:r>
            <w:r>
              <w:rPr>
                <w:rFonts w:hint="eastAsia" w:ascii="宋体" w:hAnsi="宋体"/>
                <w:color w:val="auto"/>
                <w:kern w:val="0"/>
                <w:sz w:val="24"/>
                <w:lang w:val="en-GB"/>
              </w:rPr>
              <w:t>年以来同类项目业绩</w:t>
            </w:r>
            <w:r>
              <w:rPr>
                <w:rFonts w:hint="eastAsia" w:ascii="宋体" w:hAnsi="宋体"/>
                <w:color w:val="auto"/>
                <w:kern w:val="0"/>
                <w:sz w:val="24"/>
                <w:lang w:val="en-GB" w:eastAsia="zh-CN"/>
              </w:rPr>
              <w:t>，</w:t>
            </w:r>
            <w:r>
              <w:rPr>
                <w:rFonts w:hint="eastAsia" w:ascii="宋体" w:hAnsi="宋体"/>
                <w:color w:val="auto"/>
                <w:kern w:val="0"/>
                <w:sz w:val="24"/>
                <w:lang w:val="en-GB"/>
              </w:rPr>
              <w:t>每提供1份合同得</w:t>
            </w:r>
            <w:r>
              <w:rPr>
                <w:rFonts w:hint="eastAsia" w:ascii="宋体" w:hAnsi="宋体"/>
                <w:color w:val="auto"/>
                <w:kern w:val="0"/>
                <w:sz w:val="24"/>
                <w:lang w:val="en-US" w:eastAsia="zh-CN"/>
              </w:rPr>
              <w:t>1</w:t>
            </w:r>
            <w:r>
              <w:rPr>
                <w:rFonts w:hint="eastAsia" w:ascii="宋体" w:hAnsi="宋体"/>
                <w:color w:val="auto"/>
                <w:kern w:val="0"/>
                <w:sz w:val="24"/>
                <w:lang w:val="en-GB"/>
              </w:rPr>
              <w:t>分</w:t>
            </w:r>
            <w:r>
              <w:rPr>
                <w:rFonts w:hint="eastAsia" w:ascii="宋体" w:hAnsi="宋体"/>
                <w:color w:val="auto"/>
                <w:kern w:val="0"/>
                <w:sz w:val="24"/>
                <w:lang w:val="en-GB" w:eastAsia="zh-CN"/>
              </w:rPr>
              <w:t>；</w:t>
            </w:r>
            <w:r>
              <w:rPr>
                <w:rFonts w:hint="eastAsia" w:ascii="宋体" w:hAnsi="宋体"/>
                <w:color w:val="auto"/>
                <w:kern w:val="0"/>
                <w:sz w:val="24"/>
                <w:lang w:val="en-US" w:eastAsia="zh-CN"/>
              </w:rPr>
              <w:t>若该业绩为项目负责人的，可另加2分。该项最高得7分；</w:t>
            </w:r>
          </w:p>
          <w:p>
            <w:pPr>
              <w:spacing w:line="300" w:lineRule="exact"/>
              <w:rPr>
                <w:rFonts w:ascii="宋体" w:hAnsi="宋体" w:cs="宋体"/>
                <w:sz w:val="24"/>
              </w:rPr>
            </w:pPr>
            <w:r>
              <w:rPr>
                <w:rFonts w:hint="eastAsia" w:ascii="宋体" w:hAnsi="宋体" w:eastAsia="宋体" w:cs="宋体"/>
                <w:bCs/>
                <w:color w:val="auto"/>
                <w:sz w:val="24"/>
                <w:lang w:val="en-US" w:eastAsia="zh-CN"/>
              </w:rPr>
              <w:t>2.项目负责人连续三年负责区级及以上政府部门、政府群众团体和协会的调解项目的</w:t>
            </w:r>
            <w:r>
              <w:rPr>
                <w:rFonts w:hint="eastAsia" w:ascii="宋体" w:hAnsi="宋体"/>
                <w:color w:val="auto"/>
                <w:kern w:val="0"/>
                <w:sz w:val="24"/>
                <w:lang w:val="en-GB"/>
              </w:rPr>
              <w:t>得</w:t>
            </w:r>
            <w:r>
              <w:rPr>
                <w:rFonts w:hint="eastAsia" w:ascii="宋体" w:hAnsi="宋体"/>
                <w:color w:val="auto"/>
                <w:kern w:val="0"/>
                <w:sz w:val="24"/>
                <w:lang w:val="en-US" w:eastAsia="zh-CN"/>
              </w:rPr>
              <w:t>5</w:t>
            </w:r>
            <w:r>
              <w:rPr>
                <w:rFonts w:hint="eastAsia" w:ascii="宋体" w:hAnsi="宋体"/>
                <w:color w:val="auto"/>
                <w:kern w:val="0"/>
                <w:sz w:val="24"/>
                <w:lang w:val="en-GB"/>
              </w:rPr>
              <w:t>分</w:t>
            </w:r>
            <w:r>
              <w:rPr>
                <w:rFonts w:hint="eastAsia" w:ascii="宋体" w:hAnsi="宋体"/>
                <w:color w:val="auto"/>
                <w:kern w:val="0"/>
                <w:sz w:val="24"/>
                <w:lang w:val="en-US" w:eastAsia="zh-CN"/>
              </w:rPr>
              <w:t>，最高得5分</w:t>
            </w:r>
            <w:r>
              <w:rPr>
                <w:rFonts w:hint="eastAsia" w:ascii="宋体" w:hAnsi="宋体"/>
                <w:color w:val="auto"/>
                <w:kern w:val="0"/>
                <w:sz w:val="24"/>
                <w:lang w:val="en-GB" w:eastAsia="zh-CN"/>
              </w:rPr>
              <w:t>。</w:t>
            </w:r>
            <w:r>
              <w:rPr>
                <w:rFonts w:hint="eastAsia" w:ascii="宋体" w:hAnsi="宋体" w:cs="宋体"/>
                <w:color w:val="auto"/>
                <w:sz w:val="24"/>
                <w:lang w:val="en-US" w:eastAsia="zh-CN"/>
              </w:rPr>
              <w:t xml:space="preserve">     </w:t>
            </w:r>
          </w:p>
        </w:tc>
        <w:tc>
          <w:tcPr>
            <w:tcW w:w="993" w:type="dxa"/>
            <w:noWrap w:val="0"/>
            <w:vAlign w:val="center"/>
          </w:tcPr>
          <w:p>
            <w:pPr>
              <w:spacing w:line="300" w:lineRule="exact"/>
              <w:jc w:val="center"/>
              <w:rPr>
                <w:rFonts w:hint="eastAsia" w:ascii="宋体" w:hAnsi="宋体" w:cs="宋体"/>
                <w:sz w:val="24"/>
              </w:rPr>
            </w:pPr>
            <w:r>
              <w:rPr>
                <w:rFonts w:hint="eastAsia" w:ascii="宋体" w:hAnsi="宋体" w:cs="宋体"/>
                <w:sz w:val="24"/>
              </w:rPr>
              <w:t>0-12</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90" w:type="dxa"/>
            <w:vMerge w:val="continue"/>
            <w:noWrap w:val="0"/>
            <w:vAlign w:val="top"/>
          </w:tcPr>
          <w:p>
            <w:pPr>
              <w:spacing w:line="340" w:lineRule="exact"/>
              <w:jc w:val="center"/>
              <w:rPr>
                <w:rFonts w:ascii="宋体" w:hAnsi="宋体" w:cs="宋体"/>
                <w:sz w:val="24"/>
              </w:rPr>
            </w:pPr>
          </w:p>
        </w:tc>
        <w:tc>
          <w:tcPr>
            <w:tcW w:w="668" w:type="dxa"/>
            <w:noWrap w:val="0"/>
            <w:vAlign w:val="center"/>
          </w:tcPr>
          <w:p>
            <w:pPr>
              <w:jc w:val="center"/>
              <w:rPr>
                <w:rFonts w:hint="eastAsia" w:ascii="宋体" w:hAnsi="宋体" w:cs="宋体"/>
                <w:sz w:val="24"/>
              </w:rPr>
            </w:pPr>
            <w:r>
              <w:rPr>
                <w:rFonts w:hint="eastAsia" w:ascii="宋体" w:hAnsi="宋体" w:cs="宋体"/>
                <w:sz w:val="24"/>
              </w:rPr>
              <w:t>4</w:t>
            </w:r>
          </w:p>
        </w:tc>
        <w:tc>
          <w:tcPr>
            <w:tcW w:w="7268" w:type="dxa"/>
            <w:noWrap w:val="0"/>
            <w:vAlign w:val="center"/>
          </w:tcPr>
          <w:p>
            <w:pPr>
              <w:spacing w:line="300" w:lineRule="exact"/>
              <w:rPr>
                <w:rFonts w:ascii="宋体" w:hAnsi="宋体"/>
                <w:kern w:val="0"/>
                <w:sz w:val="24"/>
              </w:rPr>
            </w:pPr>
            <w:r>
              <w:rPr>
                <w:rFonts w:hint="eastAsia" w:ascii="宋体" w:hAnsi="宋体" w:cs="宋体"/>
                <w:bCs/>
                <w:sz w:val="24"/>
              </w:rPr>
              <w:t>1.项目负责人</w:t>
            </w:r>
            <w:r>
              <w:rPr>
                <w:rFonts w:hint="eastAsia" w:ascii="宋体" w:hAnsi="宋体"/>
                <w:kern w:val="0"/>
                <w:sz w:val="24"/>
              </w:rPr>
              <w:t>获得与调解相关的荣誉，区级得每项1分；市级及以上每项得2分。最高得4分；</w:t>
            </w:r>
          </w:p>
          <w:p>
            <w:pPr>
              <w:spacing w:line="300" w:lineRule="exact"/>
              <w:rPr>
                <w:rFonts w:ascii="宋体" w:hAnsi="宋体"/>
                <w:kern w:val="0"/>
                <w:sz w:val="24"/>
              </w:rPr>
            </w:pPr>
            <w:r>
              <w:rPr>
                <w:rFonts w:hint="eastAsia" w:ascii="宋体" w:hAnsi="宋体"/>
                <w:kern w:val="0"/>
                <w:sz w:val="24"/>
              </w:rPr>
              <w:t>2.</w:t>
            </w:r>
            <w:r>
              <w:rPr>
                <w:rFonts w:hint="eastAsia" w:ascii="宋体" w:hAnsi="宋体"/>
                <w:kern w:val="0"/>
                <w:sz w:val="24"/>
                <w:lang w:eastAsia="zh-CN"/>
              </w:rPr>
              <w:t>响应人</w:t>
            </w:r>
            <w:r>
              <w:rPr>
                <w:rFonts w:hint="eastAsia" w:ascii="宋体" w:hAnsi="宋体"/>
                <w:kern w:val="0"/>
                <w:sz w:val="24"/>
              </w:rPr>
              <w:t>获得区级及以上颁发的与调解相关的荣誉，每项得1分，最高得3分；</w:t>
            </w:r>
          </w:p>
          <w:p>
            <w:pPr>
              <w:spacing w:line="300" w:lineRule="exac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3.获得过金牌调解员等调解方面的荣誉的得4分。</w:t>
            </w:r>
          </w:p>
          <w:p>
            <w:pPr>
              <w:spacing w:line="300" w:lineRule="exact"/>
              <w:rPr>
                <w:rFonts w:hint="eastAsia" w:ascii="宋体" w:hAnsi="宋体"/>
                <w:kern w:val="0"/>
                <w:sz w:val="24"/>
                <w:lang w:val="en-GB"/>
              </w:rPr>
            </w:pPr>
            <w:r>
              <w:rPr>
                <w:rFonts w:hint="eastAsia" w:ascii="宋体" w:hAnsi="宋体"/>
                <w:kern w:val="0"/>
                <w:sz w:val="24"/>
              </w:rPr>
              <w:t>（荣誉以行政机关颁发为准，协会、商会等非行政机关颁发的荣誉不得分，同一内容的荣誉取最高荣誉）</w:t>
            </w:r>
          </w:p>
        </w:tc>
        <w:tc>
          <w:tcPr>
            <w:tcW w:w="993" w:type="dxa"/>
            <w:noWrap w:val="0"/>
            <w:vAlign w:val="center"/>
          </w:tcPr>
          <w:p>
            <w:pPr>
              <w:spacing w:line="300" w:lineRule="exact"/>
              <w:jc w:val="center"/>
              <w:rPr>
                <w:rFonts w:hint="eastAsia" w:ascii="宋体" w:hAnsi="宋体"/>
                <w:bCs/>
                <w:color w:val="0000FF"/>
                <w:sz w:val="24"/>
              </w:rPr>
            </w:pPr>
            <w:r>
              <w:rPr>
                <w:rFonts w:hint="eastAsia" w:ascii="宋体" w:hAnsi="宋体" w:cs="宋体"/>
                <w:sz w:val="24"/>
              </w:rPr>
              <w:t>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90" w:type="dxa"/>
            <w:vMerge w:val="restart"/>
            <w:noWrap w:val="0"/>
            <w:vAlign w:val="center"/>
          </w:tcPr>
          <w:p>
            <w:pPr>
              <w:spacing w:line="340" w:lineRule="exact"/>
              <w:jc w:val="center"/>
              <w:rPr>
                <w:rFonts w:hint="eastAsia" w:ascii="宋体" w:hAnsi="宋体" w:cs="宋体"/>
                <w:sz w:val="24"/>
              </w:rPr>
            </w:pPr>
            <w:r>
              <w:rPr>
                <w:rFonts w:hint="eastAsia" w:ascii="宋体" w:hAnsi="宋体" w:cs="宋体"/>
                <w:sz w:val="24"/>
              </w:rPr>
              <w:t>技术分（55分）</w:t>
            </w:r>
          </w:p>
          <w:p>
            <w:pPr>
              <w:spacing w:line="340" w:lineRule="exact"/>
              <w:jc w:val="center"/>
              <w:rPr>
                <w:rFonts w:ascii="宋体" w:hAnsi="宋体" w:cs="宋体"/>
                <w:sz w:val="24"/>
              </w:rPr>
            </w:pPr>
          </w:p>
        </w:tc>
        <w:tc>
          <w:tcPr>
            <w:tcW w:w="668"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w:t>
            </w:r>
          </w:p>
        </w:tc>
        <w:tc>
          <w:tcPr>
            <w:tcW w:w="7268" w:type="dxa"/>
            <w:noWrap w:val="0"/>
            <w:vAlign w:val="center"/>
          </w:tcPr>
          <w:p>
            <w:pPr>
              <w:spacing w:line="300" w:lineRule="exact"/>
              <w:rPr>
                <w:rFonts w:hint="eastAsia" w:ascii="宋体" w:hAnsi="宋体"/>
                <w:kern w:val="0"/>
                <w:sz w:val="24"/>
              </w:rPr>
            </w:pPr>
            <w:r>
              <w:rPr>
                <w:rFonts w:hint="eastAsia" w:ascii="宋体" w:hAnsi="宋体"/>
                <w:kern w:val="0"/>
                <w:sz w:val="24"/>
                <w:lang w:eastAsia="zh-CN"/>
              </w:rPr>
              <w:t>响应方案</w:t>
            </w:r>
            <w:r>
              <w:rPr>
                <w:rFonts w:hint="eastAsia" w:ascii="宋体" w:hAnsi="宋体"/>
                <w:kern w:val="0"/>
                <w:sz w:val="24"/>
              </w:rPr>
              <w:t>的合理性、科学性、全面性。</w:t>
            </w:r>
          </w:p>
          <w:p>
            <w:pPr>
              <w:spacing w:line="300" w:lineRule="exact"/>
              <w:rPr>
                <w:rFonts w:hint="eastAsia" w:ascii="宋体" w:hAnsi="宋体"/>
                <w:kern w:val="0"/>
                <w:sz w:val="24"/>
              </w:rPr>
            </w:pPr>
            <w:r>
              <w:rPr>
                <w:rFonts w:hint="eastAsia" w:ascii="宋体" w:hAnsi="宋体"/>
                <w:kern w:val="0"/>
                <w:sz w:val="24"/>
              </w:rPr>
              <w:t>（根据对投标项目的理解程度、总体设计、组织实施、独到优势等情况综合评定）</w:t>
            </w:r>
          </w:p>
        </w:tc>
        <w:tc>
          <w:tcPr>
            <w:tcW w:w="993" w:type="dxa"/>
            <w:noWrap w:val="0"/>
            <w:vAlign w:val="center"/>
          </w:tcPr>
          <w:p>
            <w:pPr>
              <w:spacing w:line="360" w:lineRule="exact"/>
              <w:jc w:val="center"/>
            </w:pPr>
            <w:r>
              <w:rPr>
                <w:rFonts w:hint="eastAsia" w:ascii="宋体" w:hAnsi="宋体" w:cs="宋体"/>
                <w:sz w:val="24"/>
              </w:rPr>
              <w:t>4-10分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790" w:type="dxa"/>
            <w:vMerge w:val="continue"/>
            <w:noWrap w:val="0"/>
            <w:vAlign w:val="top"/>
          </w:tcPr>
          <w:p>
            <w:pPr>
              <w:spacing w:line="340" w:lineRule="exact"/>
              <w:jc w:val="center"/>
              <w:rPr>
                <w:rFonts w:ascii="宋体" w:hAnsi="宋体" w:cs="宋体"/>
                <w:sz w:val="24"/>
              </w:rPr>
            </w:pPr>
          </w:p>
        </w:tc>
        <w:tc>
          <w:tcPr>
            <w:tcW w:w="668"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w:t>
            </w:r>
          </w:p>
        </w:tc>
        <w:tc>
          <w:tcPr>
            <w:tcW w:w="7268" w:type="dxa"/>
            <w:noWrap w:val="0"/>
            <w:vAlign w:val="center"/>
          </w:tcPr>
          <w:p>
            <w:pPr>
              <w:spacing w:line="300" w:lineRule="exact"/>
              <w:rPr>
                <w:rFonts w:hint="eastAsia" w:ascii="宋体" w:hAnsi="宋体"/>
                <w:kern w:val="0"/>
                <w:sz w:val="24"/>
              </w:rPr>
            </w:pPr>
            <w:r>
              <w:rPr>
                <w:rFonts w:hint="eastAsia" w:ascii="宋体" w:hAnsi="宋体"/>
                <w:kern w:val="0"/>
                <w:sz w:val="24"/>
              </w:rPr>
              <w:t>调解服务流程的专业性、矛盾化解快捷程度，后期跟进的措施情况综合评定。</w:t>
            </w:r>
          </w:p>
        </w:tc>
        <w:tc>
          <w:tcPr>
            <w:tcW w:w="993" w:type="dxa"/>
            <w:noWrap w:val="0"/>
            <w:vAlign w:val="center"/>
          </w:tcPr>
          <w:p>
            <w:pPr>
              <w:spacing w:line="360" w:lineRule="exact"/>
              <w:jc w:val="center"/>
            </w:pPr>
            <w:r>
              <w:rPr>
                <w:rFonts w:hint="eastAsia" w:ascii="宋体" w:hAnsi="宋体" w:cs="宋体"/>
                <w:sz w:val="24"/>
              </w:rPr>
              <w:t>0-5</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790" w:type="dxa"/>
            <w:vMerge w:val="continue"/>
            <w:noWrap w:val="0"/>
            <w:vAlign w:val="top"/>
          </w:tcPr>
          <w:p>
            <w:pPr>
              <w:spacing w:line="340" w:lineRule="exact"/>
              <w:jc w:val="center"/>
              <w:rPr>
                <w:rFonts w:ascii="宋体" w:hAnsi="宋体" w:cs="宋体"/>
                <w:sz w:val="24"/>
              </w:rPr>
            </w:pPr>
          </w:p>
        </w:tc>
        <w:tc>
          <w:tcPr>
            <w:tcW w:w="668"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3</w:t>
            </w:r>
          </w:p>
        </w:tc>
        <w:tc>
          <w:tcPr>
            <w:tcW w:w="7268" w:type="dxa"/>
            <w:noWrap w:val="0"/>
            <w:vAlign w:val="center"/>
          </w:tcPr>
          <w:p>
            <w:pPr>
              <w:spacing w:line="300" w:lineRule="exact"/>
              <w:rPr>
                <w:rFonts w:hint="eastAsia" w:ascii="宋体" w:hAnsi="宋体"/>
                <w:kern w:val="0"/>
                <w:sz w:val="24"/>
              </w:rPr>
            </w:pPr>
            <w:r>
              <w:rPr>
                <w:rFonts w:hint="eastAsia" w:ascii="宋体" w:hAnsi="宋体" w:cs="宋体"/>
                <w:color w:val="000000"/>
                <w:sz w:val="24"/>
                <w:lang w:val="zh-CN"/>
              </w:rPr>
              <w:t>根据投标单位配备的资深调解专家及</w:t>
            </w:r>
            <w:r>
              <w:rPr>
                <w:rFonts w:hint="eastAsia" w:ascii="宋体" w:hAnsi="宋体" w:cs="宋体"/>
                <w:color w:val="000000"/>
                <w:sz w:val="24"/>
              </w:rPr>
              <w:t>调解团队人员</w:t>
            </w:r>
            <w:r>
              <w:rPr>
                <w:rFonts w:hint="eastAsia" w:ascii="宋体" w:hAnsi="宋体" w:cs="宋体"/>
                <w:color w:val="000000"/>
                <w:sz w:val="24"/>
                <w:lang w:val="zh-CN"/>
              </w:rPr>
              <w:t>配备情况综合</w:t>
            </w:r>
            <w:r>
              <w:rPr>
                <w:rFonts w:hint="eastAsia" w:ascii="宋体" w:hAnsi="宋体" w:cs="宋体"/>
                <w:color w:val="000000"/>
                <w:sz w:val="24"/>
              </w:rPr>
              <w:t>评定。</w:t>
            </w:r>
          </w:p>
        </w:tc>
        <w:tc>
          <w:tcPr>
            <w:tcW w:w="993" w:type="dxa"/>
            <w:noWrap w:val="0"/>
            <w:vAlign w:val="center"/>
          </w:tcPr>
          <w:p>
            <w:pPr>
              <w:spacing w:line="360" w:lineRule="exact"/>
              <w:jc w:val="center"/>
            </w:pPr>
            <w:r>
              <w:rPr>
                <w:rFonts w:hint="eastAsia" w:ascii="宋体" w:hAnsi="宋体" w:cs="宋体"/>
                <w:sz w:val="24"/>
              </w:rPr>
              <w:t>2-8</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0" w:type="dxa"/>
            <w:vMerge w:val="continue"/>
            <w:noWrap w:val="0"/>
            <w:vAlign w:val="top"/>
          </w:tcPr>
          <w:p>
            <w:pPr>
              <w:spacing w:line="340" w:lineRule="exact"/>
              <w:jc w:val="center"/>
              <w:rPr>
                <w:rFonts w:ascii="宋体" w:hAnsi="宋体" w:cs="宋体"/>
                <w:sz w:val="24"/>
              </w:rPr>
            </w:pPr>
          </w:p>
        </w:tc>
        <w:tc>
          <w:tcPr>
            <w:tcW w:w="668"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4</w:t>
            </w:r>
          </w:p>
        </w:tc>
        <w:tc>
          <w:tcPr>
            <w:tcW w:w="7268" w:type="dxa"/>
            <w:noWrap w:val="0"/>
            <w:vAlign w:val="center"/>
          </w:tcPr>
          <w:p>
            <w:pPr>
              <w:spacing w:line="300" w:lineRule="exact"/>
              <w:rPr>
                <w:rFonts w:hint="eastAsia" w:ascii="宋体" w:hAnsi="宋体"/>
                <w:kern w:val="0"/>
                <w:sz w:val="24"/>
              </w:rPr>
            </w:pPr>
            <w:r>
              <w:rPr>
                <w:rFonts w:hint="eastAsia" w:ascii="宋体" w:hAnsi="宋体" w:cs="宋体"/>
                <w:color w:val="000000"/>
                <w:sz w:val="24"/>
                <w:lang w:val="zh-CN"/>
              </w:rPr>
              <w:t>服务质量保证情况（根据质保期限、可实现程度、提供优惠等情况综合评定）</w:t>
            </w:r>
          </w:p>
        </w:tc>
        <w:tc>
          <w:tcPr>
            <w:tcW w:w="993" w:type="dxa"/>
            <w:noWrap w:val="0"/>
            <w:vAlign w:val="center"/>
          </w:tcPr>
          <w:p>
            <w:pPr>
              <w:spacing w:line="360" w:lineRule="exact"/>
              <w:jc w:val="center"/>
              <w:rPr>
                <w:rFonts w:ascii="宋体" w:hAnsi="宋体" w:cs="宋体"/>
                <w:sz w:val="24"/>
              </w:rPr>
            </w:pPr>
            <w:r>
              <w:rPr>
                <w:rFonts w:hint="eastAsia" w:ascii="宋体" w:hAnsi="宋体" w:cs="宋体"/>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90" w:type="dxa"/>
            <w:vMerge w:val="continue"/>
            <w:noWrap w:val="0"/>
            <w:vAlign w:val="top"/>
          </w:tcPr>
          <w:p>
            <w:pPr>
              <w:spacing w:line="340" w:lineRule="exact"/>
              <w:jc w:val="center"/>
              <w:rPr>
                <w:rFonts w:ascii="宋体" w:hAnsi="宋体" w:cs="宋体"/>
                <w:sz w:val="24"/>
              </w:rPr>
            </w:pPr>
          </w:p>
        </w:tc>
        <w:tc>
          <w:tcPr>
            <w:tcW w:w="668"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5</w:t>
            </w:r>
          </w:p>
        </w:tc>
        <w:tc>
          <w:tcPr>
            <w:tcW w:w="7268" w:type="dxa"/>
            <w:noWrap w:val="0"/>
            <w:vAlign w:val="center"/>
          </w:tcPr>
          <w:p>
            <w:pPr>
              <w:adjustRightInd w:val="0"/>
              <w:rPr>
                <w:rFonts w:hint="eastAsia" w:ascii="宋体" w:hAnsi="宋体" w:cs="宋体"/>
                <w:color w:val="000000"/>
                <w:sz w:val="24"/>
                <w:lang w:val="zh-CN"/>
              </w:rPr>
            </w:pPr>
            <w:r>
              <w:rPr>
                <w:rFonts w:hint="eastAsia" w:ascii="宋体" w:hAnsi="宋体" w:cs="宋体"/>
                <w:color w:val="000000"/>
                <w:sz w:val="24"/>
                <w:lang w:val="zh-CN"/>
              </w:rPr>
              <w:t>服务承诺</w:t>
            </w:r>
          </w:p>
          <w:p>
            <w:pPr>
              <w:spacing w:line="300" w:lineRule="exact"/>
              <w:rPr>
                <w:rFonts w:hint="eastAsia" w:ascii="宋体" w:hAnsi="宋体"/>
                <w:kern w:val="0"/>
                <w:sz w:val="24"/>
              </w:rPr>
            </w:pPr>
            <w:r>
              <w:rPr>
                <w:rFonts w:hint="eastAsia" w:ascii="宋体" w:hAnsi="宋体" w:cs="宋体"/>
                <w:color w:val="000000"/>
                <w:sz w:val="24"/>
                <w:lang w:val="zh-CN"/>
              </w:rPr>
              <w:t>（根据售后服务方案、措施、响应及本地化服务能力等情况综合评定）</w:t>
            </w:r>
          </w:p>
        </w:tc>
        <w:tc>
          <w:tcPr>
            <w:tcW w:w="993" w:type="dxa"/>
            <w:noWrap w:val="0"/>
            <w:vAlign w:val="center"/>
          </w:tcPr>
          <w:p>
            <w:pPr>
              <w:spacing w:line="360" w:lineRule="exact"/>
              <w:jc w:val="center"/>
            </w:pPr>
            <w:r>
              <w:rPr>
                <w:rFonts w:hint="eastAsia" w:ascii="宋体" w:hAnsi="宋体" w:cs="宋体"/>
                <w:sz w:val="24"/>
              </w:rPr>
              <w:t>2-8</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0" w:type="dxa"/>
            <w:vMerge w:val="continue"/>
            <w:noWrap w:val="0"/>
            <w:vAlign w:val="top"/>
          </w:tcPr>
          <w:p>
            <w:pPr>
              <w:spacing w:line="340" w:lineRule="exact"/>
              <w:jc w:val="center"/>
              <w:rPr>
                <w:rFonts w:ascii="宋体" w:hAnsi="宋体" w:cs="宋体"/>
                <w:sz w:val="24"/>
              </w:rPr>
            </w:pPr>
          </w:p>
        </w:tc>
        <w:tc>
          <w:tcPr>
            <w:tcW w:w="668"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6</w:t>
            </w:r>
          </w:p>
        </w:tc>
        <w:tc>
          <w:tcPr>
            <w:tcW w:w="7268" w:type="dxa"/>
            <w:noWrap w:val="0"/>
            <w:vAlign w:val="center"/>
          </w:tcPr>
          <w:p>
            <w:pPr>
              <w:spacing w:line="300" w:lineRule="exact"/>
              <w:rPr>
                <w:rFonts w:hint="eastAsia" w:ascii="宋体" w:hAnsi="宋体"/>
                <w:kern w:val="0"/>
                <w:sz w:val="24"/>
              </w:rPr>
            </w:pPr>
            <w:r>
              <w:rPr>
                <w:rFonts w:hint="eastAsia"/>
                <w:sz w:val="24"/>
              </w:rPr>
              <w:t>项目服务过程中以及结束后，</w:t>
            </w:r>
            <w:r>
              <w:rPr>
                <w:rFonts w:hint="eastAsia"/>
                <w:sz w:val="24"/>
                <w:lang w:val="en-US" w:eastAsia="zh-CN"/>
              </w:rPr>
              <w:t>响应人</w:t>
            </w:r>
            <w:r>
              <w:rPr>
                <w:rFonts w:hint="eastAsia"/>
                <w:sz w:val="24"/>
              </w:rPr>
              <w:t>对项目实施情况的反馈方式及方法。</w:t>
            </w:r>
          </w:p>
        </w:tc>
        <w:tc>
          <w:tcPr>
            <w:tcW w:w="993" w:type="dxa"/>
            <w:noWrap w:val="0"/>
            <w:vAlign w:val="center"/>
          </w:tcPr>
          <w:p>
            <w:pPr>
              <w:spacing w:line="360" w:lineRule="exact"/>
              <w:jc w:val="center"/>
              <w:rPr>
                <w:rFonts w:ascii="宋体" w:hAnsi="宋体"/>
                <w:sz w:val="24"/>
              </w:rPr>
            </w:pPr>
            <w:r>
              <w:rPr>
                <w:rFonts w:hint="eastAsia" w:ascii="宋体" w:hAnsi="宋体"/>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90" w:type="dxa"/>
            <w:vMerge w:val="continue"/>
            <w:noWrap w:val="0"/>
            <w:vAlign w:val="top"/>
          </w:tcPr>
          <w:p>
            <w:pPr>
              <w:spacing w:line="340" w:lineRule="exact"/>
              <w:jc w:val="center"/>
              <w:rPr>
                <w:rFonts w:ascii="宋体" w:hAnsi="宋体" w:cs="宋体"/>
                <w:sz w:val="24"/>
              </w:rPr>
            </w:pPr>
          </w:p>
        </w:tc>
        <w:tc>
          <w:tcPr>
            <w:tcW w:w="668" w:type="dxa"/>
            <w:noWrap w:val="0"/>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7268" w:type="dxa"/>
            <w:noWrap w:val="0"/>
            <w:vAlign w:val="center"/>
          </w:tcPr>
          <w:p>
            <w:pPr>
              <w:adjustRightInd w:val="0"/>
              <w:rPr>
                <w:rFonts w:ascii="宋体" w:hAnsi="宋体"/>
                <w:sz w:val="24"/>
              </w:rPr>
            </w:pPr>
            <w:r>
              <w:rPr>
                <w:rFonts w:hint="eastAsia" w:ascii="宋体" w:hAnsi="宋体" w:cs="宋体"/>
                <w:color w:val="000000"/>
                <w:sz w:val="24"/>
                <w:lang w:val="zh-CN"/>
              </w:rPr>
              <w:t>对本项目的合理化建议（综合评定）</w:t>
            </w:r>
          </w:p>
        </w:tc>
        <w:tc>
          <w:tcPr>
            <w:tcW w:w="993" w:type="dxa"/>
            <w:noWrap w:val="0"/>
            <w:vAlign w:val="center"/>
          </w:tcPr>
          <w:p>
            <w:pPr>
              <w:adjustRightInd w:val="0"/>
              <w:spacing w:line="360" w:lineRule="exact"/>
              <w:jc w:val="center"/>
            </w:pPr>
            <w:r>
              <w:rPr>
                <w:rFonts w:hint="eastAsia" w:ascii="宋体" w:hAnsi="宋体" w:cs="宋体"/>
                <w:color w:val="00000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0" w:type="dxa"/>
            <w:vMerge w:val="continue"/>
            <w:noWrap w:val="0"/>
            <w:vAlign w:val="top"/>
          </w:tcPr>
          <w:p>
            <w:pPr>
              <w:spacing w:line="340" w:lineRule="exact"/>
              <w:jc w:val="center"/>
              <w:rPr>
                <w:rFonts w:ascii="宋体" w:hAnsi="宋体" w:cs="宋体"/>
                <w:sz w:val="24"/>
              </w:rPr>
            </w:pPr>
          </w:p>
        </w:tc>
        <w:tc>
          <w:tcPr>
            <w:tcW w:w="668" w:type="dxa"/>
            <w:noWrap w:val="0"/>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7268" w:type="dxa"/>
            <w:noWrap w:val="0"/>
            <w:vAlign w:val="center"/>
          </w:tcPr>
          <w:p>
            <w:pPr>
              <w:spacing w:line="300" w:lineRule="exact"/>
              <w:rPr>
                <w:rFonts w:ascii="宋体" w:hAnsi="宋体"/>
                <w:sz w:val="24"/>
              </w:rPr>
            </w:pPr>
            <w:r>
              <w:rPr>
                <w:rFonts w:hint="eastAsia" w:ascii="宋体" w:hAnsi="宋体"/>
                <w:kern w:val="0"/>
                <w:sz w:val="24"/>
              </w:rPr>
              <w:t>发生紧急状况下</w:t>
            </w:r>
            <w:r>
              <w:rPr>
                <w:rFonts w:hint="eastAsia"/>
                <w:sz w:val="24"/>
                <w:lang w:val="en-US" w:eastAsia="zh-CN"/>
              </w:rPr>
              <w:t>响应人</w:t>
            </w:r>
            <w:r>
              <w:rPr>
                <w:rFonts w:hint="eastAsia" w:ascii="宋体" w:hAnsi="宋体"/>
                <w:kern w:val="0"/>
                <w:sz w:val="24"/>
              </w:rPr>
              <w:t>对项目的应急措施及方法。</w:t>
            </w:r>
          </w:p>
        </w:tc>
        <w:tc>
          <w:tcPr>
            <w:tcW w:w="993" w:type="dxa"/>
            <w:noWrap w:val="0"/>
            <w:vAlign w:val="center"/>
          </w:tcPr>
          <w:p>
            <w:pPr>
              <w:spacing w:line="360" w:lineRule="exact"/>
              <w:jc w:val="cente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90" w:type="dxa"/>
            <w:vMerge w:val="continue"/>
            <w:noWrap w:val="0"/>
            <w:vAlign w:val="top"/>
          </w:tcPr>
          <w:p>
            <w:pPr>
              <w:spacing w:line="340" w:lineRule="exact"/>
              <w:jc w:val="center"/>
              <w:rPr>
                <w:rFonts w:hint="eastAsia" w:ascii="宋体" w:hAnsi="宋体" w:cs="宋体"/>
                <w:sz w:val="24"/>
              </w:rPr>
            </w:pPr>
          </w:p>
        </w:tc>
        <w:tc>
          <w:tcPr>
            <w:tcW w:w="668" w:type="dxa"/>
            <w:noWrap w:val="0"/>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9</w:t>
            </w:r>
          </w:p>
        </w:tc>
        <w:tc>
          <w:tcPr>
            <w:tcW w:w="7268" w:type="dxa"/>
            <w:noWrap w:val="0"/>
            <w:vAlign w:val="center"/>
          </w:tcPr>
          <w:p>
            <w:pPr>
              <w:spacing w:line="300" w:lineRule="exact"/>
              <w:rPr>
                <w:rFonts w:hint="eastAsia" w:ascii="宋体" w:hAnsi="宋体"/>
                <w:kern w:val="0"/>
                <w:sz w:val="24"/>
              </w:rPr>
            </w:pPr>
            <w:r>
              <w:rPr>
                <w:rFonts w:hint="eastAsia" w:ascii="宋体" w:hAnsi="宋体"/>
                <w:kern w:val="0"/>
                <w:sz w:val="24"/>
                <w:lang w:eastAsia="zh-CN"/>
              </w:rPr>
              <w:t>响应文件</w:t>
            </w:r>
            <w:r>
              <w:rPr>
                <w:rFonts w:hint="eastAsia" w:ascii="宋体" w:hAnsi="宋体"/>
                <w:kern w:val="0"/>
                <w:sz w:val="24"/>
              </w:rPr>
              <w:t>制作质量</w:t>
            </w:r>
          </w:p>
          <w:p>
            <w:pPr>
              <w:spacing w:line="300" w:lineRule="exact"/>
              <w:rPr>
                <w:rFonts w:ascii="宋体" w:hAnsi="宋体"/>
                <w:sz w:val="24"/>
              </w:rPr>
            </w:pPr>
            <w:r>
              <w:rPr>
                <w:rFonts w:hint="eastAsia" w:ascii="宋体" w:hAnsi="宋体"/>
                <w:kern w:val="0"/>
                <w:sz w:val="24"/>
              </w:rPr>
              <w:t>（根据</w:t>
            </w:r>
            <w:r>
              <w:rPr>
                <w:rFonts w:hint="eastAsia" w:ascii="宋体" w:hAnsi="宋体"/>
                <w:kern w:val="0"/>
                <w:sz w:val="24"/>
                <w:lang w:eastAsia="zh-CN"/>
              </w:rPr>
              <w:t>响应文件</w:t>
            </w:r>
            <w:r>
              <w:rPr>
                <w:rFonts w:hint="eastAsia" w:ascii="宋体" w:hAnsi="宋体"/>
                <w:kern w:val="0"/>
                <w:sz w:val="24"/>
              </w:rPr>
              <w:t>编制有序、内容规范、字句清晰、表述完整等情况综合评定）</w:t>
            </w:r>
          </w:p>
        </w:tc>
        <w:tc>
          <w:tcPr>
            <w:tcW w:w="993" w:type="dxa"/>
            <w:noWrap w:val="0"/>
            <w:vAlign w:val="center"/>
          </w:tcPr>
          <w:p>
            <w:pPr>
              <w:spacing w:line="360" w:lineRule="exact"/>
              <w:jc w:val="cente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790" w:type="dxa"/>
            <w:vMerge w:val="continue"/>
            <w:noWrap w:val="0"/>
            <w:vAlign w:val="top"/>
          </w:tcPr>
          <w:p>
            <w:pPr>
              <w:spacing w:line="340" w:lineRule="exact"/>
              <w:jc w:val="center"/>
              <w:rPr>
                <w:rFonts w:ascii="宋体" w:hAnsi="宋体" w:cs="宋体"/>
                <w:sz w:val="24"/>
              </w:rPr>
            </w:pPr>
          </w:p>
        </w:tc>
        <w:tc>
          <w:tcPr>
            <w:tcW w:w="668"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7268" w:type="dxa"/>
            <w:noWrap w:val="0"/>
            <w:vAlign w:val="center"/>
          </w:tcPr>
          <w:p>
            <w:pPr>
              <w:spacing w:line="300" w:lineRule="exact"/>
              <w:rPr>
                <w:rFonts w:ascii="宋体" w:hAnsi="宋体"/>
                <w:kern w:val="0"/>
                <w:sz w:val="24"/>
              </w:rPr>
            </w:pPr>
            <w:r>
              <w:rPr>
                <w:rFonts w:hint="eastAsia"/>
                <w:sz w:val="24"/>
                <w:lang w:val="en-US" w:eastAsia="zh-CN"/>
              </w:rPr>
              <w:t>响应人</w:t>
            </w:r>
            <w:r>
              <w:rPr>
                <w:rFonts w:hint="eastAsia" w:ascii="宋体" w:hAnsi="宋体"/>
                <w:kern w:val="0"/>
                <w:sz w:val="24"/>
              </w:rPr>
              <w:t>能利用自身资源给交易人提供的其他服务。</w:t>
            </w:r>
          </w:p>
        </w:tc>
        <w:tc>
          <w:tcPr>
            <w:tcW w:w="993" w:type="dxa"/>
            <w:noWrap w:val="0"/>
            <w:vAlign w:val="center"/>
          </w:tcPr>
          <w:p>
            <w:pPr>
              <w:spacing w:line="360" w:lineRule="exact"/>
              <w:jc w:val="center"/>
              <w:rPr>
                <w:rFonts w:hint="eastAsia" w:ascii="宋体" w:hAnsi="宋体"/>
                <w:sz w:val="24"/>
              </w:rPr>
            </w:pPr>
            <w:r>
              <w:rPr>
                <w:rFonts w:hint="eastAsia" w:ascii="宋体" w:hAnsi="宋体"/>
                <w:sz w:val="24"/>
              </w:rPr>
              <w:t>0-5分</w:t>
            </w:r>
          </w:p>
        </w:tc>
      </w:tr>
    </w:tbl>
    <w:p>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编制</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文件（商务技术文件部分）时，建议按此目录（序号和内容）提供评标标准相应的商务技术资料。 </w:t>
      </w:r>
    </w:p>
    <w:p>
      <w:pPr>
        <w:widowControl/>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价格</w:t>
      </w:r>
      <w:r>
        <w:rPr>
          <w:rFonts w:hint="eastAsia" w:ascii="宋体" w:hAnsi="宋体" w:cs="宋体"/>
          <w:b/>
          <w:bCs/>
          <w:color w:val="auto"/>
          <w:sz w:val="24"/>
          <w:highlight w:val="none"/>
          <w:lang w:val="en-US" w:eastAsia="zh-CN"/>
        </w:rPr>
        <w:t>部分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r>
        <w:rPr>
          <w:rFonts w:hint="eastAsia" w:ascii="宋体" w:hAnsi="宋体" w:cs="宋体"/>
          <w:b/>
          <w:bCs/>
          <w:color w:val="auto"/>
          <w:sz w:val="24"/>
          <w:highlight w:val="none"/>
          <w:lang w:eastAsia="zh-CN"/>
        </w:rPr>
        <w:t>：</w:t>
      </w:r>
    </w:p>
    <w:tbl>
      <w:tblPr>
        <w:tblStyle w:val="64"/>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94" w:type="dxa"/>
            <w:vAlign w:val="center"/>
          </w:tcPr>
          <w:p>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tc>
        <w:tc>
          <w:tcPr>
            <w:tcW w:w="7054" w:type="dxa"/>
            <w:vAlign w:val="center"/>
          </w:tcPr>
          <w:p>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4"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价格权值=0.</w:t>
            </w:r>
            <w:r>
              <w:rPr>
                <w:rFonts w:hint="eastAsia" w:ascii="宋体" w:hAnsi="宋体" w:cs="宋体"/>
                <w:color w:val="auto"/>
                <w:kern w:val="2"/>
                <w:sz w:val="24"/>
                <w:szCs w:val="24"/>
                <w:highlight w:val="none"/>
                <w:u w:val="none"/>
                <w:lang w:val="en-US" w:eastAsia="zh-CN" w:bidi="ar-SA"/>
              </w:rPr>
              <w:t>10</w:t>
            </w:r>
          </w:p>
        </w:tc>
        <w:tc>
          <w:tcPr>
            <w:tcW w:w="7054"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最低有效投标价格为评标基准价</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投标报价得分=(评标基准价／投标报价)×价格权值×100 </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cs="宋体"/>
          <w:b/>
          <w:color w:val="auto"/>
          <w:kern w:val="0"/>
          <w:sz w:val="24"/>
          <w:highlight w:val="none"/>
          <w:lang w:eastAsia="zh-CN"/>
        </w:rPr>
        <w:t>综合评估法</w:t>
      </w:r>
      <w:r>
        <w:rPr>
          <w:rFonts w:hint="eastAsia" w:ascii="宋体" w:hAnsi="宋体" w:eastAsia="宋体" w:cs="宋体"/>
          <w:b/>
          <w:color w:val="auto"/>
          <w:kern w:val="0"/>
          <w:sz w:val="24"/>
          <w:highlight w:val="none"/>
        </w:rPr>
        <w:t>。</w:t>
      </w:r>
      <w:r>
        <w:rPr>
          <w:rFonts w:hint="eastAsia" w:ascii="宋体" w:hAnsi="宋体" w:cs="宋体"/>
          <w:color w:val="auto"/>
          <w:kern w:val="0"/>
          <w:sz w:val="24"/>
          <w:highlight w:val="none"/>
          <w:lang w:eastAsia="zh-CN"/>
        </w:rPr>
        <w:t>综合评估法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bookmarkEnd w:id="15"/>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bookmarkStart w:id="381" w:name="第五部分"/>
      <w:bookmarkStart w:id="382"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eastAsia="zh-CN"/>
        </w:rPr>
        <w:t>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8"/>
        <w:pageBreakBefore w:val="0"/>
        <w:kinsoku/>
        <w:wordWrap/>
        <w:overflowPunct/>
        <w:topLinePunct w:val="0"/>
        <w:autoSpaceDE/>
        <w:autoSpaceDN/>
        <w:bidi w:val="0"/>
        <w:spacing w:before="0" w:line="57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pPr>
        <w:pageBreakBefore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cs="宋体"/>
          <w:color w:val="auto"/>
          <w:kern w:val="0"/>
          <w:sz w:val="24"/>
          <w:highlight w:val="none"/>
          <w:lang w:eastAsia="zh-CN"/>
        </w:rPr>
        <w:t>综合评估法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38"/>
        <w:pageBreakBefore w:val="0"/>
        <w:kinsoku/>
        <w:wordWrap/>
        <w:overflowPunct/>
        <w:topLinePunct w:val="0"/>
        <w:autoSpaceDE/>
        <w:autoSpaceDN/>
        <w:bidi w:val="0"/>
        <w:spacing w:before="0" w:line="57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pPr>
        <w:pStyle w:val="25"/>
        <w:pageBreakBefore w:val="0"/>
        <w:kinsoku/>
        <w:wordWrap/>
        <w:overflowPunct/>
        <w:topLinePunct w:val="0"/>
        <w:autoSpaceDE/>
        <w:autoSpaceDN/>
        <w:bidi w:val="0"/>
        <w:spacing w:line="57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pPr>
        <w:pageBreakBefore w:val="0"/>
        <w:kinsoku/>
        <w:wordWrap/>
        <w:overflowPunct/>
        <w:topLinePunct w:val="0"/>
        <w:autoSpaceDE/>
        <w:autoSpaceDN/>
        <w:bidi w:val="0"/>
        <w:snapToGrid w:val="0"/>
        <w:spacing w:line="570" w:lineRule="exact"/>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pPr>
        <w:pageBreakBefore w:val="0"/>
        <w:kinsoku/>
        <w:wordWrap/>
        <w:overflowPunct/>
        <w:topLinePunct w:val="0"/>
        <w:autoSpaceDE/>
        <w:autoSpaceDN/>
        <w:bidi w:val="0"/>
        <w:spacing w:line="57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4"/>
        <w:pageBreakBefore w:val="0"/>
        <w:kinsoku/>
        <w:wordWrap/>
        <w:overflowPunct/>
        <w:topLinePunct w:val="0"/>
        <w:autoSpaceDE/>
        <w:autoSpaceDN/>
        <w:bidi w:val="0"/>
        <w:spacing w:line="57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5"/>
        <w:pageBreakBefore w:val="0"/>
        <w:kinsoku/>
        <w:wordWrap/>
        <w:overflowPunct/>
        <w:topLinePunct w:val="0"/>
        <w:autoSpaceDE/>
        <w:autoSpaceDN/>
        <w:bidi w:val="0"/>
        <w:snapToGrid w:val="0"/>
        <w:spacing w:line="57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pPr>
        <w:pStyle w:val="25"/>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25"/>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pStyle w:val="25"/>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highlight w:val="none"/>
          <w:lang w:eastAsia="zh-CN"/>
        </w:rPr>
      </w:pPr>
      <w:r>
        <w:rPr>
          <w:rFonts w:hint="eastAsia" w:cs="宋体"/>
          <w:color w:val="auto"/>
          <w:highlight w:val="none"/>
          <w:lang w:eastAsia="zh-CN"/>
        </w:rPr>
        <w:t>（</w:t>
      </w:r>
      <w:r>
        <w:rPr>
          <w:rFonts w:hint="eastAsia" w:cs="宋体"/>
          <w:color w:val="auto"/>
          <w:highlight w:val="none"/>
          <w:lang w:val="en-US" w:eastAsia="zh-CN"/>
        </w:rPr>
        <w:t>以最终签订版本为准</w:t>
      </w:r>
      <w:r>
        <w:rPr>
          <w:rFonts w:hint="eastAsia" w:cs="宋体"/>
          <w:color w:val="auto"/>
          <w:highlight w:val="none"/>
          <w:lang w:eastAsia="zh-CN"/>
        </w:rPr>
        <w:t>）</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w:t>
      </w:r>
      <w:r>
        <w:rPr>
          <w:rFonts w:hint="eastAsia" w:ascii="宋体" w:hAnsi="宋体" w:eastAsia="宋体" w:cs="宋体"/>
          <w:color w:val="auto"/>
          <w:highlight w:val="none"/>
          <w:lang w:val="en-US" w:eastAsia="zh-CN"/>
        </w:rPr>
        <w:t>2</w:t>
      </w:r>
      <w:r>
        <w:rPr>
          <w:rFonts w:hint="eastAsia" w:cs="宋体"/>
          <w:color w:val="auto"/>
          <w:highlight w:val="none"/>
          <w:lang w:val="en-US" w:eastAsia="zh-CN"/>
        </w:rPr>
        <w:t>4</w:t>
      </w:r>
      <w:r>
        <w:rPr>
          <w:rFonts w:hint="eastAsia" w:ascii="宋体" w:hAnsi="宋体" w:eastAsia="宋体" w:cs="宋体"/>
          <w:color w:val="auto"/>
          <w:highlight w:val="none"/>
        </w:rPr>
        <w:t>年  月  日</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供、需双方根据</w:t>
      </w:r>
      <w:r>
        <w:rPr>
          <w:rFonts w:hint="eastAsia" w:cs="宋体"/>
          <w:color w:val="auto"/>
          <w:highlight w:val="none"/>
          <w:u w:val="single"/>
          <w:lang w:val="en-US" w:eastAsia="zh-CN"/>
        </w:rPr>
        <w:t xml:space="preserve">                        </w:t>
      </w:r>
      <w:r>
        <w:rPr>
          <w:rFonts w:hint="eastAsia" w:ascii="宋体" w:hAnsi="宋体" w:eastAsia="宋体" w:cs="宋体"/>
          <w:color w:val="auto"/>
          <w:highlight w:val="none"/>
        </w:rPr>
        <w:t>采购项目（</w:t>
      </w:r>
      <w:r>
        <w:rPr>
          <w:rFonts w:hint="eastAsia" w:cs="宋体"/>
          <w:color w:val="auto"/>
          <w:highlight w:val="none"/>
          <w:lang w:val="en-US" w:eastAsia="zh-CN"/>
        </w:rPr>
        <w:t>交易</w:t>
      </w:r>
      <w:r>
        <w:rPr>
          <w:rFonts w:hint="eastAsia" w:ascii="宋体" w:hAnsi="宋体" w:eastAsia="宋体" w:cs="宋体"/>
          <w:color w:val="auto"/>
          <w:highlight w:val="none"/>
        </w:rPr>
        <w:t>编号  -  -   ）招标结果和</w:t>
      </w:r>
      <w:r>
        <w:rPr>
          <w:rFonts w:hint="eastAsia" w:cs="宋体"/>
          <w:color w:val="auto"/>
          <w:highlight w:val="none"/>
          <w:lang w:val="en-US" w:eastAsia="zh-CN"/>
        </w:rPr>
        <w:t>交易</w:t>
      </w:r>
      <w:r>
        <w:rPr>
          <w:rFonts w:hint="eastAsia" w:ascii="宋体" w:hAnsi="宋体" w:eastAsia="宋体" w:cs="宋体"/>
          <w:color w:val="auto"/>
          <w:highlight w:val="none"/>
        </w:rPr>
        <w:t>文件的要求，并经双方协调一致，订立本采购合同。</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cs="宋体"/>
          <w:color w:val="auto"/>
          <w:highlight w:val="none"/>
          <w:lang w:val="en-US" w:eastAsia="zh-CN"/>
        </w:rPr>
        <w:t>成交</w:t>
      </w:r>
      <w:r>
        <w:rPr>
          <w:rFonts w:hint="eastAsia" w:ascii="宋体" w:hAnsi="宋体" w:eastAsia="宋体" w:cs="宋体"/>
          <w:color w:val="auto"/>
          <w:highlight w:val="none"/>
        </w:rPr>
        <w:t>通知书。</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val="en-US" w:eastAsia="zh-CN"/>
        </w:rPr>
        <w:t>交易</w:t>
      </w:r>
      <w:r>
        <w:rPr>
          <w:rFonts w:hint="eastAsia" w:ascii="宋体" w:hAnsi="宋体" w:eastAsia="宋体" w:cs="宋体"/>
          <w:color w:val="auto"/>
          <w:highlight w:val="none"/>
        </w:rPr>
        <w:t>文件。</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cs="宋体"/>
          <w:color w:val="auto"/>
          <w:highlight w:val="none"/>
          <w:lang w:val="en-US" w:eastAsia="zh-CN"/>
        </w:rPr>
        <w:t>成交</w:t>
      </w:r>
      <w:r>
        <w:rPr>
          <w:rFonts w:hint="eastAsia" w:ascii="宋体" w:hAnsi="宋体" w:eastAsia="宋体" w:cs="宋体"/>
          <w:color w:val="auto"/>
          <w:highlight w:val="none"/>
        </w:rPr>
        <w:t>单位</w:t>
      </w:r>
      <w:r>
        <w:rPr>
          <w:rFonts w:hint="eastAsia" w:cs="宋体"/>
          <w:color w:val="auto"/>
          <w:highlight w:val="none"/>
          <w:lang w:val="en-US" w:eastAsia="zh-CN"/>
        </w:rPr>
        <w:t>响应</w:t>
      </w:r>
      <w:r>
        <w:rPr>
          <w:rFonts w:hint="eastAsia" w:ascii="宋体" w:hAnsi="宋体" w:eastAsia="宋体" w:cs="宋体"/>
          <w:color w:val="auto"/>
          <w:highlight w:val="none"/>
        </w:rPr>
        <w:t>文件。</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6、其他。</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rPr>
        <w:t>二、合同金额: 本合同金额为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大写</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人民币</w:t>
      </w:r>
      <w:r>
        <w:rPr>
          <w:rFonts w:hint="eastAsia" w:ascii="宋体" w:hAnsi="宋体" w:eastAsia="宋体" w:cs="宋体"/>
          <w:color w:val="auto"/>
          <w:highlight w:val="none"/>
          <w:u w:val="none"/>
          <w:lang w:val="en-US" w:eastAsia="zh-CN"/>
        </w:rPr>
        <w:t>。</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内容</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bl>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1.乙方应按招标文件规定的时间向甲方提供有关技术资料。</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、转包或分包</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，乙方不得将本合同范围的服务全部或部分分包给他人供应；</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.如有转让和未经甲方同意的分包行为，甲方有权解除合同，追究乙方的违约责任。</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、服务质量保证期</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服务</w:t>
      </w:r>
      <w:r>
        <w:rPr>
          <w:rFonts w:hint="eastAsia" w:ascii="宋体" w:hAnsi="宋体" w:eastAsia="宋体" w:cs="宋体"/>
          <w:color w:val="auto"/>
          <w:highlight w:val="none"/>
          <w:lang w:eastAsia="zh-CN"/>
        </w:rPr>
        <w:t>时间：</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、合同履行时间、履行方式及履行地点</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 履行方式：</w:t>
      </w:r>
      <w:r>
        <w:rPr>
          <w:rFonts w:hint="eastAsia" w:ascii="宋体" w:hAnsi="宋体" w:eastAsia="宋体" w:cs="宋体"/>
          <w:color w:val="auto"/>
          <w:highlight w:val="none"/>
          <w:lang w:val="en-US" w:eastAsia="zh-CN"/>
        </w:rPr>
        <w:t>按合同履行。</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 履行地点：</w:t>
      </w:r>
      <w:r>
        <w:rPr>
          <w:rFonts w:hint="eastAsia" w:ascii="宋体" w:hAnsi="宋体" w:eastAsia="宋体" w:cs="宋体"/>
          <w:color w:val="auto"/>
          <w:highlight w:val="none"/>
          <w:lang w:val="en-US" w:eastAsia="zh-CN"/>
        </w:rPr>
        <w:t>甲方指定地点内。</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、款项支付</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参照</w:t>
      </w:r>
      <w:r>
        <w:rPr>
          <w:rFonts w:hint="eastAsia" w:cs="宋体"/>
          <w:color w:val="auto"/>
          <w:highlight w:val="none"/>
          <w:lang w:val="en-US" w:eastAsia="zh-CN"/>
        </w:rPr>
        <w:t>交易</w:t>
      </w:r>
      <w:r>
        <w:rPr>
          <w:rFonts w:hint="eastAsia" w:ascii="宋体" w:hAnsi="宋体" w:eastAsia="宋体" w:cs="宋体"/>
          <w:color w:val="auto"/>
          <w:highlight w:val="none"/>
          <w:lang w:val="en-US" w:eastAsia="zh-CN"/>
        </w:rPr>
        <w:t>需求</w:t>
      </w:r>
      <w:r>
        <w:rPr>
          <w:rFonts w:hint="eastAsia" w:cs="宋体"/>
          <w:color w:val="auto"/>
          <w:highlight w:val="none"/>
          <w:lang w:val="en-US" w:eastAsia="zh-CN"/>
        </w:rPr>
        <w:t>。</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cs="宋体"/>
          <w:color w:val="auto"/>
          <w:highlight w:val="none"/>
          <w:lang w:eastAsia="zh-CN"/>
        </w:rPr>
        <w:t>八</w:t>
      </w:r>
      <w:r>
        <w:rPr>
          <w:rFonts w:hint="eastAsia" w:ascii="宋体" w:hAnsi="宋体" w:eastAsia="宋体" w:cs="宋体"/>
          <w:color w:val="auto"/>
          <w:highlight w:val="none"/>
        </w:rPr>
        <w:t>、税费</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cs="宋体"/>
          <w:color w:val="auto"/>
          <w:highlight w:val="none"/>
          <w:lang w:val="en-US" w:eastAsia="zh-CN"/>
        </w:rPr>
        <w:t>九</w:t>
      </w:r>
      <w:r>
        <w:rPr>
          <w:rFonts w:hint="eastAsia" w:ascii="宋体" w:hAnsi="宋体" w:eastAsia="宋体" w:cs="宋体"/>
          <w:color w:val="auto"/>
          <w:highlight w:val="none"/>
        </w:rPr>
        <w:t>、质量保证及后续服务</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乙方应按招标文件规定向甲方提供服务。</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w:t>
      </w:r>
      <w:r>
        <w:rPr>
          <w:rFonts w:hint="eastAsia" w:ascii="宋体" w:hAnsi="宋体" w:eastAsia="宋体" w:cs="宋体"/>
          <w:color w:val="auto"/>
          <w:highlight w:val="none"/>
          <w:lang w:val="en-US" w:eastAsia="zh-CN"/>
        </w:rPr>
        <w:t>问题或产出重大不良影响的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除按结算条款扣除结算金额外，</w:t>
      </w:r>
      <w:r>
        <w:rPr>
          <w:rFonts w:hint="eastAsia" w:ascii="宋体" w:hAnsi="宋体" w:eastAsia="宋体" w:cs="宋体"/>
          <w:color w:val="auto"/>
          <w:highlight w:val="none"/>
        </w:rPr>
        <w:t>乙方应负责免费提供后续</w:t>
      </w:r>
      <w:r>
        <w:rPr>
          <w:rFonts w:hint="eastAsia" w:ascii="宋体" w:hAnsi="宋体" w:eastAsia="宋体" w:cs="宋体"/>
          <w:color w:val="auto"/>
          <w:highlight w:val="none"/>
          <w:lang w:val="en-US" w:eastAsia="zh-CN"/>
        </w:rPr>
        <w:t>善后</w:t>
      </w:r>
      <w:r>
        <w:rPr>
          <w:rFonts w:hint="eastAsia" w:ascii="宋体" w:hAnsi="宋体" w:eastAsia="宋体" w:cs="宋体"/>
          <w:color w:val="auto"/>
          <w:highlight w:val="none"/>
        </w:rPr>
        <w:t>服务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同时承担相应责任。</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十、违约责任</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.乙方未能如期提供服务的，每日向甲方支付合同款项的千分之六作为违约金。乙方超过约定日期10个工作日仍不能提供服务的，甲方可解除本合同，</w:t>
      </w:r>
      <w:r>
        <w:rPr>
          <w:rFonts w:hint="eastAsia" w:ascii="宋体" w:hAnsi="宋体" w:eastAsia="宋体" w:cs="宋体"/>
          <w:color w:val="auto"/>
          <w:highlight w:val="none"/>
          <w:lang w:val="en-US" w:eastAsia="zh-CN"/>
        </w:rPr>
        <w:t>追究</w:t>
      </w:r>
      <w:r>
        <w:rPr>
          <w:rFonts w:hint="eastAsia" w:ascii="宋体" w:hAnsi="宋体" w:eastAsia="宋体" w:cs="宋体"/>
          <w:color w:val="auto"/>
          <w:highlight w:val="none"/>
        </w:rPr>
        <w:t>乙赔偿责任</w:t>
      </w:r>
      <w:r>
        <w:rPr>
          <w:rFonts w:hint="eastAsia" w:cs="宋体"/>
          <w:color w:val="auto"/>
          <w:highlight w:val="none"/>
          <w:lang w:eastAsia="zh-CN"/>
        </w:rPr>
        <w:t>。</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.如发现乙方违反招</w:t>
      </w:r>
      <w:r>
        <w:rPr>
          <w:rFonts w:hint="eastAsia" w:cs="宋体"/>
          <w:color w:val="auto"/>
          <w:highlight w:val="none"/>
          <w:lang w:eastAsia="zh-CN"/>
        </w:rPr>
        <w:t>响应文件</w:t>
      </w:r>
      <w:r>
        <w:rPr>
          <w:rFonts w:hint="eastAsia" w:ascii="宋体" w:hAnsi="宋体" w:eastAsia="宋体" w:cs="宋体"/>
          <w:color w:val="auto"/>
          <w:highlight w:val="none"/>
        </w:rPr>
        <w:t>和合同的有关规定，甲方有权根据约定和《杭州市政府采购供应商合同履行和售后服务考核暂行办法》，对乙方进行处罚，并有权提前终止合同。</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cs="宋体"/>
          <w:color w:val="auto"/>
          <w:highlight w:val="none"/>
          <w:lang w:val="en-US" w:eastAsia="zh-CN"/>
        </w:rPr>
        <w:t>一</w:t>
      </w:r>
      <w:r>
        <w:rPr>
          <w:rFonts w:hint="eastAsia" w:ascii="宋体" w:hAnsi="宋体" w:eastAsia="宋体" w:cs="宋体"/>
          <w:color w:val="auto"/>
          <w:highlight w:val="none"/>
        </w:rPr>
        <w:t>、争议的解决</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cs="宋体"/>
          <w:color w:val="auto"/>
          <w:highlight w:val="none"/>
          <w:lang w:val="en-US" w:eastAsia="zh-CN"/>
        </w:rPr>
        <w:t>二</w:t>
      </w:r>
      <w:r>
        <w:rPr>
          <w:rFonts w:hint="eastAsia" w:ascii="宋体" w:hAnsi="宋体" w:eastAsia="宋体" w:cs="宋体"/>
          <w:color w:val="auto"/>
          <w:highlight w:val="none"/>
        </w:rPr>
        <w:t>、合同生效</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cs="宋体"/>
          <w:color w:val="auto"/>
          <w:highlight w:val="none"/>
          <w:lang w:val="en-US" w:eastAsia="zh-CN"/>
        </w:rPr>
        <w:t>成交</w:t>
      </w:r>
      <w:r>
        <w:rPr>
          <w:rFonts w:hint="eastAsia" w:ascii="宋体" w:hAnsi="宋体" w:eastAsia="宋体" w:cs="宋体"/>
          <w:color w:val="auto"/>
          <w:highlight w:val="none"/>
        </w:rPr>
        <w:t>方持</w:t>
      </w:r>
      <w:r>
        <w:rPr>
          <w:rFonts w:hint="eastAsia" w:cs="宋体"/>
          <w:color w:val="auto"/>
          <w:highlight w:val="none"/>
          <w:lang w:val="en-US" w:eastAsia="zh-CN"/>
        </w:rPr>
        <w:t>成交</w:t>
      </w:r>
      <w:r>
        <w:rPr>
          <w:rFonts w:hint="eastAsia" w:ascii="宋体" w:hAnsi="宋体" w:eastAsia="宋体" w:cs="宋体"/>
          <w:color w:val="auto"/>
          <w:highlight w:val="none"/>
        </w:rPr>
        <w:t>通知书作为与需方签订合同的凭证。</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2.本合同经需、供双方法定代表人（符合浙财采监【2013】24号第六条规定的为负责人）或其授权委托人签字并加盖单位公章后生效。</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帐号：                             帐号：</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rPr>
          <w:rFonts w:hint="eastAsia" w:ascii="宋体" w:hAnsi="宋体" w:eastAsia="宋体" w:cs="宋体"/>
          <w:color w:val="auto"/>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r>
        <w:rPr>
          <w:rFonts w:hint="eastAsia" w:ascii="宋体" w:hAnsi="宋体" w:eastAsia="宋体" w:cs="宋体"/>
          <w:b/>
          <w:color w:val="auto"/>
          <w:sz w:val="36"/>
          <w:szCs w:val="20"/>
          <w:highlight w:val="none"/>
        </w:rPr>
        <w:t xml:space="preserve"> </w:t>
      </w:r>
      <w:bookmarkEnd w:id="382"/>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代理机构</w:t>
      </w:r>
      <w:r>
        <w:rPr>
          <w:rFonts w:hint="eastAsia" w:ascii="宋体" w:hAnsi="宋体" w:eastAsia="宋体" w:cs="宋体"/>
          <w:color w:val="auto"/>
          <w:sz w:val="24"/>
          <w:highlight w:val="none"/>
          <w:u w:val="singl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p>
    <w:p>
      <w:pPr>
        <w:spacing w:line="360" w:lineRule="auto"/>
        <w:jc w:val="center"/>
        <w:rPr>
          <w:rFonts w:hint="eastAsia" w:ascii="宋体" w:hAnsi="宋体" w:eastAsia="宋体" w:cs="宋体"/>
          <w:color w:val="auto"/>
          <w:kern w:val="0"/>
          <w:sz w:val="24"/>
          <w:highlight w:val="none"/>
          <w:lang w:val="zh-CN"/>
        </w:rPr>
      </w:pPr>
    </w:p>
    <w:p>
      <w:pPr>
        <w:widowControl/>
        <w:spacing w:line="360" w:lineRule="auto"/>
        <w:ind w:left="15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交易函</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lang w:eastAsia="zh-CN"/>
        </w:rPr>
        <w:t>营业执照；</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书后，在</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24"/>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交易项目的一切事项，其法律后果由我方承担。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响应人</w:t>
      </w:r>
      <w:r>
        <w:rPr>
          <w:rFonts w:hint="eastAsia" w:ascii="宋体" w:hAnsi="宋体" w:eastAsia="宋体" w:cs="宋体"/>
          <w:b/>
          <w:color w:val="auto"/>
          <w:sz w:val="30"/>
          <w:szCs w:val="30"/>
          <w:highlight w:val="none"/>
        </w:rPr>
        <w:t>参加投标）</w:t>
      </w:r>
    </w:p>
    <w:p>
      <w:pPr>
        <w:pStyle w:val="15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6"/>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三、营业执照</w:t>
      </w:r>
    </w:p>
    <w:p>
      <w:pPr>
        <w:jc w:val="center"/>
        <w:rPr>
          <w:rFonts w:hint="eastAsia" w:ascii="宋体" w:hAnsi="宋体" w:eastAsia="宋体" w:cs="宋体"/>
          <w:b/>
          <w:color w:val="auto"/>
          <w:kern w:val="0"/>
          <w:sz w:val="32"/>
          <w:szCs w:val="32"/>
          <w:highlight w:val="none"/>
          <w:lang w:eastAsia="zh-CN"/>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6"/>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p>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不少于</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w:t>
            </w:r>
          </w:p>
        </w:tc>
        <w:tc>
          <w:tcPr>
            <w:tcW w:w="3566"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交易函</w:t>
            </w:r>
          </w:p>
        </w:tc>
        <w:tc>
          <w:tcPr>
            <w:tcW w:w="1418" w:type="dxa"/>
            <w:vAlign w:val="center"/>
          </w:tcPr>
          <w:p>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w:t>
      </w:r>
      <w:r>
        <w:rPr>
          <w:rFonts w:hint="eastAsia" w:ascii="宋体" w:hAnsi="宋体" w:eastAsia="宋体" w:cs="宋体"/>
          <w:b/>
          <w:color w:val="auto"/>
          <w:kern w:val="0"/>
          <w:sz w:val="32"/>
          <w:szCs w:val="32"/>
          <w:highlight w:val="none"/>
          <w:lang w:eastAsia="zh-CN"/>
        </w:rPr>
        <w:t>审</w:t>
      </w:r>
      <w:r>
        <w:rPr>
          <w:rFonts w:hint="eastAsia" w:ascii="宋体" w:hAnsi="宋体" w:eastAsia="宋体" w:cs="宋体"/>
          <w:b/>
          <w:color w:val="auto"/>
          <w:kern w:val="0"/>
          <w:sz w:val="32"/>
          <w:szCs w:val="32"/>
          <w:highlight w:val="none"/>
        </w:rPr>
        <w:t>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62"/>
        <w:rPr>
          <w:rFonts w:hint="eastAsia" w:ascii="宋体" w:hAnsi="宋体" w:eastAsia="宋体" w:cs="宋体"/>
          <w:b/>
          <w:color w:val="auto"/>
          <w:kern w:val="0"/>
          <w:sz w:val="32"/>
          <w:szCs w:val="32"/>
          <w:highlight w:val="none"/>
        </w:rPr>
      </w:pPr>
    </w:p>
    <w:p>
      <w:pPr>
        <w:pStyle w:val="52"/>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公开竞争文件</w:t>
            </w:r>
            <w:r>
              <w:rPr>
                <w:rFonts w:hint="eastAsia" w:ascii="宋体" w:hAnsi="宋体" w:eastAsia="宋体" w:cs="宋体"/>
                <w:b/>
                <w:bCs/>
                <w:color w:val="auto"/>
                <w:sz w:val="24"/>
                <w:highlight w:val="none"/>
              </w:rPr>
              <w:t>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p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default" w:ascii="宋体" w:hAnsi="宋体" w:eastAsia="宋体" w:cs="宋体"/>
          <w:b/>
          <w:color w:val="auto"/>
          <w:kern w:val="0"/>
          <w:sz w:val="32"/>
          <w:szCs w:val="32"/>
          <w:highlight w:val="none"/>
          <w:lang w:val="en-US" w:eastAsia="zh-CN"/>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交易一览表</w:t>
      </w:r>
      <w:r>
        <w:rPr>
          <w:rFonts w:hint="eastAsia" w:ascii="宋体" w:hAnsi="宋体" w:eastAsia="宋体" w:cs="宋体"/>
          <w:color w:val="auto"/>
          <w:kern w:val="2"/>
          <w:sz w:val="32"/>
          <w:szCs w:val="32"/>
          <w:highlight w:val="none"/>
        </w:rPr>
        <w:t>（报价表）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交易一览表（报价表）(单位均为人民币元)</w:t>
      </w:r>
    </w:p>
    <w:tbl>
      <w:tblPr>
        <w:tblStyle w:val="64"/>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1586"/>
        <w:gridCol w:w="3968"/>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39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金额等予以公示。</w:t>
      </w:r>
    </w:p>
    <w:p>
      <w:pPr>
        <w:spacing w:line="360" w:lineRule="auto"/>
        <w:ind w:firstLine="482" w:firstLineChars="200"/>
        <w:rPr>
          <w:rFonts w:hint="eastAsia" w:ascii="宋体" w:hAnsi="宋体" w:eastAsia="宋体" w:cs="宋体"/>
          <w:b/>
          <w:color w:val="auto"/>
          <w:kern w:val="0"/>
          <w:sz w:val="24"/>
          <w:highlight w:val="none"/>
        </w:rPr>
      </w:pP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pacing w:val="6"/>
          <w:sz w:val="32"/>
          <w:szCs w:val="32"/>
          <w:highlight w:val="none"/>
          <w:lang w:val="zh-CN" w:eastAsia="zh-CN"/>
        </w:rPr>
        <w:t>异议</w:t>
      </w:r>
      <w:r>
        <w:rPr>
          <w:rFonts w:hint="eastAsia" w:ascii="宋体" w:hAnsi="宋体" w:eastAsia="宋体" w:cs="宋体"/>
          <w:b/>
          <w:color w:val="auto"/>
          <w:spacing w:val="6"/>
          <w:sz w:val="32"/>
          <w:szCs w:val="32"/>
          <w:highlight w:val="none"/>
        </w:rPr>
        <w:t>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lang w:eastAsia="zh-CN"/>
        </w:rPr>
        <w:t>异议</w:t>
      </w:r>
      <w:r>
        <w:rPr>
          <w:rFonts w:hint="eastAsia" w:ascii="宋体" w:hAnsi="宋体" w:eastAsia="宋体" w:cs="宋体"/>
          <w:b/>
          <w:color w:val="auto"/>
          <w:spacing w:val="6"/>
          <w:sz w:val="32"/>
          <w:szCs w:val="32"/>
          <w:highlight w:val="none"/>
        </w:rPr>
        <w:t>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w:t>
      </w:r>
      <w:r>
        <w:rPr>
          <w:rFonts w:hint="eastAsia" w:ascii="宋体" w:hAnsi="宋体" w:eastAsia="宋体" w:cs="宋体"/>
          <w:bCs/>
          <w:color w:val="auto"/>
          <w:sz w:val="24"/>
          <w:highlight w:val="none"/>
          <w:lang w:eastAsia="zh-CN"/>
        </w:rPr>
        <w:t>异议响应人</w:t>
      </w:r>
      <w:r>
        <w:rPr>
          <w:rFonts w:hint="eastAsia" w:ascii="宋体" w:hAnsi="宋体" w:eastAsia="宋体" w:cs="宋体"/>
          <w:bCs/>
          <w:color w:val="auto"/>
          <w:sz w:val="24"/>
          <w:highlight w:val="none"/>
        </w:rPr>
        <w:t>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事项相关的</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时，应提交</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若委托代理人进行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函应按要求列明“授权代表”的有关内容，并在附件中提交由</w:t>
      </w:r>
      <w:r>
        <w:rPr>
          <w:rFonts w:hint="eastAsia" w:ascii="宋体" w:hAnsi="宋体" w:eastAsia="宋体" w:cs="宋体"/>
          <w:color w:val="auto"/>
          <w:sz w:val="24"/>
          <w:highlight w:val="none"/>
          <w:lang w:eastAsia="zh-CN"/>
        </w:rPr>
        <w:t>异议</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若对项目的某一分包进行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请求应与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为自然人的，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函应由本人签字；</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为法人或者其他组织的，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lang w:eastAsia="zh-CN"/>
        </w:rPr>
        <w:t>交易发起人</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default" w:eastAsia="宋体"/>
        <w:lang w:val="en-US" w:eastAsia="zh-CN"/>
      </w:rPr>
    </w:pPr>
    <w:r>
      <w:rPr>
        <w:rFonts w:hint="eastAsia"/>
        <w:lang w:val="en-US" w:eastAsia="zh-CN"/>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lang w:val="en-US" w:eastAsia="zh-CN"/>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lang w:val="en-US" w:eastAsia="zh-CN"/>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lang w:val="en-US" w:eastAsia="zh-CN"/>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lang w:val="en-US" w:eastAsia="zh-CN"/>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t></w:t>
    </w:r>
    <w:r>
      <w:rPr>
        <w:rFonts w:hint="eastAsia"/>
      </w:rPr>
      <w:t xml:space="preserve">                                             </w:t>
    </w:r>
    <w:r>
      <w:rPr>
        <w:rFonts w:hint="eastAsia"/>
        <w:lang w:val="en-US" w:eastAsia="zh-CN"/>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fe55a21f-5607-4c54-8c9b-a7456eb72dfe"/>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3A4"/>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0F5"/>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2176"/>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2F4C6F"/>
    <w:rsid w:val="025F0711"/>
    <w:rsid w:val="02644317"/>
    <w:rsid w:val="026B2E25"/>
    <w:rsid w:val="02824D4D"/>
    <w:rsid w:val="02BE3979"/>
    <w:rsid w:val="02DC4B10"/>
    <w:rsid w:val="02DD76CE"/>
    <w:rsid w:val="02F36323"/>
    <w:rsid w:val="02F5619C"/>
    <w:rsid w:val="0326446A"/>
    <w:rsid w:val="032D5555"/>
    <w:rsid w:val="036634D2"/>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8A1950"/>
    <w:rsid w:val="06930BB8"/>
    <w:rsid w:val="06956198"/>
    <w:rsid w:val="06C72CF1"/>
    <w:rsid w:val="070419DC"/>
    <w:rsid w:val="07245D42"/>
    <w:rsid w:val="07264C62"/>
    <w:rsid w:val="072F6604"/>
    <w:rsid w:val="074460BC"/>
    <w:rsid w:val="0779354C"/>
    <w:rsid w:val="077F0C95"/>
    <w:rsid w:val="078F5D5A"/>
    <w:rsid w:val="07C300BD"/>
    <w:rsid w:val="07FE18F3"/>
    <w:rsid w:val="08061376"/>
    <w:rsid w:val="08452D77"/>
    <w:rsid w:val="086401F8"/>
    <w:rsid w:val="08751CAA"/>
    <w:rsid w:val="0876556A"/>
    <w:rsid w:val="087E4C40"/>
    <w:rsid w:val="08A53637"/>
    <w:rsid w:val="08A871D0"/>
    <w:rsid w:val="08D66AD6"/>
    <w:rsid w:val="08DA33A3"/>
    <w:rsid w:val="08E80F13"/>
    <w:rsid w:val="092612F3"/>
    <w:rsid w:val="092748F4"/>
    <w:rsid w:val="09335624"/>
    <w:rsid w:val="093E11FE"/>
    <w:rsid w:val="0944690F"/>
    <w:rsid w:val="09535675"/>
    <w:rsid w:val="095F057D"/>
    <w:rsid w:val="09642282"/>
    <w:rsid w:val="09733572"/>
    <w:rsid w:val="09772C16"/>
    <w:rsid w:val="098353B5"/>
    <w:rsid w:val="09A92330"/>
    <w:rsid w:val="09B06B87"/>
    <w:rsid w:val="09C13146"/>
    <w:rsid w:val="09E04166"/>
    <w:rsid w:val="09F81448"/>
    <w:rsid w:val="0A1C0718"/>
    <w:rsid w:val="0A2C10A7"/>
    <w:rsid w:val="0A3C05D9"/>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F6188C"/>
    <w:rsid w:val="0BF73C91"/>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22536A"/>
    <w:rsid w:val="0E24319C"/>
    <w:rsid w:val="0E373674"/>
    <w:rsid w:val="0E5604B2"/>
    <w:rsid w:val="0E5872E2"/>
    <w:rsid w:val="0E6D5D79"/>
    <w:rsid w:val="0E6F14E6"/>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76DA5"/>
    <w:rsid w:val="0F9832DB"/>
    <w:rsid w:val="0FBF3FD2"/>
    <w:rsid w:val="0FBF7FF3"/>
    <w:rsid w:val="0FCF1C32"/>
    <w:rsid w:val="0FDA406B"/>
    <w:rsid w:val="0FFC3E38"/>
    <w:rsid w:val="10156805"/>
    <w:rsid w:val="10646583"/>
    <w:rsid w:val="107D4B15"/>
    <w:rsid w:val="10841832"/>
    <w:rsid w:val="108A3C80"/>
    <w:rsid w:val="10C26171"/>
    <w:rsid w:val="10DC700E"/>
    <w:rsid w:val="10DE34E4"/>
    <w:rsid w:val="10F33360"/>
    <w:rsid w:val="10F4083A"/>
    <w:rsid w:val="10FC16EA"/>
    <w:rsid w:val="110F1D40"/>
    <w:rsid w:val="11266F33"/>
    <w:rsid w:val="118963A1"/>
    <w:rsid w:val="11C6522A"/>
    <w:rsid w:val="11E104CC"/>
    <w:rsid w:val="11E20309"/>
    <w:rsid w:val="12255233"/>
    <w:rsid w:val="12530213"/>
    <w:rsid w:val="127723A9"/>
    <w:rsid w:val="12862074"/>
    <w:rsid w:val="12883966"/>
    <w:rsid w:val="12940AFE"/>
    <w:rsid w:val="129E45B4"/>
    <w:rsid w:val="12D21374"/>
    <w:rsid w:val="12D81596"/>
    <w:rsid w:val="13072A44"/>
    <w:rsid w:val="131A1B7F"/>
    <w:rsid w:val="133A0728"/>
    <w:rsid w:val="13474EA5"/>
    <w:rsid w:val="135F4BE2"/>
    <w:rsid w:val="13913864"/>
    <w:rsid w:val="139B1A0A"/>
    <w:rsid w:val="139B5BDE"/>
    <w:rsid w:val="139D25C7"/>
    <w:rsid w:val="13B50881"/>
    <w:rsid w:val="13BF3CE4"/>
    <w:rsid w:val="140F0A5D"/>
    <w:rsid w:val="141008D8"/>
    <w:rsid w:val="14125FE6"/>
    <w:rsid w:val="142B70E5"/>
    <w:rsid w:val="144C52DC"/>
    <w:rsid w:val="14500381"/>
    <w:rsid w:val="146D271E"/>
    <w:rsid w:val="14982588"/>
    <w:rsid w:val="149A5AD9"/>
    <w:rsid w:val="14A7619D"/>
    <w:rsid w:val="14BF71E2"/>
    <w:rsid w:val="14ED706B"/>
    <w:rsid w:val="14F111E9"/>
    <w:rsid w:val="14F25B02"/>
    <w:rsid w:val="150536C3"/>
    <w:rsid w:val="150C1963"/>
    <w:rsid w:val="151447A0"/>
    <w:rsid w:val="154A6454"/>
    <w:rsid w:val="154E1128"/>
    <w:rsid w:val="15762120"/>
    <w:rsid w:val="15833AAB"/>
    <w:rsid w:val="15844A86"/>
    <w:rsid w:val="15F56AC3"/>
    <w:rsid w:val="1608540D"/>
    <w:rsid w:val="16163F3B"/>
    <w:rsid w:val="16204A74"/>
    <w:rsid w:val="166C515D"/>
    <w:rsid w:val="16A8729C"/>
    <w:rsid w:val="16B33777"/>
    <w:rsid w:val="16BC70A7"/>
    <w:rsid w:val="16C6339E"/>
    <w:rsid w:val="16C730F7"/>
    <w:rsid w:val="16D6012D"/>
    <w:rsid w:val="16FE2244"/>
    <w:rsid w:val="172F2D79"/>
    <w:rsid w:val="17557BEF"/>
    <w:rsid w:val="176331FE"/>
    <w:rsid w:val="176D1E2A"/>
    <w:rsid w:val="17852075"/>
    <w:rsid w:val="178B06F1"/>
    <w:rsid w:val="17A05FFC"/>
    <w:rsid w:val="17D349C1"/>
    <w:rsid w:val="17E066D8"/>
    <w:rsid w:val="1830729E"/>
    <w:rsid w:val="18394486"/>
    <w:rsid w:val="185134E3"/>
    <w:rsid w:val="1870062C"/>
    <w:rsid w:val="18817102"/>
    <w:rsid w:val="18830A15"/>
    <w:rsid w:val="18852B28"/>
    <w:rsid w:val="188B5321"/>
    <w:rsid w:val="18C776A6"/>
    <w:rsid w:val="18CA21AC"/>
    <w:rsid w:val="18D64F20"/>
    <w:rsid w:val="18EE574D"/>
    <w:rsid w:val="19341F4D"/>
    <w:rsid w:val="197524E7"/>
    <w:rsid w:val="19761DA4"/>
    <w:rsid w:val="19932372"/>
    <w:rsid w:val="19A07A88"/>
    <w:rsid w:val="19A20DD5"/>
    <w:rsid w:val="19AE03F1"/>
    <w:rsid w:val="19D16EBE"/>
    <w:rsid w:val="1A071A03"/>
    <w:rsid w:val="1A1A5A79"/>
    <w:rsid w:val="1A1A697E"/>
    <w:rsid w:val="1A1F16AE"/>
    <w:rsid w:val="1A2C03C8"/>
    <w:rsid w:val="1A3B5C77"/>
    <w:rsid w:val="1A78287A"/>
    <w:rsid w:val="1A7A249A"/>
    <w:rsid w:val="1A984BAD"/>
    <w:rsid w:val="1AB8220E"/>
    <w:rsid w:val="1AE4166C"/>
    <w:rsid w:val="1AF06CFB"/>
    <w:rsid w:val="1AF11B8D"/>
    <w:rsid w:val="1B11359C"/>
    <w:rsid w:val="1B2A271F"/>
    <w:rsid w:val="1B530544"/>
    <w:rsid w:val="1B713184"/>
    <w:rsid w:val="1B825FBC"/>
    <w:rsid w:val="1BA209CF"/>
    <w:rsid w:val="1BB4777D"/>
    <w:rsid w:val="1BD75AB8"/>
    <w:rsid w:val="1BE22A26"/>
    <w:rsid w:val="1BE55E73"/>
    <w:rsid w:val="1C0459C2"/>
    <w:rsid w:val="1C1B3B4A"/>
    <w:rsid w:val="1C537570"/>
    <w:rsid w:val="1C6B28A5"/>
    <w:rsid w:val="1C88086E"/>
    <w:rsid w:val="1CA045EE"/>
    <w:rsid w:val="1CC47A8B"/>
    <w:rsid w:val="1D266CE1"/>
    <w:rsid w:val="1D3963AF"/>
    <w:rsid w:val="1D68255C"/>
    <w:rsid w:val="1D6A673C"/>
    <w:rsid w:val="1D9247AE"/>
    <w:rsid w:val="1DB567EC"/>
    <w:rsid w:val="1DEC22C4"/>
    <w:rsid w:val="1DF51A98"/>
    <w:rsid w:val="1E3D060F"/>
    <w:rsid w:val="1E3F7D2E"/>
    <w:rsid w:val="1E4134E4"/>
    <w:rsid w:val="1E5062B3"/>
    <w:rsid w:val="1E523514"/>
    <w:rsid w:val="1E714A66"/>
    <w:rsid w:val="1E730E11"/>
    <w:rsid w:val="1E802593"/>
    <w:rsid w:val="1E8B6156"/>
    <w:rsid w:val="1EA703CC"/>
    <w:rsid w:val="1EB7330C"/>
    <w:rsid w:val="1F0A0FF3"/>
    <w:rsid w:val="1F253AE2"/>
    <w:rsid w:val="1F5771FF"/>
    <w:rsid w:val="1F7C3ECA"/>
    <w:rsid w:val="1FE868A9"/>
    <w:rsid w:val="20034907"/>
    <w:rsid w:val="20173E4B"/>
    <w:rsid w:val="202B1BD0"/>
    <w:rsid w:val="204E48BC"/>
    <w:rsid w:val="208921B3"/>
    <w:rsid w:val="2093370A"/>
    <w:rsid w:val="2093771D"/>
    <w:rsid w:val="20973DEB"/>
    <w:rsid w:val="20B26522"/>
    <w:rsid w:val="20B34C6B"/>
    <w:rsid w:val="20B44310"/>
    <w:rsid w:val="20DF1008"/>
    <w:rsid w:val="20EE2FE4"/>
    <w:rsid w:val="211116EB"/>
    <w:rsid w:val="211E01F0"/>
    <w:rsid w:val="212D6D8F"/>
    <w:rsid w:val="216133FC"/>
    <w:rsid w:val="217B4C81"/>
    <w:rsid w:val="218944CA"/>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54217B6"/>
    <w:rsid w:val="254F52B1"/>
    <w:rsid w:val="258B00E2"/>
    <w:rsid w:val="25A34E23"/>
    <w:rsid w:val="25A917A6"/>
    <w:rsid w:val="25B97DD8"/>
    <w:rsid w:val="25BE27CC"/>
    <w:rsid w:val="25CE1A0B"/>
    <w:rsid w:val="25E92F53"/>
    <w:rsid w:val="25F74A5C"/>
    <w:rsid w:val="2628662C"/>
    <w:rsid w:val="262D45DE"/>
    <w:rsid w:val="266E6AE8"/>
    <w:rsid w:val="267E09C1"/>
    <w:rsid w:val="26871DC8"/>
    <w:rsid w:val="26931130"/>
    <w:rsid w:val="26A53EF9"/>
    <w:rsid w:val="26A56700"/>
    <w:rsid w:val="26A6481F"/>
    <w:rsid w:val="26A94201"/>
    <w:rsid w:val="26AC274F"/>
    <w:rsid w:val="270377E9"/>
    <w:rsid w:val="27044A29"/>
    <w:rsid w:val="2712566F"/>
    <w:rsid w:val="271D34C8"/>
    <w:rsid w:val="272F6449"/>
    <w:rsid w:val="274C4FBA"/>
    <w:rsid w:val="276142BF"/>
    <w:rsid w:val="27783712"/>
    <w:rsid w:val="27907362"/>
    <w:rsid w:val="279B7084"/>
    <w:rsid w:val="27A02A0E"/>
    <w:rsid w:val="27BC422F"/>
    <w:rsid w:val="282D0BDB"/>
    <w:rsid w:val="28333E1D"/>
    <w:rsid w:val="28454BD6"/>
    <w:rsid w:val="28455253"/>
    <w:rsid w:val="284C05F6"/>
    <w:rsid w:val="28551971"/>
    <w:rsid w:val="285B1C53"/>
    <w:rsid w:val="289F7086"/>
    <w:rsid w:val="28C32028"/>
    <w:rsid w:val="28CC490F"/>
    <w:rsid w:val="28DE40AA"/>
    <w:rsid w:val="29345E77"/>
    <w:rsid w:val="29453CBE"/>
    <w:rsid w:val="294C65AD"/>
    <w:rsid w:val="294E3480"/>
    <w:rsid w:val="29806583"/>
    <w:rsid w:val="298B3C4C"/>
    <w:rsid w:val="29F26D24"/>
    <w:rsid w:val="2A15033F"/>
    <w:rsid w:val="2A1662C1"/>
    <w:rsid w:val="2A1C7367"/>
    <w:rsid w:val="2A2815FA"/>
    <w:rsid w:val="2A6D6092"/>
    <w:rsid w:val="2A7D76B4"/>
    <w:rsid w:val="2A830ABD"/>
    <w:rsid w:val="2AD8021A"/>
    <w:rsid w:val="2AEE1B3B"/>
    <w:rsid w:val="2AF47F2E"/>
    <w:rsid w:val="2B437463"/>
    <w:rsid w:val="2B7807EE"/>
    <w:rsid w:val="2B8C47CE"/>
    <w:rsid w:val="2BA50BF7"/>
    <w:rsid w:val="2BBF00EC"/>
    <w:rsid w:val="2BC37CFD"/>
    <w:rsid w:val="2BD5237F"/>
    <w:rsid w:val="2BE536CE"/>
    <w:rsid w:val="2BE758D9"/>
    <w:rsid w:val="2BEA7DD3"/>
    <w:rsid w:val="2C09049E"/>
    <w:rsid w:val="2C0A653C"/>
    <w:rsid w:val="2C191F85"/>
    <w:rsid w:val="2C8C4873"/>
    <w:rsid w:val="2C994A93"/>
    <w:rsid w:val="2CE82D6F"/>
    <w:rsid w:val="2D2216DE"/>
    <w:rsid w:val="2D343236"/>
    <w:rsid w:val="2D956040"/>
    <w:rsid w:val="2DC53663"/>
    <w:rsid w:val="2DD15014"/>
    <w:rsid w:val="2DF72DE4"/>
    <w:rsid w:val="2E0220AF"/>
    <w:rsid w:val="2E4B082A"/>
    <w:rsid w:val="2E5D4E86"/>
    <w:rsid w:val="2E5D790B"/>
    <w:rsid w:val="2E776A61"/>
    <w:rsid w:val="2E9A143D"/>
    <w:rsid w:val="2E9A3C18"/>
    <w:rsid w:val="2EA1707C"/>
    <w:rsid w:val="2EBB0FEE"/>
    <w:rsid w:val="2EC63002"/>
    <w:rsid w:val="2ECB46DA"/>
    <w:rsid w:val="2F064D1A"/>
    <w:rsid w:val="2F0A6B38"/>
    <w:rsid w:val="2F0E78D3"/>
    <w:rsid w:val="2F923A19"/>
    <w:rsid w:val="2F946CCB"/>
    <w:rsid w:val="2FD25781"/>
    <w:rsid w:val="2FDE33BA"/>
    <w:rsid w:val="2FF346DE"/>
    <w:rsid w:val="2FFB7730"/>
    <w:rsid w:val="2FFD7934"/>
    <w:rsid w:val="30201A01"/>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24E1A4B"/>
    <w:rsid w:val="32517576"/>
    <w:rsid w:val="3262346C"/>
    <w:rsid w:val="32A64673"/>
    <w:rsid w:val="32BE5C2C"/>
    <w:rsid w:val="32FB6478"/>
    <w:rsid w:val="331E793D"/>
    <w:rsid w:val="332637C2"/>
    <w:rsid w:val="33263B3F"/>
    <w:rsid w:val="336963EB"/>
    <w:rsid w:val="33816EEB"/>
    <w:rsid w:val="338863E7"/>
    <w:rsid w:val="33AB7949"/>
    <w:rsid w:val="33EB55CD"/>
    <w:rsid w:val="33EC4C02"/>
    <w:rsid w:val="340D2360"/>
    <w:rsid w:val="3410665D"/>
    <w:rsid w:val="34211214"/>
    <w:rsid w:val="342E63AB"/>
    <w:rsid w:val="34433534"/>
    <w:rsid w:val="3460010E"/>
    <w:rsid w:val="3466782F"/>
    <w:rsid w:val="347B5D1E"/>
    <w:rsid w:val="34950E68"/>
    <w:rsid w:val="34986E94"/>
    <w:rsid w:val="34A60310"/>
    <w:rsid w:val="34AF62C9"/>
    <w:rsid w:val="34CB4388"/>
    <w:rsid w:val="34DC2C0A"/>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56404C"/>
    <w:rsid w:val="376A0174"/>
    <w:rsid w:val="378C13F6"/>
    <w:rsid w:val="37BD1A5A"/>
    <w:rsid w:val="37E16E9C"/>
    <w:rsid w:val="37EE7094"/>
    <w:rsid w:val="38296C89"/>
    <w:rsid w:val="383002EB"/>
    <w:rsid w:val="38586797"/>
    <w:rsid w:val="388843DC"/>
    <w:rsid w:val="38BC0149"/>
    <w:rsid w:val="38D87D1C"/>
    <w:rsid w:val="38DE6D4B"/>
    <w:rsid w:val="391F535F"/>
    <w:rsid w:val="392E73EA"/>
    <w:rsid w:val="39636459"/>
    <w:rsid w:val="396B7F6C"/>
    <w:rsid w:val="399C14F7"/>
    <w:rsid w:val="39B417A9"/>
    <w:rsid w:val="39C5316C"/>
    <w:rsid w:val="39F5707E"/>
    <w:rsid w:val="39FC5695"/>
    <w:rsid w:val="3A006D8E"/>
    <w:rsid w:val="3A3651E5"/>
    <w:rsid w:val="3A4E2342"/>
    <w:rsid w:val="3A744481"/>
    <w:rsid w:val="3A8C7BEF"/>
    <w:rsid w:val="3A906246"/>
    <w:rsid w:val="3B2349B7"/>
    <w:rsid w:val="3B4677B8"/>
    <w:rsid w:val="3B616CFF"/>
    <w:rsid w:val="3B6259F6"/>
    <w:rsid w:val="3B894B0B"/>
    <w:rsid w:val="3B976654"/>
    <w:rsid w:val="3B9B68EE"/>
    <w:rsid w:val="3BBB7264"/>
    <w:rsid w:val="3BC01EFC"/>
    <w:rsid w:val="3BC50684"/>
    <w:rsid w:val="3BC52CC1"/>
    <w:rsid w:val="3BCA786A"/>
    <w:rsid w:val="3BD06659"/>
    <w:rsid w:val="3BD31E2F"/>
    <w:rsid w:val="3BF15831"/>
    <w:rsid w:val="3C105946"/>
    <w:rsid w:val="3C3A44D8"/>
    <w:rsid w:val="3C471448"/>
    <w:rsid w:val="3C556941"/>
    <w:rsid w:val="3C5F759A"/>
    <w:rsid w:val="3C616601"/>
    <w:rsid w:val="3C6C525A"/>
    <w:rsid w:val="3CA60D3D"/>
    <w:rsid w:val="3CB93DC5"/>
    <w:rsid w:val="3CCB770C"/>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DF3DD8"/>
    <w:rsid w:val="3DE041CB"/>
    <w:rsid w:val="3E0D48F6"/>
    <w:rsid w:val="3E1868B4"/>
    <w:rsid w:val="3E1B574C"/>
    <w:rsid w:val="3E1D2DF9"/>
    <w:rsid w:val="3E377251"/>
    <w:rsid w:val="3E42664B"/>
    <w:rsid w:val="3E5A7334"/>
    <w:rsid w:val="3E7B5D6B"/>
    <w:rsid w:val="3E843E66"/>
    <w:rsid w:val="3E8F51FE"/>
    <w:rsid w:val="3E926F87"/>
    <w:rsid w:val="3E927BE8"/>
    <w:rsid w:val="3E94330A"/>
    <w:rsid w:val="3E992734"/>
    <w:rsid w:val="3E9A59DE"/>
    <w:rsid w:val="3EA95CBD"/>
    <w:rsid w:val="3EAF4836"/>
    <w:rsid w:val="3EC33DFA"/>
    <w:rsid w:val="3EF42B7C"/>
    <w:rsid w:val="3EF66285"/>
    <w:rsid w:val="3F060E16"/>
    <w:rsid w:val="3F1D1096"/>
    <w:rsid w:val="3F2F0234"/>
    <w:rsid w:val="3F5707E4"/>
    <w:rsid w:val="3F6363FE"/>
    <w:rsid w:val="3F756B8F"/>
    <w:rsid w:val="3F8D4B70"/>
    <w:rsid w:val="3F95482B"/>
    <w:rsid w:val="3FAF4907"/>
    <w:rsid w:val="4019356B"/>
    <w:rsid w:val="401E1828"/>
    <w:rsid w:val="40592157"/>
    <w:rsid w:val="406E1CAE"/>
    <w:rsid w:val="40937DD1"/>
    <w:rsid w:val="40A0133A"/>
    <w:rsid w:val="40C31A53"/>
    <w:rsid w:val="40F33AA5"/>
    <w:rsid w:val="40F92A66"/>
    <w:rsid w:val="40FF545D"/>
    <w:rsid w:val="410067C8"/>
    <w:rsid w:val="413C45E3"/>
    <w:rsid w:val="4147433B"/>
    <w:rsid w:val="418F0D2A"/>
    <w:rsid w:val="419500D6"/>
    <w:rsid w:val="41D01505"/>
    <w:rsid w:val="4238518B"/>
    <w:rsid w:val="42474939"/>
    <w:rsid w:val="424C3C57"/>
    <w:rsid w:val="42613FF3"/>
    <w:rsid w:val="42660D96"/>
    <w:rsid w:val="426D1F86"/>
    <w:rsid w:val="427C4BBB"/>
    <w:rsid w:val="428667D2"/>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9101DD"/>
    <w:rsid w:val="449D00C3"/>
    <w:rsid w:val="44BB6F7E"/>
    <w:rsid w:val="44DE1391"/>
    <w:rsid w:val="44E72961"/>
    <w:rsid w:val="45144786"/>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6167F"/>
    <w:rsid w:val="4A064FA0"/>
    <w:rsid w:val="4A16615C"/>
    <w:rsid w:val="4A4424D7"/>
    <w:rsid w:val="4A493572"/>
    <w:rsid w:val="4A6E0CA4"/>
    <w:rsid w:val="4A83134F"/>
    <w:rsid w:val="4AB82D0F"/>
    <w:rsid w:val="4AEB7664"/>
    <w:rsid w:val="4AFD7C19"/>
    <w:rsid w:val="4AFE73BF"/>
    <w:rsid w:val="4B0567D1"/>
    <w:rsid w:val="4B236AAE"/>
    <w:rsid w:val="4B555D27"/>
    <w:rsid w:val="4B707271"/>
    <w:rsid w:val="4B9739F7"/>
    <w:rsid w:val="4B974368"/>
    <w:rsid w:val="4B9A6B21"/>
    <w:rsid w:val="4B9C1FA2"/>
    <w:rsid w:val="4BA207B5"/>
    <w:rsid w:val="4BE96C25"/>
    <w:rsid w:val="4BEE2503"/>
    <w:rsid w:val="4C245A30"/>
    <w:rsid w:val="4C5D53ED"/>
    <w:rsid w:val="4C676029"/>
    <w:rsid w:val="4CAF7256"/>
    <w:rsid w:val="4CB6685F"/>
    <w:rsid w:val="4CC367FE"/>
    <w:rsid w:val="4CFF2296"/>
    <w:rsid w:val="4D077F3C"/>
    <w:rsid w:val="4D0B224C"/>
    <w:rsid w:val="4D123355"/>
    <w:rsid w:val="4D2A3B31"/>
    <w:rsid w:val="4D312C52"/>
    <w:rsid w:val="4D4B0F25"/>
    <w:rsid w:val="4D5E537D"/>
    <w:rsid w:val="4D905305"/>
    <w:rsid w:val="4D964A72"/>
    <w:rsid w:val="4D9C1254"/>
    <w:rsid w:val="4E0C137B"/>
    <w:rsid w:val="4E526455"/>
    <w:rsid w:val="4E54216E"/>
    <w:rsid w:val="4E5A0B37"/>
    <w:rsid w:val="4E5F2074"/>
    <w:rsid w:val="4E793892"/>
    <w:rsid w:val="4E800872"/>
    <w:rsid w:val="4E9532A8"/>
    <w:rsid w:val="4E9A20A5"/>
    <w:rsid w:val="4EBD5F65"/>
    <w:rsid w:val="4EC569ED"/>
    <w:rsid w:val="4ED50EA1"/>
    <w:rsid w:val="4EEC050C"/>
    <w:rsid w:val="4EF833C6"/>
    <w:rsid w:val="4F104EC3"/>
    <w:rsid w:val="4F22226C"/>
    <w:rsid w:val="4F47354A"/>
    <w:rsid w:val="4F911C54"/>
    <w:rsid w:val="4FE625E0"/>
    <w:rsid w:val="4FED5402"/>
    <w:rsid w:val="5021480F"/>
    <w:rsid w:val="505D15FC"/>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9F3586"/>
    <w:rsid w:val="51A0432A"/>
    <w:rsid w:val="51A86090"/>
    <w:rsid w:val="51B7396D"/>
    <w:rsid w:val="51F00DC5"/>
    <w:rsid w:val="51F4743E"/>
    <w:rsid w:val="522E4CC3"/>
    <w:rsid w:val="5244713B"/>
    <w:rsid w:val="52615633"/>
    <w:rsid w:val="526A04DD"/>
    <w:rsid w:val="52977FD4"/>
    <w:rsid w:val="52A25790"/>
    <w:rsid w:val="52A96B6F"/>
    <w:rsid w:val="52B45975"/>
    <w:rsid w:val="52D94AA4"/>
    <w:rsid w:val="52E87579"/>
    <w:rsid w:val="52EA3A62"/>
    <w:rsid w:val="52F50BB8"/>
    <w:rsid w:val="53097272"/>
    <w:rsid w:val="53544462"/>
    <w:rsid w:val="53676980"/>
    <w:rsid w:val="53960CB2"/>
    <w:rsid w:val="5397158E"/>
    <w:rsid w:val="53C84E07"/>
    <w:rsid w:val="53D42C20"/>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248FC"/>
    <w:rsid w:val="555D4828"/>
    <w:rsid w:val="556A79B3"/>
    <w:rsid w:val="557A4C8B"/>
    <w:rsid w:val="558931E1"/>
    <w:rsid w:val="55923347"/>
    <w:rsid w:val="55925180"/>
    <w:rsid w:val="55983B1B"/>
    <w:rsid w:val="55A8376B"/>
    <w:rsid w:val="55C248FD"/>
    <w:rsid w:val="55D87B28"/>
    <w:rsid w:val="55DC29B6"/>
    <w:rsid w:val="55DD4241"/>
    <w:rsid w:val="55F16964"/>
    <w:rsid w:val="55FA20BB"/>
    <w:rsid w:val="561C1BE8"/>
    <w:rsid w:val="566B6D1E"/>
    <w:rsid w:val="569E129D"/>
    <w:rsid w:val="56C76EC1"/>
    <w:rsid w:val="56FC33A3"/>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E2560"/>
    <w:rsid w:val="5A4215CD"/>
    <w:rsid w:val="5A5D3B6E"/>
    <w:rsid w:val="5A637A76"/>
    <w:rsid w:val="5A686384"/>
    <w:rsid w:val="5A6D33BA"/>
    <w:rsid w:val="5A792B1F"/>
    <w:rsid w:val="5A874767"/>
    <w:rsid w:val="5AA85BE2"/>
    <w:rsid w:val="5AAD6F28"/>
    <w:rsid w:val="5AD63A24"/>
    <w:rsid w:val="5AE51FB6"/>
    <w:rsid w:val="5B1A35FE"/>
    <w:rsid w:val="5B2E1A1D"/>
    <w:rsid w:val="5B735BDB"/>
    <w:rsid w:val="5B785F50"/>
    <w:rsid w:val="5B843A1C"/>
    <w:rsid w:val="5B873E3F"/>
    <w:rsid w:val="5C02690E"/>
    <w:rsid w:val="5C196DA7"/>
    <w:rsid w:val="5C2A048C"/>
    <w:rsid w:val="5C35640B"/>
    <w:rsid w:val="5C7422AE"/>
    <w:rsid w:val="5C80234E"/>
    <w:rsid w:val="5C8A680C"/>
    <w:rsid w:val="5CE45C2B"/>
    <w:rsid w:val="5CEB387F"/>
    <w:rsid w:val="5D0C4701"/>
    <w:rsid w:val="5D0F0395"/>
    <w:rsid w:val="5D221076"/>
    <w:rsid w:val="5D346868"/>
    <w:rsid w:val="5D397964"/>
    <w:rsid w:val="5D551783"/>
    <w:rsid w:val="5D5A391C"/>
    <w:rsid w:val="5D5F10C0"/>
    <w:rsid w:val="5D891B7B"/>
    <w:rsid w:val="5D8A5E82"/>
    <w:rsid w:val="5D930F65"/>
    <w:rsid w:val="5D945FAA"/>
    <w:rsid w:val="5DAD38EE"/>
    <w:rsid w:val="5E00256A"/>
    <w:rsid w:val="5E006862"/>
    <w:rsid w:val="5E0207B9"/>
    <w:rsid w:val="5E030308"/>
    <w:rsid w:val="5E093CEF"/>
    <w:rsid w:val="5E1834A1"/>
    <w:rsid w:val="5E261785"/>
    <w:rsid w:val="5E4A7017"/>
    <w:rsid w:val="5E552BBA"/>
    <w:rsid w:val="5E611C10"/>
    <w:rsid w:val="5E626095"/>
    <w:rsid w:val="5E700AA7"/>
    <w:rsid w:val="5E74631F"/>
    <w:rsid w:val="5E765627"/>
    <w:rsid w:val="5E7A0F3F"/>
    <w:rsid w:val="5E866777"/>
    <w:rsid w:val="5EF50A1B"/>
    <w:rsid w:val="5EFC7377"/>
    <w:rsid w:val="5F012A1A"/>
    <w:rsid w:val="5F06174D"/>
    <w:rsid w:val="5F3A3602"/>
    <w:rsid w:val="5F45733B"/>
    <w:rsid w:val="5F5B211E"/>
    <w:rsid w:val="5F6277C6"/>
    <w:rsid w:val="5F6D0B1D"/>
    <w:rsid w:val="5F8D0B82"/>
    <w:rsid w:val="5F8F1006"/>
    <w:rsid w:val="5FCC5339"/>
    <w:rsid w:val="5FE34A5B"/>
    <w:rsid w:val="5FFE1E36"/>
    <w:rsid w:val="60172C7B"/>
    <w:rsid w:val="60232584"/>
    <w:rsid w:val="60305BC5"/>
    <w:rsid w:val="605864BB"/>
    <w:rsid w:val="607330CE"/>
    <w:rsid w:val="60825176"/>
    <w:rsid w:val="60873AD9"/>
    <w:rsid w:val="609F2AC4"/>
    <w:rsid w:val="60C413D5"/>
    <w:rsid w:val="60D108D2"/>
    <w:rsid w:val="60FA2EE8"/>
    <w:rsid w:val="61054A27"/>
    <w:rsid w:val="610A52BC"/>
    <w:rsid w:val="611D2366"/>
    <w:rsid w:val="61421856"/>
    <w:rsid w:val="615227C4"/>
    <w:rsid w:val="61654E3F"/>
    <w:rsid w:val="6182292A"/>
    <w:rsid w:val="618B5F69"/>
    <w:rsid w:val="61985864"/>
    <w:rsid w:val="619F4FF8"/>
    <w:rsid w:val="619F7F92"/>
    <w:rsid w:val="61BB155E"/>
    <w:rsid w:val="61BD2EFD"/>
    <w:rsid w:val="61F94C26"/>
    <w:rsid w:val="62000E56"/>
    <w:rsid w:val="62244584"/>
    <w:rsid w:val="624F3E49"/>
    <w:rsid w:val="62632286"/>
    <w:rsid w:val="62775066"/>
    <w:rsid w:val="62885958"/>
    <w:rsid w:val="628903DB"/>
    <w:rsid w:val="62C860CC"/>
    <w:rsid w:val="62F40B65"/>
    <w:rsid w:val="62FC2CFE"/>
    <w:rsid w:val="63024505"/>
    <w:rsid w:val="63361153"/>
    <w:rsid w:val="63540CCD"/>
    <w:rsid w:val="635B1DB5"/>
    <w:rsid w:val="63711FED"/>
    <w:rsid w:val="63880DDC"/>
    <w:rsid w:val="63885935"/>
    <w:rsid w:val="638D750D"/>
    <w:rsid w:val="63AC52D2"/>
    <w:rsid w:val="63AC6CC0"/>
    <w:rsid w:val="63B048E8"/>
    <w:rsid w:val="64043733"/>
    <w:rsid w:val="64055776"/>
    <w:rsid w:val="64175397"/>
    <w:rsid w:val="64240056"/>
    <w:rsid w:val="643E143A"/>
    <w:rsid w:val="644A0C02"/>
    <w:rsid w:val="648B6EEF"/>
    <w:rsid w:val="64C158BF"/>
    <w:rsid w:val="64CE2EAA"/>
    <w:rsid w:val="65092215"/>
    <w:rsid w:val="65203A20"/>
    <w:rsid w:val="65363CF3"/>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F3F24"/>
    <w:rsid w:val="673E055F"/>
    <w:rsid w:val="67551CE3"/>
    <w:rsid w:val="6762328A"/>
    <w:rsid w:val="67A22552"/>
    <w:rsid w:val="67A530AB"/>
    <w:rsid w:val="67B22DCC"/>
    <w:rsid w:val="67BE71AA"/>
    <w:rsid w:val="67D90273"/>
    <w:rsid w:val="67DE5875"/>
    <w:rsid w:val="67E55852"/>
    <w:rsid w:val="67EB1AB4"/>
    <w:rsid w:val="67FA1285"/>
    <w:rsid w:val="681D01B2"/>
    <w:rsid w:val="68551F4F"/>
    <w:rsid w:val="68647B92"/>
    <w:rsid w:val="687C10C9"/>
    <w:rsid w:val="68840C16"/>
    <w:rsid w:val="68876EFB"/>
    <w:rsid w:val="68884654"/>
    <w:rsid w:val="689F444F"/>
    <w:rsid w:val="68B96DBB"/>
    <w:rsid w:val="68CA2805"/>
    <w:rsid w:val="68E85AE5"/>
    <w:rsid w:val="68E937A3"/>
    <w:rsid w:val="693E15D3"/>
    <w:rsid w:val="69627681"/>
    <w:rsid w:val="69721F18"/>
    <w:rsid w:val="6977531D"/>
    <w:rsid w:val="69997A8D"/>
    <w:rsid w:val="69B51747"/>
    <w:rsid w:val="69BD5BBB"/>
    <w:rsid w:val="69CC2BFF"/>
    <w:rsid w:val="69D327F2"/>
    <w:rsid w:val="69FD55B8"/>
    <w:rsid w:val="6A0B1C62"/>
    <w:rsid w:val="6A0C584D"/>
    <w:rsid w:val="6A0D3F4C"/>
    <w:rsid w:val="6A2406C8"/>
    <w:rsid w:val="6A4B328A"/>
    <w:rsid w:val="6A4B36BE"/>
    <w:rsid w:val="6A8F2B46"/>
    <w:rsid w:val="6A9D5E8D"/>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ED1766"/>
    <w:rsid w:val="6DF43C2E"/>
    <w:rsid w:val="6DF51CA3"/>
    <w:rsid w:val="6E8335BD"/>
    <w:rsid w:val="6E8E12EF"/>
    <w:rsid w:val="6E9045AA"/>
    <w:rsid w:val="6E972936"/>
    <w:rsid w:val="6EB74327"/>
    <w:rsid w:val="6EC91D52"/>
    <w:rsid w:val="6ED446C5"/>
    <w:rsid w:val="6F184A18"/>
    <w:rsid w:val="6F2A7D94"/>
    <w:rsid w:val="6F802313"/>
    <w:rsid w:val="6F8331F1"/>
    <w:rsid w:val="6FAE1A09"/>
    <w:rsid w:val="6FD75BF8"/>
    <w:rsid w:val="6FEF3B3E"/>
    <w:rsid w:val="707723D0"/>
    <w:rsid w:val="70DB77AC"/>
    <w:rsid w:val="70F5661B"/>
    <w:rsid w:val="70F574E0"/>
    <w:rsid w:val="70FF0D7D"/>
    <w:rsid w:val="71360107"/>
    <w:rsid w:val="713B688E"/>
    <w:rsid w:val="7183561A"/>
    <w:rsid w:val="71BE6408"/>
    <w:rsid w:val="71D43752"/>
    <w:rsid w:val="71D7083C"/>
    <w:rsid w:val="71F1796A"/>
    <w:rsid w:val="720846CC"/>
    <w:rsid w:val="72154626"/>
    <w:rsid w:val="72202699"/>
    <w:rsid w:val="72262B5D"/>
    <w:rsid w:val="72283FF7"/>
    <w:rsid w:val="722E7212"/>
    <w:rsid w:val="723A0474"/>
    <w:rsid w:val="725923E4"/>
    <w:rsid w:val="72864BF7"/>
    <w:rsid w:val="729023FC"/>
    <w:rsid w:val="733470C6"/>
    <w:rsid w:val="73533CC2"/>
    <w:rsid w:val="73C0646E"/>
    <w:rsid w:val="742222F5"/>
    <w:rsid w:val="742348D0"/>
    <w:rsid w:val="74476126"/>
    <w:rsid w:val="74624977"/>
    <w:rsid w:val="74706664"/>
    <w:rsid w:val="7475702A"/>
    <w:rsid w:val="747F3682"/>
    <w:rsid w:val="749C4185"/>
    <w:rsid w:val="74A73931"/>
    <w:rsid w:val="74BE006A"/>
    <w:rsid w:val="75067759"/>
    <w:rsid w:val="752E6DCD"/>
    <w:rsid w:val="7551380D"/>
    <w:rsid w:val="75600BE5"/>
    <w:rsid w:val="7564475C"/>
    <w:rsid w:val="75834A5C"/>
    <w:rsid w:val="7583797F"/>
    <w:rsid w:val="75D20F1D"/>
    <w:rsid w:val="75DA2C18"/>
    <w:rsid w:val="75F54412"/>
    <w:rsid w:val="761969BC"/>
    <w:rsid w:val="761D08E0"/>
    <w:rsid w:val="76400B70"/>
    <w:rsid w:val="765D347C"/>
    <w:rsid w:val="76826699"/>
    <w:rsid w:val="76C87133"/>
    <w:rsid w:val="76CD08D5"/>
    <w:rsid w:val="76DB4B92"/>
    <w:rsid w:val="76FF4961"/>
    <w:rsid w:val="77052AA4"/>
    <w:rsid w:val="77136511"/>
    <w:rsid w:val="77340A39"/>
    <w:rsid w:val="77351FD0"/>
    <w:rsid w:val="77472422"/>
    <w:rsid w:val="777F31F2"/>
    <w:rsid w:val="77BC4C63"/>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9654B8"/>
    <w:rsid w:val="7AAB1D04"/>
    <w:rsid w:val="7ABA4368"/>
    <w:rsid w:val="7AD05746"/>
    <w:rsid w:val="7B226FCC"/>
    <w:rsid w:val="7B257FFD"/>
    <w:rsid w:val="7B343476"/>
    <w:rsid w:val="7B5A2978"/>
    <w:rsid w:val="7B5A7E4C"/>
    <w:rsid w:val="7B641C6A"/>
    <w:rsid w:val="7B667AF9"/>
    <w:rsid w:val="7B736F81"/>
    <w:rsid w:val="7B7432EC"/>
    <w:rsid w:val="7B7468F8"/>
    <w:rsid w:val="7BE64CF7"/>
    <w:rsid w:val="7BEE0103"/>
    <w:rsid w:val="7C0A0FE4"/>
    <w:rsid w:val="7C254906"/>
    <w:rsid w:val="7C5022FF"/>
    <w:rsid w:val="7C590818"/>
    <w:rsid w:val="7C6E0182"/>
    <w:rsid w:val="7C7C10F6"/>
    <w:rsid w:val="7C853BEA"/>
    <w:rsid w:val="7C881368"/>
    <w:rsid w:val="7CDD251F"/>
    <w:rsid w:val="7CE27788"/>
    <w:rsid w:val="7D0357E5"/>
    <w:rsid w:val="7D0C32F1"/>
    <w:rsid w:val="7D0F408D"/>
    <w:rsid w:val="7D3B6D6F"/>
    <w:rsid w:val="7D491C6C"/>
    <w:rsid w:val="7D5429C0"/>
    <w:rsid w:val="7D6E6D43"/>
    <w:rsid w:val="7D7069D2"/>
    <w:rsid w:val="7D894AA5"/>
    <w:rsid w:val="7DAD6DD7"/>
    <w:rsid w:val="7DB57A34"/>
    <w:rsid w:val="7DDB10A1"/>
    <w:rsid w:val="7DE60973"/>
    <w:rsid w:val="7DEF0916"/>
    <w:rsid w:val="7E1E5218"/>
    <w:rsid w:val="7E7514D4"/>
    <w:rsid w:val="7E9A4E1F"/>
    <w:rsid w:val="7EA7723A"/>
    <w:rsid w:val="7EB659FE"/>
    <w:rsid w:val="7EBC6AFC"/>
    <w:rsid w:val="7EF56FBB"/>
    <w:rsid w:val="7EFC38CE"/>
    <w:rsid w:val="7F067E4D"/>
    <w:rsid w:val="7F0768EB"/>
    <w:rsid w:val="7F143BEC"/>
    <w:rsid w:val="7F6137FA"/>
    <w:rsid w:val="7F715AF2"/>
    <w:rsid w:val="7F793597"/>
    <w:rsid w:val="7F7F59BF"/>
    <w:rsid w:val="7F886E69"/>
    <w:rsid w:val="7FCF2D12"/>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3"/>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9"/>
    <w:qFormat/>
    <w:uiPriority w:val="0"/>
    <w:pPr>
      <w:shd w:val="clear" w:color="auto" w:fill="000080"/>
    </w:pPr>
  </w:style>
  <w:style w:type="paragraph" w:styleId="20">
    <w:name w:val="annotation text"/>
    <w:basedOn w:val="1"/>
    <w:link w:val="350"/>
    <w:qFormat/>
    <w:uiPriority w:val="99"/>
    <w:pPr>
      <w:jc w:val="left"/>
    </w:pPr>
  </w:style>
  <w:style w:type="paragraph" w:styleId="21">
    <w:name w:val="Salutation"/>
    <w:basedOn w:val="1"/>
    <w:next w:val="1"/>
    <w:link w:val="304"/>
    <w:qFormat/>
    <w:uiPriority w:val="0"/>
    <w:rPr>
      <w:rFonts w:ascii="仿宋_GB2312" w:eastAsia="仿宋_GB2312"/>
      <w:sz w:val="28"/>
      <w:szCs w:val="20"/>
    </w:rPr>
  </w:style>
  <w:style w:type="paragraph" w:styleId="22">
    <w:name w:val="Body Text 3"/>
    <w:basedOn w:val="1"/>
    <w:link w:val="336"/>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6"/>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71"/>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8"/>
    <w:qFormat/>
    <w:uiPriority w:val="0"/>
    <w:pPr>
      <w:ind w:left="100" w:leftChars="2500"/>
    </w:pPr>
    <w:rPr>
      <w:rFonts w:ascii="宋体"/>
      <w:sz w:val="24"/>
      <w:szCs w:val="21"/>
      <w:lang w:val="zh-CN"/>
    </w:rPr>
  </w:style>
  <w:style w:type="paragraph" w:styleId="38">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9">
    <w:name w:val="endnote text"/>
    <w:basedOn w:val="1"/>
    <w:link w:val="937"/>
    <w:qFormat/>
    <w:uiPriority w:val="0"/>
    <w:rPr>
      <w:lang w:val="zh-CN"/>
    </w:rPr>
  </w:style>
  <w:style w:type="paragraph" w:styleId="40">
    <w:name w:val="Balloon Text"/>
    <w:basedOn w:val="1"/>
    <w:link w:val="195"/>
    <w:qFormat/>
    <w:uiPriority w:val="0"/>
    <w:rPr>
      <w:sz w:val="18"/>
      <w:szCs w:val="18"/>
    </w:rPr>
  </w:style>
  <w:style w:type="paragraph" w:styleId="41">
    <w:name w:val="footer"/>
    <w:basedOn w:val="1"/>
    <w:link w:val="389"/>
    <w:qFormat/>
    <w:uiPriority w:val="99"/>
    <w:pPr>
      <w:tabs>
        <w:tab w:val="center" w:pos="4153"/>
        <w:tab w:val="right" w:pos="8306"/>
      </w:tabs>
      <w:snapToGrid w:val="0"/>
      <w:jc w:val="left"/>
    </w:pPr>
    <w:rPr>
      <w:sz w:val="18"/>
      <w:szCs w:val="18"/>
    </w:rPr>
  </w:style>
  <w:style w:type="paragraph" w:styleId="42">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2"/>
    <w:link w:val="316"/>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1"/>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8"/>
    <w:qFormat/>
    <w:uiPriority w:val="0"/>
    <w:pPr>
      <w:spacing w:after="120" w:line="480" w:lineRule="auto"/>
    </w:pPr>
  </w:style>
  <w:style w:type="paragraph" w:styleId="58">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3"/>
    <w:qFormat/>
    <w:uiPriority w:val="0"/>
    <w:rPr>
      <w:b/>
      <w:bCs/>
    </w:rPr>
  </w:style>
  <w:style w:type="paragraph" w:styleId="62">
    <w:name w:val="Body Text First Indent"/>
    <w:basedOn w:val="24"/>
    <w:next w:val="63"/>
    <w:link w:val="327"/>
    <w:qFormat/>
    <w:uiPriority w:val="0"/>
    <w:pPr>
      <w:ind w:firstLine="420"/>
    </w:pPr>
    <w:rPr>
      <w:rFonts w:hAnsi="Calibri" w:cs="Times New Roman"/>
      <w:snapToGrid/>
      <w:szCs w:val="20"/>
    </w:rPr>
  </w:style>
  <w:style w:type="paragraph" w:styleId="63">
    <w:name w:val="Body Text First Indent 2"/>
    <w:basedOn w:val="25"/>
    <w:next w:val="1"/>
    <w:link w:val="128"/>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82">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3">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5">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6">
    <w:name w:val="[Normal]"/>
    <w:qFormat/>
    <w:uiPriority w:val="0"/>
    <w:rPr>
      <w:rFonts w:ascii="宋体" w:hAnsi="宋体" w:eastAsia="宋体" w:cs="Times New Roman"/>
      <w:sz w:val="24"/>
      <w:lang w:val="zh-CN" w:eastAsia="zh-CN" w:bidi="ar-SA"/>
    </w:rPr>
  </w:style>
  <w:style w:type="paragraph" w:styleId="87">
    <w:name w:val="List Paragraph"/>
    <w:basedOn w:val="1"/>
    <w:qFormat/>
    <w:uiPriority w:val="34"/>
    <w:pPr>
      <w:spacing w:line="360" w:lineRule="auto"/>
      <w:ind w:firstLine="200" w:firstLineChars="200"/>
    </w:pPr>
    <w:rPr>
      <w:rFonts w:eastAsia="楷体_GB2312" w:cs="Lucida Sans"/>
      <w:sz w:val="24"/>
    </w:rPr>
  </w:style>
  <w:style w:type="paragraph" w:customStyle="1" w:styleId="88">
    <w:name w:val="正文文本首行缩进 21"/>
    <w:basedOn w:val="25"/>
    <w:qFormat/>
    <w:uiPriority w:val="99"/>
    <w:pPr>
      <w:spacing w:line="200" w:lineRule="atLeast"/>
      <w:ind w:firstLine="420"/>
    </w:pPr>
    <w:rPr>
      <w:rFonts w:hAnsi="Courier New"/>
      <w:spacing w:val="-4"/>
      <w:sz w:val="18"/>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1"/>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3"/>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1"/>
    <w:qFormat/>
    <w:uiPriority w:val="0"/>
    <w:rPr>
      <w:rFonts w:ascii="Arial" w:hAnsi="Arial" w:eastAsia="黑体" w:cs="Arial"/>
      <w:snapToGrid w:val="0"/>
      <w:kern w:val="0"/>
      <w:szCs w:val="21"/>
    </w:rPr>
  </w:style>
  <w:style w:type="character" w:customStyle="1" w:styleId="13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Char"/>
    <w:link w:val="48"/>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4"/>
    <w:link w:val="177"/>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7"/>
    <w:qFormat/>
    <w:uiPriority w:val="0"/>
    <w:rPr>
      <w:rFonts w:ascii="宋体"/>
      <w:kern w:val="2"/>
      <w:sz w:val="24"/>
      <w:szCs w:val="21"/>
      <w:lang w:val="zh-CN"/>
    </w:rPr>
  </w:style>
  <w:style w:type="character" w:customStyle="1" w:styleId="189">
    <w:name w:val="标题 9 Char"/>
    <w:link w:val="11"/>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40"/>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2"/>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19"/>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1"/>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31"/>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6"/>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7"/>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83"/>
    <w:qFormat/>
    <w:uiPriority w:val="0"/>
    <w:rPr>
      <w:rFonts w:ascii="仿宋_GB2312" w:eastAsia="仿宋_GB2312" w:cs="仿宋_GB2312"/>
      <w:color w:val="000000"/>
      <w:sz w:val="24"/>
      <w:szCs w:val="24"/>
      <w:lang w:val="en-US" w:eastAsia="zh-CN" w:bidi="ar-SA"/>
    </w:rPr>
  </w:style>
  <w:style w:type="paragraph" w:customStyle="1" w:styleId="24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7"/>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25"/>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3"/>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0"/>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21"/>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58"/>
    <w:qFormat/>
    <w:uiPriority w:val="0"/>
    <w:rPr>
      <w:rFonts w:ascii="黑体" w:hAnsi="Courier New" w:eastAsia="黑体"/>
    </w:rPr>
  </w:style>
  <w:style w:type="character" w:customStyle="1" w:styleId="308">
    <w:name w:val="正文文本 2 Char1"/>
    <w:link w:val="57"/>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9"/>
    <w:qFormat/>
    <w:uiPriority w:val="0"/>
    <w:rPr>
      <w:b/>
      <w:bCs/>
      <w:kern w:val="2"/>
      <w:sz w:val="24"/>
      <w:szCs w:val="24"/>
    </w:rPr>
  </w:style>
  <w:style w:type="character" w:customStyle="1" w:styleId="314">
    <w:name w:val="正文文本缩进 2 Char"/>
    <w:link w:val="38"/>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1"/>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basedOn w:val="7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62"/>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2"/>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20"/>
    <w:qFormat/>
    <w:uiPriority w:val="0"/>
    <w:rPr>
      <w:kern w:val="2"/>
      <w:sz w:val="21"/>
      <w:szCs w:val="24"/>
    </w:rPr>
  </w:style>
  <w:style w:type="character" w:customStyle="1" w:styleId="351">
    <w:name w:val="签名 Char"/>
    <w:link w:val="43"/>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0"/>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Char"/>
    <w:link w:val="54"/>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Char2"/>
    <w:link w:val="41"/>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Char2"/>
    <w:link w:val="42"/>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1"/>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2"/>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7">
    <w:name w:val="gray6"/>
    <w:basedOn w:val="71"/>
    <w:qFormat/>
    <w:uiPriority w:val="0"/>
    <w:rPr>
      <w:rFonts w:ascii="Arial" w:hAnsi="Arial" w:eastAsia="黑体" w:cs="Arial"/>
      <w:snapToGrid w:val="0"/>
      <w:kern w:val="0"/>
      <w:szCs w:val="21"/>
    </w:rPr>
  </w:style>
  <w:style w:type="character" w:customStyle="1" w:styleId="438">
    <w:name w:val="hui"/>
    <w:basedOn w:val="71"/>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8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8"/>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next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83"/>
    <w:next w:val="83"/>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83"/>
    <w:next w:val="83"/>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3"/>
    <w:qFormat/>
    <w:uiPriority w:val="0"/>
    <w:pPr>
      <w:tabs>
        <w:tab w:val="left" w:pos="840"/>
      </w:tabs>
      <w:adjustRightInd/>
      <w:ind w:left="840" w:hanging="420"/>
    </w:pPr>
  </w:style>
  <w:style w:type="paragraph" w:customStyle="1" w:styleId="63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8"/>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5"/>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qFormat/>
    <w:uiPriority w:val="0"/>
    <w:rPr>
      <w:rFonts w:ascii="仿宋_GB2312" w:eastAsia="仿宋_GB2312"/>
      <w:b/>
      <w:sz w:val="32"/>
      <w:szCs w:val="32"/>
    </w:rPr>
  </w:style>
  <w:style w:type="paragraph" w:customStyle="1" w:styleId="800">
    <w:name w:val="五级条标题"/>
    <w:basedOn w:val="801"/>
    <w:next w:val="646"/>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1"/>
    <w:next w:val="646"/>
    <w:qFormat/>
    <w:uiPriority w:val="0"/>
    <w:pPr>
      <w:tabs>
        <w:tab w:val="left" w:pos="2940"/>
        <w:tab w:val="clear" w:pos="2520"/>
      </w:tabs>
      <w:ind w:left="2940"/>
      <w:outlineLvl w:val="5"/>
    </w:pPr>
  </w:style>
  <w:style w:type="paragraph" w:customStyle="1" w:styleId="8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0"/>
    <w:rPr>
      <w:rFonts w:ascii="仿宋_GB2312" w:eastAsia="仿宋_GB2312"/>
      <w:b/>
      <w:sz w:val="32"/>
      <w:szCs w:val="32"/>
    </w:rPr>
  </w:style>
  <w:style w:type="paragraph" w:customStyle="1" w:styleId="8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6">
    <w:name w:val="首行缩进"/>
    <w:basedOn w:val="1"/>
    <w:qFormat/>
    <w:uiPriority w:val="0"/>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8">
    <w:name w:val="单元格左对齐"/>
    <w:basedOn w:val="1"/>
    <w:qFormat/>
    <w:uiPriority w:val="0"/>
    <w:pPr>
      <w:adjustRightInd/>
      <w:spacing w:line="360" w:lineRule="auto"/>
    </w:pPr>
    <w:rPr>
      <w:sz w:val="24"/>
    </w:rPr>
  </w:style>
  <w:style w:type="paragraph" w:customStyle="1" w:styleId="809">
    <w:name w:val="正文主体"/>
    <w:basedOn w:val="630"/>
    <w:qFormat/>
    <w:uiPriority w:val="0"/>
  </w:style>
  <w:style w:type="paragraph" w:customStyle="1" w:styleId="8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0"/>
    <w:pPr>
      <w:adjustRightInd/>
      <w:spacing w:line="360" w:lineRule="auto"/>
      <w:ind w:firstLine="480" w:firstLineChars="200"/>
    </w:pPr>
    <w:rPr>
      <w:sz w:val="24"/>
      <w:szCs w:val="20"/>
    </w:rPr>
  </w:style>
  <w:style w:type="paragraph" w:customStyle="1" w:styleId="814">
    <w:name w:val="P1"/>
    <w:basedOn w:val="1"/>
    <w:qFormat/>
    <w:uiPriority w:val="0"/>
    <w:pPr>
      <w:adjustRightInd/>
      <w:spacing w:line="288" w:lineRule="auto"/>
      <w:ind w:firstLine="425" w:firstLineChars="200"/>
    </w:pPr>
  </w:style>
  <w:style w:type="paragraph" w:customStyle="1" w:styleId="815">
    <w:name w:val="列表内容"/>
    <w:basedOn w:val="1"/>
    <w:next w:val="1"/>
    <w:qFormat/>
    <w:uiPriority w:val="0"/>
    <w:pPr>
      <w:widowControl/>
      <w:tabs>
        <w:tab w:val="left" w:pos="840"/>
      </w:tabs>
      <w:ind w:left="840" w:hanging="420"/>
      <w:jc w:val="left"/>
    </w:pPr>
    <w:rPr>
      <w:kern w:val="0"/>
      <w:sz w:val="18"/>
    </w:rPr>
  </w:style>
  <w:style w:type="paragraph" w:customStyle="1" w:styleId="816">
    <w:name w:val="Char Char11 Char Char Char1"/>
    <w:basedOn w:val="1"/>
    <w:qFormat/>
    <w:uiPriority w:val="6"/>
    <w:pPr>
      <w:spacing w:line="360" w:lineRule="auto"/>
    </w:pPr>
    <w:rPr>
      <w:szCs w:val="20"/>
    </w:rPr>
  </w:style>
  <w:style w:type="paragraph" w:customStyle="1" w:styleId="8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0"/>
    <w:pPr>
      <w:spacing w:line="360" w:lineRule="auto"/>
    </w:pPr>
    <w:rPr>
      <w:szCs w:val="20"/>
    </w:rPr>
  </w:style>
  <w:style w:type="paragraph" w:customStyle="1" w:styleId="82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0"/>
    <w:rPr>
      <w:rFonts w:ascii="仿宋_GB2312" w:eastAsia="仿宋_GB2312"/>
      <w:b/>
      <w:sz w:val="32"/>
      <w:szCs w:val="32"/>
    </w:rPr>
  </w:style>
  <w:style w:type="paragraph" w:customStyle="1" w:styleId="8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qFormat/>
    <w:uiPriority w:val="0"/>
    <w:pPr>
      <w:adjustRightInd/>
      <w:spacing w:line="360" w:lineRule="auto"/>
      <w:ind w:firstLine="480"/>
    </w:pPr>
    <w:rPr>
      <w:rFonts w:cs="宋体"/>
      <w:sz w:val="24"/>
      <w:szCs w:val="20"/>
    </w:rPr>
  </w:style>
  <w:style w:type="paragraph" w:customStyle="1" w:styleId="829">
    <w:name w:val="Char Char4 Char Char"/>
    <w:basedOn w:val="1"/>
    <w:qFormat/>
    <w:uiPriority w:val="0"/>
    <w:pPr>
      <w:widowControl/>
      <w:adjustRightInd/>
      <w:spacing w:after="160" w:line="240" w:lineRule="exact"/>
      <w:jc w:val="left"/>
    </w:pPr>
  </w:style>
  <w:style w:type="paragraph" w:customStyle="1" w:styleId="83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0"/>
    <w:pPr>
      <w:spacing w:line="360" w:lineRule="auto"/>
    </w:pPr>
    <w:rPr>
      <w:szCs w:val="20"/>
    </w:rPr>
  </w:style>
  <w:style w:type="paragraph" w:customStyle="1" w:styleId="8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0"/>
    <w:pPr>
      <w:adjustRightInd/>
      <w:ind w:firstLine="200" w:firstLineChars="200"/>
    </w:pPr>
    <w:rPr>
      <w:rFonts w:ascii="Tahoma" w:hAnsi="Tahoma"/>
      <w:sz w:val="24"/>
      <w:szCs w:val="20"/>
    </w:rPr>
  </w:style>
  <w:style w:type="paragraph" w:customStyle="1" w:styleId="839">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6"/>
    <w:qFormat/>
    <w:uiPriority w:val="0"/>
    <w:pPr>
      <w:tabs>
        <w:tab w:val="left" w:pos="0"/>
      </w:tabs>
      <w:ind w:left="900" w:firstLine="0" w:firstLineChars="0"/>
    </w:pPr>
  </w:style>
  <w:style w:type="paragraph" w:customStyle="1" w:styleId="842">
    <w:name w:val="Bulleted List"/>
    <w:basedOn w:val="1"/>
    <w:qFormat/>
    <w:uiPriority w:val="0"/>
    <w:pPr>
      <w:tabs>
        <w:tab w:val="left" w:pos="1260"/>
      </w:tabs>
      <w:adjustRightInd/>
      <w:ind w:left="1260" w:hanging="420"/>
    </w:pPr>
  </w:style>
  <w:style w:type="paragraph" w:customStyle="1" w:styleId="84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0"/>
    <w:rPr>
      <w:rFonts w:ascii="Tahoma" w:hAnsi="Tahoma" w:cs="仿宋_GB2312"/>
      <w:sz w:val="24"/>
      <w:szCs w:val="20"/>
    </w:rPr>
  </w:style>
  <w:style w:type="paragraph" w:customStyle="1" w:styleId="84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19"/>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87"/>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44"/>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5"/>
    <w:qFormat/>
    <w:uiPriority w:val="0"/>
    <w:rPr>
      <w:b w:val="0"/>
      <w:sz w:val="20"/>
    </w:rPr>
  </w:style>
  <w:style w:type="paragraph" w:customStyle="1" w:styleId="90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7"/>
    <w:next w:val="1"/>
    <w:qFormat/>
    <w:uiPriority w:val="0"/>
    <w:pPr>
      <w:tabs>
        <w:tab w:val="left" w:pos="1080"/>
      </w:tabs>
      <w:ind w:left="1080" w:hanging="1080"/>
    </w:pPr>
  </w:style>
  <w:style w:type="paragraph" w:customStyle="1" w:styleId="902">
    <w:name w:val="数字标题1"/>
    <w:basedOn w:val="3"/>
    <w:next w:val="1"/>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0"/>
    <w:pPr>
      <w:widowControl/>
    </w:pPr>
    <w:rPr>
      <w:kern w:val="0"/>
      <w:sz w:val="24"/>
      <w:szCs w:val="20"/>
    </w:rPr>
  </w:style>
  <w:style w:type="paragraph" w:customStyle="1" w:styleId="910">
    <w:name w:val="Char Char113"/>
    <w:basedOn w:val="1"/>
    <w:qFormat/>
    <w:uiPriority w:val="0"/>
    <w:pPr>
      <w:widowControl/>
      <w:spacing w:after="160" w:line="240" w:lineRule="exact"/>
      <w:jc w:val="left"/>
    </w:pPr>
    <w:rPr>
      <w:rFonts w:eastAsia="仿宋_GB2312"/>
      <w:sz w:val="28"/>
    </w:rPr>
  </w:style>
  <w:style w:type="paragraph" w:customStyle="1" w:styleId="9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49"/>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8"/>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9"/>
    <w:qFormat/>
    <w:uiPriority w:val="0"/>
    <w:rPr>
      <w:kern w:val="2"/>
      <w:sz w:val="21"/>
      <w:szCs w:val="24"/>
      <w:lang w:val="zh-CN"/>
    </w:rPr>
  </w:style>
  <w:style w:type="character" w:customStyle="1" w:styleId="938">
    <w:name w:val="无间隔 Char"/>
    <w:link w:val="489"/>
    <w:qFormat/>
    <w:uiPriority w:val="99"/>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87"/>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character" w:customStyle="1" w:styleId="970">
    <w:name w:val="font101"/>
    <w:basedOn w:val="71"/>
    <w:qFormat/>
    <w:uiPriority w:val="0"/>
    <w:rPr>
      <w:rFonts w:hint="eastAsia" w:ascii="宋体" w:hAnsi="宋体" w:eastAsia="宋体" w:cs="宋体"/>
      <w:color w:val="FF0000"/>
      <w:sz w:val="20"/>
      <w:szCs w:val="20"/>
      <w:u w:val="none"/>
    </w:rPr>
  </w:style>
  <w:style w:type="paragraph" w:customStyle="1" w:styleId="971">
    <w:name w:val="封面编号"/>
    <w:basedOn w:val="1"/>
    <w:qFormat/>
    <w:uiPriority w:val="0"/>
    <w:pPr>
      <w:spacing w:line="360" w:lineRule="auto"/>
      <w:jc w:val="center"/>
    </w:pPr>
    <w:rPr>
      <w:rFonts w:ascii="黑体" w:hAnsi="宋体" w:eastAsia="黑体" w:cs="宋体"/>
      <w:b/>
      <w:bCs/>
      <w:sz w:val="38"/>
      <w:szCs w:val="20"/>
    </w:rPr>
  </w:style>
  <w:style w:type="table" w:customStyle="1" w:styleId="972">
    <w:name w:val="Table Normal"/>
    <w:semiHidden/>
    <w:unhideWhenUsed/>
    <w:qFormat/>
    <w:uiPriority w:val="0"/>
    <w:tblPr>
      <w:tblCellMar>
        <w:top w:w="0" w:type="dxa"/>
        <w:left w:w="0" w:type="dxa"/>
        <w:bottom w:w="0" w:type="dxa"/>
        <w:right w:w="0" w:type="dxa"/>
      </w:tblCellMar>
    </w:tblPr>
  </w:style>
  <w:style w:type="character" w:customStyle="1" w:styleId="973">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42</Pages>
  <Words>16332</Words>
  <Characters>17288</Characters>
  <Lines>293</Lines>
  <Paragraphs>82</Paragraphs>
  <TotalTime>12</TotalTime>
  <ScaleCrop>false</ScaleCrop>
  <LinksUpToDate>false</LinksUpToDate>
  <CharactersWithSpaces>20702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2021-12-27T03:06:00Z</cp:lastPrinted>
  <dcterms:modified xsi:type="dcterms:W3CDTF">2024-10-16T00:49:03Z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8702D7B8388A495A99608857EFA38452_13</vt:lpwstr>
  </property>
  <property fmtid="{D5CDD505-2E9C-101B-9397-08002B2CF9AE}" pid="5" name="commondata">
    <vt:lpwstr>eyJoZGlkIjoiMzdkYTNjODAzOWEyZTBjZWI2OWE0Y2U2MTNhOGNiNmUifQ==</vt:lpwstr>
  </property>
</Properties>
</file>