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972"/>
        <w:spacing w:line="760" w:lineRule="exact"/>
        <w:rPr>
          <w:rFonts w:hint="eastAsia" w:ascii="宋体" w:hAnsi="宋体" w:eastAsia="宋体" w:cs="宋体"/>
          <w:color w:val="auto"/>
          <w:sz w:val="72"/>
          <w:szCs w:val="72"/>
          <w:highlight w:val="none"/>
        </w:rPr>
      </w:pPr>
    </w:p>
    <w:p>
      <w:pPr>
        <w:pStyle w:val="86"/>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杭州萧山供水有限公司铜阀门年度采购</w:t>
      </w:r>
      <w:r>
        <w:rPr>
          <w:rFonts w:hint="eastAsia" w:ascii="宋体" w:hAnsi="宋体" w:eastAsia="宋体" w:cs="宋体"/>
          <w:b/>
          <w:bCs/>
          <w:color w:val="auto"/>
          <w:sz w:val="52"/>
          <w:szCs w:val="52"/>
          <w:highlight w:val="none"/>
          <w:lang w:val="en-US" w:eastAsia="zh-CN"/>
        </w:rPr>
        <w:t>项目</w:t>
      </w:r>
      <w:bookmarkStart w:id="383" w:name="_GoBack"/>
      <w:bookmarkEnd w:id="383"/>
    </w:p>
    <w:p>
      <w:pPr>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公开竞争文件</w:t>
      </w:r>
    </w:p>
    <w:p>
      <w:pPr>
        <w:adjustRightInd/>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（电子交易）</w:t>
      </w:r>
    </w:p>
    <w:p>
      <w:pPr>
        <w:snapToGrid w:val="0"/>
        <w:spacing w:line="360" w:lineRule="auto"/>
        <w:jc w:val="center"/>
        <w:rPr>
          <w:rFonts w:hint="eastAsia" w:ascii="宋体" w:hAnsi="宋体" w:eastAsia="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交易编号：GSCG-2024045</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90"/>
        <w:rPr>
          <w:rFonts w:hint="eastAsia" w:ascii="宋体" w:hAnsi="宋体" w:eastAsia="宋体" w:cs="宋体"/>
          <w:color w:val="auto"/>
          <w:highlight w:val="none"/>
        </w:rPr>
      </w:pPr>
    </w:p>
    <w:p>
      <w:pPr>
        <w:pStyle w:val="90"/>
        <w:rPr>
          <w:rFonts w:hint="eastAsia" w:ascii="宋体" w:hAnsi="宋体" w:eastAsia="宋体" w:cs="宋体"/>
          <w:color w:val="auto"/>
          <w:highlight w:val="none"/>
        </w:rPr>
      </w:pPr>
    </w:p>
    <w:p>
      <w:pPr>
        <w:pStyle w:val="86"/>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pacing w:val="45"/>
          <w:sz w:val="32"/>
          <w:szCs w:val="30"/>
          <w:highlight w:val="none"/>
        </w:rPr>
        <w:t>杭州萧山供水有限公司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jc w:val="center"/>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二十一</w:t>
      </w:r>
      <w:r>
        <w:rPr>
          <w:rFonts w:hint="eastAsia" w:ascii="宋体" w:hAnsi="宋体" w:eastAsia="宋体" w:cs="宋体"/>
          <w:b/>
          <w:color w:val="auto"/>
          <w:sz w:val="32"/>
          <w:szCs w:val="32"/>
          <w:highlight w:val="none"/>
        </w:rPr>
        <w:t>日</w:t>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rPr>
        <w:t>GSCG-2024045</w:t>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杭州萧山供水有限公司铜阀门年度采购</w:t>
      </w:r>
      <w:r>
        <w:rPr>
          <w:rFonts w:hint="eastAsia" w:ascii="宋体" w:hAnsi="宋体" w:eastAsia="宋体" w:cs="宋体"/>
          <w:bCs/>
          <w:color w:val="auto"/>
          <w:sz w:val="24"/>
          <w:highlight w:val="none"/>
          <w:lang w:val="en-US" w:eastAsia="zh-CN"/>
        </w:rPr>
        <w:t>项目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杭州萧山供水有限公司铜阀门年度采购</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详见交易需求。</w:t>
      </w:r>
    </w:p>
    <w:p>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7、本项目的特定资格要求：</w:t>
      </w:r>
    </w:p>
    <w:p>
      <w:pPr>
        <w:pStyle w:val="25"/>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7.1响应人须为中华人民共和国境内注册的</w:t>
      </w:r>
      <w:r>
        <w:rPr>
          <w:rFonts w:hint="eastAsia" w:ascii="宋体" w:hAnsi="宋体" w:eastAsia="宋体" w:cs="宋体"/>
          <w:color w:val="auto"/>
          <w:highlight w:val="none"/>
        </w:rPr>
        <w:t>阀门</w:t>
      </w:r>
      <w:r>
        <w:rPr>
          <w:rFonts w:hint="eastAsia" w:ascii="宋体" w:hAnsi="宋体" w:eastAsia="宋体" w:cs="宋体"/>
          <w:color w:val="auto"/>
          <w:highlight w:val="none"/>
          <w:lang w:val="en-US" w:eastAsia="zh-CN"/>
        </w:rPr>
        <w:t>生产</w:t>
      </w:r>
      <w:r>
        <w:rPr>
          <w:rFonts w:hint="eastAsia" w:ascii="宋体" w:hAnsi="宋体" w:eastAsia="宋体" w:cs="宋体"/>
          <w:color w:val="auto"/>
          <w:highlight w:val="none"/>
        </w:rPr>
        <w:t>制造商</w:t>
      </w:r>
      <w:r>
        <w:rPr>
          <w:rFonts w:hint="eastAsia" w:ascii="宋体" w:hAnsi="宋体" w:eastAsia="宋体" w:cs="宋体"/>
          <w:color w:val="auto"/>
          <w:highlight w:val="none"/>
          <w:lang w:val="en-US" w:eastAsia="zh-CN"/>
        </w:rPr>
        <w:t>；</w:t>
      </w:r>
    </w:p>
    <w:p>
      <w:pPr>
        <w:pStyle w:val="25"/>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7.2响应人须提供省级（或市级）卫生管理部门颁发的阀门的《涉及饮用水卫生安全产品卫生许可批件》复印件（若提供的是市级卫生管理部门颁发的批件，还必须提供省级卫生管理部门下放市级卫生管理部门颁发的证明文件）。</w:t>
      </w:r>
    </w:p>
    <w:p>
      <w:pPr>
        <w:pStyle w:val="25"/>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平台https://www.lecaiyun.com//在线申请获取公开竞争文件（进入“项目采购”应用，在获取公开竞争文件菜单中选择项目，申请获取公开竞争文件）。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平台（https://www.lecaiyun.com/）”进行招投标活动，不接受纸质响应文件；②投标准备：注册账号--点击“商家入驻”，进行采购供应商资料填写；申领CA数字证书---申领流程详见“</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-下载专区-电子交易客户端-CA驱动和申领流程”；安装“</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电子交易客户端”----前往“</w:t>
      </w:r>
      <w:r>
        <w:rPr>
          <w:rFonts w:hint="eastAsia" w:ascii="宋体" w:hAnsi="宋体" w:eastAsia="宋体" w:cs="宋体"/>
          <w:color w:val="auto"/>
          <w:sz w:val="24"/>
          <w:highlight w:val="none"/>
          <w:lang w:eastAsia="zh-CN"/>
        </w:rPr>
        <w:t>浙江企业采购信息服务网</w:t>
      </w:r>
      <w:r>
        <w:rPr>
          <w:rFonts w:hint="eastAsia" w:ascii="宋体" w:hAnsi="宋体" w:eastAsia="宋体" w:cs="宋体"/>
          <w:color w:val="auto"/>
          <w:sz w:val="24"/>
          <w:highlight w:val="none"/>
        </w:rPr>
        <w:t>-下载专区-电子交易客户端”进行下载并安装；③公开竞争文件的获取：使用账号登录或者使用CA登录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平台；进入“项目采购”应用，在获取公开竞争文件菜单中选择项目，获取公开竞争文件；④响应文件的制作：在“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名称：杭州萧山供水有限公司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地址：萧山区蜀山街道潘水路428号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王斐</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0571-82828095</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提供</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样品提供：丝扣抽杆式黄铜闸阀DN25、截止止回阀DN25、加密铜闸阀DN25、黄铜减压阀DN25各一套。样品提供人员不超过2人，人员如为法定代表人签到时须提供身份证原件、营业执照复印件（加盖公章）；人员如为授权代表签到时须提供身份证原件、样品授权委托书（详见公开竞争文件格式范例附件4）；否则不予签到，视为放弃样品提供。</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2、签到时间：开标当天13:30至14:00止，样品在签到前递交，否则不予签到，签到截止时间同提交响应文件截止时间（开标时间），逾期签到视为放弃样品提供。</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3、签到地点：杭州市萧山区金城路433号天汇园1幢A座5楼，杭州博望建设工程招标投标代理有限公司开标室。</w:t>
            </w:r>
          </w:p>
          <w:p>
            <w:pP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采购活动结束后，对于未中标人提供的样品，采购代理机构将通知未中标人在规定的时间内取回，逾期未取回的，交易发起人、代理机构不负保管义务；对于中标人提供的样品，交易发起人将进行保管、封存，并作为履约验收的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有关本项目实施所需的所有费用（含税费）均计入报价。交易一览表（报价表）是报价的唯一载体。响应文件中价格全部采用人民币报价。公开竞争文件未列明，而响应人认为必需的费用也需列入报价。</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交易报价出现下列情形的，交易无效：</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响应文件出现不是唯一的、有选择性交易报价的；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color w:val="auto"/>
                <w:kern w:val="28"/>
                <w:sz w:val="24"/>
                <w:highlight w:val="none"/>
              </w:rPr>
              <w:t>本项目采购代理费由</w:t>
            </w:r>
            <w:r>
              <w:rPr>
                <w:rFonts w:hint="eastAsia" w:ascii="宋体" w:hAnsi="宋体" w:eastAsia="宋体" w:cs="宋体"/>
                <w:b/>
                <w:bCs/>
                <w:snapToGrid/>
                <w:color w:val="auto"/>
                <w:kern w:val="28"/>
                <w:sz w:val="24"/>
                <w:szCs w:val="24"/>
                <w:highlight w:val="none"/>
                <w:lang w:val="en-US" w:eastAsia="zh-CN" w:bidi="ar-SA"/>
              </w:rPr>
              <w:t>交易发起人支付</w:t>
            </w:r>
            <w:r>
              <w:rPr>
                <w:rFonts w:hint="eastAsia" w:ascii="宋体" w:hAnsi="宋体" w:eastAsia="宋体" w:cs="宋体"/>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bCs/>
                <w:color w:val="auto"/>
                <w:kern w:val="0"/>
                <w:sz w:val="24"/>
                <w:highlight w:val="none"/>
                <w:lang w:val="en-US" w:eastAsia="zh-CN"/>
              </w:rPr>
            </w:pPr>
            <w:r>
              <w:rPr>
                <w:rFonts w:hint="eastAsia" w:ascii="宋体" w:hAnsi="宋体" w:eastAsia="宋体" w:cs="宋体"/>
                <w:b w:val="0"/>
                <w:bCs w:val="0"/>
                <w:snapToGrid/>
                <w:color w:val="auto"/>
                <w:sz w:val="24"/>
                <w:szCs w:val="24"/>
                <w:highlight w:val="none"/>
              </w:rPr>
              <w:t>履约保证金</w:t>
            </w:r>
            <w:r>
              <w:rPr>
                <w:rFonts w:hint="eastAsia" w:ascii="宋体" w:hAnsi="宋体" w:eastAsia="宋体" w:cs="宋体"/>
                <w:b w:val="0"/>
                <w:bCs w:val="0"/>
                <w:snapToGrid/>
                <w:color w:val="auto"/>
                <w:kern w:val="28"/>
                <w:sz w:val="24"/>
                <w:szCs w:val="24"/>
                <w:highlight w:val="none"/>
                <w:lang w:val="en-US" w:eastAsia="zh-CN" w:bidi="ar-SA"/>
              </w:rPr>
              <w:t>：</w:t>
            </w:r>
            <w:r>
              <w:rPr>
                <w:rFonts w:hint="eastAsia" w:ascii="宋体" w:hAnsi="宋体" w:eastAsia="宋体" w:cs="宋体"/>
                <w:b w:val="0"/>
                <w:bCs w:val="0"/>
                <w:snapToGrid/>
                <w:color w:val="auto"/>
                <w:kern w:val="28"/>
                <w:sz w:val="24"/>
                <w:szCs w:val="24"/>
                <w:highlight w:val="none"/>
                <w:lang w:val="en-US" w:eastAsia="zh-CN" w:bidi="ar-SA"/>
              </w:rPr>
              <w:t>20000.00</w:t>
            </w:r>
            <w:r>
              <w:rPr>
                <w:rFonts w:hint="eastAsia" w:ascii="宋体" w:hAnsi="宋体" w:eastAsia="宋体" w:cs="宋体"/>
                <w:b w:val="0"/>
                <w:bCs w:val="0"/>
                <w:snapToGrid/>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5"/>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41"/>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5"/>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10.2.8</w:t>
      </w:r>
      <w:r>
        <w:rPr>
          <w:rFonts w:hint="eastAsia" w:ascii="宋体" w:hAnsi="宋体" w:eastAsia="宋体" w:cs="宋体"/>
          <w:color w:val="auto"/>
          <w:sz w:val="24"/>
          <w:highlight w:val="none"/>
        </w:rPr>
        <w:t>售后服务承诺书</w:t>
      </w:r>
      <w:r>
        <w:rPr>
          <w:rFonts w:hint="eastAsia" w:ascii="宋体" w:hAnsi="宋体" w:eastAsia="宋体" w:cs="宋体"/>
          <w:color w:val="auto"/>
          <w:sz w:val="24"/>
          <w:highlight w:val="none"/>
          <w:lang w:eastAsia="zh-CN"/>
        </w:rPr>
        <w:t>；</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10.2.9</w:t>
      </w:r>
      <w:r>
        <w:rPr>
          <w:rFonts w:hint="eastAsia" w:ascii="宋体" w:hAnsi="宋体" w:eastAsia="宋体" w:cs="宋体"/>
          <w:color w:val="auto"/>
          <w:sz w:val="24"/>
          <w:highlight w:val="none"/>
        </w:rPr>
        <w:t>卫生安全浸泡试验合格证明</w:t>
      </w:r>
      <w:r>
        <w:rPr>
          <w:rFonts w:hint="eastAsia" w:ascii="宋体" w:hAnsi="宋体" w:eastAsia="宋体" w:cs="宋体"/>
          <w:color w:val="auto"/>
          <w:sz w:val="24"/>
          <w:highlight w:val="none"/>
          <w:lang w:eastAsia="zh-CN"/>
        </w:rPr>
        <w:t>。</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w:t>
      </w:r>
      <w:r>
        <w:rPr>
          <w:rFonts w:hint="eastAsia" w:ascii="宋体" w:hAnsi="宋体" w:eastAsia="宋体" w:cs="宋体"/>
          <w:color w:val="auto"/>
          <w:sz w:val="24"/>
          <w:highlight w:val="none"/>
          <w:lang w:val="en-US" w:eastAsia="zh-CN"/>
        </w:rPr>
        <w:t>投标报价单</w:t>
      </w:r>
      <w:r>
        <w:rPr>
          <w:rFonts w:hint="eastAsia" w:ascii="宋体" w:hAnsi="宋体" w:eastAsia="宋体" w:cs="宋体"/>
          <w:color w:val="auto"/>
          <w:sz w:val="24"/>
          <w:highlight w:val="none"/>
        </w:rPr>
        <w:t>。</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41"/>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41"/>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pPr>
        <w:pStyle w:val="141"/>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41"/>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1"/>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1"/>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5"/>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5"/>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26"/>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r>
        <w:rPr>
          <w:rFonts w:hint="eastAsia" w:ascii="宋体" w:hAnsi="宋体" w:eastAsia="宋体" w:cs="宋体"/>
          <w:color w:val="auto"/>
          <w:szCs w:val="21"/>
          <w:highlight w:val="none"/>
          <w:lang w:eastAsia="zh-CN"/>
        </w:rPr>
        <w:t>。</w:t>
      </w:r>
    </w:p>
    <w:p>
      <w:pPr>
        <w:pStyle w:val="141"/>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1"/>
        <w:spacing w:before="0" w:line="460" w:lineRule="exact"/>
        <w:ind w:firstLine="643"/>
        <w:rPr>
          <w:rFonts w:hint="eastAsia" w:ascii="宋体" w:hAnsi="宋体" w:eastAsia="宋体" w:cs="宋体"/>
          <w:b/>
          <w:color w:val="auto"/>
          <w:sz w:val="32"/>
          <w:highlight w:val="none"/>
        </w:rPr>
      </w:pPr>
    </w:p>
    <w:p>
      <w:pPr>
        <w:pStyle w:val="141"/>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4"/>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41"/>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41"/>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41"/>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eastAsia="宋体" w:cs="宋体"/>
          <w:b/>
          <w:color w:val="auto"/>
          <w:sz w:val="24"/>
          <w:highlight w:val="none"/>
        </w:rPr>
        <w:t>详见公开竞争文件第四部分评审办法。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41"/>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41"/>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1"/>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41"/>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26"/>
        <w:spacing w:line="460" w:lineRule="exact"/>
        <w:ind w:left="479" w:hanging="479" w:hangingChars="19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按前附表收取</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41"/>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41"/>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41"/>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6"/>
        <w:tblW w:w="9113" w:type="dxa"/>
        <w:jc w:val="center"/>
        <w:tblLayout w:type="fixed"/>
        <w:tblCellMar>
          <w:top w:w="0" w:type="dxa"/>
          <w:left w:w="0" w:type="dxa"/>
          <w:bottom w:w="0" w:type="dxa"/>
          <w:right w:w="0" w:type="dxa"/>
        </w:tblCellMar>
      </w:tblPr>
      <w:tblGrid>
        <w:gridCol w:w="765"/>
        <w:gridCol w:w="3869"/>
        <w:gridCol w:w="1950"/>
        <w:gridCol w:w="843"/>
        <w:gridCol w:w="843"/>
        <w:gridCol w:w="843"/>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杭州萧山供水有限公司铜阀门年度采购</w:t>
            </w:r>
            <w:r>
              <w:rPr>
                <w:rFonts w:hint="eastAsia" w:ascii="宋体" w:hAnsi="宋体" w:eastAsia="宋体" w:cs="宋体"/>
                <w:color w:val="auto"/>
                <w:sz w:val="24"/>
                <w:highlight w:val="none"/>
                <w:lang w:val="en-US" w:eastAsia="zh-CN"/>
              </w:rPr>
              <w:t>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b/>
          <w:color w:val="auto"/>
          <w:sz w:val="24"/>
          <w:highlight w:val="none"/>
        </w:rPr>
      </w:pPr>
    </w:p>
    <w:p>
      <w:pPr>
        <w:numPr>
          <w:ilvl w:val="0"/>
          <w:numId w:val="2"/>
        </w:num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p>
    <w:p>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交易清单</w:t>
      </w:r>
    </w:p>
    <w:tbl>
      <w:tblPr>
        <w:tblStyle w:val="66"/>
        <w:tblW w:w="9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1"/>
        <w:gridCol w:w="3215"/>
        <w:gridCol w:w="1345"/>
        <w:gridCol w:w="1094"/>
        <w:gridCol w:w="1539"/>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序号</w:t>
            </w:r>
          </w:p>
        </w:tc>
        <w:tc>
          <w:tcPr>
            <w:tcW w:w="321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名称</w:t>
            </w:r>
          </w:p>
        </w:tc>
        <w:tc>
          <w:tcPr>
            <w:tcW w:w="13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规格</w:t>
            </w:r>
          </w:p>
        </w:tc>
        <w:tc>
          <w:tcPr>
            <w:tcW w:w="109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单位</w:t>
            </w:r>
          </w:p>
        </w:tc>
        <w:tc>
          <w:tcPr>
            <w:tcW w:w="153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权重（个）</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暂估</w:t>
            </w:r>
          </w:p>
        </w:tc>
        <w:tc>
          <w:tcPr>
            <w:tcW w:w="16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限价</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3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w:t>
            </w:r>
          </w:p>
        </w:tc>
        <w:tc>
          <w:tcPr>
            <w:tcW w:w="3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100</w:t>
            </w:r>
          </w:p>
        </w:tc>
        <w:tc>
          <w:tcPr>
            <w:tcW w:w="163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w:t>
            </w:r>
          </w:p>
        </w:tc>
        <w:tc>
          <w:tcPr>
            <w:tcW w:w="3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40</w:t>
            </w:r>
          </w:p>
        </w:tc>
        <w:tc>
          <w:tcPr>
            <w:tcW w:w="163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w:t>
            </w:r>
          </w:p>
        </w:tc>
        <w:tc>
          <w:tcPr>
            <w:tcW w:w="3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5</w:t>
            </w:r>
          </w:p>
        </w:tc>
        <w:tc>
          <w:tcPr>
            <w:tcW w:w="321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30</w:t>
            </w:r>
          </w:p>
        </w:tc>
        <w:tc>
          <w:tcPr>
            <w:tcW w:w="163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6</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丝扣抽杆式黄铜闸阀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70</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7</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8</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300</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9</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2500</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10</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11</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12</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截止止回阀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13</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14</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10</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15</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10</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16</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17</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18</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可调式减压阀（无过滤器）</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19</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自动排气阀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20</w:t>
            </w:r>
          </w:p>
        </w:tc>
        <w:tc>
          <w:tcPr>
            <w:tcW w:w="3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自动排气阀</w:t>
            </w:r>
          </w:p>
        </w:tc>
        <w:tc>
          <w:tcPr>
            <w:tcW w:w="134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21</w:t>
            </w:r>
          </w:p>
        </w:tc>
        <w:tc>
          <w:tcPr>
            <w:tcW w:w="3215"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自动排气阀</w:t>
            </w:r>
          </w:p>
        </w:tc>
        <w:tc>
          <w:tcPr>
            <w:tcW w:w="1345"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22</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23</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24</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30</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25</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26</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30</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27</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28</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29</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30</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31</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32</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33</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加密型截止止回阀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34</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35</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400</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36</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200</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37</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DN32</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38</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DN40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15</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39</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加密型闸阀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DN50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45</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40</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表前控制阀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DN15</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41</w:t>
            </w:r>
          </w:p>
        </w:tc>
        <w:tc>
          <w:tcPr>
            <w:tcW w:w="3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表前控制阀</w:t>
            </w:r>
          </w:p>
        </w:tc>
        <w:tc>
          <w:tcPr>
            <w:tcW w:w="134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DN20</w:t>
            </w:r>
          </w:p>
        </w:tc>
        <w:tc>
          <w:tcPr>
            <w:tcW w:w="109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1051"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42</w:t>
            </w:r>
          </w:p>
        </w:tc>
        <w:tc>
          <w:tcPr>
            <w:tcW w:w="321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表前控制阀</w:t>
            </w:r>
          </w:p>
        </w:tc>
        <w:tc>
          <w:tcPr>
            <w:tcW w:w="134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DN25</w:t>
            </w:r>
          </w:p>
        </w:tc>
        <w:tc>
          <w:tcPr>
            <w:tcW w:w="109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只</w:t>
            </w:r>
          </w:p>
        </w:tc>
        <w:tc>
          <w:tcPr>
            <w:tcW w:w="1539"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firstLine="0" w:firstLineChars="0"/>
              <w:jc w:val="center"/>
              <w:textAlignment w:val="top"/>
              <w:rPr>
                <w:rStyle w:val="322"/>
                <w:rFonts w:hint="eastAsia" w:ascii="宋体" w:hAnsi="宋体" w:eastAsia="宋体" w:cs="宋体"/>
                <w:color w:val="auto"/>
                <w:sz w:val="24"/>
                <w:szCs w:val="24"/>
                <w:highlight w:val="none"/>
                <w:lang w:val="en-US" w:eastAsia="zh-CN" w:bidi="ar"/>
              </w:rPr>
            </w:pPr>
            <w:r>
              <w:rPr>
                <w:rStyle w:val="322"/>
                <w:rFonts w:hint="eastAsia" w:ascii="宋体" w:hAnsi="宋体" w:eastAsia="宋体" w:cs="宋体"/>
                <w:color w:val="auto"/>
                <w:sz w:val="24"/>
                <w:szCs w:val="24"/>
                <w:highlight w:val="none"/>
                <w:lang w:val="en-US" w:eastAsia="zh-CN" w:bidi="ar"/>
              </w:rPr>
              <w:t>1</w:t>
            </w:r>
          </w:p>
        </w:tc>
        <w:tc>
          <w:tcPr>
            <w:tcW w:w="1638"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line="240" w:lineRule="auto"/>
              <w:jc w:val="center"/>
              <w:textAlignment w:val="center"/>
              <w:rPr>
                <w:rStyle w:val="322"/>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41.60</w:t>
            </w:r>
          </w:p>
        </w:tc>
      </w:tr>
    </w:tbl>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二、技术要求</w:t>
      </w:r>
    </w:p>
    <w:p>
      <w:pPr>
        <w:spacing w:line="360" w:lineRule="auto"/>
        <w:ind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1"/>
          <w:szCs w:val="21"/>
          <w:highlight w:val="none"/>
        </w:rPr>
        <w:t>黄铜材质成分要求</w:t>
      </w:r>
    </w:p>
    <w:tbl>
      <w:tblPr>
        <w:tblStyle w:val="6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1"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化学成分分析（%）</w:t>
            </w:r>
          </w:p>
        </w:tc>
        <w:tc>
          <w:tcPr>
            <w:tcW w:w="5273"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1"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Cu</w:t>
            </w:r>
          </w:p>
        </w:tc>
        <w:tc>
          <w:tcPr>
            <w:tcW w:w="5273"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1"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Pb</w:t>
            </w:r>
          </w:p>
        </w:tc>
        <w:tc>
          <w:tcPr>
            <w:tcW w:w="5273"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1"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Fe</w:t>
            </w:r>
          </w:p>
        </w:tc>
        <w:tc>
          <w:tcPr>
            <w:tcW w:w="5273"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小于等于0.5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1"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杂质总和</w:t>
            </w:r>
          </w:p>
        </w:tc>
        <w:tc>
          <w:tcPr>
            <w:tcW w:w="5273" w:type="dxa"/>
            <w:noWrap/>
            <w:vAlign w:val="top"/>
          </w:tcPr>
          <w:p>
            <w:pPr>
              <w:pStyle w:val="9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小于等于1.0</w:t>
            </w:r>
          </w:p>
        </w:tc>
      </w:tr>
    </w:tbl>
    <w:p>
      <w:pPr>
        <w:spacing w:line="360" w:lineRule="auto"/>
        <w:ind w:firstLine="48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必须提供 2019 年1月以来原材料HPb59-1铜材获得CMA认证的省级或以上第三方检测机构出具的材质分析报告、拉伸试验报告和金相分析报告。</w:t>
      </w:r>
    </w:p>
    <w:p>
      <w:pPr>
        <w:spacing w:line="360" w:lineRule="auto"/>
        <w:ind w:firstLine="422" w:firstLineChars="20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1、黄铜闸阀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w:t>
      </w:r>
      <w:r>
        <w:rPr>
          <w:rFonts w:hint="eastAsia" w:ascii="宋体" w:hAnsi="宋体" w:eastAsia="宋体" w:cs="宋体"/>
          <w:color w:val="auto"/>
          <w:sz w:val="21"/>
          <w:szCs w:val="21"/>
          <w:highlight w:val="none"/>
          <w:lang w:eastAsia="zh-CN"/>
        </w:rPr>
        <w:t>GB/T 8464-2023</w:t>
      </w:r>
      <w:r>
        <w:rPr>
          <w:rFonts w:hint="eastAsia" w:ascii="宋体" w:hAnsi="宋体" w:eastAsia="宋体" w:cs="宋体"/>
          <w:color w:val="auto"/>
          <w:sz w:val="21"/>
          <w:szCs w:val="21"/>
          <w:highlight w:val="none"/>
        </w:rPr>
        <w:t>《铁制和铜制螺纹连接阀门国家标准》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法兰标准：GB/T15530.1-2008《铜合金整体铸造法兰》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卫生标准：GB/T 17219《生活饮用水设备及防护材料卫生安全评价规范》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铜闸阀密封面必须在阀体、阀瓣（闸板）直接加工而成。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铜闸阀的开启高度必须高于通道，关闭时，闸板密封面中心线应高于闸阀密封面中心线。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铜闸阀采用压帽抽杆式结构。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铜闸阀，闸阀的壳体、阀盖毛坯均需采用热锻压成型，阀体上锻造“商标、口径、压力等级”等永久标记。</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 铜闸阀各参数都不得小于下表中规定数值，各零部件材料按表格所列</w:t>
      </w:r>
    </w:p>
    <w:tbl>
      <w:tblPr>
        <w:tblStyle w:val="66"/>
        <w:tblpPr w:leftFromText="180" w:rightFromText="180" w:vertAnchor="text" w:horzAnchor="page" w:tblpX="6568" w:tblpY="171"/>
        <w:tblW w:w="3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规格</w:t>
            </w:r>
          </w:p>
        </w:tc>
        <w:tc>
          <w:tcPr>
            <w:tcW w:w="2577"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DN15-DN</w:t>
            </w:r>
            <w:r>
              <w:rPr>
                <w:rFonts w:hint="eastAsia" w:ascii="宋体" w:hAnsi="宋体" w:eastAsia="宋体" w:cs="宋体"/>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闸板</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O型圈</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三元乙丙橡胶或丁腈橡胶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手轮</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球墨铸铁或钢制</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4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锁紧螺母</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736850" cy="3679190"/>
            <wp:effectExtent l="0" t="0" r="6350" b="16510"/>
            <wp:docPr id="1" name="图片 1" descr="108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8R-15"/>
                    <pic:cNvPicPr>
                      <a:picLocks noChangeAspect="1"/>
                    </pic:cNvPicPr>
                  </pic:nvPicPr>
                  <pic:blipFill>
                    <a:blip r:embed="rId19"/>
                    <a:stretch>
                      <a:fillRect/>
                    </a:stretch>
                  </pic:blipFill>
                  <pic:spPr>
                    <a:xfrm>
                      <a:off x="0" y="0"/>
                      <a:ext cx="2736850" cy="3679190"/>
                    </a:xfrm>
                    <a:prstGeom prst="rect">
                      <a:avLst/>
                    </a:prstGeom>
                    <a:noFill/>
                    <a:ln>
                      <a:noFill/>
                    </a:ln>
                  </pic:spPr>
                </pic:pic>
              </a:graphicData>
            </a:graphic>
          </wp:inline>
        </w:drawing>
      </w:r>
    </w:p>
    <w:p>
      <w:pPr>
        <w:pStyle w:val="847"/>
        <w:ind w:left="0" w:firstLine="1470" w:firstLineChars="7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丝扣闸阀DN15-DN</w:t>
      </w:r>
      <w:r>
        <w:rPr>
          <w:rFonts w:hint="eastAsia" w:ascii="宋体" w:hAnsi="宋体" w:eastAsia="宋体" w:cs="宋体"/>
          <w:color w:val="auto"/>
          <w:sz w:val="21"/>
          <w:szCs w:val="21"/>
          <w:highlight w:val="none"/>
          <w:lang w:val="en-US" w:eastAsia="zh-CN"/>
        </w:rPr>
        <w:t>50</w:t>
      </w:r>
    </w:p>
    <w:tbl>
      <w:tblPr>
        <w:tblStyle w:val="66"/>
        <w:tblpPr w:leftFromText="180" w:rightFromText="180" w:vertAnchor="text" w:horzAnchor="page" w:tblpX="1562" w:tblpY="25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46"/>
        <w:gridCol w:w="1401"/>
        <w:gridCol w:w="1714"/>
        <w:gridCol w:w="1713"/>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00" w:type="dxa"/>
            <w:gridSpan w:val="6"/>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丝扣抽杆式黄铜闸阀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阀杆最小直径</w:t>
            </w:r>
          </w:p>
        </w:tc>
        <w:tc>
          <w:tcPr>
            <w:tcW w:w="171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56.5</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1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246"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40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71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171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716" w:type="dxa"/>
            <w:noWrap/>
            <w:vAlign w:val="center"/>
          </w:tcPr>
          <w:p>
            <w:pPr>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bl>
    <w:p>
      <w:pPr>
        <w:rPr>
          <w:rFonts w:hint="eastAsia" w:ascii="宋体" w:hAnsi="宋体" w:eastAsia="宋体" w:cs="宋体"/>
          <w:color w:val="auto"/>
          <w:sz w:val="21"/>
          <w:szCs w:val="21"/>
          <w:highlight w:val="none"/>
        </w:rPr>
      </w:pPr>
    </w:p>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1.8铜闸阀具有CMA认证的第三方检测机构出具的检测报告，提供第三方检测机构出具的合格检测报告。</w:t>
      </w:r>
    </w:p>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1.9须提供省级疾病预防控制中心出具的卫生检测合格报告。</w:t>
      </w:r>
    </w:p>
    <w:p>
      <w:pPr>
        <w:spacing w:line="360" w:lineRule="auto"/>
        <w:ind w:firstLine="422" w:firstLineChars="200"/>
        <w:outlineLvl w:val="0"/>
        <w:rPr>
          <w:rFonts w:hint="eastAsia" w:ascii="宋体" w:hAnsi="宋体" w:eastAsia="宋体" w:cs="宋体"/>
          <w:b/>
          <w:bCs/>
          <w:color w:val="auto"/>
          <w:sz w:val="21"/>
          <w:szCs w:val="21"/>
          <w:highlight w:val="none"/>
        </w:rPr>
      </w:pPr>
    </w:p>
    <w:p>
      <w:pPr>
        <w:spacing w:line="360" w:lineRule="auto"/>
        <w:ind w:firstLine="422" w:firstLineChars="200"/>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2、黄铜截止止回阀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w:t>
      </w:r>
      <w:r>
        <w:rPr>
          <w:rFonts w:hint="eastAsia" w:ascii="宋体" w:hAnsi="宋体" w:eastAsia="宋体" w:cs="宋体"/>
          <w:color w:val="auto"/>
          <w:sz w:val="21"/>
          <w:szCs w:val="21"/>
          <w:highlight w:val="none"/>
          <w:lang w:eastAsia="zh-CN"/>
        </w:rPr>
        <w:t>GB/T 8464-2023</w:t>
      </w:r>
      <w:r>
        <w:rPr>
          <w:rFonts w:hint="eastAsia" w:ascii="宋体" w:hAnsi="宋体" w:eastAsia="宋体" w:cs="宋体"/>
          <w:color w:val="auto"/>
          <w:sz w:val="21"/>
          <w:szCs w:val="21"/>
          <w:highlight w:val="none"/>
        </w:rPr>
        <w:t>《铁制和铜制螺纹连接阀门国家标准》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2.3壳体、阀盖毛坯均需采用热锻压成型，阀体上锻造“商标、口径、压力等级”等永久标记。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2.4截止止回阀各参数都不得小于下表中规定数值,各零部件材料按表格所列</w:t>
      </w:r>
    </w:p>
    <w:p>
      <w:pPr>
        <w:spacing w:line="360" w:lineRule="auto"/>
        <w:rPr>
          <w:rFonts w:hint="eastAsia" w:ascii="宋体" w:hAnsi="宋体" w:eastAsia="宋体" w:cs="宋体"/>
          <w:color w:val="auto"/>
          <w:sz w:val="21"/>
          <w:szCs w:val="21"/>
          <w:highlight w:val="none"/>
        </w:rPr>
      </w:pPr>
    </w:p>
    <w:tbl>
      <w:tblPr>
        <w:tblStyle w:val="66"/>
        <w:tblpPr w:leftFromText="180" w:rightFromText="180" w:vertAnchor="text" w:horzAnchor="page" w:tblpX="6762" w:tblpY="188"/>
        <w:tblW w:w="3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黄铜截止止回阀</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PTFE聚四氟乙烯或三元乙丙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阀瓣座</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填料</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PTFE聚四氟乙烯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手轮</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球墨铸铁或钢制</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4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锁紧螺母</w:t>
            </w:r>
          </w:p>
        </w:tc>
        <w:tc>
          <w:tcPr>
            <w:tcW w:w="257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571750" cy="3775710"/>
            <wp:effectExtent l="0" t="0" r="0" b="15240"/>
            <wp:docPr id="4" name="图片 2" descr="301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01E-20"/>
                    <pic:cNvPicPr>
                      <a:picLocks noChangeAspect="1"/>
                    </pic:cNvPicPr>
                  </pic:nvPicPr>
                  <pic:blipFill>
                    <a:blip r:embed="rId20"/>
                    <a:stretch>
                      <a:fillRect/>
                    </a:stretch>
                  </pic:blipFill>
                  <pic:spPr>
                    <a:xfrm>
                      <a:off x="0" y="0"/>
                      <a:ext cx="2571750" cy="3775710"/>
                    </a:xfrm>
                    <a:prstGeom prst="rect">
                      <a:avLst/>
                    </a:prstGeom>
                    <a:noFill/>
                    <a:ln>
                      <a:noFill/>
                    </a:ln>
                  </pic:spPr>
                </pic:pic>
              </a:graphicData>
            </a:graphic>
          </wp:inline>
        </w:drawing>
      </w:r>
    </w:p>
    <w:p>
      <w:pPr>
        <w:pStyle w:val="847"/>
        <w:ind w:lef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黄铜截止止回阀</w:t>
      </w:r>
      <w:r>
        <w:rPr>
          <w:rFonts w:hint="eastAsia" w:ascii="宋体" w:hAnsi="宋体" w:eastAsia="宋体" w:cs="宋体"/>
          <w:color w:val="auto"/>
          <w:sz w:val="21"/>
          <w:szCs w:val="21"/>
          <w:highlight w:val="none"/>
        </w:rPr>
        <w:t>DN15-DN50</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bl>
      <w:tblPr>
        <w:tblStyle w:val="6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8"/>
        <w:gridCol w:w="1309"/>
        <w:gridCol w:w="1760"/>
        <w:gridCol w:w="177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242" w:type="dxa"/>
            <w:gridSpan w:val="6"/>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黄铜截止止回阀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177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阀杆最小直径</w:t>
            </w:r>
          </w:p>
        </w:tc>
        <w:tc>
          <w:tcPr>
            <w:tcW w:w="178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43.5</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308"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309"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1760" w:type="dxa"/>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bl>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2.5截止止回阀</w:t>
      </w:r>
      <w:r>
        <w:rPr>
          <w:rFonts w:hint="eastAsia" w:ascii="宋体" w:hAnsi="宋体" w:eastAsia="宋体" w:cs="宋体"/>
          <w:b/>
          <w:bCs/>
          <w:color w:val="auto"/>
          <w:sz w:val="21"/>
          <w:szCs w:val="21"/>
          <w:highlight w:val="none"/>
        </w:rPr>
        <w:t>具有CMA认证的第三方检测机构出具的检测报告，提供第三方检测机构出具的合格检测报告。</w:t>
      </w:r>
    </w:p>
    <w:p>
      <w:pPr>
        <w:pStyle w:val="847"/>
        <w:ind w:left="0" w:firstLine="480" w:firstLineChars="200"/>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2.6</w:t>
      </w:r>
      <w:r>
        <w:rPr>
          <w:rFonts w:hint="eastAsia" w:ascii="宋体" w:hAnsi="宋体" w:eastAsia="宋体" w:cs="宋体"/>
          <w:b/>
          <w:bCs/>
          <w:color w:val="auto"/>
          <w:sz w:val="21"/>
          <w:szCs w:val="21"/>
          <w:highlight w:val="none"/>
        </w:rPr>
        <w:t>须提供省级疾病预防控制中心出具的卫生检测合格报告。</w:t>
      </w:r>
    </w:p>
    <w:p>
      <w:pPr>
        <w:spacing w:line="360" w:lineRule="auto"/>
        <w:ind w:firstLine="422" w:firstLineChars="20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3、黄铜减压阀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最大进口压力：1.6MPa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当进口压力为1.6MPa时，出口压力可调范围为0.15~0.45MPa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产品设计符合标准：GB/T12244－2006《减压阀一般要求》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7307-2001 《55°非密封管螺纹》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减压阀采用活塞式结构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减压阀的可调装置需配备专用工具方可调节压力，避免无关人员误操作。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3.5阀体、阀盖要求红冲热锻一次成型，阀体上锻造“商标、口径、水流方向、压力等级”等永久标记。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3.6减压阀各参数都不得小于下表中规定数值, 各零部件材料按表格所列</w:t>
      </w:r>
    </w:p>
    <w:tbl>
      <w:tblPr>
        <w:tblStyle w:val="66"/>
        <w:tblW w:w="4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w:t>
            </w:r>
            <w:r>
              <w:rPr>
                <w:rFonts w:hint="eastAsia" w:ascii="宋体" w:hAnsi="宋体" w:eastAsia="宋体" w:cs="宋体"/>
                <w:color w:val="auto"/>
                <w:sz w:val="21"/>
                <w:szCs w:val="21"/>
                <w:highlight w:val="none"/>
              </w:rPr>
              <w:t>减压阀</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上阀盖</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下阀盖</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O型圈</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阀瓣座</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活塞</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过滤网</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密封垫片</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堵头</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调压弹簧</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调压螺栓</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防护盖</w:t>
            </w:r>
          </w:p>
        </w:tc>
        <w:tc>
          <w:tcPr>
            <w:tcW w:w="303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bl>
    <w:tbl>
      <w:tblPr>
        <w:tblStyle w:val="66"/>
        <w:tblpPr w:leftFromText="180" w:rightFromText="180" w:vertAnchor="text" w:horzAnchor="page" w:tblpX="1555" w:tblpY="94"/>
        <w:tblOverlap w:val="never"/>
        <w:tblW w:w="4380" w:type="dxa"/>
        <w:tblInd w:w="0" w:type="dxa"/>
        <w:tblLayout w:type="fixed"/>
        <w:tblCellMar>
          <w:top w:w="0" w:type="dxa"/>
          <w:left w:w="108" w:type="dxa"/>
          <w:bottom w:w="0" w:type="dxa"/>
          <w:right w:w="108" w:type="dxa"/>
        </w:tblCellMar>
      </w:tblPr>
      <w:tblGrid>
        <w:gridCol w:w="4380"/>
      </w:tblGrid>
      <w:tr>
        <w:trPr>
          <w:trHeight w:val="4663" w:hRule="atLeast"/>
        </w:trPr>
        <w:tc>
          <w:tcPr>
            <w:tcW w:w="4380"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114300" distR="114300" simplePos="0" relativeHeight="251661312" behindDoc="1" locked="0" layoutInCell="1" allowOverlap="1">
                  <wp:simplePos x="0" y="0"/>
                  <wp:positionH relativeFrom="page">
                    <wp:posOffset>68580</wp:posOffset>
                  </wp:positionH>
                  <wp:positionV relativeFrom="page">
                    <wp:posOffset>42545</wp:posOffset>
                  </wp:positionV>
                  <wp:extent cx="2723515" cy="2788285"/>
                  <wp:effectExtent l="0" t="0" r="635" b="12065"/>
                  <wp:wrapTight wrapText="bothSides">
                    <wp:wrapPolygon>
                      <wp:start x="0" y="0"/>
                      <wp:lineTo x="0" y="21398"/>
                      <wp:lineTo x="21454" y="21398"/>
                      <wp:lineTo x="21454" y="0"/>
                      <wp:lineTo x="0" y="0"/>
                    </wp:wrapPolygon>
                  </wp:wrapTight>
                  <wp:docPr id="3" name="图片 5" descr="7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752-15"/>
                          <pic:cNvPicPr>
                            <a:picLocks noChangeAspect="1"/>
                          </pic:cNvPicPr>
                        </pic:nvPicPr>
                        <pic:blipFill>
                          <a:blip r:embed="rId21"/>
                          <a:stretch>
                            <a:fillRect/>
                          </a:stretch>
                        </pic:blipFill>
                        <pic:spPr>
                          <a:xfrm>
                            <a:off x="0" y="0"/>
                            <a:ext cx="2723515" cy="27882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53" w:hRule="atLeast"/>
        </w:trPr>
        <w:tc>
          <w:tcPr>
            <w:tcW w:w="4380" w:type="dxa"/>
            <w:noWrap w:val="0"/>
            <w:vAlign w:val="center"/>
          </w:tcPr>
          <w:p>
            <w:pPr>
              <w:spacing w:line="360" w:lineRule="auto"/>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w:t>
            </w:r>
            <w:r>
              <w:rPr>
                <w:rFonts w:hint="eastAsia" w:ascii="宋体" w:hAnsi="宋体" w:eastAsia="宋体" w:cs="宋体"/>
                <w:color w:val="auto"/>
                <w:sz w:val="21"/>
                <w:szCs w:val="21"/>
                <w:highlight w:val="none"/>
              </w:rPr>
              <w:t>减压阀</w:t>
            </w:r>
            <w:r>
              <w:rPr>
                <w:rFonts w:hint="eastAsia" w:ascii="宋体" w:hAnsi="宋体" w:eastAsia="宋体" w:cs="宋体"/>
                <w:color w:val="auto"/>
                <w:sz w:val="21"/>
                <w:szCs w:val="21"/>
                <w:highlight w:val="none"/>
              </w:rPr>
              <w:t>DN15-DN50</w:t>
            </w:r>
          </w:p>
        </w:tc>
      </w:tr>
    </w:tbl>
    <w:p>
      <w:pPr>
        <w:rPr>
          <w:rFonts w:hint="eastAsia" w:ascii="宋体" w:hAnsi="宋体" w:eastAsia="宋体" w:cs="宋体"/>
          <w:color w:val="auto"/>
          <w:sz w:val="21"/>
          <w:szCs w:val="21"/>
          <w:highlight w:val="none"/>
        </w:rPr>
      </w:pPr>
    </w:p>
    <w:tbl>
      <w:tblPr>
        <w:tblStyle w:val="6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571"/>
        <w:gridCol w:w="1571"/>
        <w:gridCol w:w="211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8960" w:type="dxa"/>
            <w:gridSpan w:val="5"/>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w:t>
            </w:r>
            <w:r>
              <w:rPr>
                <w:rFonts w:hint="eastAsia" w:ascii="宋体" w:hAnsi="宋体" w:eastAsia="宋体" w:cs="宋体"/>
                <w:color w:val="auto"/>
                <w:sz w:val="21"/>
                <w:szCs w:val="21"/>
                <w:highlight w:val="none"/>
              </w:rPr>
              <w:t>减压阀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2135"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90.5</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571"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112"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35" w:type="dxa"/>
            <w:noWrap w:val="0"/>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bl>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rPr>
        <w:t>3.7减压阀</w:t>
      </w:r>
      <w:r>
        <w:rPr>
          <w:rFonts w:hint="eastAsia" w:ascii="宋体" w:hAnsi="宋体" w:eastAsia="宋体" w:cs="宋体"/>
          <w:b/>
          <w:bCs/>
          <w:color w:val="auto"/>
          <w:sz w:val="21"/>
          <w:szCs w:val="21"/>
          <w:highlight w:val="none"/>
        </w:rPr>
        <w:t>具有CMA认证的第三方检测机构出具的检测报告，提供第三方检测机构出具的合格检测报告。</w:t>
      </w:r>
    </w:p>
    <w:p>
      <w:pPr>
        <w:spacing w:line="360" w:lineRule="auto"/>
        <w:ind w:firstLine="422" w:firstLineChars="20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、黄铜排气阀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产品设计标准：JB/T13459-2018《铜制浮子式自动排气阀》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.3阀体要求红冲热锻一次成型，阀体上锻造“商标、压力等级、使用温度”等永久标记。</w:t>
      </w:r>
    </w:p>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.4黄铜排气阀</w:t>
      </w:r>
      <w:r>
        <w:rPr>
          <w:rFonts w:hint="eastAsia" w:ascii="宋体" w:hAnsi="宋体" w:eastAsia="宋体" w:cs="宋体"/>
          <w:b/>
          <w:bCs/>
          <w:color w:val="auto"/>
          <w:sz w:val="21"/>
          <w:szCs w:val="21"/>
          <w:highlight w:val="none"/>
        </w:rPr>
        <w:t>具有CMA认证的第三方检测机构出具的检测报告，提第三方检测机构出具的合格检测报告。</w:t>
      </w:r>
    </w:p>
    <w:tbl>
      <w:tblPr>
        <w:tblStyle w:val="66"/>
        <w:tblpPr w:leftFromText="180" w:rightFromText="180" w:vertAnchor="text" w:tblpY="1"/>
        <w:tblOverlap w:val="never"/>
        <w:tblW w:w="4340" w:type="dxa"/>
        <w:tblInd w:w="0" w:type="dxa"/>
        <w:tblLayout w:type="fixed"/>
        <w:tblCellMar>
          <w:top w:w="0" w:type="dxa"/>
          <w:left w:w="108" w:type="dxa"/>
          <w:bottom w:w="0" w:type="dxa"/>
          <w:right w:w="108" w:type="dxa"/>
        </w:tblCellMar>
      </w:tblPr>
      <w:tblGrid>
        <w:gridCol w:w="4340"/>
      </w:tblGrid>
      <w:tr>
        <w:tblPrEx>
          <w:tblCellMar>
            <w:top w:w="0" w:type="dxa"/>
            <w:left w:w="108" w:type="dxa"/>
            <w:bottom w:w="0" w:type="dxa"/>
            <w:right w:w="108" w:type="dxa"/>
          </w:tblCellMar>
        </w:tblPrEx>
        <w:trPr>
          <w:cantSplit/>
          <w:trHeight w:val="6370" w:hRule="atLeast"/>
        </w:trPr>
        <w:tc>
          <w:tcPr>
            <w:tcW w:w="434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879090" cy="4295140"/>
                  <wp:effectExtent l="0" t="0" r="16510" b="10160"/>
                  <wp:docPr id="5" name="图片 3" descr="705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705A-15"/>
                          <pic:cNvPicPr>
                            <a:picLocks noChangeAspect="1"/>
                          </pic:cNvPicPr>
                        </pic:nvPicPr>
                        <pic:blipFill>
                          <a:blip r:embed="rId22"/>
                          <a:stretch>
                            <a:fillRect/>
                          </a:stretch>
                        </pic:blipFill>
                        <pic:spPr>
                          <a:xfrm>
                            <a:off x="0" y="0"/>
                            <a:ext cx="2879090" cy="4295140"/>
                          </a:xfrm>
                          <a:prstGeom prst="rect">
                            <a:avLst/>
                          </a:prstGeom>
                          <a:noFill/>
                          <a:ln>
                            <a:noFill/>
                          </a:ln>
                        </pic:spPr>
                      </pic:pic>
                    </a:graphicData>
                  </a:graphic>
                </wp:inline>
              </w:drawing>
            </w:r>
          </w:p>
        </w:tc>
      </w:tr>
      <w:tr>
        <w:trPr>
          <w:trHeight w:val="257" w:hRule="atLeast"/>
        </w:trPr>
        <w:tc>
          <w:tcPr>
            <w:tcW w:w="4340" w:type="dxa"/>
            <w:noWrap w:val="0"/>
            <w:vAlign w:val="center"/>
          </w:tcPr>
          <w:p>
            <w:pPr>
              <w:ind w:firstLine="1265" w:firstLineChars="6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黄铜排气阀</w:t>
            </w:r>
          </w:p>
        </w:tc>
      </w:tr>
    </w:tbl>
    <w:p>
      <w:pPr>
        <w:rPr>
          <w:rFonts w:hint="eastAsia" w:ascii="宋体" w:hAnsi="宋体" w:eastAsia="宋体" w:cs="宋体"/>
          <w:vanish/>
          <w:color w:val="auto"/>
          <w:sz w:val="21"/>
          <w:szCs w:val="21"/>
          <w:highlight w:val="none"/>
        </w:rPr>
      </w:pPr>
    </w:p>
    <w:tbl>
      <w:tblPr>
        <w:tblStyle w:val="66"/>
        <w:tblpPr w:leftFromText="180" w:rightFromText="180" w:vertAnchor="text" w:horzAnchor="page" w:tblpX="6162" w:tblpY="109"/>
        <w:tblW w:w="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68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阀座</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螺纹接头</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O型圈</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浮子</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过滤网</w:t>
            </w:r>
          </w:p>
        </w:tc>
        <w:tc>
          <w:tcPr>
            <w:tcW w:w="2687"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bl>
    <w:p>
      <w:pPr>
        <w:pStyle w:val="2"/>
        <w:ind w:left="0" w:leftChars="0" w:firstLine="0" w:firstLineChars="0"/>
        <w:rPr>
          <w:rFonts w:hint="eastAsia" w:ascii="宋体" w:hAnsi="宋体" w:eastAsia="宋体" w:cs="宋体"/>
          <w:color w:val="auto"/>
          <w:highlight w:val="none"/>
        </w:rPr>
      </w:pPr>
    </w:p>
    <w:p>
      <w:pPr>
        <w:spacing w:line="360" w:lineRule="auto"/>
        <w:ind w:firstLine="422" w:firstLineChars="200"/>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、黄铜止回阀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w:t>
      </w:r>
      <w:r>
        <w:rPr>
          <w:rFonts w:hint="eastAsia" w:ascii="宋体" w:hAnsi="宋体" w:eastAsia="宋体" w:cs="宋体"/>
          <w:color w:val="auto"/>
          <w:sz w:val="21"/>
          <w:szCs w:val="21"/>
          <w:highlight w:val="none"/>
          <w:lang w:eastAsia="zh-CN"/>
        </w:rPr>
        <w:t>GB/T 8464-2023</w:t>
      </w:r>
      <w:r>
        <w:rPr>
          <w:rFonts w:hint="eastAsia" w:ascii="宋体" w:hAnsi="宋体" w:eastAsia="宋体" w:cs="宋体"/>
          <w:color w:val="auto"/>
          <w:sz w:val="21"/>
          <w:szCs w:val="21"/>
          <w:highlight w:val="none"/>
        </w:rPr>
        <w:t>《铁制和铜制螺纹连接阀门国家标准》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7307-2001 《55°非密封管螺纹》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卫生标准：GB/T 17219《生活饮用水设备及防护材料卫生安全评价规范》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.3阀体、阀盖要求红冲热锻一次成型，阀体上锻造“商标、口径、压力等级”等永久标记。</w:t>
      </w:r>
    </w:p>
    <w:tbl>
      <w:tblPr>
        <w:tblStyle w:val="6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6"/>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黄铜止回阀</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摇杆</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螺母</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芯轴</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口面垫圈</w:t>
            </w:r>
          </w:p>
        </w:tc>
        <w:tc>
          <w:tcPr>
            <w:tcW w:w="293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PTFE聚四氟乙烯</w:t>
            </w: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.4止回阀各参数都不得小于下表中规定数值, 各零部件材料按表格所列</w:t>
      </w:r>
    </w:p>
    <w:tbl>
      <w:tblPr>
        <w:tblStyle w:val="66"/>
        <w:tblpPr w:leftFromText="180" w:rightFromText="180" w:vertAnchor="text" w:tblpY="1"/>
        <w:tblOverlap w:val="never"/>
        <w:tblW w:w="4786" w:type="dxa"/>
        <w:tblInd w:w="0" w:type="dxa"/>
        <w:tblLayout w:type="fixed"/>
        <w:tblCellMar>
          <w:top w:w="0" w:type="dxa"/>
          <w:left w:w="108" w:type="dxa"/>
          <w:bottom w:w="0" w:type="dxa"/>
          <w:right w:w="108" w:type="dxa"/>
        </w:tblCellMar>
      </w:tblPr>
      <w:tblGrid>
        <w:gridCol w:w="4786"/>
      </w:tblGrid>
      <w:tr>
        <w:tblPrEx>
          <w:tblCellMar>
            <w:top w:w="0" w:type="dxa"/>
            <w:left w:w="108" w:type="dxa"/>
            <w:bottom w:w="0" w:type="dxa"/>
            <w:right w:w="108" w:type="dxa"/>
          </w:tblCellMar>
        </w:tblPrEx>
        <w:trPr>
          <w:cantSplit/>
        </w:trPr>
        <w:tc>
          <w:tcPr>
            <w:tcW w:w="478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725420" cy="2931160"/>
                  <wp:effectExtent l="0" t="0" r="17780" b="2540"/>
                  <wp:docPr id="6" name="图片 4" descr="4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429-15"/>
                          <pic:cNvPicPr>
                            <a:picLocks noChangeAspect="1"/>
                          </pic:cNvPicPr>
                        </pic:nvPicPr>
                        <pic:blipFill>
                          <a:blip r:embed="rId23"/>
                          <a:stretch>
                            <a:fillRect/>
                          </a:stretch>
                        </pic:blipFill>
                        <pic:spPr>
                          <a:xfrm>
                            <a:off x="0" y="0"/>
                            <a:ext cx="2725420" cy="2931160"/>
                          </a:xfrm>
                          <a:prstGeom prst="rect">
                            <a:avLst/>
                          </a:prstGeom>
                          <a:noFill/>
                          <a:ln>
                            <a:noFill/>
                          </a:ln>
                        </pic:spPr>
                      </pic:pic>
                    </a:graphicData>
                  </a:graphic>
                </wp:inline>
              </w:drawing>
            </w:r>
          </w:p>
        </w:tc>
      </w:tr>
      <w:tr>
        <w:tc>
          <w:tcPr>
            <w:tcW w:w="478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黄铜止回阀</w:t>
            </w:r>
            <w:r>
              <w:rPr>
                <w:rFonts w:hint="eastAsia" w:ascii="宋体" w:hAnsi="宋体" w:eastAsia="宋体" w:cs="宋体"/>
                <w:color w:val="auto"/>
                <w:sz w:val="21"/>
                <w:szCs w:val="21"/>
                <w:highlight w:val="none"/>
              </w:rPr>
              <w:t>DN15-DN50</w:t>
            </w:r>
          </w:p>
        </w:tc>
      </w:tr>
      <w:tr>
        <w:tblPrEx>
          <w:tblCellMar>
            <w:top w:w="0" w:type="dxa"/>
            <w:left w:w="108" w:type="dxa"/>
            <w:bottom w:w="0" w:type="dxa"/>
            <w:right w:w="108" w:type="dxa"/>
          </w:tblCellMar>
        </w:tblPrEx>
        <w:tc>
          <w:tcPr>
            <w:tcW w:w="4786" w:type="dxa"/>
            <w:noWrap w:val="0"/>
            <w:vAlign w:val="center"/>
          </w:tcPr>
          <w:p>
            <w:pPr>
              <w:jc w:val="center"/>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bl>
      <w:tblPr>
        <w:tblStyle w:val="6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1680"/>
        <w:gridCol w:w="2259"/>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80" w:type="dxa"/>
            <w:gridSpan w:val="5"/>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黄铜止回阀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225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2281"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680" w:type="dxa"/>
            <w:noWrap/>
            <w:vAlign w:val="top"/>
          </w:tcPr>
          <w:p>
            <w:pPr>
              <w:pStyle w:val="348"/>
              <w:spacing w:before="94" w:line="185"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680" w:type="dxa"/>
            <w:noWrap/>
            <w:vAlign w:val="top"/>
          </w:tcPr>
          <w:p>
            <w:pPr>
              <w:pStyle w:val="348"/>
              <w:spacing w:before="93"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w:t>
            </w:r>
          </w:p>
        </w:tc>
        <w:tc>
          <w:tcPr>
            <w:tcW w:w="2259" w:type="dxa"/>
            <w:noWrap/>
            <w:vAlign w:val="top"/>
          </w:tcPr>
          <w:p>
            <w:pPr>
              <w:pStyle w:val="348"/>
              <w:spacing w:before="94" w:line="185"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680"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w:t>
            </w:r>
          </w:p>
        </w:tc>
        <w:tc>
          <w:tcPr>
            <w:tcW w:w="1680"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60</w:t>
            </w:r>
          </w:p>
        </w:tc>
        <w:tc>
          <w:tcPr>
            <w:tcW w:w="2259"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12.5</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680" w:type="dxa"/>
            <w:noWrap/>
            <w:vAlign w:val="top"/>
          </w:tcPr>
          <w:p>
            <w:pPr>
              <w:pStyle w:val="348"/>
              <w:spacing w:before="93"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w:t>
            </w:r>
          </w:p>
        </w:tc>
        <w:tc>
          <w:tcPr>
            <w:tcW w:w="1680" w:type="dxa"/>
            <w:noWrap/>
            <w:vAlign w:val="top"/>
          </w:tcPr>
          <w:p>
            <w:pPr>
              <w:pStyle w:val="348"/>
              <w:spacing w:before="94" w:line="185"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w:t>
            </w:r>
          </w:p>
        </w:tc>
        <w:tc>
          <w:tcPr>
            <w:tcW w:w="2259" w:type="dxa"/>
            <w:noWrap/>
            <w:vAlign w:val="top"/>
          </w:tcPr>
          <w:p>
            <w:pPr>
              <w:pStyle w:val="348"/>
              <w:spacing w:before="94" w:line="185"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680"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1680"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84</w:t>
            </w:r>
          </w:p>
        </w:tc>
        <w:tc>
          <w:tcPr>
            <w:tcW w:w="2259" w:type="dxa"/>
            <w:noWrap/>
            <w:vAlign w:val="top"/>
          </w:tcPr>
          <w:p>
            <w:pPr>
              <w:pStyle w:val="348"/>
              <w:spacing w:before="94"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680" w:type="dxa"/>
            <w:noWrap/>
            <w:vAlign w:val="top"/>
          </w:tcPr>
          <w:p>
            <w:pPr>
              <w:pStyle w:val="348"/>
              <w:spacing w:before="95"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w:t>
            </w:r>
          </w:p>
        </w:tc>
        <w:tc>
          <w:tcPr>
            <w:tcW w:w="1680" w:type="dxa"/>
            <w:noWrap/>
            <w:vAlign w:val="top"/>
          </w:tcPr>
          <w:p>
            <w:pPr>
              <w:pStyle w:val="348"/>
              <w:spacing w:before="95"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94</w:t>
            </w:r>
          </w:p>
        </w:tc>
        <w:tc>
          <w:tcPr>
            <w:tcW w:w="2259" w:type="dxa"/>
            <w:noWrap/>
            <w:vAlign w:val="top"/>
          </w:tcPr>
          <w:p>
            <w:pPr>
              <w:pStyle w:val="348"/>
              <w:spacing w:before="96" w:line="185"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680" w:type="dxa"/>
            <w:noWrap/>
            <w:vAlign w:val="top"/>
          </w:tcPr>
          <w:p>
            <w:pPr>
              <w:pStyle w:val="348"/>
              <w:spacing w:before="98"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46</w:t>
            </w:r>
          </w:p>
        </w:tc>
        <w:tc>
          <w:tcPr>
            <w:tcW w:w="1680" w:type="dxa"/>
            <w:noWrap/>
            <w:vAlign w:val="top"/>
          </w:tcPr>
          <w:p>
            <w:pPr>
              <w:pStyle w:val="348"/>
              <w:spacing w:before="98" w:line="18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w:t>
            </w:r>
          </w:p>
        </w:tc>
        <w:tc>
          <w:tcPr>
            <w:tcW w:w="2259" w:type="dxa"/>
            <w:noWrap/>
            <w:vAlign w:val="top"/>
          </w:tcPr>
          <w:p>
            <w:pPr>
              <w:pStyle w:val="348"/>
              <w:spacing w:before="97" w:line="187"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w:t>
            </w:r>
          </w:p>
        </w:tc>
        <w:tc>
          <w:tcPr>
            <w:tcW w:w="2281"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响应人提供</w:t>
            </w:r>
          </w:p>
        </w:tc>
      </w:tr>
    </w:tbl>
    <w:p>
      <w:pPr>
        <w:spacing w:line="360" w:lineRule="auto"/>
        <w:ind w:firstLine="48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4"/>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.5止回阀</w:t>
      </w:r>
      <w:r>
        <w:rPr>
          <w:rFonts w:hint="eastAsia" w:ascii="宋体" w:hAnsi="宋体" w:eastAsia="宋体" w:cs="宋体"/>
          <w:b/>
          <w:bCs/>
          <w:color w:val="auto"/>
          <w:sz w:val="21"/>
          <w:szCs w:val="21"/>
          <w:highlight w:val="none"/>
        </w:rPr>
        <w:t>具有CMA认证的第三方检测机构出具的检测报告，提供第三方检测机构出具的合格检测报告。</w:t>
      </w:r>
    </w:p>
    <w:p>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、黄铜加密截止止回阀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卫生标准：GB/T 17219《生活饮用水设备及防护材料卫生安全评价规范》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.3阀体、阀盖红冲热锻一次成型，阀体上锻造“商标、口径、压力规格、水流方向”等永久标记。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.4阀杆与阀盖的密封：采用至少2道“O”型橡胶密封圈密封。圈密封具有</w:t>
      </w:r>
      <w:r>
        <w:rPr>
          <w:rFonts w:hint="eastAsia" w:ascii="宋体" w:hAnsi="宋体" w:eastAsia="宋体" w:cs="宋体"/>
          <w:color w:val="auto"/>
          <w:sz w:val="21"/>
          <w:szCs w:val="21"/>
          <w:highlight w:val="none"/>
        </w:rPr>
        <w:t>CMA认证的第三方检测机构出具的材质检测报告，提供第三方检测机构出具的合格检测报告。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.5采用两个磁点加密，磁点分布，如图所示</w:t>
      </w:r>
    </w:p>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DN15-DN25规格采用下图钥匙</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312670" cy="2061845"/>
            <wp:effectExtent l="0" t="0" r="11430" b="146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4"/>
                    <a:stretch>
                      <a:fillRect/>
                    </a:stretch>
                  </pic:blipFill>
                  <pic:spPr>
                    <a:xfrm>
                      <a:off x="0" y="0"/>
                      <a:ext cx="2312670" cy="2061845"/>
                    </a:xfrm>
                    <a:prstGeom prst="rect">
                      <a:avLst/>
                    </a:prstGeom>
                    <a:noFill/>
                    <a:ln>
                      <a:noFill/>
                    </a:ln>
                  </pic:spPr>
                </pic:pic>
              </a:graphicData>
            </a:graphic>
          </wp:inline>
        </w:drawing>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DN32-DN50规格采用下图钥匙</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4398645" cy="3660775"/>
            <wp:effectExtent l="0" t="0" r="1905"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5"/>
                    <a:srcRect l="4156" t="7356" b="2657"/>
                    <a:stretch>
                      <a:fillRect/>
                    </a:stretch>
                  </pic:blipFill>
                  <pic:spPr>
                    <a:xfrm>
                      <a:off x="0" y="0"/>
                      <a:ext cx="4398645" cy="3660775"/>
                    </a:xfrm>
                    <a:prstGeom prst="rect">
                      <a:avLst/>
                    </a:prstGeom>
                    <a:noFill/>
                    <a:ln>
                      <a:noFill/>
                    </a:ln>
                  </pic:spPr>
                </pic:pic>
              </a:graphicData>
            </a:graphic>
          </wp:inline>
        </w:drawing>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.6钥匙带磁点部分部件采用黄铜材质，手柄材质为304不锈钢或铁镀铬。</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.7加密截止止回阀各参数都不得小于下表中规定数值, 各零部件材料按表格所列</w:t>
      </w:r>
    </w:p>
    <w:tbl>
      <w:tblPr>
        <w:tblStyle w:val="66"/>
        <w:tblpPr w:leftFromText="180" w:rightFromText="180" w:vertAnchor="text" w:tblpY="1"/>
        <w:tblOverlap w:val="never"/>
        <w:tblW w:w="4734" w:type="dxa"/>
        <w:tblInd w:w="0" w:type="dxa"/>
        <w:tblLayout w:type="fixed"/>
        <w:tblCellMar>
          <w:top w:w="0" w:type="dxa"/>
          <w:left w:w="108" w:type="dxa"/>
          <w:bottom w:w="0" w:type="dxa"/>
          <w:right w:w="108" w:type="dxa"/>
        </w:tblCellMar>
      </w:tblPr>
      <w:tblGrid>
        <w:gridCol w:w="4734"/>
      </w:tblGrid>
      <w:tr>
        <w:tblPrEx>
          <w:tblCellMar>
            <w:top w:w="0" w:type="dxa"/>
            <w:left w:w="108" w:type="dxa"/>
            <w:bottom w:w="0" w:type="dxa"/>
            <w:right w:w="108" w:type="dxa"/>
          </w:tblCellMar>
        </w:tblPrEx>
        <w:tc>
          <w:tcPr>
            <w:tcW w:w="47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810510" cy="3907155"/>
                  <wp:effectExtent l="0" t="0" r="8890" b="17145"/>
                  <wp:docPr id="9" name="图片 7" descr="306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306H-15"/>
                          <pic:cNvPicPr>
                            <a:picLocks noChangeAspect="1"/>
                          </pic:cNvPicPr>
                        </pic:nvPicPr>
                        <pic:blipFill>
                          <a:blip r:embed="rId26"/>
                          <a:stretch>
                            <a:fillRect/>
                          </a:stretch>
                        </pic:blipFill>
                        <pic:spPr>
                          <a:xfrm>
                            <a:off x="0" y="0"/>
                            <a:ext cx="2810510" cy="3907155"/>
                          </a:xfrm>
                          <a:prstGeom prst="rect">
                            <a:avLst/>
                          </a:prstGeom>
                          <a:noFill/>
                          <a:ln>
                            <a:noFill/>
                          </a:ln>
                        </pic:spPr>
                      </pic:pic>
                    </a:graphicData>
                  </a:graphic>
                </wp:inline>
              </w:drawing>
            </w:r>
          </w:p>
        </w:tc>
      </w:tr>
      <w:tr>
        <w:tc>
          <w:tcPr>
            <w:tcW w:w="47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黄铜加密截止止回阀DN15-DN50</w:t>
            </w:r>
          </w:p>
        </w:tc>
      </w:tr>
    </w:tbl>
    <w:tbl>
      <w:tblPr>
        <w:tblStyle w:val="66"/>
        <w:tblpPr w:leftFromText="180" w:rightFromText="180" w:vertAnchor="text" w:horzAnchor="page" w:tblpX="6902" w:tblpY="110"/>
        <w:tblW w:w="4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黄铜加密截止止回阀</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螺母</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PTFE聚四氟乙烯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7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O型圈</w:t>
            </w:r>
          </w:p>
        </w:tc>
        <w:tc>
          <w:tcPr>
            <w:tcW w:w="266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bl>
    <w:tbl>
      <w:tblPr>
        <w:tblStyle w:val="6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8"/>
        <w:gridCol w:w="1309"/>
        <w:gridCol w:w="1760"/>
        <w:gridCol w:w="177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42" w:type="dxa"/>
            <w:gridSpan w:val="6"/>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黄铜加密截止止回阀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1773" w:type="dxa"/>
            <w:noWrap w:val="0"/>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阀杆最小直径</w:t>
            </w:r>
          </w:p>
        </w:tc>
        <w:tc>
          <w:tcPr>
            <w:tcW w:w="1784"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308"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38mm</w:t>
            </w:r>
          </w:p>
        </w:tc>
        <w:tc>
          <w:tcPr>
            <w:tcW w:w="1309"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100mm</w:t>
            </w:r>
          </w:p>
        </w:tc>
        <w:tc>
          <w:tcPr>
            <w:tcW w:w="1760" w:type="dxa"/>
            <w:noWrap/>
            <w:vAlign w:val="center"/>
          </w:tcPr>
          <w:p>
            <w:pPr>
              <w:pStyle w:val="141"/>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18mm</w:t>
            </w:r>
          </w:p>
        </w:tc>
        <w:tc>
          <w:tcPr>
            <w:tcW w:w="1773" w:type="dxa"/>
            <w:noWrap w:val="0"/>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10.5mm</w:t>
            </w:r>
          </w:p>
        </w:tc>
        <w:tc>
          <w:tcPr>
            <w:tcW w:w="1784" w:type="dxa"/>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bl>
    <w:p>
      <w:pPr>
        <w:rPr>
          <w:rFonts w:hint="eastAsia" w:ascii="宋体" w:hAnsi="宋体" w:eastAsia="宋体" w:cs="宋体"/>
          <w:color w:val="auto"/>
          <w:highlight w:val="none"/>
        </w:rPr>
      </w:pPr>
    </w:p>
    <w:p>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、黄铜加密闸阀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w:t>
      </w:r>
      <w:r>
        <w:rPr>
          <w:rFonts w:hint="eastAsia" w:ascii="宋体" w:hAnsi="宋体" w:eastAsia="宋体" w:cs="宋体"/>
          <w:color w:val="auto"/>
          <w:sz w:val="21"/>
          <w:szCs w:val="21"/>
          <w:highlight w:val="none"/>
          <w:lang w:eastAsia="zh-CN"/>
        </w:rPr>
        <w:t>GB/T 8464-2023</w:t>
      </w:r>
      <w:r>
        <w:rPr>
          <w:rFonts w:hint="eastAsia" w:ascii="宋体" w:hAnsi="宋体" w:eastAsia="宋体" w:cs="宋体"/>
          <w:color w:val="auto"/>
          <w:sz w:val="21"/>
          <w:szCs w:val="21"/>
          <w:highlight w:val="none"/>
        </w:rPr>
        <w:t>《铁制和铜制螺纹连接阀门国家标准》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卫生标准：GB/T 17219《生活饮用水设备及防护材料卫生安全评价规范》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阀体、阀盖红冲热锻一次成型，阀体上锻造“商标、口径、压力规格”等永久标记。</w:t>
      </w:r>
    </w:p>
    <w:p>
      <w:pPr>
        <w:tabs>
          <w:tab w:val="center" w:pos="4153"/>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采用两个磁点加密，磁点分布，如图所示。</w:t>
      </w:r>
    </w:p>
    <w:p>
      <w:pPr>
        <w:tabs>
          <w:tab w:val="center" w:pos="4153"/>
        </w:tabs>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DN15-DN25规格采用下图钥匙</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3275330" cy="2919730"/>
            <wp:effectExtent l="0" t="0" r="1270" b="1397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7"/>
                    <a:stretch>
                      <a:fillRect/>
                    </a:stretch>
                  </pic:blipFill>
                  <pic:spPr>
                    <a:xfrm>
                      <a:off x="0" y="0"/>
                      <a:ext cx="3275330" cy="2919730"/>
                    </a:xfrm>
                    <a:prstGeom prst="rect">
                      <a:avLst/>
                    </a:prstGeom>
                    <a:noFill/>
                    <a:ln>
                      <a:noFill/>
                    </a:ln>
                  </pic:spPr>
                </pic:pic>
              </a:graphicData>
            </a:graphic>
          </wp:inline>
        </w:drawing>
      </w:r>
    </w:p>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DN32-DN50规格采用下图钥匙</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3792220" cy="3150870"/>
            <wp:effectExtent l="0" t="0" r="17780" b="1143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5"/>
                    <a:srcRect l="4156" t="7356" b="2657"/>
                    <a:stretch>
                      <a:fillRect/>
                    </a:stretch>
                  </pic:blipFill>
                  <pic:spPr>
                    <a:xfrm>
                      <a:off x="0" y="0"/>
                      <a:ext cx="3792220" cy="3150870"/>
                    </a:xfrm>
                    <a:prstGeom prst="rect">
                      <a:avLst/>
                    </a:prstGeom>
                    <a:noFill/>
                    <a:ln>
                      <a:noFill/>
                    </a:ln>
                  </pic:spPr>
                </pic:pic>
              </a:graphicData>
            </a:graphic>
          </wp:inline>
        </w:drawing>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钥匙带磁点部分部件采用黄铜材质，手柄材质为304不锈钢或铁镀铬。</w:t>
      </w: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p>
    <w:p>
      <w:pPr>
        <w:spacing w:line="360" w:lineRule="auto"/>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加密闸阀各参数都不得小于下表中规定数值, 各零部件材料按表格所列</w:t>
      </w:r>
    </w:p>
    <w:tbl>
      <w:tblPr>
        <w:tblStyle w:val="66"/>
        <w:tblpPr w:leftFromText="180" w:rightFromText="180" w:vertAnchor="text" w:horzAnchor="page" w:tblpX="6542" w:tblpY="786"/>
        <w:tblW w:w="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黄铜加密闸</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闸板</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口面垫圈</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PTFE聚四氟乙烯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O型圈</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bl>
    <w:p>
      <w:pPr>
        <w:rPr>
          <w:rFonts w:hint="eastAsia" w:ascii="宋体" w:hAnsi="宋体" w:eastAsia="宋体" w:cs="宋体"/>
          <w:color w:val="auto"/>
          <w:sz w:val="21"/>
          <w:szCs w:val="21"/>
          <w:highlight w:val="none"/>
        </w:rPr>
      </w:pPr>
    </w:p>
    <w:tbl>
      <w:tblPr>
        <w:tblStyle w:val="66"/>
        <w:tblpPr w:leftFromText="180" w:rightFromText="180" w:vertAnchor="text" w:tblpY="1"/>
        <w:tblOverlap w:val="never"/>
        <w:tblW w:w="4300" w:type="dxa"/>
        <w:tblInd w:w="0" w:type="dxa"/>
        <w:tblLayout w:type="fixed"/>
        <w:tblCellMar>
          <w:top w:w="0" w:type="dxa"/>
          <w:left w:w="108" w:type="dxa"/>
          <w:bottom w:w="0" w:type="dxa"/>
          <w:right w:w="108" w:type="dxa"/>
        </w:tblCellMar>
      </w:tblPr>
      <w:tblGrid>
        <w:gridCol w:w="4300"/>
      </w:tblGrid>
      <w:tr>
        <w:tblPrEx>
          <w:tblCellMar>
            <w:top w:w="0" w:type="dxa"/>
            <w:left w:w="108" w:type="dxa"/>
            <w:bottom w:w="0" w:type="dxa"/>
            <w:right w:w="108" w:type="dxa"/>
          </w:tblCellMar>
        </w:tblPrEx>
        <w:trPr>
          <w:cantSplit/>
          <w:trHeight w:val="6637" w:hRule="atLeast"/>
        </w:trPr>
        <w:tc>
          <w:tcPr>
            <w:tcW w:w="43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2844165" cy="4262755"/>
                  <wp:effectExtent l="0" t="0" r="13335" b="4445"/>
                  <wp:docPr id="10" name="图片 10" descr="1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92-15"/>
                          <pic:cNvPicPr>
                            <a:picLocks noChangeAspect="1"/>
                          </pic:cNvPicPr>
                        </pic:nvPicPr>
                        <pic:blipFill>
                          <a:blip r:embed="rId28"/>
                          <a:stretch>
                            <a:fillRect/>
                          </a:stretch>
                        </pic:blipFill>
                        <pic:spPr>
                          <a:xfrm>
                            <a:off x="0" y="0"/>
                            <a:ext cx="2844165" cy="4262755"/>
                          </a:xfrm>
                          <a:prstGeom prst="rect">
                            <a:avLst/>
                          </a:prstGeom>
                          <a:noFill/>
                          <a:ln>
                            <a:noFill/>
                          </a:ln>
                        </pic:spPr>
                      </pic:pic>
                    </a:graphicData>
                  </a:graphic>
                </wp:inline>
              </w:drawing>
            </w:r>
          </w:p>
        </w:tc>
      </w:tr>
      <w:tr>
        <w:trPr>
          <w:trHeight w:val="269" w:hRule="atLeast"/>
        </w:trPr>
        <w:tc>
          <w:tcPr>
            <w:tcW w:w="43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黄铜加密闸阀</w:t>
            </w:r>
            <w:r>
              <w:rPr>
                <w:rFonts w:hint="eastAsia" w:ascii="宋体" w:hAnsi="宋体" w:eastAsia="宋体" w:cs="宋体"/>
                <w:color w:val="auto"/>
                <w:sz w:val="21"/>
                <w:szCs w:val="21"/>
                <w:highlight w:val="none"/>
              </w:rPr>
              <w:t>DN15-DN50</w:t>
            </w:r>
          </w:p>
          <w:p>
            <w:pPr>
              <w:pStyle w:val="25"/>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tc>
      </w:tr>
    </w:tbl>
    <w:tbl>
      <w:tblPr>
        <w:tblStyle w:val="66"/>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1254"/>
        <w:gridCol w:w="1854"/>
        <w:gridCol w:w="153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20" w:type="dxa"/>
            <w:gridSpan w:val="6"/>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黄铜加密闸阀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螺纹长度L1</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阀杆最小直径</w:t>
            </w:r>
          </w:p>
        </w:tc>
        <w:tc>
          <w:tcPr>
            <w:tcW w:w="1872"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DN32</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56.5</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DN40</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DN50</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8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1532" w:type="dxa"/>
            <w:noWrap w:val="0"/>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响应人提供</w:t>
            </w:r>
          </w:p>
        </w:tc>
      </w:tr>
    </w:tbl>
    <w:p>
      <w:pPr>
        <w:spacing w:line="360" w:lineRule="auto"/>
        <w:ind w:firstLine="422" w:firstLineChars="200"/>
        <w:outlineLvl w:val="0"/>
        <w:rPr>
          <w:rFonts w:hint="eastAsia" w:ascii="宋体" w:hAnsi="宋体" w:eastAsia="宋体" w:cs="宋体"/>
          <w:b/>
          <w:color w:val="auto"/>
          <w:sz w:val="21"/>
          <w:szCs w:val="21"/>
          <w:highlight w:val="none"/>
          <w:lang w:val="en-US" w:eastAsia="zh-CN"/>
        </w:rPr>
      </w:pPr>
    </w:p>
    <w:p>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、表前控制阀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工作介质：水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公称压力：1.6MPa</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供货商提供的产品，在满足下列标准要求的前提下，应满足或高于本招标技术要求的规定。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产品设计标准：</w:t>
      </w:r>
      <w:r>
        <w:rPr>
          <w:rFonts w:hint="eastAsia" w:ascii="宋体" w:hAnsi="宋体" w:eastAsia="宋体" w:cs="宋体"/>
          <w:color w:val="auto"/>
          <w:sz w:val="21"/>
          <w:szCs w:val="21"/>
          <w:highlight w:val="none"/>
          <w:lang w:eastAsia="zh-CN"/>
        </w:rPr>
        <w:t>GB/T 8464-2023</w:t>
      </w:r>
      <w:r>
        <w:rPr>
          <w:rFonts w:hint="eastAsia" w:ascii="宋体" w:hAnsi="宋体" w:eastAsia="宋体" w:cs="宋体"/>
          <w:color w:val="auto"/>
          <w:sz w:val="21"/>
          <w:szCs w:val="21"/>
          <w:highlight w:val="none"/>
        </w:rPr>
        <w:t>《铁制和铜制螺纹连接阀门国家标准》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产品检验标准：GB/T </w:t>
      </w:r>
      <w:r>
        <w:rPr>
          <w:rFonts w:hint="eastAsia" w:ascii="宋体" w:hAnsi="宋体" w:eastAsia="宋体" w:cs="宋体"/>
          <w:color w:val="auto"/>
          <w:sz w:val="21"/>
          <w:szCs w:val="21"/>
          <w:highlight w:val="none"/>
          <w:lang w:eastAsia="zh-CN"/>
        </w:rPr>
        <w:t>13927-2022</w:t>
      </w:r>
      <w:r>
        <w:rPr>
          <w:rFonts w:hint="eastAsia" w:ascii="宋体" w:hAnsi="宋体" w:eastAsia="宋体" w:cs="宋体"/>
          <w:color w:val="auto"/>
          <w:sz w:val="21"/>
          <w:szCs w:val="21"/>
          <w:highlight w:val="none"/>
        </w:rPr>
        <w:t>《工业阀门压力试验国家标准》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产品材料标准：GB/T 5231-2012《加工铜及铜合金化学成分和产品形状国家标准》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螺纹标准：GB/T 7306.2-2000《55°密封管螺纹 第2部分：圆锥内螺纹与圆锥外螺纹》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卫生标准：GB/T 17219《生活饮用水设备及防护材料卫生安全评价规范》</w:t>
      </w:r>
    </w:p>
    <w:p>
      <w:pPr>
        <w:pStyle w:val="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阀体、阀盖红冲热锻一次成型，阀体上锻造“商标、口径、压力规格”等永久标记。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8.4表前控制阀</w:t>
      </w:r>
      <w:r>
        <w:rPr>
          <w:rFonts w:hint="eastAsia" w:ascii="宋体" w:hAnsi="宋体" w:eastAsia="宋体" w:cs="宋体"/>
          <w:color w:val="auto"/>
          <w:sz w:val="21"/>
          <w:szCs w:val="21"/>
          <w:highlight w:val="none"/>
        </w:rPr>
        <w:t>各参数都不得小于下表中规定数值, 各零部件材料按表格所列</w:t>
      </w:r>
    </w:p>
    <w:tbl>
      <w:tblPr>
        <w:tblStyle w:val="66"/>
        <w:tblpPr w:leftFromText="180" w:rightFromText="180" w:vertAnchor="text" w:horzAnchor="page" w:tblpX="6572" w:tblpY="727"/>
        <w:tblW w:w="4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表前控制阀</w:t>
            </w:r>
          </w:p>
        </w:tc>
        <w:tc>
          <w:tcPr>
            <w:tcW w:w="259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DN15-DN</w:t>
            </w:r>
            <w:r>
              <w:rPr>
                <w:rFonts w:hint="eastAsia" w:ascii="宋体" w:hAnsi="宋体" w:eastAsia="宋体" w:cs="宋体"/>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阀体</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阀盖</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阀瓣架</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密封垫</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VMQ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矩形密封圈</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丁腈橡胶或三元乙丙橡胶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连接螺母</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弹簧座</w:t>
            </w:r>
          </w:p>
        </w:tc>
        <w:tc>
          <w:tcPr>
            <w:tcW w:w="25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HPb59-1</w:t>
            </w:r>
          </w:p>
        </w:tc>
      </w:tr>
    </w:tbl>
    <w:p>
      <w:pPr>
        <w:rPr>
          <w:rFonts w:hint="eastAsia" w:ascii="宋体" w:hAnsi="宋体" w:eastAsia="宋体" w:cs="宋体"/>
          <w:color w:val="auto"/>
          <w:sz w:val="21"/>
          <w:szCs w:val="21"/>
          <w:highlight w:val="none"/>
        </w:rPr>
      </w:pPr>
    </w:p>
    <w:p>
      <w:pPr>
        <w:pStyle w:val="25"/>
        <w:rPr>
          <w:rFonts w:hint="eastAsia" w:ascii="宋体" w:hAnsi="宋体" w:eastAsia="宋体" w:cs="宋体"/>
          <w:b/>
          <w:color w:val="auto"/>
          <w:sz w:val="36"/>
          <w:szCs w:val="36"/>
          <w:highlight w:val="none"/>
        </w:rPr>
      </w:pPr>
      <w:r>
        <w:rPr>
          <w:rFonts w:hint="eastAsia" w:ascii="宋体" w:hAnsi="宋体" w:eastAsia="宋体" w:cs="宋体"/>
          <w:color w:val="auto"/>
          <w:highlight w:val="none"/>
        </w:rPr>
        <w:drawing>
          <wp:inline distT="0" distB="0" distL="114300" distR="114300">
            <wp:extent cx="2007870" cy="2501900"/>
            <wp:effectExtent l="0" t="0" r="11430" b="12700"/>
            <wp:docPr id="17" name="图片 1" descr="{4EF81072-15C8-4652-84E2-303EDB84E2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4EF81072-15C8-4652-84E2-303EDB84E245}.bmp"/>
                    <pic:cNvPicPr>
                      <a:picLocks noChangeAspect="1"/>
                    </pic:cNvPicPr>
                  </pic:nvPicPr>
                  <pic:blipFill>
                    <a:blip r:embed="rId29"/>
                    <a:srcRect/>
                    <a:stretch>
                      <a:fillRect/>
                    </a:stretch>
                  </pic:blipFill>
                  <pic:spPr>
                    <a:xfrm>
                      <a:off x="0" y="0"/>
                      <a:ext cx="2007894" cy="2501660"/>
                    </a:xfrm>
                    <a:prstGeom prst="rect">
                      <a:avLst/>
                    </a:prstGeom>
                    <a:noFill/>
                    <a:ln w="9525">
                      <a:noFill/>
                      <a:miter lim="800000"/>
                      <a:headEnd/>
                      <a:tailEnd/>
                    </a:ln>
                  </pic:spPr>
                </pic:pic>
              </a:graphicData>
            </a:graphic>
          </wp:inline>
        </w:drawing>
      </w:r>
    </w:p>
    <w:p>
      <w:pPr>
        <w:rPr>
          <w:rFonts w:hint="eastAsia" w:ascii="宋体" w:hAnsi="宋体" w:eastAsia="宋体" w:cs="宋体"/>
          <w:b/>
          <w:color w:val="auto"/>
          <w:sz w:val="36"/>
          <w:szCs w:val="36"/>
          <w:highlight w:val="none"/>
        </w:rPr>
      </w:pPr>
    </w:p>
    <w:p>
      <w:pPr>
        <w:pStyle w:val="25"/>
        <w:rPr>
          <w:rFonts w:hint="eastAsia" w:ascii="宋体" w:hAnsi="宋体" w:eastAsia="宋体" w:cs="宋体"/>
          <w:b/>
          <w:color w:val="auto"/>
          <w:sz w:val="36"/>
          <w:szCs w:val="36"/>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p>
    <w:tbl>
      <w:tblPr>
        <w:tblStyle w:val="66"/>
        <w:tblW w:w="5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125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34" w:type="dxa"/>
            <w:gridSpan w:val="4"/>
            <w:tcBorders>
              <w:top w:val="single" w:color="auto" w:sz="4" w:space="0"/>
              <w:left w:val="single" w:color="auto" w:sz="4" w:space="0"/>
              <w:bottom w:val="single" w:color="auto" w:sz="4" w:space="0"/>
              <w:right w:val="single" w:color="auto" w:sz="4" w:space="0"/>
            </w:tcBorders>
            <w:noWrap/>
            <w:vAlign w:val="center"/>
          </w:tcPr>
          <w:p>
            <w:pPr>
              <w:pStyle w:val="141"/>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表前控制阀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tcBorders>
              <w:top w:val="single" w:color="auto" w:sz="4" w:space="0"/>
            </w:tcBorders>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254" w:type="dxa"/>
            <w:tcBorders>
              <w:top w:val="single" w:color="auto" w:sz="4" w:space="0"/>
            </w:tcBorders>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通径B</w:t>
            </w:r>
          </w:p>
        </w:tc>
        <w:tc>
          <w:tcPr>
            <w:tcW w:w="1254" w:type="dxa"/>
            <w:tcBorders>
              <w:top w:val="single" w:color="auto" w:sz="4" w:space="0"/>
            </w:tcBorders>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长度L</w:t>
            </w:r>
          </w:p>
        </w:tc>
        <w:tc>
          <w:tcPr>
            <w:tcW w:w="1872" w:type="dxa"/>
            <w:tcBorders>
              <w:top w:val="single" w:color="auto" w:sz="4" w:space="0"/>
            </w:tcBorders>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总重量（g）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DN15</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6</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DN20</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DN25</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54" w:type="dxa"/>
            <w:noWrap/>
            <w:vAlign w:val="center"/>
          </w:tcPr>
          <w:p>
            <w:pPr>
              <w:pStyle w:val="141"/>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p>
        </w:tc>
        <w:tc>
          <w:tcPr>
            <w:tcW w:w="1872" w:type="dxa"/>
            <w:noWrap/>
            <w:vAlign w:val="center"/>
          </w:tcPr>
          <w:p>
            <w:pPr>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响应人提供</w:t>
            </w:r>
          </w:p>
        </w:tc>
      </w:tr>
    </w:tbl>
    <w:p>
      <w:pPr>
        <w:rPr>
          <w:rFonts w:hint="eastAsia" w:ascii="宋体" w:hAnsi="宋体" w:eastAsia="宋体" w:cs="宋体"/>
          <w:b/>
          <w:color w:val="auto"/>
          <w:sz w:val="36"/>
          <w:szCs w:val="36"/>
          <w:highlight w:val="none"/>
        </w:rPr>
      </w:pPr>
    </w:p>
    <w:p>
      <w:pPr>
        <w:pStyle w:val="25"/>
        <w:rPr>
          <w:rFonts w:hint="eastAsia" w:ascii="宋体" w:hAnsi="宋体" w:eastAsia="宋体" w:cs="宋体"/>
          <w:color w:val="auto"/>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6" w:name="_Toc184308043"/>
      <w:bookmarkEnd w:id="16"/>
      <w:bookmarkStart w:id="17" w:name="_Toc184313306"/>
      <w:bookmarkEnd w:id="17"/>
      <w:bookmarkStart w:id="18" w:name="_Toc184313244"/>
      <w:bookmarkEnd w:id="18"/>
      <w:bookmarkStart w:id="19" w:name="_Toc184312136"/>
      <w:bookmarkEnd w:id="19"/>
      <w:bookmarkStart w:id="20" w:name="_Toc184312133"/>
      <w:bookmarkEnd w:id="20"/>
      <w:bookmarkStart w:id="21" w:name="_Toc184314418"/>
      <w:bookmarkEnd w:id="21"/>
      <w:bookmarkStart w:id="22" w:name="_Toc184313274"/>
      <w:bookmarkEnd w:id="22"/>
      <w:bookmarkStart w:id="23" w:name="_Toc184314462"/>
      <w:bookmarkEnd w:id="23"/>
      <w:bookmarkStart w:id="24" w:name="_Toc184313262"/>
      <w:bookmarkEnd w:id="24"/>
      <w:bookmarkStart w:id="25" w:name="_Toc184310330"/>
      <w:bookmarkEnd w:id="25"/>
      <w:bookmarkStart w:id="26" w:name="_Toc184308045"/>
      <w:bookmarkEnd w:id="26"/>
      <w:bookmarkStart w:id="27" w:name="_Toc184314464"/>
      <w:bookmarkEnd w:id="27"/>
      <w:bookmarkStart w:id="28" w:name="_Toc184308089"/>
      <w:bookmarkEnd w:id="28"/>
      <w:bookmarkStart w:id="29" w:name="_Toc184312085"/>
      <w:bookmarkEnd w:id="29"/>
      <w:bookmarkStart w:id="30" w:name="_Toc184313280"/>
      <w:bookmarkEnd w:id="30"/>
      <w:bookmarkStart w:id="31" w:name="_Toc184314426"/>
      <w:bookmarkEnd w:id="31"/>
      <w:bookmarkStart w:id="32" w:name="_Toc184310310"/>
      <w:bookmarkEnd w:id="32"/>
      <w:bookmarkStart w:id="33" w:name="_Toc184310316"/>
      <w:bookmarkEnd w:id="33"/>
      <w:bookmarkStart w:id="34" w:name="_Toc184310343"/>
      <w:bookmarkEnd w:id="34"/>
      <w:bookmarkStart w:id="35" w:name="_Toc184310325"/>
      <w:bookmarkEnd w:id="35"/>
      <w:bookmarkStart w:id="36" w:name="_Toc184308064"/>
      <w:bookmarkEnd w:id="36"/>
      <w:bookmarkStart w:id="37" w:name="_Toc184313254"/>
      <w:bookmarkEnd w:id="37"/>
      <w:bookmarkStart w:id="38" w:name="_Toc184312134"/>
      <w:bookmarkEnd w:id="38"/>
      <w:bookmarkStart w:id="39" w:name="_Toc184312104"/>
      <w:bookmarkEnd w:id="39"/>
      <w:bookmarkStart w:id="40" w:name="_Toc184308037"/>
      <w:bookmarkEnd w:id="40"/>
      <w:bookmarkStart w:id="41" w:name="_Toc184313277"/>
      <w:bookmarkEnd w:id="41"/>
      <w:bookmarkStart w:id="42" w:name="_Toc184310313"/>
      <w:bookmarkEnd w:id="42"/>
      <w:bookmarkStart w:id="43" w:name="_Toc184308097"/>
      <w:bookmarkEnd w:id="43"/>
      <w:bookmarkStart w:id="44" w:name="_Toc184312067"/>
      <w:bookmarkEnd w:id="44"/>
      <w:bookmarkStart w:id="45" w:name="_Toc184308081"/>
      <w:bookmarkEnd w:id="45"/>
      <w:bookmarkStart w:id="46" w:name="_Toc184313270"/>
      <w:bookmarkEnd w:id="46"/>
      <w:bookmarkStart w:id="47" w:name="_Toc184313302"/>
      <w:bookmarkEnd w:id="47"/>
      <w:bookmarkStart w:id="48" w:name="_Toc184312088"/>
      <w:bookmarkEnd w:id="48"/>
      <w:bookmarkStart w:id="49" w:name="_Toc184310338"/>
      <w:bookmarkEnd w:id="49"/>
      <w:bookmarkStart w:id="50" w:name="_Toc184310298"/>
      <w:bookmarkEnd w:id="50"/>
      <w:bookmarkStart w:id="51" w:name="_Toc184313265"/>
      <w:bookmarkEnd w:id="51"/>
      <w:bookmarkStart w:id="52" w:name="_Toc184310285"/>
      <w:bookmarkEnd w:id="52"/>
      <w:bookmarkStart w:id="53" w:name="_Toc184310323"/>
      <w:bookmarkEnd w:id="53"/>
      <w:bookmarkStart w:id="54" w:name="_Toc184313263"/>
      <w:bookmarkEnd w:id="54"/>
      <w:bookmarkStart w:id="55" w:name="_Toc184312121"/>
      <w:bookmarkEnd w:id="55"/>
      <w:bookmarkStart w:id="56" w:name="_Toc184308090"/>
      <w:bookmarkEnd w:id="56"/>
      <w:bookmarkStart w:id="57" w:name="_Toc184308073"/>
      <w:bookmarkEnd w:id="57"/>
      <w:bookmarkStart w:id="58" w:name="_Toc184310281"/>
      <w:bookmarkEnd w:id="58"/>
      <w:bookmarkStart w:id="59" w:name="_Toc184308091"/>
      <w:bookmarkEnd w:id="59"/>
      <w:bookmarkStart w:id="60" w:name="_Toc184313279"/>
      <w:bookmarkEnd w:id="60"/>
      <w:bookmarkStart w:id="61" w:name="_Toc184310273"/>
      <w:bookmarkEnd w:id="61"/>
      <w:bookmarkStart w:id="62" w:name="_Toc184314416"/>
      <w:bookmarkEnd w:id="62"/>
      <w:bookmarkStart w:id="63" w:name="_Toc184313283"/>
      <w:bookmarkEnd w:id="63"/>
      <w:bookmarkStart w:id="64" w:name="_Toc184313242"/>
      <w:bookmarkEnd w:id="64"/>
      <w:bookmarkStart w:id="65" w:name="_Toc184312077"/>
      <w:bookmarkEnd w:id="65"/>
      <w:bookmarkStart w:id="66" w:name="_Toc184314466"/>
      <w:bookmarkEnd w:id="66"/>
      <w:bookmarkStart w:id="67" w:name="_Toc184310342"/>
      <w:bookmarkEnd w:id="67"/>
      <w:bookmarkStart w:id="68" w:name="_Toc184313301"/>
      <w:bookmarkEnd w:id="68"/>
      <w:bookmarkStart w:id="69" w:name="_Toc184308099"/>
      <w:bookmarkEnd w:id="69"/>
      <w:bookmarkStart w:id="70" w:name="_Toc184310335"/>
      <w:bookmarkEnd w:id="70"/>
      <w:bookmarkStart w:id="71" w:name="_Toc184312084"/>
      <w:bookmarkEnd w:id="71"/>
      <w:bookmarkStart w:id="72" w:name="_Toc184313292"/>
      <w:bookmarkEnd w:id="72"/>
      <w:bookmarkStart w:id="73" w:name="_Toc184312127"/>
      <w:bookmarkEnd w:id="73"/>
      <w:bookmarkStart w:id="74" w:name="_Toc184308108"/>
      <w:bookmarkEnd w:id="74"/>
      <w:bookmarkStart w:id="75" w:name="_Toc184310291"/>
      <w:bookmarkEnd w:id="75"/>
      <w:bookmarkStart w:id="76" w:name="_Toc184312107"/>
      <w:bookmarkEnd w:id="76"/>
      <w:bookmarkStart w:id="77" w:name="_Toc184308057"/>
      <w:bookmarkEnd w:id="77"/>
      <w:bookmarkStart w:id="78" w:name="_Toc184314449"/>
      <w:bookmarkEnd w:id="78"/>
      <w:bookmarkStart w:id="79" w:name="_Toc184313259"/>
      <w:bookmarkEnd w:id="79"/>
      <w:bookmarkStart w:id="80" w:name="_Toc184313240"/>
      <w:bookmarkEnd w:id="80"/>
      <w:bookmarkStart w:id="81" w:name="_Toc184312069"/>
      <w:bookmarkEnd w:id="81"/>
      <w:bookmarkStart w:id="82" w:name="_Toc184314433"/>
      <w:bookmarkEnd w:id="82"/>
      <w:bookmarkStart w:id="83" w:name="_Toc184314468"/>
      <w:bookmarkEnd w:id="83"/>
      <w:bookmarkStart w:id="84" w:name="_Toc184308048"/>
      <w:bookmarkEnd w:id="84"/>
      <w:bookmarkStart w:id="85" w:name="_Toc184310301"/>
      <w:bookmarkEnd w:id="85"/>
      <w:bookmarkStart w:id="86" w:name="_Toc184310324"/>
      <w:bookmarkEnd w:id="86"/>
      <w:bookmarkStart w:id="87" w:name="_Toc184308074"/>
      <w:bookmarkEnd w:id="87"/>
      <w:bookmarkStart w:id="88" w:name="_Toc184310311"/>
      <w:bookmarkEnd w:id="88"/>
      <w:bookmarkStart w:id="89" w:name="_Toc184314471"/>
      <w:bookmarkEnd w:id="89"/>
      <w:bookmarkStart w:id="90" w:name="_Toc184310272"/>
      <w:bookmarkEnd w:id="90"/>
      <w:bookmarkStart w:id="91" w:name="_Toc184312115"/>
      <w:bookmarkEnd w:id="91"/>
      <w:bookmarkStart w:id="92" w:name="_Toc184312103"/>
      <w:bookmarkEnd w:id="92"/>
      <w:bookmarkStart w:id="93" w:name="_Toc184308065"/>
      <w:bookmarkEnd w:id="93"/>
      <w:bookmarkStart w:id="94" w:name="_Toc184308103"/>
      <w:bookmarkEnd w:id="94"/>
      <w:bookmarkStart w:id="95" w:name="_Toc184310278"/>
      <w:bookmarkEnd w:id="95"/>
      <w:bookmarkStart w:id="96" w:name="_Toc184310340"/>
      <w:bookmarkEnd w:id="96"/>
      <w:bookmarkStart w:id="97" w:name="_Toc184312139"/>
      <w:bookmarkEnd w:id="97"/>
      <w:bookmarkStart w:id="98" w:name="_Toc184313305"/>
      <w:bookmarkEnd w:id="98"/>
      <w:bookmarkStart w:id="99" w:name="_Toc184310336"/>
      <w:bookmarkEnd w:id="99"/>
      <w:bookmarkStart w:id="100" w:name="_Toc184314440"/>
      <w:bookmarkEnd w:id="100"/>
      <w:bookmarkStart w:id="101" w:name="_Toc184313303"/>
      <w:bookmarkEnd w:id="101"/>
      <w:bookmarkStart w:id="102" w:name="_Toc184314481"/>
      <w:bookmarkEnd w:id="102"/>
      <w:bookmarkStart w:id="103" w:name="_Toc184312119"/>
      <w:bookmarkEnd w:id="103"/>
      <w:bookmarkStart w:id="104" w:name="_Toc184308060"/>
      <w:bookmarkEnd w:id="104"/>
      <w:bookmarkStart w:id="105" w:name="_Toc184313264"/>
      <w:bookmarkEnd w:id="105"/>
      <w:bookmarkStart w:id="106" w:name="_Toc184310302"/>
      <w:bookmarkEnd w:id="106"/>
      <w:bookmarkStart w:id="107" w:name="_Toc184308046"/>
      <w:bookmarkEnd w:id="107"/>
      <w:bookmarkStart w:id="108" w:name="_Toc184308052"/>
      <w:bookmarkEnd w:id="108"/>
      <w:bookmarkStart w:id="109" w:name="_Toc184313247"/>
      <w:bookmarkEnd w:id="109"/>
      <w:bookmarkStart w:id="110" w:name="_Toc184308098"/>
      <w:bookmarkEnd w:id="110"/>
      <w:bookmarkStart w:id="111" w:name="_Toc184308107"/>
      <w:bookmarkEnd w:id="111"/>
      <w:bookmarkStart w:id="112" w:name="_Toc184312100"/>
      <w:bookmarkEnd w:id="112"/>
      <w:bookmarkStart w:id="113" w:name="_Toc184312118"/>
      <w:bookmarkEnd w:id="113"/>
      <w:bookmarkStart w:id="114" w:name="_Toc184310334"/>
      <w:bookmarkEnd w:id="114"/>
      <w:bookmarkStart w:id="115" w:name="_Toc184314411"/>
      <w:bookmarkEnd w:id="115"/>
      <w:bookmarkStart w:id="116" w:name="_Toc184314419"/>
      <w:bookmarkEnd w:id="116"/>
      <w:bookmarkStart w:id="117" w:name="_Toc184313299"/>
      <w:bookmarkEnd w:id="117"/>
      <w:bookmarkStart w:id="118" w:name="_Toc184310290"/>
      <w:bookmarkEnd w:id="118"/>
      <w:bookmarkStart w:id="119" w:name="_Toc184312092"/>
      <w:bookmarkEnd w:id="119"/>
      <w:bookmarkStart w:id="120" w:name="_Toc184314478"/>
      <w:bookmarkEnd w:id="120"/>
      <w:bookmarkStart w:id="121" w:name="_Toc184313250"/>
      <w:bookmarkEnd w:id="121"/>
      <w:bookmarkStart w:id="122" w:name="_Toc184310296"/>
      <w:bookmarkEnd w:id="122"/>
      <w:bookmarkStart w:id="123" w:name="_Toc184310279"/>
      <w:bookmarkEnd w:id="123"/>
      <w:bookmarkStart w:id="124" w:name="_Toc184313251"/>
      <w:bookmarkEnd w:id="124"/>
      <w:bookmarkStart w:id="125" w:name="_Toc184313310"/>
      <w:bookmarkEnd w:id="125"/>
      <w:bookmarkStart w:id="126" w:name="_Toc184312082"/>
      <w:bookmarkEnd w:id="126"/>
      <w:bookmarkStart w:id="127" w:name="_Toc184313253"/>
      <w:bookmarkEnd w:id="127"/>
      <w:bookmarkStart w:id="128" w:name="_Toc184308051"/>
      <w:bookmarkEnd w:id="128"/>
      <w:bookmarkStart w:id="129" w:name="_Toc184308054"/>
      <w:bookmarkEnd w:id="129"/>
      <w:bookmarkStart w:id="130" w:name="_Toc184314429"/>
      <w:bookmarkEnd w:id="130"/>
      <w:bookmarkStart w:id="131" w:name="_Toc184313271"/>
      <w:bookmarkEnd w:id="131"/>
      <w:bookmarkStart w:id="132" w:name="_Toc184313281"/>
      <w:bookmarkEnd w:id="132"/>
      <w:bookmarkStart w:id="133" w:name="_Toc184310305"/>
      <w:bookmarkEnd w:id="133"/>
      <w:bookmarkStart w:id="134" w:name="_Toc184313307"/>
      <w:bookmarkEnd w:id="134"/>
      <w:bookmarkStart w:id="135" w:name="_Toc184312079"/>
      <w:bookmarkEnd w:id="135"/>
      <w:bookmarkStart w:id="136" w:name="_Toc184310289"/>
      <w:bookmarkEnd w:id="136"/>
      <w:bookmarkStart w:id="137" w:name="_Toc184308056"/>
      <w:bookmarkEnd w:id="137"/>
      <w:bookmarkStart w:id="138" w:name="_Toc184312073"/>
      <w:bookmarkEnd w:id="138"/>
      <w:bookmarkStart w:id="139" w:name="_Toc184308100"/>
      <w:bookmarkEnd w:id="139"/>
      <w:bookmarkStart w:id="140" w:name="_Toc184313275"/>
      <w:bookmarkEnd w:id="140"/>
      <w:bookmarkStart w:id="141" w:name="_Toc184313269"/>
      <w:bookmarkEnd w:id="141"/>
      <w:bookmarkStart w:id="142" w:name="_Toc184308105"/>
      <w:bookmarkEnd w:id="142"/>
      <w:bookmarkStart w:id="143" w:name="_Toc184314417"/>
      <w:bookmarkEnd w:id="143"/>
      <w:bookmarkStart w:id="144" w:name="_Toc184308049"/>
      <w:bookmarkEnd w:id="144"/>
      <w:bookmarkStart w:id="145" w:name="_Toc184308075"/>
      <w:bookmarkEnd w:id="145"/>
      <w:bookmarkStart w:id="146" w:name="_Toc184310299"/>
      <w:bookmarkEnd w:id="146"/>
      <w:bookmarkStart w:id="147" w:name="_Toc184313293"/>
      <w:bookmarkEnd w:id="147"/>
      <w:bookmarkStart w:id="148" w:name="_Toc184313284"/>
      <w:bookmarkEnd w:id="148"/>
      <w:bookmarkStart w:id="149" w:name="_Toc184314428"/>
      <w:bookmarkEnd w:id="149"/>
      <w:bookmarkStart w:id="150" w:name="_Toc184313246"/>
      <w:bookmarkEnd w:id="150"/>
      <w:bookmarkStart w:id="151" w:name="_Toc184313287"/>
      <w:bookmarkEnd w:id="151"/>
      <w:bookmarkStart w:id="152" w:name="_Toc184310293"/>
      <w:bookmarkEnd w:id="152"/>
      <w:bookmarkStart w:id="153" w:name="_Toc184313248"/>
      <w:bookmarkEnd w:id="153"/>
      <w:bookmarkStart w:id="154" w:name="_Toc184313297"/>
      <w:bookmarkEnd w:id="154"/>
      <w:bookmarkStart w:id="155" w:name="_Toc184314443"/>
      <w:bookmarkEnd w:id="155"/>
      <w:bookmarkStart w:id="156" w:name="_Toc184314435"/>
      <w:bookmarkEnd w:id="156"/>
      <w:bookmarkStart w:id="157" w:name="_Toc184314452"/>
      <w:bookmarkEnd w:id="157"/>
      <w:bookmarkStart w:id="158" w:name="_Toc184308102"/>
      <w:bookmarkEnd w:id="158"/>
      <w:bookmarkStart w:id="159" w:name="_Toc184310308"/>
      <w:bookmarkEnd w:id="159"/>
      <w:bookmarkStart w:id="160" w:name="_Toc184313309"/>
      <w:bookmarkEnd w:id="160"/>
      <w:bookmarkStart w:id="161" w:name="_Toc184310317"/>
      <w:bookmarkEnd w:id="161"/>
      <w:bookmarkStart w:id="162" w:name="_Toc184308082"/>
      <w:bookmarkEnd w:id="162"/>
      <w:bookmarkStart w:id="163" w:name="_Toc184313252"/>
      <w:bookmarkEnd w:id="163"/>
      <w:bookmarkStart w:id="164" w:name="_Toc184313261"/>
      <w:bookmarkEnd w:id="164"/>
      <w:bookmarkStart w:id="165" w:name="_Toc184310274"/>
      <w:bookmarkEnd w:id="165"/>
      <w:bookmarkStart w:id="166" w:name="_Toc184314430"/>
      <w:bookmarkEnd w:id="166"/>
      <w:bookmarkStart w:id="167" w:name="_Toc184310321"/>
      <w:bookmarkEnd w:id="167"/>
      <w:bookmarkStart w:id="168" w:name="_Toc184308047"/>
      <w:bookmarkEnd w:id="168"/>
      <w:bookmarkStart w:id="169" w:name="_Toc184310307"/>
      <w:bookmarkEnd w:id="169"/>
      <w:bookmarkStart w:id="170" w:name="_Toc184308093"/>
      <w:bookmarkEnd w:id="170"/>
      <w:bookmarkStart w:id="171" w:name="_Toc184314413"/>
      <w:bookmarkEnd w:id="171"/>
      <w:bookmarkStart w:id="172" w:name="_Toc184310314"/>
      <w:bookmarkEnd w:id="172"/>
      <w:bookmarkStart w:id="173" w:name="_Toc184312089"/>
      <w:bookmarkEnd w:id="173"/>
      <w:bookmarkStart w:id="174" w:name="_Toc184310319"/>
      <w:bookmarkEnd w:id="174"/>
      <w:bookmarkStart w:id="175" w:name="_Toc184310322"/>
      <w:bookmarkEnd w:id="175"/>
      <w:bookmarkStart w:id="176" w:name="_Toc184308058"/>
      <w:bookmarkEnd w:id="176"/>
      <w:bookmarkStart w:id="177" w:name="_Toc184308095"/>
      <w:bookmarkEnd w:id="177"/>
      <w:bookmarkStart w:id="178" w:name="_Toc184312138"/>
      <w:bookmarkEnd w:id="178"/>
      <w:bookmarkStart w:id="179" w:name="_Toc184310277"/>
      <w:bookmarkEnd w:id="179"/>
      <w:bookmarkStart w:id="180" w:name="_Toc184313295"/>
      <w:bookmarkEnd w:id="180"/>
      <w:bookmarkStart w:id="181" w:name="_Toc184308087"/>
      <w:bookmarkEnd w:id="181"/>
      <w:bookmarkStart w:id="182" w:name="_Toc184312113"/>
      <w:bookmarkEnd w:id="182"/>
      <w:bookmarkStart w:id="183" w:name="_Toc184312086"/>
      <w:bookmarkEnd w:id="183"/>
      <w:bookmarkStart w:id="184" w:name="_Toc184312075"/>
      <w:bookmarkEnd w:id="184"/>
      <w:bookmarkStart w:id="185" w:name="_Toc184308061"/>
      <w:bookmarkEnd w:id="185"/>
      <w:bookmarkStart w:id="186" w:name="_Toc184308042"/>
      <w:bookmarkEnd w:id="186"/>
      <w:bookmarkStart w:id="187" w:name="_Toc184314414"/>
      <w:bookmarkEnd w:id="187"/>
      <w:bookmarkStart w:id="188" w:name="_Toc184313278"/>
      <w:bookmarkEnd w:id="188"/>
      <w:bookmarkStart w:id="189" w:name="_Toc184308076"/>
      <w:bookmarkEnd w:id="189"/>
      <w:bookmarkStart w:id="190" w:name="_Toc184313296"/>
      <w:bookmarkEnd w:id="190"/>
      <w:bookmarkStart w:id="191" w:name="_Toc184312124"/>
      <w:bookmarkEnd w:id="191"/>
      <w:bookmarkStart w:id="192" w:name="_Toc184314445"/>
      <w:bookmarkEnd w:id="192"/>
      <w:bookmarkStart w:id="193" w:name="_Toc184308104"/>
      <w:bookmarkEnd w:id="193"/>
      <w:bookmarkStart w:id="194" w:name="_Toc184308072"/>
      <w:bookmarkEnd w:id="194"/>
      <w:bookmarkStart w:id="195" w:name="_Toc184310332"/>
      <w:bookmarkEnd w:id="195"/>
      <w:bookmarkStart w:id="196" w:name="_Toc184310333"/>
      <w:bookmarkEnd w:id="196"/>
      <w:bookmarkStart w:id="197" w:name="_Toc184312098"/>
      <w:bookmarkEnd w:id="197"/>
      <w:bookmarkStart w:id="198" w:name="_Toc184310295"/>
      <w:bookmarkEnd w:id="198"/>
      <w:bookmarkStart w:id="199" w:name="_Toc184312126"/>
      <w:bookmarkEnd w:id="199"/>
      <w:bookmarkStart w:id="200" w:name="_Toc184312081"/>
      <w:bookmarkEnd w:id="200"/>
      <w:bookmarkStart w:id="201" w:name="_Toc184314444"/>
      <w:bookmarkEnd w:id="201"/>
      <w:bookmarkStart w:id="202" w:name="_Toc184312091"/>
      <w:bookmarkEnd w:id="202"/>
      <w:bookmarkStart w:id="203" w:name="_Toc184308040"/>
      <w:bookmarkEnd w:id="203"/>
      <w:bookmarkStart w:id="204" w:name="_Toc184314475"/>
      <w:bookmarkEnd w:id="204"/>
      <w:bookmarkStart w:id="205" w:name="_Toc184310280"/>
      <w:bookmarkEnd w:id="205"/>
      <w:bookmarkStart w:id="206" w:name="_Toc184308053"/>
      <w:bookmarkEnd w:id="206"/>
      <w:bookmarkStart w:id="207" w:name="_Toc184310304"/>
      <w:bookmarkEnd w:id="207"/>
      <w:bookmarkStart w:id="208" w:name="_Toc184314410"/>
      <w:bookmarkEnd w:id="208"/>
      <w:bookmarkStart w:id="209" w:name="_Toc184310284"/>
      <w:bookmarkEnd w:id="209"/>
      <w:bookmarkStart w:id="210" w:name="_Toc184312072"/>
      <w:bookmarkEnd w:id="210"/>
      <w:bookmarkStart w:id="211" w:name="_Toc184313298"/>
      <w:bookmarkEnd w:id="211"/>
      <w:bookmarkStart w:id="212" w:name="_Toc184312070"/>
      <w:bookmarkEnd w:id="212"/>
      <w:bookmarkStart w:id="213" w:name="_Toc184312099"/>
      <w:bookmarkEnd w:id="213"/>
      <w:bookmarkStart w:id="214" w:name="_Toc184314442"/>
      <w:bookmarkEnd w:id="214"/>
      <w:bookmarkStart w:id="215" w:name="_Toc184312135"/>
      <w:bookmarkEnd w:id="215"/>
      <w:bookmarkStart w:id="216" w:name="_Toc184312105"/>
      <w:bookmarkEnd w:id="216"/>
      <w:bookmarkStart w:id="217" w:name="_Toc184313282"/>
      <w:bookmarkEnd w:id="217"/>
      <w:bookmarkStart w:id="218" w:name="_Toc184310276"/>
      <w:bookmarkEnd w:id="218"/>
      <w:bookmarkStart w:id="219" w:name="_Toc184314472"/>
      <w:bookmarkEnd w:id="219"/>
      <w:bookmarkStart w:id="220" w:name="_Toc184314436"/>
      <w:bookmarkEnd w:id="220"/>
      <w:bookmarkStart w:id="221" w:name="_Toc184314425"/>
      <w:bookmarkEnd w:id="221"/>
      <w:bookmarkStart w:id="222" w:name="_Toc184314458"/>
      <w:bookmarkEnd w:id="222"/>
      <w:bookmarkStart w:id="223" w:name="_Toc184314465"/>
      <w:bookmarkEnd w:id="223"/>
      <w:bookmarkStart w:id="224" w:name="_Toc184314480"/>
      <w:bookmarkEnd w:id="224"/>
      <w:bookmarkStart w:id="225" w:name="_Toc184314421"/>
      <w:bookmarkEnd w:id="225"/>
      <w:bookmarkStart w:id="226" w:name="_Toc184308078"/>
      <w:bookmarkEnd w:id="226"/>
      <w:bookmarkStart w:id="227" w:name="_Toc184308085"/>
      <w:bookmarkEnd w:id="227"/>
      <w:bookmarkStart w:id="228" w:name="_Toc184314470"/>
      <w:bookmarkEnd w:id="228"/>
      <w:bookmarkStart w:id="229" w:name="_Toc184312108"/>
      <w:bookmarkEnd w:id="229"/>
      <w:bookmarkStart w:id="230" w:name="_Toc184312137"/>
      <w:bookmarkEnd w:id="230"/>
      <w:bookmarkStart w:id="231" w:name="_Toc184314457"/>
      <w:bookmarkEnd w:id="231"/>
      <w:bookmarkStart w:id="232" w:name="_Toc184310282"/>
      <w:bookmarkEnd w:id="232"/>
      <w:bookmarkStart w:id="233" w:name="_Toc184312129"/>
      <w:bookmarkEnd w:id="233"/>
      <w:bookmarkStart w:id="234" w:name="_Toc184308070"/>
      <w:bookmarkEnd w:id="234"/>
      <w:bookmarkStart w:id="235" w:name="_Toc184314476"/>
      <w:bookmarkEnd w:id="235"/>
      <w:bookmarkStart w:id="236" w:name="_Toc184308039"/>
      <w:bookmarkEnd w:id="236"/>
      <w:bookmarkStart w:id="237" w:name="_Toc184312076"/>
      <w:bookmarkEnd w:id="237"/>
      <w:bookmarkStart w:id="238" w:name="_Toc184310341"/>
      <w:bookmarkEnd w:id="238"/>
      <w:bookmarkStart w:id="239" w:name="_Toc184313272"/>
      <w:bookmarkEnd w:id="239"/>
      <w:bookmarkStart w:id="240" w:name="_Toc184310315"/>
      <w:bookmarkEnd w:id="240"/>
      <w:bookmarkStart w:id="241" w:name="_Toc184313286"/>
      <w:bookmarkEnd w:id="241"/>
      <w:bookmarkStart w:id="242" w:name="_Toc184313290"/>
      <w:bookmarkEnd w:id="242"/>
      <w:bookmarkStart w:id="243" w:name="_Toc184308036"/>
      <w:bookmarkEnd w:id="243"/>
      <w:bookmarkStart w:id="244" w:name="_Toc184310344"/>
      <w:bookmarkEnd w:id="244"/>
      <w:bookmarkStart w:id="245" w:name="_Toc184308067"/>
      <w:bookmarkEnd w:id="245"/>
      <w:bookmarkStart w:id="246" w:name="_Toc184312078"/>
      <w:bookmarkEnd w:id="246"/>
      <w:bookmarkStart w:id="247" w:name="_Toc184308106"/>
      <w:bookmarkEnd w:id="247"/>
      <w:bookmarkStart w:id="248" w:name="_Toc184312096"/>
      <w:bookmarkEnd w:id="248"/>
      <w:bookmarkStart w:id="249" w:name="_Toc184314469"/>
      <w:bookmarkEnd w:id="249"/>
      <w:bookmarkStart w:id="250" w:name="_Toc184310303"/>
      <w:bookmarkEnd w:id="250"/>
      <w:bookmarkStart w:id="251" w:name="_Toc184308059"/>
      <w:bookmarkEnd w:id="251"/>
      <w:bookmarkStart w:id="252" w:name="_Toc184314467"/>
      <w:bookmarkEnd w:id="252"/>
      <w:bookmarkStart w:id="253" w:name="_Toc184312071"/>
      <w:bookmarkEnd w:id="253"/>
      <w:bookmarkStart w:id="254" w:name="_Toc184314448"/>
      <w:bookmarkEnd w:id="254"/>
      <w:bookmarkStart w:id="255" w:name="_Toc184314461"/>
      <w:bookmarkEnd w:id="255"/>
      <w:bookmarkStart w:id="256" w:name="_Toc184312095"/>
      <w:bookmarkEnd w:id="256"/>
      <w:bookmarkStart w:id="257" w:name="_Toc184314463"/>
      <w:bookmarkEnd w:id="257"/>
      <w:bookmarkStart w:id="258" w:name="_Toc184310329"/>
      <w:bookmarkEnd w:id="258"/>
      <w:bookmarkStart w:id="259" w:name="_Toc184308083"/>
      <w:bookmarkEnd w:id="259"/>
      <w:bookmarkStart w:id="260" w:name="_Toc184313300"/>
      <w:bookmarkEnd w:id="260"/>
      <w:bookmarkStart w:id="261" w:name="_Toc184312123"/>
      <w:bookmarkEnd w:id="261"/>
      <w:bookmarkStart w:id="262" w:name="_Toc184314415"/>
      <w:bookmarkEnd w:id="262"/>
      <w:bookmarkStart w:id="263" w:name="_Toc184313294"/>
      <w:bookmarkEnd w:id="263"/>
      <w:bookmarkStart w:id="264" w:name="_Toc184308050"/>
      <w:bookmarkEnd w:id="264"/>
      <w:bookmarkStart w:id="265" w:name="_Toc184314439"/>
      <w:bookmarkEnd w:id="265"/>
      <w:bookmarkStart w:id="266" w:name="_Toc184314427"/>
      <w:bookmarkEnd w:id="266"/>
      <w:bookmarkStart w:id="267" w:name="_Toc184313238"/>
      <w:bookmarkEnd w:id="267"/>
      <w:bookmarkStart w:id="268" w:name="_Toc184313255"/>
      <w:bookmarkEnd w:id="268"/>
      <w:bookmarkStart w:id="269" w:name="_Toc184310306"/>
      <w:bookmarkEnd w:id="269"/>
      <w:bookmarkStart w:id="270" w:name="_Toc184312068"/>
      <w:bookmarkEnd w:id="270"/>
      <w:bookmarkStart w:id="271" w:name="_Toc184310287"/>
      <w:bookmarkEnd w:id="271"/>
      <w:bookmarkStart w:id="272" w:name="_Toc184314412"/>
      <w:bookmarkEnd w:id="272"/>
      <w:bookmarkStart w:id="273" w:name="_Toc184312080"/>
      <w:bookmarkEnd w:id="273"/>
      <w:bookmarkStart w:id="274" w:name="_Toc184310327"/>
      <w:bookmarkEnd w:id="274"/>
      <w:bookmarkStart w:id="275" w:name="_Toc184308094"/>
      <w:bookmarkEnd w:id="275"/>
      <w:bookmarkStart w:id="276" w:name="_Toc184314447"/>
      <w:bookmarkEnd w:id="276"/>
      <w:bookmarkStart w:id="277" w:name="_Toc184314432"/>
      <w:bookmarkEnd w:id="277"/>
      <w:bookmarkStart w:id="278" w:name="_Toc184313266"/>
      <w:bookmarkEnd w:id="278"/>
      <w:bookmarkStart w:id="279" w:name="_Toc184314420"/>
      <w:bookmarkEnd w:id="279"/>
      <w:bookmarkStart w:id="280" w:name="_Toc184313260"/>
      <w:bookmarkEnd w:id="280"/>
      <w:bookmarkStart w:id="281" w:name="_Toc184308092"/>
      <w:bookmarkEnd w:id="281"/>
      <w:bookmarkStart w:id="282" w:name="_Toc184312101"/>
      <w:bookmarkEnd w:id="282"/>
      <w:bookmarkStart w:id="283" w:name="_Toc184313308"/>
      <w:bookmarkEnd w:id="283"/>
      <w:bookmarkStart w:id="284" w:name="_Toc184308086"/>
      <w:bookmarkEnd w:id="284"/>
      <w:bookmarkStart w:id="285" w:name="_Toc184314456"/>
      <w:bookmarkEnd w:id="285"/>
      <w:bookmarkStart w:id="286" w:name="_Toc184310297"/>
      <w:bookmarkEnd w:id="286"/>
      <w:bookmarkStart w:id="287" w:name="_Toc184310309"/>
      <w:bookmarkEnd w:id="287"/>
      <w:bookmarkStart w:id="288" w:name="_Toc184314438"/>
      <w:bookmarkEnd w:id="288"/>
      <w:bookmarkStart w:id="289" w:name="_Toc184314477"/>
      <w:bookmarkEnd w:id="289"/>
      <w:bookmarkStart w:id="290" w:name="_Toc184314450"/>
      <w:bookmarkEnd w:id="290"/>
      <w:bookmarkStart w:id="291" w:name="_Toc184312094"/>
      <w:bookmarkEnd w:id="291"/>
      <w:bookmarkStart w:id="292" w:name="_Toc184313291"/>
      <w:bookmarkEnd w:id="292"/>
      <w:bookmarkStart w:id="293" w:name="_Toc184312097"/>
      <w:bookmarkEnd w:id="293"/>
      <w:bookmarkStart w:id="294" w:name="_Toc184312102"/>
      <w:bookmarkEnd w:id="294"/>
      <w:bookmarkStart w:id="295" w:name="_Toc184312083"/>
      <w:bookmarkEnd w:id="295"/>
      <w:bookmarkStart w:id="296" w:name="_Toc184308044"/>
      <w:bookmarkEnd w:id="296"/>
      <w:bookmarkStart w:id="297" w:name="_Toc184310312"/>
      <w:bookmarkEnd w:id="297"/>
      <w:bookmarkStart w:id="298" w:name="_Toc184308080"/>
      <w:bookmarkEnd w:id="298"/>
      <w:bookmarkStart w:id="299" w:name="_Toc184312109"/>
      <w:bookmarkEnd w:id="299"/>
      <w:bookmarkStart w:id="300" w:name="_Toc184308088"/>
      <w:bookmarkEnd w:id="300"/>
      <w:bookmarkStart w:id="301" w:name="_Toc184313268"/>
      <w:bookmarkEnd w:id="301"/>
      <w:bookmarkStart w:id="302" w:name="_Toc184313285"/>
      <w:bookmarkEnd w:id="302"/>
      <w:bookmarkStart w:id="303" w:name="_Toc184313256"/>
      <w:bookmarkEnd w:id="303"/>
      <w:bookmarkStart w:id="304" w:name="_Toc184312125"/>
      <w:bookmarkEnd w:id="304"/>
      <w:bookmarkStart w:id="305" w:name="_Toc184314424"/>
      <w:bookmarkEnd w:id="305"/>
      <w:bookmarkStart w:id="306" w:name="_Toc184308071"/>
      <w:bookmarkEnd w:id="306"/>
      <w:bookmarkStart w:id="307" w:name="_Toc184308077"/>
      <w:bookmarkEnd w:id="307"/>
      <w:bookmarkStart w:id="308" w:name="_Toc184312131"/>
      <w:bookmarkEnd w:id="308"/>
      <w:bookmarkStart w:id="309" w:name="_Toc184312093"/>
      <w:bookmarkEnd w:id="309"/>
      <w:bookmarkStart w:id="310" w:name="_Toc184314459"/>
      <w:bookmarkEnd w:id="310"/>
      <w:bookmarkStart w:id="311" w:name="_Toc184313257"/>
      <w:bookmarkEnd w:id="311"/>
      <w:bookmarkStart w:id="312" w:name="_Toc184310339"/>
      <w:bookmarkEnd w:id="312"/>
      <w:bookmarkStart w:id="313" w:name="_Toc184308101"/>
      <w:bookmarkEnd w:id="313"/>
      <w:bookmarkStart w:id="314" w:name="_Toc184314451"/>
      <w:bookmarkEnd w:id="314"/>
      <w:bookmarkStart w:id="315" w:name="_Toc184314455"/>
      <w:bookmarkEnd w:id="315"/>
      <w:bookmarkStart w:id="316" w:name="_Toc184308062"/>
      <w:bookmarkEnd w:id="316"/>
      <w:bookmarkStart w:id="317" w:name="_Toc184312112"/>
      <w:bookmarkEnd w:id="317"/>
      <w:bookmarkStart w:id="318" w:name="_Toc184314479"/>
      <w:bookmarkEnd w:id="318"/>
      <w:bookmarkStart w:id="319" w:name="_Toc184314474"/>
      <w:bookmarkEnd w:id="319"/>
      <w:bookmarkStart w:id="320" w:name="_Toc184310320"/>
      <w:bookmarkEnd w:id="320"/>
      <w:bookmarkStart w:id="321" w:name="_Toc184314431"/>
      <w:bookmarkEnd w:id="321"/>
      <w:bookmarkStart w:id="322" w:name="_Toc184310318"/>
      <w:bookmarkEnd w:id="322"/>
      <w:bookmarkStart w:id="323" w:name="_Toc184312106"/>
      <w:bookmarkEnd w:id="323"/>
      <w:bookmarkStart w:id="324" w:name="_Toc184313243"/>
      <w:bookmarkEnd w:id="324"/>
      <w:bookmarkStart w:id="325" w:name="_Toc184314473"/>
      <w:bookmarkEnd w:id="325"/>
      <w:bookmarkStart w:id="326" w:name="_Toc184314460"/>
      <w:bookmarkEnd w:id="326"/>
      <w:bookmarkStart w:id="327" w:name="_Toc184314434"/>
      <w:bookmarkEnd w:id="327"/>
      <w:bookmarkStart w:id="328" w:name="_Toc184310331"/>
      <w:bookmarkEnd w:id="328"/>
      <w:bookmarkStart w:id="329" w:name="_Toc184312120"/>
      <w:bookmarkEnd w:id="329"/>
      <w:bookmarkStart w:id="330" w:name="_Toc184313273"/>
      <w:bookmarkEnd w:id="330"/>
      <w:bookmarkStart w:id="331" w:name="_Toc184313304"/>
      <w:bookmarkEnd w:id="331"/>
      <w:bookmarkStart w:id="332" w:name="_Toc184312128"/>
      <w:bookmarkEnd w:id="332"/>
      <w:bookmarkStart w:id="333" w:name="_Toc184310328"/>
      <w:bookmarkEnd w:id="333"/>
      <w:bookmarkStart w:id="334" w:name="_Toc184310283"/>
      <w:bookmarkEnd w:id="334"/>
      <w:bookmarkStart w:id="335" w:name="_Toc184308068"/>
      <w:bookmarkEnd w:id="335"/>
      <w:bookmarkStart w:id="336" w:name="_Toc184314422"/>
      <w:bookmarkEnd w:id="336"/>
      <w:bookmarkStart w:id="337" w:name="_Toc184312114"/>
      <w:bookmarkEnd w:id="337"/>
      <w:bookmarkStart w:id="338" w:name="_Toc184312090"/>
      <w:bookmarkEnd w:id="338"/>
      <w:bookmarkStart w:id="339" w:name="_Toc184312117"/>
      <w:bookmarkEnd w:id="339"/>
      <w:bookmarkStart w:id="340" w:name="_Toc184313241"/>
      <w:bookmarkEnd w:id="340"/>
      <w:bookmarkStart w:id="341" w:name="_Toc184314453"/>
      <w:bookmarkEnd w:id="341"/>
      <w:bookmarkStart w:id="342" w:name="_Toc184310292"/>
      <w:bookmarkEnd w:id="342"/>
      <w:bookmarkStart w:id="343" w:name="_Toc184308084"/>
      <w:bookmarkEnd w:id="343"/>
      <w:bookmarkStart w:id="344" w:name="_Toc184308079"/>
      <w:bookmarkEnd w:id="344"/>
      <w:bookmarkStart w:id="345" w:name="_Toc184310286"/>
      <w:bookmarkEnd w:id="345"/>
      <w:bookmarkStart w:id="346" w:name="_Toc184314441"/>
      <w:bookmarkEnd w:id="346"/>
      <w:bookmarkStart w:id="347" w:name="_Toc184310326"/>
      <w:bookmarkEnd w:id="347"/>
      <w:bookmarkStart w:id="348" w:name="_Toc184312132"/>
      <w:bookmarkEnd w:id="348"/>
      <w:bookmarkStart w:id="349" w:name="_Toc184313245"/>
      <w:bookmarkEnd w:id="349"/>
      <w:bookmarkStart w:id="350" w:name="_Toc184308038"/>
      <w:bookmarkEnd w:id="350"/>
      <w:bookmarkStart w:id="351" w:name="_Toc184314454"/>
      <w:bookmarkEnd w:id="351"/>
      <w:bookmarkStart w:id="352" w:name="_Toc184310294"/>
      <w:bookmarkEnd w:id="352"/>
      <w:bookmarkStart w:id="353" w:name="_Toc184313267"/>
      <w:bookmarkEnd w:id="353"/>
      <w:bookmarkStart w:id="354" w:name="_Toc184308069"/>
      <w:bookmarkEnd w:id="354"/>
      <w:bookmarkStart w:id="355" w:name="_Toc184314446"/>
      <w:bookmarkEnd w:id="355"/>
      <w:bookmarkStart w:id="356" w:name="_Toc184312111"/>
      <w:bookmarkEnd w:id="356"/>
      <w:bookmarkStart w:id="357" w:name="_Toc184312116"/>
      <w:bookmarkEnd w:id="357"/>
      <w:bookmarkStart w:id="358" w:name="_Toc184312087"/>
      <w:bookmarkEnd w:id="358"/>
      <w:bookmarkStart w:id="359" w:name="_Toc184310337"/>
      <w:bookmarkEnd w:id="359"/>
      <w:bookmarkStart w:id="360" w:name="_Toc184313239"/>
      <w:bookmarkEnd w:id="360"/>
      <w:bookmarkStart w:id="361" w:name="_Toc184313288"/>
      <w:bookmarkEnd w:id="361"/>
      <w:bookmarkStart w:id="362" w:name="_Toc184313249"/>
      <w:bookmarkEnd w:id="362"/>
      <w:bookmarkStart w:id="363" w:name="_Toc184308096"/>
      <w:bookmarkEnd w:id="363"/>
      <w:bookmarkStart w:id="364" w:name="_Toc184310275"/>
      <w:bookmarkEnd w:id="364"/>
      <w:bookmarkStart w:id="365" w:name="_Toc184314482"/>
      <w:bookmarkEnd w:id="365"/>
      <w:bookmarkStart w:id="366" w:name="_Toc184308063"/>
      <w:bookmarkEnd w:id="366"/>
      <w:bookmarkStart w:id="367" w:name="_Toc184310288"/>
      <w:bookmarkEnd w:id="367"/>
      <w:bookmarkStart w:id="368" w:name="_Toc184312074"/>
      <w:bookmarkEnd w:id="368"/>
      <w:bookmarkStart w:id="369" w:name="_Toc184313276"/>
      <w:bookmarkEnd w:id="369"/>
      <w:bookmarkStart w:id="370" w:name="_Toc184313289"/>
      <w:bookmarkEnd w:id="370"/>
      <w:bookmarkStart w:id="371" w:name="_Toc184308041"/>
      <w:bookmarkEnd w:id="371"/>
      <w:bookmarkStart w:id="372" w:name="_Toc184313258"/>
      <w:bookmarkEnd w:id="372"/>
      <w:bookmarkStart w:id="373" w:name="_Toc184314437"/>
      <w:bookmarkEnd w:id="373"/>
      <w:bookmarkStart w:id="374" w:name="_Toc184308055"/>
      <w:bookmarkEnd w:id="374"/>
      <w:bookmarkStart w:id="375" w:name="_Toc184312130"/>
      <w:bookmarkEnd w:id="375"/>
      <w:bookmarkStart w:id="376" w:name="_Toc184312122"/>
      <w:bookmarkEnd w:id="376"/>
      <w:bookmarkStart w:id="377" w:name="_Toc184310300"/>
      <w:bookmarkEnd w:id="377"/>
      <w:bookmarkStart w:id="378" w:name="_Toc184314423"/>
      <w:bookmarkEnd w:id="378"/>
      <w:bookmarkStart w:id="379" w:name="_Toc184312110"/>
      <w:bookmarkEnd w:id="379"/>
      <w:bookmarkStart w:id="380" w:name="_Toc184308066"/>
      <w:bookmarkEnd w:id="380"/>
      <w:r>
        <w:rPr>
          <w:rFonts w:hint="eastAsia" w:ascii="宋体" w:hAnsi="宋体" w:eastAsia="宋体" w:cs="宋体"/>
          <w:b/>
          <w:color w:val="auto"/>
          <w:sz w:val="36"/>
          <w:szCs w:val="36"/>
          <w:highlight w:val="none"/>
        </w:rPr>
        <w:t>交易方法</w:t>
      </w:r>
    </w:p>
    <w:bookmarkEnd w:id="15"/>
    <w:p>
      <w:pPr>
        <w:snapToGrid w:val="0"/>
        <w:spacing w:line="360" w:lineRule="auto"/>
        <w:jc w:val="center"/>
        <w:rPr>
          <w:rFonts w:hint="eastAsia" w:ascii="宋体" w:hAnsi="宋体" w:eastAsia="宋体" w:cs="宋体"/>
          <w:b/>
          <w:color w:val="auto"/>
          <w:sz w:val="32"/>
          <w:szCs w:val="20"/>
          <w:highlight w:val="none"/>
        </w:rPr>
      </w:pPr>
      <w:bookmarkStart w:id="381" w:name="第五部分"/>
      <w:bookmarkStart w:id="382" w:name="_Toc86217003"/>
      <w:r>
        <w:rPr>
          <w:rFonts w:hint="eastAsia" w:ascii="宋体" w:hAnsi="宋体" w:eastAsia="宋体" w:cs="宋体"/>
          <w:b/>
          <w:color w:val="auto"/>
          <w:sz w:val="32"/>
          <w:szCs w:val="20"/>
          <w:highlight w:val="none"/>
        </w:rPr>
        <w:t>交易办法前附表</w:t>
      </w:r>
    </w:p>
    <w:p>
      <w:pPr>
        <w:widowControl/>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50</w:t>
      </w:r>
      <w:r>
        <w:rPr>
          <w:rFonts w:hint="eastAsia" w:ascii="宋体" w:hAnsi="宋体" w:eastAsia="宋体" w:cs="宋体"/>
          <w:b/>
          <w:bCs/>
          <w:color w:val="auto"/>
          <w:sz w:val="24"/>
          <w:highlight w:val="none"/>
        </w:rPr>
        <w:t>分）：</w:t>
      </w:r>
    </w:p>
    <w:tbl>
      <w:tblPr>
        <w:tblStyle w:val="6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06"/>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4" w:type="dxa"/>
            <w:noWrap w:val="0"/>
            <w:vAlign w:val="top"/>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8208" w:type="dxa"/>
            <w:noWrap w:val="0"/>
            <w:vAlign w:val="top"/>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44"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4分</w:t>
            </w:r>
          </w:p>
        </w:tc>
        <w:tc>
          <w:tcPr>
            <w:tcW w:w="8208" w:type="dxa"/>
            <w:noWrap w:val="0"/>
            <w:vAlign w:val="top"/>
          </w:tcPr>
          <w:p>
            <w:pPr>
              <w:numPr>
                <w:ilvl w:val="0"/>
                <w:numId w:val="0"/>
              </w:numPr>
              <w:spacing w:line="240" w:lineRule="auto"/>
              <w:ind w:leftChars="0"/>
              <w:jc w:val="left"/>
              <w:rPr>
                <w:rStyle w:val="976"/>
                <w:rFonts w:hint="eastAsia" w:ascii="宋体" w:hAnsi="宋体" w:eastAsia="宋体" w:cs="宋体"/>
                <w:b/>
                <w:bCs/>
                <w:color w:val="auto"/>
                <w:kern w:val="2"/>
                <w:sz w:val="24"/>
                <w:szCs w:val="24"/>
                <w:highlight w:val="none"/>
                <w:lang w:val="en-US" w:eastAsia="zh-CN" w:bidi="ar-SA"/>
              </w:rPr>
            </w:pPr>
            <w:r>
              <w:rPr>
                <w:rStyle w:val="976"/>
                <w:rFonts w:hint="eastAsia" w:ascii="宋体" w:hAnsi="宋体" w:eastAsia="宋体" w:cs="宋体"/>
                <w:b/>
                <w:bCs/>
                <w:color w:val="auto"/>
                <w:kern w:val="2"/>
                <w:sz w:val="24"/>
                <w:szCs w:val="24"/>
                <w:highlight w:val="none"/>
                <w:lang w:val="en-US" w:eastAsia="zh-CN" w:bidi="ar-SA"/>
              </w:rPr>
              <w:t>企业业绩：</w:t>
            </w:r>
          </w:p>
          <w:p>
            <w:pPr>
              <w:widowControl/>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rPr>
              <w:t>自2021年1月1日（含）以来（以合同签订时间为准）具有地级市及以上行政区域供水企业的</w:t>
            </w:r>
            <w:r>
              <w:rPr>
                <w:rStyle w:val="976"/>
                <w:rFonts w:hint="eastAsia" w:ascii="宋体" w:hAnsi="宋体" w:eastAsia="宋体" w:cs="宋体"/>
                <w:color w:val="auto"/>
                <w:sz w:val="24"/>
                <w:szCs w:val="24"/>
                <w:highlight w:val="none"/>
                <w:lang w:eastAsia="zh-CN"/>
              </w:rPr>
              <w:t>铜阀门</w:t>
            </w:r>
            <w:r>
              <w:rPr>
                <w:rStyle w:val="976"/>
                <w:rFonts w:hint="eastAsia" w:ascii="宋体" w:hAnsi="宋体" w:eastAsia="宋体" w:cs="宋体"/>
                <w:color w:val="auto"/>
                <w:sz w:val="24"/>
                <w:szCs w:val="24"/>
                <w:highlight w:val="none"/>
              </w:rPr>
              <w:t>供货业绩（</w:t>
            </w:r>
            <w:r>
              <w:rPr>
                <w:rStyle w:val="976"/>
                <w:rFonts w:hint="eastAsia" w:ascii="宋体" w:hAnsi="宋体" w:eastAsia="宋体" w:cs="宋体"/>
                <w:color w:val="auto"/>
                <w:sz w:val="24"/>
                <w:szCs w:val="24"/>
                <w:highlight w:val="none"/>
                <w:lang w:eastAsia="zh-CN"/>
              </w:rPr>
              <w:t>金额不小于</w:t>
            </w:r>
            <w:r>
              <w:rPr>
                <w:rStyle w:val="976"/>
                <w:rFonts w:hint="eastAsia" w:ascii="宋体" w:hAnsi="宋体" w:eastAsia="宋体" w:cs="宋体"/>
                <w:color w:val="auto"/>
                <w:sz w:val="24"/>
                <w:szCs w:val="24"/>
                <w:highlight w:val="none"/>
                <w:lang w:val="en-US" w:eastAsia="zh-CN"/>
              </w:rPr>
              <w:t>100万元</w:t>
            </w:r>
            <w:r>
              <w:rPr>
                <w:rStyle w:val="976"/>
                <w:rFonts w:hint="eastAsia" w:ascii="宋体" w:hAnsi="宋体" w:eastAsia="宋体" w:cs="宋体"/>
                <w:color w:val="auto"/>
                <w:sz w:val="24"/>
                <w:szCs w:val="24"/>
                <w:highlight w:val="none"/>
              </w:rPr>
              <w:t>）的，每提供一个业绩得</w:t>
            </w:r>
            <w:r>
              <w:rPr>
                <w:rStyle w:val="976"/>
                <w:rFonts w:hint="eastAsia" w:ascii="宋体" w:hAnsi="宋体" w:eastAsia="宋体" w:cs="宋体"/>
                <w:color w:val="auto"/>
                <w:sz w:val="24"/>
                <w:szCs w:val="24"/>
                <w:highlight w:val="none"/>
                <w:lang w:val="en-US" w:eastAsia="zh-CN"/>
              </w:rPr>
              <w:t>1</w:t>
            </w:r>
            <w:r>
              <w:rPr>
                <w:rStyle w:val="976"/>
                <w:rFonts w:hint="eastAsia" w:ascii="宋体" w:hAnsi="宋体" w:eastAsia="宋体" w:cs="宋体"/>
                <w:color w:val="auto"/>
                <w:sz w:val="24"/>
                <w:szCs w:val="24"/>
                <w:highlight w:val="none"/>
              </w:rPr>
              <w:t>分，最多得4分。</w:t>
            </w:r>
            <w:r>
              <w:rPr>
                <w:rStyle w:val="976"/>
                <w:rFonts w:hint="eastAsia" w:ascii="宋体" w:hAnsi="宋体" w:eastAsia="宋体" w:cs="宋体"/>
                <w:color w:val="auto"/>
                <w:sz w:val="24"/>
                <w:szCs w:val="24"/>
                <w:highlight w:val="none"/>
                <w:lang w:val="en-US" w:eastAsia="zh-CN"/>
              </w:rPr>
              <w:t>（0-4分）</w:t>
            </w:r>
          </w:p>
          <w:p>
            <w:pPr>
              <w:widowControl/>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评审依据：需提供合同复印件及对应金额的发票复印件（复印件须清晰可见，否则评委有权不予认定），未提供或提供无效的不得分。</w:t>
            </w:r>
          </w:p>
          <w:p>
            <w:pPr>
              <w:widowControl/>
              <w:spacing w:line="240" w:lineRule="auto"/>
              <w:rPr>
                <w:rFonts w:hint="eastAsia" w:ascii="宋体" w:hAnsi="宋体" w:eastAsia="宋体" w:cs="宋体"/>
                <w:color w:val="auto"/>
                <w:kern w:val="0"/>
                <w:sz w:val="24"/>
                <w:szCs w:val="24"/>
                <w:highlight w:val="none"/>
                <w:lang w:val="en-US" w:eastAsia="zh-CN"/>
              </w:rPr>
            </w:pPr>
            <w:r>
              <w:rPr>
                <w:rStyle w:val="976"/>
                <w:rFonts w:hint="eastAsia" w:ascii="宋体" w:hAnsi="宋体" w:eastAsia="宋体" w:cs="宋体"/>
                <w:color w:val="auto"/>
                <w:sz w:val="24"/>
                <w:szCs w:val="24"/>
                <w:highlight w:val="none"/>
              </w:rPr>
              <w:t>备注：所有销售业绩均需提供有效联系人，评标委员会有权进行现场核验，如有造假，作废标处理。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44"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15分</w:t>
            </w:r>
          </w:p>
        </w:tc>
        <w:tc>
          <w:tcPr>
            <w:tcW w:w="8208" w:type="dxa"/>
            <w:noWrap w:val="0"/>
            <w:vAlign w:val="center"/>
          </w:tcPr>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企业资信：</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w:t>
            </w:r>
            <w:r>
              <w:rPr>
                <w:rStyle w:val="976"/>
                <w:rFonts w:hint="eastAsia" w:ascii="宋体" w:hAnsi="宋体" w:eastAsia="宋体" w:cs="宋体"/>
                <w:color w:val="auto"/>
                <w:sz w:val="24"/>
                <w:szCs w:val="24"/>
                <w:highlight w:val="none"/>
                <w:lang w:val="en-US" w:eastAsia="zh-CN"/>
              </w:rPr>
              <w:t>1</w:t>
            </w: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rPr>
              <w:t>从事阀门生产供应满10年的得基本分1分，以上每增加5年加0.5分，最高得2分，否则不得分</w:t>
            </w:r>
            <w:r>
              <w:rPr>
                <w:rStyle w:val="976"/>
                <w:rFonts w:hint="eastAsia" w:ascii="宋体" w:hAnsi="宋体" w:eastAsia="宋体" w:cs="宋体"/>
                <w:color w:val="auto"/>
                <w:sz w:val="24"/>
                <w:szCs w:val="24"/>
                <w:highlight w:val="none"/>
                <w:lang w:eastAsia="zh-CN"/>
              </w:rPr>
              <w:t>；</w:t>
            </w:r>
            <w:r>
              <w:rPr>
                <w:rStyle w:val="976"/>
                <w:rFonts w:hint="eastAsia" w:ascii="宋体" w:hAnsi="宋体" w:eastAsia="宋体" w:cs="宋体"/>
                <w:bCs/>
                <w:color w:val="auto"/>
                <w:sz w:val="24"/>
                <w:szCs w:val="24"/>
                <w:highlight w:val="none"/>
                <w:lang w:val="en-US" w:eastAsia="zh-CN"/>
              </w:rPr>
              <w:t>（0-2分）</w:t>
            </w:r>
          </w:p>
          <w:p>
            <w:pPr>
              <w:widowControl/>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（2）</w:t>
            </w:r>
            <w:r>
              <w:rPr>
                <w:rStyle w:val="976"/>
                <w:rFonts w:hint="eastAsia" w:ascii="宋体" w:hAnsi="宋体" w:eastAsia="宋体" w:cs="宋体"/>
                <w:color w:val="auto"/>
                <w:sz w:val="24"/>
                <w:szCs w:val="24"/>
                <w:highlight w:val="none"/>
                <w:lang w:eastAsia="zh-CN"/>
              </w:rPr>
              <w:t>响应人获得第三方信用等级评估单位颁发的AAA级信用等级证书（在有效期内）的2分，AA级信用等级证书（在有效期内）的1分</w:t>
            </w:r>
            <w:r>
              <w:rPr>
                <w:rStyle w:val="976"/>
                <w:rFonts w:hint="eastAsia" w:ascii="宋体" w:hAnsi="宋体" w:eastAsia="宋体" w:cs="宋体"/>
                <w:color w:val="auto"/>
                <w:sz w:val="24"/>
                <w:szCs w:val="24"/>
                <w:highlight w:val="none"/>
              </w:rPr>
              <w:t>，否则不得分；</w:t>
            </w:r>
            <w:r>
              <w:rPr>
                <w:rStyle w:val="976"/>
                <w:rFonts w:hint="eastAsia" w:ascii="宋体" w:hAnsi="宋体" w:eastAsia="宋体" w:cs="宋体"/>
                <w:bCs/>
                <w:color w:val="auto"/>
                <w:sz w:val="24"/>
                <w:szCs w:val="24"/>
                <w:highlight w:val="none"/>
                <w:lang w:val="en-US" w:eastAsia="zh-CN"/>
              </w:rPr>
              <w:t>（0-2分）</w:t>
            </w:r>
          </w:p>
          <w:p>
            <w:pPr>
              <w:widowControl/>
              <w:spacing w:line="240" w:lineRule="auto"/>
              <w:rPr>
                <w:rStyle w:val="976"/>
                <w:rFonts w:hint="eastAsia" w:ascii="宋体" w:hAnsi="宋体" w:eastAsia="宋体" w:cs="宋体"/>
                <w:bCs/>
                <w:color w:val="auto"/>
                <w:sz w:val="24"/>
                <w:szCs w:val="24"/>
                <w:highlight w:val="none"/>
              </w:rPr>
            </w:pPr>
            <w:r>
              <w:rPr>
                <w:rStyle w:val="976"/>
                <w:rFonts w:hint="eastAsia" w:ascii="宋体" w:hAnsi="宋体" w:eastAsia="宋体" w:cs="宋体"/>
                <w:bCs/>
                <w:color w:val="auto"/>
                <w:sz w:val="24"/>
                <w:szCs w:val="24"/>
                <w:highlight w:val="none"/>
              </w:rPr>
              <w:t>（3）</w:t>
            </w:r>
            <w:r>
              <w:rPr>
                <w:rStyle w:val="976"/>
                <w:rFonts w:hint="eastAsia" w:ascii="宋体" w:hAnsi="宋体" w:eastAsia="宋体" w:cs="宋体"/>
                <w:bCs/>
                <w:color w:val="auto"/>
                <w:sz w:val="24"/>
                <w:szCs w:val="24"/>
                <w:highlight w:val="none"/>
                <w:lang w:eastAsia="zh-CN"/>
              </w:rPr>
              <w:t>响应人</w:t>
            </w:r>
            <w:r>
              <w:rPr>
                <w:rStyle w:val="976"/>
                <w:rFonts w:hint="eastAsia" w:ascii="宋体" w:hAnsi="宋体" w:eastAsia="宋体" w:cs="宋体"/>
                <w:bCs/>
                <w:color w:val="auto"/>
                <w:sz w:val="24"/>
                <w:szCs w:val="24"/>
                <w:highlight w:val="none"/>
              </w:rPr>
              <w:t>具有以下与</w:t>
            </w:r>
            <w:r>
              <w:rPr>
                <w:rStyle w:val="976"/>
                <w:rFonts w:hint="eastAsia" w:ascii="宋体" w:hAnsi="宋体" w:eastAsia="宋体" w:cs="宋体"/>
                <w:bCs/>
                <w:color w:val="auto"/>
                <w:sz w:val="24"/>
                <w:szCs w:val="24"/>
                <w:highlight w:val="none"/>
                <w:lang w:eastAsia="zh-CN"/>
              </w:rPr>
              <w:t>响应产品</w:t>
            </w:r>
            <w:r>
              <w:rPr>
                <w:rStyle w:val="976"/>
                <w:rFonts w:hint="eastAsia" w:ascii="宋体" w:hAnsi="宋体" w:eastAsia="宋体" w:cs="宋体"/>
                <w:bCs/>
                <w:color w:val="auto"/>
                <w:sz w:val="24"/>
                <w:szCs w:val="24"/>
                <w:highlight w:val="none"/>
              </w:rPr>
              <w:t>相关的认证证书（有效期内）：IS09001标准质量管理体系认证、IS014001环境管理体系认证、ISO45001职业健康安全管理体系认证，每提供一份得1分，最高得3分。</w:t>
            </w:r>
            <w:r>
              <w:rPr>
                <w:rStyle w:val="976"/>
                <w:rFonts w:hint="eastAsia" w:ascii="宋体" w:hAnsi="宋体" w:eastAsia="宋体" w:cs="宋体"/>
                <w:bCs/>
                <w:color w:val="auto"/>
                <w:sz w:val="24"/>
                <w:szCs w:val="24"/>
                <w:highlight w:val="none"/>
                <w:lang w:val="en-US" w:eastAsia="zh-CN"/>
              </w:rPr>
              <w:t>（0-3分）</w:t>
            </w:r>
          </w:p>
          <w:p>
            <w:pPr>
              <w:widowControl/>
              <w:spacing w:line="240" w:lineRule="auto"/>
              <w:rPr>
                <w:rStyle w:val="976"/>
                <w:rFonts w:hint="eastAsia" w:ascii="宋体" w:hAnsi="宋体" w:eastAsia="宋体" w:cs="宋体"/>
                <w:bCs/>
                <w:color w:val="auto"/>
                <w:sz w:val="24"/>
                <w:szCs w:val="24"/>
                <w:highlight w:val="none"/>
                <w:lang w:eastAsia="zh-CN"/>
              </w:rPr>
            </w:pPr>
            <w:r>
              <w:rPr>
                <w:rStyle w:val="976"/>
                <w:rFonts w:hint="eastAsia" w:ascii="宋体" w:hAnsi="宋体" w:eastAsia="宋体" w:cs="宋体"/>
                <w:bCs/>
                <w:color w:val="auto"/>
                <w:sz w:val="24"/>
                <w:szCs w:val="24"/>
                <w:highlight w:val="none"/>
                <w:lang w:eastAsia="zh-CN"/>
              </w:rPr>
              <w:t>（</w:t>
            </w:r>
            <w:r>
              <w:rPr>
                <w:rStyle w:val="976"/>
                <w:rFonts w:hint="eastAsia" w:ascii="宋体" w:hAnsi="宋体" w:eastAsia="宋体" w:cs="宋体"/>
                <w:bCs/>
                <w:color w:val="auto"/>
                <w:sz w:val="24"/>
                <w:szCs w:val="24"/>
                <w:highlight w:val="none"/>
                <w:lang w:val="en-US" w:eastAsia="zh-CN"/>
              </w:rPr>
              <w:t>4</w:t>
            </w:r>
            <w:r>
              <w:rPr>
                <w:rStyle w:val="976"/>
                <w:rFonts w:hint="eastAsia" w:ascii="宋体" w:hAnsi="宋体" w:eastAsia="宋体" w:cs="宋体"/>
                <w:bCs/>
                <w:color w:val="auto"/>
                <w:sz w:val="24"/>
                <w:szCs w:val="24"/>
                <w:highlight w:val="none"/>
                <w:lang w:eastAsia="zh-CN"/>
              </w:rPr>
              <w:t>）响应人主持编制已颁布的铜阀门类产品国家标准或行业标准的，每提供一项得1分；参与编制已颁布的铜阀门类产品国家标准或行业标准的，每提供一项得0.5分，最高得2分。</w:t>
            </w:r>
            <w:r>
              <w:rPr>
                <w:rStyle w:val="976"/>
                <w:rFonts w:hint="eastAsia" w:ascii="宋体" w:hAnsi="宋体" w:eastAsia="宋体" w:cs="宋体"/>
                <w:bCs/>
                <w:color w:val="auto"/>
                <w:sz w:val="24"/>
                <w:szCs w:val="24"/>
                <w:highlight w:val="none"/>
                <w:lang w:val="en-US" w:eastAsia="zh-CN"/>
              </w:rPr>
              <w:t>（0-2分）</w:t>
            </w:r>
          </w:p>
          <w:p>
            <w:pPr>
              <w:spacing w:line="240" w:lineRule="auto"/>
              <w:rPr>
                <w:rStyle w:val="976"/>
                <w:rFonts w:hint="eastAsia" w:ascii="宋体" w:hAnsi="宋体" w:eastAsia="宋体" w:cs="宋体"/>
                <w:bCs/>
                <w:color w:val="auto"/>
                <w:sz w:val="24"/>
                <w:szCs w:val="24"/>
                <w:highlight w:val="none"/>
                <w:lang w:eastAsia="zh-CN"/>
              </w:rPr>
            </w:pPr>
            <w:r>
              <w:rPr>
                <w:rStyle w:val="976"/>
                <w:rFonts w:hint="eastAsia" w:ascii="宋体" w:hAnsi="宋体" w:eastAsia="宋体" w:cs="宋体"/>
                <w:bCs/>
                <w:color w:val="auto"/>
                <w:sz w:val="24"/>
                <w:szCs w:val="24"/>
                <w:highlight w:val="none"/>
                <w:lang w:eastAsia="zh-CN"/>
              </w:rPr>
              <w:t>（</w:t>
            </w:r>
            <w:r>
              <w:rPr>
                <w:rStyle w:val="976"/>
                <w:rFonts w:hint="eastAsia" w:ascii="宋体" w:hAnsi="宋体" w:eastAsia="宋体" w:cs="宋体"/>
                <w:bCs/>
                <w:color w:val="auto"/>
                <w:sz w:val="24"/>
                <w:szCs w:val="24"/>
                <w:highlight w:val="none"/>
                <w:lang w:val="en-US" w:eastAsia="zh-CN"/>
              </w:rPr>
              <w:t>5</w:t>
            </w:r>
            <w:r>
              <w:rPr>
                <w:rStyle w:val="976"/>
                <w:rFonts w:hint="eastAsia" w:ascii="宋体" w:hAnsi="宋体" w:eastAsia="宋体" w:cs="宋体"/>
                <w:bCs/>
                <w:color w:val="auto"/>
                <w:sz w:val="24"/>
                <w:szCs w:val="24"/>
                <w:highlight w:val="none"/>
                <w:lang w:eastAsia="zh-CN"/>
              </w:rPr>
              <w:t>）响应人阀门类产品国家级实用新型专利证书每10个得0.5分，以上每增加10个加0.5分，最高得1分。（0-1分）</w:t>
            </w:r>
          </w:p>
          <w:p>
            <w:pPr>
              <w:spacing w:line="240" w:lineRule="auto"/>
              <w:rPr>
                <w:rStyle w:val="976"/>
                <w:rFonts w:hint="eastAsia" w:ascii="宋体" w:hAnsi="宋体" w:eastAsia="宋体" w:cs="宋体"/>
                <w:bCs/>
                <w:color w:val="auto"/>
                <w:sz w:val="24"/>
                <w:szCs w:val="24"/>
                <w:highlight w:val="none"/>
                <w:lang w:eastAsia="zh-CN"/>
              </w:rPr>
            </w:pPr>
            <w:r>
              <w:rPr>
                <w:rStyle w:val="976"/>
                <w:rFonts w:hint="eastAsia" w:ascii="宋体" w:hAnsi="宋体" w:eastAsia="宋体" w:cs="宋体"/>
                <w:bCs/>
                <w:color w:val="auto"/>
                <w:sz w:val="24"/>
                <w:szCs w:val="24"/>
                <w:highlight w:val="none"/>
                <w:lang w:eastAsia="zh-CN"/>
              </w:rPr>
              <w:t>响应人获得阀门类产品国家级发明专利证书，每提供一个得0.5分，最高得1分。（0-1分）</w:t>
            </w:r>
          </w:p>
          <w:p>
            <w:pPr>
              <w:widowControl/>
              <w:spacing w:line="240" w:lineRule="auto"/>
              <w:rPr>
                <w:rStyle w:val="976"/>
                <w:rFonts w:hint="eastAsia" w:ascii="宋体" w:hAnsi="宋体" w:eastAsia="宋体" w:cs="宋体"/>
                <w:bCs/>
                <w:color w:val="auto"/>
                <w:sz w:val="24"/>
                <w:szCs w:val="24"/>
                <w:highlight w:val="none"/>
                <w:lang w:val="en-US" w:eastAsia="zh-CN"/>
              </w:rPr>
            </w:pPr>
            <w:r>
              <w:rPr>
                <w:rStyle w:val="976"/>
                <w:rFonts w:hint="eastAsia" w:ascii="宋体" w:hAnsi="宋体" w:eastAsia="宋体" w:cs="宋体"/>
                <w:bCs/>
                <w:color w:val="auto"/>
                <w:sz w:val="24"/>
                <w:szCs w:val="24"/>
                <w:highlight w:val="none"/>
                <w:lang w:eastAsia="zh-CN"/>
              </w:rPr>
              <w:t>（</w:t>
            </w:r>
            <w:r>
              <w:rPr>
                <w:rStyle w:val="976"/>
                <w:rFonts w:hint="eastAsia" w:ascii="宋体" w:hAnsi="宋体" w:eastAsia="宋体" w:cs="宋体"/>
                <w:bCs/>
                <w:color w:val="auto"/>
                <w:sz w:val="24"/>
                <w:szCs w:val="24"/>
                <w:highlight w:val="none"/>
                <w:lang w:val="en-US" w:eastAsia="zh-CN"/>
              </w:rPr>
              <w:t>6</w:t>
            </w:r>
            <w:r>
              <w:rPr>
                <w:rStyle w:val="976"/>
                <w:rFonts w:hint="eastAsia" w:ascii="宋体" w:hAnsi="宋体" w:eastAsia="宋体" w:cs="宋体"/>
                <w:bCs/>
                <w:color w:val="auto"/>
                <w:sz w:val="24"/>
                <w:szCs w:val="24"/>
                <w:highlight w:val="none"/>
                <w:lang w:eastAsia="zh-CN"/>
              </w:rPr>
              <w:t>）响应人获得</w:t>
            </w:r>
            <w:r>
              <w:rPr>
                <w:rStyle w:val="976"/>
                <w:rFonts w:hint="eastAsia" w:ascii="宋体" w:hAnsi="宋体" w:eastAsia="宋体" w:cs="宋体"/>
                <w:color w:val="auto"/>
                <w:sz w:val="24"/>
                <w:szCs w:val="24"/>
                <w:highlight w:val="none"/>
              </w:rPr>
              <w:t>国家CNAS</w:t>
            </w:r>
            <w:r>
              <w:rPr>
                <w:rStyle w:val="976"/>
                <w:rFonts w:hint="eastAsia" w:ascii="宋体" w:hAnsi="宋体" w:eastAsia="宋体" w:cs="宋体"/>
                <w:bCs/>
                <w:color w:val="auto"/>
                <w:sz w:val="24"/>
                <w:szCs w:val="24"/>
                <w:highlight w:val="none"/>
                <w:lang w:eastAsia="zh-CN"/>
              </w:rPr>
              <w:t>实验室认可证书的得</w:t>
            </w:r>
            <w:r>
              <w:rPr>
                <w:rStyle w:val="976"/>
                <w:rFonts w:hint="eastAsia" w:ascii="宋体" w:hAnsi="宋体" w:eastAsia="宋体" w:cs="宋体"/>
                <w:bCs/>
                <w:color w:val="auto"/>
                <w:sz w:val="24"/>
                <w:szCs w:val="24"/>
                <w:highlight w:val="none"/>
                <w:lang w:val="en-US" w:eastAsia="zh-CN"/>
              </w:rPr>
              <w:t>2分；（0-2分）</w:t>
            </w:r>
          </w:p>
          <w:p>
            <w:pPr>
              <w:widowControl/>
              <w:spacing w:line="240" w:lineRule="auto"/>
              <w:rPr>
                <w:rStyle w:val="976"/>
                <w:rFonts w:hint="eastAsia" w:ascii="宋体" w:hAnsi="宋体" w:eastAsia="宋体" w:cs="宋体"/>
                <w:bCs/>
                <w:color w:val="auto"/>
                <w:sz w:val="24"/>
                <w:szCs w:val="24"/>
                <w:highlight w:val="none"/>
                <w:lang w:val="en-US" w:eastAsia="zh-CN"/>
              </w:rPr>
            </w:pPr>
            <w:r>
              <w:rPr>
                <w:rStyle w:val="976"/>
                <w:rFonts w:hint="eastAsia" w:ascii="宋体" w:hAnsi="宋体" w:eastAsia="宋体" w:cs="宋体"/>
                <w:bCs/>
                <w:color w:val="auto"/>
                <w:sz w:val="24"/>
                <w:szCs w:val="24"/>
                <w:highlight w:val="none"/>
                <w:lang w:eastAsia="zh-CN"/>
              </w:rPr>
              <w:t>认可证书含供水用铜阀门相关性能、强度、原材料等检测项目</w:t>
            </w:r>
            <w:r>
              <w:rPr>
                <w:rStyle w:val="976"/>
                <w:rFonts w:hint="eastAsia" w:ascii="宋体" w:hAnsi="宋体" w:eastAsia="宋体" w:cs="宋体"/>
                <w:bCs/>
                <w:color w:val="auto"/>
                <w:sz w:val="24"/>
                <w:szCs w:val="24"/>
                <w:highlight w:val="none"/>
                <w:lang w:val="en-US" w:eastAsia="zh-CN"/>
              </w:rPr>
              <w:t>1-5项的得1分，6项及以上的得2分（0-2分）</w:t>
            </w:r>
          </w:p>
          <w:p>
            <w:pPr>
              <w:widowControl/>
              <w:spacing w:line="240" w:lineRule="auto"/>
              <w:rPr>
                <w:rFonts w:hint="eastAsia" w:ascii="宋体" w:hAnsi="宋体" w:eastAsia="宋体" w:cs="宋体"/>
                <w:color w:val="auto"/>
                <w:sz w:val="24"/>
                <w:szCs w:val="24"/>
                <w:highlight w:val="none"/>
                <w:lang w:val="en-US" w:eastAsia="zh-CN"/>
              </w:rPr>
            </w:pPr>
            <w:r>
              <w:rPr>
                <w:rStyle w:val="976"/>
                <w:rFonts w:hint="eastAsia" w:ascii="宋体" w:hAnsi="宋体" w:eastAsia="宋体" w:cs="宋体"/>
                <w:bCs/>
                <w:color w:val="auto"/>
                <w:sz w:val="24"/>
                <w:szCs w:val="24"/>
                <w:highlight w:val="none"/>
                <w:lang w:eastAsia="zh-CN"/>
              </w:rPr>
              <w:t>响应文件</w:t>
            </w:r>
            <w:r>
              <w:rPr>
                <w:rStyle w:val="976"/>
                <w:rFonts w:hint="eastAsia" w:ascii="宋体" w:hAnsi="宋体" w:eastAsia="宋体" w:cs="宋体"/>
                <w:bCs/>
                <w:color w:val="auto"/>
                <w:sz w:val="24"/>
                <w:szCs w:val="24"/>
                <w:highlight w:val="none"/>
              </w:rPr>
              <w:t>中提供在有效期内的</w:t>
            </w:r>
            <w:r>
              <w:rPr>
                <w:rStyle w:val="976"/>
                <w:rFonts w:hint="eastAsia" w:ascii="宋体" w:hAnsi="宋体" w:eastAsia="宋体" w:cs="宋体"/>
                <w:bCs/>
                <w:color w:val="auto"/>
                <w:sz w:val="24"/>
                <w:szCs w:val="24"/>
                <w:highlight w:val="none"/>
                <w:lang w:eastAsia="zh-CN"/>
              </w:rPr>
              <w:t>资质文件</w:t>
            </w:r>
            <w:r>
              <w:rPr>
                <w:rStyle w:val="976"/>
                <w:rFonts w:hint="eastAsia" w:ascii="宋体" w:hAnsi="宋体" w:eastAsia="宋体" w:cs="宋体"/>
                <w:bCs/>
                <w:color w:val="auto"/>
                <w:sz w:val="24"/>
                <w:szCs w:val="24"/>
                <w:highlight w:val="none"/>
              </w:rPr>
              <w:t>并</w:t>
            </w:r>
            <w:r>
              <w:rPr>
                <w:rStyle w:val="976"/>
                <w:rFonts w:hint="eastAsia" w:ascii="宋体" w:hAnsi="宋体" w:eastAsia="宋体" w:cs="宋体"/>
                <w:bCs/>
                <w:color w:val="auto"/>
                <w:sz w:val="24"/>
                <w:szCs w:val="24"/>
                <w:highlight w:val="none"/>
              </w:rPr>
              <w:t>加盖公章</w:t>
            </w:r>
            <w:r>
              <w:rPr>
                <w:rStyle w:val="976"/>
                <w:rFonts w:hint="eastAsia" w:ascii="宋体" w:hAnsi="宋体" w:eastAsia="宋体" w:cs="宋体"/>
                <w:bCs/>
                <w:color w:val="auto"/>
                <w:sz w:val="24"/>
                <w:szCs w:val="24"/>
                <w:highlight w:val="none"/>
              </w:rPr>
              <w:t>，未提供或提供无效不得分。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4" w:type="dxa"/>
            <w:noWrap w:val="0"/>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806" w:type="dxa"/>
            <w:noWrap w:val="0"/>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7分</w:t>
            </w:r>
          </w:p>
        </w:tc>
        <w:tc>
          <w:tcPr>
            <w:tcW w:w="8208" w:type="dxa"/>
            <w:noWrap w:val="0"/>
            <w:vAlign w:val="center"/>
          </w:tcPr>
          <w:p>
            <w:pPr>
              <w:widowControl/>
              <w:spacing w:line="240" w:lineRule="auto"/>
              <w:rPr>
                <w:rStyle w:val="976"/>
                <w:rFonts w:hint="eastAsia" w:ascii="宋体" w:hAnsi="宋体" w:eastAsia="宋体" w:cs="宋体"/>
                <w:b/>
                <w:bCs/>
                <w:color w:val="auto"/>
                <w:sz w:val="24"/>
                <w:szCs w:val="24"/>
                <w:highlight w:val="none"/>
                <w:lang w:val="en-US" w:eastAsia="zh-CN"/>
              </w:rPr>
            </w:pPr>
            <w:r>
              <w:rPr>
                <w:rStyle w:val="976"/>
                <w:rFonts w:hint="eastAsia" w:ascii="宋体" w:hAnsi="宋体" w:eastAsia="宋体" w:cs="宋体"/>
                <w:b/>
                <w:bCs/>
                <w:color w:val="auto"/>
                <w:sz w:val="24"/>
                <w:szCs w:val="24"/>
                <w:highlight w:val="none"/>
                <w:lang w:val="en-US" w:eastAsia="zh-CN"/>
              </w:rPr>
              <w:t>设备生产及</w:t>
            </w:r>
            <w:r>
              <w:rPr>
                <w:rStyle w:val="976"/>
                <w:rFonts w:hint="eastAsia" w:ascii="宋体" w:hAnsi="宋体" w:eastAsia="宋体" w:cs="宋体"/>
                <w:b/>
                <w:bCs/>
                <w:color w:val="auto"/>
                <w:sz w:val="24"/>
                <w:szCs w:val="24"/>
                <w:highlight w:val="none"/>
                <w:lang w:eastAsia="zh-CN"/>
              </w:rPr>
              <w:t>技术指标</w:t>
            </w:r>
            <w:r>
              <w:rPr>
                <w:rStyle w:val="976"/>
                <w:rFonts w:hint="eastAsia" w:ascii="宋体" w:hAnsi="宋体" w:eastAsia="宋体" w:cs="宋体"/>
                <w:b/>
                <w:bCs/>
                <w:color w:val="auto"/>
                <w:sz w:val="24"/>
                <w:szCs w:val="24"/>
                <w:highlight w:val="none"/>
                <w:lang w:val="en-US" w:eastAsia="zh-CN"/>
              </w:rPr>
              <w:t>：</w:t>
            </w:r>
          </w:p>
          <w:p>
            <w:pPr>
              <w:widowControl/>
              <w:numPr>
                <w:ilvl w:val="0"/>
                <w:numId w:val="0"/>
              </w:numPr>
              <w:spacing w:line="240" w:lineRule="auto"/>
              <w:rPr>
                <w:rStyle w:val="976"/>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kern w:val="2"/>
                <w:sz w:val="24"/>
                <w:szCs w:val="24"/>
                <w:highlight w:val="none"/>
                <w:lang w:val="en-US" w:eastAsia="zh-CN" w:bidi="ar-SA"/>
              </w:rPr>
              <w:t>（1）</w:t>
            </w: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lang w:eastAsia="zh-CN"/>
              </w:rPr>
              <w:t>对</w:t>
            </w:r>
            <w:r>
              <w:rPr>
                <w:rStyle w:val="976"/>
                <w:rFonts w:hint="eastAsia" w:ascii="宋体" w:hAnsi="宋体" w:eastAsia="宋体" w:cs="宋体"/>
                <w:color w:val="auto"/>
                <w:kern w:val="2"/>
                <w:sz w:val="24"/>
                <w:szCs w:val="24"/>
                <w:highlight w:val="none"/>
                <w:lang w:val="en-US" w:eastAsia="zh-CN" w:bidi="ar-SA"/>
              </w:rPr>
              <w:t>铜阀门</w:t>
            </w:r>
            <w:r>
              <w:rPr>
                <w:rStyle w:val="976"/>
                <w:rFonts w:hint="eastAsia" w:ascii="宋体" w:hAnsi="宋体" w:eastAsia="宋体" w:cs="宋体"/>
                <w:color w:val="auto"/>
                <w:sz w:val="24"/>
                <w:szCs w:val="24"/>
                <w:highlight w:val="none"/>
                <w:lang w:eastAsia="zh-CN"/>
              </w:rPr>
              <w:t>生产过程应是高工艺技术，对阀门制造及处理等工艺进行描述，评标专家根据设备先进性、加工精度、合理性进行横向比较。（供货产品须采用所描述的设备及工艺制作）（</w:t>
            </w:r>
            <w:r>
              <w:rPr>
                <w:rStyle w:val="976"/>
                <w:rFonts w:hint="eastAsia" w:ascii="宋体" w:hAnsi="宋体" w:eastAsia="宋体" w:cs="宋体"/>
                <w:color w:val="auto"/>
                <w:sz w:val="24"/>
                <w:szCs w:val="24"/>
                <w:highlight w:val="none"/>
                <w:lang w:val="en-US" w:eastAsia="zh-CN"/>
              </w:rPr>
              <w:t>5分</w:t>
            </w:r>
            <w:r>
              <w:rPr>
                <w:rStyle w:val="976"/>
                <w:rFonts w:hint="eastAsia" w:ascii="宋体" w:hAnsi="宋体" w:eastAsia="宋体" w:cs="宋体"/>
                <w:color w:val="auto"/>
                <w:sz w:val="24"/>
                <w:szCs w:val="24"/>
                <w:highlight w:val="none"/>
                <w:lang w:eastAsia="zh-CN"/>
              </w:rPr>
              <w:t>）</w:t>
            </w:r>
          </w:p>
          <w:p>
            <w:pPr>
              <w:widowControl/>
              <w:numPr>
                <w:ilvl w:val="0"/>
                <w:numId w:val="0"/>
              </w:num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lang w:val="en-US" w:eastAsia="zh-CN"/>
              </w:rPr>
              <w:t>4</w:t>
            </w:r>
            <w:r>
              <w:rPr>
                <w:rStyle w:val="976"/>
                <w:rFonts w:hint="eastAsia" w:ascii="宋体" w:hAnsi="宋体" w:eastAsia="宋体" w:cs="宋体"/>
                <w:color w:val="auto"/>
                <w:sz w:val="24"/>
                <w:szCs w:val="24"/>
                <w:highlight w:val="none"/>
                <w:lang w:eastAsia="zh-CN"/>
              </w:rPr>
              <w:t>分≤“优”得分≤</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w:t>
            </w:r>
            <w:r>
              <w:rPr>
                <w:rStyle w:val="976"/>
                <w:rFonts w:hint="eastAsia" w:ascii="宋体" w:hAnsi="宋体" w:eastAsia="宋体" w:cs="宋体"/>
                <w:color w:val="auto"/>
                <w:sz w:val="24"/>
                <w:szCs w:val="24"/>
                <w:highlight w:val="none"/>
                <w:lang w:val="en-US" w:eastAsia="zh-CN"/>
              </w:rPr>
              <w:t>2</w:t>
            </w:r>
            <w:r>
              <w:rPr>
                <w:rStyle w:val="976"/>
                <w:rFonts w:hint="eastAsia" w:ascii="宋体" w:hAnsi="宋体" w:eastAsia="宋体" w:cs="宋体"/>
                <w:color w:val="auto"/>
                <w:sz w:val="24"/>
                <w:szCs w:val="24"/>
                <w:highlight w:val="none"/>
                <w:lang w:eastAsia="zh-CN"/>
              </w:rPr>
              <w:t>分≤“良”得分＜</w:t>
            </w:r>
            <w:r>
              <w:rPr>
                <w:rStyle w:val="976"/>
                <w:rFonts w:hint="eastAsia" w:ascii="宋体" w:hAnsi="宋体" w:eastAsia="宋体" w:cs="宋体"/>
                <w:color w:val="auto"/>
                <w:sz w:val="24"/>
                <w:szCs w:val="24"/>
                <w:highlight w:val="none"/>
                <w:lang w:val="en-US" w:eastAsia="zh-CN"/>
              </w:rPr>
              <w:t>4</w:t>
            </w:r>
            <w:r>
              <w:rPr>
                <w:rStyle w:val="976"/>
                <w:rFonts w:hint="eastAsia" w:ascii="宋体" w:hAnsi="宋体" w:eastAsia="宋体" w:cs="宋体"/>
                <w:color w:val="auto"/>
                <w:sz w:val="24"/>
                <w:szCs w:val="24"/>
                <w:highlight w:val="none"/>
                <w:lang w:eastAsia="zh-CN"/>
              </w:rPr>
              <w:t>分，0分≤“一般”得分＜</w:t>
            </w:r>
            <w:r>
              <w:rPr>
                <w:rStyle w:val="976"/>
                <w:rFonts w:hint="eastAsia" w:ascii="宋体" w:hAnsi="宋体" w:eastAsia="宋体" w:cs="宋体"/>
                <w:color w:val="auto"/>
                <w:sz w:val="24"/>
                <w:szCs w:val="24"/>
                <w:highlight w:val="none"/>
                <w:lang w:val="en-US" w:eastAsia="zh-CN"/>
              </w:rPr>
              <w:t>2</w:t>
            </w:r>
            <w:r>
              <w:rPr>
                <w:rStyle w:val="976"/>
                <w:rFonts w:hint="eastAsia" w:ascii="宋体" w:hAnsi="宋体" w:eastAsia="宋体" w:cs="宋体"/>
                <w:color w:val="auto"/>
                <w:sz w:val="24"/>
                <w:szCs w:val="24"/>
                <w:highlight w:val="none"/>
                <w:lang w:eastAsia="zh-CN"/>
              </w:rPr>
              <w:t>。</w:t>
            </w:r>
          </w:p>
          <w:p>
            <w:pPr>
              <w:numPr>
                <w:ilvl w:val="0"/>
                <w:numId w:val="0"/>
              </w:numPr>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rPr>
              <w:t>具有红冲压力锻造设备10（含）-20（不含）台，得1分，20（含）台以上的，得2分。</w:t>
            </w:r>
          </w:p>
          <w:p>
            <w:pPr>
              <w:spacing w:line="240" w:lineRule="auto"/>
              <w:rPr>
                <w:rFonts w:hint="eastAsia" w:ascii="宋体" w:hAnsi="宋体" w:eastAsia="宋体" w:cs="宋体"/>
                <w:color w:val="auto"/>
                <w:sz w:val="24"/>
                <w:szCs w:val="24"/>
                <w:highlight w:val="none"/>
                <w:lang w:val="en-US" w:eastAsia="zh-CN"/>
              </w:rPr>
            </w:pPr>
            <w:r>
              <w:rPr>
                <w:rStyle w:val="976"/>
                <w:rFonts w:hint="eastAsia" w:ascii="宋体" w:hAnsi="宋体" w:eastAsia="宋体" w:cs="宋体"/>
                <w:color w:val="auto"/>
                <w:sz w:val="24"/>
                <w:szCs w:val="24"/>
                <w:highlight w:val="none"/>
              </w:rPr>
              <w:t>评审依据：</w:t>
            </w:r>
            <w:r>
              <w:rPr>
                <w:rStyle w:val="976"/>
                <w:rFonts w:hint="eastAsia" w:ascii="宋体" w:hAnsi="宋体" w:eastAsia="宋体" w:cs="宋体"/>
                <w:color w:val="auto"/>
                <w:sz w:val="24"/>
                <w:szCs w:val="24"/>
                <w:highlight w:val="none"/>
                <w:lang w:eastAsia="zh-CN"/>
              </w:rPr>
              <w:t>响应文件</w:t>
            </w:r>
            <w:r>
              <w:rPr>
                <w:rStyle w:val="976"/>
                <w:rFonts w:hint="eastAsia" w:ascii="宋体" w:hAnsi="宋体" w:eastAsia="宋体" w:cs="宋体"/>
                <w:color w:val="auto"/>
                <w:sz w:val="24"/>
                <w:szCs w:val="24"/>
                <w:highlight w:val="none"/>
              </w:rPr>
              <w:t>中提供生产设备现场有经纬度的水印地址定位照片</w:t>
            </w:r>
            <w:r>
              <w:rPr>
                <w:rStyle w:val="976"/>
                <w:rFonts w:hint="eastAsia" w:ascii="宋体" w:hAnsi="宋体" w:eastAsia="宋体" w:cs="宋体"/>
                <w:color w:val="auto"/>
                <w:sz w:val="24"/>
                <w:szCs w:val="24"/>
                <w:highlight w:val="none"/>
                <w:lang w:eastAsia="zh-CN"/>
              </w:rPr>
              <w:t>、</w:t>
            </w:r>
            <w:r>
              <w:rPr>
                <w:rStyle w:val="976"/>
                <w:rFonts w:hint="eastAsia" w:ascii="宋体" w:hAnsi="宋体" w:eastAsia="宋体" w:cs="宋体"/>
                <w:color w:val="auto"/>
                <w:sz w:val="24"/>
                <w:szCs w:val="24"/>
                <w:highlight w:val="none"/>
                <w:lang w:eastAsia="zh-CN"/>
              </w:rPr>
              <w:t>设备铭牌</w:t>
            </w:r>
            <w:r>
              <w:rPr>
                <w:rStyle w:val="976"/>
                <w:rFonts w:hint="eastAsia" w:ascii="宋体" w:hAnsi="宋体" w:eastAsia="宋体" w:cs="宋体"/>
                <w:color w:val="auto"/>
                <w:sz w:val="24"/>
                <w:szCs w:val="24"/>
                <w:highlight w:val="none"/>
              </w:rPr>
              <w:t>及相应采购发票复印件或发票扫描件并加盖公章，未提供或提供无效不得分。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4"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p>
        </w:tc>
        <w:tc>
          <w:tcPr>
            <w:tcW w:w="806" w:type="dxa"/>
            <w:noWrap w:val="0"/>
            <w:vAlign w:val="center"/>
          </w:tcPr>
          <w:p>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分</w:t>
            </w:r>
          </w:p>
        </w:tc>
        <w:tc>
          <w:tcPr>
            <w:tcW w:w="8208" w:type="dxa"/>
            <w:noWrap w:val="0"/>
            <w:vAlign w:val="center"/>
          </w:tcPr>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供货及售后承诺</w:t>
            </w:r>
          </w:p>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）供货保障（</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根据响应人详细的供货服务方案的针对性、合理性、可行性进行综合评议。包括但不限于供货计划（含与施工进度的配合度）、产品的安全保障、质量控制等方面。</w:t>
            </w:r>
          </w:p>
          <w:p>
            <w:pPr>
              <w:widowControl/>
              <w:numPr>
                <w:ilvl w:val="0"/>
                <w:numId w:val="0"/>
              </w:numPr>
              <w:spacing w:line="240" w:lineRule="auto"/>
              <w:rPr>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分≤“优”得分≤</w:t>
            </w:r>
            <w:r>
              <w:rPr>
                <w:rStyle w:val="976"/>
                <w:rFonts w:hint="eastAsia" w:ascii="宋体" w:hAnsi="宋体" w:eastAsia="宋体" w:cs="宋体"/>
                <w:color w:val="auto"/>
                <w:sz w:val="24"/>
                <w:szCs w:val="24"/>
                <w:highlight w:val="none"/>
                <w:lang w:val="en-US" w:eastAsia="zh-CN"/>
              </w:rPr>
              <w:t>6</w:t>
            </w:r>
            <w:r>
              <w:rPr>
                <w:rStyle w:val="976"/>
                <w:rFonts w:hint="eastAsia" w:ascii="宋体" w:hAnsi="宋体" w:eastAsia="宋体" w:cs="宋体"/>
                <w:color w:val="auto"/>
                <w:sz w:val="24"/>
                <w:szCs w:val="24"/>
                <w:highlight w:val="none"/>
                <w:lang w:eastAsia="zh-CN"/>
              </w:rPr>
              <w:t>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分≤“良”得分＜</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分，0分≤“一般”得分＜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（提供供货保障方案并加盖响应人公章，未提供的不得分。）</w:t>
            </w:r>
          </w:p>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）售后服务（</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响应人的售后服务方案的针对性、合理性、可行性进行综合评议。包括但不限于对设备备品备件、内部管理等服务方案；详细的售后服务方案、质保期限，并明确质保期内外的保修承诺、响应时间、维修时间、售后服务优惠承诺、售后服务保障及售后服务机构的综合实力等进行综合评议。</w:t>
            </w:r>
          </w:p>
          <w:p>
            <w:pPr>
              <w:pStyle w:val="35"/>
              <w:widowControl/>
              <w:numPr>
                <w:ilvl w:val="0"/>
                <w:numId w:val="0"/>
              </w:numPr>
              <w:spacing w:line="240" w:lineRule="auto"/>
              <w:rPr>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分≤“优”得分≤</w:t>
            </w:r>
            <w:r>
              <w:rPr>
                <w:rStyle w:val="976"/>
                <w:rFonts w:hint="eastAsia" w:ascii="宋体" w:hAnsi="宋体" w:eastAsia="宋体" w:cs="宋体"/>
                <w:color w:val="auto"/>
                <w:sz w:val="24"/>
                <w:szCs w:val="24"/>
                <w:highlight w:val="none"/>
                <w:lang w:val="en-US" w:eastAsia="zh-CN"/>
              </w:rPr>
              <w:t>6</w:t>
            </w:r>
            <w:r>
              <w:rPr>
                <w:rStyle w:val="976"/>
                <w:rFonts w:hint="eastAsia" w:ascii="宋体" w:hAnsi="宋体" w:eastAsia="宋体" w:cs="宋体"/>
                <w:color w:val="auto"/>
                <w:sz w:val="24"/>
                <w:szCs w:val="24"/>
                <w:highlight w:val="none"/>
                <w:lang w:eastAsia="zh-CN"/>
              </w:rPr>
              <w:t>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分≤“良”得分＜</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分，0分≤“一般”得分＜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pPr>
              <w:pStyle w:val="35"/>
              <w:widowControl/>
              <w:numPr>
                <w:ilvl w:val="0"/>
                <w:numId w:val="0"/>
              </w:num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（3）</w:t>
            </w:r>
            <w:r>
              <w:rPr>
                <w:rFonts w:hint="eastAsia" w:ascii="宋体" w:hAnsi="宋体" w:eastAsia="宋体" w:cs="宋体"/>
                <w:b/>
                <w:bCs/>
                <w:color w:val="auto"/>
                <w:sz w:val="24"/>
                <w:szCs w:val="24"/>
                <w:highlight w:val="none"/>
                <w:lang w:val="en-US" w:eastAsia="zh-CN"/>
              </w:rPr>
              <w:t>综合实力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lang w:val="en-US" w:eastAsia="zh-CN"/>
              </w:rPr>
              <w:t>：</w:t>
            </w:r>
          </w:p>
          <w:p>
            <w:pPr>
              <w:pStyle w:val="35"/>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根据响应人综合实力进行综合评议：</w:t>
            </w:r>
          </w:p>
          <w:p>
            <w:pPr>
              <w:pStyle w:val="35"/>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（1）响应产品品牌的优劣情况（0-2分）；</w:t>
            </w:r>
          </w:p>
          <w:p>
            <w:pPr>
              <w:pStyle w:val="35"/>
              <w:widowControl/>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（2）在杭州市主城区（不含下属市县）内设置仓库的，或承诺中标后一个月内设置仓库的。（提供相应证明材料或承诺函）（0-2分）；</w:t>
            </w:r>
          </w:p>
          <w:p>
            <w:pPr>
              <w:pStyle w:val="35"/>
              <w:widowControl/>
              <w:spacing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（3）高级人才储备情况（提供人员清单、相应证明材料及在缴社保证明）（0-2分）。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4" w:type="dxa"/>
            <w:noWrap w:val="0"/>
            <w:vAlign w:val="center"/>
          </w:tcPr>
          <w:p>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806" w:type="dxa"/>
            <w:noWrap w:val="0"/>
            <w:vAlign w:val="center"/>
          </w:tcPr>
          <w:p>
            <w:pPr>
              <w:widowControl/>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6分</w:t>
            </w:r>
          </w:p>
        </w:tc>
        <w:tc>
          <w:tcPr>
            <w:tcW w:w="8208" w:type="dxa"/>
            <w:noWrap w:val="0"/>
            <w:vAlign w:val="center"/>
          </w:tcPr>
          <w:p>
            <w:pPr>
              <w:widowControl/>
              <w:numPr>
                <w:ilvl w:val="0"/>
                <w:numId w:val="0"/>
              </w:num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根据</w:t>
            </w:r>
            <w:r>
              <w:rPr>
                <w:rStyle w:val="976"/>
                <w:rFonts w:hint="eastAsia" w:ascii="宋体" w:hAnsi="宋体" w:eastAsia="宋体" w:cs="宋体"/>
                <w:color w:val="auto"/>
                <w:sz w:val="24"/>
                <w:szCs w:val="24"/>
                <w:highlight w:val="none"/>
                <w:lang w:eastAsia="zh-CN"/>
              </w:rPr>
              <w:t>公开竞争文件</w:t>
            </w:r>
            <w:r>
              <w:rPr>
                <w:rStyle w:val="976"/>
                <w:rFonts w:hint="eastAsia" w:ascii="宋体" w:hAnsi="宋体" w:eastAsia="宋体" w:cs="宋体"/>
                <w:color w:val="auto"/>
                <w:sz w:val="24"/>
                <w:szCs w:val="24"/>
                <w:highlight w:val="none"/>
              </w:rPr>
              <w:t>要求，对</w:t>
            </w: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rPr>
              <w:t>提供的样品的外观、材质、规格、质量、制作工艺水平</w:t>
            </w:r>
            <w:r>
              <w:rPr>
                <w:rStyle w:val="976"/>
                <w:rFonts w:hint="eastAsia" w:ascii="宋体" w:hAnsi="宋体" w:eastAsia="宋体" w:cs="宋体"/>
                <w:color w:val="auto"/>
                <w:sz w:val="24"/>
                <w:szCs w:val="24"/>
                <w:highlight w:val="none"/>
                <w:lang w:eastAsia="zh-CN"/>
              </w:rPr>
              <w:t>（厚度、净重、通径）</w:t>
            </w:r>
            <w:r>
              <w:rPr>
                <w:rStyle w:val="976"/>
                <w:rFonts w:hint="eastAsia" w:ascii="宋体" w:hAnsi="宋体" w:eastAsia="宋体" w:cs="宋体"/>
                <w:color w:val="auto"/>
                <w:sz w:val="24"/>
                <w:szCs w:val="24"/>
                <w:highlight w:val="none"/>
              </w:rPr>
              <w:t>等进行综合比较。</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分≤“优”得分≤</w:t>
            </w:r>
            <w:r>
              <w:rPr>
                <w:rStyle w:val="976"/>
                <w:rFonts w:hint="eastAsia" w:ascii="宋体" w:hAnsi="宋体" w:eastAsia="宋体" w:cs="宋体"/>
                <w:color w:val="auto"/>
                <w:sz w:val="24"/>
                <w:szCs w:val="24"/>
                <w:highlight w:val="none"/>
                <w:lang w:val="en-US" w:eastAsia="zh-CN"/>
              </w:rPr>
              <w:t>6</w:t>
            </w:r>
            <w:r>
              <w:rPr>
                <w:rStyle w:val="976"/>
                <w:rFonts w:hint="eastAsia" w:ascii="宋体" w:hAnsi="宋体" w:eastAsia="宋体" w:cs="宋体"/>
                <w:color w:val="auto"/>
                <w:sz w:val="24"/>
                <w:szCs w:val="24"/>
                <w:highlight w:val="none"/>
                <w:lang w:eastAsia="zh-CN"/>
              </w:rPr>
              <w:t>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分≤“良”得分＜</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分，0分≤“一般”得分＜</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w:t>
            </w:r>
          </w:p>
          <w:p>
            <w:pPr>
              <w:spacing w:line="240" w:lineRule="auto"/>
              <w:rPr>
                <w:rFonts w:hint="eastAsia" w:ascii="宋体" w:hAnsi="宋体" w:eastAsia="宋体" w:cs="宋体"/>
                <w:color w:val="auto"/>
                <w:sz w:val="24"/>
                <w:szCs w:val="24"/>
                <w:highlight w:val="none"/>
                <w:lang w:val="en-US" w:eastAsia="zh-CN"/>
              </w:rPr>
            </w:pPr>
            <w:r>
              <w:rPr>
                <w:rStyle w:val="976"/>
                <w:rFonts w:hint="eastAsia" w:ascii="宋体" w:hAnsi="宋体" w:eastAsia="宋体" w:cs="宋体"/>
                <w:color w:val="auto"/>
                <w:sz w:val="24"/>
                <w:szCs w:val="24"/>
                <w:highlight w:val="none"/>
              </w:rPr>
              <w:t>样品为：丝扣抽杆式黄铜闸阀DN2</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rPr>
              <w:t>、</w:t>
            </w:r>
            <w:r>
              <w:rPr>
                <w:rStyle w:val="976"/>
                <w:rFonts w:hint="eastAsia" w:ascii="宋体" w:hAnsi="宋体" w:eastAsia="宋体" w:cs="宋体"/>
                <w:color w:val="auto"/>
                <w:sz w:val="24"/>
                <w:szCs w:val="24"/>
                <w:highlight w:val="none"/>
                <w:lang w:eastAsia="zh-CN"/>
              </w:rPr>
              <w:t>截止止回阀</w:t>
            </w:r>
            <w:r>
              <w:rPr>
                <w:rStyle w:val="976"/>
                <w:rFonts w:hint="eastAsia" w:ascii="宋体" w:hAnsi="宋体" w:eastAsia="宋体" w:cs="宋体"/>
                <w:color w:val="auto"/>
                <w:sz w:val="24"/>
                <w:szCs w:val="24"/>
                <w:highlight w:val="none"/>
              </w:rPr>
              <w:t>DN</w:t>
            </w:r>
            <w:r>
              <w:rPr>
                <w:rStyle w:val="976"/>
                <w:rFonts w:hint="eastAsia" w:ascii="宋体" w:hAnsi="宋体" w:eastAsia="宋体" w:cs="宋体"/>
                <w:color w:val="auto"/>
                <w:sz w:val="24"/>
                <w:szCs w:val="24"/>
                <w:highlight w:val="none"/>
                <w:lang w:val="en-US" w:eastAsia="zh-CN"/>
              </w:rPr>
              <w:t>25</w:t>
            </w:r>
            <w:r>
              <w:rPr>
                <w:rStyle w:val="976"/>
                <w:rFonts w:hint="eastAsia" w:ascii="宋体" w:hAnsi="宋体" w:eastAsia="宋体" w:cs="宋体"/>
                <w:color w:val="auto"/>
                <w:sz w:val="24"/>
                <w:szCs w:val="24"/>
                <w:highlight w:val="none"/>
              </w:rPr>
              <w:t>、</w:t>
            </w:r>
            <w:r>
              <w:rPr>
                <w:rStyle w:val="976"/>
                <w:rFonts w:hint="eastAsia" w:ascii="宋体" w:hAnsi="宋体" w:eastAsia="宋体" w:cs="宋体"/>
                <w:color w:val="auto"/>
                <w:sz w:val="24"/>
                <w:szCs w:val="24"/>
                <w:highlight w:val="none"/>
                <w:lang w:eastAsia="zh-CN"/>
              </w:rPr>
              <w:t>加密铜闸阀</w:t>
            </w:r>
            <w:r>
              <w:rPr>
                <w:rStyle w:val="976"/>
                <w:rFonts w:hint="eastAsia" w:ascii="宋体" w:hAnsi="宋体" w:eastAsia="宋体" w:cs="宋体"/>
                <w:color w:val="auto"/>
                <w:sz w:val="24"/>
                <w:szCs w:val="24"/>
                <w:highlight w:val="none"/>
              </w:rPr>
              <w:t>DN2</w:t>
            </w:r>
            <w:r>
              <w:rPr>
                <w:rStyle w:val="976"/>
                <w:rFonts w:hint="eastAsia" w:ascii="宋体" w:hAnsi="宋体" w:eastAsia="宋体" w:cs="宋体"/>
                <w:color w:val="auto"/>
                <w:sz w:val="24"/>
                <w:szCs w:val="24"/>
                <w:highlight w:val="none"/>
                <w:lang w:val="en-US" w:eastAsia="zh-CN"/>
              </w:rPr>
              <w:t>5、黄铜减压阀</w:t>
            </w:r>
            <w:r>
              <w:rPr>
                <w:rStyle w:val="976"/>
                <w:rFonts w:hint="eastAsia" w:ascii="宋体" w:hAnsi="宋体" w:eastAsia="宋体" w:cs="宋体"/>
                <w:color w:val="auto"/>
                <w:sz w:val="24"/>
                <w:szCs w:val="24"/>
                <w:highlight w:val="none"/>
              </w:rPr>
              <w:t>DN2</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rPr>
              <w:t>各一套。</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（三）报价分（</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rPr>
        <w:tab/>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（1）评分范围：通过资格审查、初步评审、技术标评审的所有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进入评分范围。</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（2）评标基准价：当有效</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少于等于5家时，以所有有效</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投标总价的评标价的算术平均值作为评标基准价；</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当有效</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多于5家时，对所有有效</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的评标价各去除报价最高N家投标单位和最低的N家投标单位（N=通过符合性审查的投标单位家数*10%，四舍五入）后进行一次算术平均；然后对一次算术平均值与所有有效</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中的最低价（不含已去除的N家单位）的算术平均值作为评标基准价。</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投标总价的评标价与评标基准价对比，计算出各投标评标价的评分值：</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等于评标基准价的得满分</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分。</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评标基准价以下的，评标价每低于评标基准价1个百分点扣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 xml:space="preserve">分。 </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评标基准价以上的，评标价每高于评标基准价1个百分点扣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分。 </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使用直线插入法计算报价得分，报价得分四舍五入保留小数2位，商务得分最低分为0分。本项目</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设最高限价，超出</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最高限价的报价，为</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 xml:space="preserve">不能接受的条件，作废标处理。 </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（四）经评审后的有效标少于三家时，如评标委员会认为其投标价格合理，技术可行，则可以继续评标，否则评标委员会可否决所有投标。</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（五）评标结果按照相关规定进行</w:t>
      </w:r>
      <w:r>
        <w:rPr>
          <w:rFonts w:hint="eastAsia" w:ascii="宋体" w:hAnsi="宋体" w:eastAsia="宋体" w:cs="宋体"/>
          <w:color w:val="auto"/>
          <w:sz w:val="24"/>
          <w:highlight w:val="none"/>
          <w:lang w:eastAsia="zh-CN"/>
        </w:rPr>
        <w:t>成交候选人</w:t>
      </w:r>
      <w:r>
        <w:rPr>
          <w:rFonts w:hint="eastAsia" w:ascii="宋体" w:hAnsi="宋体" w:eastAsia="宋体" w:cs="宋体"/>
          <w:color w:val="auto"/>
          <w:sz w:val="24"/>
          <w:highlight w:val="none"/>
        </w:rPr>
        <w:t>公示，</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如发现权益受到侵害，可以按照相关的规定一次性向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或招标代理机构提出异议，逾期</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或招标代理机构有权不予受理。</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应当坚持确定排名第一的</w:t>
      </w:r>
      <w:r>
        <w:rPr>
          <w:rFonts w:hint="eastAsia" w:ascii="宋体" w:hAnsi="宋体" w:eastAsia="宋体" w:cs="宋体"/>
          <w:color w:val="auto"/>
          <w:sz w:val="24"/>
          <w:highlight w:val="none"/>
          <w:lang w:eastAsia="zh-CN"/>
        </w:rPr>
        <w:t>成交候选人</w:t>
      </w:r>
      <w:r>
        <w:rPr>
          <w:rFonts w:hint="eastAsia" w:ascii="宋体" w:hAnsi="宋体" w:eastAsia="宋体" w:cs="宋体"/>
          <w:color w:val="auto"/>
          <w:sz w:val="24"/>
          <w:highlight w:val="none"/>
        </w:rPr>
        <w:t>为中标人的原则。排名第一的</w:t>
      </w:r>
      <w:r>
        <w:rPr>
          <w:rFonts w:hint="eastAsia" w:ascii="宋体" w:hAnsi="宋体" w:eastAsia="宋体" w:cs="宋体"/>
          <w:color w:val="auto"/>
          <w:sz w:val="24"/>
          <w:highlight w:val="none"/>
          <w:lang w:eastAsia="zh-CN"/>
        </w:rPr>
        <w:t>成交候选人</w:t>
      </w:r>
      <w:r>
        <w:rPr>
          <w:rFonts w:hint="eastAsia" w:ascii="宋体" w:hAnsi="宋体" w:eastAsia="宋体" w:cs="宋体"/>
          <w:color w:val="auto"/>
          <w:sz w:val="24"/>
          <w:highlight w:val="none"/>
        </w:rPr>
        <w:t>放弃中标、因不可抗力提出不能履行合同，或者不能按</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要求提交履约担保的，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将重新招标。</w:t>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1"/>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41"/>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1"/>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spacing w:line="360" w:lineRule="auto"/>
        <w:rPr>
          <w:rFonts w:hint="eastAsia" w:ascii="宋体" w:hAnsi="宋体" w:eastAsia="宋体" w:cs="宋体"/>
          <w:b/>
          <w:bCs/>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color w:val="auto"/>
          <w:sz w:val="20"/>
          <w:szCs w:val="20"/>
          <w:highlight w:val="none"/>
          <w:u w:val="single"/>
        </w:rPr>
      </w:pPr>
      <w:r>
        <w:rPr>
          <w:rFonts w:hint="eastAsia" w:ascii="宋体" w:hAnsi="宋体" w:eastAsia="宋体" w:cs="宋体"/>
          <w:b/>
          <w:color w:val="auto"/>
          <w:sz w:val="36"/>
          <w:szCs w:val="36"/>
          <w:highlight w:val="none"/>
        </w:rPr>
        <w:t>第五部分 拟签订的合同文本</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签订日期及地点：</w:t>
      </w:r>
      <w:r>
        <w:rPr>
          <w:rFonts w:hint="eastAsia" w:ascii="宋体" w:hAnsi="宋体" w:eastAsia="宋体" w:cs="宋体"/>
          <w:color w:val="auto"/>
          <w:szCs w:val="21"/>
          <w:highlight w:val="none"/>
          <w:u w:val="single"/>
        </w:rPr>
        <w:t>2024年  月  日，于杭州市萧山区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合同双方：甲方：</w:t>
      </w:r>
      <w:r>
        <w:rPr>
          <w:rFonts w:hint="eastAsia" w:ascii="宋体" w:hAnsi="宋体" w:eastAsia="宋体" w:cs="宋体"/>
          <w:color w:val="auto"/>
          <w:szCs w:val="21"/>
          <w:highlight w:val="none"/>
          <w:u w:val="single"/>
        </w:rPr>
        <w:t xml:space="preserve">杭州萧山供水有限公司        </w:t>
      </w:r>
      <w:r>
        <w:rPr>
          <w:rFonts w:hint="eastAsia" w:ascii="宋体" w:hAnsi="宋体" w:eastAsia="宋体" w:cs="宋体"/>
          <w:color w:val="auto"/>
          <w:szCs w:val="21"/>
          <w:highlight w:val="none"/>
        </w:rPr>
        <w:t>（以下简称甲方）；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（以下简称乙方）；</w:t>
      </w:r>
    </w:p>
    <w:p>
      <w:pPr>
        <w:autoSpaceDE w:val="0"/>
        <w:autoSpaceDN w:val="0"/>
        <w:adjustRightInd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kern w:val="0"/>
          <w:szCs w:val="21"/>
          <w:highlight w:val="none"/>
        </w:rPr>
        <w:t>杭州萧山供水有限公司</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交易编号</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、乙方（中标人）的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 xml:space="preserve">等，依照《中华人民共和国民法典》及其他有关法律、行政法规，遵循平等、自愿、公平和诚实信用的原则，双方签订本合同。 </w:t>
      </w:r>
    </w:p>
    <w:p>
      <w:pPr>
        <w:widowControl w:val="0"/>
        <w:numPr>
          <w:ilvl w:val="0"/>
          <w:numId w:val="4"/>
        </w:numPr>
        <w:spacing w:line="50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合同文件</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、招标答疑、</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、技术澄清、询标答复和</w:t>
      </w:r>
      <w:r>
        <w:rPr>
          <w:rFonts w:hint="eastAsia" w:ascii="宋体" w:hAnsi="宋体" w:eastAsia="宋体" w:cs="宋体"/>
          <w:color w:val="auto"/>
          <w:szCs w:val="21"/>
          <w:highlight w:val="none"/>
          <w:lang w:eastAsia="zh-CN"/>
        </w:rPr>
        <w:t>成交通知书</w:t>
      </w:r>
      <w:r>
        <w:rPr>
          <w:rFonts w:hint="eastAsia" w:ascii="宋体" w:hAnsi="宋体" w:eastAsia="宋体" w:cs="宋体"/>
          <w:color w:val="auto"/>
          <w:szCs w:val="21"/>
          <w:highlight w:val="none"/>
        </w:rPr>
        <w:t>的所有内容是构成合同不可分割的部份，与本合同具有同等法律效力，当文件有矛盾之处，以时间后者为准。</w:t>
      </w:r>
    </w:p>
    <w:p>
      <w:pPr>
        <w:snapToGrid w:val="0"/>
        <w:spacing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二、型号规格等技术要求：</w:t>
      </w:r>
    </w:p>
    <w:p>
      <w:pPr>
        <w:snapToGrid w:val="0"/>
        <w:spacing w:line="5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eastAsia="zh-CN"/>
        </w:rPr>
        <w:t>公开竞争文件</w:t>
      </w:r>
      <w:r>
        <w:rPr>
          <w:rFonts w:hint="eastAsia" w:ascii="宋体" w:hAnsi="宋体" w:eastAsia="宋体" w:cs="宋体"/>
          <w:color w:val="auto"/>
          <w:kern w:val="0"/>
          <w:szCs w:val="21"/>
          <w:highlight w:val="none"/>
        </w:rPr>
        <w:t>的技术要求。</w:t>
      </w:r>
    </w:p>
    <w:p>
      <w:pPr>
        <w:snapToGrid w:val="0"/>
        <w:spacing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三、货物名称、数量、合同金额和合同供货期：</w:t>
      </w:r>
    </w:p>
    <w:p>
      <w:pPr>
        <w:snapToGrid w:val="0"/>
        <w:spacing w:line="5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1、甲方向乙方订购闸阀，具体型号、规格、数量详见经双方认可的清单。（如甲方对于货物的具体型号、规格和数量进行调整，价格变更参考原相同或类似的投标型号的价格）。</w:t>
      </w:r>
    </w:p>
    <w:tbl>
      <w:tblPr>
        <w:tblStyle w:val="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18"/>
        <w:gridCol w:w="1104"/>
        <w:gridCol w:w="948"/>
        <w:gridCol w:w="173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0"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32"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594"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510"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35"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权重数量</w:t>
            </w:r>
          </w:p>
        </w:tc>
        <w:tc>
          <w:tcPr>
            <w:tcW w:w="1276" w:type="pct"/>
            <w:noWrap w:val="0"/>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0" w:type="pct"/>
            <w:noWrap w:val="0"/>
            <w:vAlign w:val="center"/>
          </w:tcPr>
          <w:p>
            <w:pPr>
              <w:autoSpaceDE w:val="0"/>
              <w:autoSpaceDN w:val="0"/>
              <w:jc w:val="center"/>
              <w:rPr>
                <w:rFonts w:hint="eastAsia" w:ascii="宋体" w:hAnsi="宋体" w:eastAsia="宋体" w:cs="宋体"/>
                <w:color w:val="auto"/>
                <w:sz w:val="24"/>
                <w:highlight w:val="none"/>
              </w:rPr>
            </w:pPr>
          </w:p>
        </w:tc>
        <w:tc>
          <w:tcPr>
            <w:tcW w:w="1032" w:type="pct"/>
            <w:noWrap w:val="0"/>
            <w:vAlign w:val="center"/>
          </w:tcPr>
          <w:p>
            <w:pPr>
              <w:autoSpaceDE w:val="0"/>
              <w:autoSpaceDN w:val="0"/>
              <w:jc w:val="center"/>
              <w:rPr>
                <w:rFonts w:hint="eastAsia" w:ascii="宋体" w:hAnsi="宋体" w:eastAsia="宋体" w:cs="宋体"/>
                <w:color w:val="auto"/>
                <w:sz w:val="24"/>
                <w:highlight w:val="none"/>
              </w:rPr>
            </w:pPr>
          </w:p>
        </w:tc>
        <w:tc>
          <w:tcPr>
            <w:tcW w:w="594" w:type="pct"/>
            <w:noWrap w:val="0"/>
            <w:vAlign w:val="center"/>
          </w:tcPr>
          <w:p>
            <w:pPr>
              <w:autoSpaceDE w:val="0"/>
              <w:autoSpaceDN w:val="0"/>
              <w:jc w:val="center"/>
              <w:rPr>
                <w:rFonts w:hint="eastAsia" w:ascii="宋体" w:hAnsi="宋体" w:eastAsia="宋体" w:cs="宋体"/>
                <w:color w:val="auto"/>
                <w:sz w:val="24"/>
                <w:highlight w:val="none"/>
              </w:rPr>
            </w:pPr>
          </w:p>
        </w:tc>
        <w:tc>
          <w:tcPr>
            <w:tcW w:w="510" w:type="pct"/>
            <w:noWrap w:val="0"/>
            <w:vAlign w:val="center"/>
          </w:tcPr>
          <w:p>
            <w:pPr>
              <w:autoSpaceDE w:val="0"/>
              <w:autoSpaceDN w:val="0"/>
              <w:jc w:val="center"/>
              <w:rPr>
                <w:rFonts w:hint="eastAsia" w:ascii="宋体" w:hAnsi="宋体" w:eastAsia="宋体" w:cs="宋体"/>
                <w:color w:val="auto"/>
                <w:sz w:val="24"/>
                <w:highlight w:val="none"/>
              </w:rPr>
            </w:pPr>
          </w:p>
        </w:tc>
        <w:tc>
          <w:tcPr>
            <w:tcW w:w="935" w:type="pct"/>
            <w:noWrap w:val="0"/>
            <w:vAlign w:val="center"/>
          </w:tcPr>
          <w:p>
            <w:pPr>
              <w:autoSpaceDE w:val="0"/>
              <w:autoSpaceDN w:val="0"/>
              <w:jc w:val="center"/>
              <w:rPr>
                <w:rFonts w:hint="eastAsia" w:ascii="宋体" w:hAnsi="宋体" w:eastAsia="宋体" w:cs="宋体"/>
                <w:color w:val="auto"/>
                <w:sz w:val="24"/>
                <w:highlight w:val="none"/>
              </w:rPr>
            </w:pPr>
          </w:p>
        </w:tc>
        <w:tc>
          <w:tcPr>
            <w:tcW w:w="1276" w:type="pct"/>
            <w:noWrap w:val="0"/>
            <w:vAlign w:val="center"/>
          </w:tcPr>
          <w:p>
            <w:pPr>
              <w:autoSpaceDE w:val="0"/>
              <w:autoSpaceDN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0" w:type="pct"/>
            <w:noWrap w:val="0"/>
            <w:vAlign w:val="center"/>
          </w:tcPr>
          <w:p>
            <w:pPr>
              <w:autoSpaceDE w:val="0"/>
              <w:autoSpaceDN w:val="0"/>
              <w:jc w:val="center"/>
              <w:rPr>
                <w:rFonts w:hint="eastAsia" w:ascii="宋体" w:hAnsi="宋体" w:eastAsia="宋体" w:cs="宋体"/>
                <w:color w:val="auto"/>
                <w:sz w:val="24"/>
                <w:highlight w:val="none"/>
              </w:rPr>
            </w:pPr>
          </w:p>
        </w:tc>
        <w:tc>
          <w:tcPr>
            <w:tcW w:w="1032" w:type="pct"/>
            <w:noWrap w:val="0"/>
            <w:vAlign w:val="center"/>
          </w:tcPr>
          <w:p>
            <w:pPr>
              <w:autoSpaceDE w:val="0"/>
              <w:autoSpaceDN w:val="0"/>
              <w:jc w:val="center"/>
              <w:rPr>
                <w:rFonts w:hint="eastAsia" w:ascii="宋体" w:hAnsi="宋体" w:eastAsia="宋体" w:cs="宋体"/>
                <w:color w:val="auto"/>
                <w:sz w:val="24"/>
                <w:highlight w:val="none"/>
              </w:rPr>
            </w:pPr>
          </w:p>
        </w:tc>
        <w:tc>
          <w:tcPr>
            <w:tcW w:w="594" w:type="pct"/>
            <w:noWrap w:val="0"/>
            <w:vAlign w:val="center"/>
          </w:tcPr>
          <w:p>
            <w:pPr>
              <w:autoSpaceDE w:val="0"/>
              <w:autoSpaceDN w:val="0"/>
              <w:jc w:val="center"/>
              <w:rPr>
                <w:rFonts w:hint="eastAsia" w:ascii="宋体" w:hAnsi="宋体" w:eastAsia="宋体" w:cs="宋体"/>
                <w:color w:val="auto"/>
                <w:sz w:val="24"/>
                <w:highlight w:val="none"/>
              </w:rPr>
            </w:pPr>
          </w:p>
        </w:tc>
        <w:tc>
          <w:tcPr>
            <w:tcW w:w="510" w:type="pct"/>
            <w:noWrap w:val="0"/>
            <w:vAlign w:val="center"/>
          </w:tcPr>
          <w:p>
            <w:pPr>
              <w:autoSpaceDE w:val="0"/>
              <w:autoSpaceDN w:val="0"/>
              <w:jc w:val="center"/>
              <w:rPr>
                <w:rFonts w:hint="eastAsia" w:ascii="宋体" w:hAnsi="宋体" w:eastAsia="宋体" w:cs="宋体"/>
                <w:color w:val="auto"/>
                <w:sz w:val="24"/>
                <w:highlight w:val="none"/>
              </w:rPr>
            </w:pPr>
          </w:p>
        </w:tc>
        <w:tc>
          <w:tcPr>
            <w:tcW w:w="935" w:type="pct"/>
            <w:noWrap w:val="0"/>
            <w:vAlign w:val="center"/>
          </w:tcPr>
          <w:p>
            <w:pPr>
              <w:autoSpaceDE w:val="0"/>
              <w:autoSpaceDN w:val="0"/>
              <w:jc w:val="center"/>
              <w:rPr>
                <w:rFonts w:hint="eastAsia" w:ascii="宋体" w:hAnsi="宋体" w:eastAsia="宋体" w:cs="宋体"/>
                <w:color w:val="auto"/>
                <w:sz w:val="24"/>
                <w:highlight w:val="none"/>
              </w:rPr>
            </w:pPr>
          </w:p>
        </w:tc>
        <w:tc>
          <w:tcPr>
            <w:tcW w:w="1276" w:type="pct"/>
            <w:noWrap w:val="0"/>
            <w:vAlign w:val="center"/>
          </w:tcPr>
          <w:p>
            <w:pPr>
              <w:autoSpaceDE w:val="0"/>
              <w:autoSpaceDN w:val="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0" w:type="pct"/>
            <w:noWrap w:val="0"/>
            <w:vAlign w:val="center"/>
          </w:tcPr>
          <w:p>
            <w:pPr>
              <w:autoSpaceDE w:val="0"/>
              <w:autoSpaceDN w:val="0"/>
              <w:jc w:val="center"/>
              <w:rPr>
                <w:rFonts w:hint="eastAsia" w:ascii="宋体" w:hAnsi="宋体" w:eastAsia="宋体" w:cs="宋体"/>
                <w:color w:val="auto"/>
                <w:sz w:val="24"/>
                <w:highlight w:val="none"/>
              </w:rPr>
            </w:pPr>
          </w:p>
        </w:tc>
        <w:tc>
          <w:tcPr>
            <w:tcW w:w="1032" w:type="pct"/>
            <w:noWrap w:val="0"/>
            <w:vAlign w:val="center"/>
          </w:tcPr>
          <w:p>
            <w:pPr>
              <w:autoSpaceDE w:val="0"/>
              <w:autoSpaceDN w:val="0"/>
              <w:jc w:val="center"/>
              <w:rPr>
                <w:rFonts w:hint="eastAsia" w:ascii="宋体" w:hAnsi="宋体" w:eastAsia="宋体" w:cs="宋体"/>
                <w:color w:val="auto"/>
                <w:sz w:val="24"/>
                <w:highlight w:val="none"/>
              </w:rPr>
            </w:pPr>
          </w:p>
        </w:tc>
        <w:tc>
          <w:tcPr>
            <w:tcW w:w="594" w:type="pct"/>
            <w:noWrap w:val="0"/>
            <w:vAlign w:val="center"/>
          </w:tcPr>
          <w:p>
            <w:pPr>
              <w:autoSpaceDE w:val="0"/>
              <w:autoSpaceDN w:val="0"/>
              <w:jc w:val="center"/>
              <w:rPr>
                <w:rFonts w:hint="eastAsia" w:ascii="宋体" w:hAnsi="宋体" w:eastAsia="宋体" w:cs="宋体"/>
                <w:color w:val="auto"/>
                <w:sz w:val="24"/>
                <w:highlight w:val="none"/>
              </w:rPr>
            </w:pPr>
          </w:p>
        </w:tc>
        <w:tc>
          <w:tcPr>
            <w:tcW w:w="510" w:type="pct"/>
            <w:noWrap w:val="0"/>
            <w:vAlign w:val="center"/>
          </w:tcPr>
          <w:p>
            <w:pPr>
              <w:autoSpaceDE w:val="0"/>
              <w:autoSpaceDN w:val="0"/>
              <w:jc w:val="center"/>
              <w:rPr>
                <w:rFonts w:hint="eastAsia" w:ascii="宋体" w:hAnsi="宋体" w:eastAsia="宋体" w:cs="宋体"/>
                <w:color w:val="auto"/>
                <w:sz w:val="24"/>
                <w:highlight w:val="none"/>
              </w:rPr>
            </w:pPr>
          </w:p>
        </w:tc>
        <w:tc>
          <w:tcPr>
            <w:tcW w:w="935" w:type="pct"/>
            <w:noWrap w:val="0"/>
            <w:vAlign w:val="center"/>
          </w:tcPr>
          <w:p>
            <w:pPr>
              <w:autoSpaceDE w:val="0"/>
              <w:autoSpaceDN w:val="0"/>
              <w:jc w:val="center"/>
              <w:rPr>
                <w:rFonts w:hint="eastAsia" w:ascii="宋体" w:hAnsi="宋体" w:eastAsia="宋体" w:cs="宋体"/>
                <w:color w:val="auto"/>
                <w:sz w:val="24"/>
                <w:highlight w:val="none"/>
              </w:rPr>
            </w:pPr>
          </w:p>
        </w:tc>
        <w:tc>
          <w:tcPr>
            <w:tcW w:w="1276" w:type="pct"/>
            <w:noWrap w:val="0"/>
            <w:vAlign w:val="center"/>
          </w:tcPr>
          <w:p>
            <w:pPr>
              <w:autoSpaceDE w:val="0"/>
              <w:autoSpaceDN w:val="0"/>
              <w:jc w:val="center"/>
              <w:rPr>
                <w:rFonts w:hint="eastAsia" w:ascii="宋体" w:hAnsi="宋体" w:eastAsia="宋体" w:cs="宋体"/>
                <w:color w:val="auto"/>
                <w:sz w:val="24"/>
                <w:highlight w:val="none"/>
              </w:rPr>
            </w:pPr>
          </w:p>
        </w:tc>
      </w:tr>
    </w:tbl>
    <w:p>
      <w:pPr>
        <w:spacing w:line="360" w:lineRule="auto"/>
        <w:ind w:right="-88" w:rightChars="-42"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各单项报价为合同结算固定综合单价，并将用于后续结算。单价含生产、运输、质保等全环节过程中所需辅材、包装、运杂费、装卸费、税费、技术指导费、培训费、服务费、检验检测费、仓储保管费、安全费用、工具等一切费用。</w:t>
      </w:r>
    </w:p>
    <w:p>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2、供货周期：自2024年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月至2025年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月止，如一年后甲方暂未招标，则合同自动延续至甲方与新的中标人签订合同为止。</w:t>
      </w:r>
    </w:p>
    <w:p>
      <w:pPr>
        <w:snapToGrid w:val="0"/>
        <w:spacing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四、货物质量要求及乙方对质量负责条件和期限：</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提供的产品必须是符合公开竞争文件内容、技术条件中的规格型号和技术性能。产品的质量\技术标准如在公开竞争文件中无相应说明，则按中华人民共和国有关部门颁发的最新国家标准执行，无国家标准的，按普遍认可的国内行业标准或交易发起人认可的其它国家的权威标准。</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▲2、自管道安装试压验收合格之日起2年。</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产品质量保证期之内，乙方对由于产品设计、工艺、材料、配套件的缺陷而造成的任何产品质量问题或故障负责，甲方概不负责。产品质量保证期内非因甲方的人为原因而出现货物质量问题的，由乙方负责。乙方负责包修、包换或者包退，并承担修理、调换或退货的实际费用。乙方不能及时修理或不能及时调换，按违约处理。质量保证期外，如因甲方使用不当造成故障，乙方负责包修、包换或者包退，费用双方另行协商。</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采购的物品，均按国家三包修规定实行保修（除标项内已有说明外）。在保修期内，如出现质量问题，供货单位在接到电话后，在1小时内响应，3个工作小时内到达并排除故障，6个工作小时内不能修复的，则无偿更换有质量问题的原材料。</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五、交货时间、地点和方式及安全责任：</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交货时间：将根据甲方实际需要进行分批供货、交货，甲方将需供货货物的数量、型号、规格尺寸、送货地点电话或传真通知乙方，乙方负责在收到电话或传真通知后24小时内将所有货物送达甲方指定地点交货（包括卸货），如乙方未能在规定时间内完成供货[要求数量和质量的阀门]，影响甲方正常生产的，甲方有权暂扣未支付之货款，追究乙方相关责任，照成的损失由乙方一律承担。如造成严重影响的，甲方有权单方解除合同，并扣罚全部未支付之货款。</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2、交货地点：甲方物供科主仓，或项目现场指定地点。</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交货方式：本次招标货物采用送货方式，无论多少，采用何种运输方式，采取何种包装，完整安全按时送达甲方项目现场指定地点并负责卸货，即包括产品价格、增值税等税费、特殊工具、备品备件费、国内运杂费（包括到工地的卸车、就位费等）、保险费（是否保险由乙方自定）、材料设备检测试验费，配合总包的必要工作以及其它一切不可预见和实际所需的一切其他费用等。</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4、安全责任：乙方承担货物在送达指定地点前及运输过程（包括卸装期间）中货物的毁损、灭失等和发生人身伤亡事故等风险和安全责任，并承担一切经济损失和法律责任。</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5、乙方在交货后需向收货人索取收条，今后结算凭收货人的收条。</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六、货物现场开箱检验：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货物到达安装现场后，甲方将在15天内组织开箱检验。甲方应在开箱检验前7天书面通知乙方。乙方应自费派技术人员参加开箱检验。如果乙方没有派人参加开箱检验，甲方有权自行进行开箱检验，其开箱检验结果应视为乙方已经认可。</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2、在开箱检验过程中，如果发现由乙方责任引起的包装损坏或有其他质量、数量上的问题，双方代表应在检验报告上签字确认，以作为乙方处理或甲方向乙方索赔的依据。检验报告一式二份，双方各执一份。</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七、合同转让和分包：</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1、未经甲方书面同意，乙方不得将合同产品的制造工作转包给第三方。</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2、乙方在响应文件中说明自制的零部件不得委托其它厂生产。</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3、即使乙方在响应文件中对外购或外协的零部件作了说明且得到甲方认可，但乙方仍应对这些零部件的质量和技术性能负全部责任。</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八、每批次供货时提供的主要技术资料：</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提供相应货品的供货清单、产品合格证、第三方检验报告、原料进货凭证及相应检测报告，检测报告必须涵盖主要技术招标。</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▲九、付款方式：</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1、乙方应在合同签订之后7个工作日内向甲方提交人民币贰万元整的履约保证金。</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2、每批次货物送至甲方指定地点后，三个月内付款至双方签证后的材料全额款的95%；其余5%在货物安装完成，质保期满且无显性质量问题后一周内支付给乙方。</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3、履约保证金在最后一批物资到现场，质保期满且无质量问题予以退还（无息）。</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4、结算以一票制（增值税税率为13%）为结算方式，乙方提供给甲方的发票为增值税专用发票。 如国家对货物增值税税率调整的，按调整后的增值税税率执行。</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十、验收</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1、乙方应提供货物的设计技术规定、验收标准、安装技术规范，经甲方确认后，与有关国家、行业标准和规范及双方签定的技术协议和合同的规定一起作为货物验收标准。</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货物必须符合公开竞争文件中规定的标准并保证管段任意截面均在国家标准（部分高于国家标准的以公开竞争文件技术规格书为准）允许公差范围内。超出公差范围的，作不合格产品（等同于质量问题）处理，产品的性能（包括但不限于防腐、重量、卫生要求等）不符合公开竞争文件要求的或者影响产品使用的，产品作不合格产品（等同于质量问题）处理。</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3、货物到达甲方指定地点后，乙方要会同甲方共同参与货物初步验收。</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发现货物与合同不符，甲方有权要求委托第三方检测机构进行检测。检测不符合合同或公开竞争文件要求的，检测费用及后续退货、整改、理赔等一切费用由乙方承担。据此，甲方可以单方面解除与乙方签订的合同。甲方有权退货、并终止合同或乙方应免费更换（由甲方二选一决定），材料需在48小时内负责更换（更换时间承诺优于公开竞争文件要求的，请在偏离表中注明具体时间），造成工程延误的，应承担工程损失费等一切费用。</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5、乙方保证所提供的货物如发现有质量异议，必须在接到甲方通知后12小时内赶到现场免费提供检测设备或检测费用。</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6、因产品质量问题，造成甲方的工程损失和第三方人身伤亡事故的，乙方应承担由此发生的一切损失和费用，包括：检验费、医疗费、护理费、交通费及工程建设误工费等。</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7、货物经甲乙双方验收合格后，签定货物验收合格证书，以上相关检验、验收费用由乙方承担。</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8、验收标准见公开竞争文件第四章和乙方提供的货物验收标准、安全技术规范。</w:t>
      </w:r>
    </w:p>
    <w:p>
      <w:pPr>
        <w:pStyle w:val="91"/>
        <w:spacing w:line="360" w:lineRule="auto"/>
        <w:ind w:firstLine="422"/>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▲9、在供货过程中，甲方将对乙方提供的产品（每个规格）进行1-2次抽检（送第三方检测），检测费用（包含送检产品运输费、检测费、产品损耗费等检测相关的一切费用）均由乙方承担。</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十一、合同价款及调整</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本合同约定的货物单价（不含税）不因国家税率变化而变化，若在合同履行期间，如遇国家的增值税税率调整，则货物综合单价（价税合计）相应调整。</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十二、专利权</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当对提供的合同货物和工艺方面的一切技术费、商标费、专利费或执照费承担责任，保护甲方在中国使用合同货物不受任何损害，包括软件或其任何部件而遭受的所有第三方的专利、商标或工业产权和知识产权侵权的索赔（由乙方承受）。如果第三方就侵权提出收费或索赔，乙方应对第三方承担此事务并承担所有可能发生的法律和财务责任。一切由执照费、文字和技术或专利侵权引起的申诉，或者由使用货物和工艺结构特征，元件的排列所引起的法律裁决、诉讼和费用与甲方无关，本合同所规定的货物应付款，应当视作为包括了技术费、专利费、执照费和其它类似与相关方面费用。</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2、乙方提供的合同货物涉及专利权或其它知识产权的，应提供其作为该权利的合法拥有者或合法被许可实施人的相关证明，包括有关证书、权利号、使用年限、使用范围等。</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十三、违约责任和赔偿：</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所交付货物（含必须的备品备件）品种、型号、规格不符合合同规定标准的，甲方有权拒绝接收并限期乙方重新交付或解除合同；此外，甲方有权没收全部履约保证金，并就因此而导致的损害向乙方索赔。对工程质量造成影响和造成施工返工的，必须承担甲方的直接和间接损失及施工单位返工费。</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2、质量性能违约责任和赔偿，如果有乙方所供货物质量未满足技术规格书中明确的要求，则甲方有权对乙方作出如下索赔，且甲方可通过直接在货款或履约保证金中扣除的方式进行：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对乙方所供该批次货物进行例行检测、抽检、现场验收等过程中发现货物质量达不到技术规格书中明确的要求等质量问题的，乙方应按该批次货款总额的30%向甲方支付违约金，且甲方有权终止合同并没收全部履约保证金。</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3、逾期交货违约责任和赔偿：</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应按合同（除采购人有特殊要求说明和标项内说明外）在规定时间内供货。若有延期，每超过一天，扣中标价2‰的违约金给采购人。甲方可通过直接在货款或履约保证金中扣除的方式进行。乙方须在响应文件中提出甲方可以接受的应急供货措施，以保证出现逾期交货或者质量问题时甲方的工期要求。如果由于乙方的逾期交货影响了甲方工作进度的，甲方有权因乙方违约终止全部或部分合同，而乙方仍有义务支付上述迟交核定损失金额，并且甲方有权另行采购。</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（2）乙方不能交货，应向甲方偿付违约金。违约金按不能交货部分货款的30％计算。甲方中途退货，应向乙方偿付违约金。违约金的计算方法与乙方违约相同。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（3）经甲乙双方协商同意延期交货和经双方友好协商同意退货且无需违约金者不在此例。</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4、资料迟交违约责任和赔偿</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如果乙方未能按合同规定的技术资料交付进度按时寄交技术文件，则每迟交一周，支付违约金人民币1000元。不足一周，按一周计算。</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十四、终止合同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1、甲方在乙方存在如下违约情况时，有权考虑并提出终止全部或部分合同。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（1）乙方未能在合同规定期限或甲方同意延长的期限内交付全部或部分货物。</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（2）乙方未能履行合同规定的其他义务。</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（3）在发生上述情况后，乙方收到甲方的违约通知后30天内未能纠正其过失。</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一旦甲方根据本条第1、款终止部分或全部合同，甲方可以按其认为适当的条件和方式采购类似未交付部分货物。乙方应承担甲方购买类似货物的额外费用。但是，乙方应继续执行合同中未终止部分。如乙方存在1、款（2）条的违约情况，则由乙方承担赔偿因此而造成的一切损失的责任。</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3、在合同执行期内甲方随机抽取产品送市级以上（含）检测部门对产品质量进行抽检，抽检不合格时，甲方有权终止合同，并且甲方有权另行采购。</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4、在甲方提出终止部分合同的情况下，并不解除乙方按已交货部分货物应负的产品质量责任。</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5、当乙方破产或无清偿能力时，甲方可在任何时候以书面通知乙方终止合同，该终止合同以不损害或影响甲方已采取或将采取补救措施的任何权利为条件。</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十五、不可抗力</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签约双方任何一方由于不可抗力事件的影响而不能执行合同时，履行合同的期限应予以延长，其延长的期限应相当于事件所影响的时间。不可抗力事件系指甲乙双方在缔结合同时所不能预见的，并且它的发生及其后果是无法避免的和无法克服的事件，诸如战争、严重火灾、洪水、台风、地震等。</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受阻一方应在不可抗力事件发生后尽快用电报、传真或电传通知对方，并于事件发生后14日内将有关当局出具的证明文件用特快专递或挂号信寄给对方审阅确认。一旦不可抗力事件的影响持续120日以上，双方应通过友好协商在合理的时间内达成进一步履行合同的协议。</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3、因下列事件导致的费用由甲乙双方按照以下条款分别承担：</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（1）在生产地或在途中的货物损害及造成第三方人员和财产损害由乙方承担；交至工地开箱验收后待安装的货物损害及造成第三方人员和财产损害由甲方承担。</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（2）甲方或乙方人员或其委托代理人员的伤亡由甲方或乙方或委托方各自负责，并承担相应费用。</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十六、争议解决方式</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1、凡有关本合同或执行本合同中发生的争端，甲乙双方应通过友好协商妥善解决。如通过协商仍不能解决时，可向杭州市萧山区人民法院提起诉讼。违约及其赔偿按本合同以及合同法有关条款执行。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2、起诉费用除另有裁决外，由败诉方承担。</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3、在起诉期间，除正在进行起诉的部分外，本合同其他部分应继续执行。</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4、因货物的质量问题发生争议，由杭州市质量技术监督局或其指定的技术单位进行质量鉴定，该鉴定结论为终局鉴定，鉴定费用由责任方承担。</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十七、在执行本合同过程中，根据中国税法以及本合同所规定的交货方式，产品至杭州交货地税务机关向乙方征收的所有税金由乙方支付。</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十八、合同期满，甲方将另行招标和委托，期间合同自动延续至甲方与新的中标人签订合同为止。</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十九、本合同未尽事宜，双方可以补充协议的形式加以补充。补充协议与本合同具有相同的法律效力。</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二十、合同生效及其他</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1、本合同经双方单位签字盖章后生效。</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2、本合同正本一式陆份，甲方执叁份，乙方执叁份。</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3、本合同适用中国法律。</w:t>
      </w:r>
    </w:p>
    <w:p>
      <w:pPr>
        <w:pStyle w:val="9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4、组成合同的各项文件应相互解释，互为说明。除合同另有规定外，其优先顺序如下：</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（1）本合同                          （2）成交通知书</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（3）询标答复                        （4）补充文件</w:t>
      </w:r>
    </w:p>
    <w:p>
      <w:pPr>
        <w:pStyle w:val="91"/>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（5）公开竞争文件                    （6）响应文件</w:t>
      </w:r>
    </w:p>
    <w:p>
      <w:pPr>
        <w:pStyle w:val="91"/>
        <w:spacing w:line="360" w:lineRule="auto"/>
        <w:ind w:firstLine="0" w:firstLineChars="0"/>
        <w:jc w:val="left"/>
        <w:rPr>
          <w:rFonts w:hint="eastAsia" w:ascii="宋体" w:hAnsi="宋体" w:eastAsia="宋体" w:cs="宋体"/>
          <w:color w:val="auto"/>
          <w:szCs w:val="21"/>
          <w:highlight w:val="none"/>
        </w:rPr>
      </w:pPr>
    </w:p>
    <w:tbl>
      <w:tblPr>
        <w:tblStyle w:val="66"/>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3970"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单位名称（章）：杭州萧山供水有限公司</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法定代表人：曹建江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单位地址：杭州市萧山区潘水路428号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邮政编码：311200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开户银行：工商银行萧山支行</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账号：1202090109900300089</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税号：91330109662335555C</w:t>
            </w:r>
          </w:p>
        </w:tc>
        <w:tc>
          <w:tcPr>
            <w:tcW w:w="4819" w:type="dxa"/>
            <w:noWrap w:val="0"/>
            <w:vAlign w:val="top"/>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单位名称（章）：</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电话：0562-6820300</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传真：0562-6820005</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税号：</w:t>
            </w:r>
          </w:p>
        </w:tc>
      </w:tr>
    </w:tbl>
    <w:p>
      <w:pPr>
        <w:jc w:val="left"/>
        <w:rPr>
          <w:rFonts w:hint="eastAsia" w:ascii="宋体" w:hAnsi="宋体" w:eastAsia="宋体" w:cs="宋体"/>
          <w:color w:val="auto"/>
          <w:szCs w:val="21"/>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签订日期及地点：</w:t>
      </w:r>
      <w:r>
        <w:rPr>
          <w:rFonts w:hint="eastAsia" w:ascii="宋体" w:hAnsi="宋体" w:eastAsia="宋体" w:cs="宋体"/>
          <w:color w:val="auto"/>
          <w:szCs w:val="21"/>
          <w:highlight w:val="none"/>
          <w:u w:val="single"/>
        </w:rPr>
        <w:t>2024年  月  日，于杭州市萧山区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42"/>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售后服务承诺书</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产品重量表</w:t>
      </w:r>
      <w:r>
        <w:rPr>
          <w:rFonts w:hint="eastAsia" w:ascii="宋体" w:hAnsi="宋体" w:eastAsia="宋体" w:cs="宋体"/>
          <w:color w:val="auto"/>
          <w:highlight w:val="none"/>
        </w:rPr>
        <w:t>……………………………………………………………………………（页码）</w:t>
      </w:r>
    </w:p>
    <w:p>
      <w:pPr>
        <w:pStyle w:val="24"/>
        <w:rPr>
          <w:rFonts w:hint="eastAsia" w:ascii="宋体" w:hAnsi="宋体" w:eastAsia="宋体" w:cs="宋体"/>
          <w:color w:val="auto"/>
          <w:highlight w:val="none"/>
          <w:lang w:val="en-US" w:eastAsia="zh-CN"/>
        </w:rPr>
      </w:pPr>
    </w:p>
    <w:p>
      <w:pPr>
        <w:pStyle w:val="24"/>
        <w:rPr>
          <w:rFonts w:hint="eastAsia" w:ascii="宋体" w:hAnsi="宋体" w:eastAsia="宋体" w:cs="宋体"/>
          <w:color w:val="auto"/>
          <w:highlight w:val="none"/>
          <w:lang w:val="en-US" w:eastAsia="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both"/>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5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5"/>
        <w:rPr>
          <w:rFonts w:hint="eastAsia" w:ascii="宋体" w:hAnsi="宋体" w:eastAsia="宋体" w:cs="宋体"/>
          <w:b/>
          <w:color w:val="auto"/>
          <w:kern w:val="0"/>
          <w:sz w:val="32"/>
          <w:szCs w:val="32"/>
          <w:highlight w:val="none"/>
        </w:rPr>
      </w:pPr>
    </w:p>
    <w:p>
      <w:pPr>
        <w:pStyle w:val="5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售 后 服 务 承 诺</w:t>
      </w:r>
    </w:p>
    <w:p>
      <w:pPr>
        <w:spacing w:line="360" w:lineRule="auto"/>
        <w:ind w:left="630" w:leftChars="300" w:right="-88" w:rightChars="-42" w:firstLine="1400" w:firstLineChars="500"/>
        <w:rPr>
          <w:rFonts w:hint="eastAsia" w:ascii="宋体" w:hAnsi="宋体" w:eastAsia="宋体" w:cs="宋体"/>
          <w:color w:val="auto"/>
          <w:sz w:val="28"/>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1、保修年限、范围、保修条件：</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2、解决问题、排除故障的措施：</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3、售后服务方面的其他承诺：</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4、其他优惠条件：</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5、上述内容的处罚保证措施：</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授权代表 </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p>
    <w:p>
      <w:pPr>
        <w:spacing w:line="360" w:lineRule="auto"/>
        <w:ind w:right="-88" w:rightChars="-42"/>
        <w:rPr>
          <w:rFonts w:hint="eastAsia" w:ascii="宋体" w:hAnsi="宋体" w:eastAsia="宋体" w:cs="宋体"/>
          <w:bCs/>
          <w:color w:val="auto"/>
          <w:sz w:val="24"/>
          <w:highlight w:val="none"/>
        </w:rPr>
      </w:pPr>
    </w:p>
    <w:p>
      <w:pPr>
        <w:jc w:val="right"/>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5"/>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产</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val="zh-CN"/>
        </w:rPr>
        <w:t>品</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val="zh-CN"/>
        </w:rPr>
        <w:t>重</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val="zh-CN"/>
        </w:rPr>
        <w:t>量</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val="zh-CN"/>
        </w:rPr>
        <w:t>表</w:t>
      </w:r>
    </w:p>
    <w:p>
      <w:pPr>
        <w:numPr>
          <w:ilvl w:val="0"/>
          <w:numId w:val="0"/>
        </w:numPr>
        <w:jc w:val="both"/>
        <w:rPr>
          <w:rFonts w:hint="eastAsia" w:ascii="宋体" w:hAnsi="宋体" w:eastAsia="宋体" w:cs="宋体"/>
          <w:b/>
          <w:color w:val="auto"/>
          <w:kern w:val="0"/>
          <w:sz w:val="32"/>
          <w:szCs w:val="32"/>
          <w:highlight w:val="none"/>
          <w:lang w:val="zh-CN"/>
        </w:rPr>
      </w:pP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112"/>
        <w:gridCol w:w="1615"/>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2112" w:type="dxa"/>
            <w:vAlign w:val="center"/>
          </w:tcPr>
          <w:p>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名称</w:t>
            </w:r>
          </w:p>
        </w:tc>
        <w:tc>
          <w:tcPr>
            <w:tcW w:w="1615" w:type="dxa"/>
            <w:vAlign w:val="center"/>
          </w:tcPr>
          <w:p>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规格</w:t>
            </w:r>
          </w:p>
        </w:tc>
        <w:tc>
          <w:tcPr>
            <w:tcW w:w="2008" w:type="dxa"/>
            <w:vAlign w:val="center"/>
          </w:tcPr>
          <w:p>
            <w:pPr>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重量（含手柄）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112"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1615"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008"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112"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1615"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008"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112"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1615"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008"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112"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1615"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c>
          <w:tcPr>
            <w:tcW w:w="2008" w:type="dxa"/>
            <w:vAlign w:val="center"/>
          </w:tcPr>
          <w:p>
            <w:pPr>
              <w:numPr>
                <w:ilvl w:val="0"/>
                <w:numId w:val="0"/>
              </w:numPr>
              <w:jc w:val="center"/>
              <w:rPr>
                <w:rFonts w:hint="eastAsia" w:ascii="宋体" w:hAnsi="宋体" w:eastAsia="宋体" w:cs="宋体"/>
                <w:b/>
                <w:color w:val="auto"/>
                <w:kern w:val="0"/>
                <w:sz w:val="32"/>
                <w:szCs w:val="32"/>
                <w:highlight w:val="none"/>
                <w:vertAlign w:val="baseline"/>
                <w:lang w:val="zh-CN"/>
              </w:rPr>
            </w:pPr>
          </w:p>
        </w:tc>
      </w:tr>
    </w:tbl>
    <w:p>
      <w:pPr>
        <w:numPr>
          <w:ilvl w:val="0"/>
          <w:numId w:val="0"/>
        </w:numPr>
        <w:jc w:val="both"/>
        <w:rPr>
          <w:rFonts w:hint="eastAsia" w:ascii="宋体" w:hAnsi="宋体" w:eastAsia="宋体" w:cs="宋体"/>
          <w:b/>
          <w:color w:val="auto"/>
          <w:kern w:val="0"/>
          <w:sz w:val="32"/>
          <w:szCs w:val="32"/>
          <w:highlight w:val="none"/>
          <w:lang w:val="zh-CN"/>
        </w:rPr>
      </w:pPr>
    </w:p>
    <w:p>
      <w:pPr>
        <w:numPr>
          <w:ilvl w:val="0"/>
          <w:numId w:val="0"/>
        </w:numPr>
        <w:spacing w:line="360" w:lineRule="auto"/>
        <w:jc w:val="both"/>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numPr>
          <w:ilvl w:val="0"/>
          <w:numId w:val="6"/>
        </w:numPr>
        <w:spacing w:line="360" w:lineRule="auto"/>
        <w:ind w:right="-88" w:rightChars="-42"/>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投标报价单</w:t>
      </w:r>
    </w:p>
    <w:p>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lang w:val="en-US" w:eastAsia="zh-CN"/>
        </w:rPr>
        <w:t>项目名称</w:t>
      </w:r>
      <w:r>
        <w:rPr>
          <w:rFonts w:hint="eastAsia" w:ascii="宋体" w:hAnsi="宋体" w:eastAsia="宋体" w:cs="宋体"/>
          <w:color w:val="auto"/>
          <w:highlight w:val="none"/>
        </w:rPr>
        <w:t>：</w:t>
      </w:r>
    </w:p>
    <w:p>
      <w:pPr>
        <w:adjustRightInd w:val="0"/>
        <w:snapToGrid w:val="0"/>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lang w:eastAsia="zh-CN"/>
        </w:rPr>
        <w:t>交易编号</w:t>
      </w:r>
      <w:r>
        <w:rPr>
          <w:rFonts w:hint="eastAsia" w:ascii="宋体" w:hAnsi="宋体" w:eastAsia="宋体" w:cs="宋体"/>
          <w:color w:val="auto"/>
          <w:highlight w:val="none"/>
        </w:rPr>
        <w:t>：</w:t>
      </w:r>
      <w:r>
        <w:rPr>
          <w:rFonts w:hint="eastAsia" w:ascii="宋体" w:hAnsi="宋体" w:eastAsia="宋体" w:cs="宋体"/>
          <w:bCs/>
          <w:color w:val="auto"/>
          <w:highlight w:val="none"/>
        </w:rPr>
        <w:t xml:space="preserve">                                                              </w:t>
      </w:r>
      <w:r>
        <w:rPr>
          <w:rFonts w:hint="eastAsia" w:ascii="宋体" w:hAnsi="宋体" w:eastAsia="宋体" w:cs="宋体"/>
          <w:color w:val="auto"/>
          <w:highlight w:val="none"/>
        </w:rPr>
        <w:t>单位：元人民币</w:t>
      </w:r>
    </w:p>
    <w:tbl>
      <w:tblPr>
        <w:tblStyle w:val="66"/>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84"/>
        <w:gridCol w:w="740"/>
        <w:gridCol w:w="638"/>
        <w:gridCol w:w="872"/>
        <w:gridCol w:w="899"/>
        <w:gridCol w:w="1309"/>
        <w:gridCol w:w="1562"/>
        <w:gridCol w:w="994"/>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6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383"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型号</w:t>
            </w:r>
          </w:p>
        </w:tc>
        <w:tc>
          <w:tcPr>
            <w:tcW w:w="330"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450"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65"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677"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货物不含税单价（元人民币/</w:t>
            </w:r>
            <w:r>
              <w:rPr>
                <w:rFonts w:hint="eastAsia" w:ascii="宋体" w:hAnsi="宋体" w:eastAsia="宋体" w:cs="宋体"/>
                <w:color w:val="auto"/>
                <w:sz w:val="21"/>
                <w:szCs w:val="21"/>
                <w:highlight w:val="none"/>
                <w:lang w:val="en-US" w:eastAsia="zh-CN"/>
              </w:rPr>
              <w:t>只</w:t>
            </w:r>
            <w:r>
              <w:rPr>
                <w:rFonts w:hint="eastAsia" w:ascii="宋体" w:hAnsi="宋体" w:eastAsia="宋体" w:cs="宋体"/>
                <w:color w:val="auto"/>
                <w:sz w:val="21"/>
                <w:szCs w:val="21"/>
                <w:highlight w:val="none"/>
              </w:rPr>
              <w:t>）</w:t>
            </w:r>
          </w:p>
        </w:tc>
        <w:tc>
          <w:tcPr>
            <w:tcW w:w="808"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货物综合单价</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（元人民币/</w:t>
            </w:r>
            <w:r>
              <w:rPr>
                <w:rFonts w:hint="eastAsia" w:ascii="宋体" w:hAnsi="宋体" w:eastAsia="宋体" w:cs="宋体"/>
                <w:color w:val="auto"/>
                <w:sz w:val="21"/>
                <w:szCs w:val="21"/>
                <w:highlight w:val="none"/>
                <w:lang w:val="en-US" w:eastAsia="zh-CN"/>
              </w:rPr>
              <w:t>只</w:t>
            </w:r>
            <w:r>
              <w:rPr>
                <w:rFonts w:hint="eastAsia" w:ascii="宋体" w:hAnsi="宋体" w:eastAsia="宋体" w:cs="宋体"/>
                <w:color w:val="auto"/>
                <w:sz w:val="21"/>
                <w:szCs w:val="21"/>
                <w:highlight w:val="none"/>
              </w:rPr>
              <w:t>）</w:t>
            </w:r>
          </w:p>
        </w:tc>
        <w:tc>
          <w:tcPr>
            <w:tcW w:w="514"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货物总价（元人民币）</w:t>
            </w: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Style w:val="379"/>
                <w:rFonts w:hint="eastAsia" w:ascii="宋体" w:hAnsi="宋体" w:eastAsia="宋体" w:cs="宋体"/>
                <w:b/>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Style w:val="379"/>
                <w:rFonts w:hint="eastAsia" w:ascii="宋体" w:hAnsi="宋体" w:eastAsia="宋体" w:cs="宋体"/>
                <w:b/>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Style w:val="379"/>
                <w:rFonts w:hint="eastAsia" w:ascii="宋体" w:hAnsi="宋体" w:eastAsia="宋体" w:cs="宋体"/>
                <w:b/>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丝扣抽杆式黄铜闸阀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可调式减压阀（无过滤器）</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自动排气阀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自动排气阀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自动排气阀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加密型截止止回阀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DN32</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DN40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加密型闸阀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表前控制阀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表前控制阀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DN20</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7"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表前控制阀</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DN25</w:t>
            </w:r>
          </w:p>
        </w:tc>
        <w:tc>
          <w:tcPr>
            <w:tcW w:w="33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450" w:type="pct"/>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65"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677"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808"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514"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c>
          <w:tcPr>
            <w:tcW w:w="429" w:type="pct"/>
            <w:noWrap w:val="0"/>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color w:val="auto"/>
                <w:kern w:val="2"/>
                <w:sz w:val="21"/>
                <w:szCs w:val="21"/>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5" w:type="pct"/>
            <w:gridSpan w:val="5"/>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投标总价（含税）=货物总价之和（元）</w:t>
            </w:r>
          </w:p>
        </w:tc>
        <w:tc>
          <w:tcPr>
            <w:tcW w:w="2894" w:type="pct"/>
            <w:gridSpan w:val="5"/>
            <w:noWrap w:val="0"/>
            <w:vAlign w:val="center"/>
          </w:tcPr>
          <w:p>
            <w:pPr>
              <w:keepNext w:val="0"/>
              <w:keepLines w:val="0"/>
              <w:pageBreakBefore w:val="0"/>
              <w:widowControl/>
              <w:kinsoku/>
              <w:wordWrap/>
              <w:overflowPunct/>
              <w:topLinePunct w:val="0"/>
              <w:autoSpaceDE/>
              <w:autoSpaceDN/>
              <w:bidi w:val="0"/>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大写：</w:t>
            </w:r>
          </w:p>
          <w:p>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color w:val="auto"/>
                <w:kern w:val="0"/>
                <w:sz w:val="21"/>
                <w:szCs w:val="21"/>
                <w:highlight w:val="none"/>
                <w:u w:val="none"/>
                <w:lang w:val="en-US" w:eastAsia="zh-CN" w:bidi="ar"/>
              </w:rPr>
              <w:t>小写：</w:t>
            </w:r>
          </w:p>
        </w:tc>
      </w:tr>
    </w:tbl>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、投标报价以人民币为结算货币；“投标总价”为</w:t>
      </w:r>
      <w:r>
        <w:rPr>
          <w:rFonts w:hint="eastAsia" w:ascii="宋体" w:hAnsi="宋体" w:eastAsia="宋体" w:cs="宋体"/>
          <w:color w:val="auto"/>
          <w:sz w:val="24"/>
          <w:highlight w:val="none"/>
          <w:lang w:val="en-US" w:eastAsia="zh-CN"/>
        </w:rPr>
        <w:t>评审价</w:t>
      </w:r>
      <w:r>
        <w:rPr>
          <w:rFonts w:hint="eastAsia" w:ascii="宋体" w:hAnsi="宋体" w:eastAsia="宋体" w:cs="宋体"/>
          <w:color w:val="auto"/>
          <w:sz w:val="24"/>
          <w:highlight w:val="none"/>
        </w:rPr>
        <w:t>，投标报价为货物报价和标准附件、内外防腐费用、备品备件、专用工具、运输、装卸、保险、安装调试、验收合格、售后服务、维护、所需的各种费用及必要的保险费用和各项税金等所有费用的总和。</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、此表在不改变格式内容时，可自行制作。</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、货物数量为估算值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最终使用时以订单为准。结算单价以本次投标报价为准。</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、供货时间按合同条款执行。</w:t>
      </w: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宋体" w:hAnsi="宋体" w:eastAsia="宋体" w:cs="宋体"/>
          <w:b/>
          <w:color w:val="auto"/>
          <w:spacing w:val="6"/>
          <w:sz w:val="32"/>
          <w:szCs w:val="32"/>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r>
        <w:rPr>
          <w:rFonts w:hint="eastAsia" w:ascii="宋体" w:hAnsi="宋体" w:eastAsia="宋体" w:cs="宋体"/>
          <w:b/>
          <w:color w:val="auto"/>
          <w:spacing w:val="6"/>
          <w:sz w:val="32"/>
          <w:szCs w:val="32"/>
          <w:highlight w:val="none"/>
        </w:rPr>
        <w:br w:type="page"/>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eastAsia="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pStyle w:val="3"/>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eastAsia="zh-CN"/>
        </w:rPr>
        <w:t>4：</w:t>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样品</w:t>
      </w:r>
      <w:r>
        <w:rPr>
          <w:rFonts w:hint="eastAsia" w:ascii="宋体" w:hAnsi="宋体" w:eastAsia="宋体" w:cs="宋体"/>
          <w:b/>
          <w:bCs/>
          <w:color w:val="auto"/>
          <w:sz w:val="32"/>
          <w:szCs w:val="32"/>
          <w:highlight w:val="none"/>
        </w:rPr>
        <w:t>授权委托书</w:t>
      </w:r>
    </w:p>
    <w:p>
      <w:pPr>
        <w:jc w:val="center"/>
        <w:rPr>
          <w:rFonts w:hint="eastAsia" w:ascii="宋体" w:hAnsi="宋体" w:eastAsia="宋体" w:cs="宋体"/>
          <w:color w:val="auto"/>
          <w:sz w:val="40"/>
          <w:highlight w:val="none"/>
        </w:rPr>
      </w:pP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XXX（单位名称或采购机构名称）</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兹委派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先生/女士，身份证号：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手机：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，代表我公司前来递交</w:t>
      </w:r>
      <w:r>
        <w:rPr>
          <w:rFonts w:hint="eastAsia" w:ascii="宋体" w:hAnsi="宋体" w:eastAsia="宋体" w:cs="宋体"/>
          <w:color w:val="auto"/>
          <w:sz w:val="24"/>
          <w:szCs w:val="24"/>
          <w:highlight w:val="none"/>
          <w:u w:val="single"/>
          <w:lang w:val="zh-CN"/>
        </w:rPr>
        <w:t xml:space="preserve">                        项目</w:t>
      </w:r>
      <w:r>
        <w:rPr>
          <w:rFonts w:hint="eastAsia" w:ascii="宋体" w:hAnsi="宋体" w:eastAsia="宋体" w:cs="宋体"/>
          <w:color w:val="auto"/>
          <w:sz w:val="24"/>
          <w:szCs w:val="24"/>
          <w:highlight w:val="none"/>
          <w:lang w:val="zh-CN"/>
        </w:rPr>
        <w:t>【编号：              】参加演示，并全权负责标后取回样品等其他处理事宜。</w:t>
      </w:r>
    </w:p>
    <w:p>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特此告知。</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名称(公章)：</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pPr>
        <w:snapToGrid w:val="0"/>
        <w:spacing w:line="360" w:lineRule="auto"/>
        <w:ind w:right="24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签发日期：  年  月   日</w:t>
      </w: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1920"/>
        <w:rPr>
          <w:rFonts w:hint="eastAsia" w:ascii="宋体" w:hAnsi="宋体" w:eastAsia="宋体" w:cs="宋体"/>
          <w:color w:val="auto"/>
          <w:sz w:val="24"/>
          <w:szCs w:val="24"/>
          <w:highlight w:val="none"/>
          <w:lang w:val="zh-CN"/>
        </w:rPr>
      </w:pPr>
    </w:p>
    <w:p>
      <w:pPr>
        <w:snapToGrid w:val="0"/>
        <w:spacing w:line="360" w:lineRule="auto"/>
        <w:ind w:right="240"/>
        <w:jc w:val="right"/>
        <w:rPr>
          <w:rFonts w:hint="eastAsia" w:ascii="宋体" w:hAnsi="宋体" w:eastAsia="宋体" w:cs="宋体"/>
          <w:color w:val="auto"/>
          <w:sz w:val="24"/>
          <w:szCs w:val="24"/>
          <w:highlight w:val="none"/>
          <w:lang w:val="zh-CN"/>
        </w:rPr>
      </w:pPr>
    </w:p>
    <w:p>
      <w:pPr>
        <w:snapToGrid w:val="0"/>
        <w:spacing w:line="360" w:lineRule="auto"/>
        <w:ind w:right="24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受委托人</w:t>
      </w:r>
      <w:r>
        <w:rPr>
          <w:rFonts w:hint="eastAsia" w:ascii="宋体" w:hAnsi="宋体" w:eastAsia="宋体" w:cs="宋体"/>
          <w:color w:val="auto"/>
          <w:sz w:val="24"/>
          <w:szCs w:val="24"/>
          <w:highlight w:val="none"/>
          <w:lang w:val="zh-CN"/>
        </w:rPr>
        <w:t>身份证复印件：</w:t>
      </w:r>
    </w:p>
    <w:p>
      <w:pPr>
        <w:snapToGrid w:val="0"/>
        <w:spacing w:line="360" w:lineRule="auto"/>
        <w:ind w:right="240"/>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
        <w:rPr>
          <w:rFonts w:hint="eastAsia" w:ascii="宋体" w:hAnsi="宋体" w:eastAsia="宋体" w:cs="宋体"/>
          <w:color w:val="auto"/>
          <w:highlight w:val="none"/>
          <w:lang w:val="zh-CN"/>
        </w:rPr>
      </w:pPr>
    </w:p>
    <w:p>
      <w:pPr>
        <w:pStyle w:val="87"/>
        <w:rPr>
          <w:rFonts w:hint="eastAsia" w:ascii="宋体" w:hAnsi="宋体" w:eastAsia="宋体" w:cs="宋体"/>
          <w:color w:val="auto"/>
          <w:highlight w:val="none"/>
        </w:rPr>
      </w:pPr>
      <w:r>
        <w:rPr>
          <w:rFonts w:hint="eastAsia" w:ascii="宋体" w:hAnsi="宋体" w:eastAsia="宋体" w:cs="宋体"/>
          <w:color w:val="auto"/>
          <w:highlight w:val="none"/>
          <w:lang w:val="zh-CN"/>
        </w:rPr>
        <w:t>说明：本委托书在演示时由受委托人携带至指定地点。</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both"/>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3D134"/>
    <w:multiLevelType w:val="singleLevel"/>
    <w:tmpl w:val="8483D134"/>
    <w:lvl w:ilvl="0" w:tentative="0">
      <w:start w:val="9"/>
      <w:numFmt w:val="chineseCounting"/>
      <w:suff w:val="nothing"/>
      <w:lvlText w:val="%1、"/>
      <w:lvlJc w:val="left"/>
      <w:rPr>
        <w:rFonts w:hint="eastAsia"/>
      </w:rPr>
    </w:lvl>
  </w:abstractNum>
  <w:abstractNum w:abstractNumId="1">
    <w:nsid w:val="C40B3DF0"/>
    <w:multiLevelType w:val="singleLevel"/>
    <w:tmpl w:val="C40B3DF0"/>
    <w:lvl w:ilvl="0" w:tentative="0">
      <w:start w:val="1"/>
      <w:numFmt w:val="chineseCounting"/>
      <w:suff w:val="nothing"/>
      <w:lvlText w:val="%1、"/>
      <w:lvlJc w:val="left"/>
      <w:rPr>
        <w:rFonts w:hint="eastAsia"/>
      </w:rPr>
    </w:lvl>
  </w:abstractNum>
  <w:abstractNum w:abstractNumId="2">
    <w:nsid w:val="C82EA964"/>
    <w:multiLevelType w:val="singleLevel"/>
    <w:tmpl w:val="C82EA964"/>
    <w:lvl w:ilvl="0" w:tentative="0">
      <w:start w:val="1"/>
      <w:numFmt w:val="chineseCounting"/>
      <w:suff w:val="nothing"/>
      <w:lvlText w:val="%1、"/>
      <w:lvlJc w:val="left"/>
      <w:rPr>
        <w:rFonts w:hint="eastAsia"/>
      </w:rPr>
    </w:lvl>
  </w:abstractNum>
  <w:abstractNum w:abstractNumId="3">
    <w:nsid w:val="434CA0FB"/>
    <w:multiLevelType w:val="singleLevel"/>
    <w:tmpl w:val="434CA0FB"/>
    <w:lvl w:ilvl="0" w:tentative="0">
      <w:start w:val="14"/>
      <w:numFmt w:val="decimal"/>
      <w:lvlText w:val="%1."/>
      <w:lvlJc w:val="left"/>
      <w:pPr>
        <w:tabs>
          <w:tab w:val="left" w:pos="312"/>
        </w:tabs>
      </w:pPr>
    </w:lvl>
  </w:abstractNum>
  <w:abstractNum w:abstractNumId="4">
    <w:nsid w:val="5559833E"/>
    <w:multiLevelType w:val="singleLevel"/>
    <w:tmpl w:val="5559833E"/>
    <w:lvl w:ilvl="0" w:tentative="0">
      <w:start w:val="1"/>
      <w:numFmt w:val="chineseCounting"/>
      <w:suff w:val="nothing"/>
      <w:lvlText w:val="%1、"/>
      <w:lvlJc w:val="left"/>
      <w:pPr>
        <w:ind w:left="0" w:firstLine="0"/>
      </w:pPr>
    </w:lvl>
  </w:abstractNum>
  <w:abstractNum w:abstractNumId="5">
    <w:nsid w:val="7F894725"/>
    <w:multiLevelType w:val="singleLevel"/>
    <w:tmpl w:val="7F894725"/>
    <w:lvl w:ilvl="0" w:tentative="0">
      <w:start w:val="1"/>
      <w:numFmt w:val="decimal"/>
      <w:suff w:val="nothing"/>
      <w:lvlText w:val="%1、"/>
      <w:lvlJc w:val="left"/>
    </w:lvl>
  </w:abstractNum>
  <w:num w:numId="1">
    <w:abstractNumId w:val="3"/>
  </w:num>
  <w:num w:numId="2">
    <w:abstractNumId w:val="4"/>
    <w:lvlOverride w:ilvl="0">
      <w:startOverride w:val="1"/>
    </w:lvlOverride>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g0YTAwYWNlYjBlNjIyYzM4NjRkYjlmMDIzYzNkN2E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56D00"/>
    <w:rsid w:val="020B640B"/>
    <w:rsid w:val="025F0711"/>
    <w:rsid w:val="02644317"/>
    <w:rsid w:val="026B2E25"/>
    <w:rsid w:val="02824D4D"/>
    <w:rsid w:val="02AE55E9"/>
    <w:rsid w:val="02B8660C"/>
    <w:rsid w:val="02BE3979"/>
    <w:rsid w:val="02DC4B10"/>
    <w:rsid w:val="02DD76CE"/>
    <w:rsid w:val="02E84AFC"/>
    <w:rsid w:val="02F36323"/>
    <w:rsid w:val="02F5619C"/>
    <w:rsid w:val="02F90BDA"/>
    <w:rsid w:val="030E12FE"/>
    <w:rsid w:val="03233C63"/>
    <w:rsid w:val="0326446A"/>
    <w:rsid w:val="032D5555"/>
    <w:rsid w:val="036634D2"/>
    <w:rsid w:val="038A68D9"/>
    <w:rsid w:val="03A94C2C"/>
    <w:rsid w:val="03DD35E4"/>
    <w:rsid w:val="04076900"/>
    <w:rsid w:val="041A5A3B"/>
    <w:rsid w:val="042311BA"/>
    <w:rsid w:val="042B157A"/>
    <w:rsid w:val="0436415C"/>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5D21F39"/>
    <w:rsid w:val="05FA78F6"/>
    <w:rsid w:val="060E5941"/>
    <w:rsid w:val="06110FAF"/>
    <w:rsid w:val="06493CA7"/>
    <w:rsid w:val="065A6178"/>
    <w:rsid w:val="066D3597"/>
    <w:rsid w:val="066F1CF3"/>
    <w:rsid w:val="06930BB8"/>
    <w:rsid w:val="06956198"/>
    <w:rsid w:val="07117EF5"/>
    <w:rsid w:val="07245D42"/>
    <w:rsid w:val="07264C62"/>
    <w:rsid w:val="072F6604"/>
    <w:rsid w:val="074460BC"/>
    <w:rsid w:val="0779354C"/>
    <w:rsid w:val="077F0C95"/>
    <w:rsid w:val="07C300BD"/>
    <w:rsid w:val="07CD206E"/>
    <w:rsid w:val="07FE18F3"/>
    <w:rsid w:val="08061376"/>
    <w:rsid w:val="08452D77"/>
    <w:rsid w:val="086401F8"/>
    <w:rsid w:val="08751CAA"/>
    <w:rsid w:val="0876556A"/>
    <w:rsid w:val="087E4C40"/>
    <w:rsid w:val="08A53637"/>
    <w:rsid w:val="08A871D0"/>
    <w:rsid w:val="08D15660"/>
    <w:rsid w:val="08D37B58"/>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C13146"/>
    <w:rsid w:val="09E04166"/>
    <w:rsid w:val="09E23468"/>
    <w:rsid w:val="09F81448"/>
    <w:rsid w:val="0A1C0718"/>
    <w:rsid w:val="0A2C10A7"/>
    <w:rsid w:val="0A3E7710"/>
    <w:rsid w:val="0A5B7E63"/>
    <w:rsid w:val="0A5E227D"/>
    <w:rsid w:val="0A5E78F5"/>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6188C"/>
    <w:rsid w:val="0BF73C91"/>
    <w:rsid w:val="0C170175"/>
    <w:rsid w:val="0C322F91"/>
    <w:rsid w:val="0C41327A"/>
    <w:rsid w:val="0C571A41"/>
    <w:rsid w:val="0C5C1171"/>
    <w:rsid w:val="0C5E1CBC"/>
    <w:rsid w:val="0C615B50"/>
    <w:rsid w:val="0C6E0EEC"/>
    <w:rsid w:val="0C8445DA"/>
    <w:rsid w:val="0C87121B"/>
    <w:rsid w:val="0CA625AE"/>
    <w:rsid w:val="0CAA6E21"/>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803EE"/>
    <w:rsid w:val="0EBB3568"/>
    <w:rsid w:val="0ED648CF"/>
    <w:rsid w:val="0EF94D4B"/>
    <w:rsid w:val="0F0B13B6"/>
    <w:rsid w:val="0F135152"/>
    <w:rsid w:val="0F182768"/>
    <w:rsid w:val="0F4958DC"/>
    <w:rsid w:val="0F515DF7"/>
    <w:rsid w:val="0F596BA8"/>
    <w:rsid w:val="0F6248D2"/>
    <w:rsid w:val="0F635421"/>
    <w:rsid w:val="0F693536"/>
    <w:rsid w:val="0F7B0511"/>
    <w:rsid w:val="0F7B76D9"/>
    <w:rsid w:val="0F816ACD"/>
    <w:rsid w:val="0F8401E9"/>
    <w:rsid w:val="0F9832DB"/>
    <w:rsid w:val="0FBF3FD2"/>
    <w:rsid w:val="0FBF7FF3"/>
    <w:rsid w:val="0FCF1C32"/>
    <w:rsid w:val="0FDA406B"/>
    <w:rsid w:val="0FFC3E38"/>
    <w:rsid w:val="10156805"/>
    <w:rsid w:val="103E78FE"/>
    <w:rsid w:val="10646583"/>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255233"/>
    <w:rsid w:val="124F46F3"/>
    <w:rsid w:val="12530213"/>
    <w:rsid w:val="127723A9"/>
    <w:rsid w:val="12862074"/>
    <w:rsid w:val="12883966"/>
    <w:rsid w:val="1294169A"/>
    <w:rsid w:val="129E45B4"/>
    <w:rsid w:val="12D21374"/>
    <w:rsid w:val="12D81596"/>
    <w:rsid w:val="12DE7825"/>
    <w:rsid w:val="13072A44"/>
    <w:rsid w:val="131A1B7F"/>
    <w:rsid w:val="13474EA5"/>
    <w:rsid w:val="135F4BE2"/>
    <w:rsid w:val="13913864"/>
    <w:rsid w:val="139B1A0A"/>
    <w:rsid w:val="139B5BDE"/>
    <w:rsid w:val="139D25C7"/>
    <w:rsid w:val="13BF3CE4"/>
    <w:rsid w:val="13E0119D"/>
    <w:rsid w:val="14013E22"/>
    <w:rsid w:val="140F0A5D"/>
    <w:rsid w:val="141008D8"/>
    <w:rsid w:val="14125FE6"/>
    <w:rsid w:val="141B23B3"/>
    <w:rsid w:val="142B70E5"/>
    <w:rsid w:val="14500381"/>
    <w:rsid w:val="146D271E"/>
    <w:rsid w:val="14982588"/>
    <w:rsid w:val="149A5AD9"/>
    <w:rsid w:val="14A7619D"/>
    <w:rsid w:val="14C30AC8"/>
    <w:rsid w:val="14E62788"/>
    <w:rsid w:val="14F25B02"/>
    <w:rsid w:val="150536C3"/>
    <w:rsid w:val="150C1963"/>
    <w:rsid w:val="151447A0"/>
    <w:rsid w:val="154A6454"/>
    <w:rsid w:val="156C736A"/>
    <w:rsid w:val="156F5FE4"/>
    <w:rsid w:val="15762120"/>
    <w:rsid w:val="15844A86"/>
    <w:rsid w:val="15891CCA"/>
    <w:rsid w:val="15F56AC3"/>
    <w:rsid w:val="1608540D"/>
    <w:rsid w:val="1619089B"/>
    <w:rsid w:val="16204A74"/>
    <w:rsid w:val="162B4B2F"/>
    <w:rsid w:val="166C515D"/>
    <w:rsid w:val="168C5B44"/>
    <w:rsid w:val="16A8729C"/>
    <w:rsid w:val="16B33777"/>
    <w:rsid w:val="16BC70A7"/>
    <w:rsid w:val="16C6339E"/>
    <w:rsid w:val="16C7001F"/>
    <w:rsid w:val="16C730F7"/>
    <w:rsid w:val="16D6012D"/>
    <w:rsid w:val="16E73635"/>
    <w:rsid w:val="16FE2244"/>
    <w:rsid w:val="172A5A81"/>
    <w:rsid w:val="172F2D79"/>
    <w:rsid w:val="174D4F79"/>
    <w:rsid w:val="17557BEF"/>
    <w:rsid w:val="176D1E2A"/>
    <w:rsid w:val="17852075"/>
    <w:rsid w:val="178B06F1"/>
    <w:rsid w:val="179901BE"/>
    <w:rsid w:val="17A05FFC"/>
    <w:rsid w:val="17D349C1"/>
    <w:rsid w:val="17D905BB"/>
    <w:rsid w:val="17E066D8"/>
    <w:rsid w:val="17FD24FB"/>
    <w:rsid w:val="1823570C"/>
    <w:rsid w:val="1830729E"/>
    <w:rsid w:val="18394486"/>
    <w:rsid w:val="185134E3"/>
    <w:rsid w:val="1870062C"/>
    <w:rsid w:val="187E2872"/>
    <w:rsid w:val="18817102"/>
    <w:rsid w:val="18830A15"/>
    <w:rsid w:val="18852B28"/>
    <w:rsid w:val="188B5321"/>
    <w:rsid w:val="18C776A6"/>
    <w:rsid w:val="18CA21AC"/>
    <w:rsid w:val="18D64F20"/>
    <w:rsid w:val="18EE574D"/>
    <w:rsid w:val="19341F4D"/>
    <w:rsid w:val="19570331"/>
    <w:rsid w:val="197524E7"/>
    <w:rsid w:val="19761DA4"/>
    <w:rsid w:val="198804EA"/>
    <w:rsid w:val="19932372"/>
    <w:rsid w:val="19A07A88"/>
    <w:rsid w:val="19A20DD5"/>
    <w:rsid w:val="19AE03F1"/>
    <w:rsid w:val="19C91A9D"/>
    <w:rsid w:val="19D16EBE"/>
    <w:rsid w:val="1A071A03"/>
    <w:rsid w:val="1A1A5A79"/>
    <w:rsid w:val="1A1A697E"/>
    <w:rsid w:val="1A1F16AE"/>
    <w:rsid w:val="1A3B5C77"/>
    <w:rsid w:val="1A4E1543"/>
    <w:rsid w:val="1A7171D0"/>
    <w:rsid w:val="1A78287A"/>
    <w:rsid w:val="1A7A249A"/>
    <w:rsid w:val="1A984BAD"/>
    <w:rsid w:val="1AB8220E"/>
    <w:rsid w:val="1ACE63D1"/>
    <w:rsid w:val="1AE4166C"/>
    <w:rsid w:val="1AF06CFB"/>
    <w:rsid w:val="1AF11B8D"/>
    <w:rsid w:val="1B11359C"/>
    <w:rsid w:val="1B2A271F"/>
    <w:rsid w:val="1B530544"/>
    <w:rsid w:val="1B650AE3"/>
    <w:rsid w:val="1B713184"/>
    <w:rsid w:val="1B825FBC"/>
    <w:rsid w:val="1B9C5934"/>
    <w:rsid w:val="1BA209CF"/>
    <w:rsid w:val="1BB4777D"/>
    <w:rsid w:val="1BD75AB8"/>
    <w:rsid w:val="1BE22A26"/>
    <w:rsid w:val="1BE24E6A"/>
    <w:rsid w:val="1C0459C2"/>
    <w:rsid w:val="1C1B3B4A"/>
    <w:rsid w:val="1C2C1601"/>
    <w:rsid w:val="1C537570"/>
    <w:rsid w:val="1C651CA8"/>
    <w:rsid w:val="1C88086E"/>
    <w:rsid w:val="1CA045EE"/>
    <w:rsid w:val="1CC23D13"/>
    <w:rsid w:val="1CC43225"/>
    <w:rsid w:val="1CC47A8B"/>
    <w:rsid w:val="1CC86312"/>
    <w:rsid w:val="1D116D81"/>
    <w:rsid w:val="1D266CE1"/>
    <w:rsid w:val="1D3963AF"/>
    <w:rsid w:val="1D6A673C"/>
    <w:rsid w:val="1D9247AE"/>
    <w:rsid w:val="1DB567EC"/>
    <w:rsid w:val="1DEC22C4"/>
    <w:rsid w:val="1DF51A98"/>
    <w:rsid w:val="1E0D7198"/>
    <w:rsid w:val="1E1D38F7"/>
    <w:rsid w:val="1E366767"/>
    <w:rsid w:val="1E3D060F"/>
    <w:rsid w:val="1E3F7D2E"/>
    <w:rsid w:val="1E4134E4"/>
    <w:rsid w:val="1E5062B3"/>
    <w:rsid w:val="1E523514"/>
    <w:rsid w:val="1E5E2744"/>
    <w:rsid w:val="1E714A66"/>
    <w:rsid w:val="1E730E11"/>
    <w:rsid w:val="1E802593"/>
    <w:rsid w:val="1E8B6156"/>
    <w:rsid w:val="1EA703CC"/>
    <w:rsid w:val="1EB7330C"/>
    <w:rsid w:val="1F0A0FF3"/>
    <w:rsid w:val="1F3C7DAD"/>
    <w:rsid w:val="1F3D3B25"/>
    <w:rsid w:val="1F5771FF"/>
    <w:rsid w:val="1F69491A"/>
    <w:rsid w:val="1FE868A9"/>
    <w:rsid w:val="20034907"/>
    <w:rsid w:val="2006231E"/>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673C3"/>
    <w:rsid w:val="22B83BEE"/>
    <w:rsid w:val="22BE6801"/>
    <w:rsid w:val="22C04C60"/>
    <w:rsid w:val="22E03145"/>
    <w:rsid w:val="22FF7A6F"/>
    <w:rsid w:val="23113F1A"/>
    <w:rsid w:val="233500BF"/>
    <w:rsid w:val="23377FF7"/>
    <w:rsid w:val="236B425F"/>
    <w:rsid w:val="23836192"/>
    <w:rsid w:val="23901F29"/>
    <w:rsid w:val="239C0061"/>
    <w:rsid w:val="23B908A4"/>
    <w:rsid w:val="23E406C4"/>
    <w:rsid w:val="23E74D0B"/>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7F67D1"/>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A23A65"/>
    <w:rsid w:val="29C46615"/>
    <w:rsid w:val="29F26D24"/>
    <w:rsid w:val="2A0D1FB9"/>
    <w:rsid w:val="2A15033F"/>
    <w:rsid w:val="2A1662C1"/>
    <w:rsid w:val="2A1C7367"/>
    <w:rsid w:val="2A2815FA"/>
    <w:rsid w:val="2A6D6092"/>
    <w:rsid w:val="2A7D76B4"/>
    <w:rsid w:val="2A830ABD"/>
    <w:rsid w:val="2AA12964"/>
    <w:rsid w:val="2AD8021A"/>
    <w:rsid w:val="2AEE1B3B"/>
    <w:rsid w:val="2AF47F2E"/>
    <w:rsid w:val="2B437463"/>
    <w:rsid w:val="2B7807EE"/>
    <w:rsid w:val="2B8B2CE8"/>
    <w:rsid w:val="2B8C47CE"/>
    <w:rsid w:val="2BA50BF7"/>
    <w:rsid w:val="2BBF00EC"/>
    <w:rsid w:val="2BC37CFD"/>
    <w:rsid w:val="2BC74EA2"/>
    <w:rsid w:val="2BD5237F"/>
    <w:rsid w:val="2BE536CE"/>
    <w:rsid w:val="2BE758D9"/>
    <w:rsid w:val="2BEA7DD3"/>
    <w:rsid w:val="2C09049E"/>
    <w:rsid w:val="2C0A653C"/>
    <w:rsid w:val="2C191F85"/>
    <w:rsid w:val="2C8C4873"/>
    <w:rsid w:val="2C994A93"/>
    <w:rsid w:val="2C9E4F19"/>
    <w:rsid w:val="2CE82D6F"/>
    <w:rsid w:val="2D2216DE"/>
    <w:rsid w:val="2D343236"/>
    <w:rsid w:val="2D574004"/>
    <w:rsid w:val="2D65207D"/>
    <w:rsid w:val="2D6D6409"/>
    <w:rsid w:val="2D956040"/>
    <w:rsid w:val="2DC53663"/>
    <w:rsid w:val="2DD15014"/>
    <w:rsid w:val="2DD62E25"/>
    <w:rsid w:val="2DF57D44"/>
    <w:rsid w:val="2DF72DE4"/>
    <w:rsid w:val="2E0220AF"/>
    <w:rsid w:val="2E1147F9"/>
    <w:rsid w:val="2E284D88"/>
    <w:rsid w:val="2E4B082A"/>
    <w:rsid w:val="2E5D4E86"/>
    <w:rsid w:val="2E5D790B"/>
    <w:rsid w:val="2E776A61"/>
    <w:rsid w:val="2E9A143D"/>
    <w:rsid w:val="2E9A3C18"/>
    <w:rsid w:val="2EB931C8"/>
    <w:rsid w:val="2EBB0FEE"/>
    <w:rsid w:val="2EC63002"/>
    <w:rsid w:val="2ECB46DA"/>
    <w:rsid w:val="2ED022C0"/>
    <w:rsid w:val="2EDC627A"/>
    <w:rsid w:val="2F064D1A"/>
    <w:rsid w:val="2F0A6B38"/>
    <w:rsid w:val="2F0E78D3"/>
    <w:rsid w:val="2F2909A6"/>
    <w:rsid w:val="2F544C9F"/>
    <w:rsid w:val="2F946CCB"/>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A055D"/>
    <w:rsid w:val="30EC586F"/>
    <w:rsid w:val="30F2448D"/>
    <w:rsid w:val="30F508D4"/>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C00B55"/>
    <w:rsid w:val="33C06DA7"/>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73EBF"/>
    <w:rsid w:val="34EC3BCC"/>
    <w:rsid w:val="34FA6E12"/>
    <w:rsid w:val="354D7158"/>
    <w:rsid w:val="358D5588"/>
    <w:rsid w:val="35CA7938"/>
    <w:rsid w:val="35E623C9"/>
    <w:rsid w:val="36136070"/>
    <w:rsid w:val="36365688"/>
    <w:rsid w:val="363A3B40"/>
    <w:rsid w:val="365302AE"/>
    <w:rsid w:val="36607A0A"/>
    <w:rsid w:val="366E227C"/>
    <w:rsid w:val="366F2E0D"/>
    <w:rsid w:val="367B6A5C"/>
    <w:rsid w:val="36A74ADA"/>
    <w:rsid w:val="36AD60D5"/>
    <w:rsid w:val="36B224F9"/>
    <w:rsid w:val="36EC0CC9"/>
    <w:rsid w:val="36F079A3"/>
    <w:rsid w:val="37390A8E"/>
    <w:rsid w:val="373F410B"/>
    <w:rsid w:val="3756404C"/>
    <w:rsid w:val="376A0174"/>
    <w:rsid w:val="3772655E"/>
    <w:rsid w:val="378C13F6"/>
    <w:rsid w:val="37BD1A5A"/>
    <w:rsid w:val="37E16E9C"/>
    <w:rsid w:val="37EE7094"/>
    <w:rsid w:val="38131FE2"/>
    <w:rsid w:val="38296C89"/>
    <w:rsid w:val="383002EB"/>
    <w:rsid w:val="38471845"/>
    <w:rsid w:val="38586797"/>
    <w:rsid w:val="388843DC"/>
    <w:rsid w:val="38BC0149"/>
    <w:rsid w:val="38D87D1C"/>
    <w:rsid w:val="38DE6D4B"/>
    <w:rsid w:val="391F535F"/>
    <w:rsid w:val="392E73EA"/>
    <w:rsid w:val="39543D68"/>
    <w:rsid w:val="39636459"/>
    <w:rsid w:val="396B7F6C"/>
    <w:rsid w:val="399C14F7"/>
    <w:rsid w:val="39B324CD"/>
    <w:rsid w:val="39B417A9"/>
    <w:rsid w:val="39CB2002"/>
    <w:rsid w:val="39D23390"/>
    <w:rsid w:val="39F5707E"/>
    <w:rsid w:val="39FC5695"/>
    <w:rsid w:val="3A006D8E"/>
    <w:rsid w:val="3A3651E5"/>
    <w:rsid w:val="3A4E2342"/>
    <w:rsid w:val="3A744481"/>
    <w:rsid w:val="3A8C7BEF"/>
    <w:rsid w:val="3A906246"/>
    <w:rsid w:val="3AA842F0"/>
    <w:rsid w:val="3B2349B7"/>
    <w:rsid w:val="3B3A4FD5"/>
    <w:rsid w:val="3B4677B8"/>
    <w:rsid w:val="3B616CFF"/>
    <w:rsid w:val="3B6259F6"/>
    <w:rsid w:val="3B64270E"/>
    <w:rsid w:val="3B894B0B"/>
    <w:rsid w:val="3B976654"/>
    <w:rsid w:val="3B9B68EE"/>
    <w:rsid w:val="3BC01EFC"/>
    <w:rsid w:val="3BC52CC1"/>
    <w:rsid w:val="3BCA786A"/>
    <w:rsid w:val="3BD06659"/>
    <w:rsid w:val="3BD31E2F"/>
    <w:rsid w:val="3BE9676F"/>
    <w:rsid w:val="3BF15831"/>
    <w:rsid w:val="3C105946"/>
    <w:rsid w:val="3C3262E6"/>
    <w:rsid w:val="3C3A44D8"/>
    <w:rsid w:val="3C471448"/>
    <w:rsid w:val="3C556941"/>
    <w:rsid w:val="3C5F759A"/>
    <w:rsid w:val="3C616601"/>
    <w:rsid w:val="3C6C525A"/>
    <w:rsid w:val="3C760652"/>
    <w:rsid w:val="3C850B8E"/>
    <w:rsid w:val="3CA60D3D"/>
    <w:rsid w:val="3CA8464B"/>
    <w:rsid w:val="3CCE23CB"/>
    <w:rsid w:val="3CD13E73"/>
    <w:rsid w:val="3CD17D17"/>
    <w:rsid w:val="3CED249E"/>
    <w:rsid w:val="3CEE6358"/>
    <w:rsid w:val="3D3B2FFA"/>
    <w:rsid w:val="3D3C7F39"/>
    <w:rsid w:val="3D440F09"/>
    <w:rsid w:val="3D4504A0"/>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2B68C8"/>
    <w:rsid w:val="3E377251"/>
    <w:rsid w:val="3E42664B"/>
    <w:rsid w:val="3E5A7334"/>
    <w:rsid w:val="3E7B5D6B"/>
    <w:rsid w:val="3E7E5894"/>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756B8F"/>
    <w:rsid w:val="3F8D4B70"/>
    <w:rsid w:val="3F95482B"/>
    <w:rsid w:val="3FAF4907"/>
    <w:rsid w:val="3FDD483D"/>
    <w:rsid w:val="3FE468EA"/>
    <w:rsid w:val="4019356B"/>
    <w:rsid w:val="401E1828"/>
    <w:rsid w:val="40583EC3"/>
    <w:rsid w:val="40592157"/>
    <w:rsid w:val="406E1CAE"/>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174B3D"/>
    <w:rsid w:val="433F0E43"/>
    <w:rsid w:val="434B790E"/>
    <w:rsid w:val="4360274F"/>
    <w:rsid w:val="43977AB6"/>
    <w:rsid w:val="439D2CEB"/>
    <w:rsid w:val="43A3342B"/>
    <w:rsid w:val="43C77C27"/>
    <w:rsid w:val="43DE09EE"/>
    <w:rsid w:val="44002FAD"/>
    <w:rsid w:val="4430589B"/>
    <w:rsid w:val="44356927"/>
    <w:rsid w:val="44615A3C"/>
    <w:rsid w:val="449101DD"/>
    <w:rsid w:val="449D00C3"/>
    <w:rsid w:val="44AB36BA"/>
    <w:rsid w:val="44B92B77"/>
    <w:rsid w:val="44D931B2"/>
    <w:rsid w:val="44DE1391"/>
    <w:rsid w:val="44E72961"/>
    <w:rsid w:val="45144786"/>
    <w:rsid w:val="451B225C"/>
    <w:rsid w:val="452410C9"/>
    <w:rsid w:val="452A2D4A"/>
    <w:rsid w:val="452B71EC"/>
    <w:rsid w:val="452E1696"/>
    <w:rsid w:val="45317DFB"/>
    <w:rsid w:val="4547527F"/>
    <w:rsid w:val="456D3CE4"/>
    <w:rsid w:val="4579042C"/>
    <w:rsid w:val="457E4BFD"/>
    <w:rsid w:val="457F0571"/>
    <w:rsid w:val="45851176"/>
    <w:rsid w:val="4585246D"/>
    <w:rsid w:val="45853C91"/>
    <w:rsid w:val="458A2D71"/>
    <w:rsid w:val="458E4BD4"/>
    <w:rsid w:val="45AD4CB1"/>
    <w:rsid w:val="45C63B94"/>
    <w:rsid w:val="45F134FD"/>
    <w:rsid w:val="460E7DA5"/>
    <w:rsid w:val="461B579A"/>
    <w:rsid w:val="4631671B"/>
    <w:rsid w:val="46422483"/>
    <w:rsid w:val="4659254A"/>
    <w:rsid w:val="465B0637"/>
    <w:rsid w:val="465E3F0D"/>
    <w:rsid w:val="466A16E6"/>
    <w:rsid w:val="46791209"/>
    <w:rsid w:val="46893F2B"/>
    <w:rsid w:val="46C4686E"/>
    <w:rsid w:val="46C7182E"/>
    <w:rsid w:val="472A3E43"/>
    <w:rsid w:val="47391126"/>
    <w:rsid w:val="473D0E4D"/>
    <w:rsid w:val="47514A22"/>
    <w:rsid w:val="476370DE"/>
    <w:rsid w:val="477B778F"/>
    <w:rsid w:val="478203EC"/>
    <w:rsid w:val="478464A5"/>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6E0CA4"/>
    <w:rsid w:val="4A83134F"/>
    <w:rsid w:val="4A873D23"/>
    <w:rsid w:val="4AB00BDC"/>
    <w:rsid w:val="4AB82D0F"/>
    <w:rsid w:val="4ADA2455"/>
    <w:rsid w:val="4AE77DCD"/>
    <w:rsid w:val="4AEB7664"/>
    <w:rsid w:val="4AFD7C19"/>
    <w:rsid w:val="4B0567D1"/>
    <w:rsid w:val="4B236AAE"/>
    <w:rsid w:val="4B2B6DA4"/>
    <w:rsid w:val="4B3774F7"/>
    <w:rsid w:val="4B555D27"/>
    <w:rsid w:val="4B707271"/>
    <w:rsid w:val="4B9739F7"/>
    <w:rsid w:val="4B974368"/>
    <w:rsid w:val="4B9A6B21"/>
    <w:rsid w:val="4B9C1FA2"/>
    <w:rsid w:val="4BE96C25"/>
    <w:rsid w:val="4BEE2503"/>
    <w:rsid w:val="4BF704DE"/>
    <w:rsid w:val="4C237EAA"/>
    <w:rsid w:val="4C245A30"/>
    <w:rsid w:val="4C5D53ED"/>
    <w:rsid w:val="4C676029"/>
    <w:rsid w:val="4CA720B4"/>
    <w:rsid w:val="4CAF7256"/>
    <w:rsid w:val="4CB6685F"/>
    <w:rsid w:val="4CC367FE"/>
    <w:rsid w:val="4D077F3C"/>
    <w:rsid w:val="4D123355"/>
    <w:rsid w:val="4D2A3B31"/>
    <w:rsid w:val="4D312C52"/>
    <w:rsid w:val="4D3D0468"/>
    <w:rsid w:val="4D4B0F25"/>
    <w:rsid w:val="4D905305"/>
    <w:rsid w:val="4D964A72"/>
    <w:rsid w:val="4D992B08"/>
    <w:rsid w:val="4D9C1254"/>
    <w:rsid w:val="4E526455"/>
    <w:rsid w:val="4E5A0B37"/>
    <w:rsid w:val="4E5F2074"/>
    <w:rsid w:val="4E793892"/>
    <w:rsid w:val="4E7C3473"/>
    <w:rsid w:val="4E800872"/>
    <w:rsid w:val="4E9532A8"/>
    <w:rsid w:val="4E9A20A5"/>
    <w:rsid w:val="4EBD1C34"/>
    <w:rsid w:val="4EC569ED"/>
    <w:rsid w:val="4ED50EA1"/>
    <w:rsid w:val="4EEC050C"/>
    <w:rsid w:val="4EF369BC"/>
    <w:rsid w:val="4EF833C6"/>
    <w:rsid w:val="4F0D5D7B"/>
    <w:rsid w:val="4F104EC3"/>
    <w:rsid w:val="4F274C8B"/>
    <w:rsid w:val="4F47354A"/>
    <w:rsid w:val="4F602D94"/>
    <w:rsid w:val="4F911C54"/>
    <w:rsid w:val="4FCD637F"/>
    <w:rsid w:val="4FE625E0"/>
    <w:rsid w:val="4FED5402"/>
    <w:rsid w:val="5021480F"/>
    <w:rsid w:val="505D15FC"/>
    <w:rsid w:val="50707CB0"/>
    <w:rsid w:val="50755E1B"/>
    <w:rsid w:val="50962ECB"/>
    <w:rsid w:val="50A42E38"/>
    <w:rsid w:val="50A4577F"/>
    <w:rsid w:val="50B73D1F"/>
    <w:rsid w:val="50BD5BC9"/>
    <w:rsid w:val="50C11EEE"/>
    <w:rsid w:val="50D73351"/>
    <w:rsid w:val="50E023DF"/>
    <w:rsid w:val="50E97CFC"/>
    <w:rsid w:val="50F1399D"/>
    <w:rsid w:val="50F32112"/>
    <w:rsid w:val="50F934A0"/>
    <w:rsid w:val="50FA4028"/>
    <w:rsid w:val="50FE434C"/>
    <w:rsid w:val="51000405"/>
    <w:rsid w:val="510D65B7"/>
    <w:rsid w:val="511157AB"/>
    <w:rsid w:val="5142540C"/>
    <w:rsid w:val="517808BE"/>
    <w:rsid w:val="518832C8"/>
    <w:rsid w:val="51976F41"/>
    <w:rsid w:val="51A0432A"/>
    <w:rsid w:val="51A86090"/>
    <w:rsid w:val="51B7396D"/>
    <w:rsid w:val="51C939B2"/>
    <w:rsid w:val="51F4743E"/>
    <w:rsid w:val="522E4CC3"/>
    <w:rsid w:val="5244713B"/>
    <w:rsid w:val="524A6D20"/>
    <w:rsid w:val="52615633"/>
    <w:rsid w:val="526A04DD"/>
    <w:rsid w:val="52977FD4"/>
    <w:rsid w:val="52A25790"/>
    <w:rsid w:val="52A96B6F"/>
    <w:rsid w:val="52B45975"/>
    <w:rsid w:val="52CB543D"/>
    <w:rsid w:val="52D94AA4"/>
    <w:rsid w:val="52EA3A62"/>
    <w:rsid w:val="52F50BB8"/>
    <w:rsid w:val="530879CB"/>
    <w:rsid w:val="53097272"/>
    <w:rsid w:val="53152E87"/>
    <w:rsid w:val="53544462"/>
    <w:rsid w:val="53676980"/>
    <w:rsid w:val="53960CB2"/>
    <w:rsid w:val="5397158E"/>
    <w:rsid w:val="53D42C20"/>
    <w:rsid w:val="54013861"/>
    <w:rsid w:val="544733AF"/>
    <w:rsid w:val="54487265"/>
    <w:rsid w:val="544B7B6F"/>
    <w:rsid w:val="544D6070"/>
    <w:rsid w:val="545B4ECF"/>
    <w:rsid w:val="54605E1E"/>
    <w:rsid w:val="54B3506A"/>
    <w:rsid w:val="54CA0D16"/>
    <w:rsid w:val="54DD4057"/>
    <w:rsid w:val="54E7490F"/>
    <w:rsid w:val="54FF4546"/>
    <w:rsid w:val="55061018"/>
    <w:rsid w:val="550764A4"/>
    <w:rsid w:val="550B2BF6"/>
    <w:rsid w:val="55214EB5"/>
    <w:rsid w:val="55364EFD"/>
    <w:rsid w:val="553D1BAE"/>
    <w:rsid w:val="555D4828"/>
    <w:rsid w:val="557A4C8B"/>
    <w:rsid w:val="558931E1"/>
    <w:rsid w:val="55923347"/>
    <w:rsid w:val="55925180"/>
    <w:rsid w:val="55983B1B"/>
    <w:rsid w:val="559E519B"/>
    <w:rsid w:val="55A560C2"/>
    <w:rsid w:val="55A8376B"/>
    <w:rsid w:val="55C248FD"/>
    <w:rsid w:val="55D87B28"/>
    <w:rsid w:val="55DC29B6"/>
    <w:rsid w:val="55DD4241"/>
    <w:rsid w:val="55F16964"/>
    <w:rsid w:val="55FA20BB"/>
    <w:rsid w:val="561C1BE8"/>
    <w:rsid w:val="566B6D1E"/>
    <w:rsid w:val="569E129D"/>
    <w:rsid w:val="56BD5854"/>
    <w:rsid w:val="56C76EC1"/>
    <w:rsid w:val="57032A2C"/>
    <w:rsid w:val="570F5219"/>
    <w:rsid w:val="575925A3"/>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675AB"/>
    <w:rsid w:val="57D95FDD"/>
    <w:rsid w:val="580244E9"/>
    <w:rsid w:val="581666E6"/>
    <w:rsid w:val="584E184D"/>
    <w:rsid w:val="587D0513"/>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A5DD6"/>
    <w:rsid w:val="5A0B2778"/>
    <w:rsid w:val="5A2A7C7B"/>
    <w:rsid w:val="5A2F1CE1"/>
    <w:rsid w:val="5A3E2560"/>
    <w:rsid w:val="5A5D3B6E"/>
    <w:rsid w:val="5A637A76"/>
    <w:rsid w:val="5A686384"/>
    <w:rsid w:val="5A6D33BA"/>
    <w:rsid w:val="5A792B1F"/>
    <w:rsid w:val="5A871B1D"/>
    <w:rsid w:val="5A874767"/>
    <w:rsid w:val="5AA85BE2"/>
    <w:rsid w:val="5AAC4A22"/>
    <w:rsid w:val="5AAD6F28"/>
    <w:rsid w:val="5AC451BA"/>
    <w:rsid w:val="5AD63A24"/>
    <w:rsid w:val="5AE51FB6"/>
    <w:rsid w:val="5AFC7E15"/>
    <w:rsid w:val="5B1038C0"/>
    <w:rsid w:val="5B2E1A1D"/>
    <w:rsid w:val="5B843A1C"/>
    <w:rsid w:val="5B873E3F"/>
    <w:rsid w:val="5BBE331C"/>
    <w:rsid w:val="5C02690E"/>
    <w:rsid w:val="5C0351D3"/>
    <w:rsid w:val="5C0C052C"/>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30F65"/>
    <w:rsid w:val="5D945FAA"/>
    <w:rsid w:val="5DAD38EE"/>
    <w:rsid w:val="5E006862"/>
    <w:rsid w:val="5E0207B9"/>
    <w:rsid w:val="5E093CEF"/>
    <w:rsid w:val="5E1834A1"/>
    <w:rsid w:val="5E261785"/>
    <w:rsid w:val="5E40270F"/>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3A3602"/>
    <w:rsid w:val="5F45733B"/>
    <w:rsid w:val="5F4C0C3F"/>
    <w:rsid w:val="5F5B211E"/>
    <w:rsid w:val="5F6277C6"/>
    <w:rsid w:val="5F6D0B1D"/>
    <w:rsid w:val="5F8108E9"/>
    <w:rsid w:val="5F8D0B82"/>
    <w:rsid w:val="5FBF639A"/>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572249"/>
    <w:rsid w:val="61654E3F"/>
    <w:rsid w:val="6182292A"/>
    <w:rsid w:val="618B5F69"/>
    <w:rsid w:val="61985864"/>
    <w:rsid w:val="619B694A"/>
    <w:rsid w:val="619F7F92"/>
    <w:rsid w:val="61BB155E"/>
    <w:rsid w:val="61BD2EFD"/>
    <w:rsid w:val="61F94C26"/>
    <w:rsid w:val="62000E56"/>
    <w:rsid w:val="621D58A8"/>
    <w:rsid w:val="62244584"/>
    <w:rsid w:val="624F3E49"/>
    <w:rsid w:val="625473B0"/>
    <w:rsid w:val="62586279"/>
    <w:rsid w:val="625B3673"/>
    <w:rsid w:val="62632286"/>
    <w:rsid w:val="62775066"/>
    <w:rsid w:val="62885958"/>
    <w:rsid w:val="628903DB"/>
    <w:rsid w:val="62C860CC"/>
    <w:rsid w:val="62E82AA8"/>
    <w:rsid w:val="62F40B65"/>
    <w:rsid w:val="62FA10DE"/>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287ECD"/>
    <w:rsid w:val="643E143A"/>
    <w:rsid w:val="644A0C02"/>
    <w:rsid w:val="648B6EEF"/>
    <w:rsid w:val="64C158BF"/>
    <w:rsid w:val="64CE2EAA"/>
    <w:rsid w:val="64EE2513"/>
    <w:rsid w:val="65092215"/>
    <w:rsid w:val="653C3090"/>
    <w:rsid w:val="65854376"/>
    <w:rsid w:val="658767BE"/>
    <w:rsid w:val="65882CD5"/>
    <w:rsid w:val="65892531"/>
    <w:rsid w:val="65E616BA"/>
    <w:rsid w:val="66100C18"/>
    <w:rsid w:val="66153939"/>
    <w:rsid w:val="66195831"/>
    <w:rsid w:val="6623094C"/>
    <w:rsid w:val="66247C25"/>
    <w:rsid w:val="662E75B1"/>
    <w:rsid w:val="66342C2E"/>
    <w:rsid w:val="663E784C"/>
    <w:rsid w:val="66551A38"/>
    <w:rsid w:val="666D1F69"/>
    <w:rsid w:val="667133EA"/>
    <w:rsid w:val="6688495F"/>
    <w:rsid w:val="668B6A45"/>
    <w:rsid w:val="66BC1C2C"/>
    <w:rsid w:val="66DE04FB"/>
    <w:rsid w:val="66F85C8F"/>
    <w:rsid w:val="67090CF6"/>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025356"/>
    <w:rsid w:val="68551F4F"/>
    <w:rsid w:val="68647B92"/>
    <w:rsid w:val="686D2352"/>
    <w:rsid w:val="687C10C9"/>
    <w:rsid w:val="68840C16"/>
    <w:rsid w:val="68876EFB"/>
    <w:rsid w:val="68884654"/>
    <w:rsid w:val="688A4CB2"/>
    <w:rsid w:val="688E6E24"/>
    <w:rsid w:val="689F444F"/>
    <w:rsid w:val="68A45648"/>
    <w:rsid w:val="68B96DBB"/>
    <w:rsid w:val="68BB1E56"/>
    <w:rsid w:val="68CA2805"/>
    <w:rsid w:val="68E85AE5"/>
    <w:rsid w:val="68E937A3"/>
    <w:rsid w:val="692D78DC"/>
    <w:rsid w:val="693E15D3"/>
    <w:rsid w:val="69480D57"/>
    <w:rsid w:val="69627681"/>
    <w:rsid w:val="6977531D"/>
    <w:rsid w:val="69B51747"/>
    <w:rsid w:val="69BD5BBB"/>
    <w:rsid w:val="69CA5396"/>
    <w:rsid w:val="69CC2BFF"/>
    <w:rsid w:val="69D327F2"/>
    <w:rsid w:val="69E9754E"/>
    <w:rsid w:val="69F60125"/>
    <w:rsid w:val="69FD55B8"/>
    <w:rsid w:val="6A0B1C62"/>
    <w:rsid w:val="6A0C584D"/>
    <w:rsid w:val="6A0D3F4C"/>
    <w:rsid w:val="6A2406C8"/>
    <w:rsid w:val="6A4B328A"/>
    <w:rsid w:val="6A4B36BE"/>
    <w:rsid w:val="6A8F2B46"/>
    <w:rsid w:val="6A9C2A7B"/>
    <w:rsid w:val="6AB20DE6"/>
    <w:rsid w:val="6ABA3454"/>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3461C"/>
    <w:rsid w:val="6C89702F"/>
    <w:rsid w:val="6C8C2DF7"/>
    <w:rsid w:val="6C8C67B7"/>
    <w:rsid w:val="6C9D744C"/>
    <w:rsid w:val="6CFD6256"/>
    <w:rsid w:val="6CFE67A8"/>
    <w:rsid w:val="6D167928"/>
    <w:rsid w:val="6D261515"/>
    <w:rsid w:val="6D26299B"/>
    <w:rsid w:val="6D4772EC"/>
    <w:rsid w:val="6D6D4FC1"/>
    <w:rsid w:val="6D8007DE"/>
    <w:rsid w:val="6D9078AF"/>
    <w:rsid w:val="6DAA3FEF"/>
    <w:rsid w:val="6DAF51BB"/>
    <w:rsid w:val="6DC0172B"/>
    <w:rsid w:val="6DCB690C"/>
    <w:rsid w:val="6DD104F6"/>
    <w:rsid w:val="6DD41A5B"/>
    <w:rsid w:val="6DD625D7"/>
    <w:rsid w:val="6DF43C2E"/>
    <w:rsid w:val="6DF51CA3"/>
    <w:rsid w:val="6E777A87"/>
    <w:rsid w:val="6E8335BD"/>
    <w:rsid w:val="6E8E12EF"/>
    <w:rsid w:val="6E9045AA"/>
    <w:rsid w:val="6E972936"/>
    <w:rsid w:val="6E992F04"/>
    <w:rsid w:val="6EB74327"/>
    <w:rsid w:val="6EC91D52"/>
    <w:rsid w:val="6ED35697"/>
    <w:rsid w:val="6ED446C5"/>
    <w:rsid w:val="6F184A18"/>
    <w:rsid w:val="6F2A7D94"/>
    <w:rsid w:val="6F802313"/>
    <w:rsid w:val="6F8331F1"/>
    <w:rsid w:val="6FAE1A09"/>
    <w:rsid w:val="6FD75BF8"/>
    <w:rsid w:val="6FEF3B3E"/>
    <w:rsid w:val="707723D0"/>
    <w:rsid w:val="7097164D"/>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3B701D"/>
    <w:rsid w:val="725923E4"/>
    <w:rsid w:val="72864BF7"/>
    <w:rsid w:val="729023FC"/>
    <w:rsid w:val="733470C6"/>
    <w:rsid w:val="73533CC2"/>
    <w:rsid w:val="73B73ECF"/>
    <w:rsid w:val="73C0646E"/>
    <w:rsid w:val="742222F5"/>
    <w:rsid w:val="742348D0"/>
    <w:rsid w:val="743B50B2"/>
    <w:rsid w:val="74476126"/>
    <w:rsid w:val="744A23BB"/>
    <w:rsid w:val="744F3806"/>
    <w:rsid w:val="74624977"/>
    <w:rsid w:val="74706664"/>
    <w:rsid w:val="7475702A"/>
    <w:rsid w:val="747F3682"/>
    <w:rsid w:val="748A603A"/>
    <w:rsid w:val="749C4185"/>
    <w:rsid w:val="74A60E8D"/>
    <w:rsid w:val="74A73931"/>
    <w:rsid w:val="74BE006A"/>
    <w:rsid w:val="74DD0860"/>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0390D"/>
    <w:rsid w:val="761969BC"/>
    <w:rsid w:val="761D08E0"/>
    <w:rsid w:val="76400B70"/>
    <w:rsid w:val="765D347C"/>
    <w:rsid w:val="76826699"/>
    <w:rsid w:val="768F7938"/>
    <w:rsid w:val="769431A0"/>
    <w:rsid w:val="76C87133"/>
    <w:rsid w:val="76CD08D5"/>
    <w:rsid w:val="76DB4B92"/>
    <w:rsid w:val="76FF4961"/>
    <w:rsid w:val="770519A8"/>
    <w:rsid w:val="77052AA4"/>
    <w:rsid w:val="77136511"/>
    <w:rsid w:val="77340A39"/>
    <w:rsid w:val="77351FD0"/>
    <w:rsid w:val="77472422"/>
    <w:rsid w:val="777F31F2"/>
    <w:rsid w:val="77BC4C63"/>
    <w:rsid w:val="77D1700D"/>
    <w:rsid w:val="77E4568D"/>
    <w:rsid w:val="77EC04CC"/>
    <w:rsid w:val="78006A23"/>
    <w:rsid w:val="7847671C"/>
    <w:rsid w:val="785A4732"/>
    <w:rsid w:val="78775729"/>
    <w:rsid w:val="78A1704F"/>
    <w:rsid w:val="78A3680A"/>
    <w:rsid w:val="78A42DB0"/>
    <w:rsid w:val="78A656AB"/>
    <w:rsid w:val="78B2245C"/>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E44F47"/>
    <w:rsid w:val="79F850CE"/>
    <w:rsid w:val="79FD443C"/>
    <w:rsid w:val="7A1D1975"/>
    <w:rsid w:val="7A3525A4"/>
    <w:rsid w:val="7A3902E6"/>
    <w:rsid w:val="7A3E5150"/>
    <w:rsid w:val="7A4670D6"/>
    <w:rsid w:val="7A534B63"/>
    <w:rsid w:val="7A615382"/>
    <w:rsid w:val="7A653600"/>
    <w:rsid w:val="7A67303B"/>
    <w:rsid w:val="7AAB1D04"/>
    <w:rsid w:val="7ABA4368"/>
    <w:rsid w:val="7ACD0A2E"/>
    <w:rsid w:val="7AD05746"/>
    <w:rsid w:val="7B226FCC"/>
    <w:rsid w:val="7B257FFD"/>
    <w:rsid w:val="7B343476"/>
    <w:rsid w:val="7B5A2978"/>
    <w:rsid w:val="7B5A7E4C"/>
    <w:rsid w:val="7B5D7ABB"/>
    <w:rsid w:val="7B667AF9"/>
    <w:rsid w:val="7B7468F8"/>
    <w:rsid w:val="7BE64CF7"/>
    <w:rsid w:val="7BEE0103"/>
    <w:rsid w:val="7BFD48E8"/>
    <w:rsid w:val="7BFE17E7"/>
    <w:rsid w:val="7C0A0FE4"/>
    <w:rsid w:val="7C254906"/>
    <w:rsid w:val="7C4022C0"/>
    <w:rsid w:val="7C5022FF"/>
    <w:rsid w:val="7C590818"/>
    <w:rsid w:val="7C6E0182"/>
    <w:rsid w:val="7C7C10F6"/>
    <w:rsid w:val="7C853BEA"/>
    <w:rsid w:val="7C881368"/>
    <w:rsid w:val="7CE27788"/>
    <w:rsid w:val="7D0357E5"/>
    <w:rsid w:val="7D0C32F1"/>
    <w:rsid w:val="7D0F408D"/>
    <w:rsid w:val="7D364FB1"/>
    <w:rsid w:val="7D491C6C"/>
    <w:rsid w:val="7D5429C0"/>
    <w:rsid w:val="7D6E6D43"/>
    <w:rsid w:val="7D6F7570"/>
    <w:rsid w:val="7D7069D2"/>
    <w:rsid w:val="7D7922F2"/>
    <w:rsid w:val="7D894AA5"/>
    <w:rsid w:val="7D9B4E14"/>
    <w:rsid w:val="7DAD6DD7"/>
    <w:rsid w:val="7DB57A34"/>
    <w:rsid w:val="7DCA74A7"/>
    <w:rsid w:val="7DDB10A1"/>
    <w:rsid w:val="7DE60973"/>
    <w:rsid w:val="7DEF0916"/>
    <w:rsid w:val="7E1E5218"/>
    <w:rsid w:val="7E7514D4"/>
    <w:rsid w:val="7E9A4E1F"/>
    <w:rsid w:val="7EA7723A"/>
    <w:rsid w:val="7EB659FE"/>
    <w:rsid w:val="7EBC6AFC"/>
    <w:rsid w:val="7EE54599"/>
    <w:rsid w:val="7EF56FBB"/>
    <w:rsid w:val="7EFC38CE"/>
    <w:rsid w:val="7F005CDE"/>
    <w:rsid w:val="7F067E4D"/>
    <w:rsid w:val="7F0768EB"/>
    <w:rsid w:val="7F143BEC"/>
    <w:rsid w:val="7F565496"/>
    <w:rsid w:val="7F6137FA"/>
    <w:rsid w:val="7F71422E"/>
    <w:rsid w:val="7F715AF2"/>
    <w:rsid w:val="7F793597"/>
    <w:rsid w:val="7F7D5010"/>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link w:val="127"/>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2"/>
    <w:qFormat/>
    <w:uiPriority w:val="0"/>
    <w:pPr>
      <w:shd w:val="clear" w:color="auto" w:fill="000080"/>
    </w:pPr>
  </w:style>
  <w:style w:type="paragraph" w:styleId="20">
    <w:name w:val="annotation text"/>
    <w:basedOn w:val="1"/>
    <w:link w:val="352"/>
    <w:qFormat/>
    <w:uiPriority w:val="99"/>
    <w:pPr>
      <w:jc w:val="left"/>
    </w:pPr>
  </w:style>
  <w:style w:type="paragraph" w:styleId="21">
    <w:name w:val="Salutation"/>
    <w:basedOn w:val="1"/>
    <w:next w:val="1"/>
    <w:link w:val="306"/>
    <w:qFormat/>
    <w:uiPriority w:val="0"/>
    <w:rPr>
      <w:rFonts w:ascii="仿宋_GB2312" w:eastAsia="仿宋_GB2312"/>
      <w:sz w:val="28"/>
      <w:szCs w:val="20"/>
    </w:rPr>
  </w:style>
  <w:style w:type="paragraph" w:styleId="22">
    <w:name w:val="Body Text 3"/>
    <w:basedOn w:val="1"/>
    <w:link w:val="33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9"/>
    <w:qFormat/>
    <w:uiPriority w:val="0"/>
    <w:pPr>
      <w:ind w:firstLine="420"/>
    </w:pPr>
    <w:rPr>
      <w:rFonts w:hAnsi="Calibri" w:cs="Times New Roman"/>
      <w:snapToGrid/>
      <w:szCs w:val="20"/>
    </w:rPr>
  </w:style>
  <w:style w:type="paragraph" w:styleId="26">
    <w:name w:val="Body Text Indent"/>
    <w:basedOn w:val="1"/>
    <w:next w:val="27"/>
    <w:link w:val="273"/>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1"/>
    <w:qFormat/>
    <w:uiPriority w:val="0"/>
    <w:pPr>
      <w:ind w:left="100" w:leftChars="2500"/>
    </w:pPr>
    <w:rPr>
      <w:rFonts w:ascii="宋体"/>
      <w:sz w:val="24"/>
      <w:szCs w:val="21"/>
      <w:lang w:val="zh-CN"/>
    </w:rPr>
  </w:style>
  <w:style w:type="paragraph" w:styleId="39">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8"/>
    <w:qFormat/>
    <w:uiPriority w:val="0"/>
    <w:rPr>
      <w:sz w:val="18"/>
      <w:szCs w:val="18"/>
    </w:rPr>
  </w:style>
  <w:style w:type="paragraph" w:styleId="42">
    <w:name w:val="footer"/>
    <w:basedOn w:val="1"/>
    <w:link w:val="391"/>
    <w:qFormat/>
    <w:uiPriority w:val="99"/>
    <w:pPr>
      <w:tabs>
        <w:tab w:val="center" w:pos="4153"/>
        <w:tab w:val="right" w:pos="8306"/>
      </w:tabs>
      <w:snapToGrid w:val="0"/>
      <w:jc w:val="left"/>
    </w:pPr>
    <w:rPr>
      <w:sz w:val="18"/>
      <w:szCs w:val="18"/>
    </w:rPr>
  </w:style>
  <w:style w:type="paragraph" w:styleId="43">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10"/>
    <w:qFormat/>
    <w:uiPriority w:val="0"/>
    <w:pPr>
      <w:spacing w:after="120" w:line="480" w:lineRule="auto"/>
    </w:pPr>
  </w:style>
  <w:style w:type="paragraph" w:styleId="59">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6"/>
    <w:qFormat/>
    <w:uiPriority w:val="0"/>
    <w:rPr>
      <w:b/>
      <w:bCs/>
    </w:rPr>
  </w:style>
  <w:style w:type="paragraph" w:styleId="63">
    <w:name w:val="Body Text First Indent 2"/>
    <w:basedOn w:val="26"/>
    <w:next w:val="64"/>
    <w:link w:val="131"/>
    <w:qFormat/>
    <w:uiPriority w:val="0"/>
    <w:pPr>
      <w:adjustRightInd/>
      <w:spacing w:after="120" w:line="240" w:lineRule="auto"/>
      <w:ind w:left="420" w:leftChars="200" w:firstLine="210"/>
    </w:pPr>
    <w:rPr>
      <w:sz w:val="21"/>
    </w:rPr>
  </w:style>
  <w:style w:type="paragraph" w:customStyle="1" w:styleId="64">
    <w:name w:val="文章正文"/>
    <w:basedOn w:val="1"/>
    <w:next w:val="65"/>
    <w:qFormat/>
    <w:uiPriority w:val="0"/>
    <w:pPr>
      <w:spacing w:line="360" w:lineRule="auto"/>
      <w:ind w:firstLine="200" w:firstLineChars="200"/>
    </w:pPr>
    <w:rPr>
      <w:sz w:val="24"/>
    </w:rPr>
  </w:style>
  <w:style w:type="paragraph" w:customStyle="1" w:styleId="65">
    <w:name w:val="公式样式 变量"/>
    <w:qFormat/>
    <w:uiPriority w:val="0"/>
    <w:rPr>
      <w:rFonts w:ascii="Times New Roman" w:hAnsi="Times New Roman" w:eastAsia="宋体" w:cs="Times New Roman"/>
      <w:i/>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4">
    <w:name w:val="正文文本首行缩进 21"/>
    <w:basedOn w:val="26"/>
    <w:qFormat/>
    <w:uiPriority w:val="99"/>
    <w:pPr>
      <w:spacing w:line="200" w:lineRule="atLeast"/>
      <w:ind w:firstLine="420"/>
    </w:pPr>
    <w:rPr>
      <w:rFonts w:hAnsi="Courier New"/>
      <w:spacing w:val="-4"/>
      <w:sz w:val="18"/>
    </w:rPr>
  </w:style>
  <w:style w:type="paragraph" w:customStyle="1" w:styleId="85">
    <w:name w:val="xl53"/>
    <w:basedOn w:val="1"/>
    <w:next w:val="1"/>
    <w:qFormat/>
    <w:uiPriority w:val="0"/>
    <w:pPr>
      <w:spacing w:before="280" w:after="280" w:line="100" w:lineRule="exact"/>
      <w:jc w:val="center"/>
    </w:pPr>
    <w:rPr>
      <w:b/>
      <w:sz w:val="20"/>
    </w:rPr>
  </w:style>
  <w:style w:type="paragraph" w:customStyle="1" w:styleId="86">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Default"/>
    <w:next w:val="88"/>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Normal]"/>
    <w:qFormat/>
    <w:uiPriority w:val="0"/>
    <w:rPr>
      <w:rFonts w:ascii="宋体" w:hAnsi="宋体" w:eastAsia="宋体" w:cs="Times New Roman"/>
      <w:sz w:val="24"/>
      <w:lang w:val="zh-CN" w:eastAsia="zh-CN" w:bidi="ar-SA"/>
    </w:rPr>
  </w:style>
  <w:style w:type="paragraph" w:styleId="91">
    <w:name w:val="List Paragraph"/>
    <w:basedOn w:val="1"/>
    <w:qFormat/>
    <w:uiPriority w:val="34"/>
    <w:pPr>
      <w:spacing w:line="360" w:lineRule="auto"/>
      <w:ind w:firstLine="200" w:firstLineChars="200"/>
    </w:pPr>
    <w:rPr>
      <w:rFonts w:eastAsia="楷体_GB2312" w:cs="Lucida Sans"/>
      <w:sz w:val="2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2"/>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Char"/>
    <w:basedOn w:val="73"/>
    <w:link w:val="4"/>
    <w:qFormat/>
    <w:uiPriority w:val="9"/>
    <w:rPr>
      <w:b/>
      <w:bCs/>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Char"/>
    <w:link w:val="63"/>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3"/>
    <w:qFormat/>
    <w:uiPriority w:val="0"/>
    <w:rPr>
      <w:rFonts w:ascii="Arial" w:hAnsi="Arial" w:eastAsia="黑体" w:cs="Arial"/>
      <w:snapToGrid w:val="0"/>
      <w:kern w:val="0"/>
      <w:szCs w:val="21"/>
    </w:rPr>
  </w:style>
  <w:style w:type="character" w:customStyle="1" w:styleId="13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Char"/>
    <w:link w:val="49"/>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Char"/>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3"/>
    <w:link w:val="180"/>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Char"/>
    <w:link w:val="38"/>
    <w:qFormat/>
    <w:uiPriority w:val="0"/>
    <w:rPr>
      <w:rFonts w:ascii="宋体"/>
      <w:kern w:val="2"/>
      <w:sz w:val="24"/>
      <w:szCs w:val="21"/>
      <w:lang w:val="zh-CN"/>
    </w:rPr>
  </w:style>
  <w:style w:type="character" w:customStyle="1" w:styleId="192">
    <w:name w:val="标题 9 Char"/>
    <w:link w:val="10"/>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Char"/>
    <w:link w:val="41"/>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Char2"/>
    <w:link w:val="16"/>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Char1"/>
    <w:link w:val="19"/>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3"/>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Char"/>
    <w:link w:val="32"/>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5"/>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Char"/>
    <w:link w:val="17"/>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87"/>
    <w:qFormat/>
    <w:uiPriority w:val="0"/>
    <w:rPr>
      <w:rFonts w:ascii="仿宋_GB2312"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91"/>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26"/>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1"/>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6"/>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1"/>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9"/>
    <w:qFormat/>
    <w:uiPriority w:val="0"/>
    <w:rPr>
      <w:rFonts w:ascii="黑体" w:hAnsi="Courier New" w:eastAsia="黑体"/>
    </w:rPr>
  </w:style>
  <w:style w:type="character" w:customStyle="1" w:styleId="310">
    <w:name w:val="正文文本 2 Char1"/>
    <w:link w:val="58"/>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5"/>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8"/>
    <w:qFormat/>
    <w:uiPriority w:val="0"/>
    <w:rPr>
      <w:b/>
      <w:bCs/>
      <w:kern w:val="2"/>
      <w:sz w:val="24"/>
      <w:szCs w:val="24"/>
    </w:rPr>
  </w:style>
  <w:style w:type="character" w:customStyle="1" w:styleId="316">
    <w:name w:val="正文文本缩进 2 Char"/>
    <w:link w:val="39"/>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2"/>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basedOn w:val="73"/>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5"/>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5"/>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2"/>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0"/>
    <w:qFormat/>
    <w:uiPriority w:val="0"/>
    <w:rPr>
      <w:kern w:val="2"/>
      <w:sz w:val="21"/>
      <w:szCs w:val="24"/>
    </w:rPr>
  </w:style>
  <w:style w:type="character" w:customStyle="1" w:styleId="353">
    <w:name w:val="签名 Char"/>
    <w:link w:val="44"/>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9"/>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5"/>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2"/>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3"/>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3"/>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6"/>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9">
    <w:name w:val="gray6"/>
    <w:basedOn w:val="73"/>
    <w:qFormat/>
    <w:uiPriority w:val="0"/>
    <w:rPr>
      <w:rFonts w:ascii="Arial" w:hAnsi="Arial" w:eastAsia="黑体" w:cs="Arial"/>
      <w:snapToGrid w:val="0"/>
      <w:kern w:val="0"/>
      <w:szCs w:val="21"/>
    </w:rPr>
  </w:style>
  <w:style w:type="character" w:customStyle="1" w:styleId="440">
    <w:name w:val="hui"/>
    <w:basedOn w:val="73"/>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5"/>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9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6"/>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7"/>
    <w:next w:val="87"/>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7"/>
    <w:next w:val="87"/>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1"/>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1"/>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976">
    <w:name w:val="ft901"/>
    <w:basedOn w:val="73"/>
    <w:qFormat/>
    <w:uiPriority w:val="0"/>
    <w:rPr>
      <w:rFonts w:hint="default" w:ascii="Times" w:hAnsi="Times"/>
      <w:color w:val="000000"/>
      <w:spacing w:val="15"/>
      <w:sz w:val="20"/>
      <w:szCs w:val="20"/>
    </w:rPr>
  </w:style>
  <w:style w:type="paragraph" w:customStyle="1" w:styleId="977">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01D69-5BBB-4AB9-BEDC-17FE8DE1CDE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26965</Words>
  <Characters>30068</Characters>
  <Lines>183</Lines>
  <Paragraphs>51</Paragraphs>
  <TotalTime>29</TotalTime>
  <ScaleCrop>false</ScaleCrop>
  <LinksUpToDate>false</LinksUpToDate>
  <CharactersWithSpaces>33684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2023-12-27T09:19:00Z</dcterms:created>
  <dc:creator>玥</dc:creator>
  <cp:lastModifiedBy>DELL</cp:lastModifiedBy>
  <cp:lastPrinted>2024-01-16T05:43:00Z</cp:lastPrinted>
  <dcterms:modified xsi:type="dcterms:W3CDTF">2024-10-21T01:13:08Z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