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9C969">
      <w:pPr>
        <w:spacing w:line="360" w:lineRule="auto"/>
        <w:jc w:val="center"/>
        <w:rPr>
          <w:rFonts w:hint="eastAsia" w:asciiTheme="minorEastAsia" w:hAnsiTheme="minorEastAsia" w:eastAsiaTheme="minorEastAsia" w:cstheme="minorEastAsia"/>
          <w:b/>
          <w:color w:val="auto"/>
          <w:sz w:val="24"/>
          <w:highlight w:val="none"/>
        </w:rPr>
      </w:pPr>
    </w:p>
    <w:p w14:paraId="11408850">
      <w:pPr>
        <w:pStyle w:val="972"/>
        <w:spacing w:line="760" w:lineRule="exact"/>
        <w:rPr>
          <w:rFonts w:hint="eastAsia" w:asciiTheme="minorEastAsia" w:hAnsiTheme="minorEastAsia" w:eastAsiaTheme="minorEastAsia" w:cstheme="minorEastAsia"/>
          <w:color w:val="auto"/>
          <w:sz w:val="72"/>
          <w:szCs w:val="72"/>
          <w:highlight w:val="none"/>
        </w:rPr>
      </w:pPr>
    </w:p>
    <w:p w14:paraId="24AC685E">
      <w:pPr>
        <w:pStyle w:val="24"/>
        <w:jc w:val="center"/>
        <w:rPr>
          <w:rFonts w:hint="eastAsia" w:hAnsi="宋体" w:cs="宋体"/>
          <w:b/>
          <w:bCs/>
          <w:color w:val="auto"/>
          <w:sz w:val="48"/>
          <w:szCs w:val="48"/>
          <w:highlight w:val="none"/>
          <w:lang w:val="en-US" w:eastAsia="zh-CN"/>
        </w:rPr>
      </w:pPr>
      <w:r>
        <w:rPr>
          <w:rFonts w:hint="eastAsia" w:hAnsi="宋体" w:cs="宋体"/>
          <w:b/>
          <w:bCs/>
          <w:color w:val="auto"/>
          <w:sz w:val="48"/>
          <w:szCs w:val="48"/>
          <w:highlight w:val="none"/>
          <w:lang w:val="en-US" w:eastAsia="zh-CN"/>
        </w:rPr>
        <w:t>杭州市萧山区文化和广电旅游体育局职工疗休养采购项目</w:t>
      </w:r>
    </w:p>
    <w:p w14:paraId="7F27EA42">
      <w:pPr>
        <w:adjustRightInd/>
        <w:spacing w:line="360" w:lineRule="auto"/>
        <w:jc w:val="center"/>
        <w:rPr>
          <w:rFonts w:hint="eastAsia" w:asciiTheme="minorEastAsia" w:hAnsiTheme="minorEastAsia" w:eastAsiaTheme="minorEastAsia" w:cstheme="minorEastAsia"/>
          <w:b/>
          <w:bCs/>
          <w:color w:val="auto"/>
          <w:sz w:val="72"/>
          <w:szCs w:val="72"/>
          <w:highlight w:val="none"/>
        </w:rPr>
      </w:pPr>
    </w:p>
    <w:p w14:paraId="4307BB18">
      <w:pPr>
        <w:pStyle w:val="24"/>
        <w:rPr>
          <w:rFonts w:hint="eastAsia"/>
          <w:color w:val="auto"/>
          <w:highlight w:val="none"/>
        </w:rPr>
      </w:pPr>
    </w:p>
    <w:p w14:paraId="30EB44E3">
      <w:pPr>
        <w:adjustRightInd/>
        <w:spacing w:line="360" w:lineRule="auto"/>
        <w:jc w:val="center"/>
        <w:rPr>
          <w:rFonts w:hint="eastAsia" w:asciiTheme="minorEastAsia" w:hAnsiTheme="minorEastAsia" w:eastAsiaTheme="minorEastAsia" w:cstheme="minorEastAsia"/>
          <w:b/>
          <w:bCs/>
          <w:color w:val="auto"/>
          <w:sz w:val="72"/>
          <w:szCs w:val="72"/>
          <w:highlight w:val="none"/>
          <w:lang w:val="en-US" w:eastAsia="zh-CN"/>
        </w:rPr>
      </w:pPr>
      <w:r>
        <w:rPr>
          <w:rFonts w:hint="eastAsia" w:asciiTheme="minorEastAsia" w:hAnsiTheme="minorEastAsia" w:eastAsiaTheme="minorEastAsia" w:cstheme="minorEastAsia"/>
          <w:b/>
          <w:bCs/>
          <w:color w:val="auto"/>
          <w:sz w:val="72"/>
          <w:szCs w:val="72"/>
          <w:highlight w:val="none"/>
        </w:rPr>
        <w:t>公开竞争</w:t>
      </w:r>
      <w:r>
        <w:rPr>
          <w:rFonts w:hint="eastAsia" w:asciiTheme="minorEastAsia" w:hAnsiTheme="minorEastAsia" w:eastAsiaTheme="minorEastAsia" w:cstheme="minorEastAsia"/>
          <w:b/>
          <w:bCs/>
          <w:color w:val="auto"/>
          <w:sz w:val="72"/>
          <w:szCs w:val="72"/>
          <w:highlight w:val="none"/>
          <w:lang w:val="en-US" w:eastAsia="zh-CN"/>
        </w:rPr>
        <w:t>文件</w:t>
      </w:r>
    </w:p>
    <w:p w14:paraId="2299304D">
      <w:pPr>
        <w:adjustRightInd/>
        <w:spacing w:line="360" w:lineRule="auto"/>
        <w:jc w:val="center"/>
        <w:rPr>
          <w:rFonts w:hint="eastAsia" w:asciiTheme="minorEastAsia" w:hAnsiTheme="minorEastAsia" w:eastAsiaTheme="minorEastAsia" w:cstheme="minorEastAsia"/>
          <w:b/>
          <w:bCs/>
          <w:color w:val="auto"/>
          <w:sz w:val="72"/>
          <w:szCs w:val="72"/>
          <w:highlight w:val="none"/>
        </w:rPr>
      </w:pPr>
      <w:r>
        <w:rPr>
          <w:rFonts w:hint="eastAsia" w:asciiTheme="minorEastAsia" w:hAnsiTheme="minorEastAsia" w:eastAsiaTheme="minorEastAsia" w:cstheme="minorEastAsia"/>
          <w:b/>
          <w:bCs/>
          <w:color w:val="auto"/>
          <w:sz w:val="32"/>
          <w:szCs w:val="32"/>
          <w:highlight w:val="none"/>
        </w:rPr>
        <w:t>（电子交易）</w:t>
      </w:r>
    </w:p>
    <w:p w14:paraId="625CB038">
      <w:pPr>
        <w:adjustRightInd/>
        <w:spacing w:line="360" w:lineRule="auto"/>
        <w:jc w:val="center"/>
        <w:rPr>
          <w:rFonts w:hint="eastAsia" w:asciiTheme="minorEastAsia" w:hAnsiTheme="minorEastAsia" w:eastAsiaTheme="minorEastAsia" w:cstheme="minorEastAsia"/>
          <w:b/>
          <w:color w:val="auto"/>
          <w:sz w:val="44"/>
          <w:szCs w:val="44"/>
          <w:highlight w:val="none"/>
        </w:rPr>
      </w:pPr>
    </w:p>
    <w:p w14:paraId="46E0FAFE">
      <w:pPr>
        <w:snapToGrid w:val="0"/>
        <w:spacing w:line="360" w:lineRule="auto"/>
        <w:jc w:val="center"/>
        <w:rPr>
          <w:rFonts w:hint="default" w:asciiTheme="minorEastAsia" w:hAnsiTheme="minorEastAsia" w:eastAsiaTheme="minorEastAsia" w:cstheme="minorEastAsia"/>
          <w:b/>
          <w:bCs/>
          <w:color w:val="auto"/>
          <w:sz w:val="30"/>
          <w:szCs w:val="30"/>
          <w:highlight w:val="none"/>
          <w:lang w:val="en-US" w:eastAsia="zh-CN"/>
        </w:rPr>
      </w:pPr>
      <w:r>
        <w:rPr>
          <w:rFonts w:hint="eastAsia" w:asciiTheme="minorEastAsia" w:hAnsiTheme="minorEastAsia" w:eastAsiaTheme="minorEastAsia" w:cstheme="minorEastAsia"/>
          <w:b/>
          <w:bCs/>
          <w:color w:val="auto"/>
          <w:sz w:val="30"/>
          <w:szCs w:val="30"/>
          <w:highlight w:val="none"/>
        </w:rPr>
        <w:t>交易编号：BWZBDL2025-052</w:t>
      </w:r>
    </w:p>
    <w:p w14:paraId="0D270830">
      <w:pPr>
        <w:adjustRightInd/>
        <w:spacing w:line="360" w:lineRule="auto"/>
        <w:rPr>
          <w:rFonts w:hint="eastAsia" w:asciiTheme="minorEastAsia" w:hAnsiTheme="minorEastAsia" w:eastAsiaTheme="minorEastAsia" w:cstheme="minorEastAsia"/>
          <w:color w:val="auto"/>
          <w:sz w:val="28"/>
          <w:szCs w:val="20"/>
          <w:highlight w:val="none"/>
        </w:rPr>
      </w:pPr>
    </w:p>
    <w:p w14:paraId="61585878">
      <w:pPr>
        <w:spacing w:line="360" w:lineRule="auto"/>
        <w:jc w:val="center"/>
        <w:rPr>
          <w:rFonts w:hint="eastAsia" w:asciiTheme="minorEastAsia" w:hAnsiTheme="minorEastAsia" w:eastAsiaTheme="minorEastAsia" w:cstheme="minorEastAsia"/>
          <w:b/>
          <w:color w:val="auto"/>
          <w:sz w:val="44"/>
          <w:szCs w:val="44"/>
          <w:highlight w:val="none"/>
        </w:rPr>
      </w:pPr>
    </w:p>
    <w:p w14:paraId="3D3D0A1D">
      <w:pPr>
        <w:spacing w:line="360" w:lineRule="auto"/>
        <w:jc w:val="center"/>
        <w:rPr>
          <w:rFonts w:hint="eastAsia" w:asciiTheme="minorEastAsia" w:hAnsiTheme="minorEastAsia" w:eastAsiaTheme="minorEastAsia" w:cstheme="minorEastAsia"/>
          <w:b/>
          <w:color w:val="auto"/>
          <w:sz w:val="44"/>
          <w:szCs w:val="44"/>
          <w:highlight w:val="none"/>
        </w:rPr>
      </w:pPr>
    </w:p>
    <w:p w14:paraId="693CF302">
      <w:pPr>
        <w:pStyle w:val="87"/>
        <w:rPr>
          <w:rFonts w:hint="eastAsia" w:asciiTheme="minorEastAsia" w:hAnsiTheme="minorEastAsia" w:eastAsiaTheme="minorEastAsia" w:cstheme="minorEastAsia"/>
          <w:color w:val="auto"/>
          <w:highlight w:val="none"/>
        </w:rPr>
      </w:pPr>
    </w:p>
    <w:p w14:paraId="79E015EC">
      <w:pPr>
        <w:pStyle w:val="86"/>
        <w:ind w:firstLine="0"/>
        <w:rPr>
          <w:rFonts w:hint="eastAsia" w:asciiTheme="minorEastAsia" w:hAnsiTheme="minorEastAsia" w:eastAsiaTheme="minorEastAsia" w:cstheme="minorEastAsia"/>
          <w:color w:val="auto"/>
          <w:highlight w:val="none"/>
          <w:lang w:eastAsia="zh-CN"/>
        </w:rPr>
      </w:pPr>
    </w:p>
    <w:p w14:paraId="45A9CC33">
      <w:pPr>
        <w:spacing w:line="360" w:lineRule="auto"/>
        <w:ind w:firstLine="964" w:firstLineChars="300"/>
        <w:rPr>
          <w:rFonts w:hint="eastAsia" w:asciiTheme="minorEastAsia" w:hAnsiTheme="minorEastAsia" w:eastAsiaTheme="minorEastAsia" w:cstheme="minorEastAsia"/>
          <w:b/>
          <w:color w:val="auto"/>
          <w:sz w:val="32"/>
          <w:szCs w:val="30"/>
          <w:highlight w:val="none"/>
          <w:lang w:eastAsia="zh-CN"/>
        </w:rPr>
      </w:pPr>
      <w:r>
        <w:rPr>
          <w:rFonts w:hint="eastAsia" w:asciiTheme="minorEastAsia" w:hAnsiTheme="minorEastAsia" w:eastAsiaTheme="minorEastAsia" w:cstheme="minorEastAsia"/>
          <w:b/>
          <w:color w:val="auto"/>
          <w:sz w:val="32"/>
          <w:szCs w:val="30"/>
          <w:highlight w:val="none"/>
        </w:rPr>
        <w:t>交易发起人：</w:t>
      </w:r>
      <w:r>
        <w:rPr>
          <w:rFonts w:hint="eastAsia" w:ascii="宋体" w:hAnsi="宋体" w:cs="宋体"/>
          <w:b/>
          <w:color w:val="auto"/>
          <w:kern w:val="2"/>
          <w:sz w:val="32"/>
          <w:szCs w:val="30"/>
          <w:highlight w:val="none"/>
          <w:lang w:val="en-US" w:eastAsia="zh-CN"/>
        </w:rPr>
        <w:t>杭州市萧山区文化和广电旅游体育局</w:t>
      </w:r>
    </w:p>
    <w:p w14:paraId="43B48C2B">
      <w:pPr>
        <w:spacing w:line="360" w:lineRule="auto"/>
        <w:ind w:firstLine="964" w:firstLineChars="30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0"/>
          <w:highlight w:val="none"/>
        </w:rPr>
        <w:t>代理机构：杭州博望建设工程招标投标代理有限公司</w:t>
      </w:r>
    </w:p>
    <w:p w14:paraId="47FC82E7">
      <w:pPr>
        <w:snapToGrid w:val="0"/>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二〇二</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年</w:t>
      </w:r>
      <w:r>
        <w:rPr>
          <w:rFonts w:hint="eastAsia" w:asciiTheme="minorEastAsia" w:hAnsiTheme="minorEastAsia" w:eastAsiaTheme="minorEastAsia" w:cstheme="minorEastAsia"/>
          <w:b/>
          <w:color w:val="auto"/>
          <w:sz w:val="32"/>
          <w:szCs w:val="32"/>
          <w:highlight w:val="none"/>
          <w:lang w:val="en-US" w:eastAsia="zh-CN"/>
        </w:rPr>
        <w:t>四</w:t>
      </w:r>
      <w:r>
        <w:rPr>
          <w:rFonts w:hint="eastAsia" w:asciiTheme="minorEastAsia" w:hAnsiTheme="minorEastAsia" w:eastAsiaTheme="minorEastAsia" w:cstheme="minorEastAsia"/>
          <w:b/>
          <w:color w:val="auto"/>
          <w:sz w:val="32"/>
          <w:szCs w:val="32"/>
          <w:highlight w:val="none"/>
        </w:rPr>
        <w:t>月</w:t>
      </w:r>
      <w:r>
        <w:rPr>
          <w:rFonts w:hint="eastAsia" w:asciiTheme="minorEastAsia" w:hAnsiTheme="minorEastAsia" w:eastAsiaTheme="minorEastAsia" w:cstheme="minorEastAsia"/>
          <w:b/>
          <w:color w:val="auto"/>
          <w:sz w:val="32"/>
          <w:szCs w:val="32"/>
          <w:highlight w:val="none"/>
          <w:lang w:val="en-US" w:eastAsia="zh-CN"/>
        </w:rPr>
        <w:t>十一</w:t>
      </w:r>
      <w:r>
        <w:rPr>
          <w:rFonts w:hint="eastAsia" w:asciiTheme="minorEastAsia" w:hAnsiTheme="minorEastAsia" w:eastAsiaTheme="minorEastAsia" w:cstheme="minorEastAsia"/>
          <w:b/>
          <w:color w:val="auto"/>
          <w:sz w:val="32"/>
          <w:szCs w:val="32"/>
          <w:highlight w:val="none"/>
        </w:rPr>
        <w:t>日</w:t>
      </w:r>
    </w:p>
    <w:p w14:paraId="1D302CAE">
      <w:pPr>
        <w:jc w:val="center"/>
        <w:rPr>
          <w:rFonts w:hint="eastAsia" w:asciiTheme="minorEastAsia" w:hAnsiTheme="minorEastAsia" w:eastAsiaTheme="minorEastAsia" w:cstheme="minorEastAsia"/>
          <w:b/>
          <w:color w:val="auto"/>
          <w:sz w:val="48"/>
          <w:szCs w:val="48"/>
          <w:highlight w:val="none"/>
        </w:rPr>
        <w:sectPr>
          <w:headerReference r:id="rId4" w:type="first"/>
          <w:footerReference r:id="rId6" w:type="first"/>
          <w:headerReference r:id="rId3" w:type="default"/>
          <w:footerReference r:id="rId5" w:type="default"/>
          <w:pgSz w:w="11906" w:h="16838"/>
          <w:pgMar w:top="1247" w:right="1417" w:bottom="1247" w:left="1417" w:header="851" w:footer="992" w:gutter="0"/>
          <w:pgBorders>
            <w:top w:val="none" w:sz="0" w:space="0"/>
            <w:left w:val="none" w:sz="0" w:space="0"/>
            <w:bottom w:val="none" w:sz="0" w:space="0"/>
            <w:right w:val="none" w:sz="0" w:space="0"/>
          </w:pgBorders>
          <w:cols w:space="0" w:num="1"/>
          <w:titlePg/>
          <w:docGrid w:linePitch="312" w:charSpace="0"/>
        </w:sectPr>
      </w:pPr>
    </w:p>
    <w:p w14:paraId="7EED411A">
      <w:pPr>
        <w:jc w:val="center"/>
        <w:rPr>
          <w:rFonts w:hint="eastAsia" w:asciiTheme="minorEastAsia" w:hAnsiTheme="minorEastAsia" w:eastAsiaTheme="minorEastAsia" w:cstheme="minorEastAsia"/>
          <w:b/>
          <w:color w:val="auto"/>
          <w:sz w:val="48"/>
          <w:szCs w:val="48"/>
          <w:highlight w:val="none"/>
        </w:rPr>
      </w:pPr>
    </w:p>
    <w:p w14:paraId="1FE34AAC">
      <w:pPr>
        <w:jc w:val="center"/>
        <w:rPr>
          <w:rFonts w:hint="eastAsia" w:asciiTheme="minorEastAsia" w:hAnsiTheme="minorEastAsia" w:eastAsiaTheme="minorEastAsia" w:cstheme="minorEastAsia"/>
          <w:b/>
          <w:color w:val="auto"/>
          <w:sz w:val="48"/>
          <w:szCs w:val="48"/>
          <w:highlight w:val="none"/>
        </w:rPr>
      </w:pPr>
    </w:p>
    <w:p w14:paraId="61A1B9AF">
      <w:pPr>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2F0D5E5B">
      <w:pPr>
        <w:spacing w:line="360" w:lineRule="auto"/>
        <w:rPr>
          <w:rFonts w:hint="eastAsia" w:asciiTheme="minorEastAsia" w:hAnsiTheme="minorEastAsia" w:eastAsiaTheme="minorEastAsia" w:cstheme="minorEastAsia"/>
          <w:color w:val="auto"/>
          <w:sz w:val="32"/>
          <w:szCs w:val="32"/>
          <w:highlight w:val="none"/>
        </w:rPr>
      </w:pPr>
    </w:p>
    <w:p w14:paraId="7F20638C">
      <w:pPr>
        <w:spacing w:line="360" w:lineRule="auto"/>
        <w:rPr>
          <w:rFonts w:hint="eastAsia" w:asciiTheme="minorEastAsia" w:hAnsiTheme="minorEastAsia" w:eastAsiaTheme="minorEastAsia" w:cstheme="minorEastAsia"/>
          <w:color w:val="auto"/>
          <w:sz w:val="32"/>
          <w:szCs w:val="32"/>
          <w:highlight w:val="none"/>
        </w:rPr>
      </w:pPr>
    </w:p>
    <w:p w14:paraId="7BFFDCE3">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交易公告</w:t>
      </w:r>
    </w:p>
    <w:p w14:paraId="74F69DE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响应人须知</w:t>
      </w:r>
    </w:p>
    <w:p w14:paraId="52BAD7C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交易需求</w:t>
      </w:r>
    </w:p>
    <w:p w14:paraId="7C5AD0B2">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交易办法</w:t>
      </w:r>
    </w:p>
    <w:p w14:paraId="3FDF0B5F">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14:paraId="3E9628BD">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7B408B11">
      <w:pPr>
        <w:spacing w:line="360" w:lineRule="auto"/>
        <w:ind w:firstLine="549" w:firstLineChars="229"/>
        <w:rPr>
          <w:rFonts w:hint="eastAsia" w:asciiTheme="minorEastAsia" w:hAnsiTheme="minorEastAsia" w:eastAsiaTheme="minorEastAsia" w:cstheme="minorEastAsia"/>
          <w:color w:val="auto"/>
          <w:sz w:val="24"/>
          <w:highlight w:val="none"/>
        </w:rPr>
      </w:pPr>
      <w:bookmarkStart w:id="0" w:name="_Hlt91233176"/>
      <w:bookmarkEnd w:id="0"/>
      <w:bookmarkStart w:id="1" w:name="_Toc91899869"/>
    </w:p>
    <w:p w14:paraId="3183C93D">
      <w:pPr>
        <w:spacing w:line="360" w:lineRule="auto"/>
        <w:ind w:firstLine="549" w:firstLineChars="229"/>
        <w:rPr>
          <w:rFonts w:hint="eastAsia" w:asciiTheme="minorEastAsia" w:hAnsiTheme="minorEastAsia" w:eastAsiaTheme="minorEastAsia" w:cstheme="minorEastAsia"/>
          <w:color w:val="auto"/>
          <w:sz w:val="24"/>
          <w:highlight w:val="none"/>
        </w:rPr>
      </w:pPr>
    </w:p>
    <w:p w14:paraId="0D541C4D">
      <w:pPr>
        <w:spacing w:line="360" w:lineRule="auto"/>
        <w:ind w:firstLine="549" w:firstLineChars="229"/>
        <w:rPr>
          <w:rFonts w:hint="eastAsia" w:asciiTheme="minorEastAsia" w:hAnsiTheme="minorEastAsia" w:eastAsiaTheme="minorEastAsia" w:cstheme="minorEastAsia"/>
          <w:color w:val="auto"/>
          <w:sz w:val="24"/>
          <w:highlight w:val="none"/>
        </w:rPr>
      </w:pPr>
    </w:p>
    <w:p w14:paraId="44815395">
      <w:pPr>
        <w:spacing w:line="360" w:lineRule="auto"/>
        <w:ind w:firstLine="549" w:firstLineChars="229"/>
        <w:rPr>
          <w:rFonts w:hint="eastAsia" w:asciiTheme="minorEastAsia" w:hAnsiTheme="minorEastAsia" w:eastAsiaTheme="minorEastAsia" w:cstheme="minorEastAsia"/>
          <w:color w:val="auto"/>
          <w:sz w:val="24"/>
          <w:highlight w:val="none"/>
        </w:rPr>
      </w:pPr>
    </w:p>
    <w:p w14:paraId="4B0EE9F6">
      <w:pPr>
        <w:spacing w:line="360" w:lineRule="auto"/>
        <w:ind w:firstLine="549" w:firstLineChars="229"/>
        <w:rPr>
          <w:rFonts w:hint="eastAsia" w:asciiTheme="minorEastAsia" w:hAnsiTheme="minorEastAsia" w:eastAsiaTheme="minorEastAsia" w:cstheme="minorEastAsia"/>
          <w:color w:val="auto"/>
          <w:sz w:val="24"/>
          <w:highlight w:val="none"/>
        </w:rPr>
      </w:pPr>
    </w:p>
    <w:p w14:paraId="5E77B053">
      <w:pPr>
        <w:spacing w:line="360" w:lineRule="auto"/>
        <w:ind w:firstLine="549" w:firstLineChars="229"/>
        <w:rPr>
          <w:rFonts w:hint="eastAsia" w:asciiTheme="minorEastAsia" w:hAnsiTheme="minorEastAsia" w:eastAsiaTheme="minorEastAsia" w:cstheme="minorEastAsia"/>
          <w:color w:val="auto"/>
          <w:sz w:val="24"/>
          <w:highlight w:val="none"/>
        </w:rPr>
      </w:pPr>
    </w:p>
    <w:p w14:paraId="1C24348C">
      <w:pPr>
        <w:spacing w:line="360" w:lineRule="auto"/>
        <w:ind w:firstLine="549" w:firstLineChars="229"/>
        <w:rPr>
          <w:rFonts w:hint="eastAsia" w:asciiTheme="minorEastAsia" w:hAnsiTheme="minorEastAsia" w:eastAsiaTheme="minorEastAsia" w:cstheme="minorEastAsia"/>
          <w:color w:val="auto"/>
          <w:sz w:val="24"/>
          <w:highlight w:val="none"/>
        </w:rPr>
      </w:pPr>
    </w:p>
    <w:p w14:paraId="58A6DD16">
      <w:pPr>
        <w:spacing w:line="360" w:lineRule="auto"/>
        <w:ind w:firstLine="549" w:firstLineChars="229"/>
        <w:rPr>
          <w:rFonts w:hint="eastAsia" w:asciiTheme="minorEastAsia" w:hAnsiTheme="minorEastAsia" w:eastAsiaTheme="minorEastAsia" w:cstheme="minorEastAsia"/>
          <w:color w:val="auto"/>
          <w:sz w:val="24"/>
          <w:highlight w:val="none"/>
        </w:rPr>
      </w:pPr>
    </w:p>
    <w:p w14:paraId="383581FD">
      <w:pPr>
        <w:spacing w:line="360" w:lineRule="auto"/>
        <w:ind w:firstLine="549" w:firstLineChars="229"/>
        <w:rPr>
          <w:rFonts w:hint="eastAsia" w:asciiTheme="minorEastAsia" w:hAnsiTheme="minorEastAsia" w:eastAsiaTheme="minorEastAsia" w:cstheme="minorEastAsia"/>
          <w:color w:val="auto"/>
          <w:sz w:val="24"/>
          <w:highlight w:val="none"/>
        </w:rPr>
      </w:pPr>
    </w:p>
    <w:p w14:paraId="7DDD4C51">
      <w:pPr>
        <w:spacing w:line="360" w:lineRule="auto"/>
        <w:ind w:firstLine="549" w:firstLineChars="229"/>
        <w:rPr>
          <w:rFonts w:hint="eastAsia" w:asciiTheme="minorEastAsia" w:hAnsiTheme="minorEastAsia" w:eastAsiaTheme="minorEastAsia" w:cstheme="minorEastAsia"/>
          <w:color w:val="auto"/>
          <w:sz w:val="24"/>
          <w:highlight w:val="none"/>
        </w:rPr>
      </w:pPr>
    </w:p>
    <w:p w14:paraId="0A9A1DD4">
      <w:pPr>
        <w:spacing w:line="360" w:lineRule="auto"/>
        <w:ind w:firstLine="549" w:firstLineChars="229"/>
        <w:rPr>
          <w:rFonts w:hint="eastAsia" w:asciiTheme="minorEastAsia" w:hAnsiTheme="minorEastAsia" w:eastAsiaTheme="minorEastAsia" w:cstheme="minorEastAsia"/>
          <w:color w:val="auto"/>
          <w:sz w:val="24"/>
          <w:highlight w:val="none"/>
        </w:rPr>
      </w:pPr>
    </w:p>
    <w:p w14:paraId="7315FDEC">
      <w:pPr>
        <w:spacing w:line="360" w:lineRule="auto"/>
        <w:ind w:firstLine="549" w:firstLineChars="229"/>
        <w:rPr>
          <w:rFonts w:hint="eastAsia" w:asciiTheme="minorEastAsia" w:hAnsiTheme="minorEastAsia" w:eastAsiaTheme="minorEastAsia" w:cstheme="minorEastAsia"/>
          <w:color w:val="auto"/>
          <w:sz w:val="24"/>
          <w:highlight w:val="none"/>
        </w:rPr>
      </w:pPr>
    </w:p>
    <w:p w14:paraId="5833AD92">
      <w:pPr>
        <w:spacing w:line="360" w:lineRule="auto"/>
        <w:ind w:firstLine="549" w:firstLineChars="229"/>
        <w:rPr>
          <w:rFonts w:hint="eastAsia" w:asciiTheme="minorEastAsia" w:hAnsiTheme="minorEastAsia" w:eastAsiaTheme="minorEastAsia" w:cstheme="minorEastAsia"/>
          <w:color w:val="auto"/>
          <w:sz w:val="24"/>
          <w:highlight w:val="none"/>
        </w:rPr>
      </w:pPr>
    </w:p>
    <w:p w14:paraId="5DD235F5">
      <w:pPr>
        <w:spacing w:line="360" w:lineRule="auto"/>
        <w:rPr>
          <w:rFonts w:hint="eastAsia" w:asciiTheme="minorEastAsia" w:hAnsiTheme="minorEastAsia" w:eastAsiaTheme="minorEastAsia" w:cstheme="minorEastAsia"/>
          <w:color w:val="auto"/>
          <w:sz w:val="24"/>
          <w:highlight w:val="none"/>
        </w:rPr>
      </w:pPr>
    </w:p>
    <w:p w14:paraId="30134D9E">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bookmarkStart w:id="2" w:name="第一部分"/>
      <w:r>
        <w:rPr>
          <w:rFonts w:hint="eastAsia" w:asciiTheme="minorEastAsia" w:hAnsiTheme="minorEastAsia" w:eastAsiaTheme="minorEastAsia" w:cstheme="minorEastAsia"/>
          <w:b/>
          <w:color w:val="auto"/>
          <w:sz w:val="36"/>
          <w:szCs w:val="36"/>
          <w:highlight w:val="none"/>
        </w:rPr>
        <w:br w:type="page"/>
      </w:r>
      <w:bookmarkEnd w:id="1"/>
      <w:bookmarkEnd w:id="2"/>
      <w:bookmarkStart w:id="3" w:name="_Hlt74728647"/>
      <w:bookmarkEnd w:id="3"/>
      <w:bookmarkStart w:id="4" w:name="_Hlt74707423"/>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Theme="minorEastAsia" w:hAnsiTheme="minorEastAsia" w:eastAsiaTheme="minorEastAsia" w:cstheme="minorEastAsia"/>
          <w:b/>
          <w:color w:val="auto"/>
          <w:sz w:val="36"/>
          <w:szCs w:val="20"/>
          <w:highlight w:val="none"/>
        </w:rPr>
        <w:t>第一部分 交易公告</w:t>
      </w:r>
    </w:p>
    <w:p w14:paraId="0056156C">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一、基本情况</w:t>
      </w:r>
    </w:p>
    <w:p w14:paraId="5DCBEF2D">
      <w:pPr>
        <w:spacing w:line="360" w:lineRule="auto"/>
        <w:ind w:firstLine="482" w:firstLineChars="200"/>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rPr>
        <w:t>交易编号：</w:t>
      </w:r>
      <w:r>
        <w:rPr>
          <w:rFonts w:hint="eastAsia" w:asciiTheme="minorEastAsia" w:hAnsiTheme="minorEastAsia" w:eastAsiaTheme="minorEastAsia" w:cstheme="minorEastAsia"/>
          <w:b w:val="0"/>
          <w:bCs/>
          <w:color w:val="auto"/>
          <w:sz w:val="24"/>
          <w:highlight w:val="none"/>
        </w:rPr>
        <w:t>BWZBDL2025-052</w:t>
      </w:r>
    </w:p>
    <w:p w14:paraId="01918784">
      <w:pPr>
        <w:spacing w:line="360" w:lineRule="auto"/>
        <w:ind w:firstLine="482" w:firstLineChars="200"/>
        <w:rPr>
          <w:rFonts w:hint="eastAsia" w:asciiTheme="minorEastAsia" w:hAnsiTheme="minorEastAsia" w:eastAsiaTheme="minorEastAsia" w:cstheme="minorEastAsia"/>
          <w:b w:val="0"/>
          <w:bCs/>
          <w:color w:val="auto"/>
          <w:sz w:val="24"/>
          <w:highlight w:val="none"/>
          <w:lang w:eastAsia="zh-CN"/>
        </w:rPr>
      </w:pPr>
      <w:r>
        <w:rPr>
          <w:rFonts w:hint="eastAsia" w:asciiTheme="minorEastAsia" w:hAnsiTheme="minorEastAsia" w:eastAsiaTheme="minorEastAsia" w:cstheme="minorEastAsia"/>
          <w:b/>
          <w:color w:val="auto"/>
          <w:sz w:val="24"/>
          <w:highlight w:val="none"/>
        </w:rPr>
        <w:t>交易名称：</w:t>
      </w:r>
      <w:r>
        <w:rPr>
          <w:rFonts w:hint="eastAsia" w:asciiTheme="minorEastAsia" w:hAnsiTheme="minorEastAsia" w:eastAsiaTheme="minorEastAsia" w:cstheme="minorEastAsia"/>
          <w:b w:val="0"/>
          <w:bCs/>
          <w:color w:val="auto"/>
          <w:sz w:val="24"/>
          <w:highlight w:val="none"/>
          <w:lang w:val="en-US" w:eastAsia="zh-CN"/>
        </w:rPr>
        <w:t>杭州市萧山区文化和广电旅游体育局职工疗休养采购项目</w:t>
      </w:r>
    </w:p>
    <w:p w14:paraId="253852D1">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color w:val="auto"/>
          <w:sz w:val="24"/>
          <w:highlight w:val="none"/>
          <w:u w:val="none"/>
        </w:rPr>
      </w:pPr>
      <w:r>
        <w:rPr>
          <w:rFonts w:hint="eastAsia" w:ascii="宋体" w:hAnsi="宋体" w:eastAsia="宋体" w:cs="宋体"/>
          <w:b/>
          <w:color w:val="auto"/>
          <w:sz w:val="24"/>
          <w:highlight w:val="none"/>
          <w:u w:val="none"/>
        </w:rPr>
        <w:t>预算金额：</w:t>
      </w:r>
      <w:r>
        <w:rPr>
          <w:rFonts w:hint="eastAsia" w:ascii="宋体" w:hAnsi="宋体" w:eastAsia="宋体" w:cs="宋体"/>
          <w:b w:val="0"/>
          <w:bCs/>
          <w:color w:val="auto"/>
          <w:sz w:val="24"/>
          <w:highlight w:val="none"/>
          <w:u w:val="none"/>
        </w:rPr>
        <w:t>234000</w:t>
      </w:r>
      <w:r>
        <w:rPr>
          <w:rFonts w:hint="eastAsia" w:ascii="宋体" w:hAnsi="宋体" w:cs="宋体"/>
          <w:b w:val="0"/>
          <w:bCs/>
          <w:color w:val="auto"/>
          <w:sz w:val="24"/>
          <w:highlight w:val="none"/>
          <w:u w:val="none"/>
          <w:lang w:val="en-US" w:eastAsia="zh-CN"/>
        </w:rPr>
        <w:t>.00</w:t>
      </w:r>
      <w:r>
        <w:rPr>
          <w:rFonts w:hint="eastAsia" w:ascii="宋体" w:hAnsi="宋体" w:eastAsia="宋体" w:cs="宋体"/>
          <w:b w:val="0"/>
          <w:bCs/>
          <w:color w:val="auto"/>
          <w:sz w:val="24"/>
          <w:highlight w:val="none"/>
          <w:u w:val="none"/>
          <w:lang w:eastAsia="zh-CN"/>
        </w:rPr>
        <w:t>元</w:t>
      </w:r>
    </w:p>
    <w:p w14:paraId="7E3C6D7D">
      <w:pPr>
        <w:spacing w:line="360" w:lineRule="auto"/>
        <w:ind w:firstLine="482" w:firstLineChars="200"/>
        <w:rPr>
          <w:rFonts w:hint="eastAsia" w:ascii="宋体" w:hAnsi="宋体" w:eastAsia="宋体" w:cs="宋体"/>
          <w:b w:val="0"/>
          <w:bCs/>
          <w:color w:val="auto"/>
          <w:sz w:val="24"/>
          <w:highlight w:val="none"/>
          <w:u w:val="none"/>
        </w:rPr>
      </w:pPr>
      <w:r>
        <w:rPr>
          <w:rFonts w:hint="eastAsia" w:ascii="宋体" w:hAnsi="宋体" w:eastAsia="宋体" w:cs="宋体"/>
          <w:b/>
          <w:color w:val="auto"/>
          <w:sz w:val="24"/>
          <w:highlight w:val="none"/>
          <w:u w:val="none"/>
        </w:rPr>
        <w:t>最高限价：</w:t>
      </w:r>
      <w:r>
        <w:rPr>
          <w:rFonts w:hint="eastAsia" w:ascii="宋体" w:hAnsi="宋体" w:eastAsia="宋体" w:cs="宋体"/>
          <w:b w:val="0"/>
          <w:bCs/>
          <w:color w:val="auto"/>
          <w:sz w:val="24"/>
          <w:highlight w:val="none"/>
          <w:u w:val="none"/>
        </w:rPr>
        <w:t>234000</w:t>
      </w:r>
      <w:r>
        <w:rPr>
          <w:rFonts w:hint="eastAsia" w:ascii="宋体" w:hAnsi="宋体" w:cs="宋体"/>
          <w:b w:val="0"/>
          <w:bCs/>
          <w:color w:val="auto"/>
          <w:sz w:val="24"/>
          <w:highlight w:val="none"/>
          <w:u w:val="none"/>
          <w:lang w:val="en-US" w:eastAsia="zh-CN"/>
        </w:rPr>
        <w:t>.00元</w:t>
      </w:r>
    </w:p>
    <w:p w14:paraId="1B09F4A9">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交易需求：</w:t>
      </w:r>
      <w:r>
        <w:rPr>
          <w:rFonts w:hint="eastAsia" w:asciiTheme="minorEastAsia" w:hAnsiTheme="minorEastAsia" w:eastAsiaTheme="minorEastAsia" w:cstheme="minorEastAsia"/>
          <w:b w:val="0"/>
          <w:bCs/>
          <w:color w:val="auto"/>
          <w:sz w:val="24"/>
          <w:highlight w:val="none"/>
          <w:lang w:val="en-US" w:eastAsia="zh-CN"/>
        </w:rPr>
        <w:t>杭州市萧山区文化和广电旅游体育局职工疗休养采购项目</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1家，</w:t>
      </w:r>
      <w:r>
        <w:rPr>
          <w:rFonts w:hint="eastAsia" w:asciiTheme="minorEastAsia" w:hAnsiTheme="minorEastAsia" w:eastAsiaTheme="minorEastAsia" w:cstheme="minorEastAsia"/>
          <w:color w:val="auto"/>
          <w:sz w:val="24"/>
          <w:highlight w:val="none"/>
        </w:rPr>
        <w:t>详见交易需求。</w:t>
      </w:r>
    </w:p>
    <w:p w14:paraId="70CED378">
      <w:pPr>
        <w:pStyle w:val="16"/>
        <w:spacing w:line="360" w:lineRule="auto"/>
        <w:ind w:firstLine="482"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szCs w:val="18"/>
          <w:highlight w:val="none"/>
        </w:rPr>
        <w:t>合同履约期限：</w:t>
      </w:r>
      <w:r>
        <w:rPr>
          <w:rFonts w:hint="eastAsia" w:asciiTheme="minorEastAsia" w:hAnsiTheme="minorEastAsia" w:eastAsiaTheme="minorEastAsia" w:cstheme="minorEastAsia"/>
          <w:color w:val="auto"/>
          <w:sz w:val="24"/>
          <w:szCs w:val="28"/>
          <w:highlight w:val="none"/>
        </w:rPr>
        <w:t>详见公开竞争文件</w:t>
      </w:r>
    </w:p>
    <w:p w14:paraId="202DE325">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本项目接受联合体投标：</w:t>
      </w:r>
      <w:r>
        <w:rPr>
          <w:rFonts w:hint="eastAsia" w:asciiTheme="minorEastAsia" w:hAnsiTheme="minorEastAsia" w:eastAsiaTheme="minorEastAsia" w:cstheme="minorEastAsia"/>
          <w:bCs/>
          <w:color w:val="auto"/>
          <w:sz w:val="24"/>
          <w:highlight w:val="none"/>
        </w:rPr>
        <w:t>（ ）是；（√）否。</w:t>
      </w:r>
    </w:p>
    <w:p w14:paraId="704157C6">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二、申请人的资格要求</w:t>
      </w:r>
    </w:p>
    <w:p w14:paraId="1378F58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307577C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2、具有良好的商业信誉和健全的财务会计制度；</w:t>
      </w:r>
    </w:p>
    <w:p w14:paraId="0E129CF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13F93F4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5609FB7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734B56A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6、法律、行政法规规定的其他条件；</w:t>
      </w:r>
    </w:p>
    <w:p w14:paraId="2B99D3DE">
      <w:pPr>
        <w:pStyle w:val="25"/>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rPr>
        <w:t>7、本项目的特定资格要求：</w:t>
      </w:r>
      <w:r>
        <w:rPr>
          <w:rFonts w:hint="eastAsia" w:hAnsi="宋体" w:cs="宋体"/>
          <w:color w:val="auto"/>
          <w:highlight w:val="none"/>
        </w:rPr>
        <w:t>具有旅行社业务经营许可证</w:t>
      </w:r>
      <w:r>
        <w:rPr>
          <w:rFonts w:hint="eastAsia" w:hAnsi="宋体" w:cs="宋体"/>
          <w:color w:val="auto"/>
          <w:highlight w:val="none"/>
          <w:lang w:val="en-US"/>
        </w:rPr>
        <w:t>；</w:t>
      </w:r>
    </w:p>
    <w:p w14:paraId="4C9391D5">
      <w:pPr>
        <w:pStyle w:val="25"/>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8、</w:t>
      </w:r>
      <w:r>
        <w:rPr>
          <w:rFonts w:hint="eastAsia" w:asciiTheme="minorEastAsia" w:hAnsiTheme="minorEastAsia" w:eastAsiaTheme="minorEastAsia" w:cstheme="minorEastAsia"/>
          <w:color w:val="auto"/>
          <w:highlight w:val="none"/>
        </w:rPr>
        <w:t>本项目不接受联合体参与（潜在响应人能独立完成本项目）。</w:t>
      </w:r>
    </w:p>
    <w:p w14:paraId="5E4D70B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三、获取公开竞争文件</w:t>
      </w:r>
    </w:p>
    <w:p w14:paraId="075B71A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时间：</w:t>
      </w:r>
      <w:r>
        <w:rPr>
          <w:rFonts w:hint="eastAsia" w:asciiTheme="minorEastAsia" w:hAnsiTheme="minorEastAsia" w:eastAsiaTheme="minorEastAsia" w:cstheme="minorEastAsia"/>
          <w:color w:val="auto"/>
          <w:sz w:val="24"/>
          <w:highlight w:val="none"/>
        </w:rPr>
        <w:t>/至</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rPr>
        <w:t>，每天上午00:00至12:00 ，下午12:00至23:59（北京时间，线上获取法定节假日均可）</w:t>
      </w:r>
    </w:p>
    <w:p w14:paraId="344374D6">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地点（网址）：</w:t>
      </w:r>
      <w:r>
        <w:rPr>
          <w:rFonts w:hint="eastAsia" w:asciiTheme="minorEastAsia" w:hAnsiTheme="minorEastAsia" w:eastAsiaTheme="minorEastAsia" w:cstheme="minorEastAsia"/>
          <w:color w:val="auto"/>
          <w:sz w:val="24"/>
          <w:highlight w:val="none"/>
        </w:rPr>
        <w:t>乐采云平台（www.lecaiyun.com）</w:t>
      </w:r>
    </w:p>
    <w:p w14:paraId="41924172">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方式：</w:t>
      </w:r>
      <w:r>
        <w:rPr>
          <w:rFonts w:hint="eastAsia" w:asciiTheme="minorEastAsia" w:hAnsiTheme="minorEastAsia" w:eastAsiaTheme="minorEastAsia" w:cstheme="minorEastAsia"/>
          <w:color w:val="auto"/>
          <w:sz w:val="24"/>
          <w:highlight w:val="none"/>
        </w:rPr>
        <w:t xml:space="preserve">响应人登录乐采云平台（www.lecaiyun.com）在线申请获取公开竞争文件（进入“项目采购”应用，在获取采购文件菜单中选择项目，申请获取公开竞争文件）。 </w:t>
      </w:r>
    </w:p>
    <w:p w14:paraId="3E66027B">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售价（元）：</w:t>
      </w:r>
      <w:r>
        <w:rPr>
          <w:rFonts w:hint="eastAsia" w:asciiTheme="minorEastAsia" w:hAnsiTheme="minorEastAsia" w:eastAsiaTheme="minorEastAsia" w:cstheme="minorEastAsia"/>
          <w:color w:val="auto"/>
          <w:sz w:val="24"/>
          <w:highlight w:val="none"/>
        </w:rPr>
        <w:t>0</w:t>
      </w:r>
    </w:p>
    <w:p w14:paraId="21F6A71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四、提交响应文件截止时间、交易时间和地点</w:t>
      </w:r>
    </w:p>
    <w:p w14:paraId="10849E8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提交响应文件截止时间：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14</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3</w:t>
      </w:r>
      <w:r>
        <w:rPr>
          <w:rFonts w:hint="eastAsia" w:asciiTheme="minorEastAsia" w:hAnsiTheme="minorEastAsia" w:eastAsiaTheme="minorEastAsia" w:cstheme="minorEastAsia"/>
          <w:color w:val="auto"/>
          <w:sz w:val="24"/>
          <w:highlight w:val="none"/>
          <w:u w:val="single"/>
        </w:rPr>
        <w:t>0分</w:t>
      </w:r>
      <w:r>
        <w:rPr>
          <w:rFonts w:hint="eastAsia" w:asciiTheme="minorEastAsia" w:hAnsiTheme="minorEastAsia" w:eastAsiaTheme="minorEastAsia" w:cstheme="minorEastAsia"/>
          <w:color w:val="auto"/>
          <w:sz w:val="24"/>
          <w:highlight w:val="none"/>
        </w:rPr>
        <w:t>（北京时间）</w:t>
      </w:r>
    </w:p>
    <w:p w14:paraId="6DA9FF8B">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投标地点（网址）：</w:t>
      </w:r>
      <w:r>
        <w:rPr>
          <w:rFonts w:hint="eastAsia" w:asciiTheme="minorEastAsia" w:hAnsiTheme="minorEastAsia" w:eastAsiaTheme="minorEastAsia" w:cstheme="minorEastAsia"/>
          <w:color w:val="auto"/>
          <w:sz w:val="24"/>
          <w:highlight w:val="none"/>
        </w:rPr>
        <w:t xml:space="preserve">乐采云平台（www.lecaiyun.com） </w:t>
      </w:r>
    </w:p>
    <w:p w14:paraId="3D3CA76C">
      <w:pPr>
        <w:spacing w:line="360" w:lineRule="auto"/>
        <w:ind w:firstLine="482" w:firstLineChars="200"/>
        <w:rPr>
          <w:rFonts w:hint="eastAsia" w:asciiTheme="minorEastAsia" w:hAnsiTheme="minorEastAsia" w:eastAsiaTheme="minorEastAsia" w:cstheme="minorEastAsia"/>
          <w:bCs/>
          <w:color w:val="auto"/>
          <w:sz w:val="24"/>
          <w:highlight w:val="none"/>
          <w:u w:val="single"/>
        </w:rPr>
      </w:pPr>
      <w:r>
        <w:rPr>
          <w:rFonts w:hint="eastAsia" w:asciiTheme="minorEastAsia" w:hAnsiTheme="minorEastAsia" w:eastAsiaTheme="minorEastAsia" w:cstheme="minorEastAsia"/>
          <w:b/>
          <w:color w:val="auto"/>
          <w:sz w:val="24"/>
          <w:highlight w:val="none"/>
        </w:rPr>
        <w:t>交易时间：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21</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14</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30</w:t>
      </w:r>
      <w:r>
        <w:rPr>
          <w:rFonts w:hint="eastAsia" w:asciiTheme="minorEastAsia" w:hAnsiTheme="minorEastAsia" w:eastAsiaTheme="minorEastAsia" w:cstheme="minorEastAsia"/>
          <w:color w:val="auto"/>
          <w:sz w:val="24"/>
          <w:highlight w:val="none"/>
          <w:u w:val="single"/>
        </w:rPr>
        <w:t>分</w:t>
      </w:r>
    </w:p>
    <w:p w14:paraId="4767FBB0">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开标地点（网址）：</w:t>
      </w:r>
      <w:r>
        <w:rPr>
          <w:rFonts w:hint="eastAsia" w:asciiTheme="minorEastAsia" w:hAnsiTheme="minorEastAsia" w:eastAsiaTheme="minorEastAsia" w:cstheme="minorEastAsia"/>
          <w:color w:val="auto"/>
          <w:sz w:val="24"/>
          <w:highlight w:val="none"/>
        </w:rPr>
        <w:t>乐采云平台（www.lecaiyun.com）</w:t>
      </w:r>
    </w:p>
    <w:p w14:paraId="54B15348">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五、其他补充事宜</w:t>
      </w:r>
    </w:p>
    <w:p w14:paraId="6DC900A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501807B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其他事项：电子招投标的说明：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采购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w:t>
      </w:r>
    </w:p>
    <w:p w14:paraId="79A08979">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六、对本次交易提出异议、投诉，请按以下方式联系</w:t>
      </w:r>
    </w:p>
    <w:p w14:paraId="18244138">
      <w:pPr>
        <w:widowControl/>
        <w:spacing w:line="360" w:lineRule="auto"/>
        <w:ind w:firstLine="480" w:firstLineChars="200"/>
        <w:jc w:val="left"/>
        <w:rPr>
          <w:rFonts w:ascii="宋体" w:hAnsi="宋体" w:cs="宋体"/>
          <w:color w:val="auto"/>
          <w:sz w:val="24"/>
          <w:szCs w:val="28"/>
          <w:highlight w:val="none"/>
        </w:rPr>
      </w:pPr>
      <w:r>
        <w:rPr>
          <w:rFonts w:hint="eastAsia" w:ascii="宋体" w:hAnsi="宋体" w:cs="宋体"/>
          <w:color w:val="auto"/>
          <w:sz w:val="24"/>
          <w:szCs w:val="28"/>
          <w:highlight w:val="none"/>
        </w:rPr>
        <w:t>1、交易发起人信息</w:t>
      </w:r>
    </w:p>
    <w:p w14:paraId="6E8C303C">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val="en-US" w:eastAsia="zh-CN"/>
        </w:rPr>
        <w:t>杭州市萧山区文化和广电旅游体育局</w:t>
      </w:r>
    </w:p>
    <w:p w14:paraId="7E4CAD32">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杭州市萧山区市心中路958号文化中心</w:t>
      </w:r>
    </w:p>
    <w:p w14:paraId="4DE24FA2">
      <w:pPr>
        <w:spacing w:line="360" w:lineRule="auto"/>
        <w:ind w:firstLine="480" w:firstLineChars="200"/>
        <w:jc w:val="left"/>
        <w:rPr>
          <w:rFonts w:hint="default" w:ascii="宋体" w:hAnsi="宋体" w:cs="宋体"/>
          <w:color w:val="auto"/>
          <w:sz w:val="24"/>
          <w:highlight w:val="none"/>
          <w:lang w:val="en-US"/>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毛晓江</w:t>
      </w:r>
    </w:p>
    <w:p w14:paraId="529902EA">
      <w:pPr>
        <w:spacing w:line="360" w:lineRule="auto"/>
        <w:ind w:firstLine="480" w:firstLineChars="200"/>
        <w:rPr>
          <w:rFonts w:hint="default" w:ascii="仿宋" w:hAnsi="仿宋" w:eastAsia="仿宋" w:cs="仿宋"/>
          <w:color w:val="auto"/>
          <w:sz w:val="24"/>
          <w:szCs w:val="28"/>
          <w:highlight w:val="none"/>
          <w:lang w:val="en-US"/>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0571-83890965</w:t>
      </w:r>
    </w:p>
    <w:p w14:paraId="50432C57">
      <w:pPr>
        <w:spacing w:line="360" w:lineRule="auto"/>
        <w:ind w:firstLine="480" w:firstLineChars="200"/>
        <w:jc w:val="left"/>
        <w:rPr>
          <w:rFonts w:ascii="宋体" w:hAnsi="宋体" w:cs="宋体"/>
          <w:color w:val="auto"/>
          <w:sz w:val="24"/>
          <w:szCs w:val="28"/>
          <w:highlight w:val="none"/>
        </w:rPr>
      </w:pPr>
      <w:bookmarkStart w:id="10" w:name="_Toc28359086"/>
      <w:bookmarkStart w:id="11" w:name="_Toc28359009"/>
      <w:r>
        <w:rPr>
          <w:rFonts w:hint="eastAsia" w:ascii="宋体" w:hAnsi="宋体" w:cs="宋体"/>
          <w:color w:val="auto"/>
          <w:sz w:val="24"/>
          <w:szCs w:val="28"/>
          <w:highlight w:val="none"/>
        </w:rPr>
        <w:t>2</w:t>
      </w:r>
      <w:bookmarkEnd w:id="10"/>
      <w:bookmarkEnd w:id="11"/>
      <w:r>
        <w:rPr>
          <w:rFonts w:hint="eastAsia" w:ascii="宋体" w:hAnsi="宋体" w:cs="宋体"/>
          <w:color w:val="auto"/>
          <w:sz w:val="24"/>
          <w:szCs w:val="28"/>
          <w:highlight w:val="none"/>
        </w:rPr>
        <w:t>、代理机构信息</w:t>
      </w:r>
    </w:p>
    <w:p w14:paraId="705A043A">
      <w:pPr>
        <w:spacing w:line="360" w:lineRule="auto"/>
        <w:ind w:firstLine="480" w:firstLineChars="200"/>
        <w:jc w:val="left"/>
        <w:rPr>
          <w:rFonts w:ascii="宋体" w:hAnsi="宋体" w:cs="宋体"/>
          <w:color w:val="auto"/>
          <w:sz w:val="24"/>
          <w:szCs w:val="28"/>
          <w:highlight w:val="none"/>
        </w:rPr>
      </w:pPr>
      <w:r>
        <w:rPr>
          <w:rFonts w:hint="eastAsia" w:ascii="宋体" w:hAnsi="宋体" w:cs="宋体"/>
          <w:color w:val="auto"/>
          <w:sz w:val="24"/>
          <w:szCs w:val="28"/>
          <w:highlight w:val="none"/>
        </w:rPr>
        <w:t>名称：杭州博望建设工程招标投标代理有限公司</w:t>
      </w:r>
    </w:p>
    <w:p w14:paraId="0D8589C0">
      <w:pPr>
        <w:spacing w:line="360" w:lineRule="auto"/>
        <w:ind w:firstLine="480" w:firstLineChars="200"/>
        <w:jc w:val="left"/>
        <w:rPr>
          <w:rFonts w:ascii="宋体" w:hAnsi="宋体" w:cs="宋体"/>
          <w:color w:val="auto"/>
          <w:sz w:val="24"/>
          <w:szCs w:val="28"/>
          <w:highlight w:val="none"/>
        </w:rPr>
      </w:pPr>
      <w:r>
        <w:rPr>
          <w:rFonts w:hint="eastAsia" w:ascii="宋体" w:hAnsi="宋体" w:cs="宋体"/>
          <w:color w:val="auto"/>
          <w:sz w:val="24"/>
          <w:szCs w:val="28"/>
          <w:highlight w:val="none"/>
        </w:rPr>
        <w:t>地址：杭州市萧山区金城路433号天汇园一幢A座5楼</w:t>
      </w:r>
    </w:p>
    <w:p w14:paraId="22195262">
      <w:pPr>
        <w:spacing w:line="360" w:lineRule="auto"/>
        <w:ind w:firstLine="480" w:firstLineChars="200"/>
        <w:jc w:val="left"/>
        <w:rPr>
          <w:rFonts w:ascii="宋体" w:hAnsi="宋体" w:cs="宋体"/>
          <w:color w:val="auto"/>
          <w:sz w:val="24"/>
          <w:szCs w:val="28"/>
          <w:highlight w:val="none"/>
        </w:rPr>
      </w:pPr>
      <w:r>
        <w:rPr>
          <w:rFonts w:hint="eastAsia" w:ascii="宋体" w:hAnsi="宋体" w:cs="宋体"/>
          <w:color w:val="auto"/>
          <w:sz w:val="24"/>
          <w:szCs w:val="28"/>
          <w:highlight w:val="none"/>
        </w:rPr>
        <w:t>项目联系人（询问）：</w:t>
      </w:r>
      <w:r>
        <w:rPr>
          <w:rFonts w:hint="eastAsia" w:ascii="宋体" w:hAnsi="宋体" w:cs="宋体"/>
          <w:color w:val="auto"/>
          <w:sz w:val="24"/>
          <w:szCs w:val="28"/>
          <w:highlight w:val="none"/>
          <w:lang w:val="en-US" w:eastAsia="zh-CN"/>
        </w:rPr>
        <w:t>范梦迪</w:t>
      </w:r>
    </w:p>
    <w:p w14:paraId="37F04134">
      <w:pPr>
        <w:spacing w:line="360" w:lineRule="auto"/>
        <w:ind w:firstLine="480" w:firstLineChars="200"/>
        <w:jc w:val="left"/>
        <w:rPr>
          <w:rFonts w:ascii="宋体" w:hAnsi="宋体" w:cs="宋体"/>
          <w:color w:val="auto"/>
          <w:sz w:val="24"/>
          <w:szCs w:val="28"/>
          <w:highlight w:val="none"/>
        </w:rPr>
      </w:pPr>
      <w:r>
        <w:rPr>
          <w:rFonts w:hint="eastAsia" w:ascii="宋体" w:hAnsi="宋体" w:cs="宋体"/>
          <w:color w:val="auto"/>
          <w:sz w:val="24"/>
          <w:szCs w:val="28"/>
          <w:highlight w:val="none"/>
        </w:rPr>
        <w:t>项目联系方式（询问）：0571-838812</w:t>
      </w:r>
      <w:r>
        <w:rPr>
          <w:rFonts w:hint="eastAsia" w:ascii="宋体" w:hAnsi="宋体" w:cs="宋体"/>
          <w:color w:val="auto"/>
          <w:sz w:val="24"/>
          <w:szCs w:val="28"/>
          <w:highlight w:val="none"/>
          <w:lang w:val="en-US" w:eastAsia="zh-CN"/>
        </w:rPr>
        <w:t>0</w:t>
      </w:r>
      <w:r>
        <w:rPr>
          <w:rFonts w:hint="eastAsia" w:ascii="宋体" w:hAnsi="宋体" w:cs="宋体"/>
          <w:color w:val="auto"/>
          <w:sz w:val="24"/>
          <w:szCs w:val="28"/>
          <w:highlight w:val="none"/>
        </w:rPr>
        <w:t>8</w:t>
      </w:r>
    </w:p>
    <w:p w14:paraId="791577F3">
      <w:pPr>
        <w:spacing w:line="360" w:lineRule="auto"/>
        <w:ind w:firstLine="480" w:firstLineChars="200"/>
        <w:rPr>
          <w:rFonts w:hint="eastAsia" w:asciiTheme="minorEastAsia" w:hAnsiTheme="minorEastAsia" w:eastAsiaTheme="minorEastAsia" w:cstheme="minorEastAsia"/>
          <w:color w:val="auto"/>
          <w:sz w:val="24"/>
          <w:highlight w:val="none"/>
        </w:rPr>
      </w:pPr>
    </w:p>
    <w:p w14:paraId="22907040">
      <w:pPr>
        <w:spacing w:line="360" w:lineRule="auto"/>
        <w:ind w:firstLine="480" w:firstLineChars="200"/>
        <w:rPr>
          <w:rFonts w:hint="eastAsia" w:asciiTheme="minorEastAsia" w:hAnsiTheme="minorEastAsia" w:eastAsiaTheme="minorEastAsia" w:cstheme="minorEastAsia"/>
          <w:color w:val="auto"/>
          <w:sz w:val="24"/>
          <w:highlight w:val="none"/>
        </w:rPr>
      </w:pPr>
    </w:p>
    <w:p w14:paraId="6AAEE71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若对项目电子交易系统操作有疑问，可登录乐采云平台（www.lecaiyun.com），点击右侧咨询小采，获取采小蜜智能服务管家帮助，或拨打乐采云服务热线95763获取热线服务帮助。</w:t>
      </w:r>
    </w:p>
    <w:p w14:paraId="6A2B2A2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CA问题联系电话（人工）：汇信CA 400-888-4636；天谷CA 400-087-8198。</w:t>
      </w:r>
    </w:p>
    <w:p w14:paraId="2B10344A">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第二部分</w:t>
      </w:r>
      <w:bookmarkEnd w:id="7"/>
      <w:r>
        <w:rPr>
          <w:rFonts w:hint="eastAsia" w:asciiTheme="minorEastAsia" w:hAnsiTheme="minorEastAsia" w:eastAsiaTheme="minorEastAsia" w:cstheme="minorEastAsia"/>
          <w:b/>
          <w:color w:val="auto"/>
          <w:sz w:val="36"/>
          <w:szCs w:val="20"/>
          <w:highlight w:val="none"/>
        </w:rPr>
        <w:t>响应人须知</w:t>
      </w:r>
      <w:bookmarkEnd w:id="8"/>
    </w:p>
    <w:p w14:paraId="51F7CC4C">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706"/>
      </w:tblGrid>
      <w:tr w14:paraId="564EA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4E6E182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vAlign w:val="center"/>
          </w:tcPr>
          <w:p w14:paraId="5A19EF1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706" w:type="dxa"/>
            <w:vAlign w:val="center"/>
          </w:tcPr>
          <w:p w14:paraId="7C7841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14:paraId="67352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4" w:hRule="atLeast"/>
          <w:tblHeader/>
          <w:jc w:val="center"/>
        </w:trPr>
        <w:tc>
          <w:tcPr>
            <w:tcW w:w="629" w:type="dxa"/>
            <w:vAlign w:val="center"/>
          </w:tcPr>
          <w:p w14:paraId="751BA46B">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vAlign w:val="center"/>
          </w:tcPr>
          <w:p w14:paraId="317176DE">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项目属性</w:t>
            </w:r>
          </w:p>
        </w:tc>
        <w:tc>
          <w:tcPr>
            <w:tcW w:w="6706" w:type="dxa"/>
            <w:vAlign w:val="center"/>
          </w:tcPr>
          <w:p w14:paraId="7C1A74C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A货物类</w:t>
            </w:r>
            <w:r>
              <w:rPr>
                <w:rFonts w:hint="eastAsia" w:asciiTheme="minorEastAsia" w:hAnsiTheme="minorEastAsia" w:eastAsiaTheme="minorEastAsia" w:cstheme="minorEastAsia"/>
                <w:color w:val="auto"/>
                <w:sz w:val="24"/>
                <w:highlight w:val="none"/>
              </w:rPr>
              <w:t>。</w:t>
            </w:r>
          </w:p>
          <w:p w14:paraId="1D62DAA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B服务类</w:t>
            </w:r>
            <w:r>
              <w:rPr>
                <w:rFonts w:hint="eastAsia" w:asciiTheme="minorEastAsia" w:hAnsiTheme="minorEastAsia" w:eastAsiaTheme="minorEastAsia" w:cstheme="minorEastAsia"/>
                <w:color w:val="auto"/>
                <w:sz w:val="24"/>
                <w:highlight w:val="none"/>
              </w:rPr>
              <w:t>。</w:t>
            </w:r>
          </w:p>
        </w:tc>
      </w:tr>
      <w:tr w14:paraId="22DE6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1" w:hRule="atLeast"/>
          <w:tblHeader/>
          <w:jc w:val="center"/>
        </w:trPr>
        <w:tc>
          <w:tcPr>
            <w:tcW w:w="629" w:type="dxa"/>
          </w:tcPr>
          <w:p w14:paraId="4C551FB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p w14:paraId="5971C1A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p>
          <w:p w14:paraId="1BB7DFD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vAlign w:val="center"/>
          </w:tcPr>
          <w:p w14:paraId="3D763C02">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采购标的对应的中小企业划分标准所属行业</w:t>
            </w:r>
          </w:p>
        </w:tc>
        <w:tc>
          <w:tcPr>
            <w:tcW w:w="6706" w:type="dxa"/>
            <w:vAlign w:val="center"/>
          </w:tcPr>
          <w:p w14:paraId="513F3D55">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A适用</w:t>
            </w:r>
            <w:r>
              <w:rPr>
                <w:rFonts w:hint="eastAsia" w:asciiTheme="minorEastAsia" w:hAnsiTheme="minorEastAsia" w:eastAsiaTheme="minorEastAsia" w:cstheme="minorEastAsia"/>
                <w:color w:val="auto"/>
                <w:sz w:val="24"/>
                <w:highlight w:val="none"/>
              </w:rPr>
              <w:t>。</w:t>
            </w:r>
          </w:p>
          <w:p w14:paraId="06BAFE3A">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B不适用</w:t>
            </w:r>
            <w:r>
              <w:rPr>
                <w:rFonts w:hint="eastAsia" w:asciiTheme="minorEastAsia" w:hAnsiTheme="minorEastAsia" w:eastAsiaTheme="minorEastAsia" w:cstheme="minorEastAsia"/>
                <w:color w:val="auto"/>
                <w:sz w:val="24"/>
                <w:highlight w:val="none"/>
              </w:rPr>
              <w:t>。</w:t>
            </w:r>
          </w:p>
        </w:tc>
      </w:tr>
      <w:tr w14:paraId="17B1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798870D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vAlign w:val="center"/>
          </w:tcPr>
          <w:p w14:paraId="3985D5B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是否允许采购进口产品</w:t>
            </w:r>
          </w:p>
        </w:tc>
        <w:tc>
          <w:tcPr>
            <w:tcW w:w="6706" w:type="dxa"/>
            <w:vAlign w:val="center"/>
          </w:tcPr>
          <w:p w14:paraId="7750B4F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szCs w:val="32"/>
                <w:highlight w:val="none"/>
              </w:rPr>
              <w:t>本项目不允许采购进口产品。</w:t>
            </w:r>
          </w:p>
        </w:tc>
      </w:tr>
      <w:tr w14:paraId="4BCFF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3" w:hRule="atLeast"/>
          <w:tblHeader/>
          <w:jc w:val="center"/>
        </w:trPr>
        <w:tc>
          <w:tcPr>
            <w:tcW w:w="629" w:type="dxa"/>
            <w:vAlign w:val="center"/>
          </w:tcPr>
          <w:p w14:paraId="3B9CFF6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vAlign w:val="center"/>
          </w:tcPr>
          <w:p w14:paraId="4EB65C1C">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w:t>
            </w:r>
          </w:p>
        </w:tc>
        <w:tc>
          <w:tcPr>
            <w:tcW w:w="6706" w:type="dxa"/>
            <w:vAlign w:val="center"/>
          </w:tcPr>
          <w:p w14:paraId="363F9FC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B</w:t>
            </w:r>
            <w:r>
              <w:rPr>
                <w:rFonts w:hint="eastAsia" w:asciiTheme="minorEastAsia" w:hAnsiTheme="minorEastAsia" w:eastAsiaTheme="minorEastAsia" w:cstheme="minorEastAsia"/>
                <w:bCs/>
                <w:color w:val="auto"/>
                <w:sz w:val="24"/>
                <w:highlight w:val="none"/>
              </w:rPr>
              <w:t>不同意分包。</w:t>
            </w:r>
          </w:p>
        </w:tc>
      </w:tr>
      <w:tr w14:paraId="49F09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8" w:hRule="atLeast"/>
          <w:tblHeader/>
          <w:jc w:val="center"/>
        </w:trPr>
        <w:tc>
          <w:tcPr>
            <w:tcW w:w="629" w:type="dxa"/>
            <w:vAlign w:val="center"/>
          </w:tcPr>
          <w:p w14:paraId="40917F77">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vAlign w:val="center"/>
          </w:tcPr>
          <w:p w14:paraId="6ED1FC9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6706" w:type="dxa"/>
            <w:vAlign w:val="center"/>
          </w:tcPr>
          <w:p w14:paraId="29ABF28F">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szCs w:val="20"/>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A</w:t>
            </w:r>
            <w:r>
              <w:rPr>
                <w:rFonts w:hint="eastAsia" w:asciiTheme="minorEastAsia" w:hAnsiTheme="minorEastAsia" w:eastAsiaTheme="minorEastAsia" w:cstheme="minorEastAsia"/>
                <w:bCs/>
                <w:color w:val="auto"/>
                <w:sz w:val="24"/>
                <w:highlight w:val="none"/>
              </w:rPr>
              <w:t>不组织。</w:t>
            </w:r>
          </w:p>
        </w:tc>
      </w:tr>
      <w:tr w14:paraId="2474C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343FB7A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vAlign w:val="center"/>
          </w:tcPr>
          <w:p w14:paraId="7051290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6706" w:type="dxa"/>
            <w:vAlign w:val="center"/>
          </w:tcPr>
          <w:p w14:paraId="332BE89C">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（√）A不要求提供。</w:t>
            </w:r>
          </w:p>
        </w:tc>
      </w:tr>
      <w:tr w14:paraId="6AFF6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tblHeader/>
          <w:jc w:val="center"/>
        </w:trPr>
        <w:tc>
          <w:tcPr>
            <w:tcW w:w="629" w:type="dxa"/>
            <w:vAlign w:val="center"/>
          </w:tcPr>
          <w:p w14:paraId="1F96D9D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vAlign w:val="center"/>
          </w:tcPr>
          <w:p w14:paraId="7F6F38F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现场讲解</w:t>
            </w:r>
          </w:p>
        </w:tc>
        <w:tc>
          <w:tcPr>
            <w:tcW w:w="6706" w:type="dxa"/>
            <w:vAlign w:val="center"/>
          </w:tcPr>
          <w:p w14:paraId="5B83678D">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（√）A不组织。</w:t>
            </w:r>
          </w:p>
          <w:p w14:paraId="0A1AFCC2">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  ）B组织。</w:t>
            </w:r>
          </w:p>
        </w:tc>
      </w:tr>
      <w:tr w14:paraId="5B5D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78BFF4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vAlign w:val="center"/>
          </w:tcPr>
          <w:p w14:paraId="1AF805A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响应人应当提供的资格证明文件</w:t>
            </w:r>
          </w:p>
        </w:tc>
        <w:tc>
          <w:tcPr>
            <w:tcW w:w="6706" w:type="dxa"/>
            <w:vAlign w:val="center"/>
          </w:tcPr>
          <w:p w14:paraId="65B42AF9">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（1）资格证明文件：见公开竞争文件第二部分10.1。</w:t>
            </w:r>
          </w:p>
          <w:p w14:paraId="2F22D8A4">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snapToGrid w:val="0"/>
                <w:color w:val="auto"/>
                <w:kern w:val="0"/>
                <w:szCs w:val="21"/>
                <w:highlight w:val="none"/>
              </w:rPr>
            </w:pPr>
            <w:r>
              <w:rPr>
                <w:rFonts w:hint="eastAsia" w:asciiTheme="minorEastAsia" w:hAnsiTheme="minorEastAsia" w:eastAsiaTheme="minorEastAsia" w:cstheme="minorEastAsia"/>
                <w:color w:val="auto"/>
                <w:kern w:val="0"/>
                <w:sz w:val="24"/>
                <w:highlight w:val="none"/>
                <w:lang w:val="zh-CN"/>
              </w:rPr>
              <w:t>响应人未提供有效的资格证明文件的，视为响应人不具备公开竞争文件中规定的资格要求，交易无效。</w:t>
            </w:r>
          </w:p>
        </w:tc>
      </w:tr>
      <w:tr w14:paraId="6511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4785FBA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vAlign w:val="center"/>
          </w:tcPr>
          <w:p w14:paraId="1DA9A123">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6706" w:type="dxa"/>
            <w:vAlign w:val="center"/>
          </w:tcPr>
          <w:p w14:paraId="244E507D">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有关本项目实施所需的所有费用（含税费）均计入报价。</w:t>
            </w:r>
            <w:r>
              <w:rPr>
                <w:rFonts w:hint="eastAsia" w:asciiTheme="minorEastAsia" w:hAnsiTheme="minorEastAsia" w:eastAsiaTheme="minorEastAsia" w:cstheme="minorEastAsia"/>
                <w:bCs/>
                <w:color w:val="auto"/>
                <w:kern w:val="0"/>
                <w:sz w:val="24"/>
                <w:highlight w:val="none"/>
              </w:rPr>
              <w:t>交易一览表（报价表）是报价的唯一载体</w:t>
            </w:r>
            <w:r>
              <w:rPr>
                <w:rFonts w:hint="eastAsia" w:asciiTheme="minorEastAsia" w:hAnsiTheme="minorEastAsia" w:eastAsiaTheme="minorEastAsia" w:cstheme="minorEastAsia"/>
                <w:bCs/>
                <w:color w:val="auto"/>
                <w:kern w:val="0"/>
                <w:sz w:val="24"/>
                <w:highlight w:val="none"/>
                <w:lang w:val="zh-CN"/>
              </w:rPr>
              <w:t>。响应文件中价格全部采用人民币报价。公开竞争文件未列明，而响应人认为必需的费用也需列入报价。</w:t>
            </w:r>
          </w:p>
          <w:p w14:paraId="15DD722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交易报价出现下列情形的，交易无效：</w:t>
            </w:r>
          </w:p>
          <w:p w14:paraId="116D71E7">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响应文件出现不是唯一的、有选择性交易报价的；</w:t>
            </w:r>
          </w:p>
          <w:p w14:paraId="4EED42CE">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交易报价超过公开竞争文件中规定的预算金额或者最高限价的；</w:t>
            </w:r>
          </w:p>
          <w:p w14:paraId="0DD247A1">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14:paraId="37D95389">
            <w:pPr>
              <w:keepNext w:val="0"/>
              <w:keepLines w:val="0"/>
              <w:pageBreakBefore w:val="0"/>
              <w:widowControl w:val="0"/>
              <w:kinsoku/>
              <w:wordWrap/>
              <w:overflowPunct/>
              <w:topLinePunct w:val="0"/>
              <w:autoSpaceDE/>
              <w:autoSpaceDN/>
              <w:bidi w:val="0"/>
              <w:adjustRightInd w:val="0"/>
              <w:spacing w:line="420" w:lineRule="exact"/>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rPr>
              <w:t>响应人对根据修正原则修正后的报价不确认的。</w:t>
            </w:r>
          </w:p>
        </w:tc>
      </w:tr>
      <w:tr w14:paraId="1A657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9" w:hRule="atLeast"/>
          <w:tblHeader/>
          <w:jc w:val="center"/>
        </w:trPr>
        <w:tc>
          <w:tcPr>
            <w:tcW w:w="629" w:type="dxa"/>
            <w:vAlign w:val="center"/>
          </w:tcPr>
          <w:p w14:paraId="78A09560">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vAlign w:val="center"/>
          </w:tcPr>
          <w:p w14:paraId="5E40673A">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备份响应文件</w:t>
            </w:r>
          </w:p>
        </w:tc>
        <w:tc>
          <w:tcPr>
            <w:tcW w:w="6706" w:type="dxa"/>
            <w:vAlign w:val="center"/>
          </w:tcPr>
          <w:p w14:paraId="6F2C1E85">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备份文件是否收取：不收取。</w:t>
            </w:r>
          </w:p>
          <w:p w14:paraId="5598676C">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b/>
                <w:color w:val="auto"/>
                <w:sz w:val="24"/>
                <w:highlight w:val="none"/>
              </w:rPr>
              <w:t>成交单位在成交后提供纸质响应文件一正二副。</w:t>
            </w:r>
          </w:p>
        </w:tc>
      </w:tr>
      <w:tr w14:paraId="09A8C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tblHeader/>
          <w:jc w:val="center"/>
        </w:trPr>
        <w:tc>
          <w:tcPr>
            <w:tcW w:w="629" w:type="dxa"/>
            <w:vAlign w:val="center"/>
          </w:tcPr>
          <w:p w14:paraId="0BB0E79F">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vAlign w:val="center"/>
          </w:tcPr>
          <w:p w14:paraId="06D781CD">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代理机构代理费用</w:t>
            </w:r>
          </w:p>
        </w:tc>
        <w:tc>
          <w:tcPr>
            <w:tcW w:w="6706" w:type="dxa"/>
            <w:vAlign w:val="center"/>
          </w:tcPr>
          <w:p w14:paraId="2203E28F">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本项目采购代理费</w:t>
            </w:r>
            <w:r>
              <w:rPr>
                <w:rFonts w:hint="eastAsia" w:asciiTheme="minorEastAsia" w:hAnsiTheme="minorEastAsia" w:eastAsiaTheme="minorEastAsia" w:cstheme="minorEastAsia"/>
                <w:bCs/>
                <w:color w:val="auto"/>
                <w:kern w:val="0"/>
                <w:sz w:val="24"/>
                <w:highlight w:val="none"/>
                <w:lang w:val="en-US" w:eastAsia="zh-CN"/>
              </w:rPr>
              <w:t>等费用</w:t>
            </w:r>
            <w:r>
              <w:rPr>
                <w:rFonts w:hint="eastAsia" w:asciiTheme="minorEastAsia" w:hAnsiTheme="minorEastAsia" w:eastAsiaTheme="minorEastAsia" w:cstheme="minorEastAsia"/>
                <w:bCs/>
                <w:color w:val="auto"/>
                <w:kern w:val="0"/>
                <w:sz w:val="24"/>
                <w:highlight w:val="none"/>
              </w:rPr>
              <w:t>由</w:t>
            </w:r>
            <w:r>
              <w:rPr>
                <w:rFonts w:hint="eastAsia" w:asciiTheme="minorEastAsia" w:hAnsiTheme="minorEastAsia" w:eastAsiaTheme="minorEastAsia" w:cstheme="minorEastAsia"/>
                <w:bCs/>
                <w:color w:val="auto"/>
                <w:kern w:val="0"/>
                <w:sz w:val="24"/>
                <w:highlight w:val="none"/>
                <w:lang w:val="en-US" w:eastAsia="zh-CN"/>
              </w:rPr>
              <w:t>成交</w:t>
            </w:r>
            <w:r>
              <w:rPr>
                <w:rFonts w:hint="eastAsia" w:asciiTheme="minorEastAsia" w:hAnsiTheme="minorEastAsia" w:eastAsiaTheme="minorEastAsia" w:cstheme="minorEastAsia"/>
                <w:bCs/>
                <w:color w:val="auto"/>
                <w:kern w:val="0"/>
                <w:sz w:val="24"/>
                <w:highlight w:val="none"/>
              </w:rPr>
              <w:t>人支付，</w:t>
            </w:r>
            <w:r>
              <w:rPr>
                <w:rFonts w:hint="eastAsia" w:asciiTheme="minorEastAsia" w:hAnsiTheme="minorEastAsia" w:eastAsiaTheme="minorEastAsia" w:cstheme="minorEastAsia"/>
                <w:bCs/>
                <w:color w:val="auto"/>
                <w:kern w:val="0"/>
                <w:sz w:val="24"/>
                <w:highlight w:val="none"/>
                <w:lang w:val="en-US" w:eastAsia="zh-CN"/>
              </w:rPr>
              <w:t>按伍仟壹佰元整收取</w:t>
            </w:r>
            <w:r>
              <w:rPr>
                <w:rFonts w:hint="eastAsia" w:asciiTheme="minorEastAsia" w:hAnsiTheme="minorEastAsia" w:eastAsiaTheme="minorEastAsia" w:cstheme="minorEastAsia"/>
                <w:bCs/>
                <w:color w:val="auto"/>
                <w:kern w:val="0"/>
                <w:sz w:val="24"/>
                <w:highlight w:val="none"/>
              </w:rPr>
              <w:t>。</w:t>
            </w:r>
            <w:r>
              <w:rPr>
                <w:rFonts w:hint="eastAsia" w:asciiTheme="minorEastAsia" w:hAnsiTheme="minorEastAsia" w:eastAsiaTheme="minorEastAsia" w:cstheme="minorEastAsia"/>
                <w:bCs/>
                <w:color w:val="auto"/>
                <w:kern w:val="0"/>
                <w:sz w:val="24"/>
                <w:highlight w:val="none"/>
                <w:lang w:val="en-US" w:eastAsia="zh-CN"/>
              </w:rPr>
              <w:t>成交</w:t>
            </w:r>
            <w:r>
              <w:rPr>
                <w:rFonts w:hint="eastAsia" w:asciiTheme="minorEastAsia" w:hAnsiTheme="minorEastAsia" w:eastAsiaTheme="minorEastAsia" w:cstheme="minorEastAsia"/>
                <w:bCs/>
                <w:color w:val="auto"/>
                <w:kern w:val="0"/>
                <w:sz w:val="24"/>
                <w:highlight w:val="none"/>
              </w:rPr>
              <w:t>人应在接到</w:t>
            </w:r>
            <w:r>
              <w:rPr>
                <w:rFonts w:hint="eastAsia" w:asciiTheme="minorEastAsia" w:hAnsiTheme="minorEastAsia" w:eastAsiaTheme="minorEastAsia" w:cstheme="minorEastAsia"/>
                <w:bCs/>
                <w:color w:val="auto"/>
                <w:kern w:val="0"/>
                <w:sz w:val="24"/>
                <w:highlight w:val="none"/>
                <w:lang w:val="en-US" w:eastAsia="zh-CN"/>
              </w:rPr>
              <w:t>成交</w:t>
            </w:r>
            <w:r>
              <w:rPr>
                <w:rFonts w:hint="eastAsia" w:asciiTheme="minorEastAsia" w:hAnsiTheme="minorEastAsia" w:eastAsiaTheme="minorEastAsia" w:cstheme="minorEastAsia"/>
                <w:bCs/>
                <w:color w:val="auto"/>
                <w:kern w:val="0"/>
                <w:sz w:val="24"/>
                <w:highlight w:val="none"/>
              </w:rPr>
              <w:t>通知书后两个工作日内向采购代理机构支付采购代理费。采购代理服务费须包含在投标报价中，并以人民币方式支付。</w:t>
            </w:r>
          </w:p>
          <w:p w14:paraId="5169E6CD">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缴纳账号：</w:t>
            </w:r>
          </w:p>
          <w:p w14:paraId="3FA1F4B2">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开户银行：上海浦东发展银行萧山支行</w:t>
            </w:r>
          </w:p>
          <w:p w14:paraId="69BFF1E0">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账户名称：杭州博望建设工程招标投标代理有限公司</w:t>
            </w:r>
          </w:p>
          <w:p w14:paraId="37B8505F">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银行账号：95070154740001005</w:t>
            </w:r>
          </w:p>
          <w:p w14:paraId="61D20637">
            <w:pPr>
              <w:pageBreakBefore w:val="0"/>
              <w:widowControl w:val="0"/>
              <w:kinsoku/>
              <w:wordWrap/>
              <w:overflowPunct/>
              <w:topLinePunct w:val="0"/>
              <w:autoSpaceDE/>
              <w:autoSpaceDN/>
              <w:bidi w:val="0"/>
              <w:snapToGrid w:val="0"/>
              <w:spacing w:line="38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联系电话：0571-82373980</w:t>
            </w:r>
          </w:p>
        </w:tc>
      </w:tr>
      <w:tr w14:paraId="43A5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2" w:hRule="atLeast"/>
          <w:tblHeader/>
          <w:jc w:val="center"/>
        </w:trPr>
        <w:tc>
          <w:tcPr>
            <w:tcW w:w="629" w:type="dxa"/>
            <w:vAlign w:val="center"/>
          </w:tcPr>
          <w:p w14:paraId="222D4854">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Cs/>
                <w:color w:val="auto"/>
                <w:sz w:val="24"/>
                <w:highlight w:val="none"/>
              </w:rPr>
              <w:t>12</w:t>
            </w:r>
          </w:p>
        </w:tc>
        <w:tc>
          <w:tcPr>
            <w:tcW w:w="1843" w:type="dxa"/>
            <w:vAlign w:val="center"/>
          </w:tcPr>
          <w:p w14:paraId="3AEB6211">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履约保证金</w:t>
            </w:r>
          </w:p>
        </w:tc>
        <w:tc>
          <w:tcPr>
            <w:tcW w:w="6706" w:type="dxa"/>
            <w:vAlign w:val="center"/>
          </w:tcPr>
          <w:p w14:paraId="3997C862">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不收取。</w:t>
            </w:r>
          </w:p>
        </w:tc>
      </w:tr>
      <w:tr w14:paraId="11475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3" w:hRule="atLeast"/>
          <w:tblHeader/>
          <w:jc w:val="center"/>
        </w:trPr>
        <w:tc>
          <w:tcPr>
            <w:tcW w:w="629" w:type="dxa"/>
            <w:vAlign w:val="center"/>
          </w:tcPr>
          <w:p w14:paraId="2A08EAD6">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13</w:t>
            </w:r>
          </w:p>
        </w:tc>
        <w:tc>
          <w:tcPr>
            <w:tcW w:w="1843" w:type="dxa"/>
            <w:vAlign w:val="center"/>
          </w:tcPr>
          <w:p w14:paraId="7196ADA9">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资格审查和信用信息审查</w:t>
            </w:r>
          </w:p>
        </w:tc>
        <w:tc>
          <w:tcPr>
            <w:tcW w:w="6706" w:type="dxa"/>
            <w:vAlign w:val="center"/>
          </w:tcPr>
          <w:p w14:paraId="04E9C79C">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本项目由交易发起人进行资格文件及信用信息查询。</w:t>
            </w:r>
          </w:p>
        </w:tc>
      </w:tr>
      <w:tr w14:paraId="614DE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jc w:val="center"/>
        </w:trPr>
        <w:tc>
          <w:tcPr>
            <w:tcW w:w="629" w:type="dxa"/>
            <w:vAlign w:val="center"/>
          </w:tcPr>
          <w:p w14:paraId="295A103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14</w:t>
            </w:r>
          </w:p>
        </w:tc>
        <w:tc>
          <w:tcPr>
            <w:tcW w:w="1843" w:type="dxa"/>
            <w:vAlign w:val="center"/>
          </w:tcPr>
          <w:p w14:paraId="5E187985">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异议接收人及答复</w:t>
            </w:r>
          </w:p>
        </w:tc>
        <w:tc>
          <w:tcPr>
            <w:tcW w:w="6706" w:type="dxa"/>
            <w:vAlign w:val="center"/>
          </w:tcPr>
          <w:p w14:paraId="5B80CA46">
            <w:pPr>
              <w:snapToGrid w:val="0"/>
              <w:spacing w:line="500" w:lineRule="exact"/>
              <w:rPr>
                <w:rFonts w:ascii="宋体" w:hAnsi="宋体" w:cs="宋体"/>
                <w:color w:val="auto"/>
                <w:sz w:val="24"/>
                <w:highlight w:val="none"/>
              </w:rPr>
            </w:pPr>
            <w:r>
              <w:rPr>
                <w:rFonts w:hint="eastAsia" w:ascii="宋体" w:hAnsi="宋体" w:cs="宋体"/>
                <w:color w:val="auto"/>
                <w:sz w:val="24"/>
                <w:highlight w:val="none"/>
              </w:rPr>
              <w:t>代理机构异议接收人：</w:t>
            </w:r>
            <w:r>
              <w:rPr>
                <w:rFonts w:hint="eastAsia" w:ascii="宋体" w:hAnsi="宋体" w:cs="宋体"/>
                <w:color w:val="auto"/>
                <w:sz w:val="24"/>
                <w:highlight w:val="none"/>
                <w:u w:val="single"/>
                <w:lang w:val="en-US" w:eastAsia="zh-CN"/>
              </w:rPr>
              <w:t>高华萍</w:t>
            </w:r>
            <w:r>
              <w:rPr>
                <w:rFonts w:hint="eastAsia" w:ascii="宋体" w:hAnsi="宋体" w:cs="宋体"/>
                <w:color w:val="auto"/>
                <w:sz w:val="24"/>
                <w:highlight w:val="none"/>
              </w:rPr>
              <w:t xml:space="preserve"> 联系方式：</w:t>
            </w:r>
            <w:r>
              <w:rPr>
                <w:rFonts w:hint="eastAsia" w:ascii="宋体" w:hAnsi="宋体" w:cs="宋体"/>
                <w:color w:val="auto"/>
                <w:sz w:val="24"/>
                <w:highlight w:val="none"/>
                <w:u w:val="single"/>
              </w:rPr>
              <w:t>0571-838812</w:t>
            </w:r>
            <w:r>
              <w:rPr>
                <w:rFonts w:hint="eastAsia" w:ascii="宋体" w:hAnsi="宋体" w:cs="宋体"/>
                <w:color w:val="auto"/>
                <w:sz w:val="24"/>
                <w:highlight w:val="none"/>
                <w:u w:val="single"/>
                <w:lang w:val="en-US" w:eastAsia="zh-CN"/>
              </w:rPr>
              <w:t>1</w:t>
            </w:r>
            <w:r>
              <w:rPr>
                <w:rFonts w:hint="eastAsia" w:ascii="宋体" w:hAnsi="宋体" w:cs="宋体"/>
                <w:color w:val="auto"/>
                <w:sz w:val="24"/>
                <w:highlight w:val="none"/>
                <w:u w:val="single"/>
              </w:rPr>
              <w:t>8</w:t>
            </w:r>
          </w:p>
          <w:p w14:paraId="61AED480">
            <w:pPr>
              <w:snapToGrid w:val="0"/>
              <w:spacing w:line="500" w:lineRule="exact"/>
              <w:rPr>
                <w:rFonts w:ascii="宋体" w:hAnsi="宋体" w:cs="宋体"/>
                <w:color w:val="auto"/>
                <w:sz w:val="24"/>
                <w:highlight w:val="none"/>
                <w:u w:val="single"/>
              </w:rPr>
            </w:pPr>
            <w:r>
              <w:rPr>
                <w:rFonts w:hint="eastAsia" w:ascii="宋体" w:hAnsi="宋体" w:cs="宋体"/>
                <w:color w:val="auto"/>
                <w:sz w:val="24"/>
                <w:highlight w:val="none"/>
              </w:rPr>
              <w:t>地址：</w:t>
            </w:r>
            <w:r>
              <w:rPr>
                <w:rFonts w:hint="eastAsia" w:ascii="宋体" w:hAnsi="宋体" w:cs="宋体"/>
                <w:color w:val="auto"/>
                <w:sz w:val="24"/>
                <w:highlight w:val="none"/>
                <w:u w:val="single"/>
              </w:rPr>
              <w:t>杭州市萧山区金城路433号天汇园一幢A座5楼</w:t>
            </w:r>
          </w:p>
          <w:p w14:paraId="26D5B53B">
            <w:pPr>
              <w:snapToGrid w:val="0"/>
              <w:spacing w:line="500" w:lineRule="exact"/>
              <w:rPr>
                <w:rFonts w:ascii="宋体" w:hAnsi="宋体" w:cs="宋体"/>
                <w:color w:val="auto"/>
                <w:sz w:val="24"/>
                <w:highlight w:val="none"/>
              </w:rPr>
            </w:pPr>
            <w:r>
              <w:rPr>
                <w:rFonts w:hint="eastAsia" w:ascii="宋体" w:hAnsi="宋体" w:cs="宋体"/>
                <w:color w:val="auto"/>
                <w:sz w:val="24"/>
                <w:highlight w:val="none"/>
              </w:rPr>
              <w:t>邮箱：</w:t>
            </w:r>
            <w:r>
              <w:rPr>
                <w:color w:val="auto"/>
                <w:highlight w:val="none"/>
              </w:rPr>
              <w:fldChar w:fldCharType="begin"/>
            </w:r>
            <w:r>
              <w:rPr>
                <w:color w:val="auto"/>
                <w:highlight w:val="none"/>
              </w:rPr>
              <w:instrText xml:space="preserve"> HYPERLINK "mailto:382733636@qq.com" </w:instrText>
            </w:r>
            <w:r>
              <w:rPr>
                <w:color w:val="auto"/>
                <w:highlight w:val="none"/>
              </w:rPr>
              <w:fldChar w:fldCharType="separate"/>
            </w:r>
            <w:r>
              <w:rPr>
                <w:rFonts w:hint="eastAsia" w:ascii="仿宋" w:hAnsi="仿宋" w:eastAsia="仿宋" w:cs="仿宋"/>
                <w:color w:val="auto"/>
                <w:sz w:val="24"/>
                <w:highlight w:val="none"/>
                <w:u w:val="single"/>
              </w:rPr>
              <w:t>492477800@qq.com</w:t>
            </w:r>
            <w:r>
              <w:rPr>
                <w:rFonts w:hint="eastAsia" w:ascii="仿宋" w:hAnsi="仿宋" w:eastAsia="仿宋" w:cs="仿宋"/>
                <w:color w:val="auto"/>
                <w:sz w:val="24"/>
                <w:highlight w:val="none"/>
                <w:u w:val="single"/>
              </w:rPr>
              <w:fldChar w:fldCharType="end"/>
            </w:r>
          </w:p>
          <w:p w14:paraId="6EC09CB1">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14:paraId="62C86208">
            <w:pPr>
              <w:keepNext w:val="0"/>
              <w:keepLines w:val="0"/>
              <w:pageBreakBefore w:val="0"/>
              <w:widowControl w:val="0"/>
              <w:kinsoku/>
              <w:wordWrap/>
              <w:overflowPunct/>
              <w:topLinePunct w:val="0"/>
              <w:autoSpaceDE/>
              <w:autoSpaceDN/>
              <w:bidi w:val="0"/>
              <w:adjustRightInd w:val="0"/>
              <w:snapToGrid w:val="0"/>
              <w:spacing w:line="42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本项目涉及资格条件、交易需求、评分办法及交易过程中有关现场考察或开标前答疑会事项由交易发起人进行答复。</w:t>
            </w:r>
          </w:p>
          <w:p w14:paraId="086F15E2">
            <w:pPr>
              <w:pStyle w:val="34"/>
              <w:keepNext w:val="0"/>
              <w:keepLines w:val="0"/>
              <w:pageBreakBefore w:val="0"/>
              <w:widowControl w:val="0"/>
              <w:kinsoku/>
              <w:wordWrap/>
              <w:overflowPunct/>
              <w:topLinePunct w:val="0"/>
              <w:autoSpaceDE/>
              <w:autoSpaceDN/>
              <w:bidi w:val="0"/>
              <w:adjustRightInd w:val="0"/>
              <w:spacing w:line="420" w:lineRule="exact"/>
              <w:ind w:hanging="4"/>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涉及流程组织等相关事项，由代理机构进行答复。</w:t>
            </w:r>
          </w:p>
        </w:tc>
      </w:tr>
      <w:tr w14:paraId="059B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2" w:hRule="atLeast"/>
          <w:tblHeader/>
          <w:jc w:val="center"/>
        </w:trPr>
        <w:tc>
          <w:tcPr>
            <w:tcW w:w="629" w:type="dxa"/>
            <w:vAlign w:val="center"/>
          </w:tcPr>
          <w:p w14:paraId="7A8F8548">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1843" w:type="dxa"/>
            <w:vAlign w:val="center"/>
          </w:tcPr>
          <w:p w14:paraId="6DAE08C2">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特别说明</w:t>
            </w:r>
          </w:p>
        </w:tc>
        <w:tc>
          <w:tcPr>
            <w:tcW w:w="6706" w:type="dxa"/>
            <w:vAlign w:val="center"/>
          </w:tcPr>
          <w:p w14:paraId="7F4EEACD">
            <w:pPr>
              <w:keepNext w:val="0"/>
              <w:keepLines w:val="0"/>
              <w:pageBreakBefore w:val="0"/>
              <w:widowControl w:val="0"/>
              <w:kinsoku/>
              <w:wordWrap/>
              <w:overflowPunct/>
              <w:topLinePunct w:val="0"/>
              <w:autoSpaceDE/>
              <w:autoSpaceDN/>
              <w:bidi w:val="0"/>
              <w:adjustRightInd w:val="0"/>
              <w:spacing w:line="420" w:lineRule="exact"/>
              <w:textAlignment w:val="auto"/>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b/>
                <w:color w:val="auto"/>
                <w:sz w:val="24"/>
                <w:highlight w:val="none"/>
              </w:rPr>
              <w:t>本项目通用总则条款与前附表等专用特别规定有冲突之处，以专用条款（特别规定）为准。</w:t>
            </w:r>
          </w:p>
        </w:tc>
      </w:tr>
    </w:tbl>
    <w:p w14:paraId="543E8B53">
      <w:pPr>
        <w:snapToGrid w:val="0"/>
        <w:spacing w:line="360" w:lineRule="auto"/>
        <w:jc w:val="center"/>
        <w:rPr>
          <w:rFonts w:hint="eastAsia" w:asciiTheme="minorEastAsia" w:hAnsiTheme="minorEastAsia" w:eastAsiaTheme="minorEastAsia" w:cstheme="minorEastAsia"/>
          <w:b/>
          <w:color w:val="auto"/>
          <w:sz w:val="32"/>
          <w:szCs w:val="20"/>
          <w:highlight w:val="none"/>
        </w:rPr>
      </w:pPr>
    </w:p>
    <w:bookmarkEnd w:id="9"/>
    <w:p w14:paraId="138DF20D">
      <w:pPr>
        <w:rPr>
          <w:rFonts w:hint="eastAsia" w:asciiTheme="minorEastAsia" w:hAnsiTheme="minorEastAsia" w:eastAsiaTheme="minorEastAsia" w:cstheme="minorEastAsia"/>
          <w:b/>
          <w:color w:val="auto"/>
          <w:sz w:val="32"/>
          <w:szCs w:val="20"/>
          <w:highlight w:val="none"/>
        </w:rPr>
      </w:pPr>
      <w:bookmarkStart w:id="12" w:name="第三部分"/>
      <w:bookmarkStart w:id="13" w:name="_Toc164416483"/>
      <w:r>
        <w:rPr>
          <w:rFonts w:hint="eastAsia" w:asciiTheme="minorEastAsia" w:hAnsiTheme="minorEastAsia" w:eastAsiaTheme="minorEastAsia" w:cstheme="minorEastAsia"/>
          <w:b/>
          <w:color w:val="auto"/>
          <w:sz w:val="32"/>
          <w:szCs w:val="20"/>
          <w:highlight w:val="none"/>
        </w:rPr>
        <w:br w:type="page"/>
      </w:r>
    </w:p>
    <w:p w14:paraId="4D347868">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一、总则</w:t>
      </w:r>
    </w:p>
    <w:p w14:paraId="4907CAE1">
      <w:pPr>
        <w:snapToGrid w:val="0"/>
        <w:spacing w:line="460" w:lineRule="exact"/>
        <w:jc w:val="left"/>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1.适用范围</w:t>
      </w:r>
    </w:p>
    <w:p w14:paraId="782520B0">
      <w:pPr>
        <w:snapToGrid w:val="0"/>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本公开竞争文件适用于该项目的交易、响应、评审、资格审查及信用信息查询、评审、定标、合同、验收等行为（法律、法规另有规定的，从其规定）。</w:t>
      </w:r>
    </w:p>
    <w:p w14:paraId="295E4D91">
      <w:pPr>
        <w:adjustRightInd/>
        <w:spacing w:line="460" w:lineRule="exact"/>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2.定义</w:t>
      </w:r>
    </w:p>
    <w:p w14:paraId="0106BEF9">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2.1“交易发起人”系指交易公告中载明的本项目的交易发起人。</w:t>
      </w:r>
    </w:p>
    <w:p w14:paraId="4304A598">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2.2“代理机构”系指交易公告中载明的本项目的代理机构。</w:t>
      </w:r>
    </w:p>
    <w:p w14:paraId="20503EFA">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2.3“响应人”系指响应招标、参加投标竞争的法人、其他组织或者自然人。</w:t>
      </w:r>
    </w:p>
    <w:p w14:paraId="224D92D2">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2.4“负责人”系指法人企业的法定负责人，或其他组织为法律、行政法规规定代表单位行使职权的主要负责人，或自然人本人。</w:t>
      </w:r>
    </w:p>
    <w:p w14:paraId="4CEB9A6F">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4A98762E">
      <w:pPr>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2.6“电子交易平台”是指本项目交易活动所依托的乐采云平台（www.lecaiyun.com）。</w:t>
      </w:r>
    </w:p>
    <w:p w14:paraId="6C5FDAC3">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系指实质性要求条款，“（</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 系指适用本项目的要求，“（  ）”系指不适用本项目的要求。</w:t>
      </w:r>
    </w:p>
    <w:p w14:paraId="394003AB">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3.异议、投诉</w:t>
      </w:r>
    </w:p>
    <w:p w14:paraId="154C826E">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.1响应人异议</w:t>
      </w:r>
    </w:p>
    <w:p w14:paraId="457D19E9">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响应人对</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1950AFFA">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.2响应人异议</w:t>
      </w:r>
    </w:p>
    <w:p w14:paraId="0D0048CE">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.1提出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的响应人应当是参与所质</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项目交易活动的响应人。潜在响应人已依法获取其可</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的公开竞争文件的，可以对该文件提出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w:t>
      </w:r>
    </w:p>
    <w:p w14:paraId="32FAB199">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，否则，交易发起人或者代理机构不予受理：</w:t>
      </w:r>
    </w:p>
    <w:p w14:paraId="2AF368F5">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3.2.2.1对交易过程提出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期限为各交易程序环节结束之日起计算。对同一交易程序环节的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，响应人须一次性提出。</w:t>
      </w:r>
    </w:p>
    <w:p w14:paraId="1383281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w:t>
      </w:r>
      <w:r>
        <w:rPr>
          <w:rFonts w:hint="eastAsia" w:asciiTheme="minorEastAsia" w:hAnsiTheme="minorEastAsia" w:eastAsiaTheme="minorEastAsia" w:cstheme="minorEastAsia"/>
          <w:color w:val="auto"/>
          <w:sz w:val="24"/>
          <w:highlight w:val="none"/>
        </w:rPr>
        <w:t>响应人提出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应当提交</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函和必要的证明材料。</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函应当包括下列内容：</w:t>
      </w:r>
    </w:p>
    <w:p w14:paraId="19292009">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.2.3.1响应人的姓名或者名称、地址、邮编、联系人及联系电话；</w:t>
      </w:r>
    </w:p>
    <w:p w14:paraId="4EDF41F8">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.2.3.2异议项目的名称、编号；</w:t>
      </w:r>
    </w:p>
    <w:p w14:paraId="49D9C144">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.2.3.3具体、明确的异议事项和与异议事项相关的请求；</w:t>
      </w:r>
    </w:p>
    <w:p w14:paraId="7B26409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.2.3.4事实依据；</w:t>
      </w:r>
    </w:p>
    <w:p w14:paraId="37EE670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.2.3.5必要的法律依据；</w:t>
      </w:r>
    </w:p>
    <w:p w14:paraId="3863526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.2.3.6提出异议的日期。</w:t>
      </w:r>
    </w:p>
    <w:p w14:paraId="0076E52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14:paraId="6C48CB67">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异议函范本及制作说明详见附件</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w:t>
      </w:r>
    </w:p>
    <w:p w14:paraId="10C55E6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.2.4交易发起人或者代理机构应当在收到响应人的书面异议后</w:t>
      </w: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日内作出答复，并以书面形式通知异议响应人和其他与异议处理结果有利害关系的交易当事人，但答复的内容不得涉及商业秘密。</w:t>
      </w:r>
    </w:p>
    <w:p w14:paraId="2C89EF2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.2.5询问或者异议事项可能影响</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结果的，交易发起人应当暂停签订合同，已经签订合同的，应当中止履行合同。</w:t>
      </w:r>
    </w:p>
    <w:p w14:paraId="043757C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.3响应人投诉</w:t>
      </w:r>
    </w:p>
    <w:p w14:paraId="7F62DD7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asciiTheme="minorEastAsia" w:hAnsiTheme="minorEastAsia" w:eastAsiaTheme="minorEastAsia" w:cstheme="minorEastAsia"/>
          <w:color w:val="auto"/>
          <w:kern w:val="0"/>
          <w:sz w:val="24"/>
          <w:highlight w:val="none"/>
        </w:rPr>
        <w:t>10</w:t>
      </w:r>
      <w:r>
        <w:rPr>
          <w:rFonts w:hint="eastAsia" w:asciiTheme="minorEastAsia" w:hAnsiTheme="minorEastAsia" w:eastAsiaTheme="minorEastAsia" w:cstheme="minorEastAsia"/>
          <w:color w:val="auto"/>
          <w:kern w:val="0"/>
          <w:sz w:val="24"/>
          <w:highlight w:val="none"/>
          <w:lang w:val="zh-CN"/>
        </w:rPr>
        <w:t>日内向基层监督机构部门提出投诉。</w:t>
      </w:r>
    </w:p>
    <w:p w14:paraId="19ED39A5">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.3.2响应人投诉的事项不得超出已异议事项的范围，基于异议答复内容提出的投诉事项除外。</w:t>
      </w:r>
    </w:p>
    <w:p w14:paraId="138BC6E7">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.3.3响应人投诉应当有明确的请求和必要的证明材料。</w:t>
      </w:r>
    </w:p>
    <w:p w14:paraId="3B4F41E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w:t>
      </w:r>
      <w:r>
        <w:rPr>
          <w:rFonts w:hint="eastAsia" w:asciiTheme="minorEastAsia" w:hAnsiTheme="minorEastAsia" w:eastAsiaTheme="minorEastAsia" w:cstheme="minorEastAsia"/>
          <w:color w:val="auto"/>
          <w:kern w:val="0"/>
          <w:sz w:val="24"/>
          <w:highlight w:val="none"/>
        </w:rPr>
        <w:t>4</w:t>
      </w:r>
      <w:r>
        <w:rPr>
          <w:rFonts w:hint="eastAsia" w:asciiTheme="minorEastAsia" w:hAnsiTheme="minorEastAsia" w:eastAsiaTheme="minorEastAsia" w:cstheme="minorEastAsia"/>
          <w:color w:val="auto"/>
          <w:kern w:val="0"/>
          <w:sz w:val="24"/>
          <w:highlight w:val="none"/>
          <w:lang w:val="zh-CN"/>
        </w:rPr>
        <w:t>以联合体形式参加交易活动的，其投诉应当由组成联合体的所有响应人共同提出。</w:t>
      </w:r>
    </w:p>
    <w:p w14:paraId="072DFCE1">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投诉书范本及制作说明详见附件</w:t>
      </w: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color w:val="auto"/>
          <w:kern w:val="0"/>
          <w:sz w:val="24"/>
          <w:highlight w:val="none"/>
          <w:lang w:val="zh-CN"/>
        </w:rPr>
        <w:t>。</w:t>
      </w:r>
    </w:p>
    <w:p w14:paraId="61FCBF47">
      <w:pPr>
        <w:pStyle w:val="139"/>
        <w:snapToGrid w:val="0"/>
        <w:spacing w:before="0" w:line="460" w:lineRule="exact"/>
        <w:ind w:firstLine="360"/>
        <w:rPr>
          <w:rFonts w:hint="eastAsia" w:asciiTheme="minorEastAsia" w:hAnsiTheme="minorEastAsia" w:eastAsiaTheme="minorEastAsia" w:cstheme="minorEastAsia"/>
          <w:color w:val="auto"/>
          <w:sz w:val="18"/>
          <w:szCs w:val="18"/>
          <w:highlight w:val="none"/>
        </w:rPr>
      </w:pPr>
    </w:p>
    <w:p w14:paraId="761C8BD9">
      <w:pPr>
        <w:adjustRightInd/>
        <w:spacing w:line="460" w:lineRule="exact"/>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二、公开竞争文件的构成、澄清、修改</w:t>
      </w:r>
    </w:p>
    <w:p w14:paraId="31DA7C6D">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4．公开竞争文件的构成</w:t>
      </w:r>
    </w:p>
    <w:p w14:paraId="00B5CEEB">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4.1公开竞争文件包括下列文件及附件：</w:t>
      </w:r>
    </w:p>
    <w:p w14:paraId="39B3B752">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4.1.1交易公告；</w:t>
      </w:r>
    </w:p>
    <w:p w14:paraId="05FB621A">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4.1.2响应人须知；</w:t>
      </w:r>
    </w:p>
    <w:p w14:paraId="6529F33C">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4.1.3交易需求；</w:t>
      </w:r>
    </w:p>
    <w:p w14:paraId="2C147F14">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4.1.4交易办法；</w:t>
      </w:r>
    </w:p>
    <w:p w14:paraId="4BAEC6F9">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4.1.5拟签订的合同文本；</w:t>
      </w:r>
    </w:p>
    <w:p w14:paraId="7B754955">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rPr>
        <w:t>4.1.6</w:t>
      </w:r>
      <w:r>
        <w:rPr>
          <w:rFonts w:hint="eastAsia" w:asciiTheme="minorEastAsia" w:hAnsiTheme="minorEastAsia" w:eastAsiaTheme="minorEastAsia" w:cstheme="minorEastAsia"/>
          <w:color w:val="auto"/>
          <w:sz w:val="24"/>
          <w:szCs w:val="24"/>
          <w:highlight w:val="none"/>
        </w:rPr>
        <w:t>应提交的有关格式范例。</w:t>
      </w:r>
    </w:p>
    <w:p w14:paraId="19AA5DE6">
      <w:pPr>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4.2与本项目有关的</w:t>
      </w:r>
      <w:r>
        <w:rPr>
          <w:rFonts w:hint="eastAsia" w:asciiTheme="minorEastAsia" w:hAnsiTheme="minorEastAsia" w:eastAsiaTheme="minorEastAsia" w:cstheme="minorEastAsia"/>
          <w:bCs/>
          <w:color w:val="auto"/>
          <w:sz w:val="24"/>
          <w:highlight w:val="none"/>
        </w:rPr>
        <w:t>澄清或者修改的内容为公开竞争文件的组成部分</w:t>
      </w:r>
      <w:r>
        <w:rPr>
          <w:rFonts w:hint="eastAsia" w:asciiTheme="minorEastAsia" w:hAnsiTheme="minorEastAsia" w:eastAsiaTheme="minorEastAsia" w:cstheme="minorEastAsia"/>
          <w:color w:val="auto"/>
          <w:sz w:val="24"/>
          <w:highlight w:val="none"/>
        </w:rPr>
        <w:t>。</w:t>
      </w:r>
    </w:p>
    <w:p w14:paraId="28F594F0">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5.公开竞争文件的澄清、修改</w:t>
      </w:r>
    </w:p>
    <w:p w14:paraId="55314EC4">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5.1已获取公开竞争文件的潜在响应人，若有问题需要澄清，应于响应截止时间前，以书面形式向代理机构提出。</w:t>
      </w:r>
    </w:p>
    <w:p w14:paraId="7638E7C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79504139">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p>
    <w:p w14:paraId="2A4DBD71">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t>三、响应</w:t>
      </w:r>
    </w:p>
    <w:p w14:paraId="0C655E55">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6.公开竞争文件的获取</w:t>
      </w:r>
    </w:p>
    <w:p w14:paraId="7B5AF0BC">
      <w:pPr>
        <w:spacing w:line="460" w:lineRule="exact"/>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详见交易公告中获取公开竞争文件的时间期限、地点、方式及公开竞争文件售价。</w:t>
      </w:r>
    </w:p>
    <w:p w14:paraId="21F7B7B9">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7.交易前答疑会或现场考察</w:t>
      </w:r>
    </w:p>
    <w:p w14:paraId="700A4745">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本项目不组织交易前答疑会或现场考察。</w:t>
      </w:r>
    </w:p>
    <w:p w14:paraId="50CA1CA0">
      <w:pPr>
        <w:pStyle w:val="34"/>
        <w:spacing w:line="460" w:lineRule="exact"/>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8.交易保证金</w:t>
      </w:r>
    </w:p>
    <w:p w14:paraId="467E178C">
      <w:pPr>
        <w:pStyle w:val="16"/>
        <w:spacing w:line="460" w:lineRule="exact"/>
        <w:ind w:firstLine="470" w:firstLineChars="196"/>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本项目不需缴纳交易保证金。</w:t>
      </w:r>
    </w:p>
    <w:p w14:paraId="1C0D0C4C">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9.响应文件的语言</w:t>
      </w:r>
    </w:p>
    <w:p w14:paraId="310F72A9">
      <w:pPr>
        <w:autoSpaceDE w:val="0"/>
        <w:autoSpaceDN w:val="0"/>
        <w:spacing w:line="460" w:lineRule="exact"/>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响应文件及响应人与交易有关的来往通知、函件和文件均应使用中文。</w:t>
      </w:r>
    </w:p>
    <w:p w14:paraId="2F2611FF">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10.响应文件的组成</w:t>
      </w:r>
    </w:p>
    <w:p w14:paraId="1C9208BC">
      <w:pPr>
        <w:snapToGrid w:val="0"/>
        <w:spacing w:line="460" w:lineRule="exact"/>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10.1资格文件：</w:t>
      </w:r>
    </w:p>
    <w:p w14:paraId="61DE0944">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10.1.1符合参加交易活动应当具备的一般条件的承诺函；</w:t>
      </w:r>
    </w:p>
    <w:p w14:paraId="55AA781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10.1.2本项目的特定资格要求。</w:t>
      </w:r>
    </w:p>
    <w:p w14:paraId="26F4A507">
      <w:pPr>
        <w:snapToGrid w:val="0"/>
        <w:spacing w:line="460" w:lineRule="exact"/>
        <w:ind w:firstLine="482" w:firstLineChars="200"/>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lang w:val="zh-CN"/>
        </w:rPr>
        <w:t>1</w:t>
      </w:r>
      <w:r>
        <w:rPr>
          <w:rFonts w:hint="eastAsia" w:asciiTheme="minorEastAsia" w:hAnsiTheme="minorEastAsia" w:eastAsiaTheme="minorEastAsia" w:cstheme="minorEastAsia"/>
          <w:b/>
          <w:bCs/>
          <w:color w:val="auto"/>
          <w:sz w:val="24"/>
          <w:highlight w:val="none"/>
        </w:rPr>
        <w:t>0</w:t>
      </w:r>
      <w:r>
        <w:rPr>
          <w:rFonts w:hint="eastAsia" w:asciiTheme="minorEastAsia" w:hAnsiTheme="minorEastAsia" w:eastAsiaTheme="minorEastAsia" w:cstheme="minorEastAsia"/>
          <w:b/>
          <w:bCs/>
          <w:color w:val="auto"/>
          <w:sz w:val="24"/>
          <w:highlight w:val="none"/>
          <w:lang w:val="zh-CN"/>
        </w:rPr>
        <w:t>.</w:t>
      </w:r>
      <w:r>
        <w:rPr>
          <w:rFonts w:hint="eastAsia" w:asciiTheme="minorEastAsia" w:hAnsiTheme="minorEastAsia" w:eastAsiaTheme="minorEastAsia" w:cstheme="minorEastAsia"/>
          <w:b/>
          <w:bCs/>
          <w:color w:val="auto"/>
          <w:sz w:val="24"/>
          <w:highlight w:val="none"/>
        </w:rPr>
        <w:t>2商务技术</w:t>
      </w:r>
      <w:r>
        <w:rPr>
          <w:rFonts w:hint="eastAsia" w:asciiTheme="minorEastAsia" w:hAnsiTheme="minorEastAsia" w:eastAsiaTheme="minorEastAsia" w:cstheme="minorEastAsia"/>
          <w:b/>
          <w:bCs/>
          <w:color w:val="auto"/>
          <w:sz w:val="24"/>
          <w:highlight w:val="none"/>
          <w:lang w:val="zh-CN"/>
        </w:rPr>
        <w:t>文件：</w:t>
      </w:r>
    </w:p>
    <w:p w14:paraId="4DD68D8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10.2.1交易函；</w:t>
      </w:r>
    </w:p>
    <w:p w14:paraId="3C23FD92">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10.2.2授权委托书或法定代表人（单位负责人、自然人本人）身份证明；</w:t>
      </w:r>
    </w:p>
    <w:p w14:paraId="260BDF4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10.2.3营业执照；</w:t>
      </w:r>
    </w:p>
    <w:p w14:paraId="794E9A5C">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10.2.4符合性审查资料；</w:t>
      </w:r>
    </w:p>
    <w:p w14:paraId="0DB5F64B">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10.2.5评审标准相应的商务技术资料；</w:t>
      </w:r>
    </w:p>
    <w:p w14:paraId="1A6474C8">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10.2.6商务技术偏离表；</w:t>
      </w:r>
    </w:p>
    <w:p w14:paraId="723F4980">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10.2.7</w:t>
      </w:r>
      <w:r>
        <w:rPr>
          <w:rFonts w:hint="eastAsia" w:asciiTheme="minorEastAsia" w:hAnsiTheme="minorEastAsia" w:eastAsiaTheme="minorEastAsia" w:cstheme="minorEastAsia"/>
          <w:color w:val="auto"/>
          <w:sz w:val="24"/>
          <w:highlight w:val="none"/>
          <w:lang w:val="zh-CN"/>
        </w:rPr>
        <w:t>响应人廉洁自律承诺书。</w:t>
      </w:r>
    </w:p>
    <w:p w14:paraId="11055022">
      <w:pPr>
        <w:snapToGrid w:val="0"/>
        <w:spacing w:line="460" w:lineRule="exact"/>
        <w:ind w:firstLine="482" w:firstLineChars="200"/>
        <w:rPr>
          <w:rFonts w:hint="eastAsia" w:asciiTheme="minorEastAsia" w:hAnsiTheme="minorEastAsia" w:eastAsiaTheme="minorEastAsia" w:cstheme="minorEastAsia"/>
          <w:b/>
          <w:bCs/>
          <w:color w:val="auto"/>
          <w:sz w:val="24"/>
          <w:highlight w:val="none"/>
          <w:u w:val="single"/>
          <w:lang w:val="zh-CN"/>
        </w:rPr>
      </w:pPr>
      <w:r>
        <w:rPr>
          <w:rFonts w:hint="eastAsia" w:asciiTheme="minorEastAsia" w:hAnsiTheme="minorEastAsia" w:eastAsiaTheme="minorEastAsia" w:cstheme="minorEastAsia"/>
          <w:b/>
          <w:bCs/>
          <w:color w:val="auto"/>
          <w:kern w:val="0"/>
          <w:sz w:val="24"/>
          <w:highlight w:val="none"/>
          <w:lang w:val="zh-CN"/>
        </w:rPr>
        <w:t>1</w:t>
      </w:r>
      <w:r>
        <w:rPr>
          <w:rFonts w:hint="eastAsia" w:asciiTheme="minorEastAsia" w:hAnsiTheme="minorEastAsia" w:eastAsiaTheme="minorEastAsia" w:cstheme="minorEastAsia"/>
          <w:b/>
          <w:bCs/>
          <w:color w:val="auto"/>
          <w:kern w:val="0"/>
          <w:sz w:val="24"/>
          <w:highlight w:val="none"/>
        </w:rPr>
        <w:t>0</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rPr>
        <w:t>3</w:t>
      </w:r>
      <w:r>
        <w:rPr>
          <w:rFonts w:hint="eastAsia" w:asciiTheme="minorEastAsia" w:hAnsiTheme="minorEastAsia" w:eastAsiaTheme="minorEastAsia" w:cstheme="minorEastAsia"/>
          <w:b/>
          <w:bCs/>
          <w:color w:val="auto"/>
          <w:sz w:val="24"/>
          <w:highlight w:val="none"/>
        </w:rPr>
        <w:t>报价文件：</w:t>
      </w:r>
    </w:p>
    <w:p w14:paraId="64306A66">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10.3.1交易一览表（报价表）。</w:t>
      </w:r>
    </w:p>
    <w:p w14:paraId="5EF527B9">
      <w:pPr>
        <w:spacing w:line="460" w:lineRule="exact"/>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3D82C15E">
      <w:pPr>
        <w:spacing w:line="460" w:lineRule="exact"/>
        <w:ind w:firstLine="723" w:firstLineChars="3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b/>
          <w:color w:val="auto"/>
          <w:sz w:val="24"/>
          <w:highlight w:val="none"/>
        </w:rPr>
        <w:t>响应人提供虚假材料投标的，交易无效。</w:t>
      </w:r>
    </w:p>
    <w:p w14:paraId="61D5F244">
      <w:pPr>
        <w:pStyle w:val="139"/>
        <w:snapToGrid w:val="0"/>
        <w:spacing w:before="0" w:line="460" w:lineRule="exact"/>
        <w:ind w:firstLine="0" w:firstLineChars="0"/>
        <w:outlineLvl w:val="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11</w:t>
      </w:r>
      <w:r>
        <w:rPr>
          <w:rFonts w:hint="eastAsia" w:asciiTheme="minorEastAsia" w:hAnsiTheme="minorEastAsia" w:eastAsiaTheme="minorEastAsia" w:cstheme="minorEastAsia"/>
          <w:b/>
          <w:color w:val="auto"/>
          <w:kern w:val="0"/>
          <w:szCs w:val="24"/>
          <w:highlight w:val="none"/>
          <w:lang w:val="zh-CN"/>
        </w:rPr>
        <w:t>.</w:t>
      </w:r>
      <w:r>
        <w:rPr>
          <w:rFonts w:hint="eastAsia" w:asciiTheme="minorEastAsia" w:hAnsiTheme="minorEastAsia" w:eastAsiaTheme="minorEastAsia" w:cstheme="minorEastAsia"/>
          <w:b/>
          <w:color w:val="auto"/>
          <w:szCs w:val="24"/>
          <w:highlight w:val="none"/>
        </w:rPr>
        <w:t>响应文件的编制</w:t>
      </w:r>
    </w:p>
    <w:p w14:paraId="2C610698">
      <w:pPr>
        <w:spacing w:line="460" w:lineRule="exact"/>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7F482D6A">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.2响应人进行电子投标应安装客户端软件—“</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云电子交易客户端”，并按照公开竞争文件和电子交易平台的要求编制并加密响应文件。响应人未按规定加密的响应文件，电子交易平台将拒收并提示。</w:t>
      </w:r>
    </w:p>
    <w:p w14:paraId="78A4F850">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.3使用“</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云电子交易客户端”需要提前申领CA数字证书，申领流程请自行前往“</w:t>
      </w:r>
      <w:r>
        <w:rPr>
          <w:rFonts w:hint="eastAsia" w:asciiTheme="minorEastAsia" w:hAnsiTheme="minorEastAsia" w:eastAsiaTheme="minorEastAsia" w:cstheme="minorEastAsia"/>
          <w:color w:val="auto"/>
          <w:sz w:val="24"/>
          <w:highlight w:val="none"/>
        </w:rPr>
        <w:t>浙江企业采购信息服务网-下载专区-电子交易客户端</w:t>
      </w:r>
      <w:r>
        <w:rPr>
          <w:rFonts w:hint="eastAsia" w:asciiTheme="minorEastAsia" w:hAnsiTheme="minorEastAsia" w:eastAsiaTheme="minorEastAsia" w:cstheme="minorEastAsia"/>
          <w:color w:val="auto"/>
          <w:kern w:val="0"/>
          <w:sz w:val="24"/>
          <w:highlight w:val="none"/>
          <w:lang w:val="zh-CN"/>
        </w:rPr>
        <w:t>-CA驱动和申领流程”进行查阅。</w:t>
      </w:r>
    </w:p>
    <w:p w14:paraId="497609E8">
      <w:pPr>
        <w:snapToGrid w:val="0"/>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12.响应文件的签署、盖章</w:t>
      </w:r>
    </w:p>
    <w:p w14:paraId="1A7EEF8A">
      <w:pPr>
        <w:pStyle w:val="139"/>
        <w:snapToGrid w:val="0"/>
        <w:spacing w:before="0" w:line="460" w:lineRule="exact"/>
        <w:ind w:firstLine="48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szCs w:val="24"/>
          <w:highlight w:val="none"/>
        </w:rPr>
        <w:t>12.1响应文件按照公开竞争文件第六部分格式要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highlight w:val="none"/>
        </w:rPr>
        <w:t>▲响应人的响应文件未按照公开竞争文件要求签署、盖章的，其交易无效</w:t>
      </w:r>
      <w:r>
        <w:rPr>
          <w:rFonts w:hint="eastAsia" w:asciiTheme="minorEastAsia" w:hAnsiTheme="minorEastAsia" w:eastAsiaTheme="minorEastAsia" w:cstheme="minorEastAsia"/>
          <w:color w:val="auto"/>
          <w:szCs w:val="24"/>
          <w:highlight w:val="none"/>
        </w:rPr>
        <w:t>。</w:t>
      </w:r>
    </w:p>
    <w:p w14:paraId="1DF6B009">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12.2为确保网上操作合法、有效和安全，响应人应当在响应截止时间前完成在“乐采云平台”的身份认证，确保在电子投标过程中能够对相关数据电文进行加密和使用电子签名。</w:t>
      </w:r>
    </w:p>
    <w:p w14:paraId="2B572625">
      <w:pPr>
        <w:pStyle w:val="139"/>
        <w:snapToGrid w:val="0"/>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12.3公开竞争文件对响应文件签署、盖章的要求适用于电子签名。</w:t>
      </w:r>
    </w:p>
    <w:p w14:paraId="21E3E46C">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13.响应文件的提交、补充、修改、撤回</w:t>
      </w:r>
    </w:p>
    <w:p w14:paraId="272C702B">
      <w:pPr>
        <w:pStyle w:val="139"/>
        <w:spacing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06FF0BAB">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14:paraId="5E154779">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14:paraId="3FC71800">
      <w:pPr>
        <w:pStyle w:val="34"/>
        <w:numPr>
          <w:ilvl w:val="0"/>
          <w:numId w:val="1"/>
        </w:numPr>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备份响应文件</w:t>
      </w:r>
    </w:p>
    <w:p w14:paraId="05695D2C">
      <w:pPr>
        <w:pStyle w:val="34"/>
        <w:spacing w:line="460" w:lineRule="exact"/>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28"/>
          <w:sz w:val="24"/>
          <w:szCs w:val="24"/>
          <w:highlight w:val="none"/>
        </w:rPr>
        <w:t>不收取备份响应文件。</w:t>
      </w:r>
    </w:p>
    <w:p w14:paraId="0C98F1F5">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15.响应文件的无效处理</w:t>
      </w:r>
    </w:p>
    <w:p w14:paraId="019F5554">
      <w:pPr>
        <w:pStyle w:val="26"/>
        <w:spacing w:line="46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有公开竞争文件第四部分</w:t>
      </w:r>
      <w:r>
        <w:rPr>
          <w:rFonts w:hint="eastAsia" w:asciiTheme="minorEastAsia" w:hAnsiTheme="minorEastAsia" w:eastAsiaTheme="minorEastAsia" w:cstheme="minorEastAsia"/>
          <w:color w:val="auto"/>
          <w:highlight w:val="none"/>
        </w:rPr>
        <w:t>4.2规定</w:t>
      </w:r>
      <w:r>
        <w:rPr>
          <w:rFonts w:hint="eastAsia" w:asciiTheme="minorEastAsia" w:hAnsiTheme="minorEastAsia" w:eastAsiaTheme="minorEastAsia" w:cstheme="minorEastAsia"/>
          <w:color w:val="auto"/>
          <w:szCs w:val="21"/>
          <w:highlight w:val="none"/>
        </w:rPr>
        <w:t>的情形之一的，交易无效：</w:t>
      </w:r>
    </w:p>
    <w:p w14:paraId="1B06EA8D">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16.交易有效期</w:t>
      </w:r>
    </w:p>
    <w:p w14:paraId="265D77FE">
      <w:pPr>
        <w:spacing w:line="460" w:lineRule="exact"/>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16.1交易有效期为从提交响应文件的截止之日起90天。▲</w:t>
      </w:r>
      <w:r>
        <w:rPr>
          <w:rFonts w:hint="eastAsia" w:asciiTheme="minorEastAsia" w:hAnsiTheme="minorEastAsia" w:eastAsiaTheme="minorEastAsia" w:cstheme="minorEastAsia"/>
          <w:b/>
          <w:color w:val="auto"/>
          <w:sz w:val="24"/>
          <w:szCs w:val="20"/>
          <w:highlight w:val="none"/>
        </w:rPr>
        <w:t>响应人的响应文件中承</w:t>
      </w:r>
      <w:r>
        <w:rPr>
          <w:rFonts w:hint="eastAsia" w:asciiTheme="minorEastAsia" w:hAnsiTheme="minorEastAsia" w:eastAsiaTheme="minorEastAsia" w:cstheme="minorEastAsia"/>
          <w:b/>
          <w:color w:val="auto"/>
          <w:sz w:val="24"/>
          <w:szCs w:val="21"/>
          <w:highlight w:val="none"/>
        </w:rPr>
        <w:t>诺的交易有效期少于公开竞争文件中载明的交易有效期的，交易无效。</w:t>
      </w:r>
    </w:p>
    <w:p w14:paraId="33AECC50">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16.2响应文件合格投递后，自投标截止日期起，在交易有效期内有效。</w:t>
      </w:r>
    </w:p>
    <w:p w14:paraId="467E4FDA">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14:paraId="1BE1D681">
      <w:pPr>
        <w:pStyle w:val="139"/>
        <w:spacing w:before="0" w:line="460" w:lineRule="exact"/>
        <w:ind w:firstLine="643"/>
        <w:rPr>
          <w:rFonts w:hint="eastAsia" w:asciiTheme="minorEastAsia" w:hAnsiTheme="minorEastAsia" w:eastAsiaTheme="minorEastAsia" w:cstheme="minorEastAsia"/>
          <w:b/>
          <w:color w:val="auto"/>
          <w:sz w:val="32"/>
          <w:highlight w:val="none"/>
        </w:rPr>
      </w:pPr>
    </w:p>
    <w:p w14:paraId="1560CD10">
      <w:pPr>
        <w:pStyle w:val="139"/>
        <w:spacing w:before="0" w:line="460" w:lineRule="exact"/>
        <w:ind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四、交易、资格审查</w:t>
      </w:r>
    </w:p>
    <w:p w14:paraId="720B7A73">
      <w:pPr>
        <w:pStyle w:val="564"/>
        <w:spacing w:before="0" w:line="460" w:lineRule="exact"/>
        <w:ind w:left="0" w:firstLine="0"/>
        <w:contextualSpacing/>
        <w:rPr>
          <w:rFonts w:hint="eastAsia" w:asciiTheme="minorEastAsia" w:hAnsiTheme="minorEastAsia" w:eastAsiaTheme="minorEastAsia" w:cstheme="minorEastAsia"/>
          <w:b/>
          <w:color w:val="auto"/>
          <w:kern w:val="2"/>
          <w:sz w:val="24"/>
          <w:szCs w:val="24"/>
          <w:highlight w:val="none"/>
        </w:rPr>
      </w:pPr>
      <w:r>
        <w:rPr>
          <w:rFonts w:hint="eastAsia" w:asciiTheme="minorEastAsia" w:hAnsiTheme="minorEastAsia" w:eastAsiaTheme="minorEastAsia" w:cstheme="minorEastAsia"/>
          <w:b/>
          <w:color w:val="auto"/>
          <w:kern w:val="2"/>
          <w:sz w:val="24"/>
          <w:szCs w:val="24"/>
          <w:highlight w:val="none"/>
        </w:rPr>
        <w:t xml:space="preserve">17.交易 </w:t>
      </w:r>
    </w:p>
    <w:p w14:paraId="5E3983EF">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17.1代理机构按照公开竞争文件规定的时间通过电子交易平台组织开标，所有响应人均应当准时在线参加。响应人不足3家的，不得开标。</w:t>
      </w:r>
    </w:p>
    <w:p w14:paraId="271B5583">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14:paraId="415A83DE">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17.3响应文件未按时解密，视为响应文件撤回。</w:t>
      </w:r>
    </w:p>
    <w:p w14:paraId="25E09655">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18、资格审查</w:t>
      </w:r>
    </w:p>
    <w:p w14:paraId="6FCCFA89">
      <w:pPr>
        <w:pStyle w:val="139"/>
        <w:spacing w:before="0" w:line="46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18.1交易后，交易发起人或代理机构将依法对响应人的资格进行审查。</w:t>
      </w:r>
    </w:p>
    <w:p w14:paraId="65FA5C8B">
      <w:pPr>
        <w:snapToGrid w:val="0"/>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18.2</w:t>
      </w:r>
      <w:r>
        <w:rPr>
          <w:rFonts w:hint="eastAsia" w:asciiTheme="minorEastAsia" w:hAnsiTheme="minorEastAsia" w:eastAsiaTheme="minorEastAsia" w:cstheme="minorEastAsia"/>
          <w:color w:val="auto"/>
          <w:sz w:val="24"/>
          <w:highlight w:val="none"/>
        </w:rPr>
        <w:t>交易发起人或代理机构依据法律法规和公开竞争文件的规定，对响应人的基本资格条件、特定资格条件进行审查。</w:t>
      </w:r>
    </w:p>
    <w:p w14:paraId="1278EC65">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18.3响应人未按照公开竞争文件要求提供与</w:t>
      </w:r>
      <w:r>
        <w:rPr>
          <w:rFonts w:hint="eastAsia" w:asciiTheme="minorEastAsia" w:hAnsiTheme="minorEastAsia" w:eastAsiaTheme="minorEastAsia" w:cstheme="minorEastAsia"/>
          <w:color w:val="auto"/>
          <w:highlight w:val="none"/>
        </w:rPr>
        <w:t>基本资格条件、特定资格条件相应的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响应人不具备公开竞争文件中规定的资格要求，其交易无效。</w:t>
      </w:r>
    </w:p>
    <w:p w14:paraId="1812C682">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4对未通过资格审查的响应人，交易发起人或代理机构告知其未通过的原因。</w:t>
      </w:r>
    </w:p>
    <w:p w14:paraId="085A1AA7">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5合格响应人不足3家的，不再评标。</w:t>
      </w:r>
    </w:p>
    <w:p w14:paraId="349EDB5C">
      <w:pPr>
        <w:pStyle w:val="139"/>
        <w:spacing w:before="0" w:line="460" w:lineRule="exact"/>
        <w:ind w:firstLine="0" w:firstLineChars="0"/>
        <w:rPr>
          <w:rFonts w:hint="eastAsia" w:asciiTheme="minorEastAsia" w:hAnsiTheme="minorEastAsia" w:eastAsiaTheme="minorEastAsia" w:cstheme="minorEastAsia"/>
          <w:color w:val="auto"/>
          <w:kern w:val="0"/>
          <w:szCs w:val="24"/>
          <w:highlight w:val="none"/>
        </w:rPr>
      </w:pPr>
    </w:p>
    <w:p w14:paraId="5543AB03">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五、评审</w:t>
      </w:r>
    </w:p>
    <w:p w14:paraId="260B4019">
      <w:pPr>
        <w:spacing w:line="460" w:lineRule="exact"/>
        <w:rPr>
          <w:rFonts w:hint="eastAsia" w:asciiTheme="minorEastAsia" w:hAnsiTheme="minorEastAsia" w:eastAsiaTheme="minorEastAsia" w:cstheme="minorEastAsia"/>
          <w:color w:val="auto"/>
          <w:sz w:val="24"/>
          <w:highlight w:val="none"/>
        </w:rPr>
      </w:pPr>
      <w:bookmarkStart w:id="14" w:name="_Toc91899903"/>
      <w:r>
        <w:rPr>
          <w:rFonts w:hint="eastAsia" w:asciiTheme="minorEastAsia" w:hAnsiTheme="minorEastAsia" w:eastAsiaTheme="minorEastAsia" w:cstheme="minorEastAsia"/>
          <w:b/>
          <w:color w:val="auto"/>
          <w:sz w:val="24"/>
          <w:highlight w:val="none"/>
        </w:rPr>
        <w:t>19.</w:t>
      </w:r>
      <w:r>
        <w:rPr>
          <w:rFonts w:hint="eastAsia" w:asciiTheme="minorEastAsia" w:hAnsiTheme="minorEastAsia" w:eastAsiaTheme="minorEastAsia" w:cstheme="minorEastAsia"/>
          <w:color w:val="auto"/>
          <w:sz w:val="24"/>
          <w:highlight w:val="none"/>
        </w:rPr>
        <w:t>评审委员会将根据公开竞争文件和有关规定，履行评标工作职责，并按照评标方法及评分标准，全面衡量各响应人对公开竞争文件的响应情况。对实质上响应公开竞争文件的响应人，按照评审因素的量化指标排出推荐成交的响应人的先后顺序，并按顺序提出授标建议。</w:t>
      </w:r>
    </w:p>
    <w:p w14:paraId="2C491C16">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详见公开竞争文件第四部分交易办法。</w:t>
      </w:r>
    </w:p>
    <w:p w14:paraId="7E15A76D">
      <w:pPr>
        <w:spacing w:line="460" w:lineRule="exact"/>
        <w:rPr>
          <w:rFonts w:hint="eastAsia" w:asciiTheme="minorEastAsia" w:hAnsiTheme="minorEastAsia" w:eastAsiaTheme="minorEastAsia" w:cstheme="minorEastAsia"/>
          <w:b/>
          <w:color w:val="auto"/>
          <w:sz w:val="24"/>
          <w:highlight w:val="none"/>
        </w:rPr>
      </w:pPr>
    </w:p>
    <w:p w14:paraId="1839DA2D">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六、定标</w:t>
      </w:r>
    </w:p>
    <w:p w14:paraId="54306D92">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20.确定成交响应人</w:t>
      </w:r>
    </w:p>
    <w:p w14:paraId="6CFB6CB3">
      <w:pPr>
        <w:pStyle w:val="139"/>
        <w:snapToGrid w:val="0"/>
        <w:spacing w:before="0" w:line="460" w:lineRule="exact"/>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交易发起人将自收到评审报告之日起5个工作日内通过电子交易平台在评审报告推荐的成交候选人中按顺序确定成交响应人。</w:t>
      </w:r>
    </w:p>
    <w:p w14:paraId="0C64E2A1">
      <w:pPr>
        <w:pStyle w:val="139"/>
        <w:snapToGrid w:val="0"/>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21.成交通知与成交结果公告</w:t>
      </w:r>
    </w:p>
    <w:p w14:paraId="078987F0">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21.1自成交人确定之日起3天内，代理机构通过电子交易平台向成交人发出成交通知书，同时编制发布成交结果公告。代理机构也可以以纸质形式进行成交通知。</w:t>
      </w:r>
    </w:p>
    <w:p w14:paraId="448A0C5E">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21.2成交结果公告内容包括交易发起人及其委托的代理机构的名称、地址、联系方式，项目名称和交易编号，成交人名称、地址和成交金额。</w:t>
      </w:r>
    </w:p>
    <w:p w14:paraId="4399A378">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p>
    <w:p w14:paraId="31BE4B74">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023A947B">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w:t>
      </w:r>
      <w:r>
        <w:rPr>
          <w:rFonts w:hint="eastAsia" w:asciiTheme="minorEastAsia" w:hAnsiTheme="minorEastAsia" w:eastAsiaTheme="minorEastAsia" w:cstheme="minorEastAsia"/>
          <w:color w:val="auto"/>
          <w:highlight w:val="none"/>
        </w:rPr>
        <w:t>合同主要条款详见第五部分拟签订的合同文本。</w:t>
      </w:r>
    </w:p>
    <w:p w14:paraId="003F073F">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23.合同的签订</w:t>
      </w:r>
    </w:p>
    <w:p w14:paraId="3C00CBE0">
      <w:pPr>
        <w:widowControl/>
        <w:shd w:val="clear" w:color="auto" w:fill="FFFFFF"/>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23.1</w:t>
      </w:r>
      <w:r>
        <w:rPr>
          <w:rFonts w:hint="eastAsia" w:asciiTheme="minorEastAsia" w:hAnsiTheme="minorEastAsia" w:eastAsiaTheme="minorEastAsia" w:cstheme="minorEastAsia"/>
          <w:color w:val="auto"/>
          <w:kern w:val="0"/>
          <w:sz w:val="24"/>
          <w:highlight w:val="none"/>
        </w:rPr>
        <w:t>交易发起人与成交人应当通过电子交易平台在成交通知书发出之日起三十日内，按照公开竞争文件确定的事项签订书面合同。</w:t>
      </w:r>
    </w:p>
    <w:p w14:paraId="100DC60A">
      <w:pPr>
        <w:pStyle w:val="139"/>
        <w:snapToGrid w:val="0"/>
        <w:spacing w:before="0" w:line="460" w:lineRule="exact"/>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zh-CN"/>
        </w:rPr>
        <w:t>2</w:t>
      </w:r>
      <w:r>
        <w:rPr>
          <w:rFonts w:hint="eastAsia" w:asciiTheme="minorEastAsia" w:hAnsiTheme="minorEastAsia" w:eastAsiaTheme="minorEastAsia" w:cstheme="minorEastAsia"/>
          <w:color w:val="auto"/>
          <w:kern w:val="0"/>
          <w:highlight w:val="none"/>
        </w:rPr>
        <w:t>3</w:t>
      </w:r>
      <w:r>
        <w:rPr>
          <w:rFonts w:hint="eastAsia" w:asciiTheme="minorEastAsia" w:hAnsiTheme="minorEastAsia" w:eastAsiaTheme="minorEastAsia" w:cstheme="minorEastAsia"/>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14:paraId="2DA75C4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23.3如签订合同并生效后，响应人无故拒绝或延期，除按照合同条款处理外，列入不良行为记录一次，并给予通报。</w:t>
      </w:r>
    </w:p>
    <w:p w14:paraId="42687DBC">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23.4成交响应人拒绝与交易发起人签订合同的，交易发起人可以按照评审报告推荐的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或者成交候选人名单排序，确定下一候选人为成交响应人，也可以重新开展交易活动。</w:t>
      </w:r>
    </w:p>
    <w:p w14:paraId="0478ED15">
      <w:pPr>
        <w:pStyle w:val="139"/>
        <w:snapToGrid w:val="0"/>
        <w:spacing w:before="0" w:after="12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23.5书面合同由交易发起人与成交响应人根据公开竞争文件、响应文件等内容签订合同。</w:t>
      </w:r>
    </w:p>
    <w:p w14:paraId="5119274D">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24.履约保证金：</w:t>
      </w:r>
      <w:r>
        <w:rPr>
          <w:rFonts w:hint="eastAsia" w:asciiTheme="minorEastAsia" w:hAnsiTheme="minorEastAsia" w:eastAsiaTheme="minorEastAsia" w:cstheme="minorEastAsia"/>
          <w:bCs/>
          <w:color w:val="auto"/>
          <w:highlight w:val="none"/>
        </w:rPr>
        <w:t>详见前附表。</w:t>
      </w:r>
    </w:p>
    <w:p w14:paraId="72488291">
      <w:pPr>
        <w:snapToGrid w:val="0"/>
        <w:spacing w:line="460" w:lineRule="exact"/>
        <w:ind w:firstLine="3357" w:firstLineChars="1045"/>
        <w:rPr>
          <w:rFonts w:hint="eastAsia" w:asciiTheme="minorEastAsia" w:hAnsiTheme="minorEastAsia" w:eastAsiaTheme="minorEastAsia" w:cstheme="minorEastAsia"/>
          <w:b/>
          <w:color w:val="auto"/>
          <w:sz w:val="32"/>
          <w:highlight w:val="none"/>
        </w:rPr>
      </w:pPr>
    </w:p>
    <w:p w14:paraId="120FDE0E">
      <w:pPr>
        <w:snapToGrid w:val="0"/>
        <w:spacing w:line="460" w:lineRule="exact"/>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7407A083">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w:t>
      </w:r>
      <w:r>
        <w:rPr>
          <w:rFonts w:hint="eastAsia" w:asciiTheme="minorEastAsia" w:hAnsiTheme="minorEastAsia" w:eastAsiaTheme="minorEastAsia" w:cstheme="minorEastAsia"/>
          <w:b/>
          <w:color w:val="auto"/>
          <w:szCs w:val="24"/>
          <w:highlight w:val="none"/>
        </w:rPr>
        <w:t>5.电子交易活动的中止。</w:t>
      </w:r>
      <w:r>
        <w:rPr>
          <w:rFonts w:hint="eastAsia" w:asciiTheme="minorEastAsia" w:hAnsiTheme="minorEastAsia" w:eastAsiaTheme="minorEastAsia" w:cstheme="minorEastAsia"/>
          <w:bCs/>
          <w:color w:val="auto"/>
          <w:szCs w:val="24"/>
          <w:highlight w:val="none"/>
        </w:rPr>
        <w:t>交易</w:t>
      </w:r>
      <w:r>
        <w:rPr>
          <w:rFonts w:hint="eastAsia" w:asciiTheme="minorEastAsia" w:hAnsiTheme="minorEastAsia" w:eastAsiaTheme="minorEastAsia" w:cstheme="minorEastAsia"/>
          <w:color w:val="auto"/>
          <w:highlight w:val="none"/>
        </w:rPr>
        <w:t>过程中出现以下情形，导致电子交易平台无法正常运行，或者无法保证电子交易的公平、公正和安全时，代理机构可中止电子交易活动：</w:t>
      </w:r>
    </w:p>
    <w:p w14:paraId="033AA952">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25.1电子交易平台发生故障而无法登录访问的； </w:t>
      </w:r>
    </w:p>
    <w:p w14:paraId="52F0F5D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25.2电子交易平台应用或数据库出现错误，不能进行正常操作的；</w:t>
      </w:r>
    </w:p>
    <w:p w14:paraId="48D2F8E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25.3电子交易平台发现严重安全漏洞，有潜在泄密危险的；</w:t>
      </w:r>
    </w:p>
    <w:p w14:paraId="1960D5C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25.4病毒发作导致不能进行正常操作的； </w:t>
      </w:r>
    </w:p>
    <w:p w14:paraId="7189DC25">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25.5其他无法保证电子交易的公平、公正和安全的情况。</w:t>
      </w:r>
    </w:p>
    <w:p w14:paraId="2C31DB6B">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26.</w:t>
      </w:r>
      <w:r>
        <w:rPr>
          <w:rFonts w:hint="eastAsia" w:asciiTheme="minorEastAsia" w:hAnsiTheme="minorEastAsia" w:eastAsiaTheme="minorEastAsia" w:cstheme="minorEastAsia"/>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14:paraId="3A19FCE1">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688A3BB0">
      <w:pPr>
        <w:pStyle w:val="26"/>
        <w:spacing w:line="460" w:lineRule="exact"/>
        <w:ind w:firstLine="0" w:firstLineChars="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27.验收</w:t>
      </w:r>
    </w:p>
    <w:p w14:paraId="2FA25C33">
      <w:pPr>
        <w:tabs>
          <w:tab w:val="left" w:pos="0"/>
        </w:tabs>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27.1交易发起人应当组织对响应人履约的验收。</w:t>
      </w:r>
    </w:p>
    <w:bookmarkEnd w:id="12"/>
    <w:bookmarkEnd w:id="13"/>
    <w:bookmarkEnd w:id="14"/>
    <w:p w14:paraId="59974CCA">
      <w:pPr>
        <w:rPr>
          <w:rFonts w:hint="eastAsia" w:asciiTheme="minorEastAsia" w:hAnsiTheme="minorEastAsia" w:eastAsiaTheme="minorEastAsia" w:cstheme="minorEastAsia"/>
          <w:b/>
          <w:color w:val="auto"/>
          <w:sz w:val="36"/>
          <w:szCs w:val="36"/>
          <w:highlight w:val="none"/>
        </w:rPr>
      </w:pPr>
      <w:bookmarkStart w:id="15" w:name="第四部分"/>
      <w:r>
        <w:rPr>
          <w:rFonts w:hint="eastAsia" w:asciiTheme="minorEastAsia" w:hAnsiTheme="minorEastAsia" w:eastAsiaTheme="minorEastAsia" w:cstheme="minorEastAsia"/>
          <w:b/>
          <w:color w:val="auto"/>
          <w:sz w:val="36"/>
          <w:szCs w:val="36"/>
          <w:highlight w:val="none"/>
        </w:rPr>
        <w:br w:type="page"/>
      </w:r>
    </w:p>
    <w:p w14:paraId="414A586A">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36"/>
          <w:szCs w:val="36"/>
          <w:highlight w:val="none"/>
        </w:rPr>
        <w:t>第三部分   交易需求</w:t>
      </w:r>
    </w:p>
    <w:p w14:paraId="792D5989">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属于实质性要求条款的，请用符号“▲”标明，否则属于非实质性要求。</w:t>
      </w:r>
    </w:p>
    <w:p w14:paraId="798B14F3">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一、交易一览表</w:t>
      </w:r>
    </w:p>
    <w:p w14:paraId="75F928C0">
      <w:pPr>
        <w:spacing w:after="120"/>
        <w:ind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标项：1</w:t>
      </w:r>
    </w:p>
    <w:tbl>
      <w:tblPr>
        <w:tblStyle w:val="64"/>
        <w:tblW w:w="8983" w:type="dxa"/>
        <w:jc w:val="center"/>
        <w:tblLayout w:type="fixed"/>
        <w:tblCellMar>
          <w:top w:w="0" w:type="dxa"/>
          <w:left w:w="0" w:type="dxa"/>
          <w:bottom w:w="0" w:type="dxa"/>
          <w:right w:w="0" w:type="dxa"/>
        </w:tblCellMar>
      </w:tblPr>
      <w:tblGrid>
        <w:gridCol w:w="733"/>
        <w:gridCol w:w="3944"/>
        <w:gridCol w:w="1767"/>
        <w:gridCol w:w="846"/>
        <w:gridCol w:w="846"/>
        <w:gridCol w:w="847"/>
      </w:tblGrid>
      <w:tr w14:paraId="20A7AFC1">
        <w:tblPrEx>
          <w:tblCellMar>
            <w:top w:w="0" w:type="dxa"/>
            <w:left w:w="0" w:type="dxa"/>
            <w:bottom w:w="0" w:type="dxa"/>
            <w:right w:w="0" w:type="dxa"/>
          </w:tblCellMar>
        </w:tblPrEx>
        <w:trPr>
          <w:cantSplit/>
          <w:trHeight w:val="514"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591C92C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394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3BA13AB">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名称</w:t>
            </w:r>
          </w:p>
        </w:tc>
        <w:tc>
          <w:tcPr>
            <w:tcW w:w="176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DD6829D">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具体服务要求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9F7F00C">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1182496">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847" w:type="dxa"/>
            <w:tcBorders>
              <w:top w:val="single" w:color="auto" w:sz="4" w:space="0"/>
              <w:left w:val="nil"/>
              <w:bottom w:val="single" w:color="auto" w:sz="4" w:space="0"/>
              <w:right w:val="single" w:color="auto" w:sz="4" w:space="0"/>
            </w:tcBorders>
            <w:vAlign w:val="center"/>
          </w:tcPr>
          <w:p w14:paraId="5B5F825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备注</w:t>
            </w:r>
          </w:p>
        </w:tc>
      </w:tr>
      <w:tr w14:paraId="25FE0F42">
        <w:tblPrEx>
          <w:tblCellMar>
            <w:top w:w="0" w:type="dxa"/>
            <w:left w:w="0" w:type="dxa"/>
            <w:bottom w:w="0" w:type="dxa"/>
            <w:right w:w="0" w:type="dxa"/>
          </w:tblCellMar>
        </w:tblPrEx>
        <w:trPr>
          <w:cantSplit/>
          <w:trHeight w:val="682" w:hRule="atLeast"/>
          <w:jc w:val="center"/>
        </w:trPr>
        <w:tc>
          <w:tcPr>
            <w:tcW w:w="733"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3F2647A1">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44"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6B4EB002">
            <w:pPr>
              <w:jc w:val="cente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杭州市萧山区文化和广电旅游体育局</w:t>
            </w:r>
          </w:p>
          <w:p w14:paraId="581817FF">
            <w:pPr>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color w:val="auto"/>
                <w:sz w:val="24"/>
                <w:highlight w:val="none"/>
                <w:lang w:eastAsia="zh-CN"/>
              </w:rPr>
              <w:t>职工疗休养采购项目</w:t>
            </w:r>
          </w:p>
        </w:tc>
        <w:tc>
          <w:tcPr>
            <w:tcW w:w="1767"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2F6D97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详见交易需求</w:t>
            </w:r>
          </w:p>
        </w:tc>
        <w:tc>
          <w:tcPr>
            <w:tcW w:w="846"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35E4CDF">
            <w:pPr>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color w:val="auto"/>
                <w:sz w:val="24"/>
                <w:highlight w:val="none"/>
                <w:lang w:val="en-US" w:eastAsia="zh-CN"/>
              </w:rPr>
              <w:t>家</w:t>
            </w:r>
          </w:p>
        </w:tc>
        <w:tc>
          <w:tcPr>
            <w:tcW w:w="846"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1894E70">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1</w:t>
            </w:r>
          </w:p>
        </w:tc>
        <w:tc>
          <w:tcPr>
            <w:tcW w:w="847" w:type="dxa"/>
            <w:tcBorders>
              <w:top w:val="single" w:color="auto" w:sz="4" w:space="0"/>
              <w:left w:val="nil"/>
              <w:bottom w:val="single" w:color="auto" w:sz="4" w:space="0"/>
              <w:right w:val="single" w:color="auto" w:sz="4" w:space="0"/>
            </w:tcBorders>
            <w:vAlign w:val="center"/>
          </w:tcPr>
          <w:p w14:paraId="0A7A98C5">
            <w:pPr>
              <w:rPr>
                <w:rFonts w:hint="eastAsia" w:asciiTheme="minorEastAsia" w:hAnsiTheme="minorEastAsia" w:eastAsiaTheme="minorEastAsia" w:cstheme="minorEastAsia"/>
                <w:color w:val="auto"/>
                <w:sz w:val="24"/>
                <w:highlight w:val="none"/>
              </w:rPr>
            </w:pPr>
          </w:p>
        </w:tc>
      </w:tr>
    </w:tbl>
    <w:p w14:paraId="1F2279C8">
      <w:pPr>
        <w:spacing w:line="360" w:lineRule="auto"/>
        <w:jc w:val="center"/>
        <w:rPr>
          <w:rFonts w:hint="eastAsia" w:asciiTheme="minorEastAsia" w:hAnsiTheme="minorEastAsia" w:eastAsiaTheme="minorEastAsia" w:cstheme="minorEastAsia"/>
          <w:b/>
          <w:color w:val="auto"/>
          <w:sz w:val="24"/>
          <w:highlight w:val="none"/>
        </w:rPr>
      </w:pPr>
    </w:p>
    <w:p w14:paraId="73E23721">
      <w:pPr>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二、交易需求</w:t>
      </w:r>
    </w:p>
    <w:p w14:paraId="242D1B41">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（一）项目服务要求：</w:t>
      </w:r>
    </w:p>
    <w:p w14:paraId="751E1886">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响应人</w:t>
      </w:r>
      <w:r>
        <w:rPr>
          <w:rFonts w:hint="eastAsia" w:asciiTheme="minorEastAsia" w:hAnsiTheme="minorEastAsia" w:eastAsiaTheme="minorEastAsia" w:cstheme="minorEastAsia"/>
          <w:color w:val="auto"/>
          <w:sz w:val="24"/>
          <w:highlight w:val="none"/>
        </w:rPr>
        <w:t>需在</w:t>
      </w:r>
      <w:r>
        <w:rPr>
          <w:rFonts w:hint="eastAsia" w:asciiTheme="minorEastAsia" w:hAnsiTheme="minorEastAsia" w:eastAsiaTheme="minorEastAsia" w:cstheme="minorEastAsia"/>
          <w:color w:val="auto"/>
          <w:sz w:val="24"/>
          <w:highlight w:val="none"/>
          <w:lang w:eastAsia="zh-CN"/>
        </w:rPr>
        <w:t>响应文件</w:t>
      </w:r>
      <w:r>
        <w:rPr>
          <w:rFonts w:hint="eastAsia" w:asciiTheme="minorEastAsia" w:hAnsiTheme="minorEastAsia" w:eastAsiaTheme="minorEastAsia" w:cstheme="minorEastAsia"/>
          <w:color w:val="auto"/>
          <w:sz w:val="24"/>
          <w:highlight w:val="none"/>
        </w:rPr>
        <w:t>中提供具体行程、出行方式、就餐标准等具体明细，投标报价根据要求提供每人次的单价</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本项目按每人次单价报价</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响应</w:t>
      </w:r>
      <w:r>
        <w:rPr>
          <w:rFonts w:hint="eastAsia" w:asciiTheme="minorEastAsia" w:hAnsiTheme="minorEastAsia" w:eastAsiaTheme="minorEastAsia" w:cstheme="minorEastAsia"/>
          <w:color w:val="auto"/>
          <w:sz w:val="24"/>
          <w:highlight w:val="none"/>
        </w:rPr>
        <w:t>单价为</w:t>
      </w:r>
      <w:r>
        <w:rPr>
          <w:rFonts w:hint="eastAsia" w:asciiTheme="minorEastAsia" w:hAnsiTheme="minorEastAsia" w:eastAsiaTheme="minorEastAsia" w:cstheme="minorEastAsia"/>
          <w:color w:val="auto"/>
          <w:sz w:val="24"/>
          <w:highlight w:val="none"/>
          <w:lang w:eastAsia="zh-CN"/>
        </w:rPr>
        <w:t>响应人</w:t>
      </w:r>
      <w:r>
        <w:rPr>
          <w:rFonts w:hint="eastAsia" w:asciiTheme="minorEastAsia" w:hAnsiTheme="minorEastAsia" w:eastAsiaTheme="minorEastAsia" w:cstheme="minorEastAsia"/>
          <w:color w:val="auto"/>
          <w:sz w:val="24"/>
          <w:highlight w:val="none"/>
        </w:rPr>
        <w:t>综合考虑后的统一单价，不得再有淡季旺季的价格区别。无论</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rPr>
        <w:t>方在何时出团，均以</w:t>
      </w:r>
      <w:r>
        <w:rPr>
          <w:rFonts w:hint="eastAsia" w:asciiTheme="minorEastAsia" w:hAnsiTheme="minorEastAsia" w:eastAsiaTheme="minorEastAsia" w:cstheme="minorEastAsia"/>
          <w:color w:val="auto"/>
          <w:sz w:val="24"/>
          <w:highlight w:val="none"/>
          <w:lang w:eastAsia="zh-CN"/>
        </w:rPr>
        <w:t>响应</w:t>
      </w:r>
      <w:r>
        <w:rPr>
          <w:rFonts w:hint="eastAsia" w:asciiTheme="minorEastAsia" w:hAnsiTheme="minorEastAsia" w:eastAsiaTheme="minorEastAsia" w:cstheme="minorEastAsia"/>
          <w:color w:val="auto"/>
          <w:sz w:val="24"/>
          <w:highlight w:val="none"/>
        </w:rPr>
        <w:t>单价为结算依据。</w:t>
      </w:r>
      <w:r>
        <w:rPr>
          <w:rFonts w:hint="eastAsia" w:asciiTheme="minorEastAsia" w:hAnsiTheme="minorEastAsia" w:eastAsiaTheme="minorEastAsia" w:cstheme="minorEastAsia"/>
          <w:color w:val="auto"/>
          <w:sz w:val="24"/>
          <w:highlight w:val="none"/>
          <w:lang w:eastAsia="zh-CN"/>
        </w:rPr>
        <w:t>响应人</w:t>
      </w:r>
      <w:r>
        <w:rPr>
          <w:rFonts w:hint="eastAsia" w:asciiTheme="minorEastAsia" w:hAnsiTheme="minorEastAsia" w:eastAsiaTheme="minorEastAsia" w:cstheme="minorEastAsia"/>
          <w:color w:val="auto"/>
          <w:sz w:val="24"/>
          <w:highlight w:val="none"/>
        </w:rPr>
        <w:t>应允许</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后任何线路因报名人数不足或者不可抗力因素的不成团，不成团线路</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rPr>
        <w:t>方不承担任何责任。若因</w:t>
      </w:r>
      <w:r>
        <w:rPr>
          <w:rFonts w:hint="eastAsia" w:asciiTheme="minorEastAsia" w:hAnsiTheme="minorEastAsia" w:eastAsiaTheme="minorEastAsia" w:cstheme="minorEastAsia"/>
          <w:color w:val="auto"/>
          <w:sz w:val="24"/>
          <w:highlight w:val="none"/>
          <w:lang w:val="en-US" w:eastAsia="zh-CN"/>
        </w:rPr>
        <w:t>政策及相关</w:t>
      </w:r>
      <w:r>
        <w:rPr>
          <w:rFonts w:hint="eastAsia" w:asciiTheme="minorEastAsia" w:hAnsiTheme="minorEastAsia" w:eastAsiaTheme="minorEastAsia" w:cstheme="minorEastAsia"/>
          <w:color w:val="auto"/>
          <w:sz w:val="24"/>
          <w:highlight w:val="none"/>
        </w:rPr>
        <w:t>原因，如原定线路无法开展疗休养，由</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人与</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人协商根据实际情况，安排同等价位线路，按原定的出行天数及相同服务；若遇政策变动，临时取消出行计划，</w:t>
      </w:r>
      <w:r>
        <w:rPr>
          <w:rFonts w:hint="eastAsia" w:asciiTheme="minorEastAsia" w:hAnsiTheme="minorEastAsia" w:eastAsiaTheme="minorEastAsia" w:cstheme="minorEastAsia"/>
          <w:color w:val="auto"/>
          <w:sz w:val="24"/>
          <w:highlight w:val="none"/>
          <w:lang w:val="en-US" w:eastAsia="zh-CN"/>
        </w:rPr>
        <w:t>不视作违反合同，成交</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val="en-US" w:eastAsia="zh-CN"/>
        </w:rPr>
        <w:t>应</w:t>
      </w:r>
      <w:r>
        <w:rPr>
          <w:rFonts w:hint="eastAsia" w:asciiTheme="minorEastAsia" w:hAnsiTheme="minorEastAsia" w:eastAsiaTheme="minorEastAsia" w:cstheme="minorEastAsia"/>
          <w:color w:val="auto"/>
          <w:sz w:val="24"/>
          <w:highlight w:val="none"/>
        </w:rPr>
        <w:t>无条件服从</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并</w:t>
      </w:r>
      <w:r>
        <w:rPr>
          <w:rFonts w:hint="eastAsia" w:asciiTheme="minorEastAsia" w:hAnsiTheme="minorEastAsia" w:eastAsiaTheme="minorEastAsia" w:cstheme="minorEastAsia"/>
          <w:color w:val="auto"/>
          <w:sz w:val="24"/>
          <w:highlight w:val="none"/>
        </w:rPr>
        <w:t>承担</w:t>
      </w:r>
      <w:r>
        <w:rPr>
          <w:rFonts w:hint="eastAsia" w:asciiTheme="minorEastAsia" w:hAnsiTheme="minorEastAsia" w:eastAsiaTheme="minorEastAsia" w:cstheme="minorEastAsia"/>
          <w:color w:val="auto"/>
          <w:sz w:val="24"/>
          <w:highlight w:val="none"/>
          <w:lang w:val="en-US" w:eastAsia="zh-CN"/>
        </w:rPr>
        <w:t>相应</w:t>
      </w:r>
      <w:r>
        <w:rPr>
          <w:rFonts w:hint="eastAsia" w:asciiTheme="minorEastAsia" w:hAnsiTheme="minorEastAsia" w:eastAsiaTheme="minorEastAsia" w:cstheme="minorEastAsia"/>
          <w:color w:val="auto"/>
          <w:sz w:val="24"/>
          <w:highlight w:val="none"/>
        </w:rPr>
        <w:t>风险</w:t>
      </w:r>
      <w:r>
        <w:rPr>
          <w:rFonts w:hint="eastAsia" w:asciiTheme="minorEastAsia" w:hAnsiTheme="minorEastAsia" w:eastAsiaTheme="minorEastAsia" w:cstheme="minorEastAsia"/>
          <w:color w:val="auto"/>
          <w:sz w:val="24"/>
          <w:highlight w:val="none"/>
          <w:lang w:eastAsia="zh-CN"/>
        </w:rPr>
        <w:t>。</w:t>
      </w:r>
    </w:p>
    <w:p w14:paraId="45BE4E93">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（二）质量标准</w:t>
      </w:r>
    </w:p>
    <w:p w14:paraId="0ABC9F75">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GB/T15971—1995 导游服务质量</w:t>
      </w:r>
    </w:p>
    <w:p w14:paraId="6B183522">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GB/16153—1996 饭店（餐厅）卫生标准 </w:t>
      </w:r>
    </w:p>
    <w:p w14:paraId="347151B9">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GB/T19004.2—1994 质量管理和质量体系要素 第二部分：服务指南（idt ISO 9004—2：1991）</w:t>
      </w:r>
    </w:p>
    <w:p w14:paraId="3E129AD5">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LB/T 002—1995 旅游汽车服务质量</w:t>
      </w:r>
    </w:p>
    <w:p w14:paraId="4920815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GB/T15971 导游人员的基本素质及服务</w:t>
      </w:r>
    </w:p>
    <w:p w14:paraId="491048B1">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以上标准若有最新标准，按最新标准执行。</w:t>
      </w:r>
    </w:p>
    <w:p w14:paraId="6E8EC267">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（三）服务范围</w:t>
      </w:r>
    </w:p>
    <w:p w14:paraId="239F7DBE">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bookmarkStart w:id="16" w:name="_Toc351898267"/>
      <w:r>
        <w:rPr>
          <w:rFonts w:hint="eastAsia" w:asciiTheme="minorEastAsia" w:hAnsiTheme="minorEastAsia" w:eastAsiaTheme="minorEastAsia" w:cstheme="minorEastAsia"/>
          <w:color w:val="auto"/>
          <w:sz w:val="24"/>
          <w:highlight w:val="none"/>
        </w:rPr>
        <w:t>职工疗休养项目，服务期限</w:t>
      </w:r>
      <w:r>
        <w:rPr>
          <w:rFonts w:hint="eastAsia" w:asciiTheme="minorEastAsia" w:hAnsiTheme="minorEastAsia" w:eastAsiaTheme="minorEastAsia" w:cstheme="minorEastAsia"/>
          <w:color w:val="auto"/>
          <w:sz w:val="24"/>
          <w:highlight w:val="none"/>
          <w:lang w:eastAsia="zh-CN"/>
        </w:rPr>
        <w:t>：</w:t>
      </w:r>
      <w:r>
        <w:rPr>
          <w:rFonts w:hint="eastAsia" w:asciiTheme="minorEastAsia" w:hAnsiTheme="minorEastAsia" w:eastAsiaTheme="minorEastAsia" w:cstheme="minorEastAsia"/>
          <w:color w:val="auto"/>
          <w:sz w:val="24"/>
          <w:highlight w:val="none"/>
          <w:lang w:val="en-US" w:eastAsia="zh-CN"/>
        </w:rPr>
        <w:t>按交易发起人要求</w:t>
      </w:r>
      <w:r>
        <w:rPr>
          <w:rFonts w:hint="eastAsia" w:asciiTheme="minorEastAsia" w:hAnsiTheme="minorEastAsia" w:eastAsiaTheme="minorEastAsia" w:cstheme="minorEastAsia"/>
          <w:color w:val="auto"/>
          <w:sz w:val="24"/>
          <w:highlight w:val="none"/>
        </w:rPr>
        <w:t>。约</w:t>
      </w:r>
      <w:r>
        <w:rPr>
          <w:rFonts w:hint="eastAsia" w:asciiTheme="minorEastAsia" w:hAnsiTheme="minorEastAsia" w:eastAsiaTheme="minorEastAsia" w:cstheme="minorEastAsia"/>
          <w:color w:val="auto"/>
          <w:sz w:val="24"/>
          <w:highlight w:val="none"/>
          <w:lang w:val="en-US" w:eastAsia="zh-CN"/>
        </w:rPr>
        <w:t>109</w:t>
      </w:r>
      <w:r>
        <w:rPr>
          <w:rFonts w:hint="eastAsia" w:asciiTheme="minorEastAsia" w:hAnsiTheme="minorEastAsia" w:eastAsiaTheme="minorEastAsia" w:cstheme="minorEastAsia"/>
          <w:color w:val="auto"/>
          <w:sz w:val="24"/>
          <w:highlight w:val="none"/>
        </w:rPr>
        <w:t>人，共计</w:t>
      </w:r>
      <w:r>
        <w:rPr>
          <w:rFonts w:hint="eastAsia" w:asciiTheme="minorEastAsia" w:hAnsiTheme="minorEastAsia" w:eastAsiaTheme="minorEastAsia" w:cstheme="minorEastAsia"/>
          <w:color w:val="auto"/>
          <w:sz w:val="24"/>
          <w:highlight w:val="none"/>
          <w:lang w:val="en-US" w:eastAsia="zh-CN"/>
        </w:rPr>
        <w:t>八</w:t>
      </w:r>
      <w:r>
        <w:rPr>
          <w:rFonts w:hint="eastAsia" w:asciiTheme="minorEastAsia" w:hAnsiTheme="minorEastAsia" w:eastAsiaTheme="minorEastAsia" w:cstheme="minorEastAsia"/>
          <w:color w:val="auto"/>
          <w:sz w:val="24"/>
          <w:highlight w:val="none"/>
        </w:rPr>
        <w:t>条线路，择优选择1家供应商</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w:t>
      </w:r>
    </w:p>
    <w:p w14:paraId="04BB87F7">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（四）</w:t>
      </w:r>
      <w:bookmarkEnd w:id="16"/>
      <w:r>
        <w:rPr>
          <w:rFonts w:hint="eastAsia" w:asciiTheme="minorEastAsia" w:hAnsiTheme="minorEastAsia" w:eastAsiaTheme="minorEastAsia" w:cstheme="minorEastAsia"/>
          <w:b/>
          <w:bCs/>
          <w:color w:val="auto"/>
          <w:sz w:val="24"/>
          <w:highlight w:val="none"/>
        </w:rPr>
        <w:t xml:space="preserve">行程安排等基本要求 </w:t>
      </w:r>
    </w:p>
    <w:p w14:paraId="232B18E3">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1、线路安排（具体出行线路由</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人确定，以下线路供本次招标报价参考，若遇本次招标参考线路之外的线路方案，由</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人与</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根据实际出行天数、市场价自行协商确定）：</w:t>
      </w:r>
    </w:p>
    <w:p w14:paraId="22A62DB2">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线路一：四川成都、康定往返5日疗休养行程（费用不高于3000.00元/人次，不含大交通（火车或飞机费），结算需提供原始票证。)</w:t>
      </w:r>
    </w:p>
    <w:p w14:paraId="269E10B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线路二：福州、平潭往返5日疗休养行程（费用不高于3000.00元/人次)；</w:t>
      </w:r>
    </w:p>
    <w:p w14:paraId="4C28FCF8">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线路三：舟山、嵊泗往返4日疗休养行程（费用不高于3000.00元/人次)；</w:t>
      </w:r>
    </w:p>
    <w:p w14:paraId="01E59063">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线路四：丽水、龙泉往返4日疗休养行程（费用不高于3000.00元/人次）；</w:t>
      </w:r>
    </w:p>
    <w:p w14:paraId="0FC6BAAB">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线路五：衢州、开化往返4日疗休养行程（费用不高于3000.00元/人次）；</w:t>
      </w:r>
    </w:p>
    <w:p w14:paraId="1E8A3A79">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线路六：由</w:t>
      </w:r>
      <w:r>
        <w:rPr>
          <w:rFonts w:hint="eastAsia" w:asciiTheme="minorEastAsia" w:hAnsiTheme="minorEastAsia" w:eastAsiaTheme="minorEastAsia" w:cstheme="minorEastAsia"/>
          <w:color w:val="auto"/>
          <w:sz w:val="24"/>
          <w:highlight w:val="none"/>
          <w:lang w:val="en-US" w:eastAsia="zh-CN"/>
        </w:rPr>
        <w:t>响应人</w:t>
      </w:r>
      <w:r>
        <w:rPr>
          <w:rFonts w:hint="eastAsia" w:asciiTheme="minorEastAsia" w:hAnsiTheme="minorEastAsia" w:eastAsiaTheme="minorEastAsia" w:cstheme="minorEastAsia"/>
          <w:color w:val="auto"/>
          <w:sz w:val="24"/>
          <w:highlight w:val="none"/>
          <w:lang w:eastAsia="zh-CN"/>
        </w:rPr>
        <w:t>自行规划杭州周边往返4日疗休养行程（费用不高于3000.00元/人次）；</w:t>
      </w:r>
    </w:p>
    <w:p w14:paraId="7792F6C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线路七：由</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lang w:eastAsia="zh-CN"/>
        </w:rPr>
        <w:t>人自行规划杭州周边往返3日疗休养行程（费用不高于1500.00元/人次）；</w:t>
      </w:r>
    </w:p>
    <w:p w14:paraId="3C8497F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线路八：平湖、嘉善往返3日疗休养行程（费用不高于1500.00元/人次）；</w:t>
      </w:r>
    </w:p>
    <w:p w14:paraId="7363FFD9">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lang w:val="en-US" w:eastAsia="zh-CN"/>
        </w:rPr>
        <w:t>以上线路，安排能体验各区域的名胜及民俗风情。</w:t>
      </w:r>
    </w:p>
    <w:p w14:paraId="56F3870D">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要求行程安排轻松合理，休闲休养相结合。最终服务过程中包括但不仅限于以上线路，各</w:t>
      </w:r>
      <w:r>
        <w:rPr>
          <w:rFonts w:hint="eastAsia" w:asciiTheme="minorEastAsia" w:hAnsiTheme="minorEastAsia" w:eastAsiaTheme="minorEastAsia" w:cstheme="minorEastAsia"/>
          <w:color w:val="auto"/>
          <w:sz w:val="24"/>
          <w:highlight w:val="none"/>
          <w:lang w:val="en-US" w:eastAsia="zh-CN"/>
        </w:rPr>
        <w:t>响应人</w:t>
      </w:r>
      <w:r>
        <w:rPr>
          <w:rFonts w:hint="eastAsia" w:asciiTheme="minorEastAsia" w:hAnsiTheme="minorEastAsia" w:eastAsiaTheme="minorEastAsia" w:cstheme="minorEastAsia"/>
          <w:color w:val="auto"/>
          <w:sz w:val="24"/>
          <w:highlight w:val="none"/>
        </w:rPr>
        <w:t>自行承担报价风险。</w:t>
      </w:r>
    </w:p>
    <w:p w14:paraId="6AAF9009">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宋体" w:hAnsi="宋体" w:cs="宋体"/>
          <w:color w:val="auto"/>
          <w:kern w:val="0"/>
          <w:sz w:val="24"/>
          <w:szCs w:val="24"/>
          <w:highlight w:val="none"/>
          <w:lang w:eastAsia="zh-CN"/>
        </w:rPr>
      </w:pP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大交通费用说明：</w:t>
      </w:r>
      <w:r>
        <w:rPr>
          <w:rFonts w:hint="eastAsia" w:asciiTheme="minorEastAsia" w:hAnsiTheme="minorEastAsia" w:eastAsiaTheme="minorEastAsia" w:cstheme="minorEastAsia"/>
          <w:color w:val="auto"/>
          <w:sz w:val="24"/>
          <w:highlight w:val="none"/>
          <w:lang w:val="en-US" w:eastAsia="zh-CN"/>
        </w:rPr>
        <w:t>浙江省外四川</w:t>
      </w:r>
      <w:r>
        <w:rPr>
          <w:rFonts w:hint="eastAsia" w:asciiTheme="minorEastAsia" w:hAnsiTheme="minorEastAsia" w:eastAsiaTheme="minorEastAsia" w:cstheme="minorEastAsia"/>
          <w:color w:val="auto"/>
          <w:sz w:val="24"/>
          <w:highlight w:val="none"/>
          <w:lang w:eastAsia="zh-CN"/>
        </w:rPr>
        <w:t>成都、康定</w:t>
      </w:r>
      <w:r>
        <w:rPr>
          <w:rFonts w:hint="eastAsia" w:ascii="宋体" w:hAnsi="宋体" w:eastAsia="宋体" w:cs="宋体"/>
          <w:color w:val="auto"/>
          <w:kern w:val="0"/>
          <w:sz w:val="24"/>
          <w:szCs w:val="24"/>
          <w:highlight w:val="none"/>
        </w:rPr>
        <w:t>除往返目的地大交通费即飞机、火车外，不超过3000</w:t>
      </w:r>
      <w:r>
        <w:rPr>
          <w:rFonts w:hint="eastAsia" w:ascii="宋体" w:hAnsi="宋体" w:eastAsia="宋体" w:cs="宋体"/>
          <w:color w:val="auto"/>
          <w:kern w:val="0"/>
          <w:sz w:val="24"/>
          <w:szCs w:val="24"/>
          <w:highlight w:val="none"/>
          <w:lang w:val="en-US" w:eastAsia="zh-CN"/>
        </w:rPr>
        <w:t>.00</w:t>
      </w:r>
      <w:r>
        <w:rPr>
          <w:rFonts w:hint="eastAsia" w:ascii="宋体" w:hAnsi="宋体" w:eastAsia="宋体" w:cs="宋体"/>
          <w:color w:val="auto"/>
          <w:kern w:val="0"/>
          <w:sz w:val="24"/>
          <w:szCs w:val="24"/>
          <w:highlight w:val="none"/>
        </w:rPr>
        <w:t>元/人次，往返大交通费用根据实际结算（大交通票务需在政府采购机票管理网站购买，若通过其他购买途径，则需低于政府采购机票管理网站的当日价格信息，报销时附政府采购机票管理网站当天机票截图价格信息）</w:t>
      </w:r>
      <w:r>
        <w:rPr>
          <w:rFonts w:hint="eastAsia" w:ascii="宋体" w:hAnsi="宋体" w:cs="宋体"/>
          <w:color w:val="auto"/>
          <w:kern w:val="0"/>
          <w:sz w:val="24"/>
          <w:szCs w:val="24"/>
          <w:highlight w:val="none"/>
          <w:lang w:eastAsia="zh-CN"/>
        </w:rPr>
        <w:t>。</w:t>
      </w:r>
    </w:p>
    <w:p w14:paraId="77F9CC3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lang w:eastAsia="zh-CN"/>
        </w:rPr>
        <w:t>响应</w:t>
      </w:r>
      <w:r>
        <w:rPr>
          <w:rFonts w:hint="eastAsia" w:asciiTheme="minorEastAsia" w:hAnsiTheme="minorEastAsia" w:eastAsiaTheme="minorEastAsia" w:cstheme="minorEastAsia"/>
          <w:color w:val="auto"/>
          <w:sz w:val="24"/>
          <w:highlight w:val="none"/>
        </w:rPr>
        <w:t>报价包括供应商完成本项目所需的一切费用，包括但不限于：交通费（含燃油费、过路费、景点交通费等）、购买交通车票服务费、住宿费、伙食费、景点门票、导游费、保险费及涉及的其他所有费用、税金。要求不进任何购物店,不组织任何自费项目。本项目各</w:t>
      </w:r>
      <w:r>
        <w:rPr>
          <w:rFonts w:hint="eastAsia" w:asciiTheme="minorEastAsia" w:hAnsiTheme="minorEastAsia" w:eastAsiaTheme="minorEastAsia" w:cstheme="minorEastAsia"/>
          <w:color w:val="auto"/>
          <w:sz w:val="24"/>
          <w:highlight w:val="none"/>
          <w:lang w:eastAsia="zh-CN"/>
        </w:rPr>
        <w:t>供应商</w:t>
      </w:r>
      <w:r>
        <w:rPr>
          <w:rFonts w:hint="eastAsia" w:asciiTheme="minorEastAsia" w:hAnsiTheme="minorEastAsia" w:eastAsiaTheme="minorEastAsia" w:cstheme="minorEastAsia"/>
          <w:color w:val="auto"/>
          <w:sz w:val="24"/>
          <w:highlight w:val="none"/>
        </w:rPr>
        <w:t>按照以上线路报价，最终服务过程包括但不仅限于以上线路，各</w:t>
      </w:r>
      <w:r>
        <w:rPr>
          <w:rFonts w:hint="eastAsia" w:asciiTheme="minorEastAsia" w:hAnsiTheme="minorEastAsia" w:eastAsiaTheme="minorEastAsia" w:cstheme="minorEastAsia"/>
          <w:color w:val="auto"/>
          <w:sz w:val="24"/>
          <w:highlight w:val="none"/>
          <w:lang w:eastAsia="zh-CN"/>
        </w:rPr>
        <w:t>供应商</w:t>
      </w:r>
      <w:r>
        <w:rPr>
          <w:rFonts w:hint="eastAsia" w:asciiTheme="minorEastAsia" w:hAnsiTheme="minorEastAsia" w:eastAsiaTheme="minorEastAsia" w:cstheme="minorEastAsia"/>
          <w:color w:val="auto"/>
          <w:sz w:val="24"/>
          <w:highlight w:val="none"/>
        </w:rPr>
        <w:t>自行承担报价风险。</w:t>
      </w:r>
    </w:p>
    <w:p w14:paraId="21305C3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4、出行安排，根据批准的时间为准，每批次出行人数根据报名情况确定批次，最终出行的日期及天数以实际为准。</w:t>
      </w:r>
    </w:p>
    <w:p w14:paraId="59FB235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用车要求：汽车统一为全程空调旅游车（3年内购置），必须保证每人一正座（座位按人数1：1.2比例配备）要求车况好，冷暖空调效果好，车内整洁、明亮，司机必须安全行车5年或以上且无重大安全事故和严重交通违规记录，车上需配备晕车药和一次性塑料袋。</w:t>
      </w:r>
    </w:p>
    <w:p w14:paraId="6C92EF61">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6</w:t>
      </w:r>
      <w:r>
        <w:rPr>
          <w:rFonts w:hint="eastAsia" w:asciiTheme="minorEastAsia" w:hAnsiTheme="minorEastAsia" w:eastAsiaTheme="minorEastAsia" w:cstheme="minorEastAsia"/>
          <w:color w:val="auto"/>
          <w:sz w:val="24"/>
          <w:highlight w:val="none"/>
        </w:rPr>
        <w:t>、住宿：住宿综合环境好，要求挂牌四星或网评四钻以上（含）且设施较好的酒店，主要安排标准间（如因男女人数为单，安排单间，单间不补差）。要求标注每天住宿酒店的名称、星级和具体地址，不得出现同级酒店字样，如实际接待中，投标指定酒店无法安排，需要安排高一级酒店。</w:t>
      </w:r>
    </w:p>
    <w:p w14:paraId="1D8ECE94">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7</w:t>
      </w:r>
      <w:r>
        <w:rPr>
          <w:rFonts w:hint="eastAsia" w:asciiTheme="minorEastAsia" w:hAnsiTheme="minorEastAsia" w:eastAsiaTheme="minorEastAsia" w:cstheme="minorEastAsia"/>
          <w:color w:val="auto"/>
          <w:sz w:val="24"/>
          <w:highlight w:val="none"/>
        </w:rPr>
        <w:t>、餐饮：早餐为酒店早餐，中餐不低于60元/人，晚餐不低于</w:t>
      </w:r>
      <w:r>
        <w:rPr>
          <w:rFonts w:hint="eastAsia" w:asciiTheme="minorEastAsia" w:hAnsiTheme="minorEastAsia" w:eastAsiaTheme="minorEastAsia" w:cstheme="minorEastAsia"/>
          <w:color w:val="auto"/>
          <w:sz w:val="24"/>
          <w:highlight w:val="none"/>
          <w:lang w:val="en-US" w:eastAsia="zh-CN"/>
        </w:rPr>
        <w:t>80</w:t>
      </w:r>
      <w:r>
        <w:rPr>
          <w:rFonts w:hint="eastAsia" w:asciiTheme="minorEastAsia" w:hAnsiTheme="minorEastAsia" w:eastAsiaTheme="minorEastAsia" w:cstheme="minorEastAsia"/>
          <w:color w:val="auto"/>
          <w:sz w:val="24"/>
          <w:highlight w:val="none"/>
        </w:rPr>
        <w:t>元/人，餐厅必须有接待资质、环境好的饭店就餐，允许团队等额退餐，自己点菜。中晚餐每桌提供一瓶可乐一瓶雪碧。</w:t>
      </w:r>
    </w:p>
    <w:p w14:paraId="0037C75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8</w:t>
      </w:r>
      <w:r>
        <w:rPr>
          <w:rFonts w:hint="eastAsia" w:asciiTheme="minorEastAsia" w:hAnsiTheme="minorEastAsia" w:eastAsiaTheme="minorEastAsia" w:cstheme="minorEastAsia"/>
          <w:color w:val="auto"/>
          <w:sz w:val="24"/>
          <w:highlight w:val="none"/>
        </w:rPr>
        <w:t>、要求全程提供持证全陪导游服务（全陪导游须持有导游证3年以上，出团前1周提交疗休养方审核），专职景区讲解服务。</w:t>
      </w:r>
    </w:p>
    <w:p w14:paraId="6365134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9</w:t>
      </w:r>
      <w:r>
        <w:rPr>
          <w:rFonts w:hint="eastAsia" w:asciiTheme="minorEastAsia" w:hAnsiTheme="minorEastAsia" w:eastAsiaTheme="minorEastAsia" w:cstheme="minorEastAsia"/>
          <w:color w:val="auto"/>
          <w:sz w:val="24"/>
          <w:highlight w:val="none"/>
        </w:rPr>
        <w:t>、要求为参加疗休养职工提供每人每天2瓶矿泉水、每晚提供水果。</w:t>
      </w:r>
    </w:p>
    <w:p w14:paraId="2A3189D1">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10</w:t>
      </w:r>
      <w:r>
        <w:rPr>
          <w:rFonts w:hint="eastAsia" w:asciiTheme="minorEastAsia" w:hAnsiTheme="minorEastAsia" w:eastAsiaTheme="minorEastAsia" w:cstheme="minorEastAsia"/>
          <w:color w:val="auto"/>
          <w:sz w:val="24"/>
          <w:highlight w:val="none"/>
        </w:rPr>
        <w:t>、保险：购买疗休养过程中的各类保险（包括：旅行社责任险，旅游意外伤害保险、交通意外险等），做到应保则保，响应文件中应说明具体险种和单人保额。其中，旅行社责任险不少于100万元/人、旅游安全人身意外伤害保险不少于100万元/人。实际实施过程中，</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rPr>
        <w:t>人必须提供每批疗休养人员购买保险的原始凭证的复印件给</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w:t>
      </w:r>
    </w:p>
    <w:p w14:paraId="24E0A86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11</w:t>
      </w:r>
      <w:r>
        <w:rPr>
          <w:rFonts w:hint="eastAsia" w:asciiTheme="minorEastAsia" w:hAnsiTheme="minorEastAsia" w:eastAsiaTheme="minorEastAsia" w:cstheme="minorEastAsia"/>
          <w:color w:val="auto"/>
          <w:sz w:val="24"/>
          <w:highlight w:val="none"/>
        </w:rPr>
        <w:t>、出发前，每人一个旅行包，其中需内含疗休养行程1份、注意事项1份、口罩、小点心等。</w:t>
      </w:r>
    </w:p>
    <w:p w14:paraId="7C2DA5D2">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12</w:t>
      </w:r>
      <w:r>
        <w:rPr>
          <w:rFonts w:hint="eastAsia" w:asciiTheme="minorEastAsia" w:hAnsiTheme="minorEastAsia" w:eastAsiaTheme="minorEastAsia" w:cstheme="minorEastAsia"/>
          <w:color w:val="auto"/>
          <w:sz w:val="24"/>
          <w:highlight w:val="none"/>
        </w:rPr>
        <w:t>、针对疗休养活动中可能发生的突发状况、意外情况等（如：投诉、纠纷、安全事故等），</w:t>
      </w:r>
      <w:r>
        <w:rPr>
          <w:rFonts w:hint="eastAsia" w:asciiTheme="minorEastAsia" w:hAnsiTheme="minorEastAsia" w:eastAsiaTheme="minorEastAsia" w:cstheme="minorEastAsia"/>
          <w:color w:val="auto"/>
          <w:sz w:val="24"/>
          <w:highlight w:val="none"/>
          <w:lang w:eastAsia="zh-CN"/>
        </w:rPr>
        <w:t>响应人</w:t>
      </w:r>
      <w:r>
        <w:rPr>
          <w:rFonts w:hint="eastAsia" w:asciiTheme="minorEastAsia" w:hAnsiTheme="minorEastAsia" w:eastAsiaTheme="minorEastAsia" w:cstheme="minorEastAsia"/>
          <w:color w:val="auto"/>
          <w:sz w:val="24"/>
          <w:highlight w:val="none"/>
        </w:rPr>
        <w:t>须制定周密、可靠的安全保障和突发事件应急预案，确保在各种情况下参团人员的人身及财产安全，</w:t>
      </w:r>
      <w:r>
        <w:rPr>
          <w:rFonts w:hint="eastAsia" w:asciiTheme="minorEastAsia" w:hAnsiTheme="minorEastAsia" w:eastAsiaTheme="minorEastAsia" w:cstheme="minorEastAsia"/>
          <w:color w:val="auto"/>
          <w:sz w:val="24"/>
          <w:highlight w:val="none"/>
          <w:lang w:eastAsia="zh-CN"/>
        </w:rPr>
        <w:t>响应人</w:t>
      </w:r>
      <w:r>
        <w:rPr>
          <w:rFonts w:hint="eastAsia" w:asciiTheme="minorEastAsia" w:hAnsiTheme="minorEastAsia" w:eastAsiaTheme="minorEastAsia" w:cstheme="minorEastAsia"/>
          <w:color w:val="auto"/>
          <w:sz w:val="24"/>
          <w:highlight w:val="none"/>
        </w:rPr>
        <w:t>应在响应文件中提供详细说明。</w:t>
      </w:r>
    </w:p>
    <w:p w14:paraId="285C636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13</w:t>
      </w:r>
      <w:r>
        <w:rPr>
          <w:rFonts w:hint="eastAsia" w:asciiTheme="minorEastAsia" w:hAnsiTheme="minorEastAsia" w:eastAsiaTheme="minorEastAsia" w:cstheme="minorEastAsia"/>
          <w:color w:val="auto"/>
          <w:sz w:val="24"/>
          <w:highlight w:val="none"/>
        </w:rPr>
        <w:t>、行程可辐射周边地域，但不得有自费的景点或活动，无商业广告及各类产品推销。</w:t>
      </w:r>
    </w:p>
    <w:p w14:paraId="3E7804A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14</w:t>
      </w:r>
      <w:r>
        <w:rPr>
          <w:rFonts w:hint="eastAsia" w:asciiTheme="minorEastAsia" w:hAnsiTheme="minorEastAsia" w:eastAsiaTheme="minorEastAsia" w:cstheme="minorEastAsia"/>
          <w:color w:val="auto"/>
          <w:sz w:val="24"/>
          <w:highlight w:val="none"/>
        </w:rPr>
        <w:t>、围绕疗休养主题，行程突出疗养养生特色。</w:t>
      </w:r>
    </w:p>
    <w:p w14:paraId="44EC7E8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15</w:t>
      </w:r>
      <w:r>
        <w:rPr>
          <w:rFonts w:hint="eastAsia" w:asciiTheme="minorEastAsia" w:hAnsiTheme="minorEastAsia" w:eastAsiaTheme="minorEastAsia" w:cstheme="minorEastAsia"/>
          <w:color w:val="auto"/>
          <w:sz w:val="24"/>
          <w:highlight w:val="none"/>
        </w:rPr>
        <w:t>、购物：全程不进购物点。</w:t>
      </w:r>
    </w:p>
    <w:p w14:paraId="56C9DC55">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16</w:t>
      </w:r>
      <w:r>
        <w:rPr>
          <w:rFonts w:hint="eastAsia" w:asciiTheme="minorEastAsia" w:hAnsiTheme="minorEastAsia" w:eastAsiaTheme="minorEastAsia" w:cstheme="minorEastAsia"/>
          <w:color w:val="auto"/>
          <w:sz w:val="24"/>
          <w:highlight w:val="none"/>
        </w:rPr>
        <w:t>、考核方式：每次完成疗养服务回程时，出行职工对本次出行计划、酒店、就餐等情况进行满意度评分并填写《满意度调查表》（调查表选项填写不全或赋分不在设定范围的无效），</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人根据满意度平均分确认当次疗休养费用。</w:t>
      </w:r>
    </w:p>
    <w:p w14:paraId="24780AA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val="en-US" w:eastAsia="zh-CN"/>
        </w:rPr>
        <w:t>7、</w:t>
      </w:r>
      <w:r>
        <w:rPr>
          <w:rFonts w:hint="eastAsia" w:asciiTheme="minorEastAsia" w:hAnsiTheme="minorEastAsia" w:eastAsiaTheme="minorEastAsia" w:cstheme="minorEastAsia"/>
          <w:color w:val="auto"/>
          <w:sz w:val="24"/>
          <w:highlight w:val="none"/>
        </w:rPr>
        <w:t xml:space="preserve">考核标准：当次满意度平均分高于85分（含），支付当次疗休养费用的100%；当次满意度平均分高于75分（含）低于85分，扣减当次疗休养费用5%；当次满意度平均分低75分，扣减当次疗休养费用10%。 </w:t>
      </w:r>
    </w:p>
    <w:p w14:paraId="41A0CC3F">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（五）服务期限及承诺</w:t>
      </w:r>
    </w:p>
    <w:p w14:paraId="393B1495">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rPr>
        <w:t>服务期限：分批</w:t>
      </w:r>
      <w:r>
        <w:rPr>
          <w:rFonts w:hint="eastAsia" w:asciiTheme="minorEastAsia" w:hAnsiTheme="minorEastAsia" w:eastAsiaTheme="minorEastAsia" w:cstheme="minorEastAsia"/>
          <w:color w:val="auto"/>
          <w:sz w:val="24"/>
          <w:highlight w:val="none"/>
          <w:lang w:eastAsia="zh-CN"/>
        </w:rPr>
        <w:t>疗</w:t>
      </w:r>
      <w:r>
        <w:rPr>
          <w:rFonts w:hint="eastAsia" w:asciiTheme="minorEastAsia" w:hAnsiTheme="minorEastAsia" w:eastAsiaTheme="minorEastAsia" w:cstheme="minorEastAsia"/>
          <w:color w:val="auto"/>
          <w:sz w:val="24"/>
          <w:highlight w:val="none"/>
        </w:rPr>
        <w:t>养。具体以</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人实际通知为准。</w:t>
      </w:r>
    </w:p>
    <w:p w14:paraId="1DAAA8BB">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服务质量承诺：</w:t>
      </w:r>
    </w:p>
    <w:p w14:paraId="385DB5F2">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（1）为确保服务质量及与</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人沟通联络，</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须设置兼职主管，负责对承包项目、范围、服务质量的检查监督及与</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人日常业务联系；</w:t>
      </w:r>
    </w:p>
    <w:p w14:paraId="4BCA7D3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需提供员工管理服务规范要求及确保服务质量达标的具体措施；</w:t>
      </w:r>
    </w:p>
    <w:p w14:paraId="4AB22DA9">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3</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须主动接受</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人的指导、检查、监督及协调；</w:t>
      </w:r>
    </w:p>
    <w:p w14:paraId="207814F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4</w:t>
      </w:r>
      <w:r>
        <w:rPr>
          <w:rFonts w:hint="eastAsia" w:asciiTheme="minorEastAsia" w:hAnsiTheme="minorEastAsia" w:eastAsiaTheme="minorEastAsia" w:cstheme="minorEastAsia"/>
          <w:color w:val="auto"/>
          <w:sz w:val="24"/>
          <w:highlight w:val="none"/>
        </w:rPr>
        <w:t>）现有服务范围内，由于调整而增加的工作量，不再增加费用；</w:t>
      </w:r>
    </w:p>
    <w:p w14:paraId="434EAF1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rPr>
        <w:t>）因</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工作人员的失误造成的损失由</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负责</w:t>
      </w:r>
      <w:r>
        <w:rPr>
          <w:rFonts w:hint="eastAsia" w:asciiTheme="minorEastAsia" w:hAnsiTheme="minorEastAsia" w:eastAsiaTheme="minorEastAsia" w:cstheme="minorEastAsia"/>
          <w:color w:val="auto"/>
          <w:sz w:val="24"/>
          <w:highlight w:val="none"/>
          <w:lang w:eastAsia="zh-CN"/>
        </w:rPr>
        <w:t>；</w:t>
      </w:r>
    </w:p>
    <w:p w14:paraId="12AAFE0D">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6</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员工在工作及服务期间发生的一切安全事故由</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负责，与</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人无关。</w:t>
      </w:r>
    </w:p>
    <w:p w14:paraId="474996C3">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（六）其它要求</w:t>
      </w:r>
    </w:p>
    <w:p w14:paraId="5A616008">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r>
        <w:rPr>
          <w:rFonts w:hint="eastAsia" w:asciiTheme="minorEastAsia" w:hAnsiTheme="minorEastAsia" w:eastAsiaTheme="minorEastAsia" w:cstheme="minorEastAsia"/>
          <w:color w:val="auto"/>
          <w:sz w:val="24"/>
          <w:highlight w:val="none"/>
          <w:lang w:val="en-US" w:eastAsia="zh-CN"/>
        </w:rPr>
        <w:t>响应人</w:t>
      </w:r>
      <w:r>
        <w:rPr>
          <w:rFonts w:hint="eastAsia" w:asciiTheme="minorEastAsia" w:hAnsiTheme="minorEastAsia" w:eastAsiaTheme="minorEastAsia" w:cstheme="minorEastAsia"/>
          <w:color w:val="auto"/>
          <w:sz w:val="24"/>
          <w:highlight w:val="none"/>
        </w:rPr>
        <w:t>需确定一名项目负责人，具有类似疗休养项目经验，负责与</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人就每批次安排具体事宜联系，一旦</w:t>
      </w:r>
      <w:r>
        <w:rPr>
          <w:rFonts w:hint="eastAsia" w:asciiTheme="minorEastAsia" w:hAnsiTheme="minorEastAsia" w:eastAsiaTheme="minorEastAsia" w:cstheme="minorEastAsia"/>
          <w:color w:val="auto"/>
          <w:sz w:val="24"/>
          <w:highlight w:val="none"/>
          <w:lang w:eastAsia="zh-CN"/>
        </w:rPr>
        <w:t>成交</w:t>
      </w:r>
      <w:r>
        <w:rPr>
          <w:rFonts w:hint="eastAsia" w:asciiTheme="minorEastAsia" w:hAnsiTheme="minorEastAsia" w:eastAsiaTheme="minorEastAsia" w:cstheme="minorEastAsia"/>
          <w:color w:val="auto"/>
          <w:sz w:val="24"/>
          <w:highlight w:val="none"/>
        </w:rPr>
        <w:t>不得随意更换。</w:t>
      </w:r>
    </w:p>
    <w:p w14:paraId="15072BE8">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2、制定应急预案，发放《行程安排表》和《注意事项》。如遇意外突发事件</w:t>
      </w:r>
      <w:r>
        <w:rPr>
          <w:rFonts w:hint="eastAsia" w:asciiTheme="minorEastAsia" w:hAnsiTheme="minorEastAsia" w:eastAsiaTheme="minorEastAsia" w:cstheme="minorEastAsia"/>
          <w:color w:val="auto"/>
          <w:sz w:val="24"/>
          <w:highlight w:val="none"/>
          <w:lang w:eastAsia="zh-CN"/>
        </w:rPr>
        <w:t>供应商</w:t>
      </w:r>
      <w:r>
        <w:rPr>
          <w:rFonts w:hint="eastAsia" w:asciiTheme="minorEastAsia" w:hAnsiTheme="minorEastAsia" w:eastAsiaTheme="minorEastAsia" w:cstheme="minorEastAsia"/>
          <w:color w:val="auto"/>
          <w:sz w:val="24"/>
          <w:highlight w:val="none"/>
        </w:rPr>
        <w:t>要在第一时间内进行妥善处理，处理结果要及时与</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人汇报和沟通，并积极配合有关单位做好善后处理工作。</w:t>
      </w:r>
    </w:p>
    <w:p w14:paraId="3024EE1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3、做到有问必答。对疗休养人员反映的情况或投诉，不回避矛盾、不推卸责任，对发生的问题予以及时处理，将问题解决在旅途中。</w:t>
      </w:r>
    </w:p>
    <w:p w14:paraId="29B293FC">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4、参加疗休养人员名单和个人信息不得外泄。</w:t>
      </w:r>
    </w:p>
    <w:p w14:paraId="08E3B3A3">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（七）付款方式</w:t>
      </w:r>
    </w:p>
    <w:p w14:paraId="42E5D2CA">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rPr>
        <w:t>费用结算：最终结算价按照各标项实际参加人数*每人疗休养投标单价，按实结算，全部批次人员返程后一个月内付清。</w:t>
      </w:r>
    </w:p>
    <w:p w14:paraId="69E2F86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2、</w:t>
      </w:r>
      <w:r>
        <w:rPr>
          <w:rFonts w:hint="eastAsia" w:asciiTheme="minorEastAsia" w:hAnsiTheme="minorEastAsia" w:eastAsiaTheme="minorEastAsia" w:cstheme="minorEastAsia"/>
          <w:color w:val="auto"/>
          <w:sz w:val="24"/>
          <w:highlight w:val="none"/>
        </w:rPr>
        <w:t>如遇政策变动，甲方临时取消出行计划，若已支付该批次费用，乙方无条件全额退还。</w:t>
      </w:r>
      <w:r>
        <w:rPr>
          <w:rFonts w:hint="eastAsia" w:asciiTheme="minorEastAsia" w:hAnsiTheme="minorEastAsia" w:eastAsiaTheme="minorEastAsia" w:cstheme="minorEastAsia"/>
          <w:color w:val="auto"/>
          <w:sz w:val="24"/>
          <w:highlight w:val="none"/>
          <w:lang w:val="en-US" w:eastAsia="zh-CN"/>
        </w:rPr>
        <w:t>成交</w:t>
      </w:r>
      <w:r>
        <w:rPr>
          <w:rFonts w:hint="eastAsia" w:asciiTheme="minorEastAsia" w:hAnsiTheme="minorEastAsia" w:eastAsiaTheme="minorEastAsia" w:cstheme="minorEastAsia"/>
          <w:color w:val="auto"/>
          <w:sz w:val="24"/>
          <w:highlight w:val="none"/>
          <w:lang w:eastAsia="zh-CN"/>
        </w:rPr>
        <w:t>人</w:t>
      </w:r>
      <w:r>
        <w:rPr>
          <w:rFonts w:hint="eastAsia" w:asciiTheme="minorEastAsia" w:hAnsiTheme="minorEastAsia" w:eastAsiaTheme="minorEastAsia" w:cstheme="minorEastAsia"/>
          <w:color w:val="auto"/>
          <w:sz w:val="24"/>
          <w:highlight w:val="none"/>
        </w:rPr>
        <w:t>自行承担投标风险。</w:t>
      </w:r>
    </w:p>
    <w:p w14:paraId="5346BFD1">
      <w:pPr>
        <w:keepNext w:val="0"/>
        <w:keepLines w:val="0"/>
        <w:pageBreakBefore w:val="0"/>
        <w:widowControl w:val="0"/>
        <w:kinsoku/>
        <w:wordWrap/>
        <w:overflowPunct/>
        <w:topLinePunct w:val="0"/>
        <w:autoSpaceDE/>
        <w:autoSpaceDN/>
        <w:bidi w:val="0"/>
        <w:adjustRightInd w:val="0"/>
        <w:snapToGrid/>
        <w:spacing w:line="430" w:lineRule="exact"/>
        <w:textAlignment w:val="auto"/>
        <w:rPr>
          <w:rFonts w:hint="eastAsia" w:asciiTheme="minorEastAsia" w:hAnsiTheme="minorEastAsia" w:eastAsiaTheme="minorEastAsia" w:cstheme="minorEastAsia"/>
          <w:b/>
          <w:bCs/>
          <w:color w:val="auto"/>
          <w:sz w:val="24"/>
          <w:highlight w:val="none"/>
          <w:lang w:eastAsia="zh-CN"/>
        </w:rPr>
      </w:pPr>
      <w:r>
        <w:rPr>
          <w:rFonts w:hint="eastAsia" w:asciiTheme="minorEastAsia" w:hAnsiTheme="minorEastAsia" w:eastAsiaTheme="minorEastAsia" w:cstheme="minorEastAsia"/>
          <w:b/>
          <w:bCs/>
          <w:color w:val="auto"/>
          <w:sz w:val="24"/>
          <w:highlight w:val="none"/>
          <w:lang w:eastAsia="zh-CN"/>
        </w:rPr>
        <w:t>（</w:t>
      </w:r>
      <w:r>
        <w:rPr>
          <w:rFonts w:hint="eastAsia" w:asciiTheme="minorEastAsia" w:hAnsiTheme="minorEastAsia" w:eastAsiaTheme="minorEastAsia" w:cstheme="minorEastAsia"/>
          <w:b/>
          <w:bCs/>
          <w:color w:val="auto"/>
          <w:sz w:val="24"/>
          <w:highlight w:val="none"/>
          <w:lang w:val="en-US" w:eastAsia="zh-CN"/>
        </w:rPr>
        <w:t>八</w:t>
      </w:r>
      <w:r>
        <w:rPr>
          <w:rFonts w:hint="eastAsia" w:asciiTheme="minorEastAsia" w:hAnsiTheme="minorEastAsia" w:eastAsiaTheme="minorEastAsia" w:cstheme="minorEastAsia"/>
          <w:b/>
          <w:bCs/>
          <w:color w:val="auto"/>
          <w:sz w:val="24"/>
          <w:highlight w:val="none"/>
          <w:lang w:eastAsia="zh-CN"/>
        </w:rPr>
        <w:t>）其他说明</w:t>
      </w:r>
    </w:p>
    <w:p w14:paraId="6FA01BBB">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1、</w:t>
      </w:r>
      <w:r>
        <w:rPr>
          <w:rFonts w:hint="eastAsia" w:asciiTheme="minorEastAsia" w:hAnsiTheme="minorEastAsia" w:eastAsiaTheme="minorEastAsia" w:cstheme="minorEastAsia"/>
          <w:color w:val="auto"/>
          <w:sz w:val="24"/>
          <w:highlight w:val="none"/>
          <w:lang w:eastAsia="zh-CN"/>
        </w:rPr>
        <w:t>如遇政策性调整等各项不确定因素，</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lang w:eastAsia="zh-CN"/>
        </w:rPr>
        <w:t>人有权终止合同。</w:t>
      </w:r>
    </w:p>
    <w:p w14:paraId="5CBB2BC3">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2、响应人</w:t>
      </w:r>
      <w:r>
        <w:rPr>
          <w:rFonts w:hint="eastAsia" w:asciiTheme="minorEastAsia" w:hAnsiTheme="minorEastAsia" w:eastAsiaTheme="minorEastAsia" w:cstheme="minorEastAsia"/>
          <w:color w:val="auto"/>
          <w:sz w:val="24"/>
          <w:highlight w:val="none"/>
          <w:lang w:eastAsia="zh-CN"/>
        </w:rPr>
        <w:t>需在</w:t>
      </w:r>
      <w:r>
        <w:rPr>
          <w:rFonts w:hint="eastAsia" w:asciiTheme="minorEastAsia" w:hAnsiTheme="minorEastAsia" w:eastAsiaTheme="minorEastAsia" w:cstheme="minorEastAsia"/>
          <w:color w:val="auto"/>
          <w:sz w:val="24"/>
          <w:highlight w:val="none"/>
          <w:lang w:val="en-US" w:eastAsia="zh-CN"/>
        </w:rPr>
        <w:t>交易</w:t>
      </w:r>
      <w:r>
        <w:rPr>
          <w:rFonts w:hint="eastAsia" w:asciiTheme="minorEastAsia" w:hAnsiTheme="minorEastAsia" w:eastAsiaTheme="minorEastAsia" w:cstheme="minorEastAsia"/>
          <w:color w:val="auto"/>
          <w:sz w:val="24"/>
          <w:highlight w:val="none"/>
          <w:lang w:eastAsia="zh-CN"/>
        </w:rPr>
        <w:t>一览表填报职工疗休养</w:t>
      </w:r>
      <w:r>
        <w:rPr>
          <w:rFonts w:hint="eastAsia" w:asciiTheme="minorEastAsia" w:hAnsiTheme="minorEastAsia" w:eastAsiaTheme="minorEastAsia" w:cstheme="minorEastAsia"/>
          <w:color w:val="auto"/>
          <w:sz w:val="24"/>
          <w:highlight w:val="none"/>
          <w:lang w:val="en-US" w:eastAsia="zh-CN"/>
        </w:rPr>
        <w:t>各条线路的响应</w:t>
      </w:r>
      <w:r>
        <w:rPr>
          <w:rFonts w:hint="eastAsia" w:asciiTheme="minorEastAsia" w:hAnsiTheme="minorEastAsia" w:eastAsiaTheme="minorEastAsia" w:cstheme="minorEastAsia"/>
          <w:color w:val="auto"/>
          <w:sz w:val="24"/>
          <w:highlight w:val="none"/>
        </w:rPr>
        <w:t>单价</w:t>
      </w:r>
      <w:r>
        <w:rPr>
          <w:rFonts w:hint="eastAsia" w:asciiTheme="minorEastAsia" w:hAnsiTheme="minorEastAsia" w:eastAsiaTheme="minorEastAsia" w:cstheme="minorEastAsia"/>
          <w:color w:val="auto"/>
          <w:sz w:val="24"/>
          <w:highlight w:val="none"/>
          <w:lang w:eastAsia="zh-CN"/>
        </w:rPr>
        <w:t>，最终结算价按实际结算，</w:t>
      </w:r>
      <w:r>
        <w:rPr>
          <w:rFonts w:hint="eastAsia" w:asciiTheme="minorEastAsia" w:hAnsiTheme="minorEastAsia" w:eastAsiaTheme="minorEastAsia" w:cstheme="minorEastAsia"/>
          <w:color w:val="auto"/>
          <w:sz w:val="24"/>
          <w:highlight w:val="none"/>
          <w:lang w:val="en-US" w:eastAsia="zh-CN"/>
        </w:rPr>
        <w:t>响应人</w:t>
      </w:r>
      <w:r>
        <w:rPr>
          <w:rFonts w:hint="eastAsia" w:asciiTheme="minorEastAsia" w:hAnsiTheme="minorEastAsia" w:eastAsiaTheme="minorEastAsia" w:cstheme="minorEastAsia"/>
          <w:color w:val="auto"/>
          <w:sz w:val="24"/>
          <w:highlight w:val="none"/>
          <w:lang w:eastAsia="zh-CN"/>
        </w:rPr>
        <w:t>综合考虑风险。</w:t>
      </w:r>
    </w:p>
    <w:p w14:paraId="683B0546">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3、响应人</w:t>
      </w:r>
      <w:r>
        <w:rPr>
          <w:rFonts w:hint="eastAsia" w:asciiTheme="minorEastAsia" w:hAnsiTheme="minorEastAsia" w:eastAsiaTheme="minorEastAsia" w:cstheme="minorEastAsia"/>
          <w:color w:val="auto"/>
          <w:sz w:val="24"/>
          <w:highlight w:val="none"/>
          <w:lang w:eastAsia="zh-CN"/>
        </w:rPr>
        <w:t>不得转包、分包、业务外加工，一经发现立即予以解除合同。</w:t>
      </w:r>
    </w:p>
    <w:p w14:paraId="445F8E11">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4、响应人</w:t>
      </w:r>
      <w:r>
        <w:rPr>
          <w:rFonts w:hint="eastAsia" w:asciiTheme="minorEastAsia" w:hAnsiTheme="minorEastAsia" w:eastAsiaTheme="minorEastAsia" w:cstheme="minorEastAsia"/>
          <w:color w:val="auto"/>
          <w:sz w:val="24"/>
          <w:highlight w:val="none"/>
          <w:lang w:eastAsia="zh-CN"/>
        </w:rPr>
        <w:t>应综合考虑淡旺季对疗休养价格的影响，综合因素考虑最终价格，</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lang w:eastAsia="zh-CN"/>
        </w:rPr>
        <w:t>报价不区分淡旺季价格。</w:t>
      </w:r>
    </w:p>
    <w:p w14:paraId="3C541E41">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5、</w:t>
      </w:r>
      <w:r>
        <w:rPr>
          <w:rFonts w:hint="eastAsia" w:asciiTheme="minorEastAsia" w:hAnsiTheme="minorEastAsia" w:eastAsiaTheme="minorEastAsia" w:cstheme="minorEastAsia"/>
          <w:color w:val="auto"/>
          <w:sz w:val="24"/>
          <w:highlight w:val="none"/>
          <w:lang w:eastAsia="zh-CN"/>
        </w:rPr>
        <w:t>疗休养天数如因上级要求作出调整，</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eastAsia="zh-CN"/>
        </w:rPr>
        <w:t>与</w:t>
      </w:r>
      <w:r>
        <w:rPr>
          <w:rFonts w:hint="eastAsia" w:asciiTheme="minorEastAsia" w:hAnsiTheme="minorEastAsia" w:eastAsiaTheme="minorEastAsia" w:cstheme="minorEastAsia"/>
          <w:color w:val="auto"/>
          <w:sz w:val="24"/>
          <w:highlight w:val="none"/>
          <w:lang w:val="en-US" w:eastAsia="zh-CN"/>
        </w:rPr>
        <w:t>成交人</w:t>
      </w:r>
      <w:r>
        <w:rPr>
          <w:rFonts w:hint="eastAsia" w:asciiTheme="minorEastAsia" w:hAnsiTheme="minorEastAsia" w:eastAsiaTheme="minorEastAsia" w:cstheme="minorEastAsia"/>
          <w:color w:val="auto"/>
          <w:sz w:val="24"/>
          <w:highlight w:val="none"/>
          <w:lang w:eastAsia="zh-CN"/>
        </w:rPr>
        <w:t>在</w:t>
      </w:r>
      <w:r>
        <w:rPr>
          <w:rFonts w:hint="eastAsia" w:asciiTheme="minorEastAsia" w:hAnsiTheme="minorEastAsia" w:eastAsiaTheme="minorEastAsia" w:cstheme="minorEastAsia"/>
          <w:color w:val="auto"/>
          <w:sz w:val="24"/>
          <w:highlight w:val="none"/>
          <w:lang w:val="en-US" w:eastAsia="zh-CN"/>
        </w:rPr>
        <w:t>响应</w:t>
      </w:r>
      <w:r>
        <w:rPr>
          <w:rFonts w:hint="eastAsia" w:asciiTheme="minorEastAsia" w:hAnsiTheme="minorEastAsia" w:eastAsiaTheme="minorEastAsia" w:cstheme="minorEastAsia"/>
          <w:color w:val="auto"/>
          <w:sz w:val="24"/>
          <w:highlight w:val="none"/>
          <w:lang w:eastAsia="zh-CN"/>
        </w:rPr>
        <w:t>文件的基础上双方协商确定，</w:t>
      </w:r>
      <w:r>
        <w:rPr>
          <w:rFonts w:hint="eastAsia" w:asciiTheme="minorEastAsia" w:hAnsiTheme="minorEastAsia" w:eastAsiaTheme="minorEastAsia" w:cstheme="minorEastAsia"/>
          <w:color w:val="auto"/>
          <w:sz w:val="24"/>
          <w:highlight w:val="none"/>
          <w:lang w:val="en-US" w:eastAsia="zh-CN"/>
        </w:rPr>
        <w:t>成交人</w:t>
      </w:r>
      <w:r>
        <w:rPr>
          <w:rFonts w:hint="eastAsia" w:asciiTheme="minorEastAsia" w:hAnsiTheme="minorEastAsia" w:eastAsiaTheme="minorEastAsia" w:cstheme="minorEastAsia"/>
          <w:color w:val="auto"/>
          <w:sz w:val="24"/>
          <w:highlight w:val="none"/>
          <w:lang w:eastAsia="zh-CN"/>
        </w:rPr>
        <w:t>无条件配合</w:t>
      </w:r>
      <w:r>
        <w:rPr>
          <w:rFonts w:hint="eastAsia" w:asciiTheme="minorEastAsia" w:hAnsiTheme="minorEastAsia" w:eastAsiaTheme="minorEastAsia" w:cstheme="minorEastAsia"/>
          <w:color w:val="auto"/>
          <w:sz w:val="24"/>
          <w:highlight w:val="none"/>
          <w:lang w:val="en-US" w:eastAsia="zh-CN"/>
        </w:rPr>
        <w:t>交易发起</w:t>
      </w:r>
      <w:r>
        <w:rPr>
          <w:rFonts w:hint="eastAsia" w:asciiTheme="minorEastAsia" w:hAnsiTheme="minorEastAsia" w:eastAsiaTheme="minorEastAsia" w:cstheme="minorEastAsia"/>
          <w:color w:val="auto"/>
          <w:sz w:val="24"/>
          <w:highlight w:val="none"/>
        </w:rPr>
        <w:t>人</w:t>
      </w:r>
      <w:r>
        <w:rPr>
          <w:rFonts w:hint="eastAsia" w:asciiTheme="minorEastAsia" w:hAnsiTheme="minorEastAsia" w:eastAsiaTheme="minorEastAsia" w:cstheme="minorEastAsia"/>
          <w:color w:val="auto"/>
          <w:sz w:val="24"/>
          <w:highlight w:val="none"/>
          <w:lang w:eastAsia="zh-CN"/>
        </w:rPr>
        <w:t>。</w:t>
      </w:r>
    </w:p>
    <w:p w14:paraId="01C1A120">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pPr>
    </w:p>
    <w:p w14:paraId="59A6B78D">
      <w:pPr>
        <w:keepNext w:val="0"/>
        <w:keepLines w:val="0"/>
        <w:pageBreakBefore w:val="0"/>
        <w:widowControl w:val="0"/>
        <w:kinsoku/>
        <w:wordWrap/>
        <w:overflowPunct/>
        <w:topLinePunct w:val="0"/>
        <w:autoSpaceDE/>
        <w:autoSpaceDN/>
        <w:bidi w:val="0"/>
        <w:adjustRightInd w:val="0"/>
        <w:snapToGrid/>
        <w:spacing w:line="430" w:lineRule="exact"/>
        <w:ind w:firstLine="480" w:firstLineChars="200"/>
        <w:textAlignment w:val="auto"/>
        <w:rPr>
          <w:rFonts w:hint="eastAsia" w:asciiTheme="minorEastAsia" w:hAnsiTheme="minorEastAsia" w:eastAsiaTheme="minorEastAsia" w:cstheme="minorEastAsia"/>
          <w:color w:val="auto"/>
          <w:sz w:val="24"/>
          <w:highlight w:val="none"/>
        </w:rPr>
        <w:sectPr>
          <w:footerReference r:id="rId8" w:type="first"/>
          <w:footerReference r:id="rId7" w:type="default"/>
          <w:pgSz w:w="11906" w:h="16838"/>
          <w:pgMar w:top="1247" w:right="1417" w:bottom="1247" w:left="1417" w:header="851" w:footer="992" w:gutter="0"/>
          <w:pgBorders>
            <w:top w:val="none" w:sz="0" w:space="0"/>
            <w:left w:val="none" w:sz="0" w:space="0"/>
            <w:bottom w:val="none" w:sz="0" w:space="0"/>
            <w:right w:val="none" w:sz="0" w:space="0"/>
          </w:pgBorders>
          <w:pgNumType w:start="2"/>
          <w:cols w:space="0" w:num="1"/>
          <w:docGrid w:linePitch="312" w:charSpace="0"/>
        </w:sectPr>
      </w:pPr>
      <w:r>
        <w:rPr>
          <w:rFonts w:hint="eastAsia" w:asciiTheme="minorEastAsia" w:hAnsiTheme="minorEastAsia" w:eastAsiaTheme="minorEastAsia" w:cstheme="minorEastAsia"/>
          <w:color w:val="auto"/>
          <w:sz w:val="24"/>
          <w:highlight w:val="none"/>
        </w:rPr>
        <w:t>注：</w:t>
      </w:r>
      <w:r>
        <w:rPr>
          <w:rFonts w:hint="eastAsia" w:asciiTheme="minorEastAsia" w:hAnsiTheme="minorEastAsia" w:eastAsiaTheme="minorEastAsia" w:cstheme="minorEastAsia"/>
          <w:color w:val="auto"/>
          <w:sz w:val="24"/>
          <w:highlight w:val="none"/>
          <w:lang w:val="en-US" w:eastAsia="zh-CN"/>
        </w:rPr>
        <w:t>公开竞争</w:t>
      </w:r>
      <w:r>
        <w:rPr>
          <w:rFonts w:hint="eastAsia" w:asciiTheme="minorEastAsia" w:hAnsiTheme="minorEastAsia" w:eastAsiaTheme="minorEastAsia" w:cstheme="minorEastAsia"/>
          <w:color w:val="auto"/>
          <w:sz w:val="24"/>
          <w:highlight w:val="none"/>
        </w:rPr>
        <w:t>文件中打▲内容为实质性要求，不允许有负偏离，否则将以涉及无效响应条款作无效响应。</w:t>
      </w:r>
    </w:p>
    <w:p w14:paraId="31B485CE">
      <w:pPr>
        <w:spacing w:line="360" w:lineRule="auto"/>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17" w:name="_Toc184314452"/>
      <w:bookmarkEnd w:id="17"/>
      <w:bookmarkStart w:id="18" w:name="_Toc184308065"/>
      <w:bookmarkEnd w:id="18"/>
      <w:bookmarkStart w:id="19" w:name="_Toc184310272"/>
      <w:bookmarkEnd w:id="19"/>
      <w:bookmarkStart w:id="20" w:name="_Toc184310308"/>
      <w:bookmarkEnd w:id="20"/>
      <w:bookmarkStart w:id="21" w:name="_Toc184314425"/>
      <w:bookmarkEnd w:id="21"/>
      <w:bookmarkStart w:id="22" w:name="_Toc184312088"/>
      <w:bookmarkEnd w:id="22"/>
      <w:bookmarkStart w:id="23" w:name="_Toc184313286"/>
      <w:bookmarkEnd w:id="23"/>
      <w:bookmarkStart w:id="24" w:name="_Toc184308067"/>
      <w:bookmarkEnd w:id="24"/>
      <w:bookmarkStart w:id="25" w:name="_Toc184308047"/>
      <w:bookmarkEnd w:id="25"/>
      <w:bookmarkStart w:id="26" w:name="_Toc184313239"/>
      <w:bookmarkEnd w:id="26"/>
      <w:bookmarkStart w:id="27" w:name="_Toc184313290"/>
      <w:bookmarkEnd w:id="27"/>
      <w:bookmarkStart w:id="28" w:name="_Toc184308049"/>
      <w:bookmarkEnd w:id="28"/>
      <w:bookmarkStart w:id="29" w:name="_Toc184313274"/>
      <w:bookmarkEnd w:id="29"/>
      <w:bookmarkStart w:id="30" w:name="_Toc184313256"/>
      <w:bookmarkEnd w:id="30"/>
      <w:bookmarkStart w:id="31" w:name="_Toc184310305"/>
      <w:bookmarkEnd w:id="31"/>
      <w:bookmarkStart w:id="32" w:name="_Toc184314445"/>
      <w:bookmarkEnd w:id="32"/>
      <w:bookmarkStart w:id="33" w:name="_Toc184313300"/>
      <w:bookmarkEnd w:id="33"/>
      <w:bookmarkStart w:id="34" w:name="_Toc184313288"/>
      <w:bookmarkEnd w:id="34"/>
      <w:bookmarkStart w:id="35" w:name="_Toc184313276"/>
      <w:bookmarkEnd w:id="35"/>
      <w:bookmarkStart w:id="36" w:name="_Toc184310294"/>
      <w:bookmarkEnd w:id="36"/>
      <w:bookmarkStart w:id="37" w:name="_Toc184310287"/>
      <w:bookmarkEnd w:id="37"/>
      <w:bookmarkStart w:id="38" w:name="_Toc184312121"/>
      <w:bookmarkEnd w:id="38"/>
      <w:bookmarkStart w:id="39" w:name="_Toc184313273"/>
      <w:bookmarkEnd w:id="39"/>
      <w:bookmarkStart w:id="40" w:name="_Toc184310284"/>
      <w:bookmarkEnd w:id="40"/>
      <w:bookmarkStart w:id="41" w:name="_Toc184308066"/>
      <w:bookmarkEnd w:id="41"/>
      <w:bookmarkStart w:id="42" w:name="_Toc184308058"/>
      <w:bookmarkEnd w:id="42"/>
      <w:bookmarkStart w:id="43" w:name="_Toc184313283"/>
      <w:bookmarkEnd w:id="43"/>
      <w:bookmarkStart w:id="44" w:name="_Toc184312130"/>
      <w:bookmarkEnd w:id="44"/>
      <w:bookmarkStart w:id="45" w:name="_Toc184308096"/>
      <w:bookmarkEnd w:id="45"/>
      <w:bookmarkStart w:id="46" w:name="_Toc184313293"/>
      <w:bookmarkEnd w:id="46"/>
      <w:bookmarkStart w:id="47" w:name="_Toc184313279"/>
      <w:bookmarkEnd w:id="47"/>
      <w:bookmarkStart w:id="48" w:name="_Toc184312124"/>
      <w:bookmarkEnd w:id="48"/>
      <w:bookmarkStart w:id="49" w:name="_Toc184313245"/>
      <w:bookmarkEnd w:id="49"/>
      <w:bookmarkStart w:id="50" w:name="_Toc184314442"/>
      <w:bookmarkEnd w:id="50"/>
      <w:bookmarkStart w:id="51" w:name="_Toc184314458"/>
      <w:bookmarkEnd w:id="51"/>
      <w:bookmarkStart w:id="52" w:name="_Toc184308045"/>
      <w:bookmarkEnd w:id="52"/>
      <w:bookmarkStart w:id="53" w:name="_Toc184314453"/>
      <w:bookmarkEnd w:id="53"/>
      <w:bookmarkStart w:id="54" w:name="_Toc184312112"/>
      <w:bookmarkEnd w:id="54"/>
      <w:bookmarkStart w:id="55" w:name="_Toc184308081"/>
      <w:bookmarkEnd w:id="55"/>
      <w:bookmarkStart w:id="56" w:name="_Toc184310316"/>
      <w:bookmarkEnd w:id="56"/>
      <w:bookmarkStart w:id="57" w:name="_Toc184310288"/>
      <w:bookmarkEnd w:id="57"/>
      <w:bookmarkStart w:id="58" w:name="_Toc184310299"/>
      <w:bookmarkEnd w:id="58"/>
      <w:bookmarkStart w:id="59" w:name="_Toc184313296"/>
      <w:bookmarkEnd w:id="59"/>
      <w:bookmarkStart w:id="60" w:name="_Toc184313269"/>
      <w:bookmarkEnd w:id="60"/>
      <w:bookmarkStart w:id="61" w:name="_Toc184314424"/>
      <w:bookmarkEnd w:id="61"/>
      <w:bookmarkStart w:id="62" w:name="_Toc184313299"/>
      <w:bookmarkEnd w:id="62"/>
      <w:bookmarkStart w:id="63" w:name="_Toc184313280"/>
      <w:bookmarkEnd w:id="63"/>
      <w:bookmarkStart w:id="64" w:name="_Toc184313277"/>
      <w:bookmarkEnd w:id="64"/>
      <w:bookmarkStart w:id="65" w:name="_Toc184312114"/>
      <w:bookmarkEnd w:id="65"/>
      <w:bookmarkStart w:id="66" w:name="_Toc184313262"/>
      <w:bookmarkEnd w:id="66"/>
      <w:bookmarkStart w:id="67" w:name="_Toc184310344"/>
      <w:bookmarkEnd w:id="67"/>
      <w:bookmarkStart w:id="68" w:name="_Toc184314467"/>
      <w:bookmarkEnd w:id="68"/>
      <w:bookmarkStart w:id="69" w:name="_Toc184308069"/>
      <w:bookmarkEnd w:id="69"/>
      <w:bookmarkStart w:id="70" w:name="_Toc184310336"/>
      <w:bookmarkEnd w:id="70"/>
      <w:bookmarkStart w:id="71" w:name="_Toc184308106"/>
      <w:bookmarkEnd w:id="71"/>
      <w:bookmarkStart w:id="72" w:name="_Toc184308097"/>
      <w:bookmarkEnd w:id="72"/>
      <w:bookmarkStart w:id="73" w:name="_Toc184314479"/>
      <w:bookmarkEnd w:id="73"/>
      <w:bookmarkStart w:id="74" w:name="_Toc184314432"/>
      <w:bookmarkEnd w:id="74"/>
      <w:bookmarkStart w:id="75" w:name="_Toc184310323"/>
      <w:bookmarkEnd w:id="75"/>
      <w:bookmarkStart w:id="76" w:name="_Toc184314462"/>
      <w:bookmarkEnd w:id="76"/>
      <w:bookmarkStart w:id="77" w:name="_Toc184313305"/>
      <w:bookmarkEnd w:id="77"/>
      <w:bookmarkStart w:id="78" w:name="_Toc184314480"/>
      <w:bookmarkEnd w:id="78"/>
      <w:bookmarkStart w:id="79" w:name="_Toc184314433"/>
      <w:bookmarkEnd w:id="79"/>
      <w:bookmarkStart w:id="80" w:name="_Toc184308059"/>
      <w:bookmarkEnd w:id="80"/>
      <w:bookmarkStart w:id="81" w:name="_Toc184312075"/>
      <w:bookmarkEnd w:id="81"/>
      <w:bookmarkStart w:id="82" w:name="_Toc184314422"/>
      <w:bookmarkEnd w:id="82"/>
      <w:bookmarkStart w:id="83" w:name="_Toc184308090"/>
      <w:bookmarkEnd w:id="83"/>
      <w:bookmarkStart w:id="84" w:name="_Toc184310330"/>
      <w:bookmarkEnd w:id="84"/>
      <w:bookmarkStart w:id="85" w:name="_Toc184313268"/>
      <w:bookmarkEnd w:id="85"/>
      <w:bookmarkStart w:id="86" w:name="_Toc184312069"/>
      <w:bookmarkEnd w:id="86"/>
      <w:bookmarkStart w:id="87" w:name="_Toc184312106"/>
      <w:bookmarkEnd w:id="87"/>
      <w:bookmarkStart w:id="88" w:name="_Toc184310283"/>
      <w:bookmarkEnd w:id="88"/>
      <w:bookmarkStart w:id="89" w:name="_Toc184313250"/>
      <w:bookmarkEnd w:id="89"/>
      <w:bookmarkStart w:id="90" w:name="_Toc184310297"/>
      <w:bookmarkEnd w:id="90"/>
      <w:bookmarkStart w:id="91" w:name="_Toc184313285"/>
      <w:bookmarkEnd w:id="91"/>
      <w:bookmarkStart w:id="92" w:name="_Toc184313271"/>
      <w:bookmarkEnd w:id="92"/>
      <w:bookmarkStart w:id="93" w:name="_Toc184312082"/>
      <w:bookmarkEnd w:id="93"/>
      <w:bookmarkStart w:id="94" w:name="_Toc184308099"/>
      <w:bookmarkEnd w:id="94"/>
      <w:bookmarkStart w:id="95" w:name="_Toc184314415"/>
      <w:bookmarkEnd w:id="95"/>
      <w:bookmarkStart w:id="96" w:name="_Toc184310278"/>
      <w:bookmarkEnd w:id="96"/>
      <w:bookmarkStart w:id="97" w:name="_Toc184313244"/>
      <w:bookmarkEnd w:id="97"/>
      <w:bookmarkStart w:id="98" w:name="_Toc184314416"/>
      <w:bookmarkEnd w:id="98"/>
      <w:bookmarkStart w:id="99" w:name="_Toc184308037"/>
      <w:bookmarkEnd w:id="99"/>
      <w:bookmarkStart w:id="100" w:name="_Toc184312086"/>
      <w:bookmarkEnd w:id="100"/>
      <w:bookmarkStart w:id="101" w:name="_Toc184312103"/>
      <w:bookmarkEnd w:id="101"/>
      <w:bookmarkStart w:id="102" w:name="_Toc184314473"/>
      <w:bookmarkEnd w:id="102"/>
      <w:bookmarkStart w:id="103" w:name="_Toc184308040"/>
      <w:bookmarkEnd w:id="103"/>
      <w:bookmarkStart w:id="104" w:name="_Toc184312090"/>
      <w:bookmarkEnd w:id="104"/>
      <w:bookmarkStart w:id="105" w:name="_Toc184314421"/>
      <w:bookmarkEnd w:id="105"/>
      <w:bookmarkStart w:id="106" w:name="_Toc184312139"/>
      <w:bookmarkEnd w:id="106"/>
      <w:bookmarkStart w:id="107" w:name="_Toc184308041"/>
      <w:bookmarkEnd w:id="107"/>
      <w:bookmarkStart w:id="108" w:name="_Toc184312123"/>
      <w:bookmarkEnd w:id="108"/>
      <w:bookmarkStart w:id="109" w:name="_Toc184310304"/>
      <w:bookmarkEnd w:id="109"/>
      <w:bookmarkStart w:id="110" w:name="_Toc184308073"/>
      <w:bookmarkEnd w:id="110"/>
      <w:bookmarkStart w:id="111" w:name="_Toc184312133"/>
      <w:bookmarkEnd w:id="111"/>
      <w:bookmarkStart w:id="112" w:name="_Toc184310314"/>
      <w:bookmarkEnd w:id="112"/>
      <w:bookmarkStart w:id="113" w:name="_Toc184308053"/>
      <w:bookmarkEnd w:id="113"/>
      <w:bookmarkStart w:id="114" w:name="_Toc184313275"/>
      <w:bookmarkEnd w:id="114"/>
      <w:bookmarkStart w:id="115" w:name="_Toc184314476"/>
      <w:bookmarkEnd w:id="115"/>
      <w:bookmarkStart w:id="116" w:name="_Toc184313249"/>
      <w:bookmarkEnd w:id="116"/>
      <w:bookmarkStart w:id="117" w:name="_Toc184314469"/>
      <w:bookmarkEnd w:id="117"/>
      <w:bookmarkStart w:id="118" w:name="_Toc184308086"/>
      <w:bookmarkEnd w:id="118"/>
      <w:bookmarkStart w:id="119" w:name="_Toc184313298"/>
      <w:bookmarkEnd w:id="119"/>
      <w:bookmarkStart w:id="120" w:name="_Toc184314418"/>
      <w:bookmarkEnd w:id="120"/>
      <w:bookmarkStart w:id="121" w:name="_Toc184310290"/>
      <w:bookmarkEnd w:id="121"/>
      <w:bookmarkStart w:id="122" w:name="_Toc184314468"/>
      <w:bookmarkEnd w:id="122"/>
      <w:bookmarkStart w:id="123" w:name="_Toc184308054"/>
      <w:bookmarkEnd w:id="123"/>
      <w:bookmarkStart w:id="124" w:name="_Toc184313253"/>
      <w:bookmarkEnd w:id="124"/>
      <w:bookmarkStart w:id="125" w:name="_Toc184314441"/>
      <w:bookmarkEnd w:id="125"/>
      <w:bookmarkStart w:id="126" w:name="_Toc184308070"/>
      <w:bookmarkEnd w:id="126"/>
      <w:bookmarkStart w:id="127" w:name="_Toc184310317"/>
      <w:bookmarkEnd w:id="127"/>
      <w:bookmarkStart w:id="128" w:name="_Toc184312071"/>
      <w:bookmarkEnd w:id="128"/>
      <w:bookmarkStart w:id="129" w:name="_Toc184308103"/>
      <w:bookmarkEnd w:id="129"/>
      <w:bookmarkStart w:id="130" w:name="_Toc184310311"/>
      <w:bookmarkEnd w:id="130"/>
      <w:bookmarkStart w:id="131" w:name="_Toc184310293"/>
      <w:bookmarkEnd w:id="131"/>
      <w:bookmarkStart w:id="132" w:name="_Toc184314437"/>
      <w:bookmarkEnd w:id="132"/>
      <w:bookmarkStart w:id="133" w:name="_Toc184313291"/>
      <w:bookmarkEnd w:id="133"/>
      <w:bookmarkStart w:id="134" w:name="_Toc184308077"/>
      <w:bookmarkEnd w:id="134"/>
      <w:bookmarkStart w:id="135" w:name="_Toc184313297"/>
      <w:bookmarkEnd w:id="135"/>
      <w:bookmarkStart w:id="136" w:name="_Toc184310310"/>
      <w:bookmarkEnd w:id="136"/>
      <w:bookmarkStart w:id="137" w:name="_Toc184313266"/>
      <w:bookmarkEnd w:id="137"/>
      <w:bookmarkStart w:id="138" w:name="_Toc184308061"/>
      <w:bookmarkEnd w:id="138"/>
      <w:bookmarkStart w:id="139" w:name="_Toc184313265"/>
      <w:bookmarkEnd w:id="139"/>
      <w:bookmarkStart w:id="140" w:name="_Toc184313282"/>
      <w:bookmarkEnd w:id="140"/>
      <w:bookmarkStart w:id="141" w:name="_Toc184312122"/>
      <w:bookmarkEnd w:id="141"/>
      <w:bookmarkStart w:id="142" w:name="_Toc184308038"/>
      <w:bookmarkEnd w:id="142"/>
      <w:bookmarkStart w:id="143" w:name="_Toc184314481"/>
      <w:bookmarkEnd w:id="143"/>
      <w:bookmarkStart w:id="144" w:name="_Toc184310298"/>
      <w:bookmarkEnd w:id="144"/>
      <w:bookmarkStart w:id="145" w:name="_Toc184310307"/>
      <w:bookmarkEnd w:id="145"/>
      <w:bookmarkStart w:id="146" w:name="_Toc184310274"/>
      <w:bookmarkEnd w:id="146"/>
      <w:bookmarkStart w:id="147" w:name="_Toc184312067"/>
      <w:bookmarkEnd w:id="147"/>
      <w:bookmarkStart w:id="148" w:name="_Toc184308044"/>
      <w:bookmarkEnd w:id="148"/>
      <w:bookmarkStart w:id="149" w:name="_Toc184308072"/>
      <w:bookmarkEnd w:id="149"/>
      <w:bookmarkStart w:id="150" w:name="_Toc184308055"/>
      <w:bookmarkEnd w:id="150"/>
      <w:bookmarkStart w:id="151" w:name="_Toc184312118"/>
      <w:bookmarkEnd w:id="151"/>
      <w:bookmarkStart w:id="152" w:name="_Toc184313243"/>
      <w:bookmarkEnd w:id="152"/>
      <w:bookmarkStart w:id="153" w:name="_Toc184313261"/>
      <w:bookmarkEnd w:id="153"/>
      <w:bookmarkStart w:id="154" w:name="_Toc184313289"/>
      <w:bookmarkEnd w:id="154"/>
      <w:bookmarkStart w:id="155" w:name="_Toc184314435"/>
      <w:bookmarkEnd w:id="155"/>
      <w:bookmarkStart w:id="156" w:name="_Toc184310320"/>
      <w:bookmarkEnd w:id="156"/>
      <w:bookmarkStart w:id="157" w:name="_Toc184310296"/>
      <w:bookmarkEnd w:id="157"/>
      <w:bookmarkStart w:id="158" w:name="_Toc184310327"/>
      <w:bookmarkEnd w:id="158"/>
      <w:bookmarkStart w:id="159" w:name="_Toc184314482"/>
      <w:bookmarkEnd w:id="159"/>
      <w:bookmarkStart w:id="160" w:name="_Toc184314454"/>
      <w:bookmarkEnd w:id="160"/>
      <w:bookmarkStart w:id="161" w:name="_Toc184312107"/>
      <w:bookmarkEnd w:id="161"/>
      <w:bookmarkStart w:id="162" w:name="_Toc184312079"/>
      <w:bookmarkEnd w:id="162"/>
      <w:bookmarkStart w:id="163" w:name="_Toc184314457"/>
      <w:bookmarkEnd w:id="163"/>
      <w:bookmarkStart w:id="164" w:name="_Toc184310325"/>
      <w:bookmarkEnd w:id="164"/>
      <w:bookmarkStart w:id="165" w:name="_Toc184312093"/>
      <w:bookmarkEnd w:id="165"/>
      <w:bookmarkStart w:id="166" w:name="_Toc184310279"/>
      <w:bookmarkEnd w:id="166"/>
      <w:bookmarkStart w:id="167" w:name="_Toc184310292"/>
      <w:bookmarkEnd w:id="167"/>
      <w:bookmarkStart w:id="168" w:name="_Toc184310277"/>
      <w:bookmarkEnd w:id="168"/>
      <w:bookmarkStart w:id="169" w:name="_Toc184313294"/>
      <w:bookmarkEnd w:id="169"/>
      <w:bookmarkStart w:id="170" w:name="_Toc184313260"/>
      <w:bookmarkEnd w:id="170"/>
      <w:bookmarkStart w:id="171" w:name="_Toc184313284"/>
      <w:bookmarkEnd w:id="171"/>
      <w:bookmarkStart w:id="172" w:name="_Toc184308095"/>
      <w:bookmarkEnd w:id="172"/>
      <w:bookmarkStart w:id="173" w:name="_Toc184310331"/>
      <w:bookmarkEnd w:id="173"/>
      <w:bookmarkStart w:id="174" w:name="_Toc184313301"/>
      <w:bookmarkEnd w:id="174"/>
      <w:bookmarkStart w:id="175" w:name="_Toc184313238"/>
      <w:bookmarkEnd w:id="175"/>
      <w:bookmarkStart w:id="176" w:name="_Toc184308084"/>
      <w:bookmarkEnd w:id="176"/>
      <w:bookmarkStart w:id="177" w:name="_Toc184310341"/>
      <w:bookmarkEnd w:id="177"/>
      <w:bookmarkStart w:id="178" w:name="_Toc184308079"/>
      <w:bookmarkEnd w:id="178"/>
      <w:bookmarkStart w:id="179" w:name="_Toc184310321"/>
      <w:bookmarkEnd w:id="179"/>
      <w:bookmarkStart w:id="180" w:name="_Toc184310339"/>
      <w:bookmarkEnd w:id="180"/>
      <w:bookmarkStart w:id="181" w:name="_Toc184312134"/>
      <w:bookmarkEnd w:id="181"/>
      <w:bookmarkStart w:id="182" w:name="_Toc184308071"/>
      <w:bookmarkEnd w:id="182"/>
      <w:bookmarkStart w:id="183" w:name="_Toc184310326"/>
      <w:bookmarkEnd w:id="183"/>
      <w:bookmarkStart w:id="184" w:name="_Toc184314419"/>
      <w:bookmarkEnd w:id="184"/>
      <w:bookmarkStart w:id="185" w:name="_Toc184314413"/>
      <w:bookmarkEnd w:id="185"/>
      <w:bookmarkStart w:id="186" w:name="_Toc184313257"/>
      <w:bookmarkEnd w:id="186"/>
      <w:bookmarkStart w:id="187" w:name="_Toc184314447"/>
      <w:bookmarkEnd w:id="187"/>
      <w:bookmarkStart w:id="188" w:name="_Toc184310301"/>
      <w:bookmarkEnd w:id="188"/>
      <w:bookmarkStart w:id="189" w:name="_Toc184313303"/>
      <w:bookmarkEnd w:id="189"/>
      <w:bookmarkStart w:id="190" w:name="_Toc184310273"/>
      <w:bookmarkEnd w:id="190"/>
      <w:bookmarkStart w:id="191" w:name="_Toc184310312"/>
      <w:bookmarkEnd w:id="191"/>
      <w:bookmarkStart w:id="192" w:name="_Toc184314438"/>
      <w:bookmarkEnd w:id="192"/>
      <w:bookmarkStart w:id="193" w:name="_Toc184313287"/>
      <w:bookmarkEnd w:id="193"/>
      <w:bookmarkStart w:id="194" w:name="_Toc184312092"/>
      <w:bookmarkEnd w:id="194"/>
      <w:bookmarkStart w:id="195" w:name="_Toc184310291"/>
      <w:bookmarkEnd w:id="195"/>
      <w:bookmarkStart w:id="196" w:name="_Toc184308078"/>
      <w:bookmarkEnd w:id="196"/>
      <w:bookmarkStart w:id="197" w:name="_Toc184312109"/>
      <w:bookmarkEnd w:id="197"/>
      <w:bookmarkStart w:id="198" w:name="_Toc184313281"/>
      <w:bookmarkEnd w:id="198"/>
      <w:bookmarkStart w:id="199" w:name="_Toc184312087"/>
      <w:bookmarkEnd w:id="199"/>
      <w:bookmarkStart w:id="200" w:name="_Toc184312094"/>
      <w:bookmarkEnd w:id="200"/>
      <w:bookmarkStart w:id="201" w:name="_Toc184313270"/>
      <w:bookmarkEnd w:id="201"/>
      <w:bookmarkStart w:id="202" w:name="_Toc184313307"/>
      <w:bookmarkEnd w:id="202"/>
      <w:bookmarkStart w:id="203" w:name="_Toc184308094"/>
      <w:bookmarkEnd w:id="203"/>
      <w:bookmarkStart w:id="204" w:name="_Toc184312120"/>
      <w:bookmarkEnd w:id="204"/>
      <w:bookmarkStart w:id="205" w:name="_Toc184308098"/>
      <w:bookmarkEnd w:id="205"/>
      <w:bookmarkStart w:id="206" w:name="_Toc184313308"/>
      <w:bookmarkEnd w:id="206"/>
      <w:bookmarkStart w:id="207" w:name="_Toc184313306"/>
      <w:bookmarkEnd w:id="207"/>
      <w:bookmarkStart w:id="208" w:name="_Toc184308057"/>
      <w:bookmarkEnd w:id="208"/>
      <w:bookmarkStart w:id="209" w:name="_Toc184308051"/>
      <w:bookmarkEnd w:id="209"/>
      <w:bookmarkStart w:id="210" w:name="_Toc184312137"/>
      <w:bookmarkEnd w:id="210"/>
      <w:bookmarkStart w:id="211" w:name="_Toc184314431"/>
      <w:bookmarkEnd w:id="211"/>
      <w:bookmarkStart w:id="212" w:name="_Toc184310285"/>
      <w:bookmarkEnd w:id="212"/>
      <w:bookmarkStart w:id="213" w:name="_Toc184310342"/>
      <w:bookmarkEnd w:id="213"/>
      <w:bookmarkStart w:id="214" w:name="_Toc184313251"/>
      <w:bookmarkEnd w:id="214"/>
      <w:bookmarkStart w:id="215" w:name="_Toc184310286"/>
      <w:bookmarkEnd w:id="215"/>
      <w:bookmarkStart w:id="216" w:name="_Toc184314460"/>
      <w:bookmarkEnd w:id="216"/>
      <w:bookmarkStart w:id="217" w:name="_Toc184312113"/>
      <w:bookmarkEnd w:id="217"/>
      <w:bookmarkStart w:id="218" w:name="_Toc184310289"/>
      <w:bookmarkEnd w:id="218"/>
      <w:bookmarkStart w:id="219" w:name="_Toc184314478"/>
      <w:bookmarkEnd w:id="219"/>
      <w:bookmarkStart w:id="220" w:name="_Toc184310281"/>
      <w:bookmarkEnd w:id="220"/>
      <w:bookmarkStart w:id="221" w:name="_Toc184310275"/>
      <w:bookmarkEnd w:id="221"/>
      <w:bookmarkStart w:id="222" w:name="_Toc184314440"/>
      <w:bookmarkEnd w:id="222"/>
      <w:bookmarkStart w:id="223" w:name="_Toc184310318"/>
      <w:bookmarkEnd w:id="223"/>
      <w:bookmarkStart w:id="224" w:name="_Toc184314472"/>
      <w:bookmarkEnd w:id="224"/>
      <w:bookmarkStart w:id="225" w:name="_Toc184313248"/>
      <w:bookmarkEnd w:id="225"/>
      <w:bookmarkStart w:id="226" w:name="_Toc184312125"/>
      <w:bookmarkEnd w:id="226"/>
      <w:bookmarkStart w:id="227" w:name="_Toc184314439"/>
      <w:bookmarkEnd w:id="227"/>
      <w:bookmarkStart w:id="228" w:name="_Toc184308089"/>
      <w:bookmarkEnd w:id="228"/>
      <w:bookmarkStart w:id="229" w:name="_Toc184310334"/>
      <w:bookmarkEnd w:id="229"/>
      <w:bookmarkStart w:id="230" w:name="_Toc184310280"/>
      <w:bookmarkEnd w:id="230"/>
      <w:bookmarkStart w:id="231" w:name="_Toc184313267"/>
      <w:bookmarkEnd w:id="231"/>
      <w:bookmarkStart w:id="232" w:name="_Toc184310309"/>
      <w:bookmarkEnd w:id="232"/>
      <w:bookmarkStart w:id="233" w:name="_Toc184313252"/>
      <w:bookmarkEnd w:id="233"/>
      <w:bookmarkStart w:id="234" w:name="_Toc184314456"/>
      <w:bookmarkEnd w:id="234"/>
      <w:bookmarkStart w:id="235" w:name="_Toc184314449"/>
      <w:bookmarkEnd w:id="235"/>
      <w:bookmarkStart w:id="236" w:name="_Toc184312070"/>
      <w:bookmarkEnd w:id="236"/>
      <w:bookmarkStart w:id="237" w:name="_Toc184313242"/>
      <w:bookmarkEnd w:id="237"/>
      <w:bookmarkStart w:id="238" w:name="_Toc184314410"/>
      <w:bookmarkEnd w:id="238"/>
      <w:bookmarkStart w:id="239" w:name="_Toc184308075"/>
      <w:bookmarkEnd w:id="239"/>
      <w:bookmarkStart w:id="240" w:name="_Toc184312099"/>
      <w:bookmarkEnd w:id="240"/>
      <w:bookmarkStart w:id="241" w:name="_Toc184308100"/>
      <w:bookmarkEnd w:id="241"/>
      <w:bookmarkStart w:id="242" w:name="_Toc184312131"/>
      <w:bookmarkEnd w:id="242"/>
      <w:bookmarkStart w:id="243" w:name="_Toc184308107"/>
      <w:bookmarkEnd w:id="243"/>
      <w:bookmarkStart w:id="244" w:name="_Toc184310343"/>
      <w:bookmarkEnd w:id="244"/>
      <w:bookmarkStart w:id="245" w:name="_Toc184308102"/>
      <w:bookmarkEnd w:id="245"/>
      <w:bookmarkStart w:id="246" w:name="_Toc184312078"/>
      <w:bookmarkEnd w:id="246"/>
      <w:bookmarkStart w:id="247" w:name="_Toc184313278"/>
      <w:bookmarkEnd w:id="247"/>
      <w:bookmarkStart w:id="248" w:name="_Toc184312115"/>
      <w:bookmarkEnd w:id="248"/>
      <w:bookmarkStart w:id="249" w:name="_Toc184310302"/>
      <w:bookmarkEnd w:id="249"/>
      <w:bookmarkStart w:id="250" w:name="_Toc184313295"/>
      <w:bookmarkEnd w:id="250"/>
      <w:bookmarkStart w:id="251" w:name="_Toc184313247"/>
      <w:bookmarkEnd w:id="251"/>
      <w:bookmarkStart w:id="252" w:name="_Toc184308082"/>
      <w:bookmarkEnd w:id="252"/>
      <w:bookmarkStart w:id="253" w:name="_Toc184308076"/>
      <w:bookmarkEnd w:id="253"/>
      <w:bookmarkStart w:id="254" w:name="_Toc184313264"/>
      <w:bookmarkEnd w:id="254"/>
      <w:bookmarkStart w:id="255" w:name="_Toc184314412"/>
      <w:bookmarkEnd w:id="255"/>
      <w:bookmarkStart w:id="256" w:name="_Toc184313246"/>
      <w:bookmarkEnd w:id="256"/>
      <w:bookmarkStart w:id="257" w:name="_Toc184312095"/>
      <w:bookmarkEnd w:id="257"/>
      <w:bookmarkStart w:id="258" w:name="_Toc184310329"/>
      <w:bookmarkEnd w:id="258"/>
      <w:bookmarkStart w:id="259" w:name="_Toc184310276"/>
      <w:bookmarkEnd w:id="259"/>
      <w:bookmarkStart w:id="260" w:name="_Toc184308063"/>
      <w:bookmarkEnd w:id="260"/>
      <w:bookmarkStart w:id="261" w:name="_Toc184313263"/>
      <w:bookmarkEnd w:id="261"/>
      <w:bookmarkStart w:id="262" w:name="_Toc184310282"/>
      <w:bookmarkEnd w:id="262"/>
      <w:bookmarkStart w:id="263" w:name="_Toc184312129"/>
      <w:bookmarkEnd w:id="263"/>
      <w:bookmarkStart w:id="264" w:name="_Toc184312091"/>
      <w:bookmarkEnd w:id="264"/>
      <w:bookmarkStart w:id="265" w:name="_Toc184308087"/>
      <w:bookmarkEnd w:id="265"/>
      <w:bookmarkStart w:id="266" w:name="_Toc184313259"/>
      <w:bookmarkEnd w:id="266"/>
      <w:bookmarkStart w:id="267" w:name="_Toc184308036"/>
      <w:bookmarkEnd w:id="267"/>
      <w:bookmarkStart w:id="268" w:name="_Toc184314448"/>
      <w:bookmarkEnd w:id="268"/>
      <w:bookmarkStart w:id="269" w:name="_Toc184314470"/>
      <w:bookmarkEnd w:id="269"/>
      <w:bookmarkStart w:id="270" w:name="_Toc184312077"/>
      <w:bookmarkEnd w:id="270"/>
      <w:bookmarkStart w:id="271" w:name="_Toc184310313"/>
      <w:bookmarkEnd w:id="271"/>
      <w:bookmarkStart w:id="272" w:name="_Toc184312136"/>
      <w:bookmarkEnd w:id="272"/>
      <w:bookmarkStart w:id="273" w:name="_Toc184308062"/>
      <w:bookmarkEnd w:id="273"/>
      <w:bookmarkStart w:id="274" w:name="_Toc184314427"/>
      <w:bookmarkEnd w:id="274"/>
      <w:bookmarkStart w:id="275" w:name="_Toc184314444"/>
      <w:bookmarkEnd w:id="275"/>
      <w:bookmarkStart w:id="276" w:name="_Toc184308091"/>
      <w:bookmarkEnd w:id="276"/>
      <w:bookmarkStart w:id="277" w:name="_Toc184312127"/>
      <w:bookmarkEnd w:id="277"/>
      <w:bookmarkStart w:id="278" w:name="_Toc184308060"/>
      <w:bookmarkEnd w:id="278"/>
      <w:bookmarkStart w:id="279" w:name="_Toc184308052"/>
      <w:bookmarkEnd w:id="279"/>
      <w:bookmarkStart w:id="280" w:name="_Toc184314463"/>
      <w:bookmarkEnd w:id="280"/>
      <w:bookmarkStart w:id="281" w:name="_Toc184308108"/>
      <w:bookmarkEnd w:id="281"/>
      <w:bookmarkStart w:id="282" w:name="_Toc184308083"/>
      <w:bookmarkEnd w:id="282"/>
      <w:bookmarkStart w:id="283" w:name="_Toc184308101"/>
      <w:bookmarkEnd w:id="283"/>
      <w:bookmarkStart w:id="284" w:name="_Toc184308080"/>
      <w:bookmarkEnd w:id="284"/>
      <w:bookmarkStart w:id="285" w:name="_Toc184308042"/>
      <w:bookmarkEnd w:id="285"/>
      <w:bookmarkStart w:id="286" w:name="_Toc184312105"/>
      <w:bookmarkEnd w:id="286"/>
      <w:bookmarkStart w:id="287" w:name="_Toc184314451"/>
      <w:bookmarkEnd w:id="287"/>
      <w:bookmarkStart w:id="288" w:name="_Toc184314430"/>
      <w:bookmarkEnd w:id="288"/>
      <w:bookmarkStart w:id="289" w:name="_Toc184314423"/>
      <w:bookmarkEnd w:id="289"/>
      <w:bookmarkStart w:id="290" w:name="_Toc184310333"/>
      <w:bookmarkEnd w:id="290"/>
      <w:bookmarkStart w:id="291" w:name="_Toc184308085"/>
      <w:bookmarkEnd w:id="291"/>
      <w:bookmarkStart w:id="292" w:name="_Toc184312097"/>
      <w:bookmarkEnd w:id="292"/>
      <w:bookmarkStart w:id="293" w:name="_Toc184314446"/>
      <w:bookmarkEnd w:id="293"/>
      <w:bookmarkStart w:id="294" w:name="_Toc184310319"/>
      <w:bookmarkEnd w:id="294"/>
      <w:bookmarkStart w:id="295" w:name="_Toc184310340"/>
      <w:bookmarkEnd w:id="295"/>
      <w:bookmarkStart w:id="296" w:name="_Toc184312116"/>
      <w:bookmarkEnd w:id="296"/>
      <w:bookmarkStart w:id="297" w:name="_Toc184313258"/>
      <w:bookmarkEnd w:id="297"/>
      <w:bookmarkStart w:id="298" w:name="_Toc184312126"/>
      <w:bookmarkEnd w:id="298"/>
      <w:bookmarkStart w:id="299" w:name="_Toc184312111"/>
      <w:bookmarkEnd w:id="299"/>
      <w:bookmarkStart w:id="300" w:name="_Toc184313292"/>
      <w:bookmarkEnd w:id="300"/>
      <w:bookmarkStart w:id="301" w:name="_Toc184313304"/>
      <w:bookmarkEnd w:id="301"/>
      <w:bookmarkStart w:id="302" w:name="_Toc184312132"/>
      <w:bookmarkEnd w:id="302"/>
      <w:bookmarkStart w:id="303" w:name="_Toc184308092"/>
      <w:bookmarkEnd w:id="303"/>
      <w:bookmarkStart w:id="304" w:name="_Toc184310337"/>
      <w:bookmarkEnd w:id="304"/>
      <w:bookmarkStart w:id="305" w:name="_Toc184312080"/>
      <w:bookmarkEnd w:id="305"/>
      <w:bookmarkStart w:id="306" w:name="_Toc184313302"/>
      <w:bookmarkEnd w:id="306"/>
      <w:bookmarkStart w:id="307" w:name="_Toc184308088"/>
      <w:bookmarkEnd w:id="307"/>
      <w:bookmarkStart w:id="308" w:name="_Toc184313272"/>
      <w:bookmarkEnd w:id="308"/>
      <w:bookmarkStart w:id="309" w:name="_Toc184310306"/>
      <w:bookmarkEnd w:id="309"/>
      <w:bookmarkStart w:id="310" w:name="_Toc184312083"/>
      <w:bookmarkEnd w:id="310"/>
      <w:bookmarkStart w:id="311" w:name="_Toc184313254"/>
      <w:bookmarkEnd w:id="311"/>
      <w:bookmarkStart w:id="312" w:name="_Toc184308050"/>
      <w:bookmarkEnd w:id="312"/>
      <w:bookmarkStart w:id="313" w:name="_Toc184312128"/>
      <w:bookmarkEnd w:id="313"/>
      <w:bookmarkStart w:id="314" w:name="_Toc184314450"/>
      <w:bookmarkEnd w:id="314"/>
      <w:bookmarkStart w:id="315" w:name="_Toc184312102"/>
      <w:bookmarkEnd w:id="315"/>
      <w:bookmarkStart w:id="316" w:name="_Toc184310328"/>
      <w:bookmarkEnd w:id="316"/>
      <w:bookmarkStart w:id="317" w:name="_Toc184312110"/>
      <w:bookmarkEnd w:id="317"/>
      <w:bookmarkStart w:id="318" w:name="_Toc184308105"/>
      <w:bookmarkEnd w:id="318"/>
      <w:bookmarkStart w:id="319" w:name="_Toc184314474"/>
      <w:bookmarkEnd w:id="319"/>
      <w:bookmarkStart w:id="320" w:name="_Toc184312068"/>
      <w:bookmarkEnd w:id="320"/>
      <w:bookmarkStart w:id="321" w:name="_Toc184312135"/>
      <w:bookmarkEnd w:id="321"/>
      <w:bookmarkStart w:id="322" w:name="_Toc184314461"/>
      <w:bookmarkEnd w:id="322"/>
      <w:bookmarkStart w:id="323" w:name="_Toc184312074"/>
      <w:bookmarkEnd w:id="323"/>
      <w:bookmarkStart w:id="324" w:name="_Toc184312104"/>
      <w:bookmarkEnd w:id="324"/>
      <w:bookmarkStart w:id="325" w:name="_Toc184314455"/>
      <w:bookmarkEnd w:id="325"/>
      <w:bookmarkStart w:id="326" w:name="_Toc184310295"/>
      <w:bookmarkEnd w:id="326"/>
      <w:bookmarkStart w:id="327" w:name="_Toc184312084"/>
      <w:bookmarkEnd w:id="327"/>
      <w:bookmarkStart w:id="328" w:name="_Toc184312100"/>
      <w:bookmarkEnd w:id="328"/>
      <w:bookmarkStart w:id="329" w:name="_Toc184312101"/>
      <w:bookmarkEnd w:id="329"/>
      <w:bookmarkStart w:id="330" w:name="_Toc184308064"/>
      <w:bookmarkEnd w:id="330"/>
      <w:bookmarkStart w:id="331" w:name="_Toc184314436"/>
      <w:bookmarkEnd w:id="331"/>
      <w:bookmarkStart w:id="332" w:name="_Toc184314420"/>
      <w:bookmarkEnd w:id="332"/>
      <w:bookmarkStart w:id="333" w:name="_Toc184314459"/>
      <w:bookmarkEnd w:id="333"/>
      <w:bookmarkStart w:id="334" w:name="_Toc184314417"/>
      <w:bookmarkEnd w:id="334"/>
      <w:bookmarkStart w:id="335" w:name="_Toc184314471"/>
      <w:bookmarkEnd w:id="335"/>
      <w:bookmarkStart w:id="336" w:name="_Toc184310338"/>
      <w:bookmarkEnd w:id="336"/>
      <w:bookmarkStart w:id="337" w:name="_Toc184308043"/>
      <w:bookmarkEnd w:id="337"/>
      <w:bookmarkStart w:id="338" w:name="_Toc184314428"/>
      <w:bookmarkEnd w:id="338"/>
      <w:bookmarkStart w:id="339" w:name="_Toc184314477"/>
      <w:bookmarkEnd w:id="339"/>
      <w:bookmarkStart w:id="340" w:name="_Toc184308093"/>
      <w:bookmarkEnd w:id="340"/>
      <w:bookmarkStart w:id="341" w:name="_Toc184310322"/>
      <w:bookmarkEnd w:id="341"/>
      <w:bookmarkStart w:id="342" w:name="_Toc184310335"/>
      <w:bookmarkEnd w:id="342"/>
      <w:bookmarkStart w:id="343" w:name="_Toc184314414"/>
      <w:bookmarkEnd w:id="343"/>
      <w:bookmarkStart w:id="344" w:name="_Toc184313309"/>
      <w:bookmarkEnd w:id="344"/>
      <w:bookmarkStart w:id="345" w:name="_Toc184310332"/>
      <w:bookmarkEnd w:id="345"/>
      <w:bookmarkStart w:id="346" w:name="_Toc184312117"/>
      <w:bookmarkEnd w:id="346"/>
      <w:bookmarkStart w:id="347" w:name="_Toc184314464"/>
      <w:bookmarkEnd w:id="347"/>
      <w:bookmarkStart w:id="348" w:name="_Toc184313240"/>
      <w:bookmarkEnd w:id="348"/>
      <w:bookmarkStart w:id="349" w:name="_Toc184314466"/>
      <w:bookmarkEnd w:id="349"/>
      <w:bookmarkStart w:id="350" w:name="_Toc184308074"/>
      <w:bookmarkEnd w:id="350"/>
      <w:bookmarkStart w:id="351" w:name="_Toc184312076"/>
      <w:bookmarkEnd w:id="351"/>
      <w:bookmarkStart w:id="352" w:name="_Toc184314443"/>
      <w:bookmarkEnd w:id="352"/>
      <w:bookmarkStart w:id="353" w:name="_Toc184314475"/>
      <w:bookmarkEnd w:id="353"/>
      <w:bookmarkStart w:id="354" w:name="_Toc184312081"/>
      <w:bookmarkEnd w:id="354"/>
      <w:bookmarkStart w:id="355" w:name="_Toc184312098"/>
      <w:bookmarkEnd w:id="355"/>
      <w:bookmarkStart w:id="356" w:name="_Toc184312119"/>
      <w:bookmarkEnd w:id="356"/>
      <w:bookmarkStart w:id="357" w:name="_Toc184312138"/>
      <w:bookmarkEnd w:id="357"/>
      <w:bookmarkStart w:id="358" w:name="_Toc184313241"/>
      <w:bookmarkEnd w:id="358"/>
      <w:bookmarkStart w:id="359" w:name="_Toc184312096"/>
      <w:bookmarkEnd w:id="359"/>
      <w:bookmarkStart w:id="360" w:name="_Toc184310300"/>
      <w:bookmarkEnd w:id="360"/>
      <w:bookmarkStart w:id="361" w:name="_Toc184312089"/>
      <w:bookmarkEnd w:id="361"/>
      <w:bookmarkStart w:id="362" w:name="_Toc184313310"/>
      <w:bookmarkEnd w:id="362"/>
      <w:bookmarkStart w:id="363" w:name="_Toc184314434"/>
      <w:bookmarkEnd w:id="363"/>
      <w:bookmarkStart w:id="364" w:name="_Toc184314429"/>
      <w:bookmarkEnd w:id="364"/>
      <w:bookmarkStart w:id="365" w:name="_Toc184310303"/>
      <w:bookmarkEnd w:id="365"/>
      <w:bookmarkStart w:id="366" w:name="_Toc184308056"/>
      <w:bookmarkEnd w:id="366"/>
      <w:bookmarkStart w:id="367" w:name="_Toc184308046"/>
      <w:bookmarkEnd w:id="367"/>
      <w:bookmarkStart w:id="368" w:name="_Toc184312072"/>
      <w:bookmarkEnd w:id="368"/>
      <w:bookmarkStart w:id="369" w:name="_Toc184312085"/>
      <w:bookmarkEnd w:id="369"/>
      <w:bookmarkStart w:id="370" w:name="_Toc184308104"/>
      <w:bookmarkEnd w:id="370"/>
      <w:bookmarkStart w:id="371" w:name="_Toc184312108"/>
      <w:bookmarkEnd w:id="371"/>
      <w:bookmarkStart w:id="372" w:name="_Toc184312073"/>
      <w:bookmarkEnd w:id="372"/>
      <w:bookmarkStart w:id="373" w:name="_Toc184313255"/>
      <w:bookmarkEnd w:id="373"/>
      <w:bookmarkStart w:id="374" w:name="_Toc184308068"/>
      <w:bookmarkEnd w:id="374"/>
      <w:bookmarkStart w:id="375" w:name="_Toc184310315"/>
      <w:bookmarkEnd w:id="375"/>
      <w:bookmarkStart w:id="376" w:name="_Toc184310324"/>
      <w:bookmarkEnd w:id="376"/>
      <w:bookmarkStart w:id="377" w:name="_Toc184308048"/>
      <w:bookmarkEnd w:id="377"/>
      <w:bookmarkStart w:id="378" w:name="_Toc184314426"/>
      <w:bookmarkEnd w:id="378"/>
      <w:bookmarkStart w:id="379" w:name="_Toc184308039"/>
      <w:bookmarkEnd w:id="379"/>
      <w:bookmarkStart w:id="380" w:name="_Toc184314465"/>
      <w:bookmarkEnd w:id="380"/>
      <w:bookmarkStart w:id="381" w:name="_Toc184314411"/>
      <w:bookmarkEnd w:id="381"/>
      <w:r>
        <w:rPr>
          <w:rFonts w:hint="eastAsia" w:asciiTheme="minorEastAsia" w:hAnsiTheme="minorEastAsia" w:eastAsiaTheme="minorEastAsia" w:cstheme="minorEastAsia"/>
          <w:b/>
          <w:color w:val="auto"/>
          <w:sz w:val="36"/>
          <w:szCs w:val="36"/>
          <w:highlight w:val="none"/>
        </w:rPr>
        <w:t>交易办法</w:t>
      </w:r>
    </w:p>
    <w:p w14:paraId="2354B50A">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交易办法前附表</w:t>
      </w:r>
    </w:p>
    <w:p w14:paraId="084231E6">
      <w:pPr>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lang w:val="en-US" w:eastAsia="zh-CN"/>
        </w:rPr>
        <w:t>1、</w:t>
      </w:r>
      <w:r>
        <w:rPr>
          <w:rFonts w:hint="eastAsia" w:ascii="宋体" w:hAnsi="宋体" w:eastAsia="宋体" w:cs="宋体"/>
          <w:b/>
          <w:bCs/>
          <w:color w:val="auto"/>
          <w:sz w:val="24"/>
          <w:highlight w:val="none"/>
        </w:rPr>
        <w:t>商务技术部分（</w:t>
      </w:r>
      <w:r>
        <w:rPr>
          <w:rFonts w:hint="eastAsia" w:ascii="宋体" w:hAnsi="宋体" w:eastAsia="宋体" w:cs="宋体"/>
          <w:b/>
          <w:bCs/>
          <w:color w:val="auto"/>
          <w:sz w:val="24"/>
          <w:highlight w:val="none"/>
          <w:lang w:val="en-US" w:eastAsia="zh-CN"/>
        </w:rPr>
        <w:t>8</w:t>
      </w:r>
      <w:r>
        <w:rPr>
          <w:rFonts w:hint="eastAsia" w:ascii="宋体" w:hAnsi="宋体" w:cs="宋体"/>
          <w:b/>
          <w:bCs/>
          <w:color w:val="auto"/>
          <w:sz w:val="24"/>
          <w:highlight w:val="none"/>
          <w:lang w:val="en-US" w:eastAsia="zh-CN"/>
        </w:rPr>
        <w:t>0</w:t>
      </w:r>
      <w:r>
        <w:rPr>
          <w:rFonts w:hint="eastAsia" w:ascii="宋体" w:hAnsi="宋体" w:eastAsia="宋体" w:cs="宋体"/>
          <w:b/>
          <w:bCs/>
          <w:color w:val="auto"/>
          <w:sz w:val="24"/>
          <w:highlight w:val="none"/>
        </w:rPr>
        <w:t>分）</w:t>
      </w:r>
      <w:r>
        <w:rPr>
          <w:rFonts w:hint="eastAsia" w:ascii="宋体" w:hAnsi="宋体" w:eastAsia="宋体" w:cs="宋体"/>
          <w:b/>
          <w:bCs/>
          <w:color w:val="auto"/>
          <w:sz w:val="24"/>
          <w:highlight w:val="none"/>
          <w:lang w:eastAsia="zh-CN"/>
        </w:rPr>
        <w:t>：</w:t>
      </w:r>
    </w:p>
    <w:tbl>
      <w:tblPr>
        <w:tblStyle w:val="64"/>
        <w:tblW w:w="93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791"/>
        <w:gridCol w:w="5710"/>
        <w:gridCol w:w="930"/>
        <w:gridCol w:w="992"/>
      </w:tblGrid>
      <w:tr w14:paraId="58D74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911" w:type="dxa"/>
            <w:noWrap w:val="0"/>
            <w:vAlign w:val="center"/>
          </w:tcPr>
          <w:p w14:paraId="7483DC5D">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6501" w:type="dxa"/>
            <w:gridSpan w:val="2"/>
            <w:noWrap w:val="0"/>
            <w:vAlign w:val="center"/>
          </w:tcPr>
          <w:p w14:paraId="10E18ED4">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评分内容和标准</w:t>
            </w:r>
          </w:p>
        </w:tc>
        <w:tc>
          <w:tcPr>
            <w:tcW w:w="930" w:type="dxa"/>
            <w:noWrap w:val="0"/>
            <w:vAlign w:val="center"/>
          </w:tcPr>
          <w:p w14:paraId="389D6BE1">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分值</w:t>
            </w:r>
          </w:p>
          <w:p w14:paraId="684501B8">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区间</w:t>
            </w:r>
          </w:p>
        </w:tc>
        <w:tc>
          <w:tcPr>
            <w:tcW w:w="992" w:type="dxa"/>
            <w:noWrap w:val="0"/>
            <w:vAlign w:val="center"/>
          </w:tcPr>
          <w:p w14:paraId="1CE73AD5">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打分</w:t>
            </w:r>
          </w:p>
          <w:p w14:paraId="342A25D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方法</w:t>
            </w:r>
          </w:p>
        </w:tc>
      </w:tr>
      <w:tr w14:paraId="6C101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1" w:type="dxa"/>
            <w:vMerge w:val="restart"/>
            <w:noWrap w:val="0"/>
            <w:vAlign w:val="center"/>
          </w:tcPr>
          <w:p w14:paraId="06CEBCA1">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商务资信分</w:t>
            </w:r>
          </w:p>
          <w:p w14:paraId="48D2E3A1">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18</w:t>
            </w:r>
            <w:r>
              <w:rPr>
                <w:rFonts w:hint="eastAsia" w:asciiTheme="minorEastAsia" w:hAnsiTheme="minorEastAsia" w:eastAsiaTheme="minorEastAsia" w:cstheme="minorEastAsia"/>
                <w:color w:val="auto"/>
                <w:sz w:val="24"/>
                <w:szCs w:val="24"/>
                <w:highlight w:val="none"/>
              </w:rPr>
              <w:t>分）</w:t>
            </w:r>
          </w:p>
        </w:tc>
        <w:tc>
          <w:tcPr>
            <w:tcW w:w="791" w:type="dxa"/>
            <w:noWrap w:val="0"/>
            <w:vAlign w:val="center"/>
          </w:tcPr>
          <w:p w14:paraId="1D9BC3C3">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5710" w:type="dxa"/>
            <w:noWrap w:val="0"/>
            <w:vAlign w:val="center"/>
          </w:tcPr>
          <w:p w14:paraId="4C17BDCA">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响应人信用</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响应人获得过市场监督管理部门确认的“守合同、重信用”企业称号，浙江省AAA级的得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分，浙江省AA级的得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分，浙江省A级的得1分，没有不得分。（响应文件中提供</w:t>
            </w:r>
            <w:r>
              <w:rPr>
                <w:rFonts w:hint="eastAsia" w:asciiTheme="minorEastAsia" w:hAnsiTheme="minorEastAsia" w:eastAsiaTheme="minorEastAsia" w:cstheme="minorEastAsia"/>
                <w:color w:val="auto"/>
                <w:sz w:val="24"/>
                <w:szCs w:val="24"/>
                <w:highlight w:val="none"/>
                <w:lang w:val="en-US" w:eastAsia="zh-CN"/>
              </w:rPr>
              <w:t>公示有效期内</w:t>
            </w:r>
            <w:r>
              <w:rPr>
                <w:rFonts w:hint="eastAsia" w:asciiTheme="minorEastAsia" w:hAnsiTheme="minorEastAsia" w:eastAsiaTheme="minorEastAsia" w:cstheme="minorEastAsia"/>
                <w:color w:val="auto"/>
                <w:sz w:val="24"/>
                <w:szCs w:val="24"/>
                <w:highlight w:val="none"/>
              </w:rPr>
              <w:t>相关证书或文件，加盖公章。）</w:t>
            </w:r>
          </w:p>
        </w:tc>
        <w:tc>
          <w:tcPr>
            <w:tcW w:w="930" w:type="dxa"/>
            <w:noWrap w:val="0"/>
            <w:vAlign w:val="center"/>
          </w:tcPr>
          <w:p w14:paraId="4A5DB67B">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0-5分</w:t>
            </w:r>
          </w:p>
        </w:tc>
        <w:tc>
          <w:tcPr>
            <w:tcW w:w="992" w:type="dxa"/>
            <w:noWrap w:val="0"/>
            <w:vAlign w:val="center"/>
          </w:tcPr>
          <w:p w14:paraId="043D252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327095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8" w:hRule="atLeast"/>
          <w:jc w:val="center"/>
        </w:trPr>
        <w:tc>
          <w:tcPr>
            <w:tcW w:w="911" w:type="dxa"/>
            <w:vMerge w:val="continue"/>
            <w:noWrap w:val="0"/>
            <w:vAlign w:val="center"/>
          </w:tcPr>
          <w:p w14:paraId="330DE1AE">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72DD1CDB">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p w14:paraId="2117449C">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strike/>
                <w:dstrike w:val="0"/>
                <w:color w:val="auto"/>
                <w:sz w:val="24"/>
                <w:szCs w:val="24"/>
                <w:highlight w:val="none"/>
              </w:rPr>
            </w:pPr>
          </w:p>
        </w:tc>
        <w:tc>
          <w:tcPr>
            <w:tcW w:w="5710" w:type="dxa"/>
            <w:noWrap w:val="0"/>
            <w:vAlign w:val="center"/>
          </w:tcPr>
          <w:p w14:paraId="7E72E707">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strike/>
                <w:dstrike w:val="0"/>
                <w:color w:val="auto"/>
                <w:sz w:val="24"/>
                <w:szCs w:val="24"/>
                <w:highlight w:val="none"/>
              </w:rPr>
            </w:pPr>
            <w:r>
              <w:rPr>
                <w:rFonts w:hint="eastAsia" w:asciiTheme="minorEastAsia" w:hAnsiTheme="minorEastAsia" w:eastAsiaTheme="minorEastAsia" w:cstheme="minorEastAsia"/>
                <w:color w:val="auto"/>
                <w:sz w:val="24"/>
                <w:szCs w:val="24"/>
                <w:highlight w:val="none"/>
              </w:rPr>
              <w:t>响应人星级评分：响应人被评为</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rPr>
              <w:t>星级</w:t>
            </w:r>
            <w:r>
              <w:rPr>
                <w:rFonts w:hint="eastAsia" w:asciiTheme="minorEastAsia" w:hAnsiTheme="minorEastAsia" w:eastAsiaTheme="minorEastAsia" w:cstheme="minorEastAsia"/>
                <w:color w:val="auto"/>
                <w:sz w:val="24"/>
                <w:szCs w:val="24"/>
                <w:highlight w:val="none"/>
                <w:lang w:val="en-US" w:eastAsia="zh-CN"/>
              </w:rPr>
              <w:t>及以上</w:t>
            </w:r>
            <w:r>
              <w:rPr>
                <w:rFonts w:hint="eastAsia" w:asciiTheme="minorEastAsia" w:hAnsiTheme="minorEastAsia" w:eastAsiaTheme="minorEastAsia" w:cstheme="minorEastAsia"/>
                <w:color w:val="auto"/>
                <w:sz w:val="24"/>
                <w:szCs w:val="24"/>
                <w:highlight w:val="none"/>
              </w:rPr>
              <w:t>品质旅行社的得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分，被评为</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星级品质旅行社的得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其余不得分。（响应文件中提供当地旅游局等单位颁发的相关文件，加盖公章。）</w:t>
            </w:r>
          </w:p>
        </w:tc>
        <w:tc>
          <w:tcPr>
            <w:tcW w:w="930" w:type="dxa"/>
            <w:noWrap w:val="0"/>
            <w:vAlign w:val="center"/>
          </w:tcPr>
          <w:p w14:paraId="10EFF32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p>
          <w:p w14:paraId="5415984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strike/>
                <w:dstrike w:val="0"/>
                <w:color w:val="auto"/>
                <w:sz w:val="24"/>
                <w:szCs w:val="24"/>
                <w:highlight w:val="none"/>
              </w:rPr>
            </w:pPr>
          </w:p>
        </w:tc>
        <w:tc>
          <w:tcPr>
            <w:tcW w:w="992" w:type="dxa"/>
            <w:noWrap w:val="0"/>
            <w:vAlign w:val="center"/>
          </w:tcPr>
          <w:p w14:paraId="1837EF82">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p w14:paraId="071952F3">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strike/>
                <w:dstrike w:val="0"/>
                <w:color w:val="auto"/>
                <w:sz w:val="24"/>
                <w:szCs w:val="24"/>
                <w:highlight w:val="none"/>
              </w:rPr>
            </w:pPr>
          </w:p>
        </w:tc>
      </w:tr>
      <w:tr w14:paraId="3BAF8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5" w:hRule="atLeast"/>
          <w:jc w:val="center"/>
        </w:trPr>
        <w:tc>
          <w:tcPr>
            <w:tcW w:w="911" w:type="dxa"/>
            <w:vMerge w:val="continue"/>
            <w:noWrap w:val="0"/>
            <w:vAlign w:val="center"/>
          </w:tcPr>
          <w:p w14:paraId="3431C4CB">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3616C8E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3</w:t>
            </w:r>
          </w:p>
        </w:tc>
        <w:tc>
          <w:tcPr>
            <w:tcW w:w="5710" w:type="dxa"/>
            <w:noWrap w:val="0"/>
            <w:vAlign w:val="center"/>
          </w:tcPr>
          <w:p w14:paraId="02C72DDD">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响应人具有质量保证体系认证、环境管理体系认证、职业健康安全管理体系认证</w:t>
            </w:r>
            <w:r>
              <w:rPr>
                <w:rFonts w:hint="eastAsia" w:asciiTheme="minorEastAsia" w:hAnsiTheme="minorEastAsia" w:eastAsiaTheme="minorEastAsia" w:cstheme="minorEastAsia"/>
                <w:color w:val="auto"/>
                <w:sz w:val="24"/>
                <w:szCs w:val="24"/>
                <w:highlight w:val="none"/>
                <w:lang w:eastAsia="zh-CN"/>
              </w:rPr>
              <w:t>、诚信管理体系认证证书</w:t>
            </w:r>
            <w:r>
              <w:rPr>
                <w:rFonts w:hint="eastAsia" w:asciiTheme="minorEastAsia" w:hAnsiTheme="minorEastAsia" w:eastAsiaTheme="minorEastAsia" w:cstheme="minorEastAsia"/>
                <w:color w:val="auto"/>
                <w:sz w:val="24"/>
                <w:szCs w:val="24"/>
                <w:highlight w:val="none"/>
              </w:rPr>
              <w:t>（证书须在有效期内）：</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rPr>
              <w:t>个体系得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分；任意</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个体系得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分；单个体系得1分。（响应文件中提供证书复印件，加盖公章。）</w:t>
            </w:r>
          </w:p>
        </w:tc>
        <w:tc>
          <w:tcPr>
            <w:tcW w:w="930" w:type="dxa"/>
            <w:noWrap w:val="0"/>
            <w:vAlign w:val="center"/>
          </w:tcPr>
          <w:p w14:paraId="4A662FFB">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1FF090E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12B81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1" w:hRule="atLeast"/>
          <w:jc w:val="center"/>
        </w:trPr>
        <w:tc>
          <w:tcPr>
            <w:tcW w:w="911" w:type="dxa"/>
            <w:vMerge w:val="continue"/>
            <w:noWrap w:val="0"/>
            <w:vAlign w:val="center"/>
          </w:tcPr>
          <w:p w14:paraId="461C81EA">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2366728D">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5710" w:type="dxa"/>
            <w:noWrap w:val="0"/>
            <w:vAlign w:val="center"/>
          </w:tcPr>
          <w:p w14:paraId="1AA6A53F">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响应人获得行政部门颁发给的区（县）级荣誉的，每个得0.5分，最多得1分；获得市级及以上荣誉的，每个得1分，最多得2分</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rPr>
              <w:t>（响应文件中提供荣誉证书复印件，加盖公章。）</w:t>
            </w:r>
          </w:p>
        </w:tc>
        <w:tc>
          <w:tcPr>
            <w:tcW w:w="930" w:type="dxa"/>
            <w:noWrap w:val="0"/>
            <w:vAlign w:val="center"/>
          </w:tcPr>
          <w:p w14:paraId="6DBA0928">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69B8885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33B79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jc w:val="center"/>
        </w:trPr>
        <w:tc>
          <w:tcPr>
            <w:tcW w:w="911" w:type="dxa"/>
            <w:vMerge w:val="restart"/>
            <w:noWrap w:val="0"/>
            <w:vAlign w:val="center"/>
          </w:tcPr>
          <w:p w14:paraId="37C5EA69">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技术部分（72分）</w:t>
            </w:r>
          </w:p>
        </w:tc>
        <w:tc>
          <w:tcPr>
            <w:tcW w:w="791" w:type="dxa"/>
            <w:noWrap w:val="0"/>
            <w:vAlign w:val="center"/>
          </w:tcPr>
          <w:p w14:paraId="1550C8A9">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5710" w:type="dxa"/>
            <w:noWrap w:val="0"/>
            <w:vAlign w:val="center"/>
          </w:tcPr>
          <w:p w14:paraId="3BF52F90">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根据响应人提供的疗休养期间整体行程景点、线路策划等安排情况综合评定。</w:t>
            </w:r>
          </w:p>
        </w:tc>
        <w:tc>
          <w:tcPr>
            <w:tcW w:w="930" w:type="dxa"/>
            <w:noWrap w:val="0"/>
            <w:vAlign w:val="center"/>
          </w:tcPr>
          <w:p w14:paraId="7341A3DE">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0-9</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4A509B56">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441DD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2" w:hRule="atLeast"/>
          <w:jc w:val="center"/>
        </w:trPr>
        <w:tc>
          <w:tcPr>
            <w:tcW w:w="911" w:type="dxa"/>
            <w:vMerge w:val="continue"/>
            <w:noWrap w:val="0"/>
            <w:vAlign w:val="center"/>
          </w:tcPr>
          <w:p w14:paraId="4F890E27">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20F1CE96">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5710" w:type="dxa"/>
            <w:noWrap w:val="0"/>
            <w:vAlign w:val="center"/>
          </w:tcPr>
          <w:p w14:paraId="4F559906">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zh-CN" w:eastAsia="zh-CN"/>
              </w:rPr>
              <w:t>根据响应文件中针对本项目实施前及实施过程中提供的特色服务方案的可行性等内容进行评定，每提供1项方案的得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lang w:val="zh-CN" w:eastAsia="zh-CN"/>
              </w:rPr>
              <w:t>分，满分</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zh-CN" w:eastAsia="zh-CN"/>
              </w:rPr>
              <w:t>分。</w:t>
            </w:r>
          </w:p>
        </w:tc>
        <w:tc>
          <w:tcPr>
            <w:tcW w:w="930" w:type="dxa"/>
            <w:noWrap w:val="0"/>
            <w:vAlign w:val="center"/>
          </w:tcPr>
          <w:p w14:paraId="22064E79">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0-3分</w:t>
            </w:r>
          </w:p>
        </w:tc>
        <w:tc>
          <w:tcPr>
            <w:tcW w:w="992" w:type="dxa"/>
            <w:noWrap w:val="0"/>
            <w:vAlign w:val="center"/>
          </w:tcPr>
          <w:p w14:paraId="5E3B4FD5">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客观分</w:t>
            </w:r>
          </w:p>
        </w:tc>
      </w:tr>
      <w:tr w14:paraId="0DE2B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 w:hRule="atLeast"/>
          <w:jc w:val="center"/>
        </w:trPr>
        <w:tc>
          <w:tcPr>
            <w:tcW w:w="911" w:type="dxa"/>
            <w:vMerge w:val="continue"/>
            <w:noWrap w:val="0"/>
            <w:vAlign w:val="center"/>
          </w:tcPr>
          <w:p w14:paraId="39311FFF">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23697EAB">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5710" w:type="dxa"/>
            <w:noWrap w:val="0"/>
            <w:vAlign w:val="center"/>
          </w:tcPr>
          <w:p w14:paraId="100FDE15">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rPr>
              <w:t>根据响应人提供的疗休养期间住宿安排情况综合评定。</w:t>
            </w:r>
          </w:p>
        </w:tc>
        <w:tc>
          <w:tcPr>
            <w:tcW w:w="930" w:type="dxa"/>
            <w:noWrap w:val="0"/>
            <w:vAlign w:val="center"/>
          </w:tcPr>
          <w:p w14:paraId="36ED4F7D">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8</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1D4BA25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1AB09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8" w:hRule="atLeast"/>
          <w:jc w:val="center"/>
        </w:trPr>
        <w:tc>
          <w:tcPr>
            <w:tcW w:w="911" w:type="dxa"/>
            <w:vMerge w:val="continue"/>
            <w:noWrap w:val="0"/>
            <w:vAlign w:val="center"/>
          </w:tcPr>
          <w:p w14:paraId="15559FC8">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5410BEB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5710" w:type="dxa"/>
            <w:noWrap w:val="0"/>
            <w:vAlign w:val="center"/>
          </w:tcPr>
          <w:p w14:paraId="1843C2E2">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餐饮承诺</w:t>
            </w:r>
            <w:r>
              <w:rPr>
                <w:rFonts w:hint="eastAsia" w:asciiTheme="minorEastAsia" w:hAnsiTheme="minorEastAsia" w:eastAsiaTheme="minorEastAsia" w:cstheme="minorEastAsia"/>
                <w:color w:val="auto"/>
                <w:sz w:val="24"/>
                <w:szCs w:val="24"/>
                <w:highlight w:val="none"/>
                <w:lang w:val="en-US" w:eastAsia="zh-CN"/>
              </w:rPr>
              <w:t>交易发起</w:t>
            </w:r>
            <w:r>
              <w:rPr>
                <w:rFonts w:hint="eastAsia" w:asciiTheme="minorEastAsia" w:hAnsiTheme="minorEastAsia" w:eastAsiaTheme="minorEastAsia" w:cstheme="minorEastAsia"/>
                <w:color w:val="auto"/>
                <w:sz w:val="24"/>
                <w:szCs w:val="24"/>
                <w:highlight w:val="none"/>
              </w:rPr>
              <w:t>人餐标的费用标准的得</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分，比采购要求更高的，每人每天的餐标每提高</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rPr>
              <w:t>元的加</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分，最高加</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分。</w:t>
            </w:r>
          </w:p>
        </w:tc>
        <w:tc>
          <w:tcPr>
            <w:tcW w:w="930" w:type="dxa"/>
            <w:noWrap w:val="0"/>
            <w:vAlign w:val="center"/>
          </w:tcPr>
          <w:p w14:paraId="78310B5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2AD6C03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客观分</w:t>
            </w:r>
          </w:p>
        </w:tc>
      </w:tr>
      <w:tr w14:paraId="7F4E3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4" w:hRule="atLeast"/>
          <w:jc w:val="center"/>
        </w:trPr>
        <w:tc>
          <w:tcPr>
            <w:tcW w:w="911" w:type="dxa"/>
            <w:vMerge w:val="continue"/>
            <w:noWrap w:val="0"/>
            <w:vAlign w:val="center"/>
          </w:tcPr>
          <w:p w14:paraId="21B49F46">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018D3AD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5710" w:type="dxa"/>
            <w:noWrap w:val="0"/>
            <w:vAlign w:val="center"/>
          </w:tcPr>
          <w:p w14:paraId="718CDF7C">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交通工具（包括车型、当地用车情况、座位比、司机驾龄、车队本地化服务能力等）等选择情况是否符合本次需求。</w:t>
            </w:r>
          </w:p>
        </w:tc>
        <w:tc>
          <w:tcPr>
            <w:tcW w:w="930" w:type="dxa"/>
            <w:noWrap w:val="0"/>
            <w:vAlign w:val="center"/>
          </w:tcPr>
          <w:p w14:paraId="1C1792F0">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0-6</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5024A03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57795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911" w:type="dxa"/>
            <w:vMerge w:val="continue"/>
            <w:noWrap w:val="0"/>
            <w:vAlign w:val="center"/>
          </w:tcPr>
          <w:p w14:paraId="773F6229">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24E209F5">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5710" w:type="dxa"/>
            <w:noWrap w:val="0"/>
            <w:vAlign w:val="center"/>
          </w:tcPr>
          <w:p w14:paraId="0EE7B100">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本次疗休养实施</w:t>
            </w:r>
            <w:r>
              <w:rPr>
                <w:rFonts w:hint="eastAsia" w:asciiTheme="minorEastAsia" w:hAnsiTheme="minorEastAsia" w:eastAsiaTheme="minorEastAsia" w:cstheme="minorEastAsia"/>
                <w:color w:val="auto"/>
                <w:sz w:val="24"/>
                <w:szCs w:val="24"/>
                <w:highlight w:val="none"/>
                <w:lang w:val="zh-CN"/>
              </w:rPr>
              <w:t>工作程序和步骤、管理和协调方法以及关键步骤和要点等。</w:t>
            </w:r>
          </w:p>
        </w:tc>
        <w:tc>
          <w:tcPr>
            <w:tcW w:w="930" w:type="dxa"/>
            <w:noWrap w:val="0"/>
            <w:vAlign w:val="center"/>
          </w:tcPr>
          <w:p w14:paraId="5DAB43D2">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0-6</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31B26A2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01D02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911" w:type="dxa"/>
            <w:vMerge w:val="continue"/>
            <w:noWrap w:val="0"/>
            <w:vAlign w:val="center"/>
          </w:tcPr>
          <w:p w14:paraId="5D86649C">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1647A22D">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5710" w:type="dxa"/>
            <w:noWrap w:val="0"/>
            <w:vAlign w:val="center"/>
          </w:tcPr>
          <w:p w14:paraId="2B7C43C7">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zh-CN"/>
              </w:rPr>
              <w:t>根据项目负责人及配备人员的专业素质、技术能力、经验以及调动各项资源的能力、职业证书等；项目组成员专业素质、能力、经验等。</w:t>
            </w:r>
          </w:p>
        </w:tc>
        <w:tc>
          <w:tcPr>
            <w:tcW w:w="930" w:type="dxa"/>
            <w:noWrap w:val="0"/>
            <w:vAlign w:val="center"/>
          </w:tcPr>
          <w:p w14:paraId="3DD9276A">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0-5</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5588B0A9">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4A6C0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 w:hRule="atLeast"/>
          <w:jc w:val="center"/>
        </w:trPr>
        <w:tc>
          <w:tcPr>
            <w:tcW w:w="911" w:type="dxa"/>
            <w:vMerge w:val="continue"/>
            <w:noWrap w:val="0"/>
            <w:vAlign w:val="center"/>
          </w:tcPr>
          <w:p w14:paraId="140C488C">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6AB940AC">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5710" w:type="dxa"/>
            <w:noWrap w:val="0"/>
            <w:vAlign w:val="center"/>
          </w:tcPr>
          <w:p w14:paraId="41D47374">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rPr>
              <w:t>对本项目的合理化建议综合评定</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在标书中规定的线路标准的基础上，根据响应人优化方案，提出合理化建议。</w:t>
            </w:r>
          </w:p>
        </w:tc>
        <w:tc>
          <w:tcPr>
            <w:tcW w:w="930" w:type="dxa"/>
            <w:noWrap w:val="0"/>
            <w:vAlign w:val="center"/>
          </w:tcPr>
          <w:p w14:paraId="280755D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0CF980B3">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38190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911" w:type="dxa"/>
            <w:vMerge w:val="continue"/>
            <w:noWrap w:val="0"/>
            <w:vAlign w:val="center"/>
          </w:tcPr>
          <w:p w14:paraId="1A0F101C">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47E9BE87">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w:t>
            </w:r>
          </w:p>
        </w:tc>
        <w:tc>
          <w:tcPr>
            <w:tcW w:w="5710" w:type="dxa"/>
            <w:noWrap w:val="0"/>
            <w:vAlign w:val="center"/>
          </w:tcPr>
          <w:p w14:paraId="364255A3">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rPr>
              <w:t>根据出行服务、人性化服务、与地接人员衔接服务、安排入住酒店、用餐服务等与本次疗休养有关的服务质量情况。</w:t>
            </w:r>
          </w:p>
        </w:tc>
        <w:tc>
          <w:tcPr>
            <w:tcW w:w="930" w:type="dxa"/>
            <w:noWrap w:val="0"/>
            <w:vAlign w:val="center"/>
          </w:tcPr>
          <w:p w14:paraId="6324B64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7F0935CB">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76C14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1" w:type="dxa"/>
            <w:vMerge w:val="continue"/>
            <w:noWrap w:val="0"/>
            <w:vAlign w:val="center"/>
          </w:tcPr>
          <w:p w14:paraId="54B430E4">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775C4482">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14</w:t>
            </w:r>
          </w:p>
        </w:tc>
        <w:tc>
          <w:tcPr>
            <w:tcW w:w="5710" w:type="dxa"/>
            <w:noWrap w:val="0"/>
            <w:vAlign w:val="center"/>
          </w:tcPr>
          <w:p w14:paraId="74F7A7E6">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lang w:val="zh-CN"/>
              </w:rPr>
              <w:t>提供后续服务计划及根据响应人</w:t>
            </w:r>
            <w:r>
              <w:rPr>
                <w:rFonts w:hint="eastAsia" w:asciiTheme="minorEastAsia" w:hAnsiTheme="minorEastAsia" w:eastAsiaTheme="minorEastAsia" w:cstheme="minorEastAsia"/>
                <w:color w:val="auto"/>
                <w:sz w:val="24"/>
                <w:szCs w:val="24"/>
                <w:highlight w:val="none"/>
                <w:lang w:val="en-US" w:eastAsia="zh-CN"/>
              </w:rPr>
              <w:t>属地化服务</w:t>
            </w:r>
            <w:r>
              <w:rPr>
                <w:rFonts w:hint="eastAsia" w:asciiTheme="minorEastAsia" w:hAnsiTheme="minorEastAsia" w:eastAsiaTheme="minorEastAsia" w:cstheme="minorEastAsia"/>
                <w:color w:val="auto"/>
                <w:sz w:val="24"/>
                <w:szCs w:val="24"/>
                <w:highlight w:val="none"/>
                <w:lang w:val="zh-CN"/>
              </w:rPr>
              <w:t xml:space="preserve">等，方便、快捷、优质提供服务等情况。 </w:t>
            </w:r>
          </w:p>
        </w:tc>
        <w:tc>
          <w:tcPr>
            <w:tcW w:w="930" w:type="dxa"/>
            <w:noWrap w:val="0"/>
            <w:vAlign w:val="center"/>
          </w:tcPr>
          <w:p w14:paraId="3A375637">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5D03304D">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52494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911" w:type="dxa"/>
            <w:vMerge w:val="continue"/>
            <w:noWrap w:val="0"/>
            <w:vAlign w:val="center"/>
          </w:tcPr>
          <w:p w14:paraId="547A17DC">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2DABB34C">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w:t>
            </w:r>
          </w:p>
        </w:tc>
        <w:tc>
          <w:tcPr>
            <w:tcW w:w="5710" w:type="dxa"/>
            <w:noWrap w:val="0"/>
            <w:vAlign w:val="center"/>
          </w:tcPr>
          <w:p w14:paraId="78AB2A25">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b/>
                <w:bCs/>
                <w:color w:val="auto"/>
                <w:kern w:val="2"/>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rPr>
              <w:t>响应人提供详细的突发事件处理方案、安防措施、投诉处理、纠纷处理方案。</w:t>
            </w:r>
          </w:p>
        </w:tc>
        <w:tc>
          <w:tcPr>
            <w:tcW w:w="930" w:type="dxa"/>
            <w:noWrap w:val="0"/>
            <w:vAlign w:val="center"/>
          </w:tcPr>
          <w:p w14:paraId="7F967C33">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shd w:val="clear" w:color="FFFFFF" w:fill="D9D9D9"/>
                <w:lang w:val="en-US" w:eastAsia="zh-CN" w:bidi="ar-SA"/>
              </w:rPr>
            </w:pPr>
            <w:r>
              <w:rPr>
                <w:rFonts w:hint="eastAsia" w:asciiTheme="minorEastAsia" w:hAnsiTheme="minorEastAsia" w:eastAsiaTheme="minorEastAsia" w:cstheme="minorEastAsia"/>
                <w:color w:val="auto"/>
                <w:sz w:val="24"/>
                <w:szCs w:val="24"/>
                <w:highlight w:val="none"/>
              </w:rPr>
              <w:t>0-3分</w:t>
            </w:r>
          </w:p>
        </w:tc>
        <w:tc>
          <w:tcPr>
            <w:tcW w:w="992" w:type="dxa"/>
            <w:noWrap w:val="0"/>
            <w:vAlign w:val="center"/>
          </w:tcPr>
          <w:p w14:paraId="4C74EC42">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shd w:val="clear" w:color="FFFFFF" w:fill="D9D9D9"/>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6533E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911" w:type="dxa"/>
            <w:vMerge w:val="continue"/>
            <w:noWrap w:val="0"/>
            <w:vAlign w:val="center"/>
          </w:tcPr>
          <w:p w14:paraId="0D416099">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78096057">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16</w:t>
            </w:r>
          </w:p>
        </w:tc>
        <w:tc>
          <w:tcPr>
            <w:tcW w:w="5710" w:type="dxa"/>
            <w:noWrap w:val="0"/>
            <w:vAlign w:val="center"/>
          </w:tcPr>
          <w:p w14:paraId="0D642D94">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kern w:val="2"/>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rPr>
              <w:t>增值（特色）服务、优惠措施等。</w:t>
            </w:r>
          </w:p>
        </w:tc>
        <w:tc>
          <w:tcPr>
            <w:tcW w:w="930" w:type="dxa"/>
            <w:noWrap w:val="0"/>
            <w:vAlign w:val="center"/>
          </w:tcPr>
          <w:p w14:paraId="354519AB">
            <w:pPr>
              <w:keepNext w:val="0"/>
              <w:keepLines w:val="0"/>
              <w:pageBreakBefore w:val="0"/>
              <w:widowControl/>
              <w:kinsoku/>
              <w:wordWrap/>
              <w:overflowPunct/>
              <w:topLinePunct w:val="0"/>
              <w:autoSpaceDE w:val="0"/>
              <w:autoSpaceDN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0</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1E8391F3">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shd w:val="clear" w:color="FFFFFF" w:fill="D9D9D9"/>
                <w:lang w:val="en-US" w:eastAsia="zh-CN" w:bidi="ar-SA"/>
              </w:rPr>
            </w:pPr>
            <w:r>
              <w:rPr>
                <w:rFonts w:hint="eastAsia" w:asciiTheme="minorEastAsia" w:hAnsiTheme="minorEastAsia" w:eastAsiaTheme="minorEastAsia" w:cstheme="minorEastAsia"/>
                <w:color w:val="auto"/>
                <w:sz w:val="24"/>
                <w:szCs w:val="24"/>
                <w:highlight w:val="none"/>
              </w:rPr>
              <w:t>主观分</w:t>
            </w:r>
          </w:p>
        </w:tc>
      </w:tr>
      <w:tr w14:paraId="51266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0" w:hRule="atLeast"/>
          <w:jc w:val="center"/>
        </w:trPr>
        <w:tc>
          <w:tcPr>
            <w:tcW w:w="911" w:type="dxa"/>
            <w:vMerge w:val="continue"/>
            <w:noWrap w:val="0"/>
            <w:vAlign w:val="center"/>
          </w:tcPr>
          <w:p w14:paraId="1671B991">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35E7F9B0">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17</w:t>
            </w:r>
          </w:p>
        </w:tc>
        <w:tc>
          <w:tcPr>
            <w:tcW w:w="5710" w:type="dxa"/>
            <w:noWrap w:val="0"/>
            <w:vAlign w:val="center"/>
          </w:tcPr>
          <w:p w14:paraId="08ED5F5C">
            <w:pPr>
              <w:pStyle w:val="404"/>
              <w:keepNext w:val="0"/>
              <w:keepLines w:val="0"/>
              <w:pageBreakBefore w:val="0"/>
              <w:widowControl/>
              <w:kinsoku/>
              <w:wordWrap/>
              <w:overflowPunct/>
              <w:topLinePunct w:val="0"/>
              <w:bidi w:val="0"/>
              <w:adjustRightInd w:val="0"/>
              <w:spacing w:after="0" w:afterLines="0" w:line="440" w:lineRule="exact"/>
              <w:ind w:firstLine="0" w:firstLineChars="0"/>
              <w:jc w:val="both"/>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拥有全国</w:t>
            </w:r>
            <w:r>
              <w:rPr>
                <w:rFonts w:hint="eastAsia" w:asciiTheme="minorEastAsia" w:hAnsiTheme="minorEastAsia" w:eastAsiaTheme="minorEastAsia" w:cstheme="minorEastAsia"/>
                <w:color w:val="auto"/>
                <w:sz w:val="24"/>
                <w:szCs w:val="24"/>
                <w:highlight w:val="none"/>
                <w:lang w:val="en-US" w:eastAsia="zh-CN"/>
              </w:rPr>
              <w:t>金牌</w:t>
            </w:r>
            <w:r>
              <w:rPr>
                <w:rFonts w:hint="eastAsia" w:asciiTheme="minorEastAsia" w:hAnsiTheme="minorEastAsia" w:eastAsiaTheme="minorEastAsia" w:cstheme="minorEastAsia"/>
                <w:color w:val="auto"/>
                <w:sz w:val="24"/>
                <w:szCs w:val="24"/>
                <w:highlight w:val="none"/>
              </w:rPr>
              <w:t>导游员或高级导游员得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/人</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满分3分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拥有中级导游员或杭州市金牌得</w:t>
            </w:r>
            <w:r>
              <w:rPr>
                <w:rFonts w:hint="eastAsia" w:asciiTheme="minorEastAsia" w:hAnsiTheme="minorEastAsia" w:eastAsiaTheme="minorEastAsia" w:cstheme="minorEastAsia"/>
                <w:color w:val="auto"/>
                <w:sz w:val="24"/>
                <w:szCs w:val="24"/>
                <w:highlight w:val="none"/>
                <w:lang w:val="en-US" w:eastAsia="zh-CN"/>
              </w:rPr>
              <w:t>0.5分/人（满分1）</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拥有区县级金牌得</w:t>
            </w:r>
            <w:r>
              <w:rPr>
                <w:rFonts w:hint="eastAsia" w:asciiTheme="minorEastAsia" w:hAnsiTheme="minorEastAsia" w:eastAsiaTheme="minorEastAsia" w:cstheme="minorEastAsia"/>
                <w:color w:val="auto"/>
                <w:sz w:val="24"/>
                <w:szCs w:val="24"/>
                <w:highlight w:val="none"/>
                <w:lang w:val="en-US" w:eastAsia="zh-CN"/>
              </w:rPr>
              <w:t>0.5分/人（满分1）</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满分5分</w:t>
            </w:r>
          </w:p>
          <w:p w14:paraId="20F4BCF3">
            <w:pPr>
              <w:pStyle w:val="404"/>
              <w:keepNext w:val="0"/>
              <w:keepLines w:val="0"/>
              <w:pageBreakBefore w:val="0"/>
              <w:widowControl/>
              <w:kinsoku/>
              <w:wordWrap/>
              <w:overflowPunct/>
              <w:topLinePunct w:val="0"/>
              <w:bidi w:val="0"/>
              <w:adjustRightInd w:val="0"/>
              <w:spacing w:after="0" w:afterLines="0" w:line="440" w:lineRule="exact"/>
              <w:ind w:firstLine="0" w:firstLineChars="0"/>
              <w:jc w:val="both"/>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2、导游人员持有有效期内《救护证书》，每持有1人得0.5分，满分2分</w:t>
            </w:r>
          </w:p>
          <w:p w14:paraId="03B6AC48">
            <w:pPr>
              <w:pStyle w:val="404"/>
              <w:keepNext w:val="0"/>
              <w:keepLines w:val="0"/>
              <w:pageBreakBefore w:val="0"/>
              <w:widowControl/>
              <w:kinsoku/>
              <w:wordWrap/>
              <w:overflowPunct/>
              <w:topLinePunct w:val="0"/>
              <w:bidi w:val="0"/>
              <w:adjustRightInd w:val="0"/>
              <w:spacing w:afterLines="0" w:line="440" w:lineRule="exact"/>
              <w:ind w:firstLine="0" w:firstLineChars="0"/>
              <w:textAlignment w:val="auto"/>
              <w:rPr>
                <w:rFonts w:hint="eastAsia" w:asciiTheme="minorEastAsia" w:hAnsiTheme="minorEastAsia" w:eastAsiaTheme="minorEastAsia" w:cstheme="minorEastAsia"/>
                <w:color w:val="auto"/>
                <w:kern w:val="0"/>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rPr>
              <w:t>（响应文件中提供</w:t>
            </w:r>
            <w:r>
              <w:rPr>
                <w:rFonts w:hint="eastAsia" w:asciiTheme="minorEastAsia" w:hAnsiTheme="minorEastAsia" w:eastAsiaTheme="minorEastAsia" w:cstheme="minorEastAsia"/>
                <w:color w:val="auto"/>
                <w:sz w:val="24"/>
                <w:szCs w:val="24"/>
                <w:highlight w:val="none"/>
                <w:lang w:val="en-US" w:eastAsia="zh-CN"/>
              </w:rPr>
              <w:t>交易会</w:t>
            </w:r>
            <w:r>
              <w:rPr>
                <w:rFonts w:hint="eastAsia" w:asciiTheme="minorEastAsia" w:hAnsiTheme="minorEastAsia" w:eastAsiaTheme="minorEastAsia" w:cstheme="minorEastAsia"/>
                <w:color w:val="auto"/>
                <w:sz w:val="24"/>
                <w:szCs w:val="24"/>
                <w:highlight w:val="none"/>
              </w:rPr>
              <w:t>截止前3个月在本单位在职社保证明、导游证及导游等级</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救护</w:t>
            </w:r>
            <w:r>
              <w:rPr>
                <w:rFonts w:hint="eastAsia" w:asciiTheme="minorEastAsia" w:hAnsiTheme="minorEastAsia" w:eastAsiaTheme="minorEastAsia" w:cstheme="minorEastAsia"/>
                <w:color w:val="auto"/>
                <w:sz w:val="24"/>
                <w:szCs w:val="24"/>
                <w:highlight w:val="none"/>
              </w:rPr>
              <w:t>证书复印件、提供全国旅游监管服务平台——旅行社导游信息库中本单位导游信息【202</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月份信息】）</w:t>
            </w:r>
          </w:p>
        </w:tc>
        <w:tc>
          <w:tcPr>
            <w:tcW w:w="930" w:type="dxa"/>
            <w:noWrap w:val="0"/>
            <w:vAlign w:val="center"/>
          </w:tcPr>
          <w:p w14:paraId="6A4069F1">
            <w:pPr>
              <w:keepNext w:val="0"/>
              <w:keepLines w:val="0"/>
              <w:pageBreakBefore w:val="0"/>
              <w:widowControl/>
              <w:kinsoku/>
              <w:wordWrap/>
              <w:overflowPunct/>
              <w:topLinePunct w:val="0"/>
              <w:autoSpaceDE w:val="0"/>
              <w:autoSpaceDN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0-</w:t>
            </w: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分</w:t>
            </w:r>
          </w:p>
        </w:tc>
        <w:tc>
          <w:tcPr>
            <w:tcW w:w="992" w:type="dxa"/>
            <w:noWrap w:val="0"/>
            <w:vAlign w:val="center"/>
          </w:tcPr>
          <w:p w14:paraId="7F76DA6F">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shd w:val="clear" w:color="FFFFFF" w:fill="D9D9D9"/>
                <w:lang w:val="en-US" w:eastAsia="zh-CN" w:bidi="ar-SA"/>
              </w:rPr>
            </w:pPr>
            <w:r>
              <w:rPr>
                <w:rFonts w:hint="eastAsia" w:asciiTheme="minorEastAsia" w:hAnsiTheme="minorEastAsia" w:eastAsiaTheme="minorEastAsia" w:cstheme="minorEastAsia"/>
                <w:color w:val="auto"/>
                <w:sz w:val="24"/>
                <w:szCs w:val="24"/>
                <w:highlight w:val="none"/>
              </w:rPr>
              <w:t>客观分</w:t>
            </w:r>
          </w:p>
        </w:tc>
      </w:tr>
      <w:tr w14:paraId="20C4A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1" w:hRule="atLeast"/>
          <w:jc w:val="center"/>
        </w:trPr>
        <w:tc>
          <w:tcPr>
            <w:tcW w:w="911" w:type="dxa"/>
            <w:vMerge w:val="continue"/>
            <w:noWrap w:val="0"/>
            <w:vAlign w:val="center"/>
          </w:tcPr>
          <w:p w14:paraId="1B589ACF">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sz w:val="24"/>
                <w:szCs w:val="24"/>
                <w:highlight w:val="none"/>
              </w:rPr>
            </w:pPr>
          </w:p>
        </w:tc>
        <w:tc>
          <w:tcPr>
            <w:tcW w:w="791" w:type="dxa"/>
            <w:noWrap w:val="0"/>
            <w:vAlign w:val="center"/>
          </w:tcPr>
          <w:p w14:paraId="178D1B77">
            <w:pPr>
              <w:keepNext w:val="0"/>
              <w:keepLines w:val="0"/>
              <w:pageBreakBefore w:val="0"/>
              <w:widowControl/>
              <w:kinsoku/>
              <w:wordWrap/>
              <w:overflowPunct/>
              <w:topLinePunct w:val="0"/>
              <w:bidi w:val="0"/>
              <w:adjustRightInd w:val="0"/>
              <w:spacing w:after="0" w:line="440" w:lineRule="exact"/>
              <w:jc w:val="center"/>
              <w:textAlignment w:val="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18</w:t>
            </w:r>
          </w:p>
        </w:tc>
        <w:tc>
          <w:tcPr>
            <w:tcW w:w="5710" w:type="dxa"/>
            <w:noWrap w:val="0"/>
            <w:vAlign w:val="center"/>
          </w:tcPr>
          <w:p w14:paraId="55964486">
            <w:pPr>
              <w:keepNext w:val="0"/>
              <w:keepLines w:val="0"/>
              <w:pageBreakBefore w:val="0"/>
              <w:widowControl/>
              <w:kinsoku/>
              <w:wordWrap/>
              <w:overflowPunct/>
              <w:topLinePunct w:val="0"/>
              <w:bidi w:val="0"/>
              <w:adjustRightInd w:val="0"/>
              <w:spacing w:after="0" w:line="440" w:lineRule="exact"/>
              <w:textAlignment w:val="auto"/>
              <w:rPr>
                <w:rFonts w:hint="eastAsia" w:asciiTheme="minorEastAsia" w:hAnsiTheme="minorEastAsia" w:eastAsiaTheme="minorEastAsia" w:cstheme="minorEastAsia"/>
                <w:color w:val="auto"/>
                <w:kern w:val="2"/>
                <w:sz w:val="24"/>
                <w:szCs w:val="24"/>
                <w:highlight w:val="none"/>
                <w:lang w:val="zh-CN" w:eastAsia="zh-CN" w:bidi="ar-SA"/>
              </w:rPr>
            </w:pPr>
            <w:r>
              <w:rPr>
                <w:rFonts w:hint="eastAsia" w:asciiTheme="minorEastAsia" w:hAnsiTheme="minorEastAsia" w:eastAsiaTheme="minorEastAsia" w:cstheme="minorEastAsia"/>
                <w:color w:val="auto"/>
                <w:sz w:val="24"/>
                <w:szCs w:val="24"/>
                <w:highlight w:val="none"/>
              </w:rPr>
              <w:t>每次事故累计责任限额2000万元及以上且每人责任限额150万/人及以上得4分；每次事故累计责任限额2000万（不含）-1000万元（含）且每人责任限额150万及以上得3分；每次事故累计责任限额1000万（不含）-500万元（含）且每人责任限额100万元及以上得2分；其他得1分。（响应文件中提供保单复印件，加盖公章。）</w:t>
            </w:r>
          </w:p>
        </w:tc>
        <w:tc>
          <w:tcPr>
            <w:tcW w:w="930" w:type="dxa"/>
            <w:noWrap w:val="0"/>
            <w:vAlign w:val="center"/>
          </w:tcPr>
          <w:p w14:paraId="1838F2D1">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0-4分</w:t>
            </w:r>
          </w:p>
        </w:tc>
        <w:tc>
          <w:tcPr>
            <w:tcW w:w="992" w:type="dxa"/>
            <w:noWrap w:val="0"/>
            <w:vAlign w:val="center"/>
          </w:tcPr>
          <w:p w14:paraId="4EE371DE">
            <w:pPr>
              <w:keepNext w:val="0"/>
              <w:keepLines w:val="0"/>
              <w:pageBreakBefore w:val="0"/>
              <w:widowControl/>
              <w:kinsoku/>
              <w:wordWrap/>
              <w:overflowPunct/>
              <w:topLinePunct w:val="0"/>
              <w:bidi w:val="0"/>
              <w:adjustRightInd w:val="0"/>
              <w:spacing w:after="0" w:line="440" w:lineRule="exact"/>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客观分</w:t>
            </w:r>
          </w:p>
        </w:tc>
      </w:tr>
    </w:tbl>
    <w:p w14:paraId="6BFD2023">
      <w:pPr>
        <w:pStyle w:val="63"/>
        <w:ind w:left="0" w:leftChars="0" w:firstLine="0" w:firstLineChars="0"/>
        <w:rPr>
          <w:rFonts w:hint="eastAsia"/>
          <w:color w:val="auto"/>
          <w:highlight w:val="none"/>
        </w:rPr>
      </w:pPr>
    </w:p>
    <w:p w14:paraId="5C3267F1">
      <w:pPr>
        <w:widowControl/>
        <w:spacing w:line="360" w:lineRule="auto"/>
        <w:rPr>
          <w:rFonts w:hint="eastAsia" w:ascii="宋体" w:hAnsi="宋体" w:eastAsia="宋体" w:cs="宋体"/>
          <w:b w:val="0"/>
          <w:bCs w:val="0"/>
          <w:color w:val="auto"/>
          <w:sz w:val="24"/>
          <w:highlight w:val="none"/>
          <w:lang w:val="en-US" w:eastAsia="zh-CN"/>
        </w:rPr>
      </w:pPr>
      <w:r>
        <w:rPr>
          <w:rFonts w:hint="eastAsia" w:ascii="宋体" w:hAnsi="宋体" w:eastAsia="宋体" w:cs="宋体"/>
          <w:b/>
          <w:color w:val="auto"/>
          <w:sz w:val="24"/>
          <w:highlight w:val="none"/>
        </w:rPr>
        <w:t>备注：</w:t>
      </w:r>
      <w:r>
        <w:rPr>
          <w:rFonts w:hint="eastAsia" w:ascii="宋体" w:hAnsi="宋体" w:eastAsia="宋体" w:cs="宋体"/>
          <w:b w:val="0"/>
          <w:bCs w:val="0"/>
          <w:color w:val="auto"/>
          <w:sz w:val="24"/>
          <w:highlight w:val="none"/>
          <w:lang w:val="en-US" w:eastAsia="zh-CN"/>
        </w:rPr>
        <w:t>1、评分条款中涉及的业绩、荣誉、人员、社保等分公司均有效。</w:t>
      </w:r>
    </w:p>
    <w:p w14:paraId="06120F3D">
      <w:pPr>
        <w:widowControl/>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cs="宋体"/>
          <w:color w:val="auto"/>
          <w:sz w:val="24"/>
          <w:highlight w:val="none"/>
          <w:lang w:val="en-US" w:eastAsia="zh-CN"/>
        </w:rPr>
        <w:t>响应</w:t>
      </w:r>
      <w:r>
        <w:rPr>
          <w:rFonts w:hint="eastAsia" w:ascii="宋体" w:hAnsi="宋体" w:eastAsia="宋体" w:cs="宋体"/>
          <w:color w:val="auto"/>
          <w:sz w:val="24"/>
          <w:highlight w:val="none"/>
        </w:rPr>
        <w:t>文件中如附有外文资料，必须逐一对应翻译成中文并加盖</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公章后附在相关外文资料后面，否则外文资料不予认可。翻译的中文资料与外文资料不符的，均不予认可。翻译严重错误的，将视同提供虚假资料。</w:t>
      </w:r>
    </w:p>
    <w:p w14:paraId="740747B0">
      <w:pPr>
        <w:widowControl/>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cs="宋体"/>
          <w:color w:val="auto"/>
          <w:sz w:val="24"/>
          <w:highlight w:val="none"/>
          <w:lang w:eastAsia="zh-CN"/>
        </w:rPr>
        <w:t>供应商</w:t>
      </w:r>
      <w:r>
        <w:rPr>
          <w:rFonts w:hint="eastAsia" w:ascii="宋体" w:hAnsi="宋体" w:eastAsia="宋体" w:cs="宋体"/>
          <w:color w:val="auto"/>
          <w:sz w:val="24"/>
          <w:highlight w:val="none"/>
        </w:rPr>
        <w:t>编制</w:t>
      </w:r>
      <w:r>
        <w:rPr>
          <w:rFonts w:hint="eastAsia" w:ascii="宋体" w:hAnsi="宋体" w:cs="宋体"/>
          <w:color w:val="auto"/>
          <w:sz w:val="24"/>
          <w:highlight w:val="none"/>
          <w:lang w:eastAsia="zh-CN"/>
        </w:rPr>
        <w:t>响应</w:t>
      </w:r>
      <w:r>
        <w:rPr>
          <w:rFonts w:hint="eastAsia" w:ascii="宋体" w:hAnsi="宋体" w:eastAsia="宋体" w:cs="宋体"/>
          <w:color w:val="auto"/>
          <w:sz w:val="24"/>
          <w:highlight w:val="none"/>
        </w:rPr>
        <w:t>文件（商务技术文件部分）时，建议按此目录（序号和内容）提供评标标准相应的商务技术资料。 </w:t>
      </w:r>
    </w:p>
    <w:p w14:paraId="45B9050C">
      <w:pPr>
        <w:widowControl/>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rPr>
        <w:t>价格分（</w:t>
      </w:r>
      <w:r>
        <w:rPr>
          <w:rFonts w:hint="eastAsia" w:ascii="宋体" w:hAnsi="宋体" w:cs="宋体"/>
          <w:b/>
          <w:bCs/>
          <w:color w:val="auto"/>
          <w:sz w:val="24"/>
          <w:highlight w:val="none"/>
          <w:lang w:val="en-US" w:eastAsia="zh-CN"/>
        </w:rPr>
        <w:t>20</w:t>
      </w:r>
      <w:r>
        <w:rPr>
          <w:rFonts w:hint="eastAsia" w:ascii="宋体" w:hAnsi="宋体" w:eastAsia="宋体" w:cs="宋体"/>
          <w:b/>
          <w:bCs/>
          <w:color w:val="auto"/>
          <w:sz w:val="24"/>
          <w:highlight w:val="none"/>
        </w:rPr>
        <w:t>分）</w:t>
      </w:r>
    </w:p>
    <w:tbl>
      <w:tblPr>
        <w:tblStyle w:val="64"/>
        <w:tblW w:w="83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4"/>
        <w:gridCol w:w="6236"/>
      </w:tblGrid>
      <w:tr w14:paraId="087B3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094" w:type="dxa"/>
            <w:tcBorders>
              <w:top w:val="single" w:color="auto" w:sz="4" w:space="0"/>
              <w:left w:val="single" w:color="auto" w:sz="4" w:space="0"/>
              <w:bottom w:val="single" w:color="auto" w:sz="4" w:space="0"/>
              <w:right w:val="single" w:color="auto" w:sz="4" w:space="0"/>
            </w:tcBorders>
            <w:noWrap/>
            <w:vAlign w:val="center"/>
          </w:tcPr>
          <w:p w14:paraId="12F27B5A">
            <w:pPr>
              <w:widowControl/>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价格权值</w:t>
            </w:r>
          </w:p>
        </w:tc>
        <w:tc>
          <w:tcPr>
            <w:tcW w:w="6236" w:type="dxa"/>
            <w:tcBorders>
              <w:top w:val="single" w:color="auto" w:sz="4" w:space="0"/>
              <w:left w:val="single" w:color="auto" w:sz="4" w:space="0"/>
              <w:bottom w:val="single" w:color="auto" w:sz="4" w:space="0"/>
              <w:right w:val="single" w:color="auto" w:sz="4" w:space="0"/>
            </w:tcBorders>
            <w:noWrap/>
            <w:vAlign w:val="center"/>
          </w:tcPr>
          <w:p w14:paraId="0FB3CD86">
            <w:pPr>
              <w:widowControl/>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计算方法</w:t>
            </w:r>
          </w:p>
        </w:tc>
      </w:tr>
      <w:tr w14:paraId="05A4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2094" w:type="dxa"/>
            <w:tcBorders>
              <w:top w:val="single" w:color="auto" w:sz="4" w:space="0"/>
              <w:left w:val="single" w:color="auto" w:sz="4" w:space="0"/>
              <w:bottom w:val="single" w:color="auto" w:sz="4" w:space="0"/>
              <w:right w:val="single" w:color="auto" w:sz="4" w:space="0"/>
            </w:tcBorders>
            <w:noWrap/>
            <w:vAlign w:val="center"/>
          </w:tcPr>
          <w:p w14:paraId="1BFB070C">
            <w:pPr>
              <w:widowControl/>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线路一至线路六</w:t>
            </w:r>
          </w:p>
          <w:p w14:paraId="14FD0249">
            <w:pPr>
              <w:widowControl/>
              <w:jc w:val="center"/>
              <w:rPr>
                <w:rFonts w:hint="eastAsia"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color w:val="auto"/>
                <w:sz w:val="24"/>
                <w:highlight w:val="none"/>
              </w:rPr>
              <w:t>价格权值=0.</w:t>
            </w:r>
            <w:r>
              <w:rPr>
                <w:rFonts w:hint="eastAsia" w:asciiTheme="minorEastAsia" w:hAnsiTheme="minorEastAsia" w:eastAsiaTheme="minorEastAsia" w:cstheme="minorEastAsia"/>
                <w:color w:val="auto"/>
                <w:sz w:val="24"/>
                <w:highlight w:val="none"/>
                <w:lang w:val="en-US" w:eastAsia="zh-CN"/>
              </w:rPr>
              <w:t>08</w:t>
            </w:r>
          </w:p>
        </w:tc>
        <w:tc>
          <w:tcPr>
            <w:tcW w:w="6236" w:type="dxa"/>
            <w:tcBorders>
              <w:top w:val="single" w:color="auto" w:sz="4" w:space="0"/>
              <w:left w:val="single" w:color="auto" w:sz="4" w:space="0"/>
              <w:bottom w:val="single" w:color="auto" w:sz="4" w:space="0"/>
              <w:right w:val="single" w:color="auto" w:sz="4" w:space="0"/>
            </w:tcBorders>
            <w:noWrap/>
            <w:vAlign w:val="center"/>
          </w:tcPr>
          <w:p w14:paraId="1B8A8D6C">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最低有效投标价格为评标基准价</w:t>
            </w:r>
          </w:p>
          <w:p w14:paraId="6ACE6911">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投标报价得分=(评标基准价／投标报价)×</w:t>
            </w:r>
            <w:r>
              <w:rPr>
                <w:rFonts w:hint="eastAsia" w:asciiTheme="minorEastAsia" w:hAnsiTheme="minorEastAsia" w:eastAsiaTheme="minorEastAsia" w:cstheme="minorEastAsia"/>
                <w:color w:val="auto"/>
                <w:sz w:val="24"/>
                <w:highlight w:val="none"/>
                <w:lang w:val="en-US" w:eastAsia="zh-CN"/>
              </w:rPr>
              <w:t>0.08</w:t>
            </w:r>
            <w:r>
              <w:rPr>
                <w:rFonts w:hint="eastAsia" w:asciiTheme="minorEastAsia" w:hAnsiTheme="minorEastAsia" w:eastAsiaTheme="minorEastAsia" w:cstheme="minorEastAsia"/>
                <w:color w:val="auto"/>
                <w:sz w:val="24"/>
                <w:highlight w:val="none"/>
              </w:rPr>
              <w:t xml:space="preserve">×100 </w:t>
            </w:r>
          </w:p>
          <w:p w14:paraId="7B43E11C">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（计算得分保留小数点后2位）</w:t>
            </w:r>
          </w:p>
        </w:tc>
      </w:tr>
      <w:tr w14:paraId="163586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2094" w:type="dxa"/>
            <w:tcBorders>
              <w:top w:val="single" w:color="auto" w:sz="4" w:space="0"/>
              <w:left w:val="single" w:color="auto" w:sz="4" w:space="0"/>
              <w:bottom w:val="single" w:color="auto" w:sz="4" w:space="0"/>
              <w:right w:val="single" w:color="auto" w:sz="4" w:space="0"/>
            </w:tcBorders>
            <w:noWrap/>
            <w:vAlign w:val="center"/>
          </w:tcPr>
          <w:p w14:paraId="7C1F5842">
            <w:pPr>
              <w:widowControl/>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线路七至线路</w:t>
            </w:r>
            <w:r>
              <w:rPr>
                <w:rFonts w:hint="eastAsia" w:asciiTheme="minorEastAsia" w:hAnsiTheme="minorEastAsia" w:eastAsiaTheme="minorEastAsia" w:cstheme="minorEastAsia"/>
                <w:color w:val="auto"/>
                <w:sz w:val="24"/>
                <w:highlight w:val="none"/>
                <w:lang w:val="en-US" w:eastAsia="zh-CN"/>
              </w:rPr>
              <w:t>八</w:t>
            </w:r>
          </w:p>
          <w:p w14:paraId="00768502">
            <w:pPr>
              <w:widowControl/>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lang w:eastAsia="zh-CN"/>
              </w:rPr>
              <w:t>价</w:t>
            </w:r>
            <w:r>
              <w:rPr>
                <w:rFonts w:hint="eastAsia" w:asciiTheme="minorEastAsia" w:hAnsiTheme="minorEastAsia" w:eastAsiaTheme="minorEastAsia" w:cstheme="minorEastAsia"/>
                <w:color w:val="auto"/>
                <w:sz w:val="24"/>
                <w:highlight w:val="none"/>
              </w:rPr>
              <w:t>格权值=0.</w:t>
            </w:r>
            <w:r>
              <w:rPr>
                <w:rFonts w:hint="eastAsia" w:asciiTheme="minorEastAsia" w:hAnsiTheme="minorEastAsia" w:eastAsiaTheme="minorEastAsia" w:cstheme="minorEastAsia"/>
                <w:color w:val="auto"/>
                <w:sz w:val="24"/>
                <w:highlight w:val="none"/>
                <w:lang w:val="en-US" w:eastAsia="zh-CN"/>
              </w:rPr>
              <w:t>02</w:t>
            </w:r>
          </w:p>
        </w:tc>
        <w:tc>
          <w:tcPr>
            <w:tcW w:w="6236" w:type="dxa"/>
            <w:tcBorders>
              <w:top w:val="single" w:color="auto" w:sz="4" w:space="0"/>
              <w:left w:val="single" w:color="auto" w:sz="4" w:space="0"/>
              <w:bottom w:val="single" w:color="auto" w:sz="4" w:space="0"/>
              <w:right w:val="single" w:color="auto" w:sz="4" w:space="0"/>
            </w:tcBorders>
            <w:noWrap/>
            <w:vAlign w:val="center"/>
          </w:tcPr>
          <w:p w14:paraId="5B2C663E">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最低有效投标价格为评标基准价</w:t>
            </w:r>
          </w:p>
          <w:p w14:paraId="7AB8E9E7">
            <w:pPr>
              <w:widowControl/>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投标报价得分=(评标基准价／投标报价)×</w:t>
            </w:r>
            <w:r>
              <w:rPr>
                <w:rFonts w:hint="eastAsia" w:asciiTheme="minorEastAsia" w:hAnsiTheme="minorEastAsia" w:eastAsiaTheme="minorEastAsia" w:cstheme="minorEastAsia"/>
                <w:color w:val="auto"/>
                <w:sz w:val="24"/>
                <w:highlight w:val="none"/>
                <w:lang w:val="en-US" w:eastAsia="zh-CN"/>
              </w:rPr>
              <w:t>0.02</w:t>
            </w:r>
            <w:r>
              <w:rPr>
                <w:rFonts w:hint="eastAsia" w:asciiTheme="minorEastAsia" w:hAnsiTheme="minorEastAsia" w:eastAsiaTheme="minorEastAsia" w:cstheme="minorEastAsia"/>
                <w:color w:val="auto"/>
                <w:sz w:val="24"/>
                <w:highlight w:val="none"/>
              </w:rPr>
              <w:t xml:space="preserve">×100 </w:t>
            </w:r>
          </w:p>
          <w:p w14:paraId="01D3B89E">
            <w:pPr>
              <w:widowControl/>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（计算得分保留小数点后2位）</w:t>
            </w:r>
          </w:p>
        </w:tc>
      </w:tr>
    </w:tbl>
    <w:p w14:paraId="44E4B33F">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br w:type="column"/>
      </w:r>
      <w:r>
        <w:rPr>
          <w:rFonts w:hint="eastAsia" w:asciiTheme="minorEastAsia" w:hAnsiTheme="minorEastAsia" w:eastAsiaTheme="minorEastAsia" w:cstheme="minorEastAsia"/>
          <w:b/>
          <w:color w:val="auto"/>
          <w:sz w:val="28"/>
          <w:szCs w:val="28"/>
          <w:highlight w:val="none"/>
        </w:rPr>
        <w:t>一、交易方法</w:t>
      </w:r>
    </w:p>
    <w:p w14:paraId="7A9F60B1">
      <w:pPr>
        <w:adjustRightInd/>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1.本项目采用综合评估法。</w:t>
      </w:r>
      <w:r>
        <w:rPr>
          <w:rFonts w:hint="eastAsia" w:asciiTheme="minorEastAsia" w:hAnsiTheme="minorEastAsia" w:eastAsiaTheme="minorEastAsia" w:cstheme="minorEastAsia"/>
          <w:color w:val="auto"/>
          <w:kern w:val="0"/>
          <w:sz w:val="24"/>
          <w:highlight w:val="none"/>
        </w:rPr>
        <w:t>综合评估法，是指响应文件满足公开竞争文件全部实质性要求，且按照评审因素的量化指标评审得分最高的响应人为成交候选人的评标方法。</w:t>
      </w:r>
    </w:p>
    <w:p w14:paraId="1FE56830">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二、交易标准</w:t>
      </w:r>
    </w:p>
    <w:p w14:paraId="3B46537A">
      <w:pPr>
        <w:spacing w:line="570" w:lineRule="exact"/>
        <w:ind w:firstLine="472" w:firstLineChars="196"/>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2.评标标准：</w:t>
      </w:r>
      <w:r>
        <w:rPr>
          <w:rFonts w:hint="eastAsia" w:asciiTheme="minorEastAsia" w:hAnsiTheme="minorEastAsia" w:eastAsiaTheme="minorEastAsia" w:cstheme="minorEastAsia"/>
          <w:color w:val="auto"/>
          <w:kern w:val="0"/>
          <w:sz w:val="24"/>
          <w:highlight w:val="none"/>
        </w:rPr>
        <w:t>见交易办法前附表。</w:t>
      </w:r>
    </w:p>
    <w:p w14:paraId="6B42A9AF">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三、交易程序</w:t>
      </w:r>
    </w:p>
    <w:bookmarkEnd w:id="15"/>
    <w:p w14:paraId="538020DB">
      <w:pPr>
        <w:spacing w:line="570" w:lineRule="exact"/>
        <w:ind w:firstLine="472" w:firstLineChars="196"/>
        <w:rPr>
          <w:rFonts w:hint="eastAsia" w:asciiTheme="minorEastAsia" w:hAnsiTheme="minorEastAsia" w:eastAsiaTheme="minorEastAsia" w:cstheme="minorEastAsia"/>
          <w:color w:val="auto"/>
          <w:kern w:val="0"/>
          <w:sz w:val="24"/>
          <w:highlight w:val="none"/>
        </w:rPr>
      </w:pPr>
      <w:bookmarkStart w:id="382" w:name="_Toc86217003"/>
      <w:bookmarkStart w:id="383" w:name="第五部分"/>
      <w:r>
        <w:rPr>
          <w:rFonts w:hint="eastAsia" w:asciiTheme="minorEastAsia" w:hAnsiTheme="minorEastAsia" w:eastAsiaTheme="minorEastAsia" w:cstheme="minorEastAsia"/>
          <w:b/>
          <w:color w:val="auto"/>
          <w:kern w:val="0"/>
          <w:sz w:val="24"/>
          <w:highlight w:val="none"/>
        </w:rPr>
        <w:t>3.1符合性审查。</w:t>
      </w:r>
      <w:r>
        <w:rPr>
          <w:rFonts w:hint="eastAsia" w:asciiTheme="minorEastAsia" w:hAnsiTheme="minorEastAsia" w:eastAsiaTheme="minorEastAsia" w:cstheme="minorEastAsia"/>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14:paraId="5273B04C">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3.2比较与评价。</w:t>
      </w:r>
      <w:r>
        <w:rPr>
          <w:rFonts w:hint="eastAsia" w:asciiTheme="minorEastAsia" w:hAnsiTheme="minorEastAsia" w:eastAsiaTheme="minorEastAsia" w:cstheme="minorEastAsia"/>
          <w:color w:val="auto"/>
          <w:kern w:val="0"/>
          <w:sz w:val="24"/>
          <w:highlight w:val="none"/>
        </w:rPr>
        <w:t>评审委员会应当按照公开竞争文件中规定的评标方法和标准，对符合性审查合格的响应文件进行商务和技术评估，综合比较与评价。</w:t>
      </w:r>
    </w:p>
    <w:p w14:paraId="3B8AE9D2">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3.3汇总商务技术得分。</w:t>
      </w:r>
      <w:r>
        <w:rPr>
          <w:rFonts w:hint="eastAsia" w:asciiTheme="minorEastAsia" w:hAnsiTheme="minorEastAsia" w:eastAsiaTheme="minorEastAsia" w:cstheme="minorEastAsia"/>
          <w:color w:val="auto"/>
          <w:kern w:val="0"/>
          <w:sz w:val="24"/>
          <w:highlight w:val="none"/>
        </w:rPr>
        <w:t>评审委员会各成员应当独立对每个响应人的商务和技术文件进行评价，并汇总商务技术得分情况。</w:t>
      </w:r>
    </w:p>
    <w:p w14:paraId="501AD46E">
      <w:pPr>
        <w:spacing w:line="570" w:lineRule="exact"/>
        <w:ind w:firstLine="472" w:firstLineChars="196"/>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3.4报价评审。</w:t>
      </w:r>
    </w:p>
    <w:p w14:paraId="004C2C61">
      <w:pPr>
        <w:pStyle w:val="139"/>
        <w:spacing w:before="0" w:line="570" w:lineRule="exact"/>
        <w:ind w:firstLine="508" w:firstLineChars="212"/>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3.4.1响应文件报价出现前后不一致的，按照下列规定修正：</w:t>
      </w:r>
    </w:p>
    <w:p w14:paraId="0A93BEB0">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3.4.1.1响应文件中交易一览表(报价表)内容与响应文件中相应内容不一致的，以交易一览表(报价表)为准；</w:t>
      </w:r>
    </w:p>
    <w:p w14:paraId="739DA203">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3.4.1.2大写金额和小写金额不一致的，以大写金额为准；</w:t>
      </w:r>
    </w:p>
    <w:p w14:paraId="54EC1694">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3.4.1.3单价金额小数点或者百分比有明显错位的，以交易一览表的总价为准，并修改单价；</w:t>
      </w:r>
    </w:p>
    <w:p w14:paraId="401C9005">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3.4.1.4总价金额与按单价汇总金额不一致的，以单价金额计算结果为准；</w:t>
      </w:r>
    </w:p>
    <w:p w14:paraId="2CC12FA2">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3.4.1.5同时出现两种以上不一致的，按照3.4.1规定的顺序修正。</w:t>
      </w:r>
    </w:p>
    <w:p w14:paraId="71BDF4C5">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3.4.2响应文件出现不是唯一的、有选择性交易报价的，交易无效。</w:t>
      </w:r>
    </w:p>
    <w:p w14:paraId="51AEE734">
      <w:pPr>
        <w:snapToGrid w:val="0"/>
        <w:spacing w:line="570" w:lineRule="exact"/>
        <w:ind w:firstLine="480" w:firstLineChars="20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3.4.3交易报价超过公开竞争文件中规定的预算金额或者最高限价的，交易无效。</w:t>
      </w:r>
    </w:p>
    <w:p w14:paraId="5E1F6334">
      <w:pPr>
        <w:pStyle w:val="139"/>
        <w:spacing w:before="0" w:line="57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05229EBE">
      <w:pPr>
        <w:spacing w:line="570" w:lineRule="exact"/>
        <w:ind w:firstLine="482"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3.5排序与推荐。</w:t>
      </w:r>
      <w:r>
        <w:rPr>
          <w:rFonts w:hint="eastAsia" w:asciiTheme="minorEastAsia" w:hAnsiTheme="minorEastAsia" w:eastAsiaTheme="minorEastAsia" w:cstheme="minorEastAsia"/>
          <w:color w:val="auto"/>
          <w:kern w:val="0"/>
          <w:sz w:val="24"/>
          <w:highlight w:val="none"/>
        </w:rPr>
        <w:t>采用综合评估法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14:paraId="59D29A8A">
      <w:pPr>
        <w:spacing w:line="570" w:lineRule="exact"/>
        <w:ind w:firstLine="472" w:firstLineChars="19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3.6编写评审报告。</w:t>
      </w:r>
      <w:r>
        <w:rPr>
          <w:rFonts w:hint="eastAsia" w:asciiTheme="minorEastAsia" w:hAnsiTheme="minorEastAsia" w:eastAsiaTheme="minorEastAsia" w:cstheme="minorEastAsia"/>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5F7921A1">
      <w:pPr>
        <w:snapToGrid w:val="0"/>
        <w:spacing w:line="570" w:lineRule="exact"/>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四、评标中的其他事项</w:t>
      </w:r>
    </w:p>
    <w:p w14:paraId="75C3E1DF">
      <w:pPr>
        <w:pStyle w:val="139"/>
        <w:spacing w:before="0" w:line="570" w:lineRule="exact"/>
        <w:ind w:firstLine="472" w:firstLineChars="196"/>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4.1响应人澄清、说明或者补正。</w:t>
      </w:r>
      <w:r>
        <w:rPr>
          <w:rFonts w:hint="eastAsia" w:asciiTheme="minorEastAsia" w:hAnsiTheme="minorEastAsia" w:eastAsiaTheme="minorEastAsia" w:cstheme="minorEastAsia"/>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05D51D7C">
      <w:pPr>
        <w:pStyle w:val="26"/>
        <w:spacing w:line="570" w:lineRule="exact"/>
        <w:ind w:left="954" w:leftChars="226" w:hanging="479" w:firstLineChars="0"/>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kern w:val="0"/>
          <w:highlight w:val="none"/>
        </w:rPr>
        <w:t>4.2交易无效。</w:t>
      </w:r>
      <w:r>
        <w:rPr>
          <w:rFonts w:hint="eastAsia" w:asciiTheme="minorEastAsia" w:hAnsiTheme="minorEastAsia" w:eastAsiaTheme="minorEastAsia" w:cstheme="minorEastAsia"/>
          <w:color w:val="auto"/>
          <w:szCs w:val="21"/>
          <w:highlight w:val="none"/>
        </w:rPr>
        <w:t>有下列情形之一的，交易无效：</w:t>
      </w:r>
    </w:p>
    <w:p w14:paraId="4E57794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4.2.1响应人不具备公开竞争文件中规定的资格要求的（响应人未提供有效的资格文件的，视为响应人不具备公开竞争文件中规定的资格要求）；</w:t>
      </w:r>
    </w:p>
    <w:p w14:paraId="651BA734">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4.2.2响应文件未按照公开竞争文件要求签署、盖章的；</w:t>
      </w:r>
    </w:p>
    <w:p w14:paraId="2FF50C9D">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4.2.3响应文件含有交易发起人不能接受的附加条件的；</w:t>
      </w:r>
    </w:p>
    <w:p w14:paraId="367F1F1A">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4.2.4响应文件中承诺的交易有效期少于公开竞争文件中载明的交易有效期的；</w:t>
      </w:r>
    </w:p>
    <w:p w14:paraId="28995D43">
      <w:pPr>
        <w:snapToGrid w:val="0"/>
        <w:spacing w:line="570" w:lineRule="exact"/>
        <w:ind w:firstLine="120" w:firstLineChars="5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4.2.5响应文件出现不是唯一的、有选择性交易报价的；</w:t>
      </w:r>
    </w:p>
    <w:p w14:paraId="6409F15D">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4.2.6交易报价超过公开竞争文件中规定的预算金额或者最高限价的；</w:t>
      </w:r>
    </w:p>
    <w:p w14:paraId="2E0D2257">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42A56FE7">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4.2.8响应人对根据修正原则修正后的报价不确认的；</w:t>
      </w:r>
    </w:p>
    <w:p w14:paraId="2742C669">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4.2.9响应人提供虚假材料投标的；</w:t>
      </w:r>
    </w:p>
    <w:p w14:paraId="44000FB3">
      <w:pPr>
        <w:spacing w:line="570" w:lineRule="exact"/>
        <w:ind w:firstLine="240" w:firstLineChars="1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4.2.10响应人有恶意串通、妨碍其他响应人的竞争行为、损害交易发起人或者其他响应人的合法权益情形的；</w:t>
      </w:r>
    </w:p>
    <w:p w14:paraId="5E1A638C">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4.2.11响应人未在电子交易平台传输递交响应文件的，交易无效；</w:t>
      </w:r>
    </w:p>
    <w:p w14:paraId="4A3B1797">
      <w:pPr>
        <w:pStyle w:val="3"/>
        <w:spacing w:line="570" w:lineRule="exact"/>
        <w:ind w:left="862" w:leftChars="205"/>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kern w:val="0"/>
          <w:sz w:val="24"/>
          <w:szCs w:val="24"/>
          <w:highlight w:val="none"/>
          <w:lang w:val="en-US"/>
        </w:rPr>
        <w:t>4.2.12响应文件不满足公开竞争文件的其它实质性要求的；</w:t>
      </w:r>
    </w:p>
    <w:p w14:paraId="5820F1AE">
      <w:pPr>
        <w:spacing w:line="570" w:lineRule="exact"/>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4.2.13法律、法规、规章（适用本市的）及省级以上规范性文件（适用本市的）规定的其他无效情形。</w:t>
      </w:r>
    </w:p>
    <w:p w14:paraId="49B12D51">
      <w:pPr>
        <w:pStyle w:val="26"/>
        <w:snapToGrid w:val="0"/>
        <w:spacing w:line="570" w:lineRule="exact"/>
        <w:ind w:firstLine="472" w:firstLineChars="196"/>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5.废标。</w:t>
      </w:r>
      <w:r>
        <w:rPr>
          <w:rFonts w:hint="eastAsia" w:asciiTheme="minorEastAsia" w:hAnsiTheme="minorEastAsia" w:eastAsiaTheme="minorEastAsia" w:cstheme="minorEastAsia"/>
          <w:color w:val="auto"/>
          <w:highlight w:val="none"/>
        </w:rPr>
        <w:t>根据《中华人民共和国政府采购法》第三十六条之规定，在交易过程中，出现下列情形之一的，应予废标：</w:t>
      </w:r>
    </w:p>
    <w:p w14:paraId="27725505">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5.1符合专业条件的响应人或者对公开竞争文件作实质响应的响应人不足3家的；</w:t>
      </w:r>
    </w:p>
    <w:p w14:paraId="330A692A">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5.2出现影响采购公正的违法、违规行为的；</w:t>
      </w:r>
    </w:p>
    <w:p w14:paraId="171E89C7">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5.3响应人的报价均超过了采购预算，交易发起人不能支付的；</w:t>
      </w:r>
    </w:p>
    <w:p w14:paraId="76EACF49">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5.4因重大变故，采购任务取消的。</w:t>
      </w:r>
    </w:p>
    <w:p w14:paraId="02991639">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废标后，代理机构应当将废标理由通知所有响应人。</w:t>
      </w:r>
    </w:p>
    <w:p w14:paraId="581EBD66">
      <w:pPr>
        <w:pStyle w:val="26"/>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6.修改公开竞争文件，重新组织交易活动。</w:t>
      </w:r>
      <w:r>
        <w:rPr>
          <w:rFonts w:hint="eastAsia" w:asciiTheme="minorEastAsia" w:hAnsiTheme="minorEastAsia" w:eastAsiaTheme="minorEastAsia" w:cstheme="minorEastAsia"/>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061C03FC">
      <w:pPr>
        <w:pStyle w:val="26"/>
        <w:snapToGrid w:val="0"/>
        <w:spacing w:line="570" w:lineRule="exact"/>
        <w:ind w:firstLine="590" w:firstLineChars="245"/>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7.重新开展交易。</w:t>
      </w:r>
      <w:r>
        <w:rPr>
          <w:rFonts w:hint="eastAsia" w:asciiTheme="minorEastAsia" w:hAnsiTheme="minorEastAsia" w:eastAsiaTheme="minorEastAsia" w:cstheme="minorEastAsia"/>
          <w:color w:val="auto"/>
          <w:highlight w:val="none"/>
        </w:rPr>
        <w:t>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、成交结果的，依照下列规定处理：</w:t>
      </w:r>
    </w:p>
    <w:p w14:paraId="1DF6996C">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7.1未确定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或者成交人的，终止本次交易活动，重新开展交易活动。</w:t>
      </w:r>
    </w:p>
    <w:p w14:paraId="7DC9631D">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7.2已确定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或者成交人但尚未签订合同的，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或者成交结果无效，从合格的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6445442D">
      <w:pPr>
        <w:pStyle w:val="26"/>
        <w:snapToGrid w:val="0"/>
        <w:spacing w:line="570" w:lineRule="exact"/>
        <w:ind w:firstLine="600" w:firstLineChars="25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7.3书面合同已签订但尚未履行的，撤销合同，从合格的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4EF2BFDF">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7.4书面合同已经履行，给交易发起人、响应人造成损失的，由责任人承担赔偿责任。</w:t>
      </w:r>
    </w:p>
    <w:p w14:paraId="22BF6A88">
      <w:pPr>
        <w:pStyle w:val="26"/>
        <w:snapToGrid w:val="0"/>
        <w:spacing w:line="570" w:lineRule="exact"/>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7.5交易当事人有其他违反政府采购法</w:t>
      </w:r>
      <w:r>
        <w:rPr>
          <w:rFonts w:hint="eastAsia" w:asciiTheme="minorEastAsia" w:hAnsiTheme="minorEastAsia" w:eastAsiaTheme="minorEastAsia" w:cstheme="minorEastAsia"/>
          <w:color w:val="auto"/>
          <w:kern w:val="0"/>
          <w:highlight w:val="none"/>
        </w:rPr>
        <w:t>或者政府采购法实施条例等法律法规规定</w:t>
      </w:r>
      <w:r>
        <w:rPr>
          <w:rFonts w:hint="eastAsia" w:asciiTheme="minorEastAsia" w:hAnsiTheme="minorEastAsia" w:eastAsiaTheme="minorEastAsia" w:cstheme="minorEastAsia"/>
          <w:color w:val="auto"/>
          <w:highlight w:val="none"/>
        </w:rPr>
        <w:t>的行为，经改正后仍然影响或者可能影响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、成交结果或者依法被认定为</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、成交无效的，依照7.1-7.4规定处理。</w:t>
      </w:r>
    </w:p>
    <w:p w14:paraId="16949940">
      <w:pPr>
        <w:pStyle w:val="26"/>
        <w:snapToGrid w:val="0"/>
        <w:spacing w:line="360" w:lineRule="auto"/>
        <w:rPr>
          <w:rFonts w:hint="eastAsia" w:asciiTheme="minorEastAsia" w:hAnsiTheme="minorEastAsia" w:eastAsiaTheme="minorEastAsia" w:cstheme="minorEastAsia"/>
          <w:color w:val="auto"/>
          <w:highlight w:val="none"/>
        </w:rPr>
      </w:pPr>
    </w:p>
    <w:p w14:paraId="1FA0CB06">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4892E797">
      <w:pPr>
        <w:numPr>
          <w:ilvl w:val="0"/>
          <w:numId w:val="2"/>
        </w:numPr>
        <w:spacing w:line="360" w:lineRule="auto"/>
        <w:ind w:left="718" w:leftChars="342" w:firstLine="119" w:firstLineChars="33"/>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拟签订的合同文本</w:t>
      </w:r>
    </w:p>
    <w:p w14:paraId="3AC0AAA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合同编号：</w:t>
      </w:r>
    </w:p>
    <w:p w14:paraId="51F4222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签订地点：                                 签订时间：</w:t>
      </w:r>
      <w:r>
        <w:rPr>
          <w:rFonts w:hint="eastAsia" w:asciiTheme="minorEastAsia" w:hAnsiTheme="minorEastAsia" w:eastAsiaTheme="minorEastAsia" w:cstheme="minorEastAsia"/>
          <w:color w:val="auto"/>
          <w:highlight w:val="none"/>
          <w:lang w:val="en-US" w:eastAsia="zh-CN"/>
        </w:rPr>
        <w:t xml:space="preserve">  </w:t>
      </w:r>
      <w:r>
        <w:rPr>
          <w:rFonts w:hint="eastAsia" w:asciiTheme="minorEastAsia" w:hAnsiTheme="minorEastAsia" w:eastAsiaTheme="minorEastAsia" w:cstheme="minorEastAsia"/>
          <w:color w:val="auto"/>
          <w:highlight w:val="none"/>
        </w:rPr>
        <w:t>年  月  日</w:t>
      </w:r>
    </w:p>
    <w:p w14:paraId="7AC97EC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项目名称：</w:t>
      </w:r>
    </w:p>
    <w:p w14:paraId="0CBDB2E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甲方（需方）：                                     </w:t>
      </w:r>
    </w:p>
    <w:p w14:paraId="1306AF1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乙方（供方）：                                     </w:t>
      </w:r>
    </w:p>
    <w:p w14:paraId="4666362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供、需双方根据项目（交易编号  -  -   ）成交结果和公开竞争文件的要求，并经双方协调一致，订立本合同。</w:t>
      </w:r>
    </w:p>
    <w:p w14:paraId="6D7F1C6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一、合同文件：</w:t>
      </w:r>
    </w:p>
    <w:p w14:paraId="365987E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1、合同条款。</w:t>
      </w:r>
    </w:p>
    <w:p w14:paraId="07EF234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2、成交通知书。</w:t>
      </w:r>
    </w:p>
    <w:p w14:paraId="63FDAAE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3、公开竞争文件。</w:t>
      </w:r>
    </w:p>
    <w:p w14:paraId="179D664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4、更正公告。</w:t>
      </w:r>
    </w:p>
    <w:p w14:paraId="4159E20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5、成交单位响应文件。</w:t>
      </w:r>
    </w:p>
    <w:p w14:paraId="3E86892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6、其他。</w:t>
      </w:r>
    </w:p>
    <w:p w14:paraId="7526F10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二、合同金额: 本合同金额为（大写）</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元）人民币。</w:t>
      </w:r>
    </w:p>
    <w:p w14:paraId="1960CD21">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14:paraId="08FBD93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《项目清单内容》</w:t>
      </w:r>
    </w:p>
    <w:tbl>
      <w:tblPr>
        <w:tblStyle w:val="64"/>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5F64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07BFA5D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563A1EA6">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w:t>
            </w:r>
          </w:p>
        </w:tc>
        <w:tc>
          <w:tcPr>
            <w:tcW w:w="1972" w:type="dxa"/>
            <w:tcBorders>
              <w:top w:val="single" w:color="auto" w:sz="4" w:space="0"/>
              <w:left w:val="single" w:color="auto" w:sz="4" w:space="0"/>
              <w:bottom w:val="single" w:color="auto" w:sz="4" w:space="0"/>
              <w:right w:val="single" w:color="auto" w:sz="4" w:space="0"/>
            </w:tcBorders>
            <w:vAlign w:val="center"/>
          </w:tcPr>
          <w:p w14:paraId="367BFB89">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成交内容</w:t>
            </w:r>
          </w:p>
        </w:tc>
        <w:tc>
          <w:tcPr>
            <w:tcW w:w="961" w:type="dxa"/>
            <w:tcBorders>
              <w:top w:val="single" w:color="auto" w:sz="4" w:space="0"/>
              <w:left w:val="single" w:color="auto" w:sz="4" w:space="0"/>
              <w:bottom w:val="single" w:color="auto" w:sz="4" w:space="0"/>
              <w:right w:val="single" w:color="auto" w:sz="4" w:space="0"/>
            </w:tcBorders>
            <w:vAlign w:val="center"/>
          </w:tcPr>
          <w:p w14:paraId="2E8DC413">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5DBD7A31">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成交总价（元）</w:t>
            </w:r>
          </w:p>
        </w:tc>
      </w:tr>
      <w:tr w14:paraId="1D28E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3D6E3752">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637" w:type="dxa"/>
            <w:tcBorders>
              <w:top w:val="single" w:color="auto" w:sz="4" w:space="0"/>
              <w:left w:val="single" w:color="auto" w:sz="4" w:space="0"/>
              <w:bottom w:val="single" w:color="auto" w:sz="4" w:space="0"/>
              <w:right w:val="single" w:color="auto" w:sz="4" w:space="0"/>
            </w:tcBorders>
            <w:vAlign w:val="center"/>
          </w:tcPr>
          <w:p w14:paraId="112B7C6A">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58017998">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4C4A14A0">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35A965E3">
            <w:pPr>
              <w:spacing w:line="360" w:lineRule="auto"/>
              <w:jc w:val="center"/>
              <w:rPr>
                <w:rFonts w:hint="eastAsia" w:asciiTheme="minorEastAsia" w:hAnsiTheme="minorEastAsia" w:eastAsiaTheme="minorEastAsia" w:cstheme="minorEastAsia"/>
                <w:color w:val="auto"/>
                <w:sz w:val="24"/>
                <w:highlight w:val="none"/>
              </w:rPr>
            </w:pPr>
          </w:p>
        </w:tc>
      </w:tr>
      <w:tr w14:paraId="50A69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6D4B8F44">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637" w:type="dxa"/>
            <w:tcBorders>
              <w:top w:val="single" w:color="auto" w:sz="4" w:space="0"/>
              <w:left w:val="single" w:color="auto" w:sz="4" w:space="0"/>
              <w:bottom w:val="single" w:color="auto" w:sz="4" w:space="0"/>
              <w:right w:val="single" w:color="auto" w:sz="4" w:space="0"/>
            </w:tcBorders>
            <w:vAlign w:val="center"/>
          </w:tcPr>
          <w:p w14:paraId="4C6177F8">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1C9ED503">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519C1742">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524447A3">
            <w:pPr>
              <w:spacing w:line="360" w:lineRule="auto"/>
              <w:jc w:val="center"/>
              <w:rPr>
                <w:rFonts w:hint="eastAsia" w:asciiTheme="minorEastAsia" w:hAnsiTheme="minorEastAsia" w:eastAsiaTheme="minorEastAsia" w:cstheme="minorEastAsia"/>
                <w:color w:val="auto"/>
                <w:sz w:val="24"/>
                <w:highlight w:val="none"/>
              </w:rPr>
            </w:pPr>
          </w:p>
        </w:tc>
      </w:tr>
    </w:tbl>
    <w:p w14:paraId="1618A42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三、技术资料</w:t>
      </w:r>
    </w:p>
    <w:p w14:paraId="212C949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1.乙方应按公开竞争文件规定的时间向甲方提供有关技术资料。</w:t>
      </w:r>
    </w:p>
    <w:p w14:paraId="094A1C4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2183D4A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四、转包或分包</w:t>
      </w:r>
    </w:p>
    <w:p w14:paraId="73952751">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1.本合同范围的服务，应由乙方直接提供，乙方不得将本合同范围的服务全部或部分分包给他人供应；</w:t>
      </w:r>
    </w:p>
    <w:p w14:paraId="4948530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2.如有转让和未经甲方同意的分包行为，甲方有权解除合同，追究乙方的违约责任。</w:t>
      </w:r>
    </w:p>
    <w:p w14:paraId="5B10601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五、服务质量保证期</w:t>
      </w:r>
    </w:p>
    <w:p w14:paraId="33CA840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服务时间：</w:t>
      </w:r>
    </w:p>
    <w:p w14:paraId="4117141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六、合同履行时间、履行方式及履行地点</w:t>
      </w:r>
    </w:p>
    <w:p w14:paraId="060DBEA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履行时间：</w:t>
      </w:r>
    </w:p>
    <w:p w14:paraId="51CD48F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履行方式：按合同履行。</w:t>
      </w:r>
    </w:p>
    <w:p w14:paraId="747EE39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 履行地点：甲方指定地点内。</w:t>
      </w:r>
    </w:p>
    <w:p w14:paraId="7972B3B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七、款项支付</w:t>
      </w:r>
    </w:p>
    <w:p w14:paraId="274F0F1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参照交易需求。</w:t>
      </w:r>
    </w:p>
    <w:p w14:paraId="4BBE59C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八、税费</w:t>
      </w:r>
    </w:p>
    <w:p w14:paraId="616730A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本合同执行中相关的一切税费均由乙方负担。</w:t>
      </w:r>
    </w:p>
    <w:p w14:paraId="6E601EE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九、质量保证及后续服务</w:t>
      </w:r>
    </w:p>
    <w:p w14:paraId="4890614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乙方应按公开竞争文件规定向甲方提供服务。</w:t>
      </w:r>
    </w:p>
    <w:p w14:paraId="1D5E228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乙方提供的服务发生问题或产出重大不良影响的，除按招标文件扣除结算金额外，乙方应负责免费提供后续善后服务，同时承担相应责任。</w:t>
      </w:r>
    </w:p>
    <w:p w14:paraId="7650622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十、违约责任</w:t>
      </w:r>
    </w:p>
    <w:p w14:paraId="4122156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1.甲方无正当理由拒绝接收服务的，甲方向乙方偿付合同款项百分之五作为违约金。</w:t>
      </w:r>
    </w:p>
    <w:p w14:paraId="5D54757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2.乙方未能如期提供服务的，每日向甲方支付合同款项的千分之六作为违约金。乙方超过约定日期3个工作日仍不能提供服务的，甲方可解除本合同，追究乙</w:t>
      </w:r>
      <w:r>
        <w:rPr>
          <w:rFonts w:hint="eastAsia" w:asciiTheme="minorEastAsia" w:hAnsiTheme="minorEastAsia" w:eastAsiaTheme="minorEastAsia" w:cstheme="minorEastAsia"/>
          <w:color w:val="auto"/>
          <w:highlight w:val="none"/>
          <w:lang w:val="en-US" w:eastAsia="zh-CN"/>
        </w:rPr>
        <w:t>方</w:t>
      </w:r>
      <w:r>
        <w:rPr>
          <w:rFonts w:hint="eastAsia" w:asciiTheme="minorEastAsia" w:hAnsiTheme="minorEastAsia" w:eastAsiaTheme="minorEastAsia" w:cstheme="minorEastAsia"/>
          <w:color w:val="auto"/>
          <w:highlight w:val="none"/>
        </w:rPr>
        <w:t>赔偿责任。  3.如发现乙方违反公开竞争文件、响应文件和合同的有关规定，甲方有权根据约定和《杭州市政府采购响应人合同履行和售后服务考核暂行办法》，对乙方进行处罚，并有权提前终止合同。</w:t>
      </w:r>
    </w:p>
    <w:p w14:paraId="0D503F9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十一、争议的解决</w:t>
      </w:r>
    </w:p>
    <w:p w14:paraId="6567ABA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因本合同引起的或与本合同有关的任何争议，合同双方应首先通过协商解决，达成书面协议，如协商不成，可选择下列方式解决。</w:t>
      </w:r>
    </w:p>
    <w:p w14:paraId="5698014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1.提请杭州仲裁委员会按照该会仲裁规则进行仲裁，仲裁裁决是终局的，对合同双方均有约束力。</w:t>
      </w:r>
    </w:p>
    <w:p w14:paraId="1E711D3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2.向有管辖权的人民法院提起诉讼。</w:t>
      </w:r>
    </w:p>
    <w:p w14:paraId="465464A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十二、合同生效</w:t>
      </w:r>
    </w:p>
    <w:p w14:paraId="10F0091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1.成交方持成交通知书作为与需方签订合同的凭证。</w:t>
      </w:r>
    </w:p>
    <w:p w14:paraId="0588486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2.本合同经需、供双方法定代表人或其授权委托人签字并加盖单位公章或合同章后生效。</w:t>
      </w:r>
    </w:p>
    <w:p w14:paraId="166FFA64">
      <w:pPr>
        <w:pStyle w:val="26"/>
        <w:snapToGrid w:val="0"/>
        <w:spacing w:line="360" w:lineRule="auto"/>
        <w:rPr>
          <w:rFonts w:hint="eastAsia" w:asciiTheme="minorEastAsia" w:hAnsiTheme="minorEastAsia" w:eastAsiaTheme="minorEastAsia" w:cstheme="minorEastAsia"/>
          <w:color w:val="auto"/>
          <w:highlight w:val="none"/>
        </w:rPr>
      </w:pPr>
    </w:p>
    <w:p w14:paraId="3AFBFB6F">
      <w:pPr>
        <w:pStyle w:val="26"/>
        <w:snapToGrid w:val="0"/>
        <w:spacing w:line="360" w:lineRule="auto"/>
        <w:rPr>
          <w:rFonts w:hint="eastAsia" w:asciiTheme="minorEastAsia" w:hAnsiTheme="minorEastAsia" w:eastAsiaTheme="minorEastAsia" w:cstheme="minorEastAsia"/>
          <w:color w:val="auto"/>
          <w:highlight w:val="none"/>
        </w:rPr>
      </w:pPr>
    </w:p>
    <w:p w14:paraId="5D549A0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需方（盖章）：                     供方（盖章）：</w:t>
      </w:r>
    </w:p>
    <w:p w14:paraId="03EB275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地址：                             地址：</w:t>
      </w:r>
    </w:p>
    <w:p w14:paraId="3090A2B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法定代表人（或委托代理人）签名：   法定代表人（或委托代理人）签名：</w:t>
      </w:r>
    </w:p>
    <w:p w14:paraId="6C1B0EC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联系电话：                         联系电话：</w:t>
      </w:r>
    </w:p>
    <w:p w14:paraId="6F2FDA9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邮政编码：                         邮政编码：</w:t>
      </w:r>
    </w:p>
    <w:p w14:paraId="684504F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开户银行：                         开户银行：      </w:t>
      </w:r>
    </w:p>
    <w:p w14:paraId="654DD9E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eastAsia="zh-CN"/>
        </w:rPr>
        <w:t>账号</w:t>
      </w:r>
      <w:r>
        <w:rPr>
          <w:rFonts w:hint="eastAsia" w:asciiTheme="minorEastAsia" w:hAnsiTheme="minorEastAsia" w:eastAsiaTheme="minorEastAsia" w:cstheme="minorEastAsia"/>
          <w:color w:val="auto"/>
          <w:highlight w:val="none"/>
        </w:rPr>
        <w:t xml:space="preserve">：                             </w:t>
      </w:r>
      <w:r>
        <w:rPr>
          <w:rFonts w:hint="eastAsia" w:asciiTheme="minorEastAsia" w:hAnsiTheme="minorEastAsia" w:eastAsiaTheme="minorEastAsia" w:cstheme="minorEastAsia"/>
          <w:color w:val="auto"/>
          <w:highlight w:val="none"/>
          <w:lang w:eastAsia="zh-CN"/>
        </w:rPr>
        <w:t>账号</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highlight w:val="none"/>
        </w:rPr>
        <w:br w:type="page"/>
      </w:r>
    </w:p>
    <w:p w14:paraId="1620BFB1">
      <w:pPr>
        <w:rPr>
          <w:rFonts w:hint="eastAsia" w:asciiTheme="minorEastAsia" w:hAnsiTheme="minorEastAsia" w:eastAsiaTheme="minorEastAsia" w:cstheme="minorEastAsia"/>
          <w:color w:val="auto"/>
          <w:highlight w:val="none"/>
        </w:rPr>
      </w:pPr>
    </w:p>
    <w:p w14:paraId="0A9ACF32">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82"/>
      <w:bookmarkEnd w:id="383"/>
      <w:r>
        <w:rPr>
          <w:rFonts w:hint="eastAsia" w:asciiTheme="minorEastAsia" w:hAnsiTheme="minorEastAsia" w:eastAsiaTheme="minorEastAsia" w:cstheme="minorEastAsia"/>
          <w:b/>
          <w:color w:val="auto"/>
          <w:sz w:val="36"/>
          <w:szCs w:val="20"/>
          <w:highlight w:val="none"/>
        </w:rPr>
        <w:t>应提交的有关格式范例</w:t>
      </w:r>
    </w:p>
    <w:p w14:paraId="2EC5382B">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20D38A3E">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4D48F422">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35CDD9C1">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09C81831">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（1）符合参加交易活动应当具备的一般条件的承诺函…………………（页码）</w:t>
      </w:r>
    </w:p>
    <w:p w14:paraId="1A89AD33">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（2）本项目的特定资格要求………………………………………………（页码）</w:t>
      </w:r>
    </w:p>
    <w:p w14:paraId="66DE071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3103486F">
      <w:pPr>
        <w:spacing w:line="360" w:lineRule="auto"/>
        <w:ind w:firstLine="480" w:firstLineChars="200"/>
        <w:rPr>
          <w:rFonts w:hint="eastAsia" w:asciiTheme="minorEastAsia" w:hAnsiTheme="minorEastAsia" w:eastAsiaTheme="minorEastAsia" w:cstheme="minorEastAsia"/>
          <w:color w:val="auto"/>
          <w:sz w:val="24"/>
          <w:highlight w:val="none"/>
        </w:rPr>
      </w:pPr>
    </w:p>
    <w:p w14:paraId="7523AD89">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r>
        <w:rPr>
          <w:rFonts w:hint="eastAsia" w:asciiTheme="minorEastAsia" w:hAnsiTheme="minorEastAsia" w:eastAsiaTheme="minorEastAsia" w:cstheme="minorEastAsia"/>
          <w:b/>
          <w:color w:val="auto"/>
          <w:kern w:val="0"/>
          <w:sz w:val="32"/>
          <w:szCs w:val="32"/>
          <w:highlight w:val="none"/>
        </w:rPr>
        <w:t xml:space="preserve">  一、 符合参加交易活动应当具备的一般条件的承诺函</w:t>
      </w:r>
    </w:p>
    <w:p w14:paraId="1480BC1A">
      <w:pPr>
        <w:snapToGrid w:val="0"/>
        <w:spacing w:line="360" w:lineRule="auto"/>
        <w:rPr>
          <w:rFonts w:hint="eastAsia" w:asciiTheme="minorEastAsia" w:hAnsiTheme="minorEastAsia" w:eastAsiaTheme="minorEastAsia" w:cstheme="minorEastAsia"/>
          <w:color w:val="auto"/>
          <w:sz w:val="24"/>
          <w:highlight w:val="none"/>
        </w:rPr>
      </w:pPr>
    </w:p>
    <w:p w14:paraId="15969D7E">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7BF7D86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交易活动，郑重承诺：</w:t>
      </w:r>
    </w:p>
    <w:p w14:paraId="22DFF597">
      <w:pPr>
        <w:snapToGrid w:val="0"/>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（一）具备以下条件：</w:t>
      </w:r>
    </w:p>
    <w:p w14:paraId="5A74CCE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5F15C14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14:paraId="339C621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025E83DA">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011C6BA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5BC8748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14:paraId="51615661">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48E69E4">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278902F">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26C53AF2">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响应人名称(电子签名)：</w:t>
      </w:r>
    </w:p>
    <w:p w14:paraId="7314B14E">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月日</w:t>
      </w:r>
    </w:p>
    <w:p w14:paraId="507F94B1">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37DB56C0">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71B1C316">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51CC8E42">
      <w:pPr>
        <w:rPr>
          <w:rFonts w:hint="eastAsia" w:asciiTheme="minorEastAsia" w:hAnsiTheme="minorEastAsia" w:eastAsiaTheme="minorEastAsia" w:cstheme="minorEastAsia"/>
          <w:color w:val="auto"/>
          <w:highlight w:val="none"/>
        </w:rPr>
      </w:pPr>
    </w:p>
    <w:p w14:paraId="19C0F0BA">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3355C072">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43D33D81">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二、本项目的特定资格要求</w:t>
      </w:r>
    </w:p>
    <w:p w14:paraId="6A9AB9B6">
      <w:pPr>
        <w:spacing w:line="360" w:lineRule="auto"/>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color w:val="auto"/>
          <w:sz w:val="24"/>
          <w:highlight w:val="none"/>
        </w:rPr>
        <w:t>（根据交易公告本项目的特定资格要求提供相应的材料；未要求的，无需提供）</w:t>
      </w:r>
    </w:p>
    <w:p w14:paraId="12B87ED1">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024A8A5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58CE03FA">
      <w:pP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727076FE">
      <w:pPr>
        <w:spacing w:line="360" w:lineRule="auto"/>
        <w:ind w:right="420"/>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1C0F5D93">
      <w:pPr>
        <w:spacing w:line="360" w:lineRule="auto"/>
        <w:jc w:val="center"/>
        <w:outlineLvl w:val="0"/>
        <w:rPr>
          <w:rFonts w:hint="eastAsia" w:asciiTheme="minorEastAsia" w:hAnsiTheme="minorEastAsia" w:eastAsiaTheme="minorEastAsia" w:cstheme="minorEastAsia"/>
          <w:b/>
          <w:color w:val="auto"/>
          <w:kern w:val="0"/>
          <w:sz w:val="24"/>
          <w:highlight w:val="none"/>
        </w:rPr>
      </w:pPr>
    </w:p>
    <w:p w14:paraId="1E884232">
      <w:pPr>
        <w:spacing w:line="360" w:lineRule="auto"/>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14:paraId="6AF334E0">
      <w:pPr>
        <w:snapToGrid w:val="0"/>
        <w:spacing w:line="360" w:lineRule="auto"/>
        <w:ind w:left="479" w:leftChars="228"/>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（1）交易函</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（2）授权委托书或法定代表人（单位负责人、自然人本人）身份证明</w:t>
      </w:r>
      <w:r>
        <w:rPr>
          <w:rFonts w:hint="eastAsia" w:asciiTheme="minorEastAsia" w:hAnsiTheme="minorEastAsia" w:eastAsiaTheme="minorEastAsia" w:cstheme="minorEastAsia"/>
          <w:color w:val="auto"/>
          <w:highlight w:val="none"/>
        </w:rPr>
        <w:t>………（页码）</w:t>
      </w:r>
    </w:p>
    <w:p w14:paraId="08C64C0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（3）营业执照</w:t>
      </w:r>
      <w:r>
        <w:rPr>
          <w:rFonts w:hint="eastAsia" w:asciiTheme="minorEastAsia" w:hAnsiTheme="minorEastAsia" w:eastAsiaTheme="minorEastAsia" w:cstheme="minorEastAsia"/>
          <w:color w:val="auto"/>
          <w:highlight w:val="none"/>
        </w:rPr>
        <w:t>………………………………………………………………………………（页码）</w:t>
      </w:r>
    </w:p>
    <w:p w14:paraId="7446CE8B">
      <w:pPr>
        <w:snapToGrid w:val="0"/>
        <w:spacing w:line="360" w:lineRule="auto"/>
        <w:ind w:firstLine="480" w:firstLineChars="200"/>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（4）符合性审查资料</w:t>
      </w:r>
      <w:r>
        <w:rPr>
          <w:rFonts w:hint="eastAsia" w:asciiTheme="minorEastAsia" w:hAnsiTheme="minorEastAsia" w:eastAsiaTheme="minorEastAsia" w:cstheme="minorEastAsia"/>
          <w:color w:val="auto"/>
          <w:highlight w:val="none"/>
        </w:rPr>
        <w:t>………………………………………………………………………（页码）</w:t>
      </w:r>
    </w:p>
    <w:p w14:paraId="6D722A67">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（5）评审标准相应的商务技术资料</w:t>
      </w:r>
      <w:r>
        <w:rPr>
          <w:rFonts w:hint="eastAsia" w:asciiTheme="minorEastAsia" w:hAnsiTheme="minorEastAsia" w:eastAsiaTheme="minorEastAsia" w:cstheme="minorEastAsia"/>
          <w:color w:val="auto"/>
          <w:highlight w:val="none"/>
        </w:rPr>
        <w:t>……………………………………………………（页码）</w:t>
      </w:r>
    </w:p>
    <w:p w14:paraId="7BC354E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（6）商务技术偏离表</w:t>
      </w:r>
      <w:r>
        <w:rPr>
          <w:rFonts w:hint="eastAsia" w:asciiTheme="minorEastAsia" w:hAnsiTheme="minorEastAsia" w:eastAsiaTheme="minorEastAsia" w:cstheme="minorEastAsia"/>
          <w:color w:val="auto"/>
          <w:highlight w:val="none"/>
        </w:rPr>
        <w:t>………………………………………………………………………（页码）</w:t>
      </w:r>
    </w:p>
    <w:p w14:paraId="55AAA879">
      <w:pPr>
        <w:snapToGrid w:val="0"/>
        <w:spacing w:line="360" w:lineRule="auto"/>
        <w:ind w:left="479" w:leftChars="228"/>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r>
        <w:rPr>
          <w:rFonts w:hint="eastAsia" w:asciiTheme="minorEastAsia" w:hAnsiTheme="minorEastAsia" w:eastAsiaTheme="minorEastAsia" w:cstheme="minorEastAsia"/>
          <w:color w:val="auto"/>
          <w:sz w:val="24"/>
          <w:highlight w:val="none"/>
          <w:lang w:val="zh-CN"/>
        </w:rPr>
        <w:t>响应人廉洁自律承诺书</w:t>
      </w:r>
      <w:r>
        <w:rPr>
          <w:rFonts w:hint="eastAsia" w:asciiTheme="minorEastAsia" w:hAnsiTheme="minorEastAsia" w:eastAsiaTheme="minorEastAsia" w:cstheme="minorEastAsia"/>
          <w:color w:val="auto"/>
          <w:highlight w:val="none"/>
        </w:rPr>
        <w:t>……………………………………………………………（页码）</w:t>
      </w:r>
    </w:p>
    <w:p w14:paraId="7503667C">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7B81E6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2507C34D">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3D9CC0C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1DE8FCE">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4C1EED8D">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7312D375">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2CEC67D8">
      <w:pPr>
        <w:rPr>
          <w:rFonts w:hint="eastAsia" w:asciiTheme="minorEastAsia" w:hAnsiTheme="minorEastAsia" w:eastAsiaTheme="minorEastAsia" w:cstheme="minorEastAsia"/>
          <w:color w:val="auto"/>
          <w:highlight w:val="none"/>
        </w:rPr>
      </w:pPr>
    </w:p>
    <w:p w14:paraId="6AF4EB8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7CA3B86">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5704059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5992D11">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0038667">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1AF3D389">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05538342">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3C1C5C58">
      <w:pPr>
        <w:snapToGrid w:val="0"/>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一、交易函</w:t>
      </w:r>
    </w:p>
    <w:p w14:paraId="7D8B0FC4">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5222C934">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招标的有关活动，并对此项目进行投标。为此：</w:t>
      </w:r>
    </w:p>
    <w:p w14:paraId="1B171009">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1、我方承诺交易有效期从提交响应文件的截止之日起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本响应文件在交易有效期满之前均具有约束力。</w:t>
      </w:r>
    </w:p>
    <w:p w14:paraId="6F7CBD33">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2、我方的响应文件包括以下内容：</w:t>
      </w:r>
    </w:p>
    <w:p w14:paraId="3A90922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314D8AD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2.1.1承诺函；</w:t>
      </w:r>
    </w:p>
    <w:p w14:paraId="15B5ADC8">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2.1.2本项目的特定资格要求（如果有）。</w:t>
      </w:r>
    </w:p>
    <w:p w14:paraId="4ABD5E44">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2商务技术</w:t>
      </w:r>
      <w:r>
        <w:rPr>
          <w:rFonts w:hint="eastAsia" w:asciiTheme="minorEastAsia" w:hAnsiTheme="minorEastAsia" w:eastAsiaTheme="minorEastAsia" w:cstheme="minorEastAsia"/>
          <w:color w:val="auto"/>
          <w:sz w:val="24"/>
          <w:highlight w:val="none"/>
          <w:lang w:val="zh-CN"/>
        </w:rPr>
        <w:t>文件：</w:t>
      </w:r>
    </w:p>
    <w:p w14:paraId="2A92ED14">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2.2.1交易函；</w:t>
      </w:r>
    </w:p>
    <w:p w14:paraId="7F71E7ED">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2.2.2授权委托书或法定代表人（单位负责人）身份证明；</w:t>
      </w:r>
    </w:p>
    <w:p w14:paraId="4AE88DAA">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2.2.3营业执照；</w:t>
      </w:r>
    </w:p>
    <w:p w14:paraId="0BBD9160">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2.2.4符合性审查资料；</w:t>
      </w:r>
    </w:p>
    <w:p w14:paraId="08E372DC">
      <w:pPr>
        <w:snapToGrid w:val="0"/>
        <w:spacing w:line="440" w:lineRule="exact"/>
        <w:ind w:left="420" w:lef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2.2.5评审标准相应的商务技术资料；</w:t>
      </w:r>
    </w:p>
    <w:p w14:paraId="34E4D0B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2.2.6商务技术偏离表；</w:t>
      </w:r>
    </w:p>
    <w:p w14:paraId="1CAF2F9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2.2.7</w:t>
      </w:r>
      <w:r>
        <w:rPr>
          <w:rFonts w:hint="eastAsia" w:asciiTheme="minorEastAsia" w:hAnsiTheme="minorEastAsia" w:eastAsiaTheme="minorEastAsia" w:cstheme="minorEastAsia"/>
          <w:color w:val="auto"/>
          <w:sz w:val="24"/>
          <w:highlight w:val="none"/>
          <w:lang w:val="zh-CN"/>
        </w:rPr>
        <w:t>响应人廉洁自律承诺书。</w:t>
      </w:r>
    </w:p>
    <w:p w14:paraId="0E93277A">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7C33618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2.3.1交易一览表（报价表）。</w:t>
      </w:r>
    </w:p>
    <w:p w14:paraId="6D1AA730">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3、我方承诺除商务技术偏离表列出的偏离外，我方响应公开竞争文件的全部要求。</w:t>
      </w:r>
    </w:p>
    <w:p w14:paraId="0625A07D">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4、如我方成交，我方承诺：</w:t>
      </w:r>
    </w:p>
    <w:p w14:paraId="4195744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259172B8">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52F19EAD">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4.3按照公开竞争文件要求提交履约保证金； </w:t>
      </w:r>
    </w:p>
    <w:p w14:paraId="63B3314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78D1799C">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5、其他补充说明: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01BFC2FF">
      <w:pPr>
        <w:spacing w:line="440" w:lineRule="exact"/>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响应人名称（电子签名）：                          </w:t>
      </w:r>
    </w:p>
    <w:p w14:paraId="104920D0">
      <w:pPr>
        <w:spacing w:line="440" w:lineRule="exact"/>
        <w:jc w:val="center"/>
        <w:rPr>
          <w:rFonts w:hint="eastAsia"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 xml:space="preserve">     日期：  年   月   日</w:t>
      </w:r>
    </w:p>
    <w:p w14:paraId="66F1AC97">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4694799B">
      <w:pPr>
        <w:pStyle w:val="24"/>
        <w:rPr>
          <w:rFonts w:hint="eastAsia" w:asciiTheme="minorEastAsia" w:hAnsiTheme="minorEastAsia" w:eastAsiaTheme="minorEastAsia" w:cstheme="minorEastAsia"/>
          <w:color w:val="auto"/>
          <w:highlight w:val="none"/>
          <w:lang w:val="en-US"/>
        </w:rPr>
      </w:pPr>
    </w:p>
    <w:p w14:paraId="797BD47D">
      <w:pPr>
        <w:jc w:val="center"/>
        <w:rPr>
          <w:rFonts w:hint="eastAsia" w:asciiTheme="minorEastAsia" w:hAnsiTheme="minorEastAsia" w:eastAsiaTheme="minorEastAsia" w:cstheme="minorEastAsia"/>
          <w:b/>
          <w:color w:val="auto"/>
          <w:kern w:val="0"/>
          <w:sz w:val="32"/>
          <w:szCs w:val="32"/>
          <w:highlight w:val="none"/>
        </w:rPr>
      </w:pPr>
    </w:p>
    <w:p w14:paraId="0254ED17">
      <w:pPr>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二、授权委托书或法定代表人（单位负责人、自然人本人）身份证明</w:t>
      </w:r>
    </w:p>
    <w:p w14:paraId="405B2154">
      <w:pPr>
        <w:snapToGrid w:val="0"/>
        <w:spacing w:line="360" w:lineRule="auto"/>
        <w:rPr>
          <w:rFonts w:hint="eastAsia" w:asciiTheme="minorEastAsia" w:hAnsiTheme="minorEastAsia" w:eastAsiaTheme="minorEastAsia" w:cstheme="minorEastAsia"/>
          <w:color w:val="auto"/>
          <w:sz w:val="24"/>
          <w:highlight w:val="none"/>
        </w:rPr>
      </w:pPr>
    </w:p>
    <w:p w14:paraId="2433AB20">
      <w:pPr>
        <w:snapToGrid w:val="0"/>
        <w:spacing w:line="360" w:lineRule="auto"/>
        <w:ind w:firstLine="2872" w:firstLineChars="89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t>授权委托书</w:t>
      </w:r>
    </w:p>
    <w:p w14:paraId="349C5ADC">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2CEF6E78">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委托（姓名）为我方代理人（身份证号码：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kern w:val="0"/>
          <w:sz w:val="24"/>
          <w:highlight w:val="none"/>
          <w:lang w:val="zh-CN"/>
        </w:rPr>
        <w:t>交易项目的一切事项，其法律后果由我方承担。</w:t>
      </w:r>
    </w:p>
    <w:p w14:paraId="17A85E0E">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日止。</w:t>
      </w:r>
    </w:p>
    <w:p w14:paraId="243E06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特此告知。</w:t>
      </w:r>
    </w:p>
    <w:p w14:paraId="5337E9F1">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响应人名称(电子签名)：</w:t>
      </w:r>
    </w:p>
    <w:p w14:paraId="23D10A2E">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签发日期：  年  月   日</w:t>
      </w:r>
    </w:p>
    <w:p w14:paraId="11785EBC">
      <w:pPr>
        <w:snapToGrid w:val="0"/>
        <w:spacing w:line="360" w:lineRule="auto"/>
        <w:rPr>
          <w:rFonts w:hint="eastAsia" w:asciiTheme="minorEastAsia" w:hAnsiTheme="minorEastAsia" w:eastAsiaTheme="minorEastAsia" w:cstheme="minorEastAsia"/>
          <w:color w:val="auto"/>
          <w:sz w:val="24"/>
          <w:highlight w:val="none"/>
        </w:rPr>
      </w:pPr>
    </w:p>
    <w:p w14:paraId="56D700C1">
      <w:pPr>
        <w:snapToGrid w:val="0"/>
        <w:spacing w:line="360" w:lineRule="auto"/>
        <w:rPr>
          <w:rFonts w:hint="eastAsia" w:asciiTheme="minorEastAsia" w:hAnsiTheme="minorEastAsia" w:eastAsiaTheme="minorEastAsia" w:cstheme="minorEastAsia"/>
          <w:color w:val="auto"/>
          <w:kern w:val="0"/>
          <w:sz w:val="24"/>
          <w:highlight w:val="none"/>
          <w:lang w:val="zh-CN"/>
        </w:rPr>
      </w:pPr>
    </w:p>
    <w:p w14:paraId="229BB193">
      <w:pPr>
        <w:autoSpaceDE w:val="0"/>
        <w:autoSpaceDN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32"/>
          <w:szCs w:val="32"/>
          <w:highlight w:val="none"/>
          <w:lang w:val="zh-CN"/>
        </w:rPr>
        <w:t>法定代表人、单位负责人或自然人本人</w:t>
      </w:r>
      <w:r>
        <w:rPr>
          <w:rFonts w:hint="eastAsia" w:asciiTheme="minorEastAsia" w:hAnsiTheme="minorEastAsia" w:eastAsiaTheme="minorEastAsia" w:cstheme="minorEastAsia"/>
          <w:b/>
          <w:color w:val="auto"/>
          <w:sz w:val="30"/>
          <w:szCs w:val="30"/>
          <w:highlight w:val="none"/>
        </w:rPr>
        <w:t>的身份证明（适用于法定代表人、单位负责人或者自然人本人代表响应人参加投标）</w:t>
      </w:r>
    </w:p>
    <w:p w14:paraId="458DCA5F">
      <w:pPr>
        <w:pStyle w:val="157"/>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F712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315AFCF7">
            <w:pPr>
              <w:pStyle w:val="157"/>
              <w:adjustRightIn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正面：                                 反面：</w:t>
            </w:r>
          </w:p>
          <w:p w14:paraId="01DB7C79">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519AF0A3">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0DDBCF3A">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响应人名称(电子签名)：                              </w:t>
      </w:r>
    </w:p>
    <w:p w14:paraId="5880CDA8">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7A7DA043">
      <w:pPr>
        <w:jc w:val="center"/>
        <w:rPr>
          <w:rFonts w:hint="eastAsia" w:asciiTheme="minorEastAsia" w:hAnsiTheme="minorEastAsia" w:eastAsiaTheme="minorEastAsia" w:cstheme="minorEastAsia"/>
          <w:b/>
          <w:color w:val="auto"/>
          <w:kern w:val="0"/>
          <w:sz w:val="32"/>
          <w:szCs w:val="32"/>
          <w:highlight w:val="none"/>
        </w:rPr>
      </w:pPr>
    </w:p>
    <w:p w14:paraId="04C073A3">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07559D34">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三、营业执照</w:t>
      </w:r>
    </w:p>
    <w:p w14:paraId="7FC0B4F2">
      <w:pPr>
        <w:jc w:val="center"/>
        <w:rPr>
          <w:rFonts w:hint="eastAsia" w:asciiTheme="minorEastAsia" w:hAnsiTheme="minorEastAsia" w:eastAsiaTheme="minorEastAsia" w:cstheme="minorEastAsia"/>
          <w:b/>
          <w:color w:val="auto"/>
          <w:kern w:val="0"/>
          <w:sz w:val="32"/>
          <w:szCs w:val="32"/>
          <w:highlight w:val="none"/>
        </w:rPr>
      </w:pP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FC4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6779D98D">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396E3D87">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71F4915F">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1F1E1C19">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响应人名称(电子签名)：                              </w:t>
      </w:r>
    </w:p>
    <w:p w14:paraId="44DB0634">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  年  月  日</w:t>
      </w:r>
    </w:p>
    <w:p w14:paraId="0DD6DF14">
      <w:pPr>
        <w:jc w:val="center"/>
        <w:rPr>
          <w:rFonts w:hint="eastAsia" w:asciiTheme="minorEastAsia" w:hAnsiTheme="minorEastAsia" w:eastAsiaTheme="minorEastAsia" w:cstheme="minorEastAsia"/>
          <w:b/>
          <w:color w:val="auto"/>
          <w:kern w:val="0"/>
          <w:sz w:val="32"/>
          <w:szCs w:val="32"/>
          <w:highlight w:val="none"/>
        </w:rPr>
      </w:pPr>
    </w:p>
    <w:p w14:paraId="6A787831">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四、符合性审查资料</w:t>
      </w:r>
    </w:p>
    <w:p w14:paraId="67B034DB">
      <w:pPr>
        <w:jc w:val="center"/>
        <w:rPr>
          <w:rFonts w:hint="eastAsia" w:asciiTheme="minorEastAsia" w:hAnsiTheme="minorEastAsia" w:eastAsiaTheme="minorEastAsia" w:cstheme="minorEastAsia"/>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0BF2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7678B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976" w:type="dxa"/>
            <w:vAlign w:val="center"/>
          </w:tcPr>
          <w:p w14:paraId="2CF9F15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3566" w:type="dxa"/>
            <w:vAlign w:val="center"/>
          </w:tcPr>
          <w:p w14:paraId="279E57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418" w:type="dxa"/>
            <w:vAlign w:val="center"/>
          </w:tcPr>
          <w:p w14:paraId="646AC455">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55590B3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6104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08A82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76" w:type="dxa"/>
            <w:vAlign w:val="center"/>
          </w:tcPr>
          <w:p w14:paraId="2BE29A69">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响应文件按照公开竞争文件要求签署、盖章。</w:t>
            </w:r>
          </w:p>
        </w:tc>
        <w:tc>
          <w:tcPr>
            <w:tcW w:w="3566" w:type="dxa"/>
            <w:vAlign w:val="center"/>
          </w:tcPr>
          <w:p w14:paraId="688BF77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418" w:type="dxa"/>
            <w:vAlign w:val="center"/>
          </w:tcPr>
          <w:p w14:paraId="35478C7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7A1DB08C">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72DE4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0AD81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976" w:type="dxa"/>
            <w:vAlign w:val="center"/>
          </w:tcPr>
          <w:p w14:paraId="3069ED2A">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响应文件中承诺的交易有效期不少于公开竞争文件中载明的交易有效期。</w:t>
            </w:r>
          </w:p>
        </w:tc>
        <w:tc>
          <w:tcPr>
            <w:tcW w:w="3566" w:type="dxa"/>
            <w:vAlign w:val="center"/>
          </w:tcPr>
          <w:p w14:paraId="6EF9B69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交易函</w:t>
            </w:r>
          </w:p>
        </w:tc>
        <w:tc>
          <w:tcPr>
            <w:tcW w:w="1418" w:type="dxa"/>
            <w:vAlign w:val="center"/>
          </w:tcPr>
          <w:p w14:paraId="318287BA">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13E19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602D20">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976" w:type="dxa"/>
            <w:vAlign w:val="center"/>
          </w:tcPr>
          <w:p w14:paraId="12C25894">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响应文件满足公开竞争文件的其它实质性要求。</w:t>
            </w:r>
          </w:p>
        </w:tc>
        <w:tc>
          <w:tcPr>
            <w:tcW w:w="3566" w:type="dxa"/>
            <w:vAlign w:val="center"/>
          </w:tcPr>
          <w:p w14:paraId="09F4A4F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公开竞争文件其它实质性要求相应的材料（“▲” 系指实质性要求条款，公开竞争文件无其它实质性要求的，无需提供）</w:t>
            </w:r>
          </w:p>
        </w:tc>
        <w:tc>
          <w:tcPr>
            <w:tcW w:w="1418" w:type="dxa"/>
            <w:vAlign w:val="center"/>
          </w:tcPr>
          <w:p w14:paraId="371CAA5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1E76FDED">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5CBB1F2">
      <w:pPr>
        <w:jc w:val="center"/>
        <w:rPr>
          <w:rFonts w:hint="eastAsia" w:asciiTheme="minorEastAsia" w:hAnsiTheme="minorEastAsia" w:eastAsiaTheme="minorEastAsia" w:cstheme="minorEastAsia"/>
          <w:b/>
          <w:color w:val="auto"/>
          <w:kern w:val="0"/>
          <w:sz w:val="32"/>
          <w:szCs w:val="32"/>
          <w:highlight w:val="none"/>
        </w:rPr>
      </w:pPr>
    </w:p>
    <w:p w14:paraId="4BB66AA3">
      <w:pPr>
        <w:jc w:val="center"/>
        <w:rPr>
          <w:rFonts w:hint="eastAsia" w:asciiTheme="minorEastAsia" w:hAnsiTheme="minorEastAsia" w:eastAsiaTheme="minorEastAsia" w:cstheme="minorEastAsia"/>
          <w:b/>
          <w:color w:val="auto"/>
          <w:kern w:val="0"/>
          <w:sz w:val="32"/>
          <w:szCs w:val="32"/>
          <w:highlight w:val="none"/>
        </w:rPr>
      </w:pPr>
    </w:p>
    <w:p w14:paraId="618E576D">
      <w:pPr>
        <w:rPr>
          <w:rFonts w:hint="eastAsia" w:asciiTheme="minorEastAsia" w:hAnsiTheme="minorEastAsia" w:eastAsiaTheme="minorEastAsia" w:cstheme="minorEastAsia"/>
          <w:b/>
          <w:color w:val="auto"/>
          <w:kern w:val="0"/>
          <w:sz w:val="32"/>
          <w:szCs w:val="32"/>
          <w:highlight w:val="none"/>
        </w:rPr>
      </w:pPr>
    </w:p>
    <w:p w14:paraId="0E78ABB5">
      <w:pPr>
        <w:jc w:val="center"/>
        <w:rPr>
          <w:rFonts w:hint="eastAsia" w:asciiTheme="minorEastAsia" w:hAnsiTheme="minorEastAsia" w:eastAsiaTheme="minorEastAsia" w:cstheme="minorEastAsia"/>
          <w:b/>
          <w:color w:val="auto"/>
          <w:kern w:val="0"/>
          <w:sz w:val="32"/>
          <w:szCs w:val="32"/>
          <w:highlight w:val="none"/>
        </w:rPr>
      </w:pPr>
    </w:p>
    <w:p w14:paraId="70D5A72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rPr>
        <w:t>五、评审标准相应的商务技术资料</w:t>
      </w:r>
    </w:p>
    <w:p w14:paraId="33DEA978">
      <w:pPr>
        <w:snapToGrid w:val="0"/>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（按公开竞争文件第四部分交易办法前附表中“响应文件中评审标准相应的商务技术资料目录”提供资料。）</w:t>
      </w:r>
    </w:p>
    <w:p w14:paraId="22F47F32">
      <w:pPr>
        <w:jc w:val="center"/>
        <w:rPr>
          <w:rFonts w:hint="eastAsia" w:asciiTheme="minorEastAsia" w:hAnsiTheme="minorEastAsia" w:eastAsiaTheme="minorEastAsia" w:cstheme="minorEastAsia"/>
          <w:b/>
          <w:color w:val="auto"/>
          <w:kern w:val="0"/>
          <w:sz w:val="32"/>
          <w:szCs w:val="32"/>
          <w:highlight w:val="none"/>
        </w:rPr>
      </w:pPr>
    </w:p>
    <w:p w14:paraId="32F3EDB4">
      <w:pPr>
        <w:jc w:val="center"/>
        <w:rPr>
          <w:rFonts w:hint="eastAsia" w:asciiTheme="minorEastAsia" w:hAnsiTheme="minorEastAsia" w:eastAsiaTheme="minorEastAsia" w:cstheme="minorEastAsia"/>
          <w:b/>
          <w:color w:val="auto"/>
          <w:kern w:val="0"/>
          <w:sz w:val="32"/>
          <w:szCs w:val="32"/>
          <w:highlight w:val="none"/>
        </w:rPr>
      </w:pPr>
    </w:p>
    <w:p w14:paraId="59591F6D">
      <w:pPr>
        <w:jc w:val="center"/>
        <w:rPr>
          <w:rFonts w:hint="eastAsia" w:asciiTheme="minorEastAsia" w:hAnsiTheme="minorEastAsia" w:eastAsiaTheme="minorEastAsia" w:cstheme="minorEastAsia"/>
          <w:b/>
          <w:color w:val="auto"/>
          <w:kern w:val="0"/>
          <w:sz w:val="32"/>
          <w:szCs w:val="32"/>
          <w:highlight w:val="none"/>
        </w:rPr>
      </w:pPr>
    </w:p>
    <w:p w14:paraId="21AF9BA2">
      <w:pPr>
        <w:jc w:val="center"/>
        <w:rPr>
          <w:rFonts w:hint="eastAsia" w:asciiTheme="minorEastAsia" w:hAnsiTheme="minorEastAsia" w:eastAsiaTheme="minorEastAsia" w:cstheme="minorEastAsia"/>
          <w:b/>
          <w:color w:val="auto"/>
          <w:kern w:val="0"/>
          <w:sz w:val="32"/>
          <w:szCs w:val="32"/>
          <w:highlight w:val="none"/>
        </w:rPr>
      </w:pPr>
    </w:p>
    <w:p w14:paraId="420EA6C2">
      <w:pPr>
        <w:jc w:val="center"/>
        <w:rPr>
          <w:rFonts w:hint="eastAsia" w:asciiTheme="minorEastAsia" w:hAnsiTheme="minorEastAsia" w:eastAsiaTheme="minorEastAsia" w:cstheme="minorEastAsia"/>
          <w:b/>
          <w:color w:val="auto"/>
          <w:kern w:val="0"/>
          <w:sz w:val="32"/>
          <w:szCs w:val="32"/>
          <w:highlight w:val="none"/>
        </w:rPr>
      </w:pPr>
    </w:p>
    <w:p w14:paraId="186EA0A5">
      <w:pPr>
        <w:pStyle w:val="25"/>
        <w:rPr>
          <w:rFonts w:hint="eastAsia" w:asciiTheme="minorEastAsia" w:hAnsiTheme="minorEastAsia" w:eastAsiaTheme="minorEastAsia" w:cstheme="minorEastAsia"/>
          <w:b/>
          <w:color w:val="auto"/>
          <w:kern w:val="0"/>
          <w:sz w:val="32"/>
          <w:szCs w:val="32"/>
          <w:highlight w:val="none"/>
        </w:rPr>
      </w:pPr>
    </w:p>
    <w:p w14:paraId="2234F745">
      <w:pPr>
        <w:pStyle w:val="53"/>
        <w:rPr>
          <w:rFonts w:hint="eastAsia" w:asciiTheme="minorEastAsia" w:hAnsiTheme="minorEastAsia" w:eastAsiaTheme="minorEastAsia" w:cstheme="minorEastAsia"/>
          <w:color w:val="auto"/>
          <w:highlight w:val="none"/>
        </w:rPr>
      </w:pPr>
    </w:p>
    <w:p w14:paraId="2E48EECB">
      <w:pPr>
        <w:jc w:val="center"/>
        <w:rPr>
          <w:rFonts w:hint="eastAsia" w:asciiTheme="minorEastAsia" w:hAnsiTheme="minorEastAsia" w:eastAsiaTheme="minorEastAsia" w:cstheme="minorEastAsia"/>
          <w:b/>
          <w:color w:val="auto"/>
          <w:kern w:val="0"/>
          <w:sz w:val="32"/>
          <w:szCs w:val="32"/>
          <w:highlight w:val="none"/>
        </w:rPr>
      </w:pPr>
    </w:p>
    <w:p w14:paraId="070C7345">
      <w:pPr>
        <w:jc w:val="center"/>
        <w:rPr>
          <w:rFonts w:hint="eastAsia" w:asciiTheme="minorEastAsia" w:hAnsiTheme="minorEastAsia" w:eastAsiaTheme="minorEastAsia" w:cstheme="minorEastAsia"/>
          <w:b/>
          <w:color w:val="auto"/>
          <w:kern w:val="0"/>
          <w:sz w:val="32"/>
          <w:szCs w:val="32"/>
          <w:highlight w:val="none"/>
        </w:rPr>
      </w:pPr>
    </w:p>
    <w:p w14:paraId="32CC4F74">
      <w:pPr>
        <w:jc w:val="center"/>
        <w:rPr>
          <w:rFonts w:hint="eastAsia" w:asciiTheme="minorEastAsia" w:hAnsiTheme="minorEastAsia" w:eastAsiaTheme="minorEastAsia" w:cstheme="minorEastAsia"/>
          <w:b/>
          <w:color w:val="auto"/>
          <w:kern w:val="0"/>
          <w:sz w:val="32"/>
          <w:szCs w:val="32"/>
          <w:highlight w:val="none"/>
        </w:rPr>
      </w:pPr>
    </w:p>
    <w:p w14:paraId="09934FE9">
      <w:pPr>
        <w:jc w:val="center"/>
        <w:rPr>
          <w:rFonts w:hint="eastAsia" w:asciiTheme="minorEastAsia" w:hAnsiTheme="minorEastAsia" w:eastAsiaTheme="minorEastAsia" w:cstheme="minorEastAsia"/>
          <w:b/>
          <w:color w:val="auto"/>
          <w:kern w:val="0"/>
          <w:sz w:val="32"/>
          <w:szCs w:val="32"/>
          <w:highlight w:val="none"/>
        </w:rPr>
      </w:pPr>
    </w:p>
    <w:p w14:paraId="5EC00A5F">
      <w:pPr>
        <w:spacing w:line="360" w:lineRule="auto"/>
        <w:ind w:right="42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六、商务技术偏离表</w:t>
      </w:r>
    </w:p>
    <w:tbl>
      <w:tblPr>
        <w:tblStyle w:val="65"/>
        <w:tblW w:w="94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3681"/>
        <w:gridCol w:w="3544"/>
        <w:gridCol w:w="1275"/>
      </w:tblGrid>
      <w:tr w14:paraId="08DF4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958" w:type="dxa"/>
            <w:vAlign w:val="center"/>
          </w:tcPr>
          <w:p w14:paraId="1828CE66">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3681" w:type="dxa"/>
            <w:vAlign w:val="center"/>
          </w:tcPr>
          <w:p w14:paraId="78610BE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公开竞争文件章节及具体内容</w:t>
            </w:r>
          </w:p>
        </w:tc>
        <w:tc>
          <w:tcPr>
            <w:tcW w:w="3544" w:type="dxa"/>
            <w:vAlign w:val="center"/>
          </w:tcPr>
          <w:p w14:paraId="23FA9D6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响应文件章节及具体内容</w:t>
            </w:r>
          </w:p>
        </w:tc>
        <w:tc>
          <w:tcPr>
            <w:tcW w:w="1275" w:type="dxa"/>
            <w:vAlign w:val="center"/>
          </w:tcPr>
          <w:p w14:paraId="6600B36D">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偏离说明</w:t>
            </w:r>
          </w:p>
        </w:tc>
      </w:tr>
      <w:tr w14:paraId="78AA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958" w:type="dxa"/>
          </w:tcPr>
          <w:p w14:paraId="2E6A5459">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3681" w:type="dxa"/>
          </w:tcPr>
          <w:p w14:paraId="651DC3B6">
            <w:pPr>
              <w:jc w:val="center"/>
              <w:rPr>
                <w:rFonts w:hint="eastAsia" w:asciiTheme="minorEastAsia" w:hAnsiTheme="minorEastAsia" w:eastAsiaTheme="minorEastAsia" w:cstheme="minorEastAsia"/>
                <w:b/>
                <w:color w:val="auto"/>
                <w:kern w:val="0"/>
                <w:sz w:val="32"/>
                <w:szCs w:val="32"/>
                <w:highlight w:val="none"/>
              </w:rPr>
            </w:pPr>
          </w:p>
        </w:tc>
        <w:tc>
          <w:tcPr>
            <w:tcW w:w="3544" w:type="dxa"/>
          </w:tcPr>
          <w:p w14:paraId="4C165669">
            <w:pPr>
              <w:jc w:val="center"/>
              <w:rPr>
                <w:rFonts w:hint="eastAsia" w:asciiTheme="minorEastAsia" w:hAnsiTheme="minorEastAsia" w:eastAsiaTheme="minorEastAsia" w:cstheme="minorEastAsia"/>
                <w:b/>
                <w:color w:val="auto"/>
                <w:kern w:val="0"/>
                <w:sz w:val="32"/>
                <w:szCs w:val="32"/>
                <w:highlight w:val="none"/>
              </w:rPr>
            </w:pPr>
          </w:p>
        </w:tc>
        <w:tc>
          <w:tcPr>
            <w:tcW w:w="1275" w:type="dxa"/>
          </w:tcPr>
          <w:p w14:paraId="790D2388">
            <w:pPr>
              <w:jc w:val="center"/>
              <w:rPr>
                <w:rFonts w:hint="eastAsia" w:asciiTheme="minorEastAsia" w:hAnsiTheme="minorEastAsia" w:eastAsiaTheme="minorEastAsia" w:cstheme="minorEastAsia"/>
                <w:b/>
                <w:color w:val="auto"/>
                <w:kern w:val="0"/>
                <w:sz w:val="32"/>
                <w:szCs w:val="32"/>
                <w:highlight w:val="none"/>
              </w:rPr>
            </w:pPr>
          </w:p>
        </w:tc>
      </w:tr>
      <w:tr w14:paraId="6D7B3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958" w:type="dxa"/>
          </w:tcPr>
          <w:p w14:paraId="3D4A731F">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3681" w:type="dxa"/>
          </w:tcPr>
          <w:p w14:paraId="70951BB3">
            <w:pPr>
              <w:jc w:val="center"/>
              <w:rPr>
                <w:rFonts w:hint="eastAsia" w:asciiTheme="minorEastAsia" w:hAnsiTheme="minorEastAsia" w:eastAsiaTheme="minorEastAsia" w:cstheme="minorEastAsia"/>
                <w:b/>
                <w:color w:val="auto"/>
                <w:kern w:val="0"/>
                <w:sz w:val="32"/>
                <w:szCs w:val="32"/>
                <w:highlight w:val="none"/>
              </w:rPr>
            </w:pPr>
          </w:p>
        </w:tc>
        <w:tc>
          <w:tcPr>
            <w:tcW w:w="3544" w:type="dxa"/>
          </w:tcPr>
          <w:p w14:paraId="3E433A48">
            <w:pPr>
              <w:jc w:val="center"/>
              <w:rPr>
                <w:rFonts w:hint="eastAsia" w:asciiTheme="minorEastAsia" w:hAnsiTheme="minorEastAsia" w:eastAsiaTheme="minorEastAsia" w:cstheme="minorEastAsia"/>
                <w:b/>
                <w:color w:val="auto"/>
                <w:kern w:val="0"/>
                <w:sz w:val="32"/>
                <w:szCs w:val="32"/>
                <w:highlight w:val="none"/>
              </w:rPr>
            </w:pPr>
          </w:p>
        </w:tc>
        <w:tc>
          <w:tcPr>
            <w:tcW w:w="1275" w:type="dxa"/>
          </w:tcPr>
          <w:p w14:paraId="78861C35">
            <w:pPr>
              <w:jc w:val="center"/>
              <w:rPr>
                <w:rFonts w:hint="eastAsia" w:asciiTheme="minorEastAsia" w:hAnsiTheme="minorEastAsia" w:eastAsiaTheme="minorEastAsia" w:cstheme="minorEastAsia"/>
                <w:b/>
                <w:color w:val="auto"/>
                <w:kern w:val="0"/>
                <w:sz w:val="32"/>
                <w:szCs w:val="32"/>
                <w:highlight w:val="none"/>
              </w:rPr>
            </w:pPr>
          </w:p>
        </w:tc>
      </w:tr>
      <w:tr w14:paraId="4926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958" w:type="dxa"/>
          </w:tcPr>
          <w:p w14:paraId="05595648">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w:t>
            </w:r>
          </w:p>
        </w:tc>
        <w:tc>
          <w:tcPr>
            <w:tcW w:w="3681" w:type="dxa"/>
          </w:tcPr>
          <w:p w14:paraId="3EB0D3BE">
            <w:pPr>
              <w:jc w:val="center"/>
              <w:rPr>
                <w:rFonts w:hint="eastAsia" w:asciiTheme="minorEastAsia" w:hAnsiTheme="minorEastAsia" w:eastAsiaTheme="minorEastAsia" w:cstheme="minorEastAsia"/>
                <w:b/>
                <w:color w:val="auto"/>
                <w:kern w:val="0"/>
                <w:sz w:val="32"/>
                <w:szCs w:val="32"/>
                <w:highlight w:val="none"/>
              </w:rPr>
            </w:pPr>
          </w:p>
        </w:tc>
        <w:tc>
          <w:tcPr>
            <w:tcW w:w="3544" w:type="dxa"/>
          </w:tcPr>
          <w:p w14:paraId="21E3E7F3">
            <w:pPr>
              <w:jc w:val="center"/>
              <w:rPr>
                <w:rFonts w:hint="eastAsia" w:asciiTheme="minorEastAsia" w:hAnsiTheme="minorEastAsia" w:eastAsiaTheme="minorEastAsia" w:cstheme="minorEastAsia"/>
                <w:b/>
                <w:color w:val="auto"/>
                <w:kern w:val="0"/>
                <w:sz w:val="32"/>
                <w:szCs w:val="32"/>
                <w:highlight w:val="none"/>
              </w:rPr>
            </w:pPr>
          </w:p>
        </w:tc>
        <w:tc>
          <w:tcPr>
            <w:tcW w:w="1275" w:type="dxa"/>
          </w:tcPr>
          <w:p w14:paraId="1DFD987B">
            <w:pPr>
              <w:jc w:val="center"/>
              <w:rPr>
                <w:rFonts w:hint="eastAsia" w:asciiTheme="minorEastAsia" w:hAnsiTheme="minorEastAsia" w:eastAsiaTheme="minorEastAsia" w:cstheme="minorEastAsia"/>
                <w:b/>
                <w:color w:val="auto"/>
                <w:kern w:val="0"/>
                <w:sz w:val="32"/>
                <w:szCs w:val="32"/>
                <w:highlight w:val="none"/>
              </w:rPr>
            </w:pPr>
          </w:p>
        </w:tc>
      </w:tr>
    </w:tbl>
    <w:p w14:paraId="1D58BA46">
      <w:pPr>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响应人保证：除商务技术偏离表列出的偏离外，响应人响应公开竞争文件的全部要求</w:t>
      </w:r>
    </w:p>
    <w:p w14:paraId="5A8077C7">
      <w:pPr>
        <w:jc w:val="center"/>
        <w:rPr>
          <w:rFonts w:hint="eastAsia" w:asciiTheme="minorEastAsia" w:hAnsiTheme="minorEastAsia" w:eastAsiaTheme="minorEastAsia" w:cstheme="minorEastAsia"/>
          <w:b/>
          <w:color w:val="auto"/>
          <w:kern w:val="0"/>
          <w:sz w:val="32"/>
          <w:szCs w:val="32"/>
          <w:highlight w:val="none"/>
        </w:rPr>
      </w:pPr>
    </w:p>
    <w:p w14:paraId="2A9B1ED7">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1417883">
      <w:pPr>
        <w:jc w:val="center"/>
        <w:rPr>
          <w:rFonts w:hint="eastAsia" w:asciiTheme="minorEastAsia" w:hAnsiTheme="minorEastAsia" w:eastAsiaTheme="minorEastAsia" w:cstheme="minorEastAsia"/>
          <w:b/>
          <w:color w:val="auto"/>
          <w:kern w:val="0"/>
          <w:sz w:val="32"/>
          <w:szCs w:val="32"/>
          <w:highlight w:val="none"/>
        </w:rPr>
      </w:pPr>
    </w:p>
    <w:p w14:paraId="5DDB0BFF">
      <w:pP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p>
    <w:p w14:paraId="5C91535D">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bCs/>
          <w:color w:val="auto"/>
          <w:sz w:val="32"/>
          <w:szCs w:val="32"/>
          <w:highlight w:val="none"/>
        </w:rPr>
        <w:t>七</w:t>
      </w:r>
      <w:r>
        <w:rPr>
          <w:rFonts w:hint="eastAsia" w:asciiTheme="minorEastAsia" w:hAnsiTheme="minorEastAsia" w:eastAsiaTheme="minorEastAsia" w:cstheme="minorEastAsia"/>
          <w:b/>
          <w:color w:val="auto"/>
          <w:kern w:val="0"/>
          <w:sz w:val="32"/>
          <w:szCs w:val="32"/>
          <w:highlight w:val="none"/>
        </w:rPr>
        <w:t>、</w:t>
      </w:r>
      <w:r>
        <w:rPr>
          <w:rFonts w:hint="eastAsia" w:asciiTheme="minorEastAsia" w:hAnsiTheme="minorEastAsia" w:eastAsiaTheme="minorEastAsia" w:cstheme="minorEastAsia"/>
          <w:b/>
          <w:color w:val="auto"/>
          <w:kern w:val="0"/>
          <w:sz w:val="32"/>
          <w:szCs w:val="32"/>
          <w:highlight w:val="none"/>
          <w:lang w:val="zh-CN"/>
        </w:rPr>
        <w:t>响应人廉洁自律承诺书</w:t>
      </w:r>
    </w:p>
    <w:p w14:paraId="7D5A67B3">
      <w:pPr>
        <w:snapToGrid w:val="0"/>
        <w:spacing w:line="360" w:lineRule="auto"/>
        <w:rPr>
          <w:rFonts w:hint="eastAsia" w:asciiTheme="minorEastAsia" w:hAnsiTheme="minorEastAsia" w:eastAsiaTheme="minorEastAsia" w:cstheme="minorEastAsia"/>
          <w:color w:val="auto"/>
          <w:sz w:val="24"/>
          <w:highlight w:val="none"/>
        </w:rPr>
      </w:pPr>
    </w:p>
    <w:p w14:paraId="498AB7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0C17309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项目招标要求参加投标。在这次投标过程中和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后，我们将严格遵守国家法律法规要求，并郑重承诺：</w:t>
      </w:r>
    </w:p>
    <w:p w14:paraId="1D0353E7">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7E2F8CB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3C9555D6">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166C937D">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26C159F9">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5389603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1847543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六、严格遵守相关法律法规，诚实守信，合法经营，坚决抵制各种违法违纪行为。 </w:t>
      </w:r>
    </w:p>
    <w:p w14:paraId="0B08B7D1">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有权立即取消我单位投标、</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38EAB773">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387CE48F">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77C323EA">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45E43D1D">
      <w:pPr>
        <w:autoSpaceDE w:val="0"/>
        <w:autoSpaceDN w:val="0"/>
        <w:spacing w:line="360" w:lineRule="auto"/>
        <w:ind w:left="2" w:leftChars="1" w:right="1120" w:firstLine="4560" w:firstLineChars="19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 xml:space="preserve">）：                                                                                                                                                                                                               </w:t>
      </w:r>
    </w:p>
    <w:p w14:paraId="0757C967">
      <w:pPr>
        <w:spacing w:line="360" w:lineRule="auto"/>
        <w:ind w:left="4620" w:leftChars="2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5C85027C">
      <w:pPr>
        <w:spacing w:line="360" w:lineRule="auto"/>
        <w:jc w:val="center"/>
        <w:rPr>
          <w:rFonts w:hint="eastAsia" w:asciiTheme="minorEastAsia" w:hAnsiTheme="minorEastAsia" w:eastAsiaTheme="minorEastAsia" w:cstheme="minorEastAsia"/>
          <w:b/>
          <w:bCs/>
          <w:color w:val="auto"/>
          <w:sz w:val="24"/>
          <w:highlight w:val="none"/>
        </w:rPr>
      </w:pPr>
    </w:p>
    <w:p w14:paraId="3800FEDA">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0B72411D">
      <w:pPr>
        <w:spacing w:line="360" w:lineRule="auto"/>
        <w:jc w:val="center"/>
        <w:rPr>
          <w:rFonts w:hint="eastAsia" w:asciiTheme="minorEastAsia" w:hAnsiTheme="minorEastAsia" w:eastAsiaTheme="minorEastAsia" w:cstheme="minorEastAsia"/>
          <w:b/>
          <w:bCs/>
          <w:color w:val="auto"/>
          <w:sz w:val="24"/>
          <w:highlight w:val="none"/>
        </w:rPr>
        <w:sectPr>
          <w:footerReference r:id="rId9" w:type="default"/>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docGrid w:linePitch="312" w:charSpace="0"/>
        </w:sectPr>
      </w:pPr>
    </w:p>
    <w:p w14:paraId="10F229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09E6DF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29A193F6">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67DEA4B0">
      <w:pPr>
        <w:snapToGrid w:val="0"/>
        <w:spacing w:line="360" w:lineRule="auto"/>
        <w:rPr>
          <w:rFonts w:hint="eastAsia" w:asciiTheme="minorEastAsia" w:hAnsiTheme="minorEastAsia" w:eastAsiaTheme="minorEastAsia" w:cstheme="minorEastAsia"/>
          <w:color w:val="auto"/>
          <w:sz w:val="24"/>
          <w:highlight w:val="none"/>
        </w:rPr>
        <w:sectPr>
          <w:headerReference r:id="rId11" w:type="first"/>
          <w:footerReference r:id="rId13" w:type="first"/>
          <w:headerReference r:id="rId10" w:type="default"/>
          <w:footerReference r:id="rId12" w:type="default"/>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Theme="minorEastAsia" w:hAnsiTheme="minorEastAsia" w:eastAsiaTheme="minorEastAsia" w:cstheme="minorEastAsia"/>
          <w:color w:val="auto"/>
          <w:sz w:val="24"/>
          <w:highlight w:val="none"/>
        </w:rPr>
        <w:t>（1）交易一览表（报价表）………………………………………………………（页码）</w:t>
      </w:r>
    </w:p>
    <w:p w14:paraId="21CE2A28">
      <w:pPr>
        <w:pStyle w:val="700"/>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一、交易一览表（报价表）</w:t>
      </w:r>
    </w:p>
    <w:p w14:paraId="4ABB58D4">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4F1FF44E">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按你方公开竞争文件要求，我们，本响应文件签字方，谨此向你方发出要约如下：如你方接受本投标，我方承诺按照如下交易一览表（报价表）的价格完成</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kern w:val="0"/>
          <w:sz w:val="24"/>
          <w:highlight w:val="none"/>
          <w:u w:val="single"/>
          <w:lang w:val="zh-CN"/>
        </w:rPr>
        <w:t>【交易编号：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的实施</w:t>
      </w:r>
      <w:r>
        <w:rPr>
          <w:rFonts w:hint="eastAsia" w:asciiTheme="minorEastAsia" w:hAnsiTheme="minorEastAsia" w:eastAsiaTheme="minorEastAsia" w:cstheme="minorEastAsia"/>
          <w:color w:val="auto"/>
          <w:kern w:val="0"/>
          <w:sz w:val="24"/>
          <w:highlight w:val="none"/>
          <w:lang w:val="zh-CN"/>
        </w:rPr>
        <w:t>。</w:t>
      </w:r>
    </w:p>
    <w:p w14:paraId="2DA22C67">
      <w:pPr>
        <w:snapToGrid w:val="0"/>
        <w:spacing w:line="360" w:lineRule="auto"/>
        <w:ind w:left="480"/>
        <w:jc w:val="center"/>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交易一览表（报价表）(单位均为人民币元)</w:t>
      </w:r>
    </w:p>
    <w:tbl>
      <w:tblPr>
        <w:tblStyle w:val="64"/>
        <w:tblW w:w="14358" w:type="dxa"/>
        <w:tblInd w:w="-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3760"/>
        <w:gridCol w:w="3892"/>
        <w:gridCol w:w="1299"/>
        <w:gridCol w:w="2535"/>
        <w:gridCol w:w="2145"/>
      </w:tblGrid>
      <w:tr w14:paraId="2F3F1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27" w:type="dxa"/>
            <w:tcBorders>
              <w:top w:val="single" w:color="auto" w:sz="4" w:space="0"/>
              <w:left w:val="single" w:color="auto" w:sz="4" w:space="0"/>
              <w:bottom w:val="single" w:color="auto" w:sz="4" w:space="0"/>
              <w:right w:val="single" w:color="auto" w:sz="4" w:space="0"/>
            </w:tcBorders>
            <w:vAlign w:val="center"/>
          </w:tcPr>
          <w:p w14:paraId="38979FBC">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3760" w:type="dxa"/>
            <w:tcBorders>
              <w:top w:val="single" w:color="auto" w:sz="4" w:space="0"/>
              <w:left w:val="single" w:color="auto" w:sz="4" w:space="0"/>
              <w:bottom w:val="single" w:color="auto" w:sz="4" w:space="0"/>
              <w:right w:val="single" w:color="auto" w:sz="4" w:space="0"/>
            </w:tcBorders>
            <w:vAlign w:val="center"/>
          </w:tcPr>
          <w:p w14:paraId="40F8FA80">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名称</w:t>
            </w:r>
          </w:p>
        </w:tc>
        <w:tc>
          <w:tcPr>
            <w:tcW w:w="3892" w:type="dxa"/>
            <w:tcBorders>
              <w:top w:val="single" w:color="auto" w:sz="4" w:space="0"/>
              <w:left w:val="single" w:color="auto" w:sz="4" w:space="0"/>
              <w:bottom w:val="single" w:color="auto" w:sz="4" w:space="0"/>
              <w:right w:val="single" w:color="auto" w:sz="4" w:space="0"/>
            </w:tcBorders>
            <w:vAlign w:val="center"/>
          </w:tcPr>
          <w:p w14:paraId="3280D28C">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具体服务</w:t>
            </w:r>
          </w:p>
        </w:tc>
        <w:tc>
          <w:tcPr>
            <w:tcW w:w="1299" w:type="dxa"/>
            <w:tcBorders>
              <w:top w:val="single" w:color="auto" w:sz="4" w:space="0"/>
              <w:left w:val="single" w:color="auto" w:sz="4" w:space="0"/>
              <w:bottom w:val="single" w:color="auto" w:sz="4" w:space="0"/>
              <w:right w:val="single" w:color="auto" w:sz="4" w:space="0"/>
            </w:tcBorders>
            <w:vAlign w:val="center"/>
          </w:tcPr>
          <w:p w14:paraId="75576910">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数量</w:t>
            </w:r>
          </w:p>
        </w:tc>
        <w:tc>
          <w:tcPr>
            <w:tcW w:w="2535" w:type="dxa"/>
            <w:tcBorders>
              <w:top w:val="single" w:color="auto" w:sz="4" w:space="0"/>
              <w:left w:val="single" w:color="auto" w:sz="4" w:space="0"/>
              <w:bottom w:val="single" w:color="auto" w:sz="4" w:space="0"/>
              <w:right w:val="single" w:color="auto" w:sz="4" w:space="0"/>
            </w:tcBorders>
            <w:vAlign w:val="center"/>
          </w:tcPr>
          <w:p w14:paraId="571612DB">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投标报价（单价）</w:t>
            </w:r>
          </w:p>
        </w:tc>
        <w:tc>
          <w:tcPr>
            <w:tcW w:w="2145" w:type="dxa"/>
            <w:tcBorders>
              <w:top w:val="single" w:color="auto" w:sz="4" w:space="0"/>
              <w:left w:val="single" w:color="auto" w:sz="4" w:space="0"/>
              <w:bottom w:val="single" w:color="auto" w:sz="4" w:space="0"/>
              <w:right w:val="single" w:color="auto" w:sz="4" w:space="0"/>
            </w:tcBorders>
            <w:vAlign w:val="center"/>
          </w:tcPr>
          <w:p w14:paraId="1359C38E">
            <w:pPr>
              <w:spacing w:line="240" w:lineRule="auto"/>
              <w:jc w:val="cente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服务要求</w:t>
            </w:r>
          </w:p>
        </w:tc>
      </w:tr>
      <w:tr w14:paraId="099CC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27" w:type="dxa"/>
            <w:tcBorders>
              <w:top w:val="single" w:color="auto" w:sz="4" w:space="0"/>
              <w:left w:val="single" w:color="auto" w:sz="4" w:space="0"/>
              <w:bottom w:val="single" w:color="auto" w:sz="4" w:space="0"/>
              <w:right w:val="single" w:color="auto" w:sz="4" w:space="0"/>
            </w:tcBorders>
            <w:vAlign w:val="center"/>
          </w:tcPr>
          <w:p w14:paraId="2A2780E9">
            <w:pPr>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3760" w:type="dxa"/>
            <w:tcBorders>
              <w:top w:val="single" w:color="auto" w:sz="4" w:space="0"/>
              <w:left w:val="single" w:color="auto" w:sz="4" w:space="0"/>
              <w:bottom w:val="single" w:color="auto" w:sz="4" w:space="0"/>
              <w:right w:val="single" w:color="auto" w:sz="4" w:space="0"/>
            </w:tcBorders>
            <w:vAlign w:val="center"/>
          </w:tcPr>
          <w:p w14:paraId="27A92CCE">
            <w:pPr>
              <w:widowControl w:val="0"/>
              <w:tabs>
                <w:tab w:val="center" w:pos="4153"/>
              </w:tabs>
              <w:wordWrap/>
              <w:adjustRightInd w:val="0"/>
              <w:spacing w:line="240" w:lineRule="auto"/>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sz w:val="24"/>
                <w:szCs w:val="24"/>
                <w:highlight w:val="none"/>
              </w:rPr>
              <w:t>线路</w:t>
            </w:r>
            <w:r>
              <w:rPr>
                <w:rFonts w:hint="eastAsia" w:asciiTheme="minorEastAsia" w:hAnsiTheme="minorEastAsia" w:eastAsiaTheme="minorEastAsia" w:cstheme="minorEastAsia"/>
                <w:color w:val="auto"/>
                <w:sz w:val="24"/>
                <w:szCs w:val="24"/>
                <w:highlight w:val="none"/>
                <w:lang w:val="en-US" w:eastAsia="zh-CN"/>
              </w:rPr>
              <w:t>一至线路六</w:t>
            </w:r>
          </w:p>
        </w:tc>
        <w:tc>
          <w:tcPr>
            <w:tcW w:w="3892" w:type="dxa"/>
            <w:tcBorders>
              <w:top w:val="single" w:color="auto" w:sz="4" w:space="0"/>
              <w:left w:val="single" w:color="auto" w:sz="4" w:space="0"/>
              <w:bottom w:val="single" w:color="auto" w:sz="4" w:space="0"/>
              <w:right w:val="single" w:color="auto" w:sz="4" w:space="0"/>
            </w:tcBorders>
            <w:vAlign w:val="center"/>
          </w:tcPr>
          <w:p w14:paraId="6A96CFC4">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vAlign w:val="center"/>
          </w:tcPr>
          <w:p w14:paraId="65744CE5">
            <w:pPr>
              <w:snapToGrid w:val="0"/>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35" w:type="dxa"/>
            <w:tcBorders>
              <w:top w:val="single" w:color="auto" w:sz="4" w:space="0"/>
              <w:left w:val="single" w:color="auto" w:sz="4" w:space="0"/>
              <w:bottom w:val="single" w:color="auto" w:sz="4" w:space="0"/>
              <w:right w:val="single" w:color="auto" w:sz="4" w:space="0"/>
            </w:tcBorders>
            <w:vAlign w:val="center"/>
          </w:tcPr>
          <w:p w14:paraId="76F6046E">
            <w:pPr>
              <w:spacing w:line="240"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u w:val="single"/>
                <w:lang w:val="en-US" w:eastAsia="zh-CN"/>
              </w:rPr>
              <w:t xml:space="preserve">     </w:t>
            </w:r>
            <w:r>
              <w:rPr>
                <w:rFonts w:hint="eastAsia" w:asciiTheme="minorEastAsia" w:hAnsiTheme="minorEastAsia" w:eastAsiaTheme="minorEastAsia" w:cstheme="minorEastAsia"/>
                <w:b/>
                <w:bCs/>
                <w:color w:val="auto"/>
                <w:sz w:val="24"/>
                <w:szCs w:val="24"/>
                <w:highlight w:val="none"/>
              </w:rPr>
              <w:t>元/人</w:t>
            </w:r>
            <w:r>
              <w:rPr>
                <w:rFonts w:hint="eastAsia" w:asciiTheme="minorEastAsia" w:hAnsiTheme="minorEastAsia" w:eastAsiaTheme="minorEastAsia" w:cstheme="minorEastAsia"/>
                <w:b/>
                <w:bCs/>
                <w:color w:val="auto"/>
                <w:sz w:val="24"/>
                <w:szCs w:val="24"/>
                <w:highlight w:val="none"/>
                <w:lang w:val="en-US" w:eastAsia="zh-CN"/>
              </w:rPr>
              <w:t>次</w:t>
            </w:r>
          </w:p>
        </w:tc>
        <w:tc>
          <w:tcPr>
            <w:tcW w:w="2145" w:type="dxa"/>
            <w:tcBorders>
              <w:top w:val="single" w:color="auto" w:sz="4" w:space="0"/>
              <w:left w:val="single" w:color="auto" w:sz="4" w:space="0"/>
              <w:bottom w:val="single" w:color="auto" w:sz="4" w:space="0"/>
              <w:right w:val="single" w:color="auto" w:sz="4" w:space="0"/>
            </w:tcBorders>
            <w:vAlign w:val="center"/>
          </w:tcPr>
          <w:p w14:paraId="632EB7DE">
            <w:pPr>
              <w:spacing w:line="240" w:lineRule="auto"/>
              <w:jc w:val="center"/>
              <w:rPr>
                <w:rFonts w:hint="eastAsia" w:asciiTheme="minorEastAsia" w:hAnsiTheme="minorEastAsia" w:eastAsiaTheme="minorEastAsia" w:cstheme="minorEastAsia"/>
                <w:color w:val="auto"/>
                <w:sz w:val="24"/>
                <w:szCs w:val="24"/>
                <w:highlight w:val="none"/>
              </w:rPr>
            </w:pPr>
          </w:p>
        </w:tc>
      </w:tr>
      <w:tr w14:paraId="2D1DA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27" w:type="dxa"/>
            <w:tcBorders>
              <w:top w:val="single" w:color="auto" w:sz="4" w:space="0"/>
              <w:left w:val="single" w:color="auto" w:sz="4" w:space="0"/>
              <w:bottom w:val="single" w:color="auto" w:sz="4" w:space="0"/>
              <w:right w:val="single" w:color="auto" w:sz="4" w:space="0"/>
            </w:tcBorders>
            <w:vAlign w:val="center"/>
          </w:tcPr>
          <w:p w14:paraId="6166B6C3">
            <w:pPr>
              <w:widowControl w:val="0"/>
              <w:tabs>
                <w:tab w:val="center" w:pos="4153"/>
              </w:tabs>
              <w:wordWrap/>
              <w:adjustRightInd w:val="0"/>
              <w:spacing w:line="24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w:t>
            </w:r>
          </w:p>
        </w:tc>
        <w:tc>
          <w:tcPr>
            <w:tcW w:w="3760" w:type="dxa"/>
            <w:tcBorders>
              <w:top w:val="single" w:color="auto" w:sz="4" w:space="0"/>
              <w:left w:val="single" w:color="auto" w:sz="4" w:space="0"/>
              <w:bottom w:val="single" w:color="auto" w:sz="4" w:space="0"/>
              <w:right w:val="single" w:color="auto" w:sz="4" w:space="0"/>
            </w:tcBorders>
            <w:vAlign w:val="center"/>
          </w:tcPr>
          <w:p w14:paraId="52D03096">
            <w:pPr>
              <w:widowControl w:val="0"/>
              <w:tabs>
                <w:tab w:val="center" w:pos="4153"/>
              </w:tabs>
              <w:wordWrap/>
              <w:adjustRightInd w:val="0"/>
              <w:spacing w:line="240" w:lineRule="auto"/>
              <w:textAlignment w:val="auto"/>
              <w:rPr>
                <w:rFonts w:hint="eastAsia" w:asciiTheme="minorEastAsia" w:hAnsiTheme="minorEastAsia" w:eastAsiaTheme="minorEastAsia" w:cstheme="minorEastAsia"/>
                <w:color w:val="auto"/>
                <w:kern w:val="0"/>
                <w:sz w:val="24"/>
                <w:szCs w:val="24"/>
                <w:highlight w:val="none"/>
                <w:lang w:val="en-US" w:eastAsia="zh-CN"/>
              </w:rPr>
            </w:pPr>
          </w:p>
        </w:tc>
        <w:tc>
          <w:tcPr>
            <w:tcW w:w="3892" w:type="dxa"/>
            <w:tcBorders>
              <w:top w:val="single" w:color="auto" w:sz="4" w:space="0"/>
              <w:left w:val="single" w:color="auto" w:sz="4" w:space="0"/>
              <w:bottom w:val="single" w:color="auto" w:sz="4" w:space="0"/>
              <w:right w:val="single" w:color="auto" w:sz="4" w:space="0"/>
            </w:tcBorders>
            <w:vAlign w:val="center"/>
          </w:tcPr>
          <w:p w14:paraId="55AE7616">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vAlign w:val="center"/>
          </w:tcPr>
          <w:p w14:paraId="2F45B36C">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2535" w:type="dxa"/>
            <w:tcBorders>
              <w:top w:val="single" w:color="auto" w:sz="4" w:space="0"/>
              <w:left w:val="single" w:color="auto" w:sz="4" w:space="0"/>
              <w:bottom w:val="single" w:color="auto" w:sz="4" w:space="0"/>
              <w:right w:val="single" w:color="auto" w:sz="4" w:space="0"/>
            </w:tcBorders>
            <w:vAlign w:val="center"/>
          </w:tcPr>
          <w:p w14:paraId="57CC71BA">
            <w:pPr>
              <w:spacing w:line="240" w:lineRule="auto"/>
              <w:jc w:val="center"/>
              <w:rPr>
                <w:rFonts w:hint="eastAsia" w:asciiTheme="minorEastAsia" w:hAnsiTheme="minorEastAsia" w:eastAsiaTheme="minorEastAsia" w:cstheme="minorEastAsia"/>
                <w:b/>
                <w:bCs/>
                <w:color w:val="auto"/>
                <w:sz w:val="24"/>
                <w:szCs w:val="24"/>
                <w:highlight w:val="none"/>
                <w:u w:val="single"/>
                <w:lang w:val="en-US" w:eastAsia="zh-CN"/>
              </w:rPr>
            </w:pPr>
          </w:p>
        </w:tc>
        <w:tc>
          <w:tcPr>
            <w:tcW w:w="2145" w:type="dxa"/>
            <w:tcBorders>
              <w:top w:val="single" w:color="auto" w:sz="4" w:space="0"/>
              <w:left w:val="single" w:color="auto" w:sz="4" w:space="0"/>
              <w:bottom w:val="single" w:color="auto" w:sz="4" w:space="0"/>
              <w:right w:val="single" w:color="auto" w:sz="4" w:space="0"/>
            </w:tcBorders>
            <w:vAlign w:val="center"/>
          </w:tcPr>
          <w:p w14:paraId="2B52D15B">
            <w:pPr>
              <w:spacing w:line="240" w:lineRule="auto"/>
              <w:jc w:val="center"/>
              <w:rPr>
                <w:rFonts w:hint="eastAsia" w:asciiTheme="minorEastAsia" w:hAnsiTheme="minorEastAsia" w:eastAsiaTheme="minorEastAsia" w:cstheme="minorEastAsia"/>
                <w:color w:val="auto"/>
                <w:sz w:val="24"/>
                <w:szCs w:val="24"/>
                <w:highlight w:val="none"/>
              </w:rPr>
            </w:pPr>
          </w:p>
        </w:tc>
      </w:tr>
      <w:tr w14:paraId="00819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27" w:type="dxa"/>
            <w:tcBorders>
              <w:top w:val="single" w:color="auto" w:sz="4" w:space="0"/>
              <w:left w:val="single" w:color="auto" w:sz="4" w:space="0"/>
              <w:bottom w:val="single" w:color="auto" w:sz="4" w:space="0"/>
              <w:right w:val="single" w:color="auto" w:sz="4" w:space="0"/>
            </w:tcBorders>
            <w:vAlign w:val="center"/>
          </w:tcPr>
          <w:p w14:paraId="1981B4F9">
            <w:pPr>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3760" w:type="dxa"/>
            <w:tcBorders>
              <w:top w:val="single" w:color="auto" w:sz="4" w:space="0"/>
              <w:left w:val="single" w:color="auto" w:sz="4" w:space="0"/>
              <w:bottom w:val="single" w:color="auto" w:sz="4" w:space="0"/>
              <w:right w:val="single" w:color="auto" w:sz="4" w:space="0"/>
            </w:tcBorders>
            <w:vAlign w:val="center"/>
          </w:tcPr>
          <w:p w14:paraId="3BC95446">
            <w:pPr>
              <w:widowControl w:val="0"/>
              <w:tabs>
                <w:tab w:val="center" w:pos="4153"/>
              </w:tabs>
              <w:wordWrap/>
              <w:adjustRightInd w:val="0"/>
              <w:spacing w:line="240" w:lineRule="auto"/>
              <w:textAlignment w:val="auto"/>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sz w:val="24"/>
                <w:szCs w:val="24"/>
                <w:highlight w:val="none"/>
              </w:rPr>
              <w:t>线路</w:t>
            </w:r>
            <w:r>
              <w:rPr>
                <w:rFonts w:hint="eastAsia" w:asciiTheme="minorEastAsia" w:hAnsiTheme="minorEastAsia" w:eastAsiaTheme="minorEastAsia" w:cstheme="minorEastAsia"/>
                <w:color w:val="auto"/>
                <w:sz w:val="24"/>
                <w:szCs w:val="24"/>
                <w:highlight w:val="none"/>
                <w:lang w:val="en-US" w:eastAsia="zh-CN"/>
              </w:rPr>
              <w:t>七至线路八</w:t>
            </w:r>
          </w:p>
        </w:tc>
        <w:tc>
          <w:tcPr>
            <w:tcW w:w="3892" w:type="dxa"/>
            <w:tcBorders>
              <w:top w:val="single" w:color="auto" w:sz="4" w:space="0"/>
              <w:left w:val="single" w:color="auto" w:sz="4" w:space="0"/>
              <w:bottom w:val="single" w:color="auto" w:sz="4" w:space="0"/>
              <w:right w:val="single" w:color="auto" w:sz="4" w:space="0"/>
            </w:tcBorders>
            <w:vAlign w:val="center"/>
          </w:tcPr>
          <w:p w14:paraId="4F07D54E">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vAlign w:val="center"/>
          </w:tcPr>
          <w:p w14:paraId="621BC069">
            <w:pPr>
              <w:snapToGrid w:val="0"/>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535" w:type="dxa"/>
            <w:tcBorders>
              <w:top w:val="single" w:color="auto" w:sz="4" w:space="0"/>
              <w:left w:val="single" w:color="auto" w:sz="4" w:space="0"/>
              <w:bottom w:val="single" w:color="auto" w:sz="4" w:space="0"/>
              <w:right w:val="single" w:color="auto" w:sz="4" w:space="0"/>
            </w:tcBorders>
            <w:vAlign w:val="center"/>
          </w:tcPr>
          <w:p w14:paraId="4F1ECF50">
            <w:pPr>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u w:val="single"/>
                <w:lang w:val="en-US" w:eastAsia="zh-CN"/>
              </w:rPr>
              <w:t xml:space="preserve">     </w:t>
            </w:r>
            <w:r>
              <w:rPr>
                <w:rFonts w:hint="eastAsia" w:asciiTheme="minorEastAsia" w:hAnsiTheme="minorEastAsia" w:eastAsiaTheme="minorEastAsia" w:cstheme="minorEastAsia"/>
                <w:b/>
                <w:bCs/>
                <w:color w:val="auto"/>
                <w:sz w:val="24"/>
                <w:szCs w:val="24"/>
                <w:highlight w:val="none"/>
              </w:rPr>
              <w:t>元/人</w:t>
            </w:r>
            <w:r>
              <w:rPr>
                <w:rFonts w:hint="eastAsia" w:asciiTheme="minorEastAsia" w:hAnsiTheme="minorEastAsia" w:eastAsiaTheme="minorEastAsia" w:cstheme="minorEastAsia"/>
                <w:b/>
                <w:bCs/>
                <w:color w:val="auto"/>
                <w:sz w:val="24"/>
                <w:szCs w:val="24"/>
                <w:highlight w:val="none"/>
                <w:lang w:val="en-US" w:eastAsia="zh-CN"/>
              </w:rPr>
              <w:t>次</w:t>
            </w:r>
          </w:p>
        </w:tc>
        <w:tc>
          <w:tcPr>
            <w:tcW w:w="2145" w:type="dxa"/>
            <w:tcBorders>
              <w:top w:val="single" w:color="auto" w:sz="4" w:space="0"/>
              <w:left w:val="single" w:color="auto" w:sz="4" w:space="0"/>
              <w:bottom w:val="single" w:color="auto" w:sz="4" w:space="0"/>
              <w:right w:val="single" w:color="auto" w:sz="4" w:space="0"/>
            </w:tcBorders>
            <w:vAlign w:val="center"/>
          </w:tcPr>
          <w:p w14:paraId="424917EC">
            <w:pPr>
              <w:spacing w:line="240" w:lineRule="auto"/>
              <w:jc w:val="center"/>
              <w:rPr>
                <w:rFonts w:hint="eastAsia" w:asciiTheme="minorEastAsia" w:hAnsiTheme="minorEastAsia" w:eastAsiaTheme="minorEastAsia" w:cstheme="minorEastAsia"/>
                <w:color w:val="auto"/>
                <w:sz w:val="24"/>
                <w:szCs w:val="24"/>
                <w:highlight w:val="none"/>
              </w:rPr>
            </w:pPr>
          </w:p>
        </w:tc>
      </w:tr>
      <w:tr w14:paraId="11BC5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27" w:type="dxa"/>
            <w:tcBorders>
              <w:top w:val="single" w:color="auto" w:sz="4" w:space="0"/>
              <w:left w:val="single" w:color="auto" w:sz="4" w:space="0"/>
              <w:bottom w:val="single" w:color="auto" w:sz="4" w:space="0"/>
              <w:right w:val="single" w:color="auto" w:sz="4" w:space="0"/>
            </w:tcBorders>
            <w:vAlign w:val="center"/>
          </w:tcPr>
          <w:p w14:paraId="21D18AAC">
            <w:pPr>
              <w:widowControl w:val="0"/>
              <w:tabs>
                <w:tab w:val="center" w:pos="4153"/>
              </w:tabs>
              <w:wordWrap/>
              <w:adjustRightInd w:val="0"/>
              <w:spacing w:line="240" w:lineRule="auto"/>
              <w:jc w:val="center"/>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w:t>
            </w:r>
          </w:p>
        </w:tc>
        <w:tc>
          <w:tcPr>
            <w:tcW w:w="3760" w:type="dxa"/>
            <w:tcBorders>
              <w:top w:val="single" w:color="auto" w:sz="4" w:space="0"/>
              <w:left w:val="single" w:color="auto" w:sz="4" w:space="0"/>
              <w:bottom w:val="single" w:color="auto" w:sz="4" w:space="0"/>
              <w:right w:val="single" w:color="auto" w:sz="4" w:space="0"/>
            </w:tcBorders>
            <w:vAlign w:val="center"/>
          </w:tcPr>
          <w:p w14:paraId="2EC58AD2">
            <w:pPr>
              <w:widowControl w:val="0"/>
              <w:tabs>
                <w:tab w:val="center" w:pos="4153"/>
              </w:tabs>
              <w:wordWrap/>
              <w:adjustRightInd w:val="0"/>
              <w:spacing w:line="240" w:lineRule="auto"/>
              <w:textAlignment w:val="auto"/>
              <w:rPr>
                <w:rFonts w:hint="eastAsia" w:asciiTheme="minorEastAsia" w:hAnsiTheme="minorEastAsia" w:eastAsiaTheme="minorEastAsia" w:cstheme="minorEastAsia"/>
                <w:color w:val="auto"/>
                <w:kern w:val="0"/>
                <w:sz w:val="24"/>
                <w:szCs w:val="24"/>
                <w:highlight w:val="none"/>
                <w:lang w:val="en-US" w:eastAsia="zh-CN"/>
              </w:rPr>
            </w:pPr>
          </w:p>
        </w:tc>
        <w:tc>
          <w:tcPr>
            <w:tcW w:w="3892" w:type="dxa"/>
            <w:tcBorders>
              <w:top w:val="single" w:color="auto" w:sz="4" w:space="0"/>
              <w:left w:val="single" w:color="auto" w:sz="4" w:space="0"/>
              <w:bottom w:val="single" w:color="auto" w:sz="4" w:space="0"/>
              <w:right w:val="single" w:color="auto" w:sz="4" w:space="0"/>
            </w:tcBorders>
            <w:vAlign w:val="center"/>
          </w:tcPr>
          <w:p w14:paraId="082FC4A6">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vAlign w:val="center"/>
          </w:tcPr>
          <w:p w14:paraId="31FD93AE">
            <w:pPr>
              <w:snapToGrid w:val="0"/>
              <w:spacing w:line="240" w:lineRule="auto"/>
              <w:jc w:val="center"/>
              <w:rPr>
                <w:rFonts w:hint="eastAsia" w:asciiTheme="minorEastAsia" w:hAnsiTheme="minorEastAsia" w:eastAsiaTheme="minorEastAsia" w:cstheme="minorEastAsia"/>
                <w:color w:val="auto"/>
                <w:sz w:val="24"/>
                <w:szCs w:val="24"/>
                <w:highlight w:val="none"/>
              </w:rPr>
            </w:pPr>
          </w:p>
        </w:tc>
        <w:tc>
          <w:tcPr>
            <w:tcW w:w="2535" w:type="dxa"/>
            <w:tcBorders>
              <w:top w:val="single" w:color="auto" w:sz="4" w:space="0"/>
              <w:left w:val="single" w:color="auto" w:sz="4" w:space="0"/>
              <w:bottom w:val="single" w:color="auto" w:sz="4" w:space="0"/>
              <w:right w:val="single" w:color="auto" w:sz="4" w:space="0"/>
            </w:tcBorders>
            <w:vAlign w:val="center"/>
          </w:tcPr>
          <w:p w14:paraId="1167DD11">
            <w:pPr>
              <w:spacing w:line="240" w:lineRule="auto"/>
              <w:jc w:val="center"/>
              <w:rPr>
                <w:rFonts w:hint="eastAsia" w:asciiTheme="minorEastAsia" w:hAnsiTheme="minorEastAsia" w:eastAsiaTheme="minorEastAsia" w:cstheme="minorEastAsia"/>
                <w:b/>
                <w:bCs/>
                <w:color w:val="auto"/>
                <w:sz w:val="24"/>
                <w:szCs w:val="24"/>
                <w:highlight w:val="none"/>
                <w:u w:val="single"/>
                <w:lang w:val="en-US" w:eastAsia="zh-CN"/>
              </w:rPr>
            </w:pPr>
          </w:p>
        </w:tc>
        <w:tc>
          <w:tcPr>
            <w:tcW w:w="2145" w:type="dxa"/>
            <w:tcBorders>
              <w:top w:val="single" w:color="auto" w:sz="4" w:space="0"/>
              <w:left w:val="single" w:color="auto" w:sz="4" w:space="0"/>
              <w:bottom w:val="single" w:color="auto" w:sz="4" w:space="0"/>
              <w:right w:val="single" w:color="auto" w:sz="4" w:space="0"/>
            </w:tcBorders>
            <w:vAlign w:val="center"/>
          </w:tcPr>
          <w:p w14:paraId="39F18063">
            <w:pPr>
              <w:spacing w:line="240" w:lineRule="auto"/>
              <w:jc w:val="center"/>
              <w:rPr>
                <w:rFonts w:hint="eastAsia" w:asciiTheme="minorEastAsia" w:hAnsiTheme="minorEastAsia" w:eastAsiaTheme="minorEastAsia" w:cstheme="minorEastAsia"/>
                <w:color w:val="auto"/>
                <w:sz w:val="24"/>
                <w:szCs w:val="24"/>
                <w:highlight w:val="none"/>
              </w:rPr>
            </w:pPr>
          </w:p>
        </w:tc>
      </w:tr>
    </w:tbl>
    <w:p w14:paraId="36E1C07B">
      <w:pPr>
        <w:snapToGrid w:val="0"/>
        <w:spacing w:line="360" w:lineRule="auto"/>
        <w:ind w:left="48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p>
    <w:p w14:paraId="3A46549B">
      <w:pPr>
        <w:spacing w:line="360" w:lineRule="auto"/>
        <w:ind w:left="-2" w:leftChars="-1"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1、响应人需按本表格式填写，不得自行更改。</w:t>
      </w:r>
    </w:p>
    <w:p w14:paraId="47714700">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交易发起人将以合同形式有偿取得货物或服务，不接受响应人给予的赠品、回扣或者与交易无关的其他商品、服务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r>
        <w:rPr>
          <w:rFonts w:hint="eastAsia" w:asciiTheme="minorEastAsia" w:hAnsiTheme="minorEastAsia" w:eastAsiaTheme="minorEastAsia" w:cstheme="minorEastAsia"/>
          <w:b/>
          <w:color w:val="auto"/>
          <w:kern w:val="0"/>
          <w:sz w:val="24"/>
          <w:highlight w:val="none"/>
          <w:lang w:val="zh-CN"/>
        </w:rPr>
        <w:t>；交易内容未包含在《交易一览表（报价表）》名称栏中，响应人不能作出合理解释的，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bookmarkStart w:id="384" w:name="_GoBack"/>
      <w:bookmarkEnd w:id="384"/>
    </w:p>
    <w:p w14:paraId="3DEF14FB">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3、以上表格要求细分项目及报价，在“规格型号（或具体服务）”一栏中，货物类项目填写规格型号，服务类项目填写具体服务。</w:t>
      </w:r>
    </w:p>
    <w:p w14:paraId="0ABB0FE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4、特别提示：代理机构将对项目名称和项目编号，成交响应人名称、地址和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金额等予以公示。</w:t>
      </w:r>
    </w:p>
    <w:p w14:paraId="6ADBC467">
      <w:pPr>
        <w:spacing w:line="360" w:lineRule="auto"/>
        <w:ind w:firstLine="482" w:firstLineChars="200"/>
        <w:rPr>
          <w:rFonts w:hint="eastAsia" w:asciiTheme="minorEastAsia" w:hAnsiTheme="minorEastAsia" w:eastAsiaTheme="minorEastAsia" w:cstheme="minorEastAsia"/>
          <w:b/>
          <w:color w:val="auto"/>
          <w:kern w:val="0"/>
          <w:sz w:val="24"/>
          <w:highlight w:val="none"/>
        </w:rPr>
      </w:pPr>
    </w:p>
    <w:p w14:paraId="73CFBC7A">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w:t>
      </w:r>
    </w:p>
    <w:p w14:paraId="1C44A9F0">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sectPr>
          <w:pgSz w:w="16838" w:h="11906" w:orient="landscape"/>
          <w:pgMar w:top="1417" w:right="1247" w:bottom="1417" w:left="1247"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44067003">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14:paraId="5B3C4575">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14:paraId="43E1FDB8">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一、异议响应人基本信息</w:t>
      </w:r>
    </w:p>
    <w:p w14:paraId="1108D8D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14:paraId="3A193C6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D5DE1B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D46A8D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A16125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407844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D72227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二、异议项目基本情况</w:t>
      </w:r>
    </w:p>
    <w:p w14:paraId="4141DE0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14:paraId="7D1ED1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79E083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14:paraId="1D3452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14:paraId="015A3E0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三、异议事项具体内容</w:t>
      </w:r>
    </w:p>
    <w:p w14:paraId="14D16062">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14:paraId="23B7D9C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175A4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5BB0876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4B7B03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5BD6028">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异议事项2</w:t>
      </w:r>
    </w:p>
    <w:p w14:paraId="1464C1A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79971AB1">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四、与异议事项相关的异议请求</w:t>
      </w:r>
    </w:p>
    <w:p w14:paraId="34BBA94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2D73D7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40625AA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208B6335">
      <w:pPr>
        <w:spacing w:line="360" w:lineRule="auto"/>
        <w:jc w:val="center"/>
        <w:rPr>
          <w:rFonts w:hint="eastAsia" w:ascii="宋体" w:hAnsi="宋体" w:cs="宋体"/>
          <w:b/>
          <w:bCs/>
          <w:color w:val="auto"/>
          <w:sz w:val="24"/>
          <w:highlight w:val="none"/>
        </w:rPr>
      </w:pPr>
    </w:p>
    <w:p w14:paraId="04572DF4">
      <w:pPr>
        <w:spacing w:line="360" w:lineRule="auto"/>
        <w:rPr>
          <w:rFonts w:hint="eastAsia" w:ascii="宋体" w:hAnsi="宋体" w:cs="宋体"/>
          <w:b/>
          <w:color w:val="auto"/>
          <w:sz w:val="24"/>
          <w:highlight w:val="none"/>
        </w:rPr>
      </w:pPr>
    </w:p>
    <w:p w14:paraId="6851968D">
      <w:pPr>
        <w:spacing w:line="360" w:lineRule="auto"/>
        <w:rPr>
          <w:rFonts w:hint="eastAsia" w:ascii="宋体" w:hAnsi="宋体" w:cs="宋体"/>
          <w:b/>
          <w:color w:val="auto"/>
          <w:sz w:val="24"/>
          <w:highlight w:val="none"/>
        </w:rPr>
      </w:pPr>
    </w:p>
    <w:p w14:paraId="43794CA5">
      <w:pPr>
        <w:spacing w:line="360" w:lineRule="auto"/>
        <w:rPr>
          <w:rFonts w:hint="eastAsia" w:ascii="宋体" w:hAnsi="宋体" w:cs="宋体"/>
          <w:b/>
          <w:color w:val="auto"/>
          <w:sz w:val="24"/>
          <w:highlight w:val="none"/>
        </w:rPr>
      </w:pPr>
    </w:p>
    <w:p w14:paraId="4E81CF5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异议函制作说明：</w:t>
      </w:r>
    </w:p>
    <w:p w14:paraId="1418B4E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14:paraId="0E55612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7A4AE77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14:paraId="210A0E91">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14:paraId="7622C30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5.异议函的异议请求应与异议事项相关。</w:t>
      </w:r>
    </w:p>
    <w:p w14:paraId="65EA907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14:paraId="747F2CDA">
      <w:pPr>
        <w:widowControl/>
        <w:spacing w:line="360" w:lineRule="auto"/>
        <w:ind w:firstLine="600" w:firstLineChars="200"/>
        <w:jc w:val="left"/>
        <w:rPr>
          <w:rFonts w:hint="eastAsia" w:ascii="宋体" w:hAnsi="宋体" w:cs="宋体"/>
          <w:color w:val="auto"/>
          <w:sz w:val="30"/>
          <w:szCs w:val="30"/>
          <w:highlight w:val="none"/>
        </w:rPr>
      </w:pPr>
    </w:p>
    <w:p w14:paraId="7D58659B">
      <w:pPr>
        <w:spacing w:line="360" w:lineRule="auto"/>
        <w:jc w:val="center"/>
        <w:rPr>
          <w:rFonts w:hint="eastAsia" w:ascii="宋体" w:hAnsi="宋体" w:cs="宋体"/>
          <w:b/>
          <w:color w:val="auto"/>
          <w:spacing w:val="6"/>
          <w:sz w:val="32"/>
          <w:szCs w:val="32"/>
          <w:highlight w:val="none"/>
        </w:rPr>
      </w:pPr>
    </w:p>
    <w:p w14:paraId="268B9794">
      <w:pPr>
        <w:spacing w:line="360" w:lineRule="auto"/>
        <w:jc w:val="center"/>
        <w:rPr>
          <w:rFonts w:hint="eastAsia" w:ascii="宋体" w:hAnsi="宋体" w:cs="宋体"/>
          <w:b/>
          <w:color w:val="auto"/>
          <w:spacing w:val="6"/>
          <w:sz w:val="32"/>
          <w:szCs w:val="32"/>
          <w:highlight w:val="none"/>
        </w:rPr>
      </w:pPr>
    </w:p>
    <w:p w14:paraId="07DC9436">
      <w:pPr>
        <w:spacing w:line="360" w:lineRule="auto"/>
        <w:jc w:val="center"/>
        <w:rPr>
          <w:rFonts w:hint="eastAsia" w:ascii="宋体" w:hAnsi="宋体" w:cs="宋体"/>
          <w:b/>
          <w:color w:val="auto"/>
          <w:spacing w:val="6"/>
          <w:sz w:val="32"/>
          <w:szCs w:val="32"/>
          <w:highlight w:val="none"/>
        </w:rPr>
      </w:pPr>
    </w:p>
    <w:p w14:paraId="0B5CBD63">
      <w:pPr>
        <w:spacing w:line="360" w:lineRule="auto"/>
        <w:jc w:val="center"/>
        <w:rPr>
          <w:rFonts w:hint="eastAsia" w:ascii="宋体" w:hAnsi="宋体" w:cs="宋体"/>
          <w:b/>
          <w:color w:val="auto"/>
          <w:spacing w:val="6"/>
          <w:sz w:val="32"/>
          <w:szCs w:val="32"/>
          <w:highlight w:val="none"/>
        </w:rPr>
      </w:pPr>
    </w:p>
    <w:p w14:paraId="7F49C894">
      <w:pPr>
        <w:spacing w:line="360" w:lineRule="auto"/>
        <w:jc w:val="center"/>
        <w:rPr>
          <w:rFonts w:hint="eastAsia" w:ascii="宋体" w:hAnsi="宋体" w:cs="宋体"/>
          <w:b/>
          <w:color w:val="auto"/>
          <w:spacing w:val="6"/>
          <w:sz w:val="32"/>
          <w:szCs w:val="32"/>
          <w:highlight w:val="none"/>
        </w:rPr>
      </w:pPr>
    </w:p>
    <w:p w14:paraId="3C138F21">
      <w:pPr>
        <w:spacing w:line="360" w:lineRule="auto"/>
        <w:jc w:val="center"/>
        <w:rPr>
          <w:rFonts w:hint="eastAsia" w:ascii="宋体" w:hAnsi="宋体" w:cs="宋体"/>
          <w:b/>
          <w:color w:val="auto"/>
          <w:spacing w:val="6"/>
          <w:sz w:val="32"/>
          <w:szCs w:val="32"/>
          <w:highlight w:val="none"/>
        </w:rPr>
      </w:pPr>
    </w:p>
    <w:p w14:paraId="365B09FC">
      <w:pPr>
        <w:spacing w:line="360" w:lineRule="auto"/>
        <w:jc w:val="center"/>
        <w:rPr>
          <w:rFonts w:hint="eastAsia" w:ascii="宋体" w:hAnsi="宋体" w:cs="宋体"/>
          <w:b/>
          <w:color w:val="auto"/>
          <w:spacing w:val="6"/>
          <w:sz w:val="32"/>
          <w:szCs w:val="32"/>
          <w:highlight w:val="none"/>
        </w:rPr>
      </w:pPr>
    </w:p>
    <w:p w14:paraId="00936A4F">
      <w:pPr>
        <w:spacing w:line="360" w:lineRule="auto"/>
        <w:jc w:val="center"/>
        <w:rPr>
          <w:rFonts w:hint="eastAsia" w:ascii="宋体" w:hAnsi="宋体" w:cs="宋体"/>
          <w:b/>
          <w:color w:val="auto"/>
          <w:spacing w:val="6"/>
          <w:sz w:val="32"/>
          <w:szCs w:val="32"/>
          <w:highlight w:val="none"/>
        </w:rPr>
      </w:pPr>
    </w:p>
    <w:p w14:paraId="030A4D3D">
      <w:pPr>
        <w:spacing w:line="360" w:lineRule="auto"/>
        <w:jc w:val="center"/>
        <w:rPr>
          <w:rFonts w:hint="eastAsia" w:ascii="宋体" w:hAnsi="宋体" w:cs="宋体"/>
          <w:b/>
          <w:color w:val="auto"/>
          <w:spacing w:val="6"/>
          <w:sz w:val="32"/>
          <w:szCs w:val="32"/>
          <w:highlight w:val="none"/>
        </w:rPr>
      </w:pPr>
    </w:p>
    <w:p w14:paraId="7ADA6DFD">
      <w:pPr>
        <w:spacing w:line="360" w:lineRule="auto"/>
        <w:jc w:val="center"/>
        <w:rPr>
          <w:rFonts w:hint="eastAsia" w:ascii="宋体" w:hAnsi="宋体" w:cs="宋体"/>
          <w:b/>
          <w:color w:val="auto"/>
          <w:spacing w:val="6"/>
          <w:sz w:val="32"/>
          <w:szCs w:val="32"/>
          <w:highlight w:val="none"/>
        </w:rPr>
      </w:pPr>
    </w:p>
    <w:p w14:paraId="16B50D59">
      <w:pPr>
        <w:spacing w:line="360" w:lineRule="auto"/>
        <w:jc w:val="center"/>
        <w:rPr>
          <w:rFonts w:hint="eastAsia" w:ascii="宋体" w:hAnsi="宋体" w:cs="宋体"/>
          <w:b/>
          <w:color w:val="auto"/>
          <w:spacing w:val="6"/>
          <w:sz w:val="32"/>
          <w:szCs w:val="32"/>
          <w:highlight w:val="none"/>
        </w:rPr>
      </w:pPr>
    </w:p>
    <w:p w14:paraId="32022246">
      <w:pPr>
        <w:spacing w:line="360" w:lineRule="auto"/>
        <w:jc w:val="center"/>
        <w:rPr>
          <w:rFonts w:hint="eastAsia" w:ascii="宋体" w:hAnsi="宋体" w:cs="宋体"/>
          <w:b/>
          <w:color w:val="auto"/>
          <w:spacing w:val="6"/>
          <w:sz w:val="32"/>
          <w:szCs w:val="32"/>
          <w:highlight w:val="none"/>
        </w:rPr>
      </w:pPr>
    </w:p>
    <w:p w14:paraId="203BF9EA">
      <w:pPr>
        <w:spacing w:line="360" w:lineRule="auto"/>
        <w:jc w:val="left"/>
        <w:rPr>
          <w:rFonts w:hint="eastAsia" w:ascii="宋体" w:hAnsi="宋体" w:cs="宋体"/>
          <w:b/>
          <w:color w:val="auto"/>
          <w:spacing w:val="6"/>
          <w:sz w:val="32"/>
          <w:szCs w:val="32"/>
          <w:highlight w:val="none"/>
        </w:rPr>
      </w:pPr>
    </w:p>
    <w:p w14:paraId="06BA034F">
      <w:pPr>
        <w:spacing w:line="360" w:lineRule="auto"/>
        <w:jc w:val="left"/>
        <w:rPr>
          <w:rFonts w:hint="eastAsia" w:ascii="宋体" w:hAnsi="宋体" w:cs="宋体"/>
          <w:b/>
          <w:color w:val="auto"/>
          <w:spacing w:val="6"/>
          <w:sz w:val="32"/>
          <w:szCs w:val="32"/>
          <w:highlight w:val="none"/>
        </w:rPr>
      </w:pPr>
    </w:p>
    <w:p w14:paraId="3FEBB0BC">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1ED3B0D5">
      <w:pPr>
        <w:spacing w:line="360" w:lineRule="auto"/>
        <w:jc w:val="center"/>
        <w:rPr>
          <w:rFonts w:hint="eastAsia" w:ascii="宋体" w:hAnsi="宋体" w:cs="宋体"/>
          <w:b/>
          <w:color w:val="auto"/>
          <w:sz w:val="24"/>
          <w:highlight w:val="none"/>
        </w:rPr>
      </w:pPr>
    </w:p>
    <w:p w14:paraId="664CBD8E">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39B9FE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0C4287A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618A73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534EF2B">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EF02CD1">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E8C8C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8604B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C852A7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18C6DB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4D49B8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D68A3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533D0C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54FFD37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8E35A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66B26E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AD276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235EBF1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14:paraId="0A62D00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5A5110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7E0C9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F11DA9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7CF851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E880B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三、异议基本情况</w:t>
      </w:r>
    </w:p>
    <w:p w14:paraId="353E1DA6">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14:paraId="136E715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C3508F">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14:paraId="1C9393D5">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4FD7BAA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11F3D5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68D8A6B">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0BAB66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14283B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11B04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2481E2F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71A54F0">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3628EB3A">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BE881C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26D6B1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1F2E924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70EF43D8">
      <w:pPr>
        <w:spacing w:line="360" w:lineRule="auto"/>
        <w:rPr>
          <w:rFonts w:hint="eastAsia" w:ascii="宋体" w:hAnsi="宋体" w:cs="宋体"/>
          <w:b/>
          <w:color w:val="auto"/>
          <w:sz w:val="24"/>
          <w:highlight w:val="none"/>
        </w:rPr>
      </w:pPr>
    </w:p>
    <w:p w14:paraId="05B7EA1E">
      <w:pPr>
        <w:spacing w:line="360" w:lineRule="auto"/>
        <w:rPr>
          <w:rFonts w:hint="eastAsia" w:ascii="宋体" w:hAnsi="宋体" w:cs="宋体"/>
          <w:b/>
          <w:color w:val="auto"/>
          <w:sz w:val="24"/>
          <w:highlight w:val="none"/>
        </w:rPr>
      </w:pPr>
    </w:p>
    <w:p w14:paraId="14907B5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2406F4D1">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305189B2">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E49EB1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D7E8FE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14:paraId="266CD80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823B09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88E570C">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2F859FA">
      <w:pPr>
        <w:spacing w:line="360" w:lineRule="auto"/>
        <w:rPr>
          <w:rFonts w:hint="eastAsia" w:asciiTheme="minorEastAsia" w:hAnsiTheme="minorEastAsia" w:eastAsiaTheme="minorEastAsia" w:cstheme="minorEastAsia"/>
          <w:b/>
          <w:color w:val="auto"/>
          <w:sz w:val="24"/>
          <w:highlight w:val="none"/>
        </w:rPr>
      </w:pPr>
    </w:p>
    <w:p w14:paraId="743D036C">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0369547E">
      <w:pPr>
        <w:autoSpaceDE w:val="0"/>
        <w:autoSpaceDN w:val="0"/>
        <w:jc w:val="left"/>
        <w:rPr>
          <w:rFonts w:hint="eastAsia" w:asciiTheme="minorEastAsia" w:hAnsiTheme="minorEastAsia" w:eastAsiaTheme="minorEastAsia" w:cstheme="minorEastAsia"/>
          <w:b/>
          <w:color w:val="auto"/>
          <w:spacing w:val="6"/>
          <w:sz w:val="32"/>
          <w:szCs w:val="32"/>
          <w:highlight w:val="none"/>
        </w:rPr>
      </w:pPr>
    </w:p>
    <w:p w14:paraId="65ADF8F8">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14:paraId="6369BFF1">
      <w:pPr>
        <w:autoSpaceDE w:val="0"/>
        <w:autoSpaceDN w:val="0"/>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w:t>
      </w:r>
    </w:p>
    <w:p w14:paraId="61BF8202">
      <w:pPr>
        <w:autoSpaceDE w:val="0"/>
        <w:autoSpaceDN w:val="0"/>
        <w:jc w:val="center"/>
        <w:rPr>
          <w:rFonts w:hint="eastAsia" w:asciiTheme="minorEastAsia" w:hAnsiTheme="minorEastAsia" w:eastAsiaTheme="minorEastAsia" w:cstheme="minorEastAsia"/>
          <w:b/>
          <w:bCs/>
          <w:color w:val="auto"/>
          <w:sz w:val="32"/>
          <w:szCs w:val="32"/>
          <w:highlight w:val="none"/>
        </w:rPr>
      </w:pPr>
    </w:p>
    <w:p w14:paraId="2ADF5AAA">
      <w:pPr>
        <w:autoSpaceDE w:val="0"/>
        <w:autoSpaceDN w:val="0"/>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业务专用章使用说明函</w:t>
      </w:r>
    </w:p>
    <w:p w14:paraId="78CE3D35">
      <w:pPr>
        <w:spacing w:line="360" w:lineRule="auto"/>
        <w:rPr>
          <w:rFonts w:hint="eastAsia" w:asciiTheme="minorEastAsia" w:hAnsiTheme="minorEastAsia" w:eastAsiaTheme="minorEastAsia" w:cstheme="minorEastAsia"/>
          <w:color w:val="auto"/>
          <w:sz w:val="24"/>
          <w:highlight w:val="none"/>
          <w:u w:val="single"/>
        </w:rPr>
      </w:pPr>
    </w:p>
    <w:p w14:paraId="648915B3">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（交易发起人）、（代理机构）</w:t>
      </w:r>
    </w:p>
    <w:p w14:paraId="5D1BD2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D87A8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091F3629">
      <w:pPr>
        <w:spacing w:line="360" w:lineRule="auto"/>
        <w:ind w:firstLine="494"/>
        <w:rPr>
          <w:rFonts w:hint="eastAsia" w:asciiTheme="minorEastAsia" w:hAnsiTheme="minorEastAsia" w:eastAsiaTheme="minorEastAsia" w:cstheme="minorEastAsia"/>
          <w:color w:val="auto"/>
          <w:sz w:val="24"/>
          <w:highlight w:val="none"/>
        </w:rPr>
      </w:pPr>
    </w:p>
    <w:p w14:paraId="0DEB86B4">
      <w:pPr>
        <w:spacing w:line="360" w:lineRule="auto"/>
        <w:ind w:firstLine="494"/>
        <w:rPr>
          <w:rFonts w:hint="eastAsia" w:asciiTheme="minorEastAsia" w:hAnsiTheme="minorEastAsia" w:eastAsiaTheme="minorEastAsia" w:cstheme="minorEastAsia"/>
          <w:color w:val="auto"/>
          <w:sz w:val="24"/>
          <w:highlight w:val="none"/>
        </w:rPr>
      </w:pPr>
    </w:p>
    <w:p w14:paraId="1E095461">
      <w:pPr>
        <w:spacing w:line="360" w:lineRule="auto"/>
        <w:ind w:firstLine="494"/>
        <w:rPr>
          <w:rFonts w:hint="eastAsia" w:asciiTheme="minorEastAsia" w:hAnsiTheme="minorEastAsia" w:eastAsiaTheme="minorEastAsia" w:cstheme="minorEastAsia"/>
          <w:color w:val="auto"/>
          <w:sz w:val="24"/>
          <w:highlight w:val="none"/>
        </w:rPr>
      </w:pPr>
    </w:p>
    <w:p w14:paraId="50357F72">
      <w:pPr>
        <w:spacing w:line="360" w:lineRule="auto"/>
        <w:ind w:firstLine="494"/>
        <w:rPr>
          <w:rFonts w:hint="eastAsia" w:asciiTheme="minorEastAsia" w:hAnsiTheme="minorEastAsia" w:eastAsiaTheme="minorEastAsia" w:cstheme="minorEastAsia"/>
          <w:color w:val="auto"/>
          <w:sz w:val="24"/>
          <w:highlight w:val="none"/>
        </w:rPr>
      </w:pPr>
    </w:p>
    <w:p w14:paraId="1457371A">
      <w:pPr>
        <w:spacing w:line="360" w:lineRule="auto"/>
        <w:ind w:right="480" w:firstLine="4080" w:firstLineChars="17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投标单位（法定名称章）：</w:t>
      </w:r>
    </w:p>
    <w:p w14:paraId="494DA5F4">
      <w:pPr>
        <w:ind w:right="1440" w:firstLine="49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14:paraId="19176BC9">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附：</w:t>
      </w:r>
    </w:p>
    <w:p w14:paraId="06EE4473">
      <w:pPr>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505F0CAD">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505F0CAD">
                      <w:pPr>
                        <w:jc w:val="center"/>
                      </w:pPr>
                    </w:p>
                  </w:txbxContent>
                </v:textbox>
              </v:rect>
            </w:pict>
          </mc:Fallback>
        </mc:AlternateContent>
      </w:r>
      <w:r>
        <w:rPr>
          <w:rFonts w:hint="eastAsia" w:asciiTheme="minorEastAsia" w:hAnsiTheme="minorEastAsia" w:eastAsiaTheme="minorEastAsia" w:cstheme="minorEastAsia"/>
          <w:color w:val="auto"/>
          <w:sz w:val="24"/>
          <w:highlight w:val="none"/>
        </w:rPr>
        <w:t>投标单位法定名称章（印模）                投标单位“XX专用章”（印模）</w:t>
      </w:r>
    </w:p>
    <w:p w14:paraId="3206C858">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44BD441">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1478C2A">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E17F13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B05B8B3">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51AADA1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CB4B300">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6C8B8D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6C2BF6D">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047CE4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B10A8C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62B993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550DC855">
      <w:pPr>
        <w:autoSpaceDE w:val="0"/>
        <w:autoSpaceDN w:val="0"/>
        <w:jc w:val="center"/>
        <w:rPr>
          <w:rFonts w:hint="eastAsia" w:asciiTheme="minorEastAsia" w:hAnsiTheme="minorEastAsia" w:eastAsiaTheme="minorEastAsia" w:cstheme="minorEastAsia"/>
          <w:b/>
          <w:color w:val="auto"/>
          <w:spacing w:val="6"/>
          <w:sz w:val="32"/>
          <w:szCs w:val="32"/>
          <w:highlight w:val="none"/>
        </w:rPr>
      </w:pPr>
    </w:p>
    <w:sectPr>
      <w:headerReference r:id="rId15" w:type="first"/>
      <w:footerReference r:id="rId17" w:type="first"/>
      <w:headerReference r:id="rId14" w:type="default"/>
      <w:footerReference r:id="rId16" w:type="default"/>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Futura Bk">
    <w:altName w:val="Courier New"/>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E9BF2">
    <w:pPr>
      <w:spacing w:before="1" w:line="184" w:lineRule="auto"/>
      <w:ind w:right="287"/>
      <w:jc w:val="right"/>
      <w:rPr>
        <w:rFonts w:hint="eastAsia" w:ascii="宋体" w:hAnsi="宋体" w:cs="宋体"/>
        <w:sz w:val="28"/>
        <w:szCs w:val="2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9DB1A">
    <w:pPr>
      <w:pStyle w:val="41"/>
      <w:jc w:val="center"/>
      <w:rPr>
        <w:rFonts w:ascii="仿宋_GB2312" w:eastAsia="仿宋_GB2312"/>
      </w:rPr>
    </w:pPr>
  </w:p>
  <w:p w14:paraId="531968FF">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CD4CF">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FB793A8">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B4HF0wAgAAY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eEybMsbPXO&#10;8ggd5fF2dQyQs1M5itIrge7EDWav69PwTuJw/7nvoh7/Dcv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FB4HF0wAgAAYwQAAA4AAAAAAAAAAQAgAAAAHwEAAGRycy9lMm9Eb2MueG1sUEsFBgAA&#10;AAAGAAYAWQEAAMEFAAAAAA==&#10;">
              <v:fill on="f" focussize="0,0"/>
              <v:stroke on="f" weight="0.5pt"/>
              <v:imagedata o:title=""/>
              <o:lock v:ext="edit" aspectratio="f"/>
              <v:textbox inset="0mm,0mm,0mm,0mm" style="mso-fit-shape-to-text:t;">
                <w:txbxContent>
                  <w:p w14:paraId="6FB793A8">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79AB">
    <w:pPr>
      <w:pStyle w:val="41"/>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C54C311">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2C54C311">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6B9ABCC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0D4054">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5D2AD04">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cYOQyAgAAY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Zg8y8JG&#10;by2P0FEeb5eHADmTylGUTgl0Jx4we6lPlz2Jw/3nOUU9/TcsH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2Zxg5DICAABjBAAADgAAAAAAAAABACAAAAAfAQAAZHJzL2Uyb0RvYy54bWxQSwUG&#10;AAAAAAYABgBZAQAAwwUAAAAA&#10;">
              <v:fill on="f" focussize="0,0"/>
              <v:stroke on="f" weight="0.5pt"/>
              <v:imagedata o:title=""/>
              <o:lock v:ext="edit" aspectratio="f"/>
              <v:textbox inset="0mm,0mm,0mm,0mm" style="mso-fit-shape-to-text:t;">
                <w:txbxContent>
                  <w:p w14:paraId="15D2AD04">
                    <w:pPr>
                      <w:pStyle w:val="41"/>
                    </w:pPr>
                    <w:r>
                      <w:t xml:space="preserve">第 </w:t>
                    </w:r>
                    <w:r>
                      <w:fldChar w:fldCharType="begin"/>
                    </w:r>
                    <w:r>
                      <w:instrText xml:space="preserve"> PAGE  \* MERGEFORMAT </w:instrText>
                    </w:r>
                    <w:r>
                      <w:fldChar w:fldCharType="separate"/>
                    </w:r>
                    <w:r>
                      <w:t>27</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20993">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0926026">
                          <w:pPr>
                            <w:pStyle w:val="41"/>
                          </w:pPr>
                          <w:r>
                            <w:t xml:space="preserve">第 </w:t>
                          </w:r>
                          <w:r>
                            <w:fldChar w:fldCharType="begin"/>
                          </w:r>
                          <w:r>
                            <w:instrText xml:space="preserve"> PAGE  \* MERGEFORMAT </w:instrText>
                          </w:r>
                          <w:r>
                            <w:fldChar w:fldCharType="separate"/>
                          </w:r>
                          <w:r>
                            <w:t>39</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dYBIgyAgAAZQ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IbSjRT6Pjpx/fT&#10;z4fTr28EdxCotX6GuHuLyNC9Mx2Ch3uPy8i7q5yKv2BE4Ie8x4u8oguEx0fTyXSaw8XhGw7Azx6f&#10;W+fDe2EUiUZBHfqXZGWHjQ996BASs2mzbqRMPZSatAW9ev02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1gEiDICAABlBAAADgAAAAAAAAABACAAAAAfAQAAZHJzL2Uyb0RvYy54bWxQSwUG&#10;AAAAAAYABgBZAQAAwwUAAAAA&#10;">
              <v:fill on="f" focussize="0,0"/>
              <v:stroke on="f" weight="0.5pt"/>
              <v:imagedata o:title=""/>
              <o:lock v:ext="edit" aspectratio="f"/>
              <v:textbox inset="0mm,0mm,0mm,0mm" style="mso-fit-shape-to-text:t;">
                <w:txbxContent>
                  <w:p w14:paraId="30926026">
                    <w:pPr>
                      <w:pStyle w:val="41"/>
                    </w:pPr>
                    <w:r>
                      <w:t xml:space="preserve">第 </w:t>
                    </w:r>
                    <w:r>
                      <w:fldChar w:fldCharType="begin"/>
                    </w:r>
                    <w:r>
                      <w:instrText xml:space="preserve"> PAGE  \* MERGEFORMAT </w:instrText>
                    </w:r>
                    <w:r>
                      <w:fldChar w:fldCharType="separate"/>
                    </w:r>
                    <w:r>
                      <w:t>39</w:t>
                    </w:r>
                    <w:r>
                      <w:fldChar w:fldCharType="end"/>
                    </w:r>
                    <w:r>
                      <w:t xml:space="preserve"> 页</w:t>
                    </w:r>
                  </w:p>
                </w:txbxContent>
              </v:textbox>
            </v:shape>
          </w:pict>
        </mc:Fallback>
      </mc:AlternateContent>
    </w:r>
  </w:p>
  <w:p w14:paraId="680A3BE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B6056">
    <w:pPr>
      <w:pStyle w:val="41"/>
      <w:jc w:val="cente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12461B1">
                          <w:pPr>
                            <w:pStyle w:val="41"/>
                          </w:pPr>
                          <w:r>
                            <w:t xml:space="preserve">第 </w:t>
                          </w:r>
                          <w:r>
                            <w:fldChar w:fldCharType="begin"/>
                          </w:r>
                          <w:r>
                            <w:instrText xml:space="preserve"> PAGE  \* MERGEFORMAT </w:instrText>
                          </w:r>
                          <w:r>
                            <w:fldChar w:fldCharType="separate"/>
                          </w:r>
                          <w:r>
                            <w:t>38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2xRpIyAgAAZQQAAA4AAABkcnMvZTJvRG9jLnhtbK1UzY7TMBC+I/EO&#10;lu80bdGu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99ejdODiwfgUsdYkaahh4mUutKjFdpd&#10;2/PcmeIEms50k+It39QoZct8uGcOo4HysTzhDp9SGqQ0vUVJZdzXf93HeHQMXkoajFpONTaLEvlB&#10;o5MADIPhBmM3GPqgbg1md4KltDyZeOCCHMzSGfUFG7WKOeBimiNTTsNg3oZu3LGRXKxWKQizZ1nY&#10;6gfLI3SUx9vVIUDOpHIUpVMC3YkHTF/qU78pcbz/PKeop3+H5S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XbFGkjICAABlBAAADgAAAAAAAAABACAAAAAfAQAAZHJzL2Uyb0RvYy54bWxQSwUG&#10;AAAAAAYABgBZAQAAwwUAAAAA&#10;">
              <v:fill on="f" focussize="0,0"/>
              <v:stroke on="f" weight="0.5pt"/>
              <v:imagedata o:title=""/>
              <o:lock v:ext="edit" aspectratio="f"/>
              <v:textbox inset="0mm,0mm,0mm,0mm" style="mso-fit-shape-to-text:t;">
                <w:txbxContent>
                  <w:p w14:paraId="312461B1">
                    <w:pPr>
                      <w:pStyle w:val="41"/>
                    </w:pPr>
                    <w:r>
                      <w:t xml:space="preserve">第 </w:t>
                    </w:r>
                    <w:r>
                      <w:fldChar w:fldCharType="begin"/>
                    </w:r>
                    <w:r>
                      <w:instrText xml:space="preserve"> PAGE  \* MERGEFORMAT </w:instrText>
                    </w:r>
                    <w:r>
                      <w:fldChar w:fldCharType="separate"/>
                    </w:r>
                    <w:r>
                      <w:t>38</w:t>
                    </w:r>
                    <w:r>
                      <w:fldChar w:fldCharType="end"/>
                    </w:r>
                    <w:r>
                      <w:t xml:space="preserve"> 页</w:t>
                    </w:r>
                  </w:p>
                </w:txbxContent>
              </v:textbox>
            </v:shape>
          </w:pict>
        </mc:Fallback>
      </mc:AlternateContent>
    </w:r>
  </w:p>
  <w:p w14:paraId="03EB4BF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300DD">
    <w:pPr>
      <w:pStyle w:val="41"/>
      <w:jc w:val="center"/>
      <w:rPr>
        <w:rFonts w:ascii="仿宋_GB2312" w:eastAsia="仿宋_GB2312"/>
        <w:szCs w:val="24"/>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48CA0192">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Lgbwx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EGbPsrDT&#10;D5ZH6CiPt+tjgJxJ5ShKpwS6Ew+YvtSnflPieP95TlGP/w6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Di4G8MQIAAGUEAAAOAAAAAAAAAAEAIAAAAB8BAABkcnMvZTJvRG9jLnhtbFBLBQYA&#10;AAAABgAGAFkBAADCBQAAAAA=&#10;">
              <v:fill on="f" focussize="0,0"/>
              <v:stroke on="f" weight="0.5pt"/>
              <v:imagedata o:title=""/>
              <o:lock v:ext="edit" aspectratio="f"/>
              <v:textbox inset="0mm,0mm,0mm,0mm" style="mso-fit-shape-to-text:t;">
                <w:txbxContent>
                  <w:p w14:paraId="48CA0192">
                    <w:pPr>
                      <w:pStyle w:val="41"/>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91358">
    <w:pPr>
      <w:pStyle w:val="41"/>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A6FAFED">
                          <w:pPr>
                            <w:pStyle w:val="41"/>
                          </w:pPr>
                          <w:r>
                            <w:t xml:space="preserve">第 </w:t>
                          </w:r>
                          <w:r>
                            <w:fldChar w:fldCharType="begin"/>
                          </w:r>
                          <w:r>
                            <w:instrText xml:space="preserve"> PAGE  \* MERGEFORMAT </w:instrText>
                          </w:r>
                          <w:r>
                            <w:fldChar w:fldCharType="separate"/>
                          </w:r>
                          <w:r>
                            <w:t>40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liw6YyAgAAZQ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WLDpjICAABlBAAADgAAAAAAAAABACAAAAAfAQAAZHJzL2Uyb0RvYy54bWxQSwUG&#10;AAAAAAYABgBZAQAAwwUAAAAA&#10;">
              <v:fill on="f" focussize="0,0"/>
              <v:stroke on="f" weight="0.5pt"/>
              <v:imagedata o:title=""/>
              <o:lock v:ext="edit" aspectratio="f"/>
              <v:textbox inset="0mm,0mm,0mm,0mm" style="mso-fit-shape-to-text:t;">
                <w:txbxContent>
                  <w:p w14:paraId="2A6FAFED">
                    <w:pPr>
                      <w:pStyle w:val="41"/>
                    </w:pPr>
                    <w:r>
                      <w:t xml:space="preserve">第 </w:t>
                    </w:r>
                    <w:r>
                      <w:fldChar w:fldCharType="begin"/>
                    </w:r>
                    <w:r>
                      <w:instrText xml:space="preserve"> PAGE  \* MERGEFORMAT </w:instrText>
                    </w:r>
                    <w:r>
                      <w:fldChar w:fldCharType="separate"/>
                    </w:r>
                    <w:r>
                      <w:t>40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25153">
    <w:pPr>
      <w:pStyle w:val="43"/>
      <w:jc w:val="right"/>
    </w:pPr>
    <w:r>
      <w:rPr>
        <w:rFonts w:hint="eastAsia"/>
      </w:rPr>
      <w:t>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8CFAF">
    <w:pPr>
      <w:pStyle w:val="43"/>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B066F">
    <w:pPr>
      <w:pStyle w:val="43"/>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2FFE7">
    <w:pPr>
      <w:pStyle w:val="43"/>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7EAE5">
    <w:pPr>
      <w:pStyle w:val="43"/>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4E9A9">
    <w:pPr>
      <w:pStyle w:val="43"/>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068E0C"/>
    <w:multiLevelType w:val="singleLevel"/>
    <w:tmpl w:val="C9068E0C"/>
    <w:lvl w:ilvl="0" w:tentative="0">
      <w:start w:val="5"/>
      <w:numFmt w:val="chineseCounting"/>
      <w:suff w:val="space"/>
      <w:lvlText w:val="第%1部分"/>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FkMjM0MWFjYTlhMjg4MWM3ODI2NzAyMjhiMjM4NDAifQ=="/>
    <w:docVar w:name="KSO_WPS_MARK_KEY" w:val="2fb6240f-43ca-4e78-9fe3-d002f0cdd61b"/>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1C5"/>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B6"/>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1C2"/>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CB4"/>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5DD1"/>
    <w:rsid w:val="00227214"/>
    <w:rsid w:val="00227DDC"/>
    <w:rsid w:val="0023079F"/>
    <w:rsid w:val="00231135"/>
    <w:rsid w:val="00231B0B"/>
    <w:rsid w:val="00232555"/>
    <w:rsid w:val="00233538"/>
    <w:rsid w:val="00234248"/>
    <w:rsid w:val="0023449F"/>
    <w:rsid w:val="002344F5"/>
    <w:rsid w:val="0023454D"/>
    <w:rsid w:val="00234679"/>
    <w:rsid w:val="00234C4A"/>
    <w:rsid w:val="002359FC"/>
    <w:rsid w:val="002361C8"/>
    <w:rsid w:val="00236690"/>
    <w:rsid w:val="0023669D"/>
    <w:rsid w:val="00237EAE"/>
    <w:rsid w:val="00237FA2"/>
    <w:rsid w:val="002403D5"/>
    <w:rsid w:val="00240C1F"/>
    <w:rsid w:val="00240F55"/>
    <w:rsid w:val="00240F67"/>
    <w:rsid w:val="00241144"/>
    <w:rsid w:val="00242510"/>
    <w:rsid w:val="00242BE9"/>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5BB6"/>
    <w:rsid w:val="002B6177"/>
    <w:rsid w:val="002B650C"/>
    <w:rsid w:val="002B68E6"/>
    <w:rsid w:val="002B6985"/>
    <w:rsid w:val="002B6D7A"/>
    <w:rsid w:val="002C02BA"/>
    <w:rsid w:val="002C0301"/>
    <w:rsid w:val="002C0326"/>
    <w:rsid w:val="002C0A9F"/>
    <w:rsid w:val="002C1268"/>
    <w:rsid w:val="002C1AB3"/>
    <w:rsid w:val="002C1BB7"/>
    <w:rsid w:val="002C1FB3"/>
    <w:rsid w:val="002C2665"/>
    <w:rsid w:val="002C28E1"/>
    <w:rsid w:val="002C327D"/>
    <w:rsid w:val="002C3890"/>
    <w:rsid w:val="002C3985"/>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96F"/>
    <w:rsid w:val="002D3BA3"/>
    <w:rsid w:val="002D43EE"/>
    <w:rsid w:val="002D4892"/>
    <w:rsid w:val="002D4D06"/>
    <w:rsid w:val="002D4DDE"/>
    <w:rsid w:val="002D4EE7"/>
    <w:rsid w:val="002D4EED"/>
    <w:rsid w:val="002D5AAD"/>
    <w:rsid w:val="002D5DA3"/>
    <w:rsid w:val="002D6097"/>
    <w:rsid w:val="002D65AD"/>
    <w:rsid w:val="002D6782"/>
    <w:rsid w:val="002D73FE"/>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DD"/>
    <w:rsid w:val="002F0DFB"/>
    <w:rsid w:val="002F134F"/>
    <w:rsid w:val="002F1D0B"/>
    <w:rsid w:val="002F1E1D"/>
    <w:rsid w:val="002F1F02"/>
    <w:rsid w:val="002F27E5"/>
    <w:rsid w:val="002F2D81"/>
    <w:rsid w:val="002F2F66"/>
    <w:rsid w:val="002F39D4"/>
    <w:rsid w:val="002F3CBC"/>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81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5CA"/>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77CB8"/>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8A"/>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50C"/>
    <w:rsid w:val="004F560C"/>
    <w:rsid w:val="004F5DBB"/>
    <w:rsid w:val="004F60B4"/>
    <w:rsid w:val="004F61A3"/>
    <w:rsid w:val="004F6874"/>
    <w:rsid w:val="004F7922"/>
    <w:rsid w:val="004F7A1F"/>
    <w:rsid w:val="004F7B47"/>
    <w:rsid w:val="0050079C"/>
    <w:rsid w:val="0050106A"/>
    <w:rsid w:val="005010BC"/>
    <w:rsid w:val="00501848"/>
    <w:rsid w:val="00501A50"/>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57F"/>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724"/>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0D06"/>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BA3"/>
    <w:rsid w:val="009E0D7D"/>
    <w:rsid w:val="009E0DAF"/>
    <w:rsid w:val="009E19BB"/>
    <w:rsid w:val="009E1C47"/>
    <w:rsid w:val="009E38D1"/>
    <w:rsid w:val="009E3DF1"/>
    <w:rsid w:val="009E514A"/>
    <w:rsid w:val="009E5177"/>
    <w:rsid w:val="009E5701"/>
    <w:rsid w:val="009E5711"/>
    <w:rsid w:val="009E6BEF"/>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C38"/>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931"/>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77C"/>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2FC8"/>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4E4"/>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831"/>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538"/>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A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B35"/>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747"/>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787"/>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43A"/>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D69"/>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78495D"/>
    <w:rsid w:val="019F7441"/>
    <w:rsid w:val="01A06AA0"/>
    <w:rsid w:val="01B37585"/>
    <w:rsid w:val="01B5399D"/>
    <w:rsid w:val="01C064F8"/>
    <w:rsid w:val="01D55165"/>
    <w:rsid w:val="01DF6BF8"/>
    <w:rsid w:val="01EC2C57"/>
    <w:rsid w:val="02021298"/>
    <w:rsid w:val="020B640B"/>
    <w:rsid w:val="020C0EF6"/>
    <w:rsid w:val="025F0711"/>
    <w:rsid w:val="02644317"/>
    <w:rsid w:val="026B2E25"/>
    <w:rsid w:val="02824D4D"/>
    <w:rsid w:val="02BE3979"/>
    <w:rsid w:val="02DC4B10"/>
    <w:rsid w:val="02DD76CE"/>
    <w:rsid w:val="02F36323"/>
    <w:rsid w:val="02F5619C"/>
    <w:rsid w:val="0326446A"/>
    <w:rsid w:val="032D5555"/>
    <w:rsid w:val="036634D2"/>
    <w:rsid w:val="03756463"/>
    <w:rsid w:val="038A68D9"/>
    <w:rsid w:val="03986106"/>
    <w:rsid w:val="03DD35E4"/>
    <w:rsid w:val="04076900"/>
    <w:rsid w:val="041A5A3B"/>
    <w:rsid w:val="042311BA"/>
    <w:rsid w:val="042B157A"/>
    <w:rsid w:val="048F763B"/>
    <w:rsid w:val="049F330E"/>
    <w:rsid w:val="04AA775C"/>
    <w:rsid w:val="04AF1889"/>
    <w:rsid w:val="04B85F11"/>
    <w:rsid w:val="04EE3F9B"/>
    <w:rsid w:val="04F66F48"/>
    <w:rsid w:val="051E28A6"/>
    <w:rsid w:val="05222265"/>
    <w:rsid w:val="05251E14"/>
    <w:rsid w:val="05507636"/>
    <w:rsid w:val="05770BD6"/>
    <w:rsid w:val="058806C7"/>
    <w:rsid w:val="05A16594"/>
    <w:rsid w:val="05A7762D"/>
    <w:rsid w:val="05BF4603"/>
    <w:rsid w:val="05C04DC2"/>
    <w:rsid w:val="060E5941"/>
    <w:rsid w:val="06110FAF"/>
    <w:rsid w:val="06493CA7"/>
    <w:rsid w:val="065A6178"/>
    <w:rsid w:val="066D3597"/>
    <w:rsid w:val="066F1CF3"/>
    <w:rsid w:val="06734B80"/>
    <w:rsid w:val="06930BB8"/>
    <w:rsid w:val="06956198"/>
    <w:rsid w:val="07245D42"/>
    <w:rsid w:val="07264C62"/>
    <w:rsid w:val="072F6604"/>
    <w:rsid w:val="074460BC"/>
    <w:rsid w:val="0779354C"/>
    <w:rsid w:val="077F0C95"/>
    <w:rsid w:val="07C300BD"/>
    <w:rsid w:val="07C51FB8"/>
    <w:rsid w:val="07EC6682"/>
    <w:rsid w:val="07F3638F"/>
    <w:rsid w:val="07FE18F3"/>
    <w:rsid w:val="08061376"/>
    <w:rsid w:val="08127C83"/>
    <w:rsid w:val="081A0204"/>
    <w:rsid w:val="08452D77"/>
    <w:rsid w:val="084E39E5"/>
    <w:rsid w:val="086401F8"/>
    <w:rsid w:val="08751CAA"/>
    <w:rsid w:val="0876556A"/>
    <w:rsid w:val="087E4C40"/>
    <w:rsid w:val="08A53637"/>
    <w:rsid w:val="08A871D0"/>
    <w:rsid w:val="08A93957"/>
    <w:rsid w:val="08D66AD6"/>
    <w:rsid w:val="08DA33A3"/>
    <w:rsid w:val="08E80F13"/>
    <w:rsid w:val="092612F3"/>
    <w:rsid w:val="092748F4"/>
    <w:rsid w:val="09335624"/>
    <w:rsid w:val="093E11FE"/>
    <w:rsid w:val="0944690F"/>
    <w:rsid w:val="09535675"/>
    <w:rsid w:val="095F057D"/>
    <w:rsid w:val="09642282"/>
    <w:rsid w:val="09733572"/>
    <w:rsid w:val="09772C16"/>
    <w:rsid w:val="097B2960"/>
    <w:rsid w:val="098353B5"/>
    <w:rsid w:val="09A92330"/>
    <w:rsid w:val="09B06B87"/>
    <w:rsid w:val="09C13146"/>
    <w:rsid w:val="09DC63EB"/>
    <w:rsid w:val="09E04166"/>
    <w:rsid w:val="09E268B9"/>
    <w:rsid w:val="09F81448"/>
    <w:rsid w:val="0A1C0718"/>
    <w:rsid w:val="0A2C10A7"/>
    <w:rsid w:val="0A3E7710"/>
    <w:rsid w:val="0A5B7E63"/>
    <w:rsid w:val="0A5E227D"/>
    <w:rsid w:val="0A7F4701"/>
    <w:rsid w:val="0AA374A5"/>
    <w:rsid w:val="0AAB7649"/>
    <w:rsid w:val="0AAF5E89"/>
    <w:rsid w:val="0AB86C5C"/>
    <w:rsid w:val="0ABC5606"/>
    <w:rsid w:val="0AC42692"/>
    <w:rsid w:val="0ADE3108"/>
    <w:rsid w:val="0ADF4EB4"/>
    <w:rsid w:val="0B0F74C5"/>
    <w:rsid w:val="0B30404E"/>
    <w:rsid w:val="0B4C6C14"/>
    <w:rsid w:val="0B524759"/>
    <w:rsid w:val="0B631A88"/>
    <w:rsid w:val="0B683D45"/>
    <w:rsid w:val="0B691283"/>
    <w:rsid w:val="0B76461B"/>
    <w:rsid w:val="0B7F3F11"/>
    <w:rsid w:val="0B884417"/>
    <w:rsid w:val="0B93709B"/>
    <w:rsid w:val="0BA212C6"/>
    <w:rsid w:val="0BF6188C"/>
    <w:rsid w:val="0BF73C91"/>
    <w:rsid w:val="0BF80826"/>
    <w:rsid w:val="0C170175"/>
    <w:rsid w:val="0C3D5BFB"/>
    <w:rsid w:val="0C41327A"/>
    <w:rsid w:val="0C516EA9"/>
    <w:rsid w:val="0C571A41"/>
    <w:rsid w:val="0C5C1171"/>
    <w:rsid w:val="0C5E1CBC"/>
    <w:rsid w:val="0C615B50"/>
    <w:rsid w:val="0C6E0EEC"/>
    <w:rsid w:val="0C8445DA"/>
    <w:rsid w:val="0C87121B"/>
    <w:rsid w:val="0CAE0BF3"/>
    <w:rsid w:val="0CC007F7"/>
    <w:rsid w:val="0CC617AC"/>
    <w:rsid w:val="0CFE707A"/>
    <w:rsid w:val="0D063BDA"/>
    <w:rsid w:val="0D08375F"/>
    <w:rsid w:val="0D184CFB"/>
    <w:rsid w:val="0D37621D"/>
    <w:rsid w:val="0D3D3B60"/>
    <w:rsid w:val="0D400115"/>
    <w:rsid w:val="0D4A7419"/>
    <w:rsid w:val="0D555D1E"/>
    <w:rsid w:val="0D827401"/>
    <w:rsid w:val="0D84094E"/>
    <w:rsid w:val="0D8A00E9"/>
    <w:rsid w:val="0D8D589E"/>
    <w:rsid w:val="0D95362E"/>
    <w:rsid w:val="0DA01C73"/>
    <w:rsid w:val="0DD63300"/>
    <w:rsid w:val="0DF50604"/>
    <w:rsid w:val="0DF702FE"/>
    <w:rsid w:val="0DFA7935"/>
    <w:rsid w:val="0E060E51"/>
    <w:rsid w:val="0E22536A"/>
    <w:rsid w:val="0E237072"/>
    <w:rsid w:val="0E24319C"/>
    <w:rsid w:val="0E373674"/>
    <w:rsid w:val="0E5604B2"/>
    <w:rsid w:val="0E6D5D79"/>
    <w:rsid w:val="0E6F14E6"/>
    <w:rsid w:val="0E9B5E39"/>
    <w:rsid w:val="0E9D0089"/>
    <w:rsid w:val="0EB803EE"/>
    <w:rsid w:val="0EF94D4B"/>
    <w:rsid w:val="0F0B13B6"/>
    <w:rsid w:val="0F182768"/>
    <w:rsid w:val="0F4958DC"/>
    <w:rsid w:val="0F515DF7"/>
    <w:rsid w:val="0F596BA8"/>
    <w:rsid w:val="0F6248D2"/>
    <w:rsid w:val="0F635421"/>
    <w:rsid w:val="0F693536"/>
    <w:rsid w:val="0F7B0511"/>
    <w:rsid w:val="0F7B76D9"/>
    <w:rsid w:val="0F816ACD"/>
    <w:rsid w:val="0F9832DB"/>
    <w:rsid w:val="0FBF3FD2"/>
    <w:rsid w:val="0FBF7FF3"/>
    <w:rsid w:val="0FCF1C32"/>
    <w:rsid w:val="0FDA406B"/>
    <w:rsid w:val="0FFC3E38"/>
    <w:rsid w:val="100A3C4E"/>
    <w:rsid w:val="10156805"/>
    <w:rsid w:val="10646583"/>
    <w:rsid w:val="107D4B15"/>
    <w:rsid w:val="10841832"/>
    <w:rsid w:val="108A3C80"/>
    <w:rsid w:val="10A15184"/>
    <w:rsid w:val="10C26171"/>
    <w:rsid w:val="10DC700E"/>
    <w:rsid w:val="10E36BBF"/>
    <w:rsid w:val="10F33360"/>
    <w:rsid w:val="10F4083A"/>
    <w:rsid w:val="10FC16EA"/>
    <w:rsid w:val="110F1D40"/>
    <w:rsid w:val="11266F33"/>
    <w:rsid w:val="113055C1"/>
    <w:rsid w:val="118963A1"/>
    <w:rsid w:val="11C6522A"/>
    <w:rsid w:val="11E104CC"/>
    <w:rsid w:val="11E20309"/>
    <w:rsid w:val="11F0289B"/>
    <w:rsid w:val="11FD14B9"/>
    <w:rsid w:val="12255233"/>
    <w:rsid w:val="12530213"/>
    <w:rsid w:val="12620DA8"/>
    <w:rsid w:val="127723A9"/>
    <w:rsid w:val="12862074"/>
    <w:rsid w:val="12883966"/>
    <w:rsid w:val="129E45B4"/>
    <w:rsid w:val="12B72C8C"/>
    <w:rsid w:val="12D14480"/>
    <w:rsid w:val="12D21374"/>
    <w:rsid w:val="12D46CFF"/>
    <w:rsid w:val="12D81596"/>
    <w:rsid w:val="13072A44"/>
    <w:rsid w:val="131A1B7F"/>
    <w:rsid w:val="13474EA5"/>
    <w:rsid w:val="135825A1"/>
    <w:rsid w:val="135F4BE2"/>
    <w:rsid w:val="13692E64"/>
    <w:rsid w:val="13913864"/>
    <w:rsid w:val="139B1A0A"/>
    <w:rsid w:val="139B5BDE"/>
    <w:rsid w:val="139D25C7"/>
    <w:rsid w:val="13BF3CE4"/>
    <w:rsid w:val="13E47441"/>
    <w:rsid w:val="13E674F4"/>
    <w:rsid w:val="140F0A5D"/>
    <w:rsid w:val="141008D8"/>
    <w:rsid w:val="14125FE6"/>
    <w:rsid w:val="141804B7"/>
    <w:rsid w:val="142B70E5"/>
    <w:rsid w:val="14500381"/>
    <w:rsid w:val="146D271E"/>
    <w:rsid w:val="147B24A0"/>
    <w:rsid w:val="14982588"/>
    <w:rsid w:val="149A5AD9"/>
    <w:rsid w:val="14A7619D"/>
    <w:rsid w:val="14AA2978"/>
    <w:rsid w:val="14C445F3"/>
    <w:rsid w:val="14F25B02"/>
    <w:rsid w:val="150536C3"/>
    <w:rsid w:val="150C1963"/>
    <w:rsid w:val="151447A0"/>
    <w:rsid w:val="154A6454"/>
    <w:rsid w:val="15762120"/>
    <w:rsid w:val="15844A86"/>
    <w:rsid w:val="1586383D"/>
    <w:rsid w:val="15C1630E"/>
    <w:rsid w:val="15DC6F1B"/>
    <w:rsid w:val="15F56AC3"/>
    <w:rsid w:val="1608540D"/>
    <w:rsid w:val="16204A74"/>
    <w:rsid w:val="166C515D"/>
    <w:rsid w:val="16932D64"/>
    <w:rsid w:val="16A8729C"/>
    <w:rsid w:val="16B33777"/>
    <w:rsid w:val="16BC70A7"/>
    <w:rsid w:val="16C25E91"/>
    <w:rsid w:val="16C6339E"/>
    <w:rsid w:val="16C730F7"/>
    <w:rsid w:val="16D6012D"/>
    <w:rsid w:val="16FE2244"/>
    <w:rsid w:val="172F2D79"/>
    <w:rsid w:val="17557BEF"/>
    <w:rsid w:val="176D1E2A"/>
    <w:rsid w:val="177E46A7"/>
    <w:rsid w:val="17852075"/>
    <w:rsid w:val="17860D50"/>
    <w:rsid w:val="178B06F1"/>
    <w:rsid w:val="179B74BF"/>
    <w:rsid w:val="17A05FFC"/>
    <w:rsid w:val="17D349C1"/>
    <w:rsid w:val="17E066D8"/>
    <w:rsid w:val="1830729E"/>
    <w:rsid w:val="18394486"/>
    <w:rsid w:val="183A3B38"/>
    <w:rsid w:val="185134E3"/>
    <w:rsid w:val="1870062C"/>
    <w:rsid w:val="18817102"/>
    <w:rsid w:val="18830A15"/>
    <w:rsid w:val="18852B28"/>
    <w:rsid w:val="188B5321"/>
    <w:rsid w:val="18A0112E"/>
    <w:rsid w:val="18C776A6"/>
    <w:rsid w:val="18CA21AC"/>
    <w:rsid w:val="18D64F20"/>
    <w:rsid w:val="18EE574D"/>
    <w:rsid w:val="19341F4D"/>
    <w:rsid w:val="193742F6"/>
    <w:rsid w:val="197524E7"/>
    <w:rsid w:val="19761DA4"/>
    <w:rsid w:val="19932372"/>
    <w:rsid w:val="19A07A88"/>
    <w:rsid w:val="19A20DD5"/>
    <w:rsid w:val="19AE03F1"/>
    <w:rsid w:val="19D16EBE"/>
    <w:rsid w:val="19DA1A78"/>
    <w:rsid w:val="19E05098"/>
    <w:rsid w:val="1A071A03"/>
    <w:rsid w:val="1A1A5A79"/>
    <w:rsid w:val="1A1A697E"/>
    <w:rsid w:val="1A1F16AE"/>
    <w:rsid w:val="1A3B5C77"/>
    <w:rsid w:val="1A4C4FFA"/>
    <w:rsid w:val="1A78287A"/>
    <w:rsid w:val="1A7A249A"/>
    <w:rsid w:val="1A984BAD"/>
    <w:rsid w:val="1AB8220E"/>
    <w:rsid w:val="1AE4166C"/>
    <w:rsid w:val="1AF06CFB"/>
    <w:rsid w:val="1AF11B8D"/>
    <w:rsid w:val="1B11359C"/>
    <w:rsid w:val="1B2A271F"/>
    <w:rsid w:val="1B530544"/>
    <w:rsid w:val="1B713184"/>
    <w:rsid w:val="1B825FBC"/>
    <w:rsid w:val="1B9A3283"/>
    <w:rsid w:val="1BA209CF"/>
    <w:rsid w:val="1BA411A5"/>
    <w:rsid w:val="1BB4777D"/>
    <w:rsid w:val="1BD75AB8"/>
    <w:rsid w:val="1BE22A26"/>
    <w:rsid w:val="1C0459C2"/>
    <w:rsid w:val="1C1B3B4A"/>
    <w:rsid w:val="1C537570"/>
    <w:rsid w:val="1C88086E"/>
    <w:rsid w:val="1CA045EE"/>
    <w:rsid w:val="1CC47A8B"/>
    <w:rsid w:val="1D266CE1"/>
    <w:rsid w:val="1D316024"/>
    <w:rsid w:val="1D3963AF"/>
    <w:rsid w:val="1D6A673C"/>
    <w:rsid w:val="1D9247AE"/>
    <w:rsid w:val="1DB567EC"/>
    <w:rsid w:val="1DEC22C4"/>
    <w:rsid w:val="1DF51A98"/>
    <w:rsid w:val="1E3D060F"/>
    <w:rsid w:val="1E3F7D2E"/>
    <w:rsid w:val="1E4134E4"/>
    <w:rsid w:val="1E5062B3"/>
    <w:rsid w:val="1E523514"/>
    <w:rsid w:val="1E5A660D"/>
    <w:rsid w:val="1E714A66"/>
    <w:rsid w:val="1E730E11"/>
    <w:rsid w:val="1E743AF2"/>
    <w:rsid w:val="1E802593"/>
    <w:rsid w:val="1E8B6156"/>
    <w:rsid w:val="1EA703CC"/>
    <w:rsid w:val="1EB7330C"/>
    <w:rsid w:val="1EF84201"/>
    <w:rsid w:val="1F0A0FF3"/>
    <w:rsid w:val="1F313724"/>
    <w:rsid w:val="1F366677"/>
    <w:rsid w:val="1F5771FF"/>
    <w:rsid w:val="1F803199"/>
    <w:rsid w:val="1FE868A9"/>
    <w:rsid w:val="20034907"/>
    <w:rsid w:val="20173E4B"/>
    <w:rsid w:val="204E48BC"/>
    <w:rsid w:val="208921B3"/>
    <w:rsid w:val="2093370A"/>
    <w:rsid w:val="20973DEB"/>
    <w:rsid w:val="20B26522"/>
    <w:rsid w:val="20B34C6B"/>
    <w:rsid w:val="20B44310"/>
    <w:rsid w:val="20DF1008"/>
    <w:rsid w:val="20EE2FE4"/>
    <w:rsid w:val="211116EB"/>
    <w:rsid w:val="211E01F0"/>
    <w:rsid w:val="212D6D8F"/>
    <w:rsid w:val="216133FC"/>
    <w:rsid w:val="218944CA"/>
    <w:rsid w:val="21B3021E"/>
    <w:rsid w:val="21D56769"/>
    <w:rsid w:val="21D62C50"/>
    <w:rsid w:val="21E52EF3"/>
    <w:rsid w:val="21FB5D7B"/>
    <w:rsid w:val="220B1C3D"/>
    <w:rsid w:val="221D1D20"/>
    <w:rsid w:val="22334A87"/>
    <w:rsid w:val="225E0148"/>
    <w:rsid w:val="22636C97"/>
    <w:rsid w:val="22B61EBB"/>
    <w:rsid w:val="22B83BEE"/>
    <w:rsid w:val="22BE6801"/>
    <w:rsid w:val="22C04C60"/>
    <w:rsid w:val="22E03145"/>
    <w:rsid w:val="23113F1A"/>
    <w:rsid w:val="233500BF"/>
    <w:rsid w:val="23377FF7"/>
    <w:rsid w:val="236B425F"/>
    <w:rsid w:val="23836192"/>
    <w:rsid w:val="23901F29"/>
    <w:rsid w:val="239C0061"/>
    <w:rsid w:val="23B908A4"/>
    <w:rsid w:val="23E406C4"/>
    <w:rsid w:val="23E95BEF"/>
    <w:rsid w:val="23FC52F4"/>
    <w:rsid w:val="23FD0064"/>
    <w:rsid w:val="244C6C81"/>
    <w:rsid w:val="245375B0"/>
    <w:rsid w:val="24642C0A"/>
    <w:rsid w:val="24667B44"/>
    <w:rsid w:val="246A3BA8"/>
    <w:rsid w:val="248B443A"/>
    <w:rsid w:val="2492728B"/>
    <w:rsid w:val="249307DC"/>
    <w:rsid w:val="24B22173"/>
    <w:rsid w:val="24B347E7"/>
    <w:rsid w:val="24B95AD9"/>
    <w:rsid w:val="24BE24DA"/>
    <w:rsid w:val="24CC572F"/>
    <w:rsid w:val="24CF5825"/>
    <w:rsid w:val="24D663E6"/>
    <w:rsid w:val="24D77F2B"/>
    <w:rsid w:val="24E4449F"/>
    <w:rsid w:val="24E64937"/>
    <w:rsid w:val="25050C41"/>
    <w:rsid w:val="252B4E42"/>
    <w:rsid w:val="254F52B1"/>
    <w:rsid w:val="25571FF4"/>
    <w:rsid w:val="258B00E2"/>
    <w:rsid w:val="258D6809"/>
    <w:rsid w:val="25A34E23"/>
    <w:rsid w:val="25A917A6"/>
    <w:rsid w:val="25BE27CC"/>
    <w:rsid w:val="25E92F53"/>
    <w:rsid w:val="25EA3C74"/>
    <w:rsid w:val="25F74A5C"/>
    <w:rsid w:val="260C23EB"/>
    <w:rsid w:val="261260D7"/>
    <w:rsid w:val="2628662C"/>
    <w:rsid w:val="262D45DE"/>
    <w:rsid w:val="266E6AE8"/>
    <w:rsid w:val="267E09C1"/>
    <w:rsid w:val="26871DC8"/>
    <w:rsid w:val="26A53EF9"/>
    <w:rsid w:val="26A6481F"/>
    <w:rsid w:val="26A94201"/>
    <w:rsid w:val="26AC274F"/>
    <w:rsid w:val="26C97FF4"/>
    <w:rsid w:val="270377E9"/>
    <w:rsid w:val="27044A29"/>
    <w:rsid w:val="271D34C8"/>
    <w:rsid w:val="2729764F"/>
    <w:rsid w:val="272F6449"/>
    <w:rsid w:val="274C4FBA"/>
    <w:rsid w:val="276142BF"/>
    <w:rsid w:val="27783712"/>
    <w:rsid w:val="27907362"/>
    <w:rsid w:val="279B7084"/>
    <w:rsid w:val="27A02A0E"/>
    <w:rsid w:val="27D668AA"/>
    <w:rsid w:val="281366CC"/>
    <w:rsid w:val="282D0BDB"/>
    <w:rsid w:val="28333E1D"/>
    <w:rsid w:val="28454BD6"/>
    <w:rsid w:val="28455253"/>
    <w:rsid w:val="28551971"/>
    <w:rsid w:val="285B1C53"/>
    <w:rsid w:val="289B26A7"/>
    <w:rsid w:val="289F7086"/>
    <w:rsid w:val="28C32028"/>
    <w:rsid w:val="28CC490F"/>
    <w:rsid w:val="28DE40AA"/>
    <w:rsid w:val="29345E77"/>
    <w:rsid w:val="29421565"/>
    <w:rsid w:val="29453CBE"/>
    <w:rsid w:val="294C65AD"/>
    <w:rsid w:val="294E3480"/>
    <w:rsid w:val="29806583"/>
    <w:rsid w:val="298B3C4C"/>
    <w:rsid w:val="299D3240"/>
    <w:rsid w:val="29EB63A2"/>
    <w:rsid w:val="29F26D24"/>
    <w:rsid w:val="2A15033F"/>
    <w:rsid w:val="2A1662C1"/>
    <w:rsid w:val="2A196977"/>
    <w:rsid w:val="2A1C7367"/>
    <w:rsid w:val="2A200230"/>
    <w:rsid w:val="2A2815FA"/>
    <w:rsid w:val="2A4A09B4"/>
    <w:rsid w:val="2A6D6092"/>
    <w:rsid w:val="2A7A1CCA"/>
    <w:rsid w:val="2A7D76B4"/>
    <w:rsid w:val="2A830ABD"/>
    <w:rsid w:val="2AD8021A"/>
    <w:rsid w:val="2AEE1B3B"/>
    <w:rsid w:val="2AF47F2E"/>
    <w:rsid w:val="2B4118C4"/>
    <w:rsid w:val="2B437463"/>
    <w:rsid w:val="2B761C06"/>
    <w:rsid w:val="2B7807EE"/>
    <w:rsid w:val="2B8C47CE"/>
    <w:rsid w:val="2B945BCF"/>
    <w:rsid w:val="2BA50BF7"/>
    <w:rsid w:val="2BBF00EC"/>
    <w:rsid w:val="2BC37CFD"/>
    <w:rsid w:val="2BCB2E8E"/>
    <w:rsid w:val="2BD5237F"/>
    <w:rsid w:val="2BE536CE"/>
    <w:rsid w:val="2BE758D9"/>
    <w:rsid w:val="2BEA7DD3"/>
    <w:rsid w:val="2C09049E"/>
    <w:rsid w:val="2C0A653C"/>
    <w:rsid w:val="2C191F85"/>
    <w:rsid w:val="2C37616F"/>
    <w:rsid w:val="2C6B3DCF"/>
    <w:rsid w:val="2C8C4873"/>
    <w:rsid w:val="2C994A93"/>
    <w:rsid w:val="2CE82D6F"/>
    <w:rsid w:val="2D2216DE"/>
    <w:rsid w:val="2D343236"/>
    <w:rsid w:val="2D706EC2"/>
    <w:rsid w:val="2D956040"/>
    <w:rsid w:val="2DC53663"/>
    <w:rsid w:val="2DD15014"/>
    <w:rsid w:val="2DF72DE4"/>
    <w:rsid w:val="2DFD17EA"/>
    <w:rsid w:val="2E0220AF"/>
    <w:rsid w:val="2E2A66CA"/>
    <w:rsid w:val="2E4B082A"/>
    <w:rsid w:val="2E5D4E86"/>
    <w:rsid w:val="2E5D790B"/>
    <w:rsid w:val="2E776A61"/>
    <w:rsid w:val="2E9A143D"/>
    <w:rsid w:val="2E9A3C18"/>
    <w:rsid w:val="2EBB0FEE"/>
    <w:rsid w:val="2EC63002"/>
    <w:rsid w:val="2ECB46DA"/>
    <w:rsid w:val="2F064D1A"/>
    <w:rsid w:val="2F0A6B38"/>
    <w:rsid w:val="2F0E78D3"/>
    <w:rsid w:val="2F585F5C"/>
    <w:rsid w:val="2F816386"/>
    <w:rsid w:val="2F923332"/>
    <w:rsid w:val="2F946CCB"/>
    <w:rsid w:val="2FCD6103"/>
    <w:rsid w:val="2FD25781"/>
    <w:rsid w:val="2FDE33BA"/>
    <w:rsid w:val="2FF346DE"/>
    <w:rsid w:val="2FFB7730"/>
    <w:rsid w:val="2FFD7934"/>
    <w:rsid w:val="30201A01"/>
    <w:rsid w:val="305A2255"/>
    <w:rsid w:val="30733ACD"/>
    <w:rsid w:val="308C3862"/>
    <w:rsid w:val="309379D8"/>
    <w:rsid w:val="309B6899"/>
    <w:rsid w:val="30A270F7"/>
    <w:rsid w:val="30DF1478"/>
    <w:rsid w:val="30EA055D"/>
    <w:rsid w:val="30EC586F"/>
    <w:rsid w:val="319C6071"/>
    <w:rsid w:val="31AC537E"/>
    <w:rsid w:val="31B420C4"/>
    <w:rsid w:val="31B82C24"/>
    <w:rsid w:val="31C17BA9"/>
    <w:rsid w:val="31C549B6"/>
    <w:rsid w:val="31E3679B"/>
    <w:rsid w:val="31E732FD"/>
    <w:rsid w:val="31E758D7"/>
    <w:rsid w:val="31F52DF2"/>
    <w:rsid w:val="324E33D2"/>
    <w:rsid w:val="32517576"/>
    <w:rsid w:val="3262346C"/>
    <w:rsid w:val="32A64673"/>
    <w:rsid w:val="32BE5C2C"/>
    <w:rsid w:val="32FB6478"/>
    <w:rsid w:val="330D3A66"/>
    <w:rsid w:val="331E793D"/>
    <w:rsid w:val="332637C2"/>
    <w:rsid w:val="33263B3F"/>
    <w:rsid w:val="336963EB"/>
    <w:rsid w:val="33816EEB"/>
    <w:rsid w:val="338863E7"/>
    <w:rsid w:val="33D80FFE"/>
    <w:rsid w:val="33EB55CD"/>
    <w:rsid w:val="33EC4C02"/>
    <w:rsid w:val="340D2360"/>
    <w:rsid w:val="340D3EB8"/>
    <w:rsid w:val="3410665D"/>
    <w:rsid w:val="34211214"/>
    <w:rsid w:val="342E63AB"/>
    <w:rsid w:val="34433534"/>
    <w:rsid w:val="3466782F"/>
    <w:rsid w:val="347B5D1E"/>
    <w:rsid w:val="34812DB4"/>
    <w:rsid w:val="34950E68"/>
    <w:rsid w:val="34986E94"/>
    <w:rsid w:val="34AF62C9"/>
    <w:rsid w:val="34CB4388"/>
    <w:rsid w:val="34DC2C0A"/>
    <w:rsid w:val="34F944D2"/>
    <w:rsid w:val="34FA6E12"/>
    <w:rsid w:val="354D7158"/>
    <w:rsid w:val="358D5588"/>
    <w:rsid w:val="36136070"/>
    <w:rsid w:val="363924A3"/>
    <w:rsid w:val="363A3B40"/>
    <w:rsid w:val="365302AE"/>
    <w:rsid w:val="36605FE5"/>
    <w:rsid w:val="36607A0A"/>
    <w:rsid w:val="366E227C"/>
    <w:rsid w:val="366F2E0D"/>
    <w:rsid w:val="367B6A5C"/>
    <w:rsid w:val="36A74ADA"/>
    <w:rsid w:val="36AD60D5"/>
    <w:rsid w:val="36B224F9"/>
    <w:rsid w:val="36EC0CC9"/>
    <w:rsid w:val="37390A8E"/>
    <w:rsid w:val="373F410B"/>
    <w:rsid w:val="3756404C"/>
    <w:rsid w:val="37611015"/>
    <w:rsid w:val="376A0174"/>
    <w:rsid w:val="3786509C"/>
    <w:rsid w:val="378C13F6"/>
    <w:rsid w:val="37BD1A5A"/>
    <w:rsid w:val="37E1109A"/>
    <w:rsid w:val="37E16E9C"/>
    <w:rsid w:val="37EE7094"/>
    <w:rsid w:val="38296C89"/>
    <w:rsid w:val="382A0C93"/>
    <w:rsid w:val="383002EB"/>
    <w:rsid w:val="385839A6"/>
    <w:rsid w:val="38586797"/>
    <w:rsid w:val="388843DC"/>
    <w:rsid w:val="38BC0149"/>
    <w:rsid w:val="38C277EB"/>
    <w:rsid w:val="38D87D1C"/>
    <w:rsid w:val="38DE6D4B"/>
    <w:rsid w:val="391F535F"/>
    <w:rsid w:val="392E73EA"/>
    <w:rsid w:val="39636459"/>
    <w:rsid w:val="396B7F6C"/>
    <w:rsid w:val="399C14F7"/>
    <w:rsid w:val="39B417A9"/>
    <w:rsid w:val="39D00F17"/>
    <w:rsid w:val="39D17336"/>
    <w:rsid w:val="39F5707E"/>
    <w:rsid w:val="39FC5695"/>
    <w:rsid w:val="3A006D8E"/>
    <w:rsid w:val="3A3651E5"/>
    <w:rsid w:val="3A4E2342"/>
    <w:rsid w:val="3A744481"/>
    <w:rsid w:val="3A8C7BEF"/>
    <w:rsid w:val="3A906246"/>
    <w:rsid w:val="3B2349B7"/>
    <w:rsid w:val="3B4677B8"/>
    <w:rsid w:val="3B4F5EBB"/>
    <w:rsid w:val="3B616CFF"/>
    <w:rsid w:val="3B6259F6"/>
    <w:rsid w:val="3B894B0B"/>
    <w:rsid w:val="3B976654"/>
    <w:rsid w:val="3B9B68EE"/>
    <w:rsid w:val="3BC01EFC"/>
    <w:rsid w:val="3BC52CC1"/>
    <w:rsid w:val="3BCA786A"/>
    <w:rsid w:val="3BD06659"/>
    <w:rsid w:val="3BD31E2F"/>
    <w:rsid w:val="3BF15831"/>
    <w:rsid w:val="3C105946"/>
    <w:rsid w:val="3C3A44D8"/>
    <w:rsid w:val="3C471448"/>
    <w:rsid w:val="3C556941"/>
    <w:rsid w:val="3C5F759A"/>
    <w:rsid w:val="3C616601"/>
    <w:rsid w:val="3C6C525A"/>
    <w:rsid w:val="3CA60D3D"/>
    <w:rsid w:val="3CCE23CB"/>
    <w:rsid w:val="3CD17D17"/>
    <w:rsid w:val="3CED249E"/>
    <w:rsid w:val="3CEE6358"/>
    <w:rsid w:val="3D3B2FFA"/>
    <w:rsid w:val="3D3C7F39"/>
    <w:rsid w:val="3D440F09"/>
    <w:rsid w:val="3D4504A0"/>
    <w:rsid w:val="3D570F2B"/>
    <w:rsid w:val="3D5A1DE7"/>
    <w:rsid w:val="3D64467C"/>
    <w:rsid w:val="3D7E0A99"/>
    <w:rsid w:val="3D8734BB"/>
    <w:rsid w:val="3D9A11D4"/>
    <w:rsid w:val="3DA16D89"/>
    <w:rsid w:val="3DA364BE"/>
    <w:rsid w:val="3DA475D8"/>
    <w:rsid w:val="3DB02A4F"/>
    <w:rsid w:val="3DB67810"/>
    <w:rsid w:val="3DD50C8A"/>
    <w:rsid w:val="3DD548B4"/>
    <w:rsid w:val="3DE041CB"/>
    <w:rsid w:val="3E0D48F6"/>
    <w:rsid w:val="3E1868B4"/>
    <w:rsid w:val="3E1D2DF9"/>
    <w:rsid w:val="3E377251"/>
    <w:rsid w:val="3E42664B"/>
    <w:rsid w:val="3E5A7334"/>
    <w:rsid w:val="3E7B5D6B"/>
    <w:rsid w:val="3E843E66"/>
    <w:rsid w:val="3E8F51FE"/>
    <w:rsid w:val="3E926F87"/>
    <w:rsid w:val="3E992734"/>
    <w:rsid w:val="3E9A59DE"/>
    <w:rsid w:val="3EA95CBD"/>
    <w:rsid w:val="3EAF4836"/>
    <w:rsid w:val="3EC33DFA"/>
    <w:rsid w:val="3EF66285"/>
    <w:rsid w:val="3F060E16"/>
    <w:rsid w:val="3F1D1096"/>
    <w:rsid w:val="3F2F0234"/>
    <w:rsid w:val="3F5707E4"/>
    <w:rsid w:val="3F6363FE"/>
    <w:rsid w:val="3F756B8F"/>
    <w:rsid w:val="3F8D4B70"/>
    <w:rsid w:val="3F95482B"/>
    <w:rsid w:val="3FAF4907"/>
    <w:rsid w:val="400B2468"/>
    <w:rsid w:val="4019136A"/>
    <w:rsid w:val="4019356B"/>
    <w:rsid w:val="401E1828"/>
    <w:rsid w:val="402B19D5"/>
    <w:rsid w:val="40592157"/>
    <w:rsid w:val="406E1CAE"/>
    <w:rsid w:val="40937DD1"/>
    <w:rsid w:val="40A0133A"/>
    <w:rsid w:val="40C31A53"/>
    <w:rsid w:val="40C657CD"/>
    <w:rsid w:val="40F33AA5"/>
    <w:rsid w:val="40F92A66"/>
    <w:rsid w:val="40FF545D"/>
    <w:rsid w:val="410067C8"/>
    <w:rsid w:val="413C45E3"/>
    <w:rsid w:val="4147433B"/>
    <w:rsid w:val="418F0D2A"/>
    <w:rsid w:val="4193304C"/>
    <w:rsid w:val="419500D6"/>
    <w:rsid w:val="41D01505"/>
    <w:rsid w:val="42006AB8"/>
    <w:rsid w:val="42082B4F"/>
    <w:rsid w:val="4238518B"/>
    <w:rsid w:val="42474939"/>
    <w:rsid w:val="424C3C57"/>
    <w:rsid w:val="42613FF3"/>
    <w:rsid w:val="42660D96"/>
    <w:rsid w:val="428667D2"/>
    <w:rsid w:val="42CD1CE0"/>
    <w:rsid w:val="42D53E10"/>
    <w:rsid w:val="42DD4DBD"/>
    <w:rsid w:val="42E1381E"/>
    <w:rsid w:val="42ED6459"/>
    <w:rsid w:val="42FE58DD"/>
    <w:rsid w:val="43174B3D"/>
    <w:rsid w:val="433F0E43"/>
    <w:rsid w:val="434B790E"/>
    <w:rsid w:val="435A7958"/>
    <w:rsid w:val="4360274F"/>
    <w:rsid w:val="43977AB6"/>
    <w:rsid w:val="43A3342B"/>
    <w:rsid w:val="43AA2F9D"/>
    <w:rsid w:val="43C77C27"/>
    <w:rsid w:val="43DE09EE"/>
    <w:rsid w:val="44002FAD"/>
    <w:rsid w:val="4430589B"/>
    <w:rsid w:val="44356927"/>
    <w:rsid w:val="446612A5"/>
    <w:rsid w:val="449101DD"/>
    <w:rsid w:val="449D00C3"/>
    <w:rsid w:val="44DE1391"/>
    <w:rsid w:val="44E72961"/>
    <w:rsid w:val="451B225C"/>
    <w:rsid w:val="452410C9"/>
    <w:rsid w:val="452B71EC"/>
    <w:rsid w:val="452E1696"/>
    <w:rsid w:val="45317DFB"/>
    <w:rsid w:val="456D3CE4"/>
    <w:rsid w:val="4579042C"/>
    <w:rsid w:val="457E4BFD"/>
    <w:rsid w:val="457F0571"/>
    <w:rsid w:val="45851176"/>
    <w:rsid w:val="45853C91"/>
    <w:rsid w:val="458A2D71"/>
    <w:rsid w:val="458E4BD4"/>
    <w:rsid w:val="459C0750"/>
    <w:rsid w:val="45C63B94"/>
    <w:rsid w:val="45F134FD"/>
    <w:rsid w:val="460E7DA5"/>
    <w:rsid w:val="461A57AC"/>
    <w:rsid w:val="461B579A"/>
    <w:rsid w:val="46422483"/>
    <w:rsid w:val="4659254A"/>
    <w:rsid w:val="465B0637"/>
    <w:rsid w:val="465E3F0D"/>
    <w:rsid w:val="466A16E6"/>
    <w:rsid w:val="466D0DD7"/>
    <w:rsid w:val="46791209"/>
    <w:rsid w:val="46893F2B"/>
    <w:rsid w:val="46A212C0"/>
    <w:rsid w:val="46C4686E"/>
    <w:rsid w:val="472A3E43"/>
    <w:rsid w:val="47391126"/>
    <w:rsid w:val="473D0E4D"/>
    <w:rsid w:val="477B778F"/>
    <w:rsid w:val="478203EC"/>
    <w:rsid w:val="478464A5"/>
    <w:rsid w:val="47B025FA"/>
    <w:rsid w:val="47EC7057"/>
    <w:rsid w:val="48010DED"/>
    <w:rsid w:val="4809698F"/>
    <w:rsid w:val="48097DF4"/>
    <w:rsid w:val="480C2553"/>
    <w:rsid w:val="4811697D"/>
    <w:rsid w:val="4853049A"/>
    <w:rsid w:val="487A3E25"/>
    <w:rsid w:val="487B0FC2"/>
    <w:rsid w:val="48833F78"/>
    <w:rsid w:val="488B5503"/>
    <w:rsid w:val="48937E21"/>
    <w:rsid w:val="48975AF1"/>
    <w:rsid w:val="489A0361"/>
    <w:rsid w:val="48B94FF3"/>
    <w:rsid w:val="48CD3EBF"/>
    <w:rsid w:val="48E37AAB"/>
    <w:rsid w:val="48EC362B"/>
    <w:rsid w:val="48FB2C50"/>
    <w:rsid w:val="48FD4B4C"/>
    <w:rsid w:val="490606C8"/>
    <w:rsid w:val="490A68E0"/>
    <w:rsid w:val="491055FE"/>
    <w:rsid w:val="49131B61"/>
    <w:rsid w:val="494C6EA1"/>
    <w:rsid w:val="494D4D8B"/>
    <w:rsid w:val="495F5B3E"/>
    <w:rsid w:val="496F77D7"/>
    <w:rsid w:val="497654FD"/>
    <w:rsid w:val="498F505D"/>
    <w:rsid w:val="49B64211"/>
    <w:rsid w:val="49F0243A"/>
    <w:rsid w:val="49F6167F"/>
    <w:rsid w:val="4A064FA0"/>
    <w:rsid w:val="4A16615C"/>
    <w:rsid w:val="4A4424D7"/>
    <w:rsid w:val="4A493572"/>
    <w:rsid w:val="4A6E0CA4"/>
    <w:rsid w:val="4A83134F"/>
    <w:rsid w:val="4AB82D0F"/>
    <w:rsid w:val="4AEB7664"/>
    <w:rsid w:val="4AFD7C19"/>
    <w:rsid w:val="4B0567D1"/>
    <w:rsid w:val="4B236AAE"/>
    <w:rsid w:val="4B555D27"/>
    <w:rsid w:val="4B5E0F27"/>
    <w:rsid w:val="4B6D6E85"/>
    <w:rsid w:val="4B707271"/>
    <w:rsid w:val="4B9739F7"/>
    <w:rsid w:val="4B974368"/>
    <w:rsid w:val="4B9A5ABA"/>
    <w:rsid w:val="4B9A6B21"/>
    <w:rsid w:val="4B9C1FA2"/>
    <w:rsid w:val="4BE96C25"/>
    <w:rsid w:val="4BEE2503"/>
    <w:rsid w:val="4BF80D38"/>
    <w:rsid w:val="4C245A30"/>
    <w:rsid w:val="4C5D53ED"/>
    <w:rsid w:val="4C676029"/>
    <w:rsid w:val="4CA601B0"/>
    <w:rsid w:val="4CAF7256"/>
    <w:rsid w:val="4CB6685F"/>
    <w:rsid w:val="4CC367FE"/>
    <w:rsid w:val="4CD54317"/>
    <w:rsid w:val="4D077F3C"/>
    <w:rsid w:val="4D123355"/>
    <w:rsid w:val="4D2A3B31"/>
    <w:rsid w:val="4D312C52"/>
    <w:rsid w:val="4D4B0F25"/>
    <w:rsid w:val="4D905305"/>
    <w:rsid w:val="4D964A72"/>
    <w:rsid w:val="4D9C1254"/>
    <w:rsid w:val="4E0E210B"/>
    <w:rsid w:val="4E526455"/>
    <w:rsid w:val="4E5A0B37"/>
    <w:rsid w:val="4E793892"/>
    <w:rsid w:val="4E800872"/>
    <w:rsid w:val="4E9532A8"/>
    <w:rsid w:val="4E9A20A5"/>
    <w:rsid w:val="4EC569ED"/>
    <w:rsid w:val="4ED50EA1"/>
    <w:rsid w:val="4EEC050C"/>
    <w:rsid w:val="4EF23735"/>
    <w:rsid w:val="4EF833C6"/>
    <w:rsid w:val="4F104EC3"/>
    <w:rsid w:val="4F47354A"/>
    <w:rsid w:val="4F911C54"/>
    <w:rsid w:val="4FE625E0"/>
    <w:rsid w:val="4FED5402"/>
    <w:rsid w:val="5021480F"/>
    <w:rsid w:val="505D15FC"/>
    <w:rsid w:val="506C1562"/>
    <w:rsid w:val="50707CB0"/>
    <w:rsid w:val="50755E1B"/>
    <w:rsid w:val="50962ECB"/>
    <w:rsid w:val="50A42E38"/>
    <w:rsid w:val="50A4577F"/>
    <w:rsid w:val="50B73D1F"/>
    <w:rsid w:val="50BD5BC9"/>
    <w:rsid w:val="50C11EEE"/>
    <w:rsid w:val="50D73351"/>
    <w:rsid w:val="50E97CFC"/>
    <w:rsid w:val="50F1399D"/>
    <w:rsid w:val="50FA4028"/>
    <w:rsid w:val="50FE434C"/>
    <w:rsid w:val="510D65B7"/>
    <w:rsid w:val="511157AB"/>
    <w:rsid w:val="5142540C"/>
    <w:rsid w:val="518832C8"/>
    <w:rsid w:val="519973EF"/>
    <w:rsid w:val="51A0432A"/>
    <w:rsid w:val="51A86090"/>
    <w:rsid w:val="51B7396D"/>
    <w:rsid w:val="51F4743E"/>
    <w:rsid w:val="522E4CC3"/>
    <w:rsid w:val="5244713B"/>
    <w:rsid w:val="52615633"/>
    <w:rsid w:val="526A04DD"/>
    <w:rsid w:val="52977FD4"/>
    <w:rsid w:val="52A25790"/>
    <w:rsid w:val="52A96B6F"/>
    <w:rsid w:val="52B45975"/>
    <w:rsid w:val="52D94AA4"/>
    <w:rsid w:val="52EA3A62"/>
    <w:rsid w:val="52F50BB8"/>
    <w:rsid w:val="53097272"/>
    <w:rsid w:val="53544462"/>
    <w:rsid w:val="53676980"/>
    <w:rsid w:val="53960CB2"/>
    <w:rsid w:val="5397158E"/>
    <w:rsid w:val="53D42C20"/>
    <w:rsid w:val="54013861"/>
    <w:rsid w:val="54487265"/>
    <w:rsid w:val="544D6070"/>
    <w:rsid w:val="545B4ECF"/>
    <w:rsid w:val="54605E1E"/>
    <w:rsid w:val="548D56AF"/>
    <w:rsid w:val="54B3506A"/>
    <w:rsid w:val="54CA0D16"/>
    <w:rsid w:val="54DD4057"/>
    <w:rsid w:val="54E7490F"/>
    <w:rsid w:val="54FF4546"/>
    <w:rsid w:val="55061018"/>
    <w:rsid w:val="550764A4"/>
    <w:rsid w:val="550B2BF6"/>
    <w:rsid w:val="55214EB5"/>
    <w:rsid w:val="55364EFD"/>
    <w:rsid w:val="55414803"/>
    <w:rsid w:val="555D4828"/>
    <w:rsid w:val="557A4C8B"/>
    <w:rsid w:val="558931E1"/>
    <w:rsid w:val="55923347"/>
    <w:rsid w:val="55925180"/>
    <w:rsid w:val="55983B1B"/>
    <w:rsid w:val="55A8376B"/>
    <w:rsid w:val="55C248FD"/>
    <w:rsid w:val="55D87B28"/>
    <w:rsid w:val="55DC29B6"/>
    <w:rsid w:val="55DD4241"/>
    <w:rsid w:val="55F16964"/>
    <w:rsid w:val="55FA20BB"/>
    <w:rsid w:val="560A7BD7"/>
    <w:rsid w:val="561C1BE8"/>
    <w:rsid w:val="566B6D1E"/>
    <w:rsid w:val="567D2234"/>
    <w:rsid w:val="569E129D"/>
    <w:rsid w:val="56C76EC1"/>
    <w:rsid w:val="57032A2C"/>
    <w:rsid w:val="570F5219"/>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914238"/>
    <w:rsid w:val="58917D2F"/>
    <w:rsid w:val="5894085C"/>
    <w:rsid w:val="58AE4F0C"/>
    <w:rsid w:val="58B85899"/>
    <w:rsid w:val="58C0702C"/>
    <w:rsid w:val="58E363A9"/>
    <w:rsid w:val="59272ECB"/>
    <w:rsid w:val="59307B25"/>
    <w:rsid w:val="595E1678"/>
    <w:rsid w:val="596D5BD4"/>
    <w:rsid w:val="597E3DD8"/>
    <w:rsid w:val="59AB1AC0"/>
    <w:rsid w:val="59B31026"/>
    <w:rsid w:val="59C812C8"/>
    <w:rsid w:val="59F80043"/>
    <w:rsid w:val="5A09252F"/>
    <w:rsid w:val="5A0B2778"/>
    <w:rsid w:val="5A2A7C7B"/>
    <w:rsid w:val="5A380D61"/>
    <w:rsid w:val="5A3E2560"/>
    <w:rsid w:val="5A5D3B6E"/>
    <w:rsid w:val="5A637A76"/>
    <w:rsid w:val="5A686384"/>
    <w:rsid w:val="5A6D33BA"/>
    <w:rsid w:val="5A792B1F"/>
    <w:rsid w:val="5A874767"/>
    <w:rsid w:val="5A9A655F"/>
    <w:rsid w:val="5AA85BE2"/>
    <w:rsid w:val="5AAD6F28"/>
    <w:rsid w:val="5AD63A24"/>
    <w:rsid w:val="5AE51FB6"/>
    <w:rsid w:val="5B0B0B6B"/>
    <w:rsid w:val="5B2E1A1D"/>
    <w:rsid w:val="5B47691A"/>
    <w:rsid w:val="5B821584"/>
    <w:rsid w:val="5B843A1C"/>
    <w:rsid w:val="5B873E3F"/>
    <w:rsid w:val="5BC9690A"/>
    <w:rsid w:val="5C02690E"/>
    <w:rsid w:val="5C196DA7"/>
    <w:rsid w:val="5C2A048C"/>
    <w:rsid w:val="5C2A578C"/>
    <w:rsid w:val="5C35640B"/>
    <w:rsid w:val="5C641793"/>
    <w:rsid w:val="5C7422AE"/>
    <w:rsid w:val="5C80234E"/>
    <w:rsid w:val="5C8A680C"/>
    <w:rsid w:val="5C990941"/>
    <w:rsid w:val="5CB03221"/>
    <w:rsid w:val="5CDE5BAD"/>
    <w:rsid w:val="5CE45C2B"/>
    <w:rsid w:val="5CEB387F"/>
    <w:rsid w:val="5D0C4701"/>
    <w:rsid w:val="5D0F0395"/>
    <w:rsid w:val="5D221076"/>
    <w:rsid w:val="5D307D5D"/>
    <w:rsid w:val="5D397964"/>
    <w:rsid w:val="5D551783"/>
    <w:rsid w:val="5D5A391C"/>
    <w:rsid w:val="5D5F10C0"/>
    <w:rsid w:val="5D891B7B"/>
    <w:rsid w:val="5D893FC3"/>
    <w:rsid w:val="5D8A5E82"/>
    <w:rsid w:val="5D930F65"/>
    <w:rsid w:val="5D945FAA"/>
    <w:rsid w:val="5DAD38EE"/>
    <w:rsid w:val="5E006862"/>
    <w:rsid w:val="5E0207B9"/>
    <w:rsid w:val="5E093CEF"/>
    <w:rsid w:val="5E1834A1"/>
    <w:rsid w:val="5E261785"/>
    <w:rsid w:val="5E4A7017"/>
    <w:rsid w:val="5E552BBA"/>
    <w:rsid w:val="5E5F0EBF"/>
    <w:rsid w:val="5E611C10"/>
    <w:rsid w:val="5E626095"/>
    <w:rsid w:val="5E74631F"/>
    <w:rsid w:val="5E765627"/>
    <w:rsid w:val="5E7A0F3F"/>
    <w:rsid w:val="5E866777"/>
    <w:rsid w:val="5EF50A1B"/>
    <w:rsid w:val="5EFC7377"/>
    <w:rsid w:val="5F012A1A"/>
    <w:rsid w:val="5F06174D"/>
    <w:rsid w:val="5F3A3602"/>
    <w:rsid w:val="5F45733B"/>
    <w:rsid w:val="5F5B211E"/>
    <w:rsid w:val="5F6277C6"/>
    <w:rsid w:val="5F6D0B1D"/>
    <w:rsid w:val="5F8D0B82"/>
    <w:rsid w:val="5FA61B85"/>
    <w:rsid w:val="5FCC5339"/>
    <w:rsid w:val="5FE34A5B"/>
    <w:rsid w:val="5FFE1E36"/>
    <w:rsid w:val="60172C7B"/>
    <w:rsid w:val="60232584"/>
    <w:rsid w:val="60305BC5"/>
    <w:rsid w:val="605864BB"/>
    <w:rsid w:val="607330CE"/>
    <w:rsid w:val="60825176"/>
    <w:rsid w:val="60873AD9"/>
    <w:rsid w:val="6098238E"/>
    <w:rsid w:val="609F2AC4"/>
    <w:rsid w:val="60C413D5"/>
    <w:rsid w:val="60FA2EE8"/>
    <w:rsid w:val="60FD48E7"/>
    <w:rsid w:val="61054A27"/>
    <w:rsid w:val="610A52BC"/>
    <w:rsid w:val="611D2366"/>
    <w:rsid w:val="61421856"/>
    <w:rsid w:val="61436331"/>
    <w:rsid w:val="615227C4"/>
    <w:rsid w:val="61654E3F"/>
    <w:rsid w:val="617514F6"/>
    <w:rsid w:val="6182292A"/>
    <w:rsid w:val="618B5F69"/>
    <w:rsid w:val="61920318"/>
    <w:rsid w:val="61985864"/>
    <w:rsid w:val="619F7F92"/>
    <w:rsid w:val="61BB155E"/>
    <w:rsid w:val="61BD2EFD"/>
    <w:rsid w:val="61DA2E84"/>
    <w:rsid w:val="61F94C26"/>
    <w:rsid w:val="62000E56"/>
    <w:rsid w:val="62244584"/>
    <w:rsid w:val="624F3E49"/>
    <w:rsid w:val="62632286"/>
    <w:rsid w:val="62775066"/>
    <w:rsid w:val="62885958"/>
    <w:rsid w:val="628903DB"/>
    <w:rsid w:val="62A226C2"/>
    <w:rsid w:val="62BC7606"/>
    <w:rsid w:val="62C860CC"/>
    <w:rsid w:val="62F40B65"/>
    <w:rsid w:val="62FC2CFE"/>
    <w:rsid w:val="63024505"/>
    <w:rsid w:val="63540CCD"/>
    <w:rsid w:val="635B1DB5"/>
    <w:rsid w:val="63711FED"/>
    <w:rsid w:val="6384682A"/>
    <w:rsid w:val="63880DDC"/>
    <w:rsid w:val="63885935"/>
    <w:rsid w:val="638D750D"/>
    <w:rsid w:val="63AC52D2"/>
    <w:rsid w:val="63AC6CC0"/>
    <w:rsid w:val="63B048E8"/>
    <w:rsid w:val="63EA75B7"/>
    <w:rsid w:val="64043733"/>
    <w:rsid w:val="64055776"/>
    <w:rsid w:val="64175397"/>
    <w:rsid w:val="64240056"/>
    <w:rsid w:val="64337D05"/>
    <w:rsid w:val="643E143A"/>
    <w:rsid w:val="644A0C02"/>
    <w:rsid w:val="648B6EEF"/>
    <w:rsid w:val="64C158BF"/>
    <w:rsid w:val="64CE2EAA"/>
    <w:rsid w:val="65092215"/>
    <w:rsid w:val="653C3090"/>
    <w:rsid w:val="65854376"/>
    <w:rsid w:val="658767BE"/>
    <w:rsid w:val="65882CD5"/>
    <w:rsid w:val="65892531"/>
    <w:rsid w:val="65E616BA"/>
    <w:rsid w:val="66153939"/>
    <w:rsid w:val="66195831"/>
    <w:rsid w:val="662E75B1"/>
    <w:rsid w:val="66342C2E"/>
    <w:rsid w:val="663E784C"/>
    <w:rsid w:val="66551A38"/>
    <w:rsid w:val="666D1F69"/>
    <w:rsid w:val="667133EA"/>
    <w:rsid w:val="668B6A45"/>
    <w:rsid w:val="66DE04FB"/>
    <w:rsid w:val="66F85C8F"/>
    <w:rsid w:val="671E7365"/>
    <w:rsid w:val="67230B7E"/>
    <w:rsid w:val="67277552"/>
    <w:rsid w:val="672F3F24"/>
    <w:rsid w:val="673E055F"/>
    <w:rsid w:val="67551CE3"/>
    <w:rsid w:val="67736CB8"/>
    <w:rsid w:val="67A22552"/>
    <w:rsid w:val="67A530AB"/>
    <w:rsid w:val="67B22DCC"/>
    <w:rsid w:val="67BE71AA"/>
    <w:rsid w:val="67D90273"/>
    <w:rsid w:val="67DE5875"/>
    <w:rsid w:val="67E55852"/>
    <w:rsid w:val="67EB1AB4"/>
    <w:rsid w:val="67FA1285"/>
    <w:rsid w:val="68551F4F"/>
    <w:rsid w:val="68647B92"/>
    <w:rsid w:val="687C10C9"/>
    <w:rsid w:val="68840C16"/>
    <w:rsid w:val="68876EFB"/>
    <w:rsid w:val="68884654"/>
    <w:rsid w:val="689F444F"/>
    <w:rsid w:val="68B96DBB"/>
    <w:rsid w:val="68CA2805"/>
    <w:rsid w:val="68E85AE5"/>
    <w:rsid w:val="68E937A3"/>
    <w:rsid w:val="693E15D3"/>
    <w:rsid w:val="695F5EA3"/>
    <w:rsid w:val="69627681"/>
    <w:rsid w:val="6977531D"/>
    <w:rsid w:val="69B51747"/>
    <w:rsid w:val="69BD5BBB"/>
    <w:rsid w:val="69CC2BFF"/>
    <w:rsid w:val="69D327F2"/>
    <w:rsid w:val="69FD55B8"/>
    <w:rsid w:val="6A0B1C62"/>
    <w:rsid w:val="6A0C584D"/>
    <w:rsid w:val="6A0D3F4C"/>
    <w:rsid w:val="6A23426E"/>
    <w:rsid w:val="6A2406C8"/>
    <w:rsid w:val="6A4B328A"/>
    <w:rsid w:val="6A4B36BE"/>
    <w:rsid w:val="6A6362C3"/>
    <w:rsid w:val="6A8F2B46"/>
    <w:rsid w:val="6AB20DE6"/>
    <w:rsid w:val="6ABA3454"/>
    <w:rsid w:val="6ADC5EF8"/>
    <w:rsid w:val="6ADE0BD1"/>
    <w:rsid w:val="6AE461D0"/>
    <w:rsid w:val="6AE96859"/>
    <w:rsid w:val="6B147746"/>
    <w:rsid w:val="6B24787C"/>
    <w:rsid w:val="6B573233"/>
    <w:rsid w:val="6B5B6274"/>
    <w:rsid w:val="6B694FD4"/>
    <w:rsid w:val="6B710BD6"/>
    <w:rsid w:val="6B782E6E"/>
    <w:rsid w:val="6B935D53"/>
    <w:rsid w:val="6C196F71"/>
    <w:rsid w:val="6C226FCB"/>
    <w:rsid w:val="6C31226F"/>
    <w:rsid w:val="6C340BCC"/>
    <w:rsid w:val="6C390C24"/>
    <w:rsid w:val="6C552F0B"/>
    <w:rsid w:val="6C831D39"/>
    <w:rsid w:val="6C865790"/>
    <w:rsid w:val="6C8C2DF7"/>
    <w:rsid w:val="6C8C67B7"/>
    <w:rsid w:val="6C9D744C"/>
    <w:rsid w:val="6CFD6256"/>
    <w:rsid w:val="6CFE67A8"/>
    <w:rsid w:val="6D167928"/>
    <w:rsid w:val="6D261515"/>
    <w:rsid w:val="6D26299B"/>
    <w:rsid w:val="6D4772EC"/>
    <w:rsid w:val="6D497D69"/>
    <w:rsid w:val="6D6D4FC1"/>
    <w:rsid w:val="6D8007DE"/>
    <w:rsid w:val="6D9078AF"/>
    <w:rsid w:val="6DAA3FEF"/>
    <w:rsid w:val="6DC0172B"/>
    <w:rsid w:val="6DCB690C"/>
    <w:rsid w:val="6DD41A5B"/>
    <w:rsid w:val="6DF43C2E"/>
    <w:rsid w:val="6DF4670C"/>
    <w:rsid w:val="6DF51CA3"/>
    <w:rsid w:val="6E05604C"/>
    <w:rsid w:val="6E2F184C"/>
    <w:rsid w:val="6E8335BD"/>
    <w:rsid w:val="6E8E12EF"/>
    <w:rsid w:val="6E9045AA"/>
    <w:rsid w:val="6E972936"/>
    <w:rsid w:val="6EB74327"/>
    <w:rsid w:val="6EC91D52"/>
    <w:rsid w:val="6ED34821"/>
    <w:rsid w:val="6ED446C5"/>
    <w:rsid w:val="6EDD6C63"/>
    <w:rsid w:val="6EFA6CD6"/>
    <w:rsid w:val="6F0F7527"/>
    <w:rsid w:val="6F184A18"/>
    <w:rsid w:val="6F2A7D94"/>
    <w:rsid w:val="6F802313"/>
    <w:rsid w:val="6F8331F1"/>
    <w:rsid w:val="6FAE1A09"/>
    <w:rsid w:val="6FD75BF8"/>
    <w:rsid w:val="6FD97A1B"/>
    <w:rsid w:val="6FEF3B3E"/>
    <w:rsid w:val="70046BFE"/>
    <w:rsid w:val="701D23BC"/>
    <w:rsid w:val="703C638E"/>
    <w:rsid w:val="704318A8"/>
    <w:rsid w:val="707723D0"/>
    <w:rsid w:val="70DB77AC"/>
    <w:rsid w:val="70F5661B"/>
    <w:rsid w:val="70FF0D7D"/>
    <w:rsid w:val="7123737D"/>
    <w:rsid w:val="71360107"/>
    <w:rsid w:val="713B688E"/>
    <w:rsid w:val="716167CC"/>
    <w:rsid w:val="7183561A"/>
    <w:rsid w:val="71BE6408"/>
    <w:rsid w:val="71D43752"/>
    <w:rsid w:val="71D7083C"/>
    <w:rsid w:val="71DF0B1D"/>
    <w:rsid w:val="71F1796A"/>
    <w:rsid w:val="720846CC"/>
    <w:rsid w:val="72154626"/>
    <w:rsid w:val="721F290F"/>
    <w:rsid w:val="72202699"/>
    <w:rsid w:val="72262B5D"/>
    <w:rsid w:val="72283FF7"/>
    <w:rsid w:val="722E7212"/>
    <w:rsid w:val="723A0474"/>
    <w:rsid w:val="723F6D35"/>
    <w:rsid w:val="725923E4"/>
    <w:rsid w:val="72864BF7"/>
    <w:rsid w:val="729023FC"/>
    <w:rsid w:val="729B6005"/>
    <w:rsid w:val="733470C6"/>
    <w:rsid w:val="73533CC2"/>
    <w:rsid w:val="736D2DF9"/>
    <w:rsid w:val="73BF35C9"/>
    <w:rsid w:val="73C0646E"/>
    <w:rsid w:val="73D62258"/>
    <w:rsid w:val="74140598"/>
    <w:rsid w:val="742222F5"/>
    <w:rsid w:val="742348D0"/>
    <w:rsid w:val="74476126"/>
    <w:rsid w:val="74624977"/>
    <w:rsid w:val="74706664"/>
    <w:rsid w:val="7475702A"/>
    <w:rsid w:val="747F3682"/>
    <w:rsid w:val="749C4185"/>
    <w:rsid w:val="74A73931"/>
    <w:rsid w:val="74BE006A"/>
    <w:rsid w:val="74DA51BD"/>
    <w:rsid w:val="75067759"/>
    <w:rsid w:val="752E6DCD"/>
    <w:rsid w:val="754B4BDD"/>
    <w:rsid w:val="7551380D"/>
    <w:rsid w:val="75600BE5"/>
    <w:rsid w:val="7564475C"/>
    <w:rsid w:val="75834A5C"/>
    <w:rsid w:val="7583797F"/>
    <w:rsid w:val="75D20F1D"/>
    <w:rsid w:val="75DA2C18"/>
    <w:rsid w:val="75F54412"/>
    <w:rsid w:val="75FF1B9F"/>
    <w:rsid w:val="761969BC"/>
    <w:rsid w:val="761B37BC"/>
    <w:rsid w:val="761D08E0"/>
    <w:rsid w:val="76400B70"/>
    <w:rsid w:val="765D347C"/>
    <w:rsid w:val="76826699"/>
    <w:rsid w:val="7688753D"/>
    <w:rsid w:val="76B651F6"/>
    <w:rsid w:val="76C87133"/>
    <w:rsid w:val="76CD08D5"/>
    <w:rsid w:val="76DB4B92"/>
    <w:rsid w:val="76DF1372"/>
    <w:rsid w:val="76FF4961"/>
    <w:rsid w:val="77052AA4"/>
    <w:rsid w:val="77136511"/>
    <w:rsid w:val="77340A39"/>
    <w:rsid w:val="77351FD0"/>
    <w:rsid w:val="77472422"/>
    <w:rsid w:val="777F31F2"/>
    <w:rsid w:val="77BC4C63"/>
    <w:rsid w:val="77C24C2D"/>
    <w:rsid w:val="77D1700D"/>
    <w:rsid w:val="77E4568D"/>
    <w:rsid w:val="77EC04CC"/>
    <w:rsid w:val="78006A23"/>
    <w:rsid w:val="781E6205"/>
    <w:rsid w:val="78775729"/>
    <w:rsid w:val="78A00DDE"/>
    <w:rsid w:val="78A42DB0"/>
    <w:rsid w:val="78A656AB"/>
    <w:rsid w:val="78B2245C"/>
    <w:rsid w:val="78E172CC"/>
    <w:rsid w:val="78EA1D1F"/>
    <w:rsid w:val="7904172F"/>
    <w:rsid w:val="79062AD2"/>
    <w:rsid w:val="790F7E27"/>
    <w:rsid w:val="79206DB4"/>
    <w:rsid w:val="792A231A"/>
    <w:rsid w:val="79316829"/>
    <w:rsid w:val="79404FE3"/>
    <w:rsid w:val="797C7409"/>
    <w:rsid w:val="797E66A9"/>
    <w:rsid w:val="79A97383"/>
    <w:rsid w:val="79E27E8B"/>
    <w:rsid w:val="79F850CE"/>
    <w:rsid w:val="79FD443C"/>
    <w:rsid w:val="7A0A787C"/>
    <w:rsid w:val="7A1D1975"/>
    <w:rsid w:val="7A3902E6"/>
    <w:rsid w:val="7A3E5150"/>
    <w:rsid w:val="7A4670D6"/>
    <w:rsid w:val="7A534B63"/>
    <w:rsid w:val="7A615382"/>
    <w:rsid w:val="7A653600"/>
    <w:rsid w:val="7A67303B"/>
    <w:rsid w:val="7AAB1D04"/>
    <w:rsid w:val="7ABA4368"/>
    <w:rsid w:val="7AD05746"/>
    <w:rsid w:val="7B0A1BEE"/>
    <w:rsid w:val="7B226FCC"/>
    <w:rsid w:val="7B257FFD"/>
    <w:rsid w:val="7B343476"/>
    <w:rsid w:val="7B5A2978"/>
    <w:rsid w:val="7B5A7E4C"/>
    <w:rsid w:val="7B667AF9"/>
    <w:rsid w:val="7B7468F8"/>
    <w:rsid w:val="7BD65779"/>
    <w:rsid w:val="7BE64CF7"/>
    <w:rsid w:val="7BEE0103"/>
    <w:rsid w:val="7C0A0FE4"/>
    <w:rsid w:val="7C254906"/>
    <w:rsid w:val="7C5022FF"/>
    <w:rsid w:val="7C590818"/>
    <w:rsid w:val="7C6E0182"/>
    <w:rsid w:val="7C7C10F6"/>
    <w:rsid w:val="7C853BEA"/>
    <w:rsid w:val="7C881368"/>
    <w:rsid w:val="7CC935DE"/>
    <w:rsid w:val="7CE27788"/>
    <w:rsid w:val="7CE64D74"/>
    <w:rsid w:val="7CF548F1"/>
    <w:rsid w:val="7D0357E5"/>
    <w:rsid w:val="7D0C32F1"/>
    <w:rsid w:val="7D0F408D"/>
    <w:rsid w:val="7D491C6C"/>
    <w:rsid w:val="7D5429C0"/>
    <w:rsid w:val="7D6E6D43"/>
    <w:rsid w:val="7D7069D2"/>
    <w:rsid w:val="7D894AA5"/>
    <w:rsid w:val="7D8E125C"/>
    <w:rsid w:val="7DAD6DD7"/>
    <w:rsid w:val="7DB57A34"/>
    <w:rsid w:val="7DDB10A1"/>
    <w:rsid w:val="7DE60973"/>
    <w:rsid w:val="7DEF0916"/>
    <w:rsid w:val="7E1E5218"/>
    <w:rsid w:val="7E7514D4"/>
    <w:rsid w:val="7E9A4E1F"/>
    <w:rsid w:val="7EA7723A"/>
    <w:rsid w:val="7EB659FE"/>
    <w:rsid w:val="7EBC6AFC"/>
    <w:rsid w:val="7ED456CF"/>
    <w:rsid w:val="7EF56FBB"/>
    <w:rsid w:val="7EFC38CE"/>
    <w:rsid w:val="7F015C50"/>
    <w:rsid w:val="7F067E4D"/>
    <w:rsid w:val="7F0768EB"/>
    <w:rsid w:val="7F143BEC"/>
    <w:rsid w:val="7F19715A"/>
    <w:rsid w:val="7F5856D4"/>
    <w:rsid w:val="7F6137FA"/>
    <w:rsid w:val="7F715AF2"/>
    <w:rsid w:val="7F793597"/>
    <w:rsid w:val="7F886E69"/>
    <w:rsid w:val="7FCF2D12"/>
    <w:rsid w:val="7FFA1DC8"/>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30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4"/>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9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index 8"/>
    <w:basedOn w:val="1"/>
    <w:next w:val="1"/>
    <w:autoRedefine/>
    <w:qFormat/>
    <w:uiPriority w:val="0"/>
    <w:pPr>
      <w:ind w:left="2940"/>
    </w:p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201"/>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7"/>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10"/>
    <w:autoRedefine/>
    <w:qFormat/>
    <w:uiPriority w:val="0"/>
    <w:pPr>
      <w:shd w:val="clear" w:color="auto" w:fill="000080"/>
    </w:pPr>
  </w:style>
  <w:style w:type="paragraph" w:styleId="20">
    <w:name w:val="annotation text"/>
    <w:basedOn w:val="1"/>
    <w:link w:val="351"/>
    <w:autoRedefine/>
    <w:qFormat/>
    <w:uiPriority w:val="99"/>
    <w:pPr>
      <w:jc w:val="left"/>
    </w:pPr>
  </w:style>
  <w:style w:type="paragraph" w:styleId="21">
    <w:name w:val="Salutation"/>
    <w:basedOn w:val="1"/>
    <w:next w:val="1"/>
    <w:link w:val="305"/>
    <w:autoRedefine/>
    <w:qFormat/>
    <w:uiPriority w:val="0"/>
    <w:rPr>
      <w:rFonts w:ascii="仿宋_GB2312" w:eastAsia="仿宋_GB2312"/>
      <w:sz w:val="28"/>
      <w:szCs w:val="20"/>
    </w:rPr>
  </w:style>
  <w:style w:type="paragraph" w:styleId="22">
    <w:name w:val="Body Text 3"/>
    <w:basedOn w:val="1"/>
    <w:link w:val="337"/>
    <w:autoRedefine/>
    <w:qFormat/>
    <w:uiPriority w:val="0"/>
    <w:pPr>
      <w:jc w:val="center"/>
    </w:pPr>
    <w:rPr>
      <w:szCs w:val="20"/>
    </w:rPr>
  </w:style>
  <w:style w:type="paragraph" w:styleId="23">
    <w:name w:val="List Bullet 3"/>
    <w:basedOn w:val="1"/>
    <w:autoRedefine/>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7"/>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8"/>
    <w:autoRedefine/>
    <w:qFormat/>
    <w:uiPriority w:val="0"/>
    <w:pPr>
      <w:ind w:firstLine="420"/>
    </w:pPr>
    <w:rPr>
      <w:rFonts w:hAnsi="Calibri" w:cs="Times New Roman"/>
      <w:snapToGrid/>
      <w:szCs w:val="20"/>
    </w:rPr>
  </w:style>
  <w:style w:type="paragraph" w:styleId="26">
    <w:name w:val="Body Text Indent"/>
    <w:basedOn w:val="1"/>
    <w:next w:val="16"/>
    <w:link w:val="272"/>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7"/>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33"/>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9"/>
    <w:autoRedefine/>
    <w:qFormat/>
    <w:uiPriority w:val="0"/>
    <w:pPr>
      <w:ind w:left="100" w:leftChars="2500"/>
    </w:pPr>
    <w:rPr>
      <w:rFonts w:ascii="宋体"/>
      <w:sz w:val="24"/>
      <w:szCs w:val="21"/>
      <w:lang w:val="zh-CN"/>
    </w:rPr>
  </w:style>
  <w:style w:type="paragraph" w:styleId="38">
    <w:name w:val="Body Text Indent 2"/>
    <w:basedOn w:val="1"/>
    <w:link w:val="315"/>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8"/>
    <w:autoRedefine/>
    <w:qFormat/>
    <w:uiPriority w:val="0"/>
    <w:rPr>
      <w:lang w:val="zh-CN"/>
    </w:rPr>
  </w:style>
  <w:style w:type="paragraph" w:styleId="40">
    <w:name w:val="Balloon Text"/>
    <w:basedOn w:val="1"/>
    <w:link w:val="196"/>
    <w:autoRedefine/>
    <w:qFormat/>
    <w:uiPriority w:val="0"/>
    <w:rPr>
      <w:sz w:val="18"/>
      <w:szCs w:val="18"/>
    </w:rPr>
  </w:style>
  <w:style w:type="paragraph" w:styleId="41">
    <w:name w:val="footer"/>
    <w:basedOn w:val="1"/>
    <w:link w:val="390"/>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pPr>
    <w:rPr>
      <w:rFonts w:ascii="Arial" w:hAnsi="Arial"/>
    </w:rPr>
  </w:style>
  <w:style w:type="paragraph" w:styleId="43">
    <w:name w:val="header"/>
    <w:basedOn w:val="1"/>
    <w:link w:val="399"/>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2"/>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4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6"/>
    <w:link w:val="317"/>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82"/>
    <w:autoRedefine/>
    <w:qFormat/>
    <w:uiPriority w:val="0"/>
    <w:pPr>
      <w:spacing w:line="360" w:lineRule="auto"/>
      <w:ind w:firstLine="420"/>
    </w:pPr>
    <w:rPr>
      <w:sz w:val="24"/>
      <w:szCs w:val="20"/>
    </w:rPr>
  </w:style>
  <w:style w:type="paragraph" w:styleId="56">
    <w:name w:val="toc 2"/>
    <w:basedOn w:val="1"/>
    <w:next w:val="1"/>
    <w:autoRedefine/>
    <w:qFormat/>
    <w:uiPriority w:val="0"/>
    <w:pPr>
      <w:ind w:left="420" w:leftChars="200"/>
    </w:pPr>
  </w:style>
  <w:style w:type="paragraph" w:styleId="57">
    <w:name w:val="toc 9"/>
    <w:basedOn w:val="1"/>
    <w:next w:val="1"/>
    <w:autoRedefine/>
    <w:qFormat/>
    <w:uiPriority w:val="0"/>
    <w:pPr>
      <w:ind w:left="3360" w:leftChars="1600"/>
    </w:pPr>
  </w:style>
  <w:style w:type="paragraph" w:styleId="58">
    <w:name w:val="Body Text 2"/>
    <w:basedOn w:val="1"/>
    <w:link w:val="309"/>
    <w:autoRedefine/>
    <w:qFormat/>
    <w:uiPriority w:val="0"/>
    <w:pPr>
      <w:spacing w:after="120" w:line="480" w:lineRule="auto"/>
    </w:pPr>
  </w:style>
  <w:style w:type="paragraph" w:styleId="59">
    <w:name w:val="HTML Preformatted"/>
    <w:basedOn w:val="1"/>
    <w:link w:val="30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3"/>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0"/>
    <w:next w:val="20"/>
    <w:link w:val="104"/>
    <w:autoRedefine/>
    <w:qFormat/>
    <w:uiPriority w:val="0"/>
    <w:rPr>
      <w:b/>
      <w:bCs/>
    </w:rPr>
  </w:style>
  <w:style w:type="paragraph" w:styleId="63">
    <w:name w:val="Body Text First Indent 2"/>
    <w:basedOn w:val="26"/>
    <w:next w:val="1"/>
    <w:link w:val="129"/>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character" w:styleId="81">
    <w:name w:val="HTML Sample"/>
    <w:basedOn w:val="71"/>
    <w:autoRedefine/>
    <w:qFormat/>
    <w:uiPriority w:val="0"/>
    <w:rPr>
      <w:rFonts w:ascii="Courier New" w:hAnsi="Courier New"/>
    </w:rPr>
  </w:style>
  <w:style w:type="paragraph" w:customStyle="1" w:styleId="82">
    <w:name w:val="Default"/>
    <w:next w:val="83"/>
    <w:link w:val="24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84">
    <w:name w:val="样式 正文文本缩进 + 行距: 1.5 倍行距"/>
    <w:autoRedefine/>
    <w:qFormat/>
    <w:uiPriority w:val="0"/>
    <w:pPr>
      <w:widowControl w:val="0"/>
      <w:snapToGrid w:val="0"/>
      <w:spacing w:before="120" w:after="120" w:line="360" w:lineRule="atLeast"/>
      <w:ind w:left="90" w:leftChars="32" w:firstLine="560" w:firstLineChars="200"/>
      <w:jc w:val="both"/>
    </w:pPr>
    <w:rPr>
      <w:rFonts w:ascii="Times New Roman" w:hAnsi="Times New Roman" w:eastAsia="仿宋" w:cs="宋体"/>
      <w:kern w:val="2"/>
      <w:sz w:val="24"/>
      <w:szCs w:val="22"/>
      <w:lang w:val="en-US" w:eastAsia="zh-CN" w:bidi="ar-SA"/>
    </w:rPr>
  </w:style>
  <w:style w:type="paragraph" w:customStyle="1" w:styleId="85">
    <w:name w:val="xl5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86">
    <w:name w:val="正文首行缩进1"/>
    <w:basedOn w:val="24"/>
    <w:next w:val="1"/>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7">
    <w:name w:val="[Normal]"/>
    <w:autoRedefine/>
    <w:qFormat/>
    <w:uiPriority w:val="0"/>
    <w:rPr>
      <w:rFonts w:ascii="宋体" w:hAnsi="宋体" w:eastAsia="宋体" w:cs="Times New Roman"/>
      <w:sz w:val="24"/>
      <w:lang w:val="zh-CN" w:eastAsia="zh-CN" w:bidi="ar-SA"/>
    </w:rPr>
  </w:style>
  <w:style w:type="paragraph" w:styleId="88">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9">
    <w:name w:val="正文文本首行缩进 21"/>
    <w:basedOn w:val="26"/>
    <w:autoRedefine/>
    <w:qFormat/>
    <w:uiPriority w:val="99"/>
    <w:pPr>
      <w:spacing w:line="200" w:lineRule="atLeast"/>
      <w:ind w:firstLine="420"/>
    </w:pPr>
    <w:rPr>
      <w:rFonts w:hAnsi="Courier New"/>
      <w:spacing w:val="-4"/>
      <w:sz w:val="18"/>
    </w:rPr>
  </w:style>
  <w:style w:type="character" w:customStyle="1" w:styleId="90">
    <w:name w:val="表格非标题文字 Char"/>
    <w:link w:val="91"/>
    <w:autoRedefine/>
    <w:qFormat/>
    <w:uiPriority w:val="0"/>
    <w:rPr>
      <w:rFonts w:ascii="Futura Bk" w:hAnsi="Futura Bk"/>
      <w:kern w:val="2"/>
      <w:sz w:val="18"/>
      <w:szCs w:val="21"/>
      <w:lang w:val="en-US" w:eastAsia="zh-CN" w:bidi="ar-SA"/>
    </w:rPr>
  </w:style>
  <w:style w:type="paragraph" w:customStyle="1" w:styleId="91">
    <w:name w:val="表格非标题文字"/>
    <w:link w:val="9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autoRedefine/>
    <w:qFormat/>
    <w:locked/>
    <w:uiPriority w:val="0"/>
    <w:rPr>
      <w:rFonts w:ascii="宋体" w:hAnsi="宋体"/>
      <w:sz w:val="24"/>
    </w:rPr>
  </w:style>
  <w:style w:type="paragraph" w:customStyle="1" w:styleId="93">
    <w:name w:val="*正文"/>
    <w:basedOn w:val="1"/>
    <w:link w:val="92"/>
    <w:autoRedefine/>
    <w:qFormat/>
    <w:uiPriority w:val="0"/>
    <w:pPr>
      <w:snapToGrid w:val="0"/>
      <w:spacing w:line="360" w:lineRule="auto"/>
      <w:ind w:firstLine="482"/>
      <w:jc w:val="left"/>
    </w:pPr>
    <w:rPr>
      <w:rFonts w:ascii="宋体" w:hAnsi="宋体"/>
      <w:kern w:val="0"/>
      <w:sz w:val="24"/>
      <w:szCs w:val="20"/>
    </w:rPr>
  </w:style>
  <w:style w:type="character" w:customStyle="1" w:styleId="94">
    <w:name w:val="Char Char71"/>
    <w:autoRedefine/>
    <w:semiHidden/>
    <w:qFormat/>
    <w:uiPriority w:val="0"/>
    <w:rPr>
      <w:rFonts w:eastAsia="宋体"/>
      <w:kern w:val="2"/>
      <w:sz w:val="21"/>
      <w:szCs w:val="24"/>
      <w:lang w:val="en-US" w:eastAsia="zh-CN" w:bidi="ar-SA"/>
    </w:rPr>
  </w:style>
  <w:style w:type="character" w:customStyle="1" w:styleId="95">
    <w:name w:val="Char Char6"/>
    <w:autoRedefine/>
    <w:qFormat/>
    <w:uiPriority w:val="0"/>
    <w:rPr>
      <w:rFonts w:eastAsia="宋体"/>
      <w:kern w:val="2"/>
      <w:sz w:val="21"/>
      <w:szCs w:val="24"/>
      <w:lang w:val="en-US" w:eastAsia="zh-CN" w:bidi="ar-SA"/>
    </w:rPr>
  </w:style>
  <w:style w:type="character" w:customStyle="1" w:styleId="96">
    <w:name w:val="正文缩进 Char"/>
    <w:autoRedefine/>
    <w:qFormat/>
    <w:uiPriority w:val="0"/>
    <w:rPr>
      <w:rFonts w:eastAsia="宋体"/>
      <w:kern w:val="2"/>
      <w:sz w:val="21"/>
      <w:lang w:val="en-US" w:eastAsia="zh-CN"/>
    </w:rPr>
  </w:style>
  <w:style w:type="character" w:customStyle="1" w:styleId="9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8">
    <w:name w:val="Char Char28"/>
    <w:autoRedefine/>
    <w:qFormat/>
    <w:uiPriority w:val="6"/>
    <w:rPr>
      <w:rFonts w:ascii="仿宋_GB2312" w:hAnsi="仿宋_GB2312" w:eastAsia="仿宋_GB2312"/>
      <w:kern w:val="1"/>
      <w:sz w:val="28"/>
    </w:rPr>
  </w:style>
  <w:style w:type="character" w:customStyle="1" w:styleId="9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autoRedefine/>
    <w:qFormat/>
    <w:uiPriority w:val="6"/>
    <w:rPr>
      <w:rFonts w:ascii="Times New Roman" w:hAnsi="Times New Roman" w:eastAsia="黑体" w:cs="Times New Roman"/>
      <w:b/>
      <w:kern w:val="0"/>
      <w:sz w:val="24"/>
      <w:szCs w:val="24"/>
    </w:rPr>
  </w:style>
  <w:style w:type="character" w:customStyle="1" w:styleId="101">
    <w:name w:val="U_正文 Char"/>
    <w:link w:val="102"/>
    <w:autoRedefine/>
    <w:qFormat/>
    <w:uiPriority w:val="0"/>
    <w:rPr>
      <w:sz w:val="24"/>
      <w:szCs w:val="24"/>
    </w:rPr>
  </w:style>
  <w:style w:type="paragraph" w:customStyle="1" w:styleId="102">
    <w:name w:val="U_正文"/>
    <w:basedOn w:val="1"/>
    <w:link w:val="101"/>
    <w:autoRedefine/>
    <w:qFormat/>
    <w:uiPriority w:val="0"/>
    <w:pPr>
      <w:adjustRightInd/>
      <w:spacing w:beforeLines="20" w:afterLines="20" w:line="300" w:lineRule="auto"/>
      <w:ind w:firstLine="200" w:firstLineChars="200"/>
    </w:pPr>
    <w:rPr>
      <w:kern w:val="0"/>
      <w:sz w:val="24"/>
    </w:rPr>
  </w:style>
  <w:style w:type="character" w:customStyle="1" w:styleId="103">
    <w:name w:val="HTML 地址 Char1"/>
    <w:autoRedefine/>
    <w:qFormat/>
    <w:uiPriority w:val="0"/>
    <w:rPr>
      <w:rFonts w:ascii="Times New Roman" w:hAnsi="Times New Roman" w:eastAsia="宋体" w:cs="Times New Roman"/>
      <w:i/>
      <w:iCs/>
      <w:szCs w:val="24"/>
    </w:rPr>
  </w:style>
  <w:style w:type="character" w:customStyle="1" w:styleId="104">
    <w:name w:val="批注主题 字符"/>
    <w:link w:val="62"/>
    <w:autoRedefine/>
    <w:qFormat/>
    <w:uiPriority w:val="0"/>
    <w:rPr>
      <w:b/>
      <w:bCs/>
      <w:kern w:val="2"/>
      <w:sz w:val="21"/>
      <w:szCs w:val="24"/>
    </w:rPr>
  </w:style>
  <w:style w:type="character" w:customStyle="1" w:styleId="105">
    <w:name w:val="Char Char51"/>
    <w:autoRedefine/>
    <w:qFormat/>
    <w:uiPriority w:val="0"/>
    <w:rPr>
      <w:rFonts w:ascii="宋体" w:hAnsi="Courier New" w:eastAsia="宋体"/>
      <w:kern w:val="2"/>
      <w:sz w:val="21"/>
      <w:lang w:val="en-US" w:eastAsia="zh-CN"/>
    </w:rPr>
  </w:style>
  <w:style w:type="character" w:customStyle="1" w:styleId="106">
    <w:name w:val="表正文 Char"/>
    <w:autoRedefine/>
    <w:qFormat/>
    <w:uiPriority w:val="0"/>
    <w:rPr>
      <w:rFonts w:ascii="宋体" w:eastAsia="宋体"/>
      <w:snapToGrid w:val="0"/>
      <w:color w:val="000000"/>
      <w:kern w:val="28"/>
      <w:sz w:val="28"/>
      <w:lang w:val="en-US" w:eastAsia="zh-CN" w:bidi="ar-SA"/>
    </w:rPr>
  </w:style>
  <w:style w:type="character" w:customStyle="1" w:styleId="107">
    <w:name w:val="Char Char34"/>
    <w:autoRedefine/>
    <w:qFormat/>
    <w:uiPriority w:val="6"/>
    <w:rPr>
      <w:b/>
      <w:kern w:val="1"/>
      <w:sz w:val="28"/>
      <w:szCs w:val="28"/>
    </w:rPr>
  </w:style>
  <w:style w:type="character" w:customStyle="1" w:styleId="10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autoRedefine/>
    <w:qFormat/>
    <w:uiPriority w:val="0"/>
    <w:rPr>
      <w:rFonts w:ascii="宋体" w:hAnsi="宋体" w:eastAsia="宋体"/>
      <w:kern w:val="2"/>
      <w:sz w:val="24"/>
      <w:lang w:bidi="ar-SA"/>
    </w:rPr>
  </w:style>
  <w:style w:type="paragraph" w:customStyle="1" w:styleId="110">
    <w:name w:val="哈哈正文"/>
    <w:basedOn w:val="1"/>
    <w:link w:val="109"/>
    <w:autoRedefine/>
    <w:qFormat/>
    <w:uiPriority w:val="0"/>
    <w:pPr>
      <w:adjustRightInd/>
      <w:spacing w:line="360" w:lineRule="auto"/>
      <w:ind w:firstLine="200" w:firstLineChars="200"/>
    </w:pPr>
    <w:rPr>
      <w:rFonts w:ascii="宋体" w:hAnsi="宋体"/>
      <w:sz w:val="24"/>
      <w:szCs w:val="20"/>
    </w:rPr>
  </w:style>
  <w:style w:type="character" w:customStyle="1" w:styleId="111">
    <w:name w:val="未处理的提及1"/>
    <w:autoRedefine/>
    <w:qFormat/>
    <w:uiPriority w:val="0"/>
    <w:rPr>
      <w:color w:val="808080"/>
      <w:shd w:val="clear" w:color="auto" w:fill="E6E6E6"/>
    </w:rPr>
  </w:style>
  <w:style w:type="character" w:customStyle="1" w:styleId="112">
    <w:name w:val="txt"/>
    <w:autoRedefine/>
    <w:qFormat/>
    <w:uiPriority w:val="0"/>
    <w:rPr>
      <w:rFonts w:ascii="仿宋_GB2312" w:eastAsia="微软雅黑"/>
      <w:b/>
      <w:kern w:val="2"/>
      <w:sz w:val="32"/>
      <w:szCs w:val="32"/>
      <w:lang w:val="en-US" w:eastAsia="zh-CN" w:bidi="ar-SA"/>
    </w:rPr>
  </w:style>
  <w:style w:type="character" w:customStyle="1" w:styleId="11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4">
    <w:name w:val="Char Char32"/>
    <w:autoRedefine/>
    <w:qFormat/>
    <w:uiPriority w:val="6"/>
    <w:rPr>
      <w:b/>
      <w:kern w:val="1"/>
      <w:sz w:val="24"/>
      <w:szCs w:val="24"/>
    </w:rPr>
  </w:style>
  <w:style w:type="character" w:customStyle="1" w:styleId="115">
    <w:name w:val="PI Char1"/>
    <w:autoRedefine/>
    <w:qFormat/>
    <w:uiPriority w:val="0"/>
    <w:rPr>
      <w:rFonts w:ascii="宋体" w:hAnsi="宋体"/>
      <w:kern w:val="2"/>
      <w:sz w:val="24"/>
      <w:szCs w:val="24"/>
    </w:rPr>
  </w:style>
  <w:style w:type="character" w:customStyle="1" w:styleId="116">
    <w:name w:val="tw4winTerm"/>
    <w:autoRedefine/>
    <w:qFormat/>
    <w:uiPriority w:val="0"/>
    <w:rPr>
      <w:color w:val="0000FF"/>
    </w:rPr>
  </w:style>
  <w:style w:type="character" w:customStyle="1" w:styleId="117">
    <w:name w:val="Footer Char"/>
    <w:autoRedefine/>
    <w:qFormat/>
    <w:locked/>
    <w:uiPriority w:val="0"/>
    <w:rPr>
      <w:rFonts w:eastAsia="宋体"/>
      <w:kern w:val="2"/>
      <w:sz w:val="18"/>
      <w:lang w:val="en-US" w:eastAsia="zh-CN" w:bidi="ar-SA"/>
    </w:rPr>
  </w:style>
  <w:style w:type="character" w:customStyle="1" w:styleId="118">
    <w:name w:val="普通文字 Char Char1"/>
    <w:autoRedefine/>
    <w:qFormat/>
    <w:uiPriority w:val="0"/>
    <w:rPr>
      <w:rFonts w:ascii="宋体" w:hAnsi="Courier New"/>
      <w:kern w:val="2"/>
      <w:sz w:val="21"/>
    </w:rPr>
  </w:style>
  <w:style w:type="character" w:customStyle="1" w:styleId="119">
    <w:name w:val="Char Char101"/>
    <w:autoRedefine/>
    <w:qFormat/>
    <w:uiPriority w:val="6"/>
    <w:rPr>
      <w:rFonts w:ascii="宋体" w:hAnsi="宋体"/>
      <w:kern w:val="2"/>
      <w:sz w:val="21"/>
      <w:szCs w:val="24"/>
      <w:lang w:val="en-US" w:eastAsia="zh-CN"/>
    </w:rPr>
  </w:style>
  <w:style w:type="character" w:customStyle="1" w:styleId="120">
    <w:name w:val="标题 4 Char"/>
    <w:autoRedefine/>
    <w:qFormat/>
    <w:uiPriority w:val="0"/>
    <w:rPr>
      <w:rFonts w:ascii="Arial" w:hAnsi="Arial" w:eastAsia="黑体"/>
      <w:b/>
      <w:kern w:val="2"/>
      <w:sz w:val="28"/>
    </w:rPr>
  </w:style>
  <w:style w:type="character" w:customStyle="1" w:styleId="121">
    <w:name w:val="链接"/>
    <w:autoRedefine/>
    <w:qFormat/>
    <w:uiPriority w:val="0"/>
    <w:rPr>
      <w:color w:val="0000FF"/>
      <w:sz w:val="21"/>
      <w:szCs w:val="21"/>
      <w:u w:val="single"/>
    </w:rPr>
  </w:style>
  <w:style w:type="character" w:customStyle="1" w:styleId="122">
    <w:name w:val="h4 Char"/>
    <w:autoRedefine/>
    <w:qFormat/>
    <w:uiPriority w:val="0"/>
    <w:rPr>
      <w:rFonts w:ascii="Arial" w:hAnsi="Arial" w:eastAsia="黑体"/>
      <w:b/>
      <w:bCs/>
      <w:kern w:val="2"/>
      <w:sz w:val="28"/>
      <w:szCs w:val="28"/>
      <w:lang w:val="zh-CN" w:eastAsia="zh-CN" w:bidi="ar-SA"/>
    </w:rPr>
  </w:style>
  <w:style w:type="character" w:customStyle="1" w:styleId="123">
    <w:name w:val="5正文 Char"/>
    <w:link w:val="124"/>
    <w:autoRedefine/>
    <w:qFormat/>
    <w:uiPriority w:val="0"/>
    <w:rPr>
      <w:rFonts w:ascii="仿宋_GB2312" w:hAnsi="微软雅黑" w:eastAsia="仿宋_GB2312"/>
      <w:sz w:val="28"/>
      <w:szCs w:val="21"/>
    </w:rPr>
  </w:style>
  <w:style w:type="paragraph" w:customStyle="1" w:styleId="124">
    <w:name w:val="5正文"/>
    <w:basedOn w:val="1"/>
    <w:link w:val="12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autoRedefine/>
    <w:qFormat/>
    <w:uiPriority w:val="9"/>
    <w:rPr>
      <w:b/>
      <w:bCs/>
      <w:kern w:val="2"/>
      <w:sz w:val="32"/>
      <w:szCs w:val="32"/>
    </w:rPr>
  </w:style>
  <w:style w:type="character" w:customStyle="1" w:styleId="126">
    <w:name w:val="样式6 Char"/>
    <w:autoRedefine/>
    <w:qFormat/>
    <w:uiPriority w:val="0"/>
    <w:rPr>
      <w:rFonts w:ascii="仿宋_GB2312" w:hAnsi="宋体" w:eastAsia="仿宋_GB2312"/>
      <w:b/>
      <w:bCs/>
      <w:kern w:val="2"/>
      <w:sz w:val="24"/>
      <w:szCs w:val="24"/>
      <w:lang w:val="en-US" w:eastAsia="zh-CN" w:bidi="ar-SA"/>
    </w:rPr>
  </w:style>
  <w:style w:type="character" w:customStyle="1" w:styleId="127">
    <w:name w:val="Char Char14"/>
    <w:autoRedefine/>
    <w:qFormat/>
    <w:uiPriority w:val="6"/>
    <w:rPr>
      <w:rFonts w:ascii="黑体" w:hAnsi="黑体" w:eastAsia="黑体"/>
    </w:rPr>
  </w:style>
  <w:style w:type="character" w:customStyle="1" w:styleId="128">
    <w:name w:val="Heading 2 Hidden Char"/>
    <w:autoRedefine/>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3"/>
    <w:autoRedefine/>
    <w:qFormat/>
    <w:uiPriority w:val="0"/>
    <w:rPr>
      <w:rFonts w:ascii="宋体" w:hAnsi="宋体"/>
      <w:kern w:val="2"/>
      <w:sz w:val="21"/>
      <w:szCs w:val="24"/>
    </w:rPr>
  </w:style>
  <w:style w:type="character" w:customStyle="1" w:styleId="130">
    <w:name w:val="font11"/>
    <w:autoRedefine/>
    <w:qFormat/>
    <w:uiPriority w:val="0"/>
    <w:rPr>
      <w:rFonts w:hint="default" w:ascii="Times New Roman" w:hAnsi="Times New Roman" w:cs="Times New Roman"/>
      <w:color w:val="000000"/>
      <w:sz w:val="22"/>
      <w:szCs w:val="22"/>
      <w:u w:val="none"/>
    </w:rPr>
  </w:style>
  <w:style w:type="character" w:customStyle="1" w:styleId="131">
    <w:name w:val="表正文 Char1"/>
    <w:autoRedefine/>
    <w:qFormat/>
    <w:uiPriority w:val="0"/>
    <w:rPr>
      <w:rFonts w:ascii="宋体" w:eastAsia="宋体"/>
      <w:snapToGrid w:val="0"/>
      <w:color w:val="000000"/>
      <w:kern w:val="28"/>
      <w:sz w:val="28"/>
    </w:rPr>
  </w:style>
  <w:style w:type="character" w:customStyle="1" w:styleId="132">
    <w:name w:val="blue1"/>
    <w:basedOn w:val="71"/>
    <w:autoRedefine/>
    <w:qFormat/>
    <w:uiPriority w:val="0"/>
    <w:rPr>
      <w:rFonts w:ascii="Arial" w:hAnsi="Arial" w:eastAsia="黑体" w:cs="Arial"/>
      <w:snapToGrid w:val="0"/>
      <w:kern w:val="0"/>
      <w:szCs w:val="21"/>
    </w:rPr>
  </w:style>
  <w:style w:type="character" w:customStyle="1" w:styleId="133">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134">
    <w:name w:val="标书1 Char"/>
    <w:autoRedefine/>
    <w:qFormat/>
    <w:uiPriority w:val="0"/>
    <w:rPr>
      <w:rFonts w:eastAsia="宋体"/>
      <w:b/>
      <w:bCs/>
      <w:kern w:val="44"/>
      <w:sz w:val="44"/>
      <w:szCs w:val="44"/>
      <w:lang w:val="en-US" w:eastAsia="zh-CN" w:bidi="ar-SA"/>
    </w:rPr>
  </w:style>
  <w:style w:type="character" w:customStyle="1" w:styleId="135">
    <w:name w:val="样式5 Char"/>
    <w:autoRedefine/>
    <w:qFormat/>
    <w:uiPriority w:val="0"/>
    <w:rPr>
      <w:rFonts w:ascii="仿宋_GB2312" w:hAnsi="仿宋" w:eastAsia="仿宋_GB2312"/>
      <w:kern w:val="2"/>
      <w:sz w:val="24"/>
      <w:szCs w:val="24"/>
    </w:rPr>
  </w:style>
  <w:style w:type="character" w:customStyle="1" w:styleId="136">
    <w:name w:val="样式4 Char"/>
    <w:autoRedefine/>
    <w:qFormat/>
    <w:uiPriority w:val="0"/>
    <w:rPr>
      <w:rFonts w:ascii="仿宋_GB2312" w:hAnsi="仿宋" w:eastAsia="仿宋_GB2312"/>
      <w:b/>
      <w:kern w:val="2"/>
      <w:sz w:val="32"/>
      <w:szCs w:val="32"/>
      <w:lang w:bidi="ar-SA"/>
    </w:rPr>
  </w:style>
  <w:style w:type="character" w:customStyle="1" w:styleId="137">
    <w:name w:val="插图说明 Char"/>
    <w:autoRedefine/>
    <w:qFormat/>
    <w:uiPriority w:val="0"/>
    <w:rPr>
      <w:rFonts w:eastAsia="黑体"/>
      <w:sz w:val="24"/>
      <w:lang w:val="en-US" w:eastAsia="zh-CN"/>
    </w:rPr>
  </w:style>
  <w:style w:type="character" w:customStyle="1" w:styleId="138">
    <w:name w:val="正文2 Char Char"/>
    <w:link w:val="139"/>
    <w:autoRedefine/>
    <w:qFormat/>
    <w:uiPriority w:val="0"/>
    <w:rPr>
      <w:rFonts w:eastAsia="宋体"/>
      <w:kern w:val="2"/>
      <w:sz w:val="24"/>
      <w:lang w:val="en-US" w:eastAsia="zh-CN" w:bidi="ar-SA"/>
    </w:rPr>
  </w:style>
  <w:style w:type="paragraph" w:customStyle="1" w:styleId="139">
    <w:name w:val="正文2"/>
    <w:basedOn w:val="1"/>
    <w:link w:val="138"/>
    <w:autoRedefine/>
    <w:qFormat/>
    <w:uiPriority w:val="0"/>
    <w:pPr>
      <w:spacing w:before="156" w:line="360" w:lineRule="auto"/>
      <w:ind w:firstLine="510" w:firstLineChars="200"/>
    </w:pPr>
    <w:rPr>
      <w:sz w:val="24"/>
      <w:szCs w:val="20"/>
    </w:rPr>
  </w:style>
  <w:style w:type="character" w:customStyle="1" w:styleId="140">
    <w:name w:val="Char Char24"/>
    <w:autoRedefine/>
    <w:qFormat/>
    <w:uiPriority w:val="6"/>
    <w:rPr>
      <w:kern w:val="1"/>
      <w:sz w:val="21"/>
    </w:rPr>
  </w:style>
  <w:style w:type="character" w:customStyle="1" w:styleId="141">
    <w:name w:val="副标题 字符"/>
    <w:link w:val="49"/>
    <w:autoRedefine/>
    <w:qFormat/>
    <w:uiPriority w:val="0"/>
    <w:rPr>
      <w:rFonts w:ascii="Arial" w:hAnsi="Arial" w:eastAsia="隶书"/>
      <w:b/>
      <w:bCs/>
      <w:kern w:val="28"/>
      <w:sz w:val="44"/>
      <w:szCs w:val="32"/>
      <w:lang w:val="en-US" w:eastAsia="zh-CN" w:bidi="ar-SA"/>
    </w:rPr>
  </w:style>
  <w:style w:type="character" w:customStyle="1" w:styleId="142">
    <w:name w:val="普通文字 Char1 Char"/>
    <w:autoRedefine/>
    <w:qFormat/>
    <w:uiPriority w:val="0"/>
    <w:rPr>
      <w:rFonts w:ascii="宋体" w:hAnsi="Courier New" w:eastAsia="宋体"/>
      <w:kern w:val="2"/>
      <w:sz w:val="21"/>
      <w:szCs w:val="24"/>
      <w:lang w:val="en-US" w:eastAsia="zh-CN" w:bidi="ar-SA"/>
    </w:rPr>
  </w:style>
  <w:style w:type="character" w:customStyle="1" w:styleId="143">
    <w:name w:val="h3 Char1"/>
    <w:autoRedefine/>
    <w:qFormat/>
    <w:uiPriority w:val="0"/>
    <w:rPr>
      <w:rFonts w:eastAsia="宋体"/>
      <w:b/>
      <w:bCs/>
      <w:kern w:val="2"/>
      <w:sz w:val="32"/>
      <w:szCs w:val="32"/>
      <w:lang w:bidi="ar-SA"/>
    </w:rPr>
  </w:style>
  <w:style w:type="character" w:customStyle="1" w:styleId="144">
    <w:name w:val="标题 Char1"/>
    <w:autoRedefine/>
    <w:qFormat/>
    <w:uiPriority w:val="0"/>
    <w:rPr>
      <w:rFonts w:ascii="Cambria" w:hAnsi="Cambria" w:eastAsia="宋体" w:cs="Times New Roman"/>
      <w:b/>
      <w:bCs/>
      <w:sz w:val="32"/>
      <w:szCs w:val="32"/>
      <w:lang w:bidi="ar-SA"/>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文本缩进 Char1"/>
    <w:autoRedefine/>
    <w:qFormat/>
    <w:uiPriority w:val="0"/>
    <w:rPr>
      <w:rFonts w:ascii="Calibri" w:hAnsi="Calibri"/>
      <w:sz w:val="28"/>
    </w:rPr>
  </w:style>
  <w:style w:type="character" w:customStyle="1" w:styleId="147">
    <w:name w:val="No Spacing Char"/>
    <w:link w:val="148"/>
    <w:autoRedefine/>
    <w:qFormat/>
    <w:uiPriority w:val="1"/>
    <w:rPr>
      <w:sz w:val="22"/>
      <w:szCs w:val="22"/>
      <w:lang w:val="en-US" w:eastAsia="zh-CN" w:bidi="ar-SA"/>
    </w:rPr>
  </w:style>
  <w:style w:type="paragraph" w:customStyle="1" w:styleId="148">
    <w:name w:val="无间隔1"/>
    <w:link w:val="147"/>
    <w:autoRedefine/>
    <w:qFormat/>
    <w:uiPriority w:val="1"/>
    <w:rPr>
      <w:rFonts w:ascii="Times New Roman" w:hAnsi="Times New Roman" w:eastAsia="宋体" w:cs="Times New Roman"/>
      <w:sz w:val="22"/>
      <w:szCs w:val="22"/>
      <w:lang w:val="en-US" w:eastAsia="zh-CN" w:bidi="ar-SA"/>
    </w:rPr>
  </w:style>
  <w:style w:type="character" w:customStyle="1" w:styleId="149">
    <w:name w:val="样式7 Char"/>
    <w:autoRedefine/>
    <w:qFormat/>
    <w:uiPriority w:val="0"/>
    <w:rPr>
      <w:rFonts w:ascii="仿宋_GB2312" w:hAnsi="仿宋" w:eastAsia="仿宋_GB2312"/>
      <w:b/>
      <w:kern w:val="2"/>
      <w:sz w:val="24"/>
      <w:szCs w:val="24"/>
    </w:rPr>
  </w:style>
  <w:style w:type="character" w:customStyle="1" w:styleId="150">
    <w:name w:val="font12gray1"/>
    <w:autoRedefine/>
    <w:qFormat/>
    <w:uiPriority w:val="0"/>
    <w:rPr>
      <w:rFonts w:ascii="仿宋_GB2312" w:eastAsia="微软雅黑"/>
      <w:b/>
      <w:spacing w:val="300"/>
      <w:kern w:val="2"/>
      <w:sz w:val="18"/>
      <w:szCs w:val="18"/>
      <w:lang w:val="en-US" w:eastAsia="zh-CN" w:bidi="ar-SA"/>
    </w:rPr>
  </w:style>
  <w:style w:type="character" w:customStyle="1" w:styleId="151">
    <w:name w:val="Char Char7"/>
    <w:autoRedefine/>
    <w:semiHidden/>
    <w:qFormat/>
    <w:uiPriority w:val="0"/>
    <w:rPr>
      <w:rFonts w:eastAsia="宋体"/>
      <w:kern w:val="2"/>
      <w:sz w:val="21"/>
      <w:szCs w:val="24"/>
      <w:lang w:val="en-US" w:eastAsia="zh-CN" w:bidi="ar-SA"/>
    </w:rPr>
  </w:style>
  <w:style w:type="character" w:customStyle="1" w:styleId="152">
    <w:name w:val="表名 Char"/>
    <w:autoRedefine/>
    <w:qFormat/>
    <w:uiPriority w:val="0"/>
    <w:rPr>
      <w:rFonts w:eastAsia="宋体"/>
      <w:b/>
      <w:bCs/>
      <w:kern w:val="2"/>
      <w:sz w:val="24"/>
      <w:szCs w:val="24"/>
      <w:lang w:val="en-US" w:eastAsia="zh-CN" w:bidi="ar-SA"/>
    </w:rPr>
  </w:style>
  <w:style w:type="character" w:customStyle="1" w:styleId="153">
    <w:name w:val="Document Map Char"/>
    <w:autoRedefine/>
    <w:qFormat/>
    <w:locked/>
    <w:uiPriority w:val="0"/>
    <w:rPr>
      <w:rFonts w:eastAsia="宋体"/>
      <w:kern w:val="2"/>
      <w:sz w:val="21"/>
      <w:szCs w:val="24"/>
      <w:lang w:val="en-US" w:eastAsia="zh-CN" w:bidi="ar-SA"/>
    </w:rPr>
  </w:style>
  <w:style w:type="character" w:customStyle="1" w:styleId="154">
    <w:name w:val="font41"/>
    <w:autoRedefine/>
    <w:qFormat/>
    <w:uiPriority w:val="0"/>
    <w:rPr>
      <w:rFonts w:hint="eastAsia" w:ascii="仿宋_GB2312" w:eastAsia="仿宋_GB2312" w:cs="仿宋_GB2312"/>
      <w:color w:val="000000"/>
      <w:sz w:val="22"/>
      <w:szCs w:val="22"/>
      <w:u w:val="none"/>
    </w:rPr>
  </w:style>
  <w:style w:type="character" w:customStyle="1" w:styleId="155">
    <w:name w:val="标题 6 字符"/>
    <w:link w:val="7"/>
    <w:autoRedefine/>
    <w:qFormat/>
    <w:uiPriority w:val="0"/>
    <w:rPr>
      <w:rFonts w:ascii="Arial" w:hAnsi="Arial" w:eastAsia="黑体"/>
      <w:b/>
      <w:bCs/>
      <w:kern w:val="2"/>
      <w:sz w:val="24"/>
      <w:szCs w:val="24"/>
    </w:rPr>
  </w:style>
  <w:style w:type="character" w:customStyle="1" w:styleId="156">
    <w:name w:val="纯文本 Char_0"/>
    <w:link w:val="157"/>
    <w:autoRedefine/>
    <w:qFormat/>
    <w:uiPriority w:val="0"/>
    <w:rPr>
      <w:rFonts w:ascii="宋体" w:hAnsi="Courier New"/>
      <w:kern w:val="2"/>
      <w:sz w:val="21"/>
      <w:szCs w:val="21"/>
      <w:lang w:val="en-US" w:eastAsia="zh-CN"/>
    </w:rPr>
  </w:style>
  <w:style w:type="paragraph" w:customStyle="1" w:styleId="157">
    <w:name w:val="纯文本_0_0"/>
    <w:basedOn w:val="158"/>
    <w:link w:val="156"/>
    <w:autoRedefine/>
    <w:qFormat/>
    <w:uiPriority w:val="0"/>
    <w:rPr>
      <w:rFonts w:ascii="宋体" w:hAnsi="Courier New"/>
      <w:szCs w:val="21"/>
    </w:rPr>
  </w:style>
  <w:style w:type="paragraph" w:customStyle="1" w:styleId="15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autoRedefine/>
    <w:qFormat/>
    <w:locked/>
    <w:uiPriority w:val="0"/>
    <w:rPr>
      <w:rFonts w:eastAsia="宋体"/>
      <w:kern w:val="2"/>
      <w:sz w:val="18"/>
      <w:szCs w:val="18"/>
      <w:lang w:val="en-US" w:eastAsia="zh-CN" w:bidi="ar-SA"/>
    </w:rPr>
  </w:style>
  <w:style w:type="character" w:customStyle="1" w:styleId="160">
    <w:name w:val="正文 项目2 Char"/>
    <w:basedOn w:val="161"/>
    <w:autoRedefine/>
    <w:qFormat/>
    <w:uiPriority w:val="0"/>
    <w:rPr>
      <w:rFonts w:ascii="仿宋_GB2312" w:hAnsi="仿宋_GB2312" w:eastAsia="仿宋_GB2312"/>
      <w:kern w:val="2"/>
      <w:sz w:val="24"/>
      <w:lang w:bidi="ar-SA"/>
    </w:rPr>
  </w:style>
  <w:style w:type="character" w:customStyle="1" w:styleId="161">
    <w:name w:val="正文 项目 Char"/>
    <w:autoRedefine/>
    <w:qFormat/>
    <w:uiPriority w:val="0"/>
    <w:rPr>
      <w:rFonts w:ascii="仿宋_GB2312" w:hAnsi="仿宋_GB2312" w:eastAsia="仿宋_GB2312"/>
      <w:kern w:val="2"/>
      <w:sz w:val="24"/>
      <w:lang w:bidi="ar-SA"/>
    </w:rPr>
  </w:style>
  <w:style w:type="character" w:customStyle="1" w:styleId="162">
    <w:name w:val="h Char Char1"/>
    <w:autoRedefine/>
    <w:qFormat/>
    <w:uiPriority w:val="0"/>
    <w:rPr>
      <w:rFonts w:eastAsia="宋体"/>
      <w:kern w:val="2"/>
      <w:sz w:val="18"/>
      <w:szCs w:val="18"/>
      <w:lang w:val="en-US" w:eastAsia="zh-CN" w:bidi="ar-SA"/>
    </w:rPr>
  </w:style>
  <w:style w:type="character" w:customStyle="1" w:styleId="163">
    <w:name w:val="Char Char27"/>
    <w:autoRedefine/>
    <w:qFormat/>
    <w:uiPriority w:val="6"/>
    <w:rPr>
      <w:rFonts w:ascii="宋体" w:hAnsi="宋体" w:eastAsia="宋体"/>
      <w:color w:val="000000"/>
      <w:kern w:val="1"/>
      <w:sz w:val="28"/>
      <w:lang w:val="en-US" w:eastAsia="zh-CN" w:bidi="ar-SA"/>
    </w:rPr>
  </w:style>
  <w:style w:type="character" w:customStyle="1" w:styleId="164">
    <w:name w:val="px14"/>
    <w:autoRedefine/>
    <w:qFormat/>
    <w:uiPriority w:val="0"/>
    <w:rPr>
      <w:rFonts w:ascii="仿宋_GB2312" w:eastAsia="微软雅黑" w:cs="Times New Roman"/>
      <w:b/>
      <w:kern w:val="2"/>
      <w:sz w:val="32"/>
      <w:szCs w:val="32"/>
      <w:lang w:val="en-US" w:eastAsia="zh-CN" w:bidi="ar-SA"/>
    </w:rPr>
  </w:style>
  <w:style w:type="character" w:customStyle="1" w:styleId="165">
    <w:name w:val="HTML 预设格式 Char1"/>
    <w:autoRedefine/>
    <w:qFormat/>
    <w:uiPriority w:val="0"/>
    <w:rPr>
      <w:rFonts w:ascii="Courier New" w:hAnsi="Courier New" w:eastAsia="宋体" w:cs="Courier New"/>
      <w:sz w:val="20"/>
      <w:szCs w:val="20"/>
    </w:rPr>
  </w:style>
  <w:style w:type="character" w:customStyle="1" w:styleId="166">
    <w:name w:val="普通文字 Char1"/>
    <w:autoRedefine/>
    <w:qFormat/>
    <w:uiPriority w:val="0"/>
    <w:rPr>
      <w:rFonts w:ascii="宋体" w:hAnsi="Courier New" w:eastAsia="宋体"/>
      <w:kern w:val="2"/>
      <w:sz w:val="21"/>
      <w:lang w:val="en-US" w:eastAsia="zh-CN"/>
    </w:rPr>
  </w:style>
  <w:style w:type="character" w:customStyle="1" w:styleId="167">
    <w:name w:val="hei16b1"/>
    <w:autoRedefine/>
    <w:qFormat/>
    <w:uiPriority w:val="0"/>
    <w:rPr>
      <w:rFonts w:hint="default" w:ascii="Arial" w:hAnsi="Arial" w:cs="Arial"/>
      <w:b/>
      <w:bCs/>
      <w:color w:val="000000"/>
      <w:sz w:val="24"/>
      <w:szCs w:val="24"/>
    </w:rPr>
  </w:style>
  <w:style w:type="character" w:customStyle="1" w:styleId="168">
    <w:name w:val="正文（绿盟科技） Char"/>
    <w:link w:val="169"/>
    <w:autoRedefine/>
    <w:qFormat/>
    <w:uiPriority w:val="0"/>
    <w:rPr>
      <w:rFonts w:ascii="Arial" w:hAnsi="Arial"/>
      <w:sz w:val="21"/>
      <w:szCs w:val="21"/>
    </w:rPr>
  </w:style>
  <w:style w:type="paragraph" w:customStyle="1" w:styleId="169">
    <w:name w:val="正文（绿盟科技）"/>
    <w:link w:val="168"/>
    <w:autoRedefine/>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autoRedefine/>
    <w:qFormat/>
    <w:uiPriority w:val="6"/>
    <w:rPr>
      <w:rFonts w:ascii="宋体" w:hAnsi="宋体"/>
      <w:i/>
      <w:sz w:val="24"/>
      <w:szCs w:val="24"/>
    </w:rPr>
  </w:style>
  <w:style w:type="character" w:customStyle="1" w:styleId="171">
    <w:name w:val="页脚 Char"/>
    <w:autoRedefine/>
    <w:qFormat/>
    <w:uiPriority w:val="0"/>
    <w:rPr>
      <w:rFonts w:eastAsia="仿宋_GB2312"/>
      <w:kern w:val="2"/>
      <w:sz w:val="18"/>
      <w:lang w:val="en-US" w:eastAsia="zh-CN"/>
    </w:rPr>
  </w:style>
  <w:style w:type="character" w:customStyle="1" w:styleId="172">
    <w:name w:val="批注主题 Char"/>
    <w:autoRedefine/>
    <w:qFormat/>
    <w:uiPriority w:val="0"/>
    <w:rPr>
      <w:rFonts w:eastAsia="宋体"/>
      <w:b/>
      <w:bCs/>
      <w:kern w:val="2"/>
      <w:sz w:val="21"/>
      <w:szCs w:val="24"/>
      <w:lang w:val="en-US" w:eastAsia="zh-CN" w:bidi="ar-SA"/>
    </w:rPr>
  </w:style>
  <w:style w:type="character" w:customStyle="1" w:styleId="173">
    <w:name w:val="Comment Text Char"/>
    <w:autoRedefine/>
    <w:qFormat/>
    <w:locked/>
    <w:uiPriority w:val="0"/>
    <w:rPr>
      <w:rFonts w:ascii="宋体" w:hAnsi="宋体" w:eastAsia="宋体"/>
      <w:kern w:val="2"/>
      <w:sz w:val="24"/>
      <w:lang w:val="en-US" w:eastAsia="zh-CN" w:bidi="ar-SA"/>
    </w:rPr>
  </w:style>
  <w:style w:type="character" w:customStyle="1" w:styleId="174">
    <w:name w:val="标题 2 字符"/>
    <w:autoRedefine/>
    <w:qFormat/>
    <w:uiPriority w:val="1"/>
    <w:rPr>
      <w:rFonts w:ascii="仿宋_GB2312" w:hAnsi="Times New Roman" w:eastAsia="仿宋_GB2312" w:cs="Times New Roman"/>
      <w:b/>
      <w:kern w:val="2"/>
      <w:sz w:val="24"/>
      <w:lang w:val="zh-CN"/>
    </w:rPr>
  </w:style>
  <w:style w:type="character" w:customStyle="1" w:styleId="175">
    <w:name w:val="Char Char72"/>
    <w:autoRedefine/>
    <w:qFormat/>
    <w:uiPriority w:val="0"/>
    <w:rPr>
      <w:rFonts w:eastAsia="宋体"/>
      <w:kern w:val="2"/>
      <w:sz w:val="21"/>
      <w:szCs w:val="24"/>
      <w:lang w:val="en-US" w:eastAsia="zh-CN" w:bidi="ar-SA"/>
    </w:rPr>
  </w:style>
  <w:style w:type="character" w:customStyle="1" w:styleId="176">
    <w:name w:val="正文文本缩进 Char2"/>
    <w:autoRedefine/>
    <w:qFormat/>
    <w:uiPriority w:val="0"/>
    <w:rPr>
      <w:rFonts w:ascii="Times New Roman" w:hAnsi="Times New Roman" w:eastAsia="宋体" w:cs="Times New Roman"/>
      <w:snapToGrid w:val="0"/>
      <w:kern w:val="0"/>
      <w:szCs w:val="24"/>
    </w:rPr>
  </w:style>
  <w:style w:type="character" w:customStyle="1" w:styleId="177">
    <w:name w:val="样式2 Char"/>
    <w:autoRedefine/>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autoRedefine/>
    <w:qFormat/>
    <w:uiPriority w:val="0"/>
    <w:rPr>
      <w:sz w:val="32"/>
    </w:rPr>
  </w:style>
  <w:style w:type="paragraph" w:customStyle="1" w:styleId="179">
    <w:name w:val="表格名称"/>
    <w:basedOn w:val="3"/>
    <w:link w:val="178"/>
    <w:autoRedefine/>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0">
    <w:name w:val="Char Char4"/>
    <w:autoRedefine/>
    <w:qFormat/>
    <w:uiPriority w:val="0"/>
    <w:rPr>
      <w:rFonts w:eastAsia="宋体"/>
      <w:b/>
      <w:sz w:val="24"/>
      <w:lang w:val="en-GB" w:eastAsia="zh-CN" w:bidi="ar-SA"/>
    </w:rPr>
  </w:style>
  <w:style w:type="character" w:customStyle="1" w:styleId="181">
    <w:name w:val="c7 style3"/>
    <w:autoRedefine/>
    <w:qFormat/>
    <w:uiPriority w:val="0"/>
  </w:style>
  <w:style w:type="character" w:customStyle="1" w:styleId="182">
    <w:name w:val="正文文本 3 Char1"/>
    <w:autoRedefine/>
    <w:semiHidden/>
    <w:qFormat/>
    <w:uiPriority w:val="99"/>
    <w:rPr>
      <w:rFonts w:ascii="Times New Roman" w:hAnsi="Times New Roman" w:eastAsia="宋体" w:cs="Times New Roman"/>
      <w:sz w:val="16"/>
      <w:szCs w:val="16"/>
    </w:rPr>
  </w:style>
  <w:style w:type="character" w:customStyle="1" w:styleId="183">
    <w:name w:val="tw4winInternal"/>
    <w:autoRedefine/>
    <w:qFormat/>
    <w:uiPriority w:val="0"/>
    <w:rPr>
      <w:rFonts w:ascii="Courier New" w:hAnsi="Courier New" w:cs="Courier New"/>
      <w:color w:val="FF0000"/>
      <w:lang w:val="en-US" w:eastAsia="zh-CN"/>
    </w:rPr>
  </w:style>
  <w:style w:type="character" w:customStyle="1" w:styleId="184">
    <w:name w:val="Char Char10"/>
    <w:autoRedefine/>
    <w:semiHidden/>
    <w:qFormat/>
    <w:uiPriority w:val="0"/>
    <w:rPr>
      <w:rFonts w:ascii="宋体" w:hAnsi="宋体"/>
      <w:kern w:val="2"/>
      <w:sz w:val="21"/>
      <w:szCs w:val="24"/>
      <w:lang w:val="en-US" w:eastAsia="zh-CN"/>
    </w:rPr>
  </w:style>
  <w:style w:type="character" w:customStyle="1" w:styleId="185">
    <w:name w:val="shadow11"/>
    <w:autoRedefine/>
    <w:qFormat/>
    <w:uiPriority w:val="0"/>
    <w:rPr>
      <w:color w:val="000000"/>
      <w:sz w:val="21"/>
    </w:rPr>
  </w:style>
  <w:style w:type="character" w:customStyle="1" w:styleId="186">
    <w:name w:val="正文非缩进 Char3"/>
    <w:autoRedefine/>
    <w:qFormat/>
    <w:uiPriority w:val="0"/>
    <w:rPr>
      <w:rFonts w:ascii="宋体" w:eastAsia="宋体"/>
      <w:snapToGrid w:val="0"/>
      <w:color w:val="000000"/>
      <w:kern w:val="28"/>
      <w:sz w:val="28"/>
      <w:lang w:val="en-US" w:eastAsia="zh-CN" w:bidi="ar-SA"/>
    </w:rPr>
  </w:style>
  <w:style w:type="character" w:customStyle="1" w:styleId="187">
    <w:name w:val="Char Char"/>
    <w:autoRedefine/>
    <w:qFormat/>
    <w:uiPriority w:val="0"/>
    <w:rPr>
      <w:rFonts w:ascii="宋体" w:hAnsi="Courier New" w:eastAsia="宋体"/>
      <w:kern w:val="2"/>
      <w:sz w:val="21"/>
      <w:lang w:val="en-US" w:eastAsia="zh-CN" w:bidi="ar-SA"/>
    </w:rPr>
  </w:style>
  <w:style w:type="character" w:customStyle="1" w:styleId="188">
    <w:name w:val="签名 Char1"/>
    <w:autoRedefine/>
    <w:qFormat/>
    <w:uiPriority w:val="0"/>
    <w:rPr>
      <w:rFonts w:ascii="Times New Roman" w:hAnsi="Times New Roman" w:eastAsia="宋体" w:cs="Times New Roman"/>
      <w:szCs w:val="24"/>
    </w:rPr>
  </w:style>
  <w:style w:type="character" w:customStyle="1" w:styleId="189">
    <w:name w:val="日期 字符"/>
    <w:link w:val="37"/>
    <w:autoRedefine/>
    <w:qFormat/>
    <w:uiPriority w:val="0"/>
    <w:rPr>
      <w:rFonts w:ascii="宋体"/>
      <w:kern w:val="2"/>
      <w:sz w:val="24"/>
      <w:szCs w:val="21"/>
      <w:lang w:val="zh-CN"/>
    </w:rPr>
  </w:style>
  <w:style w:type="character" w:customStyle="1" w:styleId="190">
    <w:name w:val="标题 9 字符"/>
    <w:link w:val="10"/>
    <w:autoRedefine/>
    <w:qFormat/>
    <w:uiPriority w:val="0"/>
    <w:rPr>
      <w:rFonts w:ascii="Arial" w:hAnsi="Arial" w:eastAsia="黑体"/>
      <w:kern w:val="2"/>
      <w:sz w:val="21"/>
      <w:szCs w:val="21"/>
    </w:rPr>
  </w:style>
  <w:style w:type="character" w:customStyle="1" w:styleId="191">
    <w:name w:val="Char Char18"/>
    <w:autoRedefine/>
    <w:qFormat/>
    <w:uiPriority w:val="6"/>
    <w:rPr>
      <w:rFonts w:ascii="宋体" w:hAnsi="宋体"/>
      <w:sz w:val="28"/>
    </w:rPr>
  </w:style>
  <w:style w:type="character" w:customStyle="1" w:styleId="192">
    <w:name w:val="批注文字 Char"/>
    <w:autoRedefine/>
    <w:qFormat/>
    <w:uiPriority w:val="99"/>
    <w:rPr>
      <w:kern w:val="2"/>
      <w:sz w:val="21"/>
      <w:szCs w:val="24"/>
    </w:rPr>
  </w:style>
  <w:style w:type="character" w:customStyle="1" w:styleId="193">
    <w:name w:val="Char Char22"/>
    <w:autoRedefine/>
    <w:qFormat/>
    <w:uiPriority w:val="6"/>
    <w:rPr>
      <w:rFonts w:ascii="宋体" w:hAnsi="宋体"/>
      <w:kern w:val="1"/>
      <w:sz w:val="24"/>
      <w:szCs w:val="24"/>
    </w:rPr>
  </w:style>
  <w:style w:type="character" w:customStyle="1" w:styleId="194">
    <w:name w:val="pt141"/>
    <w:autoRedefine/>
    <w:qFormat/>
    <w:uiPriority w:val="0"/>
    <w:rPr>
      <w:color w:val="330066"/>
      <w:sz w:val="22"/>
      <w:szCs w:val="22"/>
    </w:rPr>
  </w:style>
  <w:style w:type="character" w:customStyle="1" w:styleId="195">
    <w:name w:val="正文文本缩进 2 Char1"/>
    <w:autoRedefine/>
    <w:semiHidden/>
    <w:qFormat/>
    <w:uiPriority w:val="99"/>
    <w:rPr>
      <w:rFonts w:ascii="Times New Roman" w:hAnsi="Times New Roman" w:eastAsia="宋体" w:cs="Times New Roman"/>
      <w:szCs w:val="24"/>
    </w:rPr>
  </w:style>
  <w:style w:type="character" w:customStyle="1" w:styleId="196">
    <w:name w:val="批注框文本 字符1"/>
    <w:link w:val="40"/>
    <w:autoRedefine/>
    <w:qFormat/>
    <w:uiPriority w:val="0"/>
    <w:rPr>
      <w:kern w:val="2"/>
      <w:sz w:val="18"/>
      <w:szCs w:val="18"/>
    </w:rPr>
  </w:style>
  <w:style w:type="character" w:customStyle="1" w:styleId="197">
    <w:name w:val="Char Char611"/>
    <w:autoRedefine/>
    <w:qFormat/>
    <w:uiPriority w:val="0"/>
    <w:rPr>
      <w:rFonts w:eastAsia="宋体"/>
      <w:kern w:val="2"/>
      <w:sz w:val="21"/>
      <w:szCs w:val="24"/>
      <w:lang w:val="en-US" w:eastAsia="zh-CN" w:bidi="ar-SA"/>
    </w:rPr>
  </w:style>
  <w:style w:type="character" w:customStyle="1" w:styleId="198">
    <w:name w:val="highlight1"/>
    <w:autoRedefine/>
    <w:qFormat/>
    <w:uiPriority w:val="0"/>
    <w:rPr>
      <w:rFonts w:ascii="仿宋_GB2312" w:eastAsia="微软雅黑"/>
      <w:b/>
      <w:kern w:val="2"/>
      <w:sz w:val="23"/>
      <w:szCs w:val="23"/>
      <w:lang w:val="en-US" w:eastAsia="zh-CN" w:bidi="ar-SA"/>
    </w:rPr>
  </w:style>
  <w:style w:type="character" w:customStyle="1" w:styleId="199">
    <w:name w:val="my正文 Char"/>
    <w:link w:val="200"/>
    <w:autoRedefine/>
    <w:qFormat/>
    <w:locked/>
    <w:uiPriority w:val="0"/>
    <w:rPr>
      <w:rFonts w:ascii="Tahoma" w:hAnsi="Tahoma"/>
      <w:sz w:val="24"/>
      <w:szCs w:val="24"/>
    </w:rPr>
  </w:style>
  <w:style w:type="paragraph" w:customStyle="1" w:styleId="200">
    <w:name w:val="my正文"/>
    <w:basedOn w:val="1"/>
    <w:link w:val="199"/>
    <w:autoRedefine/>
    <w:qFormat/>
    <w:uiPriority w:val="0"/>
    <w:pPr>
      <w:adjustRightInd/>
      <w:spacing w:line="360" w:lineRule="auto"/>
      <w:ind w:firstLine="480" w:firstLineChars="200"/>
    </w:pPr>
    <w:rPr>
      <w:rFonts w:ascii="Tahoma" w:hAnsi="Tahoma"/>
      <w:kern w:val="0"/>
      <w:sz w:val="24"/>
    </w:rPr>
  </w:style>
  <w:style w:type="character" w:customStyle="1" w:styleId="201">
    <w:name w:val="正文缩进 字符2"/>
    <w:link w:val="16"/>
    <w:autoRedefine/>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autoRedefine/>
    <w:qFormat/>
    <w:uiPriority w:val="0"/>
    <w:rPr>
      <w:color w:val="0000FF"/>
      <w:sz w:val="21"/>
    </w:rPr>
  </w:style>
  <w:style w:type="character" w:customStyle="1" w:styleId="203">
    <w:name w:val="页眉 Char"/>
    <w:autoRedefine/>
    <w:qFormat/>
    <w:uiPriority w:val="0"/>
    <w:rPr>
      <w:rFonts w:eastAsia="仿宋_GB2312"/>
      <w:kern w:val="2"/>
      <w:sz w:val="18"/>
      <w:lang w:val="en-US" w:eastAsia="zh-CN"/>
    </w:rPr>
  </w:style>
  <w:style w:type="character" w:customStyle="1" w:styleId="204">
    <w:name w:val="FA正文 Char Char"/>
    <w:autoRedefine/>
    <w:qFormat/>
    <w:uiPriority w:val="0"/>
    <w:rPr>
      <w:rFonts w:hAnsi="宋体"/>
      <w:kern w:val="2"/>
      <w:sz w:val="24"/>
      <w:lang w:bidi="ar-SA"/>
    </w:rPr>
  </w:style>
  <w:style w:type="character" w:customStyle="1" w:styleId="20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autoRedefine/>
    <w:qFormat/>
    <w:uiPriority w:val="0"/>
    <w:rPr>
      <w:rFonts w:ascii="宋体" w:hAnsi="宋体"/>
      <w:b/>
      <w:bCs/>
      <w:snapToGrid/>
      <w:sz w:val="28"/>
    </w:rPr>
  </w:style>
  <w:style w:type="paragraph" w:customStyle="1" w:styleId="207">
    <w:name w:val="3级"/>
    <w:basedOn w:val="208"/>
    <w:link w:val="206"/>
    <w:autoRedefine/>
    <w:qFormat/>
    <w:uiPriority w:val="0"/>
    <w:pPr>
      <w:ind w:left="0" w:right="466" w:firstLine="288"/>
    </w:pPr>
    <w:rPr>
      <w:rFonts w:hAnsi="宋体"/>
      <w:snapToGrid/>
    </w:rPr>
  </w:style>
  <w:style w:type="paragraph" w:customStyle="1" w:styleId="208">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autoRedefine/>
    <w:qFormat/>
    <w:uiPriority w:val="0"/>
    <w:rPr>
      <w:rFonts w:ascii="仿宋_GB2312" w:eastAsia="微软雅黑"/>
      <w:b/>
      <w:kern w:val="2"/>
      <w:sz w:val="32"/>
      <w:szCs w:val="32"/>
      <w:lang w:val="en-US" w:eastAsia="zh-CN" w:bidi="ar-SA"/>
    </w:rPr>
  </w:style>
  <w:style w:type="character" w:customStyle="1" w:styleId="210">
    <w:name w:val="文档结构图 字符"/>
    <w:link w:val="19"/>
    <w:autoRedefine/>
    <w:qFormat/>
    <w:uiPriority w:val="0"/>
    <w:rPr>
      <w:kern w:val="2"/>
      <w:sz w:val="21"/>
      <w:szCs w:val="24"/>
      <w:shd w:val="clear" w:color="auto" w:fill="000080"/>
    </w:rPr>
  </w:style>
  <w:style w:type="character" w:customStyle="1" w:styleId="211">
    <w:name w:val="H6 Char"/>
    <w:autoRedefine/>
    <w:qFormat/>
    <w:uiPriority w:val="0"/>
    <w:rPr>
      <w:rFonts w:ascii="Arial" w:hAnsi="Arial" w:eastAsia="黑体"/>
      <w:b/>
      <w:bCs/>
      <w:kern w:val="2"/>
      <w:sz w:val="24"/>
      <w:szCs w:val="24"/>
    </w:rPr>
  </w:style>
  <w:style w:type="character" w:customStyle="1" w:styleId="212">
    <w:name w:val="Char Char91"/>
    <w:autoRedefine/>
    <w:qFormat/>
    <w:uiPriority w:val="0"/>
    <w:rPr>
      <w:rFonts w:eastAsia="宋体"/>
      <w:kern w:val="2"/>
      <w:sz w:val="18"/>
      <w:szCs w:val="18"/>
      <w:lang w:val="en-US" w:eastAsia="zh-CN" w:bidi="ar-SA"/>
    </w:rPr>
  </w:style>
  <w:style w:type="character" w:customStyle="1" w:styleId="213">
    <w:name w:val="副标题 Char1"/>
    <w:autoRedefine/>
    <w:qFormat/>
    <w:uiPriority w:val="0"/>
    <w:rPr>
      <w:rFonts w:ascii="Cambria" w:hAnsi="Cambria" w:eastAsia="宋体" w:cs="Times New Roman"/>
      <w:b/>
      <w:bCs/>
      <w:snapToGrid w:val="0"/>
      <w:kern w:val="28"/>
      <w:sz w:val="32"/>
      <w:szCs w:val="32"/>
    </w:rPr>
  </w:style>
  <w:style w:type="character" w:customStyle="1" w:styleId="214">
    <w:name w:val="font61"/>
    <w:autoRedefine/>
    <w:qFormat/>
    <w:uiPriority w:val="0"/>
    <w:rPr>
      <w:rFonts w:hint="eastAsia" w:ascii="仿宋" w:hAnsi="仿宋" w:eastAsia="仿宋" w:cs="仿宋"/>
      <w:color w:val="000000"/>
      <w:sz w:val="20"/>
      <w:szCs w:val="20"/>
      <w:u w:val="none"/>
    </w:rPr>
  </w:style>
  <w:style w:type="character" w:customStyle="1" w:styleId="21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autoRedefine/>
    <w:qFormat/>
    <w:uiPriority w:val="0"/>
    <w:rPr>
      <w:rFonts w:eastAsia="宋体"/>
      <w:b/>
      <w:bCs/>
      <w:kern w:val="2"/>
      <w:sz w:val="21"/>
      <w:szCs w:val="24"/>
      <w:lang w:val="en-US" w:eastAsia="zh-CN" w:bidi="ar-SA"/>
    </w:rPr>
  </w:style>
  <w:style w:type="character" w:customStyle="1" w:styleId="217">
    <w:name w:val="标题 2 Char"/>
    <w:autoRedefine/>
    <w:qFormat/>
    <w:uiPriority w:val="0"/>
    <w:rPr>
      <w:rFonts w:ascii="Arial" w:hAnsi="Arial" w:eastAsia="黑体"/>
      <w:b/>
      <w:kern w:val="2"/>
      <w:sz w:val="32"/>
      <w:lang w:val="en-US" w:eastAsia="zh-CN"/>
    </w:rPr>
  </w:style>
  <w:style w:type="character" w:customStyle="1" w:styleId="218">
    <w:name w:val="maywed421"/>
    <w:autoRedefine/>
    <w:qFormat/>
    <w:uiPriority w:val="0"/>
    <w:rPr>
      <w:color w:val="366FB6"/>
      <w:u w:val="none"/>
    </w:rPr>
  </w:style>
  <w:style w:type="character" w:customStyle="1" w:styleId="219">
    <w:name w:val="正文文本缩进 Char"/>
    <w:autoRedefine/>
    <w:qFormat/>
    <w:uiPriority w:val="0"/>
    <w:rPr>
      <w:rFonts w:ascii="宋体" w:hAnsi="宋体"/>
      <w:kern w:val="2"/>
      <w:sz w:val="24"/>
      <w:szCs w:val="24"/>
    </w:rPr>
  </w:style>
  <w:style w:type="character" w:customStyle="1" w:styleId="220">
    <w:name w:val="Char Char102"/>
    <w:autoRedefine/>
    <w:semiHidden/>
    <w:qFormat/>
    <w:uiPriority w:val="0"/>
    <w:rPr>
      <w:rFonts w:ascii="宋体" w:hAnsi="宋体"/>
      <w:kern w:val="2"/>
      <w:sz w:val="21"/>
      <w:szCs w:val="24"/>
      <w:lang w:val="en-US" w:eastAsia="zh-CN"/>
    </w:rPr>
  </w:style>
  <w:style w:type="character" w:customStyle="1" w:styleId="221">
    <w:name w:val="页眉 Char1"/>
    <w:autoRedefine/>
    <w:qFormat/>
    <w:uiPriority w:val="0"/>
    <w:rPr>
      <w:rFonts w:eastAsia="宋体"/>
      <w:kern w:val="2"/>
      <w:sz w:val="18"/>
      <w:szCs w:val="18"/>
      <w:lang w:val="en-US" w:eastAsia="zh-CN" w:bidi="ar-SA"/>
    </w:rPr>
  </w:style>
  <w:style w:type="character" w:customStyle="1" w:styleId="222">
    <w:name w:val="md"/>
    <w:basedOn w:val="71"/>
    <w:autoRedefine/>
    <w:qFormat/>
    <w:uiPriority w:val="0"/>
    <w:rPr>
      <w:rFonts w:ascii="Arial" w:hAnsi="Arial" w:eastAsia="黑体" w:cs="Arial"/>
      <w:snapToGrid w:val="0"/>
      <w:kern w:val="0"/>
      <w:szCs w:val="21"/>
    </w:rPr>
  </w:style>
  <w:style w:type="character" w:customStyle="1" w:styleId="223">
    <w:name w:val="big1"/>
    <w:autoRedefine/>
    <w:qFormat/>
    <w:uiPriority w:val="0"/>
    <w:rPr>
      <w:rFonts w:hint="eastAsia" w:ascii="宋体" w:hAnsi="宋体" w:eastAsia="宋体"/>
      <w:color w:val="333333"/>
      <w:sz w:val="22"/>
      <w:szCs w:val="22"/>
    </w:rPr>
  </w:style>
  <w:style w:type="character" w:customStyle="1" w:styleId="224">
    <w:name w:val="Char Char311"/>
    <w:autoRedefine/>
    <w:qFormat/>
    <w:uiPriority w:val="0"/>
    <w:rPr>
      <w:rFonts w:eastAsia="宋体"/>
      <w:kern w:val="2"/>
      <w:sz w:val="21"/>
      <w:szCs w:val="24"/>
      <w:lang w:val="en-US" w:eastAsia="zh-CN" w:bidi="ar-SA"/>
    </w:rPr>
  </w:style>
  <w:style w:type="character" w:customStyle="1" w:styleId="225">
    <w:name w:val="Char Char81"/>
    <w:autoRedefine/>
    <w:qFormat/>
    <w:uiPriority w:val="6"/>
    <w:rPr>
      <w:rFonts w:eastAsia="宋体"/>
      <w:b/>
      <w:sz w:val="24"/>
      <w:lang w:val="en-GB" w:eastAsia="zh-CN"/>
    </w:rPr>
  </w:style>
  <w:style w:type="character" w:customStyle="1" w:styleId="226">
    <w:name w:val="样式3 Char"/>
    <w:basedOn w:val="177"/>
    <w:autoRedefine/>
    <w:qFormat/>
    <w:uiPriority w:val="0"/>
    <w:rPr>
      <w:rFonts w:ascii="仿宋_GB2312" w:hAnsi="仿宋" w:eastAsia="仿宋_GB2312" w:cs="仿宋_GB2312"/>
      <w:sz w:val="32"/>
      <w:szCs w:val="30"/>
      <w:lang w:val="zh-CN"/>
    </w:rPr>
  </w:style>
  <w:style w:type="character" w:customStyle="1" w:styleId="227">
    <w:name w:val="HTML 地址 字符"/>
    <w:link w:val="31"/>
    <w:autoRedefine/>
    <w:qFormat/>
    <w:uiPriority w:val="0"/>
    <w:rPr>
      <w:rFonts w:ascii="宋体" w:hAnsi="宋体"/>
      <w:i/>
      <w:iCs/>
      <w:sz w:val="24"/>
      <w:szCs w:val="24"/>
    </w:rPr>
  </w:style>
  <w:style w:type="character" w:customStyle="1" w:styleId="228">
    <w:name w:val="正文首行缩进 2 Char1"/>
    <w:autoRedefine/>
    <w:qFormat/>
    <w:uiPriority w:val="0"/>
    <w:rPr>
      <w:rFonts w:ascii="Times New Roman" w:hAnsi="Times New Roman" w:eastAsia="宋体" w:cs="Times New Roman"/>
      <w:kern w:val="2"/>
      <w:sz w:val="24"/>
      <w:szCs w:val="24"/>
    </w:rPr>
  </w:style>
  <w:style w:type="character" w:customStyle="1" w:styleId="229">
    <w:name w:val="副标题 Char2"/>
    <w:autoRedefine/>
    <w:qFormat/>
    <w:uiPriority w:val="0"/>
    <w:rPr>
      <w:rFonts w:ascii="Cambria" w:hAnsi="Cambria" w:eastAsia="宋体" w:cs="Times New Roman"/>
      <w:b/>
      <w:bCs/>
      <w:snapToGrid w:val="0"/>
      <w:kern w:val="28"/>
      <w:sz w:val="32"/>
      <w:szCs w:val="32"/>
    </w:rPr>
  </w:style>
  <w:style w:type="character" w:customStyle="1" w:styleId="230">
    <w:name w:val="标题4-dyf Char"/>
    <w:link w:val="231"/>
    <w:autoRedefine/>
    <w:qFormat/>
    <w:uiPriority w:val="0"/>
    <w:rPr>
      <w:rFonts w:ascii="Cambria" w:hAnsi="Cambria"/>
      <w:b/>
      <w:bCs/>
      <w:color w:val="000000"/>
      <w:kern w:val="2"/>
      <w:sz w:val="21"/>
      <w:szCs w:val="21"/>
    </w:rPr>
  </w:style>
  <w:style w:type="paragraph" w:customStyle="1" w:styleId="231">
    <w:name w:val="标题4-dyf"/>
    <w:basedOn w:val="5"/>
    <w:link w:val="23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autoRedefine/>
    <w:qFormat/>
    <w:uiPriority w:val="0"/>
    <w:rPr>
      <w:rFonts w:ascii="宋体" w:hAnsi="宋体" w:eastAsia="宋体"/>
      <w:color w:val="333333"/>
      <w:sz w:val="21"/>
      <w:szCs w:val="21"/>
      <w:u w:val="none"/>
    </w:rPr>
  </w:style>
  <w:style w:type="character" w:customStyle="1" w:styleId="233">
    <w:name w:val="冯 Char"/>
    <w:link w:val="234"/>
    <w:autoRedefine/>
    <w:qFormat/>
    <w:uiPriority w:val="0"/>
    <w:rPr>
      <w:rFonts w:ascii="宋体" w:hAnsi="宋体"/>
      <w:color w:val="000000"/>
      <w:sz w:val="24"/>
      <w:szCs w:val="24"/>
    </w:rPr>
  </w:style>
  <w:style w:type="paragraph" w:customStyle="1" w:styleId="234">
    <w:name w:val="冯"/>
    <w:basedOn w:val="1"/>
    <w:link w:val="23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5">
    <w:name w:val="Header Char"/>
    <w:autoRedefine/>
    <w:qFormat/>
    <w:locked/>
    <w:uiPriority w:val="0"/>
    <w:rPr>
      <w:rFonts w:eastAsia="宋体"/>
      <w:kern w:val="2"/>
      <w:sz w:val="18"/>
      <w:szCs w:val="18"/>
      <w:lang w:val="en-US" w:eastAsia="zh-CN" w:bidi="ar-SA"/>
    </w:rPr>
  </w:style>
  <w:style w:type="character" w:customStyle="1" w:styleId="236">
    <w:name w:val="Char Char12"/>
    <w:autoRedefine/>
    <w:qFormat/>
    <w:uiPriority w:val="0"/>
    <w:rPr>
      <w:rFonts w:ascii="仿宋_GB2312" w:eastAsia="仿宋_GB2312"/>
      <w:b/>
      <w:bCs/>
      <w:kern w:val="2"/>
      <w:sz w:val="24"/>
      <w:szCs w:val="24"/>
      <w:lang w:val="zh-CN" w:eastAsia="zh-CN" w:bidi="ar-SA"/>
    </w:rPr>
  </w:style>
  <w:style w:type="character" w:customStyle="1" w:styleId="237">
    <w:name w:val="题注 字符"/>
    <w:link w:val="17"/>
    <w:autoRedefine/>
    <w:qFormat/>
    <w:uiPriority w:val="0"/>
    <w:rPr>
      <w:b/>
      <w:kern w:val="2"/>
      <w:sz w:val="28"/>
    </w:rPr>
  </w:style>
  <w:style w:type="character" w:customStyle="1" w:styleId="238">
    <w:name w:val="普通文字 Char3"/>
    <w:autoRedefine/>
    <w:qFormat/>
    <w:uiPriority w:val="0"/>
    <w:rPr>
      <w:rFonts w:ascii="宋体" w:hAnsi="Courier New" w:eastAsia="宋体"/>
      <w:kern w:val="2"/>
      <w:sz w:val="21"/>
      <w:lang w:val="en-US" w:eastAsia="zh-CN" w:bidi="ar-SA"/>
    </w:rPr>
  </w:style>
  <w:style w:type="character" w:customStyle="1" w:styleId="239">
    <w:name w:val="公文正文 Char"/>
    <w:autoRedefine/>
    <w:qFormat/>
    <w:uiPriority w:val="0"/>
    <w:rPr>
      <w:rFonts w:ascii="仿宋_GB2312" w:eastAsia="仿宋_GB2312"/>
      <w:kern w:val="2"/>
      <w:sz w:val="24"/>
      <w:szCs w:val="24"/>
      <w:lang w:val="en-US" w:eastAsia="zh-CN" w:bidi="ar-SA"/>
    </w:rPr>
  </w:style>
  <w:style w:type="character" w:customStyle="1" w:styleId="240">
    <w:name w:val="正文首行缩进 Char Char Char Char Char"/>
    <w:autoRedefine/>
    <w:qFormat/>
    <w:uiPriority w:val="0"/>
    <w:rPr>
      <w:rFonts w:ascii="宋体"/>
      <w:kern w:val="2"/>
      <w:sz w:val="24"/>
      <w:lang w:val="zh-CN"/>
    </w:rPr>
  </w:style>
  <w:style w:type="character" w:customStyle="1" w:styleId="241">
    <w:name w:val="PI Char"/>
    <w:autoRedefine/>
    <w:qFormat/>
    <w:uiPriority w:val="0"/>
    <w:rPr>
      <w:rFonts w:ascii="宋体" w:hAnsi="宋体" w:eastAsia="宋体"/>
      <w:kern w:val="2"/>
      <w:sz w:val="24"/>
      <w:szCs w:val="24"/>
      <w:lang w:val="en-US" w:eastAsia="zh-CN" w:bidi="ar-SA"/>
    </w:rPr>
  </w:style>
  <w:style w:type="character" w:customStyle="1" w:styleId="242">
    <w:name w:val="Default Char"/>
    <w:link w:val="82"/>
    <w:autoRedefine/>
    <w:qFormat/>
    <w:uiPriority w:val="0"/>
    <w:rPr>
      <w:rFonts w:ascii="仿宋_GB2312" w:eastAsia="仿宋_GB2312" w:cs="仿宋_GB2312"/>
      <w:color w:val="000000"/>
      <w:sz w:val="24"/>
      <w:szCs w:val="24"/>
      <w:lang w:val="en-US" w:eastAsia="zh-CN" w:bidi="ar-SA"/>
    </w:rPr>
  </w:style>
  <w:style w:type="paragraph" w:customStyle="1" w:styleId="24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4">
    <w:name w:val="style91"/>
    <w:autoRedefine/>
    <w:qFormat/>
    <w:uiPriority w:val="0"/>
    <w:rPr>
      <w:color w:val="333333"/>
    </w:rPr>
  </w:style>
  <w:style w:type="character" w:customStyle="1" w:styleId="245">
    <w:name w:val="列出段落 Char2"/>
    <w:autoRedefine/>
    <w:qFormat/>
    <w:uiPriority w:val="34"/>
    <w:rPr>
      <w:rFonts w:ascii="Calibri" w:hAnsi="Calibri"/>
      <w:kern w:val="2"/>
      <w:sz w:val="28"/>
    </w:rPr>
  </w:style>
  <w:style w:type="character" w:customStyle="1" w:styleId="246">
    <w:name w:val="mdeck"/>
    <w:autoRedefine/>
    <w:qFormat/>
    <w:uiPriority w:val="0"/>
    <w:rPr>
      <w:rFonts w:ascii="仿宋_GB2312" w:eastAsia="微软雅黑"/>
      <w:b/>
      <w:kern w:val="2"/>
      <w:sz w:val="32"/>
      <w:szCs w:val="32"/>
      <w:lang w:val="en-US" w:eastAsia="zh-CN" w:bidi="ar-SA"/>
    </w:rPr>
  </w:style>
  <w:style w:type="character" w:customStyle="1" w:styleId="247">
    <w:name w:val="unnamed11"/>
    <w:autoRedefine/>
    <w:qFormat/>
    <w:uiPriority w:val="0"/>
    <w:rPr>
      <w:sz w:val="20"/>
      <w:szCs w:val="20"/>
    </w:rPr>
  </w:style>
  <w:style w:type="character" w:customStyle="1" w:styleId="248">
    <w:name w:val="正文文本 Char2"/>
    <w:autoRedefine/>
    <w:semiHidden/>
    <w:qFormat/>
    <w:uiPriority w:val="99"/>
    <w:rPr>
      <w:rFonts w:ascii="Times New Roman" w:hAnsi="Times New Roman" w:eastAsia="宋体" w:cs="Times New Roman"/>
      <w:snapToGrid w:val="0"/>
      <w:kern w:val="0"/>
      <w:szCs w:val="24"/>
    </w:rPr>
  </w:style>
  <w:style w:type="character" w:customStyle="1" w:styleId="249">
    <w:name w:val="标书正文格式 Char"/>
    <w:autoRedefine/>
    <w:qFormat/>
    <w:uiPriority w:val="0"/>
    <w:rPr>
      <w:rFonts w:eastAsia="楷体_GB2312"/>
      <w:kern w:val="2"/>
      <w:sz w:val="24"/>
      <w:szCs w:val="24"/>
      <w:lang w:bidi="ar-SA"/>
    </w:rPr>
  </w:style>
  <w:style w:type="character" w:customStyle="1" w:styleId="250">
    <w:name w:val="Char Char11"/>
    <w:autoRedefine/>
    <w:qFormat/>
    <w:locked/>
    <w:uiPriority w:val="0"/>
    <w:rPr>
      <w:rFonts w:ascii="宋体" w:hAnsi="宋体" w:eastAsia="宋体"/>
      <w:b/>
      <w:kern w:val="2"/>
      <w:sz w:val="24"/>
      <w:szCs w:val="24"/>
      <w:lang w:val="en-US" w:eastAsia="zh-CN" w:bidi="ar-SA"/>
    </w:rPr>
  </w:style>
  <w:style w:type="character" w:customStyle="1" w:styleId="251">
    <w:name w:val="ca-131"/>
    <w:autoRedefine/>
    <w:qFormat/>
    <w:uiPriority w:val="0"/>
    <w:rPr>
      <w:rFonts w:hint="eastAsia" w:ascii="仿宋_GB2312" w:eastAsia="仿宋_GB2312"/>
      <w:b/>
      <w:bCs/>
      <w:color w:val="000000"/>
      <w:spacing w:val="-20"/>
      <w:sz w:val="24"/>
      <w:szCs w:val="24"/>
    </w:rPr>
  </w:style>
  <w:style w:type="character" w:customStyle="1" w:styleId="252">
    <w:name w:val="tw4winMark"/>
    <w:autoRedefine/>
    <w:qFormat/>
    <w:uiPriority w:val="0"/>
    <w:rPr>
      <w:rFonts w:ascii="Courier New" w:hAnsi="Courier New" w:cs="Courier New"/>
      <w:vanish/>
      <w:color w:val="800080"/>
      <w:sz w:val="24"/>
      <w:szCs w:val="24"/>
      <w:vertAlign w:val="subscript"/>
    </w:rPr>
  </w:style>
  <w:style w:type="character" w:customStyle="1" w:styleId="253">
    <w:name w:val="正文样式 Char"/>
    <w:link w:val="254"/>
    <w:autoRedefine/>
    <w:qFormat/>
    <w:uiPriority w:val="0"/>
    <w:rPr>
      <w:rFonts w:ascii="Calibri" w:hAnsi="Calibri"/>
      <w:sz w:val="24"/>
      <w:szCs w:val="24"/>
    </w:rPr>
  </w:style>
  <w:style w:type="paragraph" w:customStyle="1" w:styleId="254">
    <w:name w:val="正文样式"/>
    <w:basedOn w:val="1"/>
    <w:link w:val="253"/>
    <w:autoRedefine/>
    <w:qFormat/>
    <w:uiPriority w:val="0"/>
    <w:pPr>
      <w:adjustRightInd/>
      <w:spacing w:line="360" w:lineRule="auto"/>
      <w:ind w:firstLine="480" w:firstLineChars="200"/>
    </w:pPr>
    <w:rPr>
      <w:kern w:val="0"/>
      <w:sz w:val="24"/>
    </w:rPr>
  </w:style>
  <w:style w:type="character" w:customStyle="1" w:styleId="255">
    <w:name w:val="表正文 Char3"/>
    <w:autoRedefine/>
    <w:qFormat/>
    <w:uiPriority w:val="0"/>
    <w:rPr>
      <w:rFonts w:eastAsia="宋体"/>
    </w:rPr>
  </w:style>
  <w:style w:type="character" w:customStyle="1" w:styleId="256">
    <w:name w:val="H5 Char"/>
    <w:autoRedefine/>
    <w:qFormat/>
    <w:uiPriority w:val="0"/>
    <w:rPr>
      <w:b/>
      <w:bCs/>
      <w:kern w:val="2"/>
      <w:sz w:val="28"/>
      <w:szCs w:val="28"/>
    </w:rPr>
  </w:style>
  <w:style w:type="character" w:customStyle="1" w:styleId="257">
    <w:name w:val="Char Char3"/>
    <w:autoRedefine/>
    <w:qFormat/>
    <w:uiPriority w:val="0"/>
    <w:rPr>
      <w:rFonts w:eastAsia="宋体"/>
      <w:kern w:val="2"/>
      <w:sz w:val="21"/>
      <w:szCs w:val="24"/>
      <w:lang w:val="en-US" w:eastAsia="zh-CN" w:bidi="ar-SA"/>
    </w:rPr>
  </w:style>
  <w:style w:type="character" w:customStyle="1" w:styleId="258">
    <w:name w:val="正文 编号 Char"/>
    <w:autoRedefine/>
    <w:qFormat/>
    <w:uiPriority w:val="0"/>
    <w:rPr>
      <w:rFonts w:ascii="仿宋_GB2312" w:hAnsi="仿宋_GB2312" w:eastAsia="仿宋_GB2312"/>
      <w:kern w:val="2"/>
      <w:sz w:val="24"/>
      <w:lang w:bidi="ar-SA"/>
    </w:rPr>
  </w:style>
  <w:style w:type="character" w:customStyle="1" w:styleId="259">
    <w:name w:val="question-title2"/>
    <w:autoRedefine/>
    <w:qFormat/>
    <w:uiPriority w:val="6"/>
    <w:rPr>
      <w:rFonts w:ascii="Arial" w:hAnsi="Arial" w:eastAsia="黑体" w:cs="Arial"/>
      <w:snapToGrid w:val="0"/>
      <w:kern w:val="0"/>
      <w:szCs w:val="21"/>
    </w:rPr>
  </w:style>
  <w:style w:type="character" w:customStyle="1" w:styleId="260">
    <w:name w:val="gf正文1 Char Char"/>
    <w:link w:val="261"/>
    <w:autoRedefine/>
    <w:qFormat/>
    <w:uiPriority w:val="0"/>
    <w:rPr>
      <w:rFonts w:ascii="宋体" w:hAnsi="宋体" w:cs="宋体"/>
      <w:kern w:val="2"/>
      <w:sz w:val="24"/>
      <w:szCs w:val="24"/>
    </w:rPr>
  </w:style>
  <w:style w:type="paragraph" w:customStyle="1" w:styleId="261">
    <w:name w:val="gf正文1"/>
    <w:basedOn w:val="1"/>
    <w:link w:val="26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autoRedefine/>
    <w:qFormat/>
    <w:uiPriority w:val="6"/>
    <w:rPr>
      <w:rFonts w:ascii="宋体" w:hAnsi="宋体"/>
      <w:kern w:val="1"/>
      <w:sz w:val="21"/>
    </w:rPr>
  </w:style>
  <w:style w:type="character" w:customStyle="1" w:styleId="263">
    <w:name w:val="正文缩进 Char3"/>
    <w:autoRedefine/>
    <w:qFormat/>
    <w:uiPriority w:val="0"/>
    <w:rPr>
      <w:rFonts w:ascii="宋体" w:eastAsia="宋体"/>
      <w:snapToGrid w:val="0"/>
      <w:color w:val="000000"/>
      <w:kern w:val="28"/>
      <w:sz w:val="28"/>
      <w:lang w:val="en-US" w:eastAsia="zh-CN" w:bidi="ar-SA"/>
    </w:rPr>
  </w:style>
  <w:style w:type="character" w:customStyle="1" w:styleId="264">
    <w:name w:val="列出段落 Char1"/>
    <w:link w:val="265"/>
    <w:autoRedefine/>
    <w:qFormat/>
    <w:uiPriority w:val="0"/>
    <w:rPr>
      <w:rFonts w:ascii="Calibri" w:hAnsi="Calibri"/>
      <w:sz w:val="24"/>
      <w:lang w:eastAsia="en-US"/>
    </w:rPr>
  </w:style>
  <w:style w:type="paragraph" w:customStyle="1" w:styleId="265">
    <w:name w:val="列表1"/>
    <w:basedOn w:val="1"/>
    <w:next w:val="88"/>
    <w:link w:val="264"/>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autoRedefine/>
    <w:qFormat/>
    <w:uiPriority w:val="0"/>
    <w:rPr>
      <w:rFonts w:eastAsia="宋体"/>
      <w:b/>
      <w:sz w:val="24"/>
      <w:lang w:val="en-GB" w:eastAsia="zh-CN"/>
    </w:rPr>
  </w:style>
  <w:style w:type="character" w:customStyle="1" w:styleId="267">
    <w:name w:val="Normal Indent Char Char"/>
    <w:autoRedefine/>
    <w:qFormat/>
    <w:uiPriority w:val="0"/>
    <w:rPr>
      <w:rFonts w:eastAsia="宋体"/>
      <w:kern w:val="2"/>
      <w:sz w:val="21"/>
      <w:lang w:val="en-US" w:eastAsia="zh-CN" w:bidi="ar-SA"/>
    </w:rPr>
  </w:style>
  <w:style w:type="character" w:customStyle="1" w:styleId="268">
    <w:name w:val="列表段落 字符"/>
    <w:autoRedefine/>
    <w:qFormat/>
    <w:uiPriority w:val="99"/>
  </w:style>
  <w:style w:type="character" w:customStyle="1" w:styleId="269">
    <w:name w:val="Ò³Ã¼ Char Char1"/>
    <w:autoRedefine/>
    <w:qFormat/>
    <w:uiPriority w:val="0"/>
    <w:rPr>
      <w:rFonts w:eastAsia="宋体"/>
      <w:kern w:val="2"/>
      <w:sz w:val="18"/>
      <w:szCs w:val="18"/>
      <w:lang w:val="en-US" w:eastAsia="zh-CN" w:bidi="ar-SA"/>
    </w:rPr>
  </w:style>
  <w:style w:type="character" w:customStyle="1" w:styleId="270">
    <w:name w:val="方案正文 Char"/>
    <w:autoRedefine/>
    <w:qFormat/>
    <w:uiPriority w:val="0"/>
    <w:rPr>
      <w:rFonts w:ascii="仿宋_GB2312" w:eastAsia="仿宋_GB2312"/>
      <w:b/>
      <w:color w:val="000000"/>
      <w:kern w:val="2"/>
      <w:sz w:val="24"/>
      <w:lang w:val="en-US" w:eastAsia="zh-CN" w:bidi="ar-SA"/>
    </w:rPr>
  </w:style>
  <w:style w:type="character" w:customStyle="1" w:styleId="271">
    <w:name w:val="Char Char30"/>
    <w:autoRedefine/>
    <w:qFormat/>
    <w:uiPriority w:val="6"/>
    <w:rPr>
      <w:rFonts w:ascii="Arial" w:hAnsi="Arial" w:eastAsia="黑体"/>
      <w:kern w:val="1"/>
      <w:sz w:val="21"/>
      <w:szCs w:val="21"/>
    </w:rPr>
  </w:style>
  <w:style w:type="character" w:customStyle="1" w:styleId="272">
    <w:name w:val="正文文本缩进 字符1"/>
    <w:link w:val="26"/>
    <w:autoRedefine/>
    <w:qFormat/>
    <w:uiPriority w:val="0"/>
    <w:rPr>
      <w:rFonts w:ascii="宋体" w:hAnsi="宋体"/>
      <w:kern w:val="2"/>
      <w:sz w:val="24"/>
      <w:szCs w:val="24"/>
    </w:rPr>
  </w:style>
  <w:style w:type="character" w:customStyle="1" w:styleId="273">
    <w:name w:val="font01"/>
    <w:autoRedefine/>
    <w:qFormat/>
    <w:uiPriority w:val="0"/>
    <w:rPr>
      <w:rFonts w:hint="eastAsia" w:ascii="微软雅黑" w:hAnsi="微软雅黑" w:eastAsia="微软雅黑" w:cs="微软雅黑"/>
      <w:color w:val="000000"/>
      <w:sz w:val="20"/>
      <w:szCs w:val="20"/>
      <w:u w:val="none"/>
    </w:rPr>
  </w:style>
  <w:style w:type="character" w:customStyle="1" w:styleId="274">
    <w:name w:val="Char Char20"/>
    <w:autoRedefine/>
    <w:qFormat/>
    <w:uiPriority w:val="6"/>
    <w:rPr>
      <w:kern w:val="1"/>
      <w:sz w:val="24"/>
    </w:rPr>
  </w:style>
  <w:style w:type="character" w:customStyle="1" w:styleId="275">
    <w:name w:val="tw4winExternal"/>
    <w:autoRedefine/>
    <w:qFormat/>
    <w:uiPriority w:val="0"/>
    <w:rPr>
      <w:rFonts w:ascii="Courier New" w:hAnsi="Courier New" w:cs="Courier New"/>
      <w:color w:val="808080"/>
      <w:lang w:val="en-US" w:eastAsia="zh-CN"/>
    </w:rPr>
  </w:style>
  <w:style w:type="character" w:customStyle="1" w:styleId="276">
    <w:name w:val="标题 4 Char1"/>
    <w:autoRedefine/>
    <w:qFormat/>
    <w:uiPriority w:val="9"/>
    <w:rPr>
      <w:rFonts w:ascii="Cambria" w:hAnsi="Cambria" w:eastAsia="宋体" w:cs="Times New Roman"/>
      <w:b/>
      <w:bCs/>
      <w:kern w:val="2"/>
      <w:sz w:val="28"/>
      <w:szCs w:val="28"/>
    </w:rPr>
  </w:style>
  <w:style w:type="character" w:customStyle="1" w:styleId="277">
    <w:name w:val="批注文字 Char2"/>
    <w:autoRedefine/>
    <w:qFormat/>
    <w:uiPriority w:val="99"/>
    <w:rPr>
      <w:rFonts w:ascii="Times New Roman" w:hAnsi="Times New Roman" w:eastAsia="宋体" w:cs="Times New Roman"/>
      <w:snapToGrid w:val="0"/>
      <w:kern w:val="0"/>
      <w:szCs w:val="24"/>
    </w:rPr>
  </w:style>
  <w:style w:type="character" w:customStyle="1" w:styleId="278">
    <w:name w:val="正文文本 2 Char"/>
    <w:autoRedefine/>
    <w:qFormat/>
    <w:uiPriority w:val="0"/>
    <w:rPr>
      <w:rFonts w:eastAsia="宋体"/>
      <w:kern w:val="2"/>
      <w:sz w:val="21"/>
      <w:szCs w:val="24"/>
      <w:lang w:val="en-US" w:eastAsia="zh-CN" w:bidi="ar-SA"/>
    </w:rPr>
  </w:style>
  <w:style w:type="character" w:customStyle="1" w:styleId="279">
    <w:name w:val="Ò³Ã¼ Char Char"/>
    <w:autoRedefine/>
    <w:qFormat/>
    <w:uiPriority w:val="0"/>
    <w:rPr>
      <w:rFonts w:eastAsia="宋体"/>
      <w:kern w:val="2"/>
      <w:sz w:val="18"/>
      <w:lang w:val="en-US" w:eastAsia="zh-CN" w:bidi="ar-SA"/>
    </w:rPr>
  </w:style>
  <w:style w:type="character" w:customStyle="1" w:styleId="280">
    <w:name w:val="message1"/>
    <w:autoRedefine/>
    <w:qFormat/>
    <w:uiPriority w:val="0"/>
    <w:rPr>
      <w:rFonts w:hint="default" w:ascii="Tahoma" w:hAnsi="Tahoma" w:cs="Tahoma"/>
      <w:sz w:val="18"/>
      <w:szCs w:val="18"/>
    </w:rPr>
  </w:style>
  <w:style w:type="character" w:customStyle="1" w:styleId="281">
    <w:name w:val="Char Char23"/>
    <w:autoRedefine/>
    <w:qFormat/>
    <w:uiPriority w:val="6"/>
    <w:rPr>
      <w:color w:val="0000FF"/>
      <w:sz w:val="21"/>
    </w:rPr>
  </w:style>
  <w:style w:type="character" w:customStyle="1" w:styleId="282">
    <w:name w:val="批注框文本 字符"/>
    <w:autoRedefine/>
    <w:qFormat/>
    <w:uiPriority w:val="0"/>
    <w:rPr>
      <w:rFonts w:ascii="Arial" w:hAnsi="Arial" w:eastAsia="黑体" w:cs="Arial"/>
      <w:snapToGrid w:val="0"/>
      <w:kern w:val="0"/>
      <w:sz w:val="18"/>
      <w:szCs w:val="18"/>
    </w:rPr>
  </w:style>
  <w:style w:type="character" w:customStyle="1" w:styleId="283">
    <w:name w:val="纯文本 Char2"/>
    <w:autoRedefine/>
    <w:semiHidden/>
    <w:qFormat/>
    <w:uiPriority w:val="99"/>
    <w:rPr>
      <w:rFonts w:ascii="宋体" w:hAnsi="Courier New" w:eastAsia="宋体" w:cs="Courier New"/>
    </w:rPr>
  </w:style>
  <w:style w:type="character" w:customStyle="1" w:styleId="284">
    <w:name w:val="Char Char25"/>
    <w:autoRedefine/>
    <w:qFormat/>
    <w:uiPriority w:val="6"/>
    <w:rPr>
      <w:rFonts w:ascii="宋体" w:hAnsi="宋体"/>
      <w:kern w:val="1"/>
      <w:sz w:val="24"/>
      <w:lang w:val="zh-CN"/>
    </w:rPr>
  </w:style>
  <w:style w:type="character" w:customStyle="1" w:styleId="285">
    <w:name w:val="Char Char411"/>
    <w:autoRedefine/>
    <w:qFormat/>
    <w:uiPriority w:val="0"/>
    <w:rPr>
      <w:rFonts w:eastAsia="宋体"/>
      <w:b/>
      <w:sz w:val="24"/>
      <w:lang w:val="en-GB" w:eastAsia="zh-CN" w:bidi="ar-SA"/>
    </w:rPr>
  </w:style>
  <w:style w:type="character" w:customStyle="1" w:styleId="286">
    <w:name w:val="Heading 7 Char"/>
    <w:autoRedefine/>
    <w:qFormat/>
    <w:locked/>
    <w:uiPriority w:val="0"/>
    <w:rPr>
      <w:rFonts w:ascii="宋体" w:hAnsi="宋体" w:eastAsia="宋体"/>
      <w:b/>
      <w:bCs/>
      <w:kern w:val="2"/>
      <w:sz w:val="24"/>
      <w:szCs w:val="24"/>
      <w:lang w:val="en-US" w:eastAsia="zh-CN" w:bidi="ar-SA"/>
    </w:rPr>
  </w:style>
  <w:style w:type="character" w:customStyle="1" w:styleId="287">
    <w:name w:val="此正文 Char"/>
    <w:link w:val="288"/>
    <w:autoRedefine/>
    <w:qFormat/>
    <w:uiPriority w:val="0"/>
    <w:rPr>
      <w:kern w:val="2"/>
      <w:sz w:val="24"/>
      <w:szCs w:val="24"/>
    </w:rPr>
  </w:style>
  <w:style w:type="paragraph" w:customStyle="1" w:styleId="288">
    <w:name w:val="此正文"/>
    <w:basedOn w:val="1"/>
    <w:link w:val="287"/>
    <w:autoRedefine/>
    <w:qFormat/>
    <w:uiPriority w:val="0"/>
    <w:pPr>
      <w:adjustRightInd/>
      <w:spacing w:line="360" w:lineRule="auto"/>
      <w:ind w:firstLine="200" w:firstLineChars="200"/>
    </w:pPr>
    <w:rPr>
      <w:sz w:val="24"/>
    </w:rPr>
  </w:style>
  <w:style w:type="character" w:customStyle="1" w:styleId="289">
    <w:name w:val="Char Char2"/>
    <w:autoRedefine/>
    <w:qFormat/>
    <w:uiPriority w:val="0"/>
    <w:rPr>
      <w:rFonts w:eastAsia="宋体"/>
      <w:b/>
      <w:bCs/>
      <w:kern w:val="2"/>
      <w:sz w:val="21"/>
      <w:szCs w:val="24"/>
      <w:lang w:val="en-US" w:eastAsia="zh-CN" w:bidi="ar-SA"/>
    </w:rPr>
  </w:style>
  <w:style w:type="character" w:customStyle="1" w:styleId="290">
    <w:name w:val="标题 1 字符1"/>
    <w:link w:val="2"/>
    <w:autoRedefine/>
    <w:qFormat/>
    <w:uiPriority w:val="9"/>
    <w:rPr>
      <w:b/>
      <w:bCs/>
      <w:kern w:val="44"/>
      <w:sz w:val="44"/>
      <w:szCs w:val="44"/>
    </w:rPr>
  </w:style>
  <w:style w:type="character" w:customStyle="1" w:styleId="291">
    <w:name w:val="Footer-Even Char1"/>
    <w:autoRedefine/>
    <w:qFormat/>
    <w:uiPriority w:val="0"/>
    <w:rPr>
      <w:rFonts w:eastAsia="宋体"/>
      <w:kern w:val="2"/>
      <w:sz w:val="18"/>
      <w:szCs w:val="18"/>
      <w:lang w:val="en-US" w:eastAsia="zh-CN" w:bidi="ar-SA"/>
    </w:rPr>
  </w:style>
  <w:style w:type="character" w:customStyle="1" w:styleId="292">
    <w:name w:val="Char Char29"/>
    <w:autoRedefine/>
    <w:qFormat/>
    <w:uiPriority w:val="6"/>
    <w:rPr>
      <w:rFonts w:ascii="Arial" w:hAnsi="Arial" w:eastAsia="微软雅黑"/>
      <w:b/>
      <w:kern w:val="1"/>
      <w:sz w:val="44"/>
      <w:szCs w:val="32"/>
      <w:lang w:val="en-US" w:eastAsia="zh-CN" w:bidi="ar-SA"/>
    </w:rPr>
  </w:style>
  <w:style w:type="character" w:customStyle="1" w:styleId="293">
    <w:name w:val="标题 字符"/>
    <w:link w:val="61"/>
    <w:autoRedefine/>
    <w:qFormat/>
    <w:uiPriority w:val="10"/>
    <w:rPr>
      <w:b/>
      <w:sz w:val="24"/>
      <w:lang w:val="en-GB"/>
    </w:rPr>
  </w:style>
  <w:style w:type="character" w:customStyle="1" w:styleId="294">
    <w:name w:val="font81"/>
    <w:autoRedefine/>
    <w:qFormat/>
    <w:uiPriority w:val="0"/>
    <w:rPr>
      <w:rFonts w:ascii="微软雅黑" w:hAnsi="微软雅黑" w:eastAsia="微软雅黑" w:cs="微软雅黑"/>
      <w:color w:val="000000"/>
      <w:sz w:val="20"/>
      <w:szCs w:val="20"/>
      <w:u w:val="none"/>
    </w:rPr>
  </w:style>
  <w:style w:type="character" w:customStyle="1" w:styleId="29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6">
    <w:name w:val="t21"/>
    <w:autoRedefine/>
    <w:qFormat/>
    <w:uiPriority w:val="0"/>
    <w:rPr>
      <w:rFonts w:ascii="仿宋_GB2312" w:eastAsia="微软雅黑"/>
      <w:b/>
      <w:kern w:val="2"/>
      <w:sz w:val="23"/>
      <w:szCs w:val="23"/>
      <w:lang w:val="en-US" w:eastAsia="zh-CN" w:bidi="ar-SA"/>
    </w:rPr>
  </w:style>
  <w:style w:type="character" w:customStyle="1" w:styleId="297">
    <w:name w:val="样式8 Char"/>
    <w:autoRedefine/>
    <w:qFormat/>
    <w:uiPriority w:val="0"/>
    <w:rPr>
      <w:rFonts w:ascii="仿宋_GB2312" w:hAnsi="宋体" w:eastAsia="仿宋_GB2312"/>
      <w:b/>
      <w:bCs/>
      <w:kern w:val="2"/>
      <w:sz w:val="24"/>
      <w:szCs w:val="24"/>
    </w:rPr>
  </w:style>
  <w:style w:type="character" w:customStyle="1" w:styleId="298">
    <w:name w:val="表格 Char Char"/>
    <w:autoRedefine/>
    <w:qFormat/>
    <w:uiPriority w:val="0"/>
    <w:rPr>
      <w:rFonts w:ascii="宋体" w:hAnsi="宋体" w:eastAsia="宋体"/>
      <w:lang w:bidi="ar-SA"/>
    </w:rPr>
  </w:style>
  <w:style w:type="character" w:customStyle="1" w:styleId="299">
    <w:name w:val="正文文本 字符1"/>
    <w:autoRedefine/>
    <w:qFormat/>
    <w:uiPriority w:val="0"/>
    <w:rPr>
      <w:rFonts w:ascii="Calibri" w:hAnsi="Calibri" w:eastAsia="黑体" w:cs="Arial"/>
      <w:snapToGrid w:val="0"/>
      <w:kern w:val="2"/>
      <w:sz w:val="28"/>
      <w:szCs w:val="21"/>
    </w:rPr>
  </w:style>
  <w:style w:type="character" w:customStyle="1" w:styleId="300">
    <w:name w:val="标题 5 字符"/>
    <w:link w:val="6"/>
    <w:autoRedefine/>
    <w:qFormat/>
    <w:uiPriority w:val="9"/>
    <w:rPr>
      <w:b/>
      <w:bCs/>
      <w:kern w:val="2"/>
      <w:sz w:val="28"/>
      <w:szCs w:val="28"/>
    </w:rPr>
  </w:style>
  <w:style w:type="character" w:customStyle="1" w:styleId="301">
    <w:name w:val="标题 6 Char1"/>
    <w:autoRedefine/>
    <w:qFormat/>
    <w:uiPriority w:val="0"/>
    <w:rPr>
      <w:rFonts w:ascii="Arial" w:hAnsi="Arial" w:eastAsia="黑体" w:cs="Times New Roman"/>
      <w:b/>
      <w:sz w:val="24"/>
      <w:szCs w:val="20"/>
      <w:lang w:bidi="ar-SA"/>
    </w:rPr>
  </w:style>
  <w:style w:type="character" w:customStyle="1" w:styleId="302">
    <w:name w:val="带编号样式 Char"/>
    <w:autoRedefine/>
    <w:qFormat/>
    <w:uiPriority w:val="0"/>
    <w:rPr>
      <w:rFonts w:ascii="仿宋_GB2312" w:eastAsia="仿宋_GB2312"/>
      <w:color w:val="000000"/>
      <w:sz w:val="24"/>
      <w:lang w:bidi="ar-SA"/>
    </w:rPr>
  </w:style>
  <w:style w:type="character" w:customStyle="1" w:styleId="303">
    <w:name w:val="unnamed31"/>
    <w:autoRedefine/>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autoRedefine/>
    <w:qFormat/>
    <w:uiPriority w:val="0"/>
    <w:rPr>
      <w:rFonts w:ascii="宋体" w:eastAsia="宋体"/>
      <w:kern w:val="2"/>
      <w:sz w:val="24"/>
      <w:szCs w:val="24"/>
      <w:lang w:val="zh-CN" w:bidi="ar-SA"/>
    </w:rPr>
  </w:style>
  <w:style w:type="character" w:customStyle="1" w:styleId="305">
    <w:name w:val="称呼 字符"/>
    <w:link w:val="21"/>
    <w:autoRedefine/>
    <w:qFormat/>
    <w:uiPriority w:val="0"/>
    <w:rPr>
      <w:rFonts w:ascii="仿宋_GB2312" w:eastAsia="仿宋_GB2312"/>
      <w:kern w:val="2"/>
      <w:sz w:val="28"/>
    </w:rPr>
  </w:style>
  <w:style w:type="character" w:customStyle="1" w:styleId="306">
    <w:name w:val="文本正文 Char Char"/>
    <w:autoRedefine/>
    <w:qFormat/>
    <w:locked/>
    <w:uiPriority w:val="0"/>
    <w:rPr>
      <w:sz w:val="24"/>
      <w:lang w:bidi="ar-SA"/>
    </w:rPr>
  </w:style>
  <w:style w:type="character" w:customStyle="1" w:styleId="307">
    <w:name w:val="正文缩进 字符"/>
    <w:autoRedefine/>
    <w:qFormat/>
    <w:uiPriority w:val="0"/>
    <w:rPr>
      <w:rFonts w:ascii="宋体" w:eastAsia="宋体"/>
      <w:snapToGrid w:val="0"/>
      <w:color w:val="000000"/>
      <w:kern w:val="28"/>
      <w:sz w:val="28"/>
      <w:lang w:val="en-US" w:eastAsia="zh-CN" w:bidi="ar-SA"/>
    </w:rPr>
  </w:style>
  <w:style w:type="character" w:customStyle="1" w:styleId="308">
    <w:name w:val="HTML 预设格式 字符"/>
    <w:link w:val="59"/>
    <w:autoRedefine/>
    <w:qFormat/>
    <w:uiPriority w:val="0"/>
    <w:rPr>
      <w:rFonts w:ascii="黑体" w:hAnsi="Courier New" w:eastAsia="黑体"/>
    </w:rPr>
  </w:style>
  <w:style w:type="character" w:customStyle="1" w:styleId="309">
    <w:name w:val="正文文本 2 字符1"/>
    <w:link w:val="58"/>
    <w:autoRedefine/>
    <w:qFormat/>
    <w:uiPriority w:val="0"/>
    <w:rPr>
      <w:kern w:val="2"/>
      <w:sz w:val="21"/>
      <w:szCs w:val="24"/>
    </w:rPr>
  </w:style>
  <w:style w:type="character" w:customStyle="1" w:styleId="310">
    <w:name w:val="样式 样式 标题 4h4H4Fab-4T5Ref Heading 1rh1Heading sqlsect 1.2.3.... +... Char"/>
    <w:link w:val="311"/>
    <w:autoRedefine/>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autoRedefine/>
    <w:qFormat/>
    <w:uiPriority w:val="0"/>
    <w:pPr>
      <w:tabs>
        <w:tab w:val="left" w:pos="2356"/>
      </w:tabs>
    </w:pPr>
  </w:style>
  <w:style w:type="paragraph" w:customStyle="1" w:styleId="312">
    <w:name w:val="样式 标题 4h4H4Fab-4T5Ref Heading 1rh1Heading sqlsect 1.2.3...."/>
    <w:basedOn w:val="5"/>
    <w:link w:val="42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autoRedefine/>
    <w:qFormat/>
    <w:uiPriority w:val="0"/>
    <w:rPr>
      <w:rFonts w:ascii="宋体" w:eastAsia="宋体"/>
      <w:snapToGrid w:val="0"/>
      <w:color w:val="000000"/>
      <w:kern w:val="28"/>
      <w:sz w:val="28"/>
      <w:lang w:val="en-US" w:eastAsia="zh-CN" w:bidi="ar-SA"/>
    </w:rPr>
  </w:style>
  <w:style w:type="character" w:customStyle="1" w:styleId="314">
    <w:name w:val="标题 7 字符"/>
    <w:link w:val="8"/>
    <w:autoRedefine/>
    <w:qFormat/>
    <w:uiPriority w:val="0"/>
    <w:rPr>
      <w:b/>
      <w:bCs/>
      <w:kern w:val="2"/>
      <w:sz w:val="24"/>
      <w:szCs w:val="24"/>
    </w:rPr>
  </w:style>
  <w:style w:type="character" w:customStyle="1" w:styleId="315">
    <w:name w:val="正文文本缩进 2 字符"/>
    <w:link w:val="38"/>
    <w:autoRedefine/>
    <w:qFormat/>
    <w:uiPriority w:val="0"/>
    <w:rPr>
      <w:rFonts w:ascii="宋体"/>
      <w:sz w:val="28"/>
    </w:rPr>
  </w:style>
  <w:style w:type="character" w:customStyle="1" w:styleId="316">
    <w:name w:val="Char Char5"/>
    <w:autoRedefine/>
    <w:qFormat/>
    <w:uiPriority w:val="0"/>
    <w:rPr>
      <w:rFonts w:ascii="宋体" w:hAnsi="Courier New" w:eastAsia="宋体"/>
      <w:kern w:val="2"/>
      <w:sz w:val="21"/>
      <w:lang w:val="en-US" w:eastAsia="zh-CN"/>
    </w:rPr>
  </w:style>
  <w:style w:type="character" w:customStyle="1" w:styleId="317">
    <w:name w:val="脚注文本 字符"/>
    <w:link w:val="52"/>
    <w:autoRedefine/>
    <w:qFormat/>
    <w:uiPriority w:val="0"/>
    <w:rPr>
      <w:color w:val="0000FF"/>
      <w:sz w:val="21"/>
    </w:rPr>
  </w:style>
  <w:style w:type="character" w:customStyle="1" w:styleId="318">
    <w:name w:val="称呼 Char1"/>
    <w:autoRedefine/>
    <w:qFormat/>
    <w:uiPriority w:val="0"/>
    <w:rPr>
      <w:rFonts w:ascii="Times New Roman" w:hAnsi="Times New Roman" w:eastAsia="宋体" w:cs="Times New Roman"/>
      <w:szCs w:val="24"/>
    </w:rPr>
  </w:style>
  <w:style w:type="character" w:customStyle="1" w:styleId="319">
    <w:name w:val="正文1 Char"/>
    <w:autoRedefine/>
    <w:qFormat/>
    <w:uiPriority w:val="0"/>
    <w:rPr>
      <w:rFonts w:ascii="宋体" w:eastAsia="宋体"/>
      <w:snapToGrid w:val="0"/>
      <w:color w:val="000000"/>
      <w:kern w:val="28"/>
      <w:sz w:val="28"/>
      <w:lang w:val="en-US" w:eastAsia="zh-CN" w:bidi="ar-SA"/>
    </w:rPr>
  </w:style>
  <w:style w:type="character" w:customStyle="1" w:styleId="320">
    <w:name w:val="正文缩进 Char1"/>
    <w:autoRedefine/>
    <w:qFormat/>
    <w:uiPriority w:val="0"/>
    <w:rPr>
      <w:rFonts w:ascii="宋体" w:eastAsia="宋体"/>
      <w:snapToGrid w:val="0"/>
      <w:color w:val="000000"/>
      <w:kern w:val="28"/>
      <w:sz w:val="28"/>
      <w:lang w:val="en-US" w:eastAsia="zh-CN" w:bidi="ar-SA"/>
    </w:rPr>
  </w:style>
  <w:style w:type="character" w:customStyle="1" w:styleId="321">
    <w:name w:val="font21"/>
    <w:autoRedefine/>
    <w:qFormat/>
    <w:uiPriority w:val="0"/>
    <w:rPr>
      <w:rFonts w:hint="eastAsia" w:ascii="宋体" w:hAnsi="宋体" w:eastAsia="宋体"/>
      <w:kern w:val="2"/>
      <w:sz w:val="28"/>
      <w:szCs w:val="28"/>
      <w:lang w:val="en-US" w:eastAsia="zh-CN" w:bidi="ar-SA"/>
    </w:rPr>
  </w:style>
  <w:style w:type="character" w:customStyle="1" w:styleId="322">
    <w:name w:val="Char Char26"/>
    <w:autoRedefine/>
    <w:qFormat/>
    <w:uiPriority w:val="6"/>
    <w:rPr>
      <w:kern w:val="1"/>
      <w:sz w:val="21"/>
      <w:szCs w:val="24"/>
    </w:rPr>
  </w:style>
  <w:style w:type="character" w:customStyle="1" w:styleId="323">
    <w:name w:val="Item List Char"/>
    <w:link w:val="324"/>
    <w:autoRedefine/>
    <w:qFormat/>
    <w:uiPriority w:val="0"/>
    <w:rPr>
      <w:rFonts w:ascii="Arial"/>
      <w:bCs/>
      <w:sz w:val="21"/>
      <w:szCs w:val="21"/>
      <w:lang w:val="en-US" w:eastAsia="zh-CN" w:bidi="ar-SA"/>
    </w:rPr>
  </w:style>
  <w:style w:type="paragraph" w:customStyle="1" w:styleId="324">
    <w:name w:val="Item List"/>
    <w:link w:val="32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autoRedefine/>
    <w:qFormat/>
    <w:uiPriority w:val="0"/>
    <w:rPr>
      <w:rFonts w:ascii="Times New Roman" w:hAnsi="Times New Roman" w:eastAsia="宋体" w:cs="Times New Roman"/>
      <w:sz w:val="18"/>
      <w:szCs w:val="18"/>
    </w:rPr>
  </w:style>
  <w:style w:type="character" w:customStyle="1" w:styleId="326">
    <w:name w:val="纯文本 Char1"/>
    <w:link w:val="327"/>
    <w:autoRedefine/>
    <w:qFormat/>
    <w:uiPriority w:val="0"/>
    <w:rPr>
      <w:rFonts w:ascii="宋体" w:hAnsi="Courier New"/>
    </w:rPr>
  </w:style>
  <w:style w:type="paragraph" w:customStyle="1" w:styleId="327">
    <w:name w:val="纯文本1"/>
    <w:basedOn w:val="1"/>
    <w:link w:val="326"/>
    <w:autoRedefine/>
    <w:qFormat/>
    <w:uiPriority w:val="0"/>
    <w:pPr>
      <w:adjustRightInd/>
    </w:pPr>
    <w:rPr>
      <w:rFonts w:ascii="宋体" w:hAnsi="Courier New"/>
      <w:kern w:val="0"/>
      <w:sz w:val="20"/>
      <w:szCs w:val="20"/>
    </w:rPr>
  </w:style>
  <w:style w:type="character" w:customStyle="1" w:styleId="328">
    <w:name w:val="正文文本首行缩进 字符"/>
    <w:link w:val="25"/>
    <w:autoRedefine/>
    <w:qFormat/>
    <w:uiPriority w:val="0"/>
    <w:rPr>
      <w:rFonts w:ascii="宋体"/>
      <w:kern w:val="2"/>
      <w:sz w:val="24"/>
      <w:lang w:val="zh-CN"/>
    </w:rPr>
  </w:style>
  <w:style w:type="character" w:customStyle="1" w:styleId="329">
    <w:name w:val="h3 Char"/>
    <w:autoRedefine/>
    <w:qFormat/>
    <w:uiPriority w:val="0"/>
    <w:rPr>
      <w:rFonts w:eastAsia="宋体"/>
      <w:b/>
      <w:kern w:val="2"/>
      <w:sz w:val="32"/>
      <w:lang w:val="en-US" w:eastAsia="zh-CN" w:bidi="ar-SA"/>
    </w:rPr>
  </w:style>
  <w:style w:type="character" w:customStyle="1" w:styleId="330">
    <w:name w:val="dandyren_title1"/>
    <w:autoRedefine/>
    <w:qFormat/>
    <w:uiPriority w:val="0"/>
    <w:rPr>
      <w:b/>
      <w:bCs/>
      <w:color w:val="FF6633"/>
      <w:sz w:val="18"/>
      <w:szCs w:val="18"/>
    </w:rPr>
  </w:style>
  <w:style w:type="character" w:customStyle="1" w:styleId="331">
    <w:name w:val="Char Char31"/>
    <w:autoRedefine/>
    <w:qFormat/>
    <w:uiPriority w:val="6"/>
    <w:rPr>
      <w:rFonts w:ascii="Arial" w:hAnsi="Arial" w:eastAsia="黑体"/>
      <w:kern w:val="1"/>
      <w:sz w:val="24"/>
      <w:szCs w:val="24"/>
    </w:rPr>
  </w:style>
  <w:style w:type="character" w:customStyle="1" w:styleId="332">
    <w:name w:val="h Char1"/>
    <w:autoRedefine/>
    <w:qFormat/>
    <w:uiPriority w:val="0"/>
    <w:rPr>
      <w:sz w:val="18"/>
      <w:szCs w:val="18"/>
    </w:rPr>
  </w:style>
  <w:style w:type="character" w:customStyle="1" w:styleId="333">
    <w:name w:val="solutionfonts"/>
    <w:autoRedefine/>
    <w:qFormat/>
    <w:uiPriority w:val="0"/>
  </w:style>
  <w:style w:type="character" w:customStyle="1" w:styleId="334">
    <w:name w:val="标题 4 字符1"/>
    <w:link w:val="5"/>
    <w:autoRedefine/>
    <w:qFormat/>
    <w:uiPriority w:val="9"/>
    <w:rPr>
      <w:rFonts w:ascii="Arial" w:hAnsi="Arial" w:eastAsia="黑体"/>
      <w:b/>
      <w:bCs/>
      <w:kern w:val="2"/>
      <w:sz w:val="28"/>
      <w:szCs w:val="28"/>
      <w:lang w:val="zh-CN"/>
    </w:rPr>
  </w:style>
  <w:style w:type="character" w:customStyle="1" w:styleId="335">
    <w:name w:val="首行缩进 Char"/>
    <w:autoRedefine/>
    <w:qFormat/>
    <w:uiPriority w:val="0"/>
    <w:rPr>
      <w:rFonts w:ascii="宋体" w:eastAsia="宋体"/>
      <w:kern w:val="2"/>
      <w:sz w:val="24"/>
      <w:lang w:val="en-US" w:eastAsia="zh-CN" w:bidi="ar-SA"/>
    </w:rPr>
  </w:style>
  <w:style w:type="character" w:customStyle="1" w:styleId="336">
    <w:name w:val="Char Char52"/>
    <w:autoRedefine/>
    <w:qFormat/>
    <w:uiPriority w:val="0"/>
    <w:rPr>
      <w:rFonts w:ascii="宋体" w:hAnsi="Courier New" w:eastAsia="宋体"/>
      <w:kern w:val="2"/>
      <w:sz w:val="21"/>
      <w:lang w:val="en-US" w:eastAsia="zh-CN"/>
    </w:rPr>
  </w:style>
  <w:style w:type="character" w:customStyle="1" w:styleId="337">
    <w:name w:val="正文文本 3 字符"/>
    <w:link w:val="22"/>
    <w:autoRedefine/>
    <w:qFormat/>
    <w:uiPriority w:val="0"/>
    <w:rPr>
      <w:kern w:val="2"/>
      <w:sz w:val="21"/>
    </w:rPr>
  </w:style>
  <w:style w:type="character" w:customStyle="1" w:styleId="338">
    <w:name w:val="font31"/>
    <w:autoRedefine/>
    <w:qFormat/>
    <w:uiPriority w:val="0"/>
    <w:rPr>
      <w:rFonts w:hint="eastAsia" w:ascii="仿宋" w:hAnsi="仿宋" w:eastAsia="仿宋" w:cs="仿宋"/>
      <w:color w:val="000000"/>
      <w:sz w:val="20"/>
      <w:szCs w:val="20"/>
      <w:u w:val="none"/>
    </w:rPr>
  </w:style>
  <w:style w:type="character" w:customStyle="1" w:styleId="339">
    <w:name w:val="正文说明 Char"/>
    <w:link w:val="340"/>
    <w:autoRedefine/>
    <w:qFormat/>
    <w:uiPriority w:val="0"/>
    <w:rPr>
      <w:sz w:val="24"/>
      <w:szCs w:val="24"/>
    </w:rPr>
  </w:style>
  <w:style w:type="paragraph" w:customStyle="1" w:styleId="340">
    <w:name w:val="正文说明"/>
    <w:basedOn w:val="1"/>
    <w:link w:val="339"/>
    <w:autoRedefine/>
    <w:qFormat/>
    <w:uiPriority w:val="0"/>
    <w:pPr>
      <w:adjustRightInd/>
      <w:spacing w:line="360" w:lineRule="auto"/>
    </w:pPr>
    <w:rPr>
      <w:kern w:val="0"/>
      <w:sz w:val="24"/>
    </w:rPr>
  </w:style>
  <w:style w:type="character" w:customStyle="1" w:styleId="341">
    <w:name w:val="脚注文本 Char1"/>
    <w:autoRedefine/>
    <w:qFormat/>
    <w:uiPriority w:val="0"/>
    <w:rPr>
      <w:rFonts w:ascii="Times New Roman" w:hAnsi="Times New Roman" w:eastAsia="宋体" w:cs="Times New Roman"/>
      <w:sz w:val="18"/>
      <w:szCs w:val="18"/>
    </w:rPr>
  </w:style>
  <w:style w:type="character" w:customStyle="1" w:styleId="342">
    <w:name w:val="Char Char1211"/>
    <w:autoRedefine/>
    <w:qFormat/>
    <w:uiPriority w:val="0"/>
    <w:rPr>
      <w:rFonts w:ascii="仿宋_GB2312" w:eastAsia="仿宋_GB2312"/>
      <w:b/>
      <w:bCs/>
      <w:kern w:val="2"/>
      <w:sz w:val="24"/>
      <w:szCs w:val="24"/>
      <w:lang w:val="zh-CN" w:eastAsia="zh-CN" w:bidi="ar-SA"/>
    </w:rPr>
  </w:style>
  <w:style w:type="character" w:customStyle="1" w:styleId="343">
    <w:name w:val="标题 Char"/>
    <w:autoRedefine/>
    <w:qFormat/>
    <w:uiPriority w:val="0"/>
    <w:rPr>
      <w:rFonts w:eastAsia="宋体"/>
      <w:b/>
      <w:sz w:val="24"/>
      <w:lang w:val="en-GB" w:eastAsia="zh-CN" w:bidi="ar-SA"/>
    </w:rPr>
  </w:style>
  <w:style w:type="character" w:customStyle="1" w:styleId="344">
    <w:name w:val="Char Char35"/>
    <w:autoRedefine/>
    <w:qFormat/>
    <w:uiPriority w:val="6"/>
    <w:rPr>
      <w:rFonts w:ascii="Arial" w:hAnsi="Arial" w:eastAsia="黑体"/>
      <w:b/>
      <w:kern w:val="1"/>
      <w:sz w:val="28"/>
      <w:szCs w:val="28"/>
      <w:lang w:val="zh-CN"/>
    </w:rPr>
  </w:style>
  <w:style w:type="character" w:customStyle="1" w:styleId="345">
    <w:name w:val="纯文本 Char Char Char"/>
    <w:autoRedefine/>
    <w:qFormat/>
    <w:uiPriority w:val="0"/>
    <w:rPr>
      <w:rFonts w:ascii="宋体" w:hAnsi="Courier New" w:eastAsia="宋体"/>
      <w:kern w:val="2"/>
      <w:sz w:val="21"/>
      <w:lang w:val="en-US" w:eastAsia="zh-CN" w:bidi="ar-SA"/>
    </w:rPr>
  </w:style>
  <w:style w:type="character" w:customStyle="1" w:styleId="346">
    <w:name w:val="Table Text Char"/>
    <w:link w:val="347"/>
    <w:autoRedefine/>
    <w:qFormat/>
    <w:uiPriority w:val="0"/>
    <w:rPr>
      <w:sz w:val="24"/>
      <w:szCs w:val="24"/>
    </w:rPr>
  </w:style>
  <w:style w:type="paragraph" w:customStyle="1" w:styleId="347">
    <w:name w:val="Table Text"/>
    <w:basedOn w:val="1"/>
    <w:link w:val="346"/>
    <w:autoRedefine/>
    <w:qFormat/>
    <w:uiPriority w:val="0"/>
    <w:pPr>
      <w:widowControl/>
      <w:spacing w:before="60" w:after="60"/>
      <w:jc w:val="left"/>
    </w:pPr>
    <w:rPr>
      <w:kern w:val="0"/>
      <w:sz w:val="24"/>
    </w:rPr>
  </w:style>
  <w:style w:type="character" w:customStyle="1" w:styleId="348">
    <w:name w:val="正文1 Char1"/>
    <w:autoRedefine/>
    <w:qFormat/>
    <w:uiPriority w:val="0"/>
    <w:rPr>
      <w:rFonts w:ascii="仿宋_GB2312" w:hAnsi="Courier New" w:eastAsia="仿宋_GB2312"/>
      <w:kern w:val="28"/>
      <w:sz w:val="24"/>
      <w:szCs w:val="24"/>
      <w:lang w:val="en-US" w:eastAsia="zh-CN"/>
    </w:rPr>
  </w:style>
  <w:style w:type="character" w:customStyle="1" w:styleId="349">
    <w:name w:val="页脚 Char1"/>
    <w:autoRedefine/>
    <w:qFormat/>
    <w:uiPriority w:val="0"/>
    <w:rPr>
      <w:rFonts w:eastAsia="宋体"/>
      <w:kern w:val="2"/>
      <w:sz w:val="18"/>
      <w:szCs w:val="18"/>
      <w:lang w:val="en-US" w:eastAsia="zh-CN" w:bidi="ar-SA"/>
    </w:rPr>
  </w:style>
  <w:style w:type="character" w:customStyle="1" w:styleId="350">
    <w:name w:val="Bold"/>
    <w:autoRedefine/>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0"/>
    <w:autoRedefine/>
    <w:qFormat/>
    <w:uiPriority w:val="0"/>
    <w:rPr>
      <w:kern w:val="2"/>
      <w:sz w:val="21"/>
      <w:szCs w:val="24"/>
    </w:rPr>
  </w:style>
  <w:style w:type="character" w:customStyle="1" w:styleId="352">
    <w:name w:val="签名 字符"/>
    <w:link w:val="44"/>
    <w:autoRedefine/>
    <w:qFormat/>
    <w:uiPriority w:val="0"/>
    <w:rPr>
      <w:rFonts w:eastAsia="仿宋_GB2312"/>
      <w:sz w:val="24"/>
    </w:rPr>
  </w:style>
  <w:style w:type="character" w:customStyle="1" w:styleId="353">
    <w:name w:val="hui3"/>
    <w:autoRedefine/>
    <w:qFormat/>
    <w:uiPriority w:val="0"/>
    <w:rPr>
      <w:color w:val="333333"/>
    </w:rPr>
  </w:style>
  <w:style w:type="character" w:customStyle="1" w:styleId="354">
    <w:name w:val="Char Char17"/>
    <w:autoRedefine/>
    <w:qFormat/>
    <w:uiPriority w:val="6"/>
    <w:rPr>
      <w:rFonts w:eastAsia="仿宋_GB2312"/>
      <w:sz w:val="24"/>
    </w:rPr>
  </w:style>
  <w:style w:type="character" w:customStyle="1" w:styleId="35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6">
    <w:name w:val="Char Char37"/>
    <w:autoRedefine/>
    <w:qFormat/>
    <w:uiPriority w:val="6"/>
    <w:rPr>
      <w:b/>
      <w:kern w:val="1"/>
      <w:sz w:val="44"/>
      <w:szCs w:val="44"/>
    </w:rPr>
  </w:style>
  <w:style w:type="character" w:customStyle="1" w:styleId="357">
    <w:name w:val="列出段落 Char"/>
    <w:autoRedefine/>
    <w:qFormat/>
    <w:uiPriority w:val="0"/>
    <w:rPr>
      <w:rFonts w:eastAsia="楷体_GB2312" w:cs="Lucida Sans"/>
      <w:kern w:val="2"/>
      <w:sz w:val="24"/>
      <w:szCs w:val="24"/>
      <w:lang w:val="en-US" w:eastAsia="zh-CN" w:bidi="ar-SA"/>
    </w:rPr>
  </w:style>
  <w:style w:type="character" w:customStyle="1" w:styleId="358">
    <w:name w:val="正文文本缩进 3 Char1"/>
    <w:autoRedefine/>
    <w:semiHidden/>
    <w:qFormat/>
    <w:uiPriority w:val="99"/>
    <w:rPr>
      <w:rFonts w:ascii="Times New Roman" w:hAnsi="Times New Roman" w:eastAsia="宋体" w:cs="Times New Roman"/>
      <w:sz w:val="16"/>
      <w:szCs w:val="16"/>
    </w:rPr>
  </w:style>
  <w:style w:type="character" w:customStyle="1" w:styleId="359">
    <w:name w:val="公文正文 Char Char"/>
    <w:link w:val="360"/>
    <w:autoRedefine/>
    <w:qFormat/>
    <w:uiPriority w:val="0"/>
    <w:rPr>
      <w:rFonts w:ascii="仿宋_GB2312" w:eastAsia="仿宋_GB2312"/>
      <w:kern w:val="2"/>
      <w:sz w:val="24"/>
      <w:szCs w:val="24"/>
    </w:rPr>
  </w:style>
  <w:style w:type="paragraph" w:customStyle="1" w:styleId="360">
    <w:name w:val="公文正文"/>
    <w:basedOn w:val="1"/>
    <w:link w:val="359"/>
    <w:autoRedefine/>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autoRedefine/>
    <w:qFormat/>
    <w:uiPriority w:val="0"/>
    <w:rPr>
      <w:rFonts w:eastAsia="宋体"/>
      <w:sz w:val="24"/>
      <w:szCs w:val="24"/>
      <w:lang w:val="en-US" w:eastAsia="zh-CN" w:bidi="ar-SA"/>
    </w:rPr>
  </w:style>
  <w:style w:type="character" w:customStyle="1" w:styleId="362">
    <w:name w:val="标题 1 Char Char"/>
    <w:autoRedefine/>
    <w:qFormat/>
    <w:uiPriority w:val="0"/>
    <w:rPr>
      <w:rFonts w:hint="eastAsia" w:ascii="宋体" w:hAnsi="宋体" w:eastAsia="宋体"/>
      <w:b/>
      <w:spacing w:val="-2"/>
      <w:sz w:val="24"/>
      <w:lang w:val="en-US" w:eastAsia="zh-CN" w:bidi="ar-SA"/>
    </w:rPr>
  </w:style>
  <w:style w:type="character" w:customStyle="1" w:styleId="363">
    <w:name w:val="正文（缩进2汉字） Char"/>
    <w:link w:val="364"/>
    <w:autoRedefine/>
    <w:qFormat/>
    <w:uiPriority w:val="0"/>
    <w:rPr>
      <w:rFonts w:ascii="宋体"/>
    </w:rPr>
  </w:style>
  <w:style w:type="paragraph" w:customStyle="1" w:styleId="364">
    <w:name w:val="正文（缩进2汉字）"/>
    <w:basedOn w:val="1"/>
    <w:link w:val="36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9"/>
    <w:autoRedefine/>
    <w:qFormat/>
    <w:uiPriority w:val="0"/>
    <w:rPr>
      <w:rFonts w:ascii="Arial" w:hAnsi="Arial" w:eastAsia="黑体"/>
      <w:kern w:val="2"/>
      <w:sz w:val="24"/>
      <w:szCs w:val="24"/>
    </w:rPr>
  </w:style>
  <w:style w:type="character" w:customStyle="1" w:styleId="366">
    <w:name w:val="标书表格字体格式 Char"/>
    <w:autoRedefine/>
    <w:qFormat/>
    <w:uiPriority w:val="0"/>
    <w:rPr>
      <w:kern w:val="2"/>
      <w:sz w:val="21"/>
      <w:szCs w:val="24"/>
      <w:lang w:bidi="ar-SA"/>
    </w:rPr>
  </w:style>
  <w:style w:type="character" w:customStyle="1" w:styleId="367">
    <w:name w:val="tw4winError"/>
    <w:autoRedefine/>
    <w:qFormat/>
    <w:uiPriority w:val="0"/>
    <w:rPr>
      <w:rFonts w:ascii="Courier New" w:hAnsi="Courier New" w:cs="Courier New"/>
      <w:color w:val="00FF00"/>
      <w:sz w:val="40"/>
      <w:szCs w:val="40"/>
    </w:rPr>
  </w:style>
  <w:style w:type="character" w:customStyle="1" w:styleId="368">
    <w:name w:val="Body Text(ch) Char Char"/>
    <w:autoRedefine/>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autoRedefine/>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autoRedefin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autoRedefine/>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5"/>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autoRedefine/>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1"/>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autoRedefine/>
    <w:qFormat/>
    <w:uiPriority w:val="6"/>
    <w:rPr>
      <w:rFonts w:eastAsia="宋体"/>
      <w:kern w:val="2"/>
      <w:sz w:val="21"/>
      <w:szCs w:val="24"/>
      <w:lang w:val="en-US" w:eastAsia="zh-CN" w:bidi="ar-SA"/>
    </w:rPr>
  </w:style>
  <w:style w:type="character" w:customStyle="1" w:styleId="393">
    <w:name w:val="正文文字缩进 2 Char Char"/>
    <w:autoRedefine/>
    <w:qFormat/>
    <w:uiPriority w:val="0"/>
    <w:rPr>
      <w:rFonts w:ascii="宋体"/>
      <w:sz w:val="28"/>
    </w:rPr>
  </w:style>
  <w:style w:type="character" w:customStyle="1" w:styleId="394">
    <w:name w:val="f141"/>
    <w:autoRedefine/>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autoRedefine/>
    <w:qFormat/>
    <w:uiPriority w:val="0"/>
  </w:style>
  <w:style w:type="character" w:customStyle="1" w:styleId="399">
    <w:name w:val="页眉 字符2"/>
    <w:link w:val="43"/>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autoRedefine/>
    <w:qFormat/>
    <w:uiPriority w:val="0"/>
    <w:rPr>
      <w:sz w:val="24"/>
    </w:rPr>
  </w:style>
  <w:style w:type="paragraph" w:customStyle="1" w:styleId="404">
    <w:name w:val="正文段"/>
    <w:basedOn w:val="1"/>
    <w:link w:val="403"/>
    <w:autoRedefine/>
    <w:qFormat/>
    <w:uiPriority w:val="0"/>
    <w:pPr>
      <w:widowControl/>
      <w:snapToGrid w:val="0"/>
      <w:spacing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autoRedefine/>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8">
    <w:name w:val="未用 Char"/>
    <w:autoRedefine/>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autoRedefine/>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autoRedefine/>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autoRedefine/>
    <w:qFormat/>
    <w:uiPriority w:val="99"/>
    <w:rPr>
      <w:kern w:val="2"/>
      <w:sz w:val="18"/>
      <w:szCs w:val="18"/>
    </w:rPr>
  </w:style>
  <w:style w:type="character" w:customStyle="1" w:styleId="433">
    <w:name w:val="正文2 Char"/>
    <w:autoRedefine/>
    <w:qFormat/>
    <w:uiPriority w:val="0"/>
    <w:rPr>
      <w:rFonts w:eastAsia="宋体"/>
      <w:kern w:val="2"/>
      <w:sz w:val="24"/>
      <w:lang w:val="en-US" w:eastAsia="zh-CN" w:bidi="ar-SA"/>
    </w:rPr>
  </w:style>
  <w:style w:type="character" w:customStyle="1" w:styleId="434">
    <w:name w:val="Char Char21"/>
    <w:autoRedefine/>
    <w:qFormat/>
    <w:uiPriority w:val="6"/>
    <w:rPr>
      <w:rFonts w:ascii="宋体" w:hAnsi="宋体"/>
      <w:kern w:val="1"/>
      <w:sz w:val="24"/>
      <w:szCs w:val="21"/>
      <w:lang w:val="zh-CN"/>
    </w:rPr>
  </w:style>
  <w:style w:type="character" w:customStyle="1" w:styleId="435">
    <w:name w:val="样式 正文缩进 + 首行缩进:  2 字符 Char Char"/>
    <w:link w:val="436"/>
    <w:autoRedefine/>
    <w:qFormat/>
    <w:uiPriority w:val="0"/>
    <w:rPr>
      <w:rFonts w:cs="宋体"/>
      <w:kern w:val="2"/>
      <w:sz w:val="24"/>
    </w:rPr>
  </w:style>
  <w:style w:type="paragraph" w:customStyle="1" w:styleId="436">
    <w:name w:val="样式 正文缩进 + 首行缩进:  2 字符"/>
    <w:basedOn w:val="16"/>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8">
    <w:name w:val="gray6"/>
    <w:basedOn w:val="71"/>
    <w:autoRedefine/>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5"/>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autoRedefine/>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autoRedefine/>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autoRedefine/>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autoRedefine/>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outlineLvl w:val="5"/>
    </w:pPr>
  </w:style>
  <w:style w:type="paragraph" w:customStyle="1" w:styleId="481">
    <w:name w:val="5级标题"/>
    <w:basedOn w:val="48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2">
    <w:name w:val="4级标题"/>
    <w:basedOn w:val="8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autoRedefine/>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3"/>
    <w:qFormat/>
    <w:uiPriority w:val="0"/>
    <w:pPr>
      <w:tabs>
        <w:tab w:val="left" w:pos="1260"/>
      </w:tabs>
      <w:ind w:left="1260" w:hanging="420"/>
    </w:pPr>
    <w:rPr>
      <w:rFonts w:ascii="Arial" w:hAnsi="Arial" w:eastAsia="黑体"/>
      <w:lang w:val="en-US"/>
    </w:rPr>
  </w:style>
  <w:style w:type="paragraph" w:customStyle="1" w:styleId="497">
    <w:name w:val="五级无标题条"/>
    <w:basedOn w:val="1"/>
    <w:autoRedefine/>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4"/>
    <w:next w:val="1"/>
    <w:autoRedefine/>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6"/>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autoRedefine/>
    <w:qFormat/>
    <w:uiPriority w:val="0"/>
    <w:rPr>
      <w:rFonts w:ascii="仿宋_GB2312" w:eastAsia="仿宋_GB2312"/>
      <w:b/>
      <w:sz w:val="32"/>
      <w:szCs w:val="32"/>
    </w:rPr>
  </w:style>
  <w:style w:type="paragraph" w:customStyle="1" w:styleId="510">
    <w:name w:val="Char2 Char Char Char1"/>
    <w:basedOn w:val="1"/>
    <w:autoRedefine/>
    <w:qFormat/>
    <w:uiPriority w:val="6"/>
    <w:rPr>
      <w:rFonts w:ascii="仿宋_GB2312" w:eastAsia="仿宋_GB2312"/>
      <w:b/>
      <w:sz w:val="32"/>
      <w:szCs w:val="32"/>
    </w:rPr>
  </w:style>
  <w:style w:type="paragraph" w:customStyle="1" w:styleId="511">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4"/>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autoRedefine/>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2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autoRedefine/>
    <w:qFormat/>
    <w:uiPriority w:val="0"/>
    <w:pPr>
      <w:adjustRightInd/>
      <w:ind w:firstLine="200" w:firstLineChars="200"/>
      <w:jc w:val="right"/>
    </w:pPr>
  </w:style>
  <w:style w:type="paragraph" w:customStyle="1" w:styleId="532">
    <w:name w:val="Char Char11 Char Char Char Char Char Char Char Char Char"/>
    <w:basedOn w:val="1"/>
    <w:autoRedefine/>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autoRedefine/>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5"/>
    <w:autoRedefine/>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Lines="50" w:afterLines="50" w:line="360" w:lineRule="auto"/>
      <w:ind w:firstLine="422" w:firstLineChars="200"/>
    </w:pPr>
    <w:rPr>
      <w:b/>
      <w:bCs/>
      <w:szCs w:val="21"/>
    </w:rPr>
  </w:style>
  <w:style w:type="paragraph" w:customStyle="1" w:styleId="54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2"/>
    <w:next w:val="82"/>
    <w:autoRedefine/>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2"/>
    <w:next w:val="82"/>
    <w:autoRedefine/>
    <w:qFormat/>
    <w:uiPriority w:val="0"/>
    <w:rPr>
      <w:rFonts w:ascii="宋体" w:eastAsia="宋体" w:cs="Times New Roman"/>
      <w:color w:val="auto"/>
    </w:rPr>
  </w:style>
  <w:style w:type="paragraph" w:customStyle="1" w:styleId="55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autoRedefine/>
    <w:qFormat/>
    <w:uiPriority w:val="0"/>
    <w:pPr>
      <w:spacing w:line="360" w:lineRule="auto"/>
    </w:pPr>
    <w:rPr>
      <w:szCs w:val="20"/>
    </w:rPr>
  </w:style>
  <w:style w:type="paragraph" w:customStyle="1" w:styleId="562">
    <w:name w:val="Char"/>
    <w:basedOn w:val="1"/>
    <w:autoRedefine/>
    <w:qFormat/>
    <w:uiPriority w:val="0"/>
    <w:rPr>
      <w:rFonts w:ascii="仿宋_GB2312" w:eastAsia="仿宋_GB2312"/>
      <w:b/>
      <w:sz w:val="32"/>
      <w:szCs w:val="32"/>
    </w:rPr>
  </w:style>
  <w:style w:type="paragraph" w:customStyle="1" w:styleId="56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autoRedefine/>
    <w:qFormat/>
    <w:uiPriority w:val="0"/>
    <w:rPr>
      <w:szCs w:val="20"/>
    </w:rPr>
  </w:style>
  <w:style w:type="paragraph" w:customStyle="1" w:styleId="56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autoRedefine/>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autoRedefine/>
    <w:qFormat/>
    <w:uiPriority w:val="0"/>
    <w:rPr>
      <w:szCs w:val="20"/>
    </w:rPr>
  </w:style>
  <w:style w:type="paragraph" w:customStyle="1" w:styleId="58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autoRedefine/>
    <w:qFormat/>
    <w:uiPriority w:val="0"/>
    <w:rPr>
      <w:rFonts w:ascii="Tahoma" w:hAnsi="Tahoma"/>
      <w:sz w:val="24"/>
      <w:szCs w:val="20"/>
    </w:rPr>
  </w:style>
  <w:style w:type="paragraph" w:customStyle="1" w:styleId="591">
    <w:name w:val="标题五"/>
    <w:basedOn w:val="1"/>
    <w:autoRedefine/>
    <w:qFormat/>
    <w:uiPriority w:val="0"/>
    <w:pPr>
      <w:adjustRightInd/>
      <w:spacing w:beforeLines="50" w:line="360" w:lineRule="auto"/>
    </w:pPr>
    <w:rPr>
      <w:b/>
      <w:sz w:val="24"/>
    </w:rPr>
  </w:style>
  <w:style w:type="paragraph" w:customStyle="1" w:styleId="592">
    <w:name w:val="Char Char1101"/>
    <w:basedOn w:val="1"/>
    <w:autoRedefine/>
    <w:qFormat/>
    <w:uiPriority w:val="0"/>
    <w:pPr>
      <w:spacing w:line="360" w:lineRule="auto"/>
    </w:pPr>
    <w:rPr>
      <w:rFonts w:ascii="Tahoma" w:hAnsi="Tahoma"/>
      <w:sz w:val="24"/>
      <w:szCs w:val="20"/>
    </w:rPr>
  </w:style>
  <w:style w:type="paragraph" w:customStyle="1" w:styleId="593">
    <w:name w:val="Char Char Char Char Char Char Char Char1"/>
    <w:basedOn w:val="1"/>
    <w:autoRedefine/>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autoRedefine/>
    <w:qFormat/>
    <w:uiPriority w:val="0"/>
    <w:rPr>
      <w:rFonts w:ascii="仿宋_GB2312" w:eastAsia="仿宋_GB2312"/>
      <w:b/>
      <w:sz w:val="32"/>
      <w:szCs w:val="32"/>
    </w:rPr>
  </w:style>
  <w:style w:type="paragraph" w:customStyle="1" w:styleId="59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autoRedefine/>
    <w:qFormat/>
    <w:uiPriority w:val="0"/>
    <w:pPr>
      <w:adjustRightInd/>
    </w:pPr>
    <w:rPr>
      <w:sz w:val="18"/>
      <w:szCs w:val="20"/>
    </w:rPr>
  </w:style>
  <w:style w:type="paragraph" w:customStyle="1" w:styleId="60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8"/>
    <w:autoRedefine/>
    <w:qFormat/>
    <w:uiPriority w:val="0"/>
    <w:pPr>
      <w:snapToGrid w:val="0"/>
      <w:spacing w:line="360" w:lineRule="auto"/>
    </w:pPr>
    <w:rPr>
      <w:rFonts w:ascii="宋体"/>
      <w:b/>
      <w:sz w:val="24"/>
      <w:szCs w:val="20"/>
    </w:rPr>
  </w:style>
  <w:style w:type="paragraph" w:customStyle="1" w:styleId="61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autoRedefine/>
    <w:qFormat/>
    <w:uiPriority w:val="0"/>
    <w:pPr>
      <w:adjustRightInd/>
    </w:pPr>
    <w:rPr>
      <w:rFonts w:ascii="仿宋_GB2312" w:eastAsia="仿宋_GB2312"/>
      <w:b/>
      <w:sz w:val="32"/>
      <w:szCs w:val="32"/>
    </w:rPr>
  </w:style>
  <w:style w:type="paragraph" w:customStyle="1" w:styleId="61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3"/>
    <w:next w:val="1"/>
    <w:autoRedefine/>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autoRedefine/>
    <w:qFormat/>
    <w:uiPriority w:val="0"/>
    <w:pPr>
      <w:widowControl/>
      <w:adjustRightInd/>
      <w:spacing w:after="160" w:line="240" w:lineRule="exact"/>
      <w:jc w:val="left"/>
    </w:pPr>
    <w:rPr>
      <w:szCs w:val="20"/>
    </w:rPr>
  </w:style>
  <w:style w:type="paragraph" w:customStyle="1" w:styleId="624">
    <w:name w:val="表格标题2"/>
    <w:basedOn w:val="625"/>
    <w:autoRedefine/>
    <w:qFormat/>
    <w:uiPriority w:val="0"/>
    <w:rPr>
      <w:b/>
    </w:rPr>
  </w:style>
  <w:style w:type="paragraph" w:customStyle="1" w:styleId="625">
    <w:name w:val="表格内文"/>
    <w:basedOn w:val="1"/>
    <w:autoRedefine/>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autoRedefine/>
    <w:qFormat/>
    <w:uiPriority w:val="0"/>
    <w:rPr>
      <w:rFonts w:ascii="仿宋_GB2312" w:eastAsia="仿宋_GB2312"/>
      <w:b/>
      <w:sz w:val="32"/>
      <w:szCs w:val="32"/>
    </w:rPr>
  </w:style>
  <w:style w:type="paragraph" w:customStyle="1" w:styleId="62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2">
    <w:name w:val="MM Topic 1"/>
    <w:basedOn w:val="2"/>
    <w:qFormat/>
    <w:uiPriority w:val="0"/>
    <w:pPr>
      <w:tabs>
        <w:tab w:val="left" w:pos="840"/>
      </w:tabs>
      <w:adjustRightInd/>
      <w:ind w:left="840" w:hanging="420"/>
    </w:pPr>
  </w:style>
  <w:style w:type="paragraph" w:customStyle="1" w:styleId="63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autoRedefine/>
    <w:qFormat/>
    <w:uiPriority w:val="0"/>
    <w:pPr>
      <w:snapToGrid w:val="0"/>
      <w:ind w:firstLine="42" w:firstLineChars="21"/>
    </w:pPr>
    <w:rPr>
      <w:rFonts w:ascii="宋体" w:hAnsi="宋体"/>
      <w:kern w:val="0"/>
      <w:sz w:val="20"/>
      <w:szCs w:val="20"/>
    </w:rPr>
  </w:style>
  <w:style w:type="paragraph" w:customStyle="1" w:styleId="636">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autoRedefine/>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autoRedefine/>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Lines="50"/>
      <w:jc w:val="left"/>
      <w:outlineLvl w:val="3"/>
    </w:pPr>
    <w:rPr>
      <w:sz w:val="24"/>
      <w:szCs w:val="24"/>
    </w:rPr>
  </w:style>
  <w:style w:type="paragraph" w:customStyle="1" w:styleId="65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autoRedefine/>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autoRedefine/>
    <w:qFormat/>
    <w:uiPriority w:val="0"/>
    <w:pPr>
      <w:tabs>
        <w:tab w:val="left" w:pos="1260"/>
        <w:tab w:val="left" w:pos="1680"/>
      </w:tabs>
      <w:spacing w:beforeLines="0" w:afterLines="0"/>
      <w:ind w:left="1680"/>
      <w:outlineLvl w:val="2"/>
    </w:pPr>
  </w:style>
  <w:style w:type="paragraph" w:customStyle="1" w:styleId="665">
    <w:name w:val="章标题"/>
    <w:next w:val="64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autoRedefine/>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9">
    <w:name w:val="2级标题"/>
    <w:basedOn w:val="680"/>
    <w:autoRedefine/>
    <w:qFormat/>
    <w:uiPriority w:val="0"/>
    <w:pPr>
      <w:jc w:val="left"/>
      <w:outlineLvl w:val="1"/>
    </w:pPr>
    <w:rPr>
      <w:rFonts w:ascii="Times New Roman" w:hAnsi="Times New Roman" w:eastAsia="仿宋"/>
      <w:sz w:val="30"/>
    </w:rPr>
  </w:style>
  <w:style w:type="paragraph" w:customStyle="1" w:styleId="68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autoRedefine/>
    <w:qFormat/>
    <w:uiPriority w:val="0"/>
    <w:pPr>
      <w:tabs>
        <w:tab w:val="left" w:pos="840"/>
      </w:tabs>
      <w:adjustRightInd/>
      <w:ind w:left="840" w:hanging="420"/>
    </w:pPr>
  </w:style>
  <w:style w:type="paragraph" w:customStyle="1" w:styleId="68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5"/>
    <w:autoRedefine/>
    <w:qFormat/>
    <w:uiPriority w:val="0"/>
    <w:pPr>
      <w:tabs>
        <w:tab w:val="left" w:pos="2100"/>
      </w:tabs>
      <w:adjustRightInd/>
      <w:ind w:left="2100" w:hanging="420"/>
    </w:pPr>
    <w:rPr>
      <w:lang w:val="en-US"/>
    </w:rPr>
  </w:style>
  <w:style w:type="paragraph" w:customStyle="1" w:styleId="69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autoRedefine/>
    <w:qFormat/>
    <w:uiPriority w:val="6"/>
    <w:pPr>
      <w:spacing w:line="360" w:lineRule="auto"/>
    </w:pPr>
    <w:rPr>
      <w:szCs w:val="20"/>
    </w:rPr>
  </w:style>
  <w:style w:type="paragraph" w:customStyle="1" w:styleId="69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0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autoRedefine/>
    <w:qFormat/>
    <w:uiPriority w:val="6"/>
    <w:rPr>
      <w:rFonts w:ascii="仿宋_GB2312" w:eastAsia="仿宋_GB2312"/>
      <w:b/>
      <w:sz w:val="32"/>
      <w:szCs w:val="32"/>
    </w:rPr>
  </w:style>
  <w:style w:type="paragraph" w:customStyle="1" w:styleId="709">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autoRedefine/>
    <w:qFormat/>
    <w:uiPriority w:val="0"/>
    <w:pPr>
      <w:widowControl/>
      <w:adjustRightInd/>
      <w:spacing w:after="160" w:line="240" w:lineRule="exact"/>
      <w:jc w:val="left"/>
    </w:pPr>
    <w:rPr>
      <w:szCs w:val="20"/>
    </w:rPr>
  </w:style>
  <w:style w:type="paragraph" w:customStyle="1" w:styleId="712">
    <w:name w:val="Char Char1121"/>
    <w:basedOn w:val="1"/>
    <w:autoRedefine/>
    <w:qFormat/>
    <w:uiPriority w:val="0"/>
    <w:pPr>
      <w:spacing w:line="360" w:lineRule="auto"/>
    </w:pPr>
    <w:rPr>
      <w:szCs w:val="20"/>
    </w:rPr>
  </w:style>
  <w:style w:type="paragraph" w:customStyle="1" w:styleId="71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autoRedefine/>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2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autoRedefine/>
    <w:qFormat/>
    <w:uiPriority w:val="0"/>
    <w:pPr>
      <w:spacing w:line="240" w:lineRule="atLeast"/>
      <w:ind w:left="420" w:firstLine="420"/>
    </w:pPr>
    <w:rPr>
      <w:sz w:val="24"/>
    </w:rPr>
  </w:style>
  <w:style w:type="paragraph" w:customStyle="1" w:styleId="723">
    <w:name w:val="WW-正文文字缩进 2"/>
    <w:basedOn w:val="1"/>
    <w:autoRedefine/>
    <w:qFormat/>
    <w:uiPriority w:val="0"/>
    <w:pPr>
      <w:suppressAutoHyphens/>
      <w:adjustRightInd/>
      <w:ind w:firstLine="420"/>
    </w:pPr>
    <w:rPr>
      <w:kern w:val="1"/>
      <w:szCs w:val="20"/>
    </w:rPr>
  </w:style>
  <w:style w:type="paragraph" w:customStyle="1" w:styleId="72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autoRedefine/>
    <w:qFormat/>
    <w:uiPriority w:val="0"/>
    <w:pPr>
      <w:adjustRightInd/>
      <w:spacing w:line="400" w:lineRule="exact"/>
      <w:ind w:firstLine="200" w:firstLineChars="200"/>
    </w:pPr>
    <w:rPr>
      <w:rFonts w:ascii="Arial" w:hAnsi="Arial"/>
    </w:rPr>
  </w:style>
  <w:style w:type="paragraph" w:customStyle="1" w:styleId="72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8"/>
    <w:qFormat/>
    <w:uiPriority w:val="0"/>
    <w:pPr>
      <w:spacing w:after="120" w:line="480" w:lineRule="auto"/>
      <w:ind w:left="420" w:leftChars="200"/>
    </w:pPr>
    <w:rPr>
      <w:sz w:val="24"/>
      <w:szCs w:val="20"/>
    </w:rPr>
  </w:style>
  <w:style w:type="paragraph" w:customStyle="1" w:styleId="73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autoRedefine/>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autoRedefine/>
    <w:qFormat/>
    <w:uiPriority w:val="0"/>
    <w:rPr>
      <w:rFonts w:ascii="仿宋_GB2312" w:eastAsia="仿宋_GB2312"/>
      <w:b/>
      <w:sz w:val="32"/>
      <w:szCs w:val="32"/>
    </w:rPr>
  </w:style>
  <w:style w:type="paragraph" w:customStyle="1" w:styleId="743">
    <w:name w:val="Char3 Char Char Char1"/>
    <w:basedOn w:val="1"/>
    <w:autoRedefine/>
    <w:qFormat/>
    <w:uiPriority w:val="6"/>
    <w:pPr>
      <w:widowControl/>
      <w:adjustRightInd/>
      <w:spacing w:after="160" w:line="240" w:lineRule="exact"/>
      <w:jc w:val="left"/>
    </w:pPr>
    <w:rPr>
      <w:szCs w:val="20"/>
    </w:rPr>
  </w:style>
  <w:style w:type="paragraph" w:customStyle="1" w:styleId="744">
    <w:name w:val="Char1 Char Char Char21"/>
    <w:basedOn w:val="1"/>
    <w:autoRedefine/>
    <w:qFormat/>
    <w:uiPriority w:val="0"/>
    <w:rPr>
      <w:rFonts w:ascii="Tahoma" w:hAnsi="Tahoma"/>
      <w:sz w:val="24"/>
      <w:szCs w:val="20"/>
    </w:rPr>
  </w:style>
  <w:style w:type="paragraph" w:customStyle="1" w:styleId="74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autoRedefine/>
    <w:qFormat/>
    <w:uiPriority w:val="0"/>
    <w:pPr>
      <w:spacing w:line="360" w:lineRule="auto"/>
      <w:ind w:firstLine="200" w:firstLineChars="200"/>
    </w:pPr>
    <w:rPr>
      <w:sz w:val="24"/>
    </w:rPr>
  </w:style>
  <w:style w:type="paragraph" w:customStyle="1" w:styleId="74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autoRedefine/>
    <w:qFormat/>
    <w:uiPriority w:val="0"/>
    <w:pPr>
      <w:adjustRightInd/>
      <w:ind w:firstLine="200" w:firstLineChars="200"/>
    </w:pPr>
    <w:rPr>
      <w:rFonts w:ascii="Tahoma" w:hAnsi="Tahoma"/>
      <w:sz w:val="24"/>
      <w:szCs w:val="20"/>
    </w:rPr>
  </w:style>
  <w:style w:type="paragraph" w:customStyle="1" w:styleId="753">
    <w:name w:val="_标题2"/>
    <w:basedOn w:val="720"/>
    <w:next w:val="72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autoRedefine/>
    <w:qFormat/>
    <w:uiPriority w:val="0"/>
    <w:pPr>
      <w:adjustRightInd/>
    </w:pPr>
    <w:rPr>
      <w:rFonts w:ascii="Tahoma" w:hAnsi="Tahoma"/>
      <w:sz w:val="24"/>
    </w:rPr>
  </w:style>
  <w:style w:type="paragraph" w:customStyle="1" w:styleId="761">
    <w:name w:val="Char Char Char Char11"/>
    <w:basedOn w:val="1"/>
    <w:autoRedefine/>
    <w:qFormat/>
    <w:uiPriority w:val="0"/>
    <w:rPr>
      <w:rFonts w:ascii="Tahoma" w:hAnsi="Tahoma"/>
      <w:sz w:val="24"/>
      <w:szCs w:val="20"/>
    </w:rPr>
  </w:style>
  <w:style w:type="paragraph" w:customStyle="1" w:styleId="76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autoRedefine/>
    <w:qFormat/>
    <w:uiPriority w:val="0"/>
    <w:pPr>
      <w:adjustRightInd/>
    </w:pPr>
    <w:rPr>
      <w:szCs w:val="20"/>
    </w:rPr>
  </w:style>
  <w:style w:type="paragraph" w:customStyle="1" w:styleId="76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8">
    <w:name w:val="_Style 5"/>
    <w:basedOn w:val="1"/>
    <w:autoRedefine/>
    <w:qFormat/>
    <w:uiPriority w:val="34"/>
    <w:pPr>
      <w:adjustRightInd/>
      <w:ind w:firstLine="420" w:firstLineChars="200"/>
    </w:pPr>
    <w:rPr>
      <w:rFonts w:eastAsia="仿宋_GB2312"/>
      <w:sz w:val="28"/>
    </w:rPr>
  </w:style>
  <w:style w:type="paragraph" w:customStyle="1" w:styleId="76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autoRedefine/>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autoRedefine/>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autoRedefine/>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autoRedefine/>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autoRedefine/>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autoRedefine/>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autoRedefine/>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autoRedefine/>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6"/>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6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6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autoRedefine/>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autoRedefine/>
    <w:qFormat/>
    <w:uiPriority w:val="0"/>
    <w:rPr>
      <w:rFonts w:ascii="Tahoma" w:hAnsi="Tahoma" w:cs="仿宋_GB2312"/>
      <w:sz w:val="24"/>
      <w:szCs w:val="20"/>
    </w:rPr>
  </w:style>
  <w:style w:type="paragraph" w:customStyle="1" w:styleId="87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5"/>
    <w:autoRedefine/>
    <w:qFormat/>
    <w:uiPriority w:val="2"/>
    <w:pPr>
      <w:tabs>
        <w:tab w:val="clear" w:pos="390"/>
        <w:tab w:val="clear" w:pos="454"/>
      </w:tabs>
      <w:ind w:left="840" w:hanging="420"/>
      <w:contextualSpacing/>
    </w:pPr>
    <w:rPr>
      <w:rFonts w:cs="宋体"/>
    </w:rPr>
  </w:style>
  <w:style w:type="paragraph" w:customStyle="1" w:styleId="87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80">
    <w:name w:val="_Style 12"/>
    <w:basedOn w:val="19"/>
    <w:autoRedefine/>
    <w:qFormat/>
    <w:uiPriority w:val="0"/>
    <w:pPr>
      <w:snapToGrid w:val="0"/>
      <w:spacing w:line="360" w:lineRule="auto"/>
    </w:pPr>
  </w:style>
  <w:style w:type="paragraph" w:customStyle="1" w:styleId="88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8"/>
    <w:autoRedefine/>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autoRedefine/>
    <w:qFormat/>
    <w:uiPriority w:val="0"/>
    <w:pPr>
      <w:outlineLvl w:val="2"/>
    </w:pPr>
  </w:style>
  <w:style w:type="paragraph" w:customStyle="1" w:styleId="88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autoRedefine/>
    <w:qFormat/>
    <w:uiPriority w:val="0"/>
    <w:pPr>
      <w:adjustRightInd/>
      <w:ind w:firstLine="200" w:firstLineChars="200"/>
    </w:pPr>
    <w:rPr>
      <w:rFonts w:ascii="Tahoma" w:hAnsi="Tahoma"/>
      <w:sz w:val="24"/>
      <w:szCs w:val="20"/>
    </w:rPr>
  </w:style>
  <w:style w:type="paragraph" w:customStyle="1" w:styleId="89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91">
    <w:name w:val="MM Empty"/>
    <w:basedOn w:val="1"/>
    <w:autoRedefine/>
    <w:qFormat/>
    <w:uiPriority w:val="0"/>
    <w:pPr>
      <w:adjustRightInd/>
    </w:pPr>
  </w:style>
  <w:style w:type="paragraph" w:customStyle="1" w:styleId="892">
    <w:name w:val="Char24"/>
    <w:basedOn w:val="1"/>
    <w:autoRedefine/>
    <w:qFormat/>
    <w:uiPriority w:val="0"/>
    <w:rPr>
      <w:rFonts w:ascii="仿宋_GB2312" w:eastAsia="仿宋_GB2312"/>
      <w:b/>
      <w:sz w:val="32"/>
      <w:szCs w:val="32"/>
    </w:rPr>
  </w:style>
  <w:style w:type="paragraph" w:customStyle="1" w:styleId="893">
    <w:name w:val="正文箭头"/>
    <w:basedOn w:val="545"/>
    <w:autoRedefine/>
    <w:qFormat/>
    <w:uiPriority w:val="0"/>
  </w:style>
  <w:style w:type="paragraph" w:customStyle="1" w:styleId="894">
    <w:name w:val="U_编号2"/>
    <w:basedOn w:val="1"/>
    <w:autoRedefine/>
    <w:qFormat/>
    <w:uiPriority w:val="0"/>
    <w:pPr>
      <w:tabs>
        <w:tab w:val="left" w:pos="785"/>
      </w:tabs>
      <w:adjustRightInd/>
      <w:spacing w:beforeLines="10" w:afterLines="10" w:line="300" w:lineRule="auto"/>
    </w:pPr>
    <w:rPr>
      <w:sz w:val="24"/>
    </w:rPr>
  </w:style>
  <w:style w:type="paragraph" w:customStyle="1" w:styleId="89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autoRedefine/>
    <w:qFormat/>
    <w:uiPriority w:val="34"/>
    <w:pPr>
      <w:adjustRightInd/>
      <w:ind w:firstLine="420" w:firstLineChars="200"/>
    </w:pPr>
    <w:rPr>
      <w:rFonts w:eastAsia="仿宋_GB2312"/>
      <w:sz w:val="28"/>
    </w:rPr>
  </w:style>
  <w:style w:type="paragraph" w:customStyle="1" w:styleId="900">
    <w:name w:val="表格 内容"/>
    <w:basedOn w:val="736"/>
    <w:autoRedefine/>
    <w:qFormat/>
    <w:uiPriority w:val="0"/>
    <w:rPr>
      <w:b w:val="0"/>
      <w:sz w:val="20"/>
    </w:rPr>
  </w:style>
  <w:style w:type="paragraph" w:customStyle="1" w:styleId="901">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6"/>
    <w:next w:val="1"/>
    <w:autoRedefine/>
    <w:qFormat/>
    <w:uiPriority w:val="0"/>
    <w:pPr>
      <w:tabs>
        <w:tab w:val="left" w:pos="1080"/>
      </w:tabs>
      <w:ind w:left="1080" w:hanging="1080"/>
    </w:pPr>
  </w:style>
  <w:style w:type="paragraph" w:customStyle="1" w:styleId="903">
    <w:name w:val="数字标题1"/>
    <w:basedOn w:val="2"/>
    <w:next w:val="1"/>
    <w:autoRedefine/>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autoRedefine/>
    <w:qFormat/>
    <w:uiPriority w:val="0"/>
    <w:pPr>
      <w:widowControl/>
    </w:pPr>
    <w:rPr>
      <w:kern w:val="0"/>
      <w:sz w:val="24"/>
      <w:szCs w:val="20"/>
    </w:rPr>
  </w:style>
  <w:style w:type="paragraph" w:customStyle="1" w:styleId="911">
    <w:name w:val="Char Char113"/>
    <w:basedOn w:val="1"/>
    <w:autoRedefine/>
    <w:qFormat/>
    <w:uiPriority w:val="0"/>
    <w:pPr>
      <w:widowControl/>
      <w:spacing w:after="160" w:line="240" w:lineRule="exact"/>
      <w:jc w:val="left"/>
    </w:pPr>
    <w:rPr>
      <w:rFonts w:eastAsia="仿宋_GB2312"/>
      <w:sz w:val="28"/>
    </w:rPr>
  </w:style>
  <w:style w:type="paragraph" w:customStyle="1" w:styleId="912">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autoRedefine/>
    <w:qFormat/>
    <w:uiPriority w:val="34"/>
    <w:pPr>
      <w:adjustRightInd/>
      <w:ind w:firstLine="420" w:firstLineChars="200"/>
    </w:pPr>
    <w:rPr>
      <w:rFonts w:eastAsia="仿宋_GB2312"/>
      <w:sz w:val="28"/>
    </w:rPr>
  </w:style>
  <w:style w:type="paragraph" w:customStyle="1" w:styleId="914">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6">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autoRedefine/>
    <w:qFormat/>
    <w:uiPriority w:val="6"/>
    <w:pPr>
      <w:widowControl/>
      <w:spacing w:after="160" w:line="240" w:lineRule="exact"/>
      <w:jc w:val="left"/>
    </w:pPr>
    <w:rPr>
      <w:rFonts w:eastAsia="仿宋_GB2312"/>
      <w:sz w:val="28"/>
    </w:rPr>
  </w:style>
  <w:style w:type="paragraph" w:customStyle="1" w:styleId="920">
    <w:name w:val="正文 图"/>
    <w:basedOn w:val="450"/>
    <w:autoRedefine/>
    <w:qFormat/>
    <w:uiPriority w:val="0"/>
    <w:pPr>
      <w:adjustRightInd/>
      <w:spacing w:before="0"/>
      <w:ind w:firstLine="0"/>
      <w:jc w:val="center"/>
    </w:pPr>
    <w:rPr>
      <w:rFonts w:ascii="微软雅黑" w:hAnsi="微软雅黑"/>
    </w:rPr>
  </w:style>
  <w:style w:type="paragraph" w:customStyle="1" w:styleId="921">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autoRedefine/>
    <w:qFormat/>
    <w:uiPriority w:val="0"/>
    <w:pPr>
      <w:ind w:left="0"/>
    </w:pPr>
  </w:style>
  <w:style w:type="paragraph" w:customStyle="1" w:styleId="924">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autoRedefine/>
    <w:qFormat/>
    <w:uiPriority w:val="0"/>
    <w:pPr>
      <w:adjustRightInd/>
      <w:spacing w:line="360" w:lineRule="auto"/>
      <w:ind w:firstLine="480"/>
    </w:pPr>
    <w:rPr>
      <w:sz w:val="24"/>
    </w:rPr>
  </w:style>
  <w:style w:type="table" w:customStyle="1" w:styleId="927">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autoRedefine/>
    <w:qFormat/>
    <w:uiPriority w:val="34"/>
    <w:pPr>
      <w:ind w:firstLine="420" w:firstLineChars="200"/>
    </w:pPr>
  </w:style>
  <w:style w:type="character" w:customStyle="1" w:styleId="934">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autoRedefine/>
    <w:qFormat/>
    <w:uiPriority w:val="0"/>
    <w:rPr>
      <w:rFonts w:ascii="宋体" w:eastAsia="宋体"/>
      <w:snapToGrid w:val="0"/>
      <w:color w:val="000000"/>
      <w:kern w:val="28"/>
      <w:sz w:val="28"/>
      <w:lang w:val="en-US" w:eastAsia="zh-CN" w:bidi="ar-SA"/>
    </w:rPr>
  </w:style>
  <w:style w:type="character" w:customStyle="1" w:styleId="936">
    <w:name w:val="页脚 字符1"/>
    <w:autoRedefine/>
    <w:qFormat/>
    <w:locked/>
    <w:uiPriority w:val="99"/>
    <w:rPr>
      <w:kern w:val="2"/>
      <w:sz w:val="18"/>
      <w:szCs w:val="18"/>
    </w:rPr>
  </w:style>
  <w:style w:type="character" w:customStyle="1" w:styleId="937">
    <w:name w:val="页眉 字符1"/>
    <w:autoRedefine/>
    <w:qFormat/>
    <w:uiPriority w:val="99"/>
    <w:rPr>
      <w:kern w:val="2"/>
      <w:sz w:val="18"/>
      <w:szCs w:val="18"/>
    </w:rPr>
  </w:style>
  <w:style w:type="character" w:customStyle="1" w:styleId="938">
    <w:name w:val="尾注文本 字符"/>
    <w:link w:val="39"/>
    <w:autoRedefine/>
    <w:qFormat/>
    <w:uiPriority w:val="0"/>
    <w:rPr>
      <w:kern w:val="2"/>
      <w:sz w:val="21"/>
      <w:szCs w:val="24"/>
      <w:lang w:val="zh-CN"/>
    </w:rPr>
  </w:style>
  <w:style w:type="character" w:customStyle="1" w:styleId="939">
    <w:name w:val="无间隔 字符"/>
    <w:link w:val="490"/>
    <w:autoRedefine/>
    <w:qFormat/>
    <w:uiPriority w:val="99"/>
    <w:rPr>
      <w:kern w:val="2"/>
      <w:sz w:val="21"/>
      <w:szCs w:val="22"/>
    </w:rPr>
  </w:style>
  <w:style w:type="character" w:customStyle="1" w:styleId="940">
    <w:name w:val="标准文本 Char Char"/>
    <w:link w:val="941"/>
    <w:autoRedefine/>
    <w:qFormat/>
    <w:uiPriority w:val="0"/>
    <w:rPr>
      <w:rFonts w:cs="宋体"/>
      <w:kern w:val="2"/>
      <w:sz w:val="24"/>
    </w:rPr>
  </w:style>
  <w:style w:type="paragraph" w:customStyle="1" w:styleId="941">
    <w:name w:val="标准文本"/>
    <w:basedOn w:val="1"/>
    <w:link w:val="940"/>
    <w:autoRedefine/>
    <w:qFormat/>
    <w:uiPriority w:val="0"/>
    <w:pPr>
      <w:adjustRightInd/>
      <w:spacing w:line="360" w:lineRule="auto"/>
      <w:ind w:firstLine="480" w:firstLineChars="200"/>
    </w:pPr>
    <w:rPr>
      <w:rFonts w:cs="宋体"/>
      <w:sz w:val="24"/>
      <w:szCs w:val="20"/>
    </w:rPr>
  </w:style>
  <w:style w:type="character" w:customStyle="1" w:styleId="942">
    <w:name w:val="Char Char213"/>
    <w:autoRedefine/>
    <w:qFormat/>
    <w:uiPriority w:val="0"/>
    <w:rPr>
      <w:rFonts w:eastAsia="Century Gothic"/>
      <w:b/>
      <w:bCs/>
      <w:kern w:val="44"/>
      <w:sz w:val="32"/>
      <w:szCs w:val="44"/>
      <w:lang w:val="en-US" w:eastAsia="zh-CN" w:bidi="ar-SA"/>
    </w:rPr>
  </w:style>
  <w:style w:type="character" w:customStyle="1" w:styleId="943">
    <w:name w:val="apple-style-span"/>
    <w:autoRedefine/>
    <w:qFormat/>
    <w:uiPriority w:val="0"/>
    <w:rPr>
      <w:rFonts w:ascii="Arial" w:hAnsi="Arial" w:eastAsia="黑体" w:cs="Arial"/>
      <w:snapToGrid w:val="0"/>
      <w:kern w:val="0"/>
      <w:szCs w:val="21"/>
    </w:rPr>
  </w:style>
  <w:style w:type="character" w:customStyle="1" w:styleId="944">
    <w:name w:val="15"/>
    <w:autoRedefine/>
    <w:qFormat/>
    <w:uiPriority w:val="0"/>
    <w:rPr>
      <w:rFonts w:hint="default" w:ascii="Calibri" w:hAnsi="Calibri"/>
      <w:color w:val="0000FF"/>
      <w:u w:val="single"/>
    </w:rPr>
  </w:style>
  <w:style w:type="character" w:customStyle="1" w:styleId="945">
    <w:name w:val="16"/>
    <w:autoRedefine/>
    <w:qFormat/>
    <w:uiPriority w:val="0"/>
    <w:rPr>
      <w:rFonts w:hint="eastAsia" w:ascii="宋体" w:hAnsi="宋体" w:eastAsia="宋体"/>
      <w:color w:val="000000"/>
      <w:sz w:val="20"/>
      <w:szCs w:val="20"/>
    </w:rPr>
  </w:style>
  <w:style w:type="character" w:customStyle="1" w:styleId="946">
    <w:name w:val="edui-unclickable"/>
    <w:autoRedefine/>
    <w:qFormat/>
    <w:uiPriority w:val="0"/>
    <w:rPr>
      <w:color w:val="808080"/>
    </w:rPr>
  </w:style>
  <w:style w:type="character" w:customStyle="1" w:styleId="947">
    <w:name w:val="tpc_content1"/>
    <w:autoRedefine/>
    <w:qFormat/>
    <w:uiPriority w:val="0"/>
    <w:rPr>
      <w:sz w:val="20"/>
      <w:szCs w:val="20"/>
    </w:rPr>
  </w:style>
  <w:style w:type="character" w:customStyle="1" w:styleId="948">
    <w:name w:val="正文文本缩进 字符"/>
    <w:autoRedefine/>
    <w:qFormat/>
    <w:uiPriority w:val="0"/>
    <w:rPr>
      <w:rFonts w:ascii="Century Gothic" w:hAnsi="Century Gothic" w:eastAsia="Century Gothic"/>
      <w:kern w:val="2"/>
      <w:sz w:val="24"/>
      <w:lang w:val="en-US" w:eastAsia="zh-CN" w:bidi="ar-SA"/>
    </w:rPr>
  </w:style>
  <w:style w:type="character" w:customStyle="1" w:styleId="949">
    <w:name w:val="正文文本 2 字符"/>
    <w:autoRedefine/>
    <w:qFormat/>
    <w:uiPriority w:val="0"/>
    <w:rPr>
      <w:rFonts w:ascii="Arial" w:hAnsi="Arial" w:eastAsia="宋体"/>
      <w:kern w:val="2"/>
      <w:sz w:val="24"/>
      <w:szCs w:val="24"/>
      <w:lang w:val="en-US" w:eastAsia="zh-CN" w:bidi="ar-SA"/>
    </w:rPr>
  </w:style>
  <w:style w:type="character" w:customStyle="1" w:styleId="950">
    <w:name w:val="edui-clickable2"/>
    <w:autoRedefine/>
    <w:qFormat/>
    <w:uiPriority w:val="0"/>
    <w:rPr>
      <w:color w:val="0000FF"/>
      <w:u w:val="single"/>
    </w:rPr>
  </w:style>
  <w:style w:type="character" w:customStyle="1" w:styleId="951">
    <w:name w:val="style1"/>
    <w:autoRedefine/>
    <w:qFormat/>
    <w:uiPriority w:val="0"/>
    <w:rPr>
      <w:rFonts w:ascii="Arial" w:hAnsi="Arial" w:eastAsia="黑体" w:cs="Arial"/>
      <w:snapToGrid w:val="0"/>
      <w:kern w:val="0"/>
      <w:szCs w:val="21"/>
    </w:rPr>
  </w:style>
  <w:style w:type="character" w:customStyle="1" w:styleId="952">
    <w:name w:val="zbggtop11 style5"/>
    <w:autoRedefine/>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4">
    <w:name w:val="bulletintext1"/>
    <w:autoRedefine/>
    <w:qFormat/>
    <w:uiPriority w:val="0"/>
    <w:rPr>
      <w:color w:val="000000"/>
      <w:sz w:val="18"/>
    </w:rPr>
  </w:style>
  <w:style w:type="paragraph" w:customStyle="1" w:styleId="955">
    <w:name w:val="_Style 947"/>
    <w:basedOn w:val="1"/>
    <w:next w:val="88"/>
    <w:autoRedefine/>
    <w:qFormat/>
    <w:uiPriority w:val="34"/>
    <w:pPr>
      <w:adjustRightInd/>
      <w:ind w:firstLine="420" w:firstLineChars="200"/>
    </w:pPr>
  </w:style>
  <w:style w:type="paragraph" w:customStyle="1" w:styleId="956">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8">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3"/>
    <w:autoRedefine/>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2">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autoRedefine/>
    <w:qFormat/>
    <w:uiPriority w:val="0"/>
    <w:pPr>
      <w:adjustRightInd/>
      <w:jc w:val="left"/>
    </w:pPr>
    <w:rPr>
      <w:rFonts w:ascii="Calibri" w:hAnsi="Calibri"/>
      <w:kern w:val="0"/>
      <w:sz w:val="22"/>
      <w:szCs w:val="22"/>
      <w:lang w:eastAsia="en-US"/>
    </w:rPr>
  </w:style>
  <w:style w:type="paragraph" w:customStyle="1" w:styleId="96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autoRedefine/>
    <w:qFormat/>
    <w:uiPriority w:val="0"/>
    <w:rPr>
      <w:color w:val="000000"/>
      <w:shd w:val="clear" w:color="auto" w:fill="EFD200"/>
    </w:rPr>
  </w:style>
  <w:style w:type="character" w:customStyle="1" w:styleId="968">
    <w:name w:val="font71"/>
    <w:autoRedefine/>
    <w:qFormat/>
    <w:uiPriority w:val="0"/>
    <w:rPr>
      <w:rFonts w:hint="eastAsia" w:ascii="宋体" w:hAnsi="宋体" w:eastAsia="宋体" w:cs="宋体"/>
      <w:color w:val="000000"/>
      <w:sz w:val="22"/>
      <w:szCs w:val="22"/>
      <w:u w:val="none"/>
    </w:rPr>
  </w:style>
  <w:style w:type="character" w:customStyle="1" w:styleId="969">
    <w:name w:val="font91"/>
    <w:autoRedefine/>
    <w:qFormat/>
    <w:uiPriority w:val="0"/>
    <w:rPr>
      <w:rFonts w:hint="eastAsia" w:ascii="仿宋" w:hAnsi="仿宋" w:eastAsia="仿宋" w:cs="仿宋"/>
      <w:color w:val="000000"/>
      <w:sz w:val="22"/>
      <w:szCs w:val="22"/>
      <w:u w:val="none"/>
    </w:rPr>
  </w:style>
  <w:style w:type="paragraph" w:customStyle="1" w:styleId="970">
    <w:name w:val="Body text|1"/>
    <w:basedOn w:val="1"/>
    <w:autoRedefine/>
    <w:qFormat/>
    <w:uiPriority w:val="0"/>
    <w:pPr>
      <w:spacing w:line="391" w:lineRule="auto"/>
      <w:ind w:firstLine="400"/>
    </w:pPr>
    <w:rPr>
      <w:rFonts w:ascii="宋体" w:hAnsi="宋体" w:cs="宋体"/>
      <w:lang w:val="zh-TW" w:eastAsia="zh-TW" w:bidi="zh-TW"/>
    </w:rPr>
  </w:style>
  <w:style w:type="character" w:customStyle="1" w:styleId="971">
    <w:name w:val="font101"/>
    <w:basedOn w:val="71"/>
    <w:autoRedefine/>
    <w:qFormat/>
    <w:uiPriority w:val="0"/>
    <w:rPr>
      <w:rFonts w:hint="eastAsia" w:ascii="宋体" w:hAnsi="宋体" w:eastAsia="宋体" w:cs="宋体"/>
      <w:color w:val="FF0000"/>
      <w:sz w:val="20"/>
      <w:szCs w:val="20"/>
      <w:u w:val="none"/>
    </w:rPr>
  </w:style>
  <w:style w:type="paragraph" w:customStyle="1" w:styleId="972">
    <w:name w:val="封面编号"/>
    <w:basedOn w:val="1"/>
    <w:autoRedefine/>
    <w:qFormat/>
    <w:uiPriority w:val="0"/>
    <w:pPr>
      <w:spacing w:line="360" w:lineRule="auto"/>
      <w:jc w:val="center"/>
    </w:pPr>
    <w:rPr>
      <w:rFonts w:ascii="黑体" w:hAnsi="宋体" w:eastAsia="黑体" w:cs="宋体"/>
      <w:b/>
      <w:bCs/>
      <w:sz w:val="38"/>
      <w:szCs w:val="20"/>
    </w:rPr>
  </w:style>
  <w:style w:type="table" w:customStyle="1" w:styleId="973">
    <w:name w:val="Table Normal"/>
    <w:autoRedefine/>
    <w:semiHidden/>
    <w:unhideWhenUsed/>
    <w:qFormat/>
    <w:uiPriority w:val="0"/>
    <w:tblPr>
      <w:tblCellMar>
        <w:top w:w="0" w:type="dxa"/>
        <w:left w:w="0" w:type="dxa"/>
        <w:bottom w:w="0" w:type="dxa"/>
        <w:right w:w="0" w:type="dxa"/>
      </w:tblCellMar>
    </w:tblPr>
  </w:style>
  <w:style w:type="character" w:customStyle="1" w:styleId="974">
    <w:name w:val="NormalCharacter"/>
    <w:autoRedefine/>
    <w:semiHidden/>
    <w:qFormat/>
    <w:uiPriority w:val="0"/>
    <w:rPr>
      <w:rFonts w:ascii="Times New Roman" w:hAnsi="Times New Roman" w:eastAsia="宋体" w:cs="Times New Roman"/>
      <w:kern w:val="2"/>
      <w:sz w:val="21"/>
      <w:szCs w:val="24"/>
      <w:lang w:val="en-US" w:eastAsia="zh-CN" w:bidi="ar-SA"/>
    </w:rPr>
  </w:style>
  <w:style w:type="paragraph" w:customStyle="1" w:styleId="975">
    <w:name w:val="null3"/>
    <w:autoRedefine/>
    <w:qFormat/>
    <w:uiPriority w:val="0"/>
    <w:rPr>
      <w:rFonts w:hint="eastAsia" w:ascii="Calibri" w:hAnsi="Calibri" w:eastAsia="宋体" w:cs="Times New Roman"/>
      <w:lang w:val="en-US" w:eastAsia="zh-Hans" w:bidi="ar-SA"/>
    </w:rPr>
  </w:style>
  <w:style w:type="paragraph" w:customStyle="1" w:styleId="976">
    <w:name w:val="Normal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7">
    <w:name w:val="_Style 2"/>
    <w:basedOn w:val="1"/>
    <w:autoRedefine/>
    <w:qFormat/>
    <w:uiPriority w:val="34"/>
    <w:pPr>
      <w:ind w:firstLine="420" w:firstLineChars="200"/>
    </w:pPr>
    <w:rPr>
      <w:rFonts w:ascii="等线" w:hAnsi="等线" w:eastAsia="等线"/>
      <w:szCs w:val="22"/>
    </w:rPr>
  </w:style>
  <w:style w:type="paragraph" w:customStyle="1" w:styleId="978">
    <w:name w:val="U_正文2"/>
    <w:basedOn w:val="1"/>
    <w:qFormat/>
    <w:uiPriority w:val="99"/>
    <w:pPr>
      <w:spacing w:before="10" w:beforeLines="10" w:after="10" w:afterLines="10" w:line="300" w:lineRule="auto"/>
    </w:pPr>
    <w:rPr>
      <w:sz w:val="24"/>
      <w:szCs w:val="20"/>
    </w:rPr>
  </w:style>
  <w:style w:type="paragraph" w:customStyle="1" w:styleId="979">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L_正文"/>
    <w:basedOn w:val="1"/>
    <w:qFormat/>
    <w:uiPriority w:val="0"/>
    <w:pPr>
      <w:wordWrap w:val="0"/>
      <w:jc w:val="left"/>
    </w:pPr>
    <w:rPr>
      <w:kern w:val="0"/>
      <w:szCs w:val="21"/>
      <w:lang w:val="zh-CN" w:eastAsia="zh-CN"/>
    </w:rPr>
  </w:style>
  <w:style w:type="paragraph" w:customStyle="1" w:styleId="981">
    <w:name w:val="NormalIndent"/>
    <w:basedOn w:val="1"/>
    <w:qFormat/>
    <w:uiPriority w:val="0"/>
    <w:pPr>
      <w:widowControl/>
      <w:spacing w:after="200" w:line="240" w:lineRule="auto"/>
      <w:ind w:firstLine="420" w:firstLineChars="0"/>
      <w:jc w:val="left"/>
    </w:pPr>
    <w:rPr>
      <w:rFonts w:cstheme="majorBidi"/>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44</Pages>
  <Words>159</Words>
  <Characters>172</Characters>
  <Lines>206</Lines>
  <Paragraphs>58</Paragraphs>
  <TotalTime>14</TotalTime>
  <ScaleCrop>false</ScaleCrop>
  <LinksUpToDate>false</LinksUpToDate>
  <CharactersWithSpaces>210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2024-10-10T11:26:00Z</dcterms:created>
  <dc:creator>玥</dc:creator>
  <cp:lastModifiedBy>admin</cp:lastModifiedBy>
  <cp:lastPrinted>2021-12-27T03:06:00Z</cp:lastPrinted>
  <dcterms:modified xsi:type="dcterms:W3CDTF">2025-04-11T08:17:56Z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1673AEA80E704AAA8C08D275B8830561_13</vt:lpwstr>
  </property>
  <property fmtid="{D5CDD505-2E9C-101B-9397-08002B2CF9AE}" pid="5" name="commondata">
    <vt:lpwstr>eyJoZGlkIjoiMzdkYTNjODAzOWEyZTBjZWI2OWE0Y2U2MTNhOGNiNmUifQ==</vt:lpwstr>
  </property>
  <property fmtid="{D5CDD505-2E9C-101B-9397-08002B2CF9AE}" pid="6" name="KSOTemplateDocerSaveRecord">
    <vt:lpwstr>eyJoZGlkIjoiMTA1MWMxZmY0MTVkNzVlZGRmNTcxNGM1NmNkZjhjYzQiLCJ1c2VySWQiOiIzNjMyMzU2MzYifQ==</vt:lpwstr>
  </property>
</Properties>
</file>