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22BC4">
      <w:pPr>
        <w:spacing w:line="360" w:lineRule="auto"/>
        <w:jc w:val="center"/>
        <w:rPr>
          <w:rFonts w:ascii="宋体" w:hAnsi="宋体" w:cs="宋体"/>
          <w:b/>
          <w:color w:val="000000" w:themeColor="text1"/>
          <w:sz w:val="24"/>
          <w14:textFill>
            <w14:solidFill>
              <w14:schemeClr w14:val="tx1"/>
            </w14:solidFill>
          </w14:textFill>
        </w:rPr>
      </w:pPr>
    </w:p>
    <w:p w14:paraId="0DB635DC">
      <w:pPr>
        <w:pStyle w:val="972"/>
        <w:spacing w:line="760" w:lineRule="exact"/>
        <w:rPr>
          <w:rFonts w:ascii="宋体" w:eastAsia="宋体"/>
          <w:color w:val="000000" w:themeColor="text1"/>
          <w:sz w:val="72"/>
          <w:szCs w:val="72"/>
          <w14:textFill>
            <w14:solidFill>
              <w14:schemeClr w14:val="tx1"/>
            </w14:solidFill>
          </w14:textFill>
        </w:rPr>
      </w:pPr>
    </w:p>
    <w:p w14:paraId="47E24EFC">
      <w:pPr>
        <w:adjustRightInd/>
        <w:spacing w:line="360" w:lineRule="auto"/>
        <w:jc w:val="center"/>
        <w:rPr>
          <w:rFonts w:ascii="宋体" w:hAnsi="宋体" w:cs="宋体"/>
          <w:b/>
          <w:bCs/>
          <w:color w:val="000000" w:themeColor="text1"/>
          <w:sz w:val="52"/>
          <w:szCs w:val="52"/>
          <w14:textFill>
            <w14:solidFill>
              <w14:schemeClr w14:val="tx1"/>
            </w14:solidFill>
          </w14:textFill>
        </w:rPr>
      </w:pPr>
      <w:r>
        <w:rPr>
          <w:rFonts w:ascii="宋体" w:hAnsi="宋体" w:cs="宋体"/>
          <w:b/>
          <w:bCs/>
          <w:color w:val="000000" w:themeColor="text1"/>
          <w:sz w:val="52"/>
          <w:szCs w:val="52"/>
          <w14:textFill>
            <w14:solidFill>
              <w14:schemeClr w14:val="tx1"/>
            </w14:solidFill>
          </w14:textFill>
        </w:rPr>
        <w:t>新街机场</w:t>
      </w:r>
      <w:r>
        <w:rPr>
          <w:rFonts w:hint="eastAsia" w:ascii="宋体" w:hAnsi="宋体" w:cs="宋体"/>
          <w:b/>
          <w:bCs/>
          <w:color w:val="000000" w:themeColor="text1"/>
          <w:sz w:val="52"/>
          <w:szCs w:val="52"/>
          <w14:textFill>
            <w14:solidFill>
              <w14:schemeClr w14:val="tx1"/>
            </w14:solidFill>
          </w14:textFill>
        </w:rPr>
        <w:t>高</w:t>
      </w:r>
      <w:r>
        <w:rPr>
          <w:rFonts w:ascii="宋体" w:hAnsi="宋体" w:cs="宋体"/>
          <w:b/>
          <w:bCs/>
          <w:color w:val="000000" w:themeColor="text1"/>
          <w:sz w:val="52"/>
          <w:szCs w:val="52"/>
          <w14:textFill>
            <w14:solidFill>
              <w14:schemeClr w14:val="tx1"/>
            </w14:solidFill>
          </w14:textFill>
        </w:rPr>
        <w:t>铁拆迁安置房招标控制价</w:t>
      </w:r>
    </w:p>
    <w:p w14:paraId="34124B2A">
      <w:pPr>
        <w:adjustRightInd/>
        <w:spacing w:line="360" w:lineRule="auto"/>
        <w:jc w:val="center"/>
        <w:rPr>
          <w:rFonts w:ascii="宋体" w:hAnsi="宋体" w:cs="宋体"/>
          <w:b/>
          <w:bCs/>
          <w:color w:val="000000" w:themeColor="text1"/>
          <w:sz w:val="52"/>
          <w:szCs w:val="52"/>
          <w14:textFill>
            <w14:solidFill>
              <w14:schemeClr w14:val="tx1"/>
            </w14:solidFill>
          </w14:textFill>
        </w:rPr>
      </w:pPr>
      <w:r>
        <w:rPr>
          <w:rFonts w:ascii="宋体" w:hAnsi="宋体" w:cs="宋体"/>
          <w:b/>
          <w:bCs/>
          <w:color w:val="000000" w:themeColor="text1"/>
          <w:sz w:val="52"/>
          <w:szCs w:val="52"/>
          <w14:textFill>
            <w14:solidFill>
              <w14:schemeClr w14:val="tx1"/>
            </w14:solidFill>
          </w14:textFill>
        </w:rPr>
        <w:t>审核</w:t>
      </w:r>
      <w:r>
        <w:rPr>
          <w:rFonts w:hint="eastAsia" w:ascii="宋体" w:hAnsi="宋体" w:cs="宋体"/>
          <w:b/>
          <w:bCs/>
          <w:color w:val="000000" w:themeColor="text1"/>
          <w:sz w:val="52"/>
          <w:szCs w:val="52"/>
          <w14:textFill>
            <w14:solidFill>
              <w14:schemeClr w14:val="tx1"/>
            </w14:solidFill>
          </w14:textFill>
        </w:rPr>
        <w:t>项目</w:t>
      </w:r>
    </w:p>
    <w:p w14:paraId="7E646E2C">
      <w:pPr>
        <w:adjustRightInd/>
        <w:spacing w:line="360" w:lineRule="auto"/>
        <w:jc w:val="center"/>
        <w:rPr>
          <w:rFonts w:ascii="宋体" w:hAnsi="宋体" w:cs="宋体"/>
          <w:b/>
          <w:bCs/>
          <w:color w:val="000000" w:themeColor="text1"/>
          <w:sz w:val="72"/>
          <w:szCs w:val="72"/>
          <w14:textFill>
            <w14:solidFill>
              <w14:schemeClr w14:val="tx1"/>
            </w14:solidFill>
          </w14:textFill>
        </w:rPr>
      </w:pPr>
    </w:p>
    <w:p w14:paraId="19EDAEC1">
      <w:pPr>
        <w:adjustRightInd/>
        <w:spacing w:line="36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公开竞争</w:t>
      </w:r>
    </w:p>
    <w:p w14:paraId="3E97A0CE">
      <w:pPr>
        <w:adjustRightInd/>
        <w:spacing w:line="36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（电子交易文件）</w:t>
      </w:r>
    </w:p>
    <w:p w14:paraId="750E6E27">
      <w:pPr>
        <w:adjustRightInd/>
        <w:spacing w:line="360" w:lineRule="auto"/>
        <w:jc w:val="center"/>
        <w:rPr>
          <w:rFonts w:ascii="宋体" w:hAnsi="宋体" w:cs="宋体"/>
          <w:b/>
          <w:color w:val="000000" w:themeColor="text1"/>
          <w:sz w:val="44"/>
          <w:szCs w:val="44"/>
          <w14:textFill>
            <w14:solidFill>
              <w14:schemeClr w14:val="tx1"/>
            </w14:solidFill>
          </w14:textFill>
        </w:rPr>
      </w:pPr>
    </w:p>
    <w:p w14:paraId="5E243B55">
      <w:pPr>
        <w:snapToGrid w:val="0"/>
        <w:spacing w:line="360" w:lineRule="auto"/>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交易编号：萧开采（2025）5号</w:t>
      </w:r>
    </w:p>
    <w:p w14:paraId="4CB568B7">
      <w:pPr>
        <w:adjustRightInd/>
        <w:spacing w:line="360" w:lineRule="auto"/>
        <w:rPr>
          <w:rFonts w:ascii="宋体" w:hAnsi="宋体" w:cs="宋体"/>
          <w:color w:val="000000" w:themeColor="text1"/>
          <w:sz w:val="28"/>
          <w:szCs w:val="20"/>
          <w14:textFill>
            <w14:solidFill>
              <w14:schemeClr w14:val="tx1"/>
            </w14:solidFill>
          </w14:textFill>
        </w:rPr>
      </w:pPr>
    </w:p>
    <w:p w14:paraId="742F8F8B">
      <w:pPr>
        <w:spacing w:line="360" w:lineRule="auto"/>
        <w:jc w:val="center"/>
        <w:rPr>
          <w:rFonts w:ascii="宋体" w:hAnsi="宋体" w:cs="宋体"/>
          <w:b/>
          <w:color w:val="000000" w:themeColor="text1"/>
          <w:sz w:val="44"/>
          <w:szCs w:val="44"/>
          <w14:textFill>
            <w14:solidFill>
              <w14:schemeClr w14:val="tx1"/>
            </w14:solidFill>
          </w14:textFill>
        </w:rPr>
      </w:pPr>
    </w:p>
    <w:p w14:paraId="2B4F779C">
      <w:pPr>
        <w:spacing w:line="360" w:lineRule="auto"/>
        <w:jc w:val="center"/>
        <w:rPr>
          <w:rFonts w:ascii="宋体" w:hAnsi="宋体" w:cs="宋体"/>
          <w:b/>
          <w:color w:val="000000" w:themeColor="text1"/>
          <w:sz w:val="44"/>
          <w:szCs w:val="44"/>
          <w14:textFill>
            <w14:solidFill>
              <w14:schemeClr w14:val="tx1"/>
            </w14:solidFill>
          </w14:textFill>
        </w:rPr>
      </w:pPr>
    </w:p>
    <w:p w14:paraId="5CC37923">
      <w:pPr>
        <w:pStyle w:val="86"/>
        <w:ind w:firstLine="0"/>
        <w:rPr>
          <w:rFonts w:ascii="宋体" w:hAnsi="宋体" w:cs="宋体"/>
          <w:color w:val="000000" w:themeColor="text1"/>
          <w:lang w:eastAsia="zh-CN"/>
          <w14:textFill>
            <w14:solidFill>
              <w14:schemeClr w14:val="tx1"/>
            </w14:solidFill>
          </w14:textFill>
        </w:rPr>
      </w:pPr>
    </w:p>
    <w:p w14:paraId="06649EB6">
      <w:pPr>
        <w:spacing w:line="360" w:lineRule="auto"/>
        <w:ind w:firstLine="964" w:firstLineChars="300"/>
        <w:rPr>
          <w:rFonts w:ascii="宋体" w:hAnsi="宋体" w:cs="宋体"/>
          <w:b/>
          <w:color w:val="000000" w:themeColor="text1"/>
          <w:sz w:val="32"/>
          <w:szCs w:val="30"/>
          <w14:textFill>
            <w14:solidFill>
              <w14:schemeClr w14:val="tx1"/>
            </w14:solidFill>
          </w14:textFill>
        </w:rPr>
      </w:pPr>
    </w:p>
    <w:p w14:paraId="3A8195C6">
      <w:pPr>
        <w:spacing w:line="360" w:lineRule="auto"/>
        <w:ind w:firstLine="964" w:firstLineChars="30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0"/>
          <w14:textFill>
            <w14:solidFill>
              <w14:schemeClr w14:val="tx1"/>
            </w14:solidFill>
          </w14:textFill>
        </w:rPr>
        <w:t>交易发起人：萧山经济技术开发区管理委员会</w:t>
      </w:r>
    </w:p>
    <w:p w14:paraId="15F59C88">
      <w:pPr>
        <w:spacing w:line="360" w:lineRule="auto"/>
        <w:ind w:firstLine="964" w:firstLineChars="30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0"/>
          <w14:textFill>
            <w14:solidFill>
              <w14:schemeClr w14:val="tx1"/>
            </w14:solidFill>
          </w14:textFill>
        </w:rPr>
        <w:t>代理机构：杭州博望建设工程招标投标代理有限公司</w:t>
      </w:r>
    </w:p>
    <w:p w14:paraId="59794B50">
      <w:pPr>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二〇二五年三月十</w:t>
      </w:r>
      <w:r>
        <w:rPr>
          <w:rFonts w:hint="eastAsia" w:ascii="宋体" w:hAnsi="宋体" w:cs="宋体"/>
          <w:b/>
          <w:color w:val="000000" w:themeColor="text1"/>
          <w:sz w:val="32"/>
          <w:szCs w:val="32"/>
          <w:lang w:eastAsia="zh-CN"/>
          <w14:textFill>
            <w14:solidFill>
              <w14:schemeClr w14:val="tx1"/>
            </w14:solidFill>
          </w14:textFill>
        </w:rPr>
        <w:t>八</w:t>
      </w:r>
      <w:r>
        <w:rPr>
          <w:rFonts w:hint="eastAsia" w:ascii="宋体" w:hAnsi="宋体" w:cs="宋体"/>
          <w:b/>
          <w:color w:val="000000" w:themeColor="text1"/>
          <w:sz w:val="32"/>
          <w:szCs w:val="32"/>
          <w14:textFill>
            <w14:solidFill>
              <w14:schemeClr w14:val="tx1"/>
            </w14:solidFill>
          </w14:textFill>
        </w:rPr>
        <w:t>日</w:t>
      </w:r>
    </w:p>
    <w:p w14:paraId="6D6642CD">
      <w:pPr>
        <w:jc w:val="center"/>
        <w:rPr>
          <w:rFonts w:ascii="宋体" w:hAnsi="宋体" w:cs="宋体"/>
          <w:b/>
          <w:color w:val="000000" w:themeColor="text1"/>
          <w:sz w:val="48"/>
          <w:szCs w:val="4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247" w:right="1417" w:bottom="1247" w:left="1417" w:header="851" w:footer="992" w:gutter="0"/>
          <w:pgNumType w:fmt="numberInDash"/>
          <w:cols w:space="0" w:num="1"/>
          <w:titlePg/>
          <w:docGrid w:linePitch="312" w:charSpace="0"/>
        </w:sectPr>
      </w:pPr>
    </w:p>
    <w:p w14:paraId="1910164B">
      <w:pPr>
        <w:jc w:val="center"/>
        <w:rPr>
          <w:rFonts w:ascii="宋体" w:hAnsi="宋体" w:cs="宋体"/>
          <w:b/>
          <w:color w:val="000000" w:themeColor="text1"/>
          <w:sz w:val="48"/>
          <w:szCs w:val="48"/>
          <w14:textFill>
            <w14:solidFill>
              <w14:schemeClr w14:val="tx1"/>
            </w14:solidFill>
          </w14:textFill>
        </w:rPr>
      </w:pPr>
    </w:p>
    <w:p w14:paraId="474DDF98">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5758A138">
      <w:pPr>
        <w:spacing w:line="360" w:lineRule="auto"/>
        <w:rPr>
          <w:rFonts w:ascii="宋体" w:hAnsi="宋体" w:cs="宋体"/>
          <w:color w:val="000000" w:themeColor="text1"/>
          <w:sz w:val="32"/>
          <w:szCs w:val="32"/>
          <w14:textFill>
            <w14:solidFill>
              <w14:schemeClr w14:val="tx1"/>
            </w14:solidFill>
          </w14:textFill>
        </w:rPr>
      </w:pPr>
    </w:p>
    <w:p w14:paraId="251292E2">
      <w:pPr>
        <w:spacing w:line="360" w:lineRule="auto"/>
        <w:rPr>
          <w:rFonts w:ascii="宋体" w:hAnsi="宋体" w:cs="宋体"/>
          <w:color w:val="000000" w:themeColor="text1"/>
          <w:sz w:val="32"/>
          <w:szCs w:val="32"/>
          <w14:textFill>
            <w14:solidFill>
              <w14:schemeClr w14:val="tx1"/>
            </w14:solidFill>
          </w14:textFill>
        </w:rPr>
      </w:pPr>
    </w:p>
    <w:p w14:paraId="71AF7202">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交易公告</w:t>
      </w:r>
    </w:p>
    <w:p w14:paraId="5E403A62">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响应人须知</w:t>
      </w:r>
    </w:p>
    <w:p w14:paraId="41DABE2F">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交易需求</w:t>
      </w:r>
    </w:p>
    <w:p w14:paraId="49CD1A23">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交易办法</w:t>
      </w:r>
    </w:p>
    <w:p w14:paraId="4D73C9CF">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4E5C08CF">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0155F758">
      <w:pPr>
        <w:spacing w:line="360" w:lineRule="auto"/>
        <w:ind w:firstLine="549" w:firstLineChars="229"/>
        <w:rPr>
          <w:rFonts w:ascii="宋体" w:hAnsi="宋体" w:cs="宋体"/>
          <w:color w:val="000000" w:themeColor="text1"/>
          <w:sz w:val="24"/>
          <w14:textFill>
            <w14:solidFill>
              <w14:schemeClr w14:val="tx1"/>
            </w14:solidFill>
          </w14:textFill>
        </w:rPr>
      </w:pPr>
      <w:bookmarkStart w:id="0" w:name="_Hlt91233176"/>
      <w:bookmarkEnd w:id="0"/>
      <w:bookmarkStart w:id="1" w:name="_Toc91899869"/>
    </w:p>
    <w:p w14:paraId="76D66638">
      <w:pPr>
        <w:spacing w:line="360" w:lineRule="auto"/>
        <w:ind w:firstLine="549" w:firstLineChars="229"/>
        <w:rPr>
          <w:rFonts w:ascii="宋体" w:hAnsi="宋体" w:cs="宋体"/>
          <w:color w:val="000000" w:themeColor="text1"/>
          <w:sz w:val="24"/>
          <w14:textFill>
            <w14:solidFill>
              <w14:schemeClr w14:val="tx1"/>
            </w14:solidFill>
          </w14:textFill>
        </w:rPr>
      </w:pPr>
    </w:p>
    <w:p w14:paraId="688F58B2">
      <w:pPr>
        <w:spacing w:line="360" w:lineRule="auto"/>
        <w:ind w:firstLine="549" w:firstLineChars="229"/>
        <w:rPr>
          <w:rFonts w:ascii="宋体" w:hAnsi="宋体" w:cs="宋体"/>
          <w:color w:val="000000" w:themeColor="text1"/>
          <w:sz w:val="24"/>
          <w14:textFill>
            <w14:solidFill>
              <w14:schemeClr w14:val="tx1"/>
            </w14:solidFill>
          </w14:textFill>
        </w:rPr>
      </w:pPr>
    </w:p>
    <w:p w14:paraId="3AAAD03F">
      <w:pPr>
        <w:spacing w:line="360" w:lineRule="auto"/>
        <w:ind w:firstLine="549" w:firstLineChars="229"/>
        <w:rPr>
          <w:rFonts w:ascii="宋体" w:hAnsi="宋体" w:cs="宋体"/>
          <w:color w:val="000000" w:themeColor="text1"/>
          <w:sz w:val="24"/>
          <w14:textFill>
            <w14:solidFill>
              <w14:schemeClr w14:val="tx1"/>
            </w14:solidFill>
          </w14:textFill>
        </w:rPr>
      </w:pPr>
    </w:p>
    <w:p w14:paraId="7B7A8F48">
      <w:pPr>
        <w:spacing w:line="360" w:lineRule="auto"/>
        <w:ind w:firstLine="549" w:firstLineChars="229"/>
        <w:rPr>
          <w:rFonts w:ascii="宋体" w:hAnsi="宋体" w:cs="宋体"/>
          <w:color w:val="000000" w:themeColor="text1"/>
          <w:sz w:val="24"/>
          <w14:textFill>
            <w14:solidFill>
              <w14:schemeClr w14:val="tx1"/>
            </w14:solidFill>
          </w14:textFill>
        </w:rPr>
      </w:pPr>
    </w:p>
    <w:p w14:paraId="5C2B1201">
      <w:pPr>
        <w:spacing w:line="360" w:lineRule="auto"/>
        <w:ind w:firstLine="549" w:firstLineChars="229"/>
        <w:rPr>
          <w:rFonts w:ascii="宋体" w:hAnsi="宋体" w:cs="宋体"/>
          <w:color w:val="000000" w:themeColor="text1"/>
          <w:sz w:val="24"/>
          <w14:textFill>
            <w14:solidFill>
              <w14:schemeClr w14:val="tx1"/>
            </w14:solidFill>
          </w14:textFill>
        </w:rPr>
      </w:pPr>
    </w:p>
    <w:p w14:paraId="38849303">
      <w:pPr>
        <w:spacing w:line="360" w:lineRule="auto"/>
        <w:ind w:firstLine="549" w:firstLineChars="229"/>
        <w:rPr>
          <w:rFonts w:ascii="宋体" w:hAnsi="宋体" w:cs="宋体"/>
          <w:color w:val="000000" w:themeColor="text1"/>
          <w:sz w:val="24"/>
          <w14:textFill>
            <w14:solidFill>
              <w14:schemeClr w14:val="tx1"/>
            </w14:solidFill>
          </w14:textFill>
        </w:rPr>
      </w:pPr>
    </w:p>
    <w:p w14:paraId="30195A62">
      <w:pPr>
        <w:spacing w:line="360" w:lineRule="auto"/>
        <w:ind w:firstLine="549" w:firstLineChars="229"/>
        <w:rPr>
          <w:rFonts w:ascii="宋体" w:hAnsi="宋体" w:cs="宋体"/>
          <w:color w:val="000000" w:themeColor="text1"/>
          <w:sz w:val="24"/>
          <w14:textFill>
            <w14:solidFill>
              <w14:schemeClr w14:val="tx1"/>
            </w14:solidFill>
          </w14:textFill>
        </w:rPr>
      </w:pPr>
    </w:p>
    <w:p w14:paraId="7F784DEC">
      <w:pPr>
        <w:spacing w:line="360" w:lineRule="auto"/>
        <w:ind w:firstLine="549" w:firstLineChars="229"/>
        <w:rPr>
          <w:rFonts w:ascii="宋体" w:hAnsi="宋体" w:cs="宋体"/>
          <w:color w:val="000000" w:themeColor="text1"/>
          <w:sz w:val="24"/>
          <w14:textFill>
            <w14:solidFill>
              <w14:schemeClr w14:val="tx1"/>
            </w14:solidFill>
          </w14:textFill>
        </w:rPr>
      </w:pPr>
    </w:p>
    <w:p w14:paraId="158D0CDD">
      <w:pPr>
        <w:spacing w:line="360" w:lineRule="auto"/>
        <w:ind w:firstLine="549" w:firstLineChars="229"/>
        <w:rPr>
          <w:rFonts w:ascii="宋体" w:hAnsi="宋体" w:cs="宋体"/>
          <w:color w:val="000000" w:themeColor="text1"/>
          <w:sz w:val="24"/>
          <w14:textFill>
            <w14:solidFill>
              <w14:schemeClr w14:val="tx1"/>
            </w14:solidFill>
          </w14:textFill>
        </w:rPr>
      </w:pPr>
    </w:p>
    <w:p w14:paraId="3FC84559">
      <w:pPr>
        <w:spacing w:line="360" w:lineRule="auto"/>
        <w:ind w:firstLine="549" w:firstLineChars="229"/>
        <w:rPr>
          <w:rFonts w:ascii="宋体" w:hAnsi="宋体" w:cs="宋体"/>
          <w:color w:val="000000" w:themeColor="text1"/>
          <w:sz w:val="24"/>
          <w14:textFill>
            <w14:solidFill>
              <w14:schemeClr w14:val="tx1"/>
            </w14:solidFill>
          </w14:textFill>
        </w:rPr>
      </w:pPr>
    </w:p>
    <w:p w14:paraId="08B97DE5">
      <w:pPr>
        <w:spacing w:line="360" w:lineRule="auto"/>
        <w:ind w:firstLine="549" w:firstLineChars="229"/>
        <w:rPr>
          <w:rFonts w:ascii="宋体" w:hAnsi="宋体" w:cs="宋体"/>
          <w:color w:val="000000" w:themeColor="text1"/>
          <w:sz w:val="24"/>
          <w14:textFill>
            <w14:solidFill>
              <w14:schemeClr w14:val="tx1"/>
            </w14:solidFill>
          </w14:textFill>
        </w:rPr>
      </w:pPr>
    </w:p>
    <w:p w14:paraId="6D7086F7">
      <w:pPr>
        <w:spacing w:line="360" w:lineRule="auto"/>
        <w:ind w:firstLine="549" w:firstLineChars="229"/>
        <w:rPr>
          <w:rFonts w:ascii="宋体" w:hAnsi="宋体" w:cs="宋体"/>
          <w:color w:val="000000" w:themeColor="text1"/>
          <w:sz w:val="24"/>
          <w14:textFill>
            <w14:solidFill>
              <w14:schemeClr w14:val="tx1"/>
            </w14:solidFill>
          </w14:textFill>
        </w:rPr>
      </w:pPr>
    </w:p>
    <w:p w14:paraId="050A0018">
      <w:pPr>
        <w:spacing w:line="360" w:lineRule="auto"/>
        <w:rPr>
          <w:rFonts w:ascii="宋体" w:hAnsi="宋体" w:cs="宋体"/>
          <w:color w:val="000000" w:themeColor="text1"/>
          <w:sz w:val="24"/>
          <w14:textFill>
            <w14:solidFill>
              <w14:schemeClr w14:val="tx1"/>
            </w14:solidFill>
          </w14:textFill>
        </w:rPr>
      </w:pPr>
    </w:p>
    <w:p w14:paraId="020CCE73">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2" w:name="第一部分"/>
      <w:r>
        <w:rPr>
          <w:rFonts w:hint="eastAsia" w:ascii="宋体" w:hAnsi="宋体" w:cs="宋体"/>
          <w:b/>
          <w:color w:val="000000" w:themeColor="text1"/>
          <w:sz w:val="36"/>
          <w:szCs w:val="36"/>
          <w14:textFill>
            <w14:solidFill>
              <w14:schemeClr w14:val="tx1"/>
            </w14:solidFill>
          </w14:textFill>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color w:val="000000" w:themeColor="text1"/>
          <w:sz w:val="36"/>
          <w:szCs w:val="20"/>
          <w14:textFill>
            <w14:solidFill>
              <w14:schemeClr w14:val="tx1"/>
            </w14:solidFill>
          </w14:textFill>
        </w:rPr>
        <w:t>第一部分 交易公告</w:t>
      </w:r>
    </w:p>
    <w:p w14:paraId="13C71D87">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一、基本情况</w:t>
      </w:r>
    </w:p>
    <w:p w14:paraId="5F63093B">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交易编号：</w:t>
      </w:r>
      <w:r>
        <w:rPr>
          <w:rFonts w:hint="eastAsia" w:ascii="宋体" w:hAnsi="宋体" w:cs="宋体"/>
          <w:bCs/>
          <w:color w:val="000000" w:themeColor="text1"/>
          <w:sz w:val="24"/>
          <w14:textFill>
            <w14:solidFill>
              <w14:schemeClr w14:val="tx1"/>
            </w14:solidFill>
          </w14:textFill>
        </w:rPr>
        <w:t>萧开采（2025）5号</w:t>
      </w:r>
    </w:p>
    <w:p w14:paraId="5DF4C8A8">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交易名称：</w:t>
      </w:r>
      <w:r>
        <w:rPr>
          <w:rFonts w:hint="eastAsia" w:ascii="宋体" w:hAnsi="宋体" w:cs="宋体"/>
          <w:bCs/>
          <w:color w:val="000000" w:themeColor="text1"/>
          <w:sz w:val="24"/>
          <w14:textFill>
            <w14:solidFill>
              <w14:schemeClr w14:val="tx1"/>
            </w14:solidFill>
          </w14:textFill>
        </w:rPr>
        <w:t>新街机场高铁拆迁安置房招标控制价审核项目</w:t>
      </w:r>
    </w:p>
    <w:p w14:paraId="0CC8DDC1">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预算金额：49.00万元</w:t>
      </w:r>
    </w:p>
    <w:p w14:paraId="3B81A8EB">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最高限价：49.00万元</w:t>
      </w:r>
    </w:p>
    <w:p w14:paraId="415A298B">
      <w:pPr>
        <w:spacing w:line="360" w:lineRule="auto"/>
        <w:ind w:firstLine="482" w:firstLineChars="200"/>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交易需求：</w:t>
      </w:r>
      <w:r>
        <w:rPr>
          <w:rFonts w:hint="eastAsia" w:ascii="宋体" w:hAnsi="宋体" w:cs="宋体"/>
          <w:bCs/>
          <w:color w:val="000000" w:themeColor="text1"/>
          <w:sz w:val="24"/>
          <w14:textFill>
            <w14:solidFill>
              <w14:schemeClr w14:val="tx1"/>
            </w14:solidFill>
          </w14:textFill>
        </w:rPr>
        <w:t>新街机场高铁拆迁安置房招标控制价审核项目</w:t>
      </w:r>
      <w:r>
        <w:rPr>
          <w:rFonts w:hint="eastAsia" w:hAnsi="宋体" w:cs="宋体"/>
          <w:color w:val="000000" w:themeColor="text1"/>
          <w:sz w:val="24"/>
          <w14:textFill>
            <w14:solidFill>
              <w14:schemeClr w14:val="tx1"/>
            </w14:solidFill>
          </w14:textFill>
        </w:rPr>
        <w:t xml:space="preserve">，1家，详见交易需求。      </w:t>
      </w:r>
    </w:p>
    <w:p w14:paraId="41D01104">
      <w:pPr>
        <w:pStyle w:val="16"/>
        <w:spacing w:line="360" w:lineRule="auto"/>
        <w:ind w:firstLine="482" w:firstLineChars="200"/>
        <w:rPr>
          <w:rFonts w:hAnsi="宋体" w:cs="宋体"/>
          <w:color w:val="000000" w:themeColor="text1"/>
          <w14:textFill>
            <w14:solidFill>
              <w14:schemeClr w14:val="tx1"/>
            </w14:solidFill>
          </w14:textFill>
        </w:rPr>
      </w:pPr>
      <w:r>
        <w:rPr>
          <w:rFonts w:hint="eastAsia" w:hAnsi="宋体" w:cs="宋体"/>
          <w:b/>
          <w:color w:val="000000" w:themeColor="text1"/>
          <w:sz w:val="24"/>
          <w:szCs w:val="18"/>
          <w14:textFill>
            <w14:solidFill>
              <w14:schemeClr w14:val="tx1"/>
            </w14:solidFill>
          </w14:textFill>
        </w:rPr>
        <w:t>合同履约期限：</w:t>
      </w:r>
      <w:r>
        <w:rPr>
          <w:rFonts w:hint="eastAsia" w:hAnsi="宋体" w:cs="宋体"/>
          <w:color w:val="000000" w:themeColor="text1"/>
          <w:sz w:val="24"/>
          <w:szCs w:val="28"/>
          <w14:textFill>
            <w14:solidFill>
              <w14:schemeClr w14:val="tx1"/>
            </w14:solidFill>
          </w14:textFill>
        </w:rPr>
        <w:t>详见公开竞争文件</w:t>
      </w:r>
    </w:p>
    <w:p w14:paraId="1B288006">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本项目接受联合体投标：</w:t>
      </w:r>
      <w:r>
        <w:rPr>
          <w:rFonts w:hint="eastAsia" w:ascii="宋体" w:hAnsi="宋体" w:cs="宋体"/>
          <w:bCs/>
          <w:color w:val="000000" w:themeColor="text1"/>
          <w:sz w:val="24"/>
          <w14:textFill>
            <w14:solidFill>
              <w14:schemeClr w14:val="tx1"/>
            </w14:solidFill>
          </w14:textFill>
        </w:rPr>
        <w:t>（ ）是；（√）否。</w:t>
      </w:r>
    </w:p>
    <w:p w14:paraId="258F495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29A8C10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F9F9E9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14:paraId="47DC291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7046F2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6201F71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5、参加交易活动前三年内，在经营活动中没有重大违法记录；</w:t>
      </w:r>
    </w:p>
    <w:p w14:paraId="45A4833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14:paraId="1D7BD54A">
      <w:pPr>
        <w:pStyle w:val="26"/>
        <w:ind w:firstLine="480" w:firstLineChars="200"/>
        <w:rPr>
          <w:rFonts w:hAnsi="宋体" w:cs="宋体"/>
          <w:color w:val="000000" w:themeColor="text1"/>
          <w:lang w:val="en-US"/>
          <w14:textFill>
            <w14:solidFill>
              <w14:schemeClr w14:val="tx1"/>
            </w14:solidFill>
          </w14:textFill>
        </w:rPr>
      </w:pPr>
      <w:r>
        <w:rPr>
          <w:rFonts w:hint="eastAsia" w:hAnsi="宋体" w:cs="宋体"/>
          <w:color w:val="000000" w:themeColor="text1"/>
          <w14:textFill>
            <w14:solidFill>
              <w14:schemeClr w14:val="tx1"/>
            </w14:solidFill>
          </w14:textFill>
        </w:rPr>
        <w:t>7、本项目的特定资格要求：</w:t>
      </w:r>
      <w:r>
        <w:rPr>
          <w:rFonts w:hint="eastAsia" w:hAnsi="宋体" w:cs="宋体"/>
          <w:color w:val="000000" w:themeColor="text1"/>
          <w:lang w:val="en-US"/>
          <w14:textFill>
            <w14:solidFill>
              <w14:schemeClr w14:val="tx1"/>
            </w14:solidFill>
          </w14:textFill>
        </w:rPr>
        <w:t>无；</w:t>
      </w:r>
    </w:p>
    <w:p w14:paraId="00D8B249">
      <w:pPr>
        <w:pStyle w:val="26"/>
        <w:ind w:firstLine="480" w:firstLineChars="200"/>
        <w:rPr>
          <w:rFonts w:hAnsi="宋体" w:cs="宋体"/>
          <w:color w:val="000000" w:themeColor="text1"/>
          <w:lang w:val="en-US"/>
          <w14:textFill>
            <w14:solidFill>
              <w14:schemeClr w14:val="tx1"/>
            </w14:solidFill>
          </w14:textFill>
        </w:rPr>
      </w:pPr>
      <w:r>
        <w:rPr>
          <w:rFonts w:hint="eastAsia" w:hAnsi="宋体" w:cs="宋体"/>
          <w:color w:val="000000" w:themeColor="text1"/>
          <w:lang w:val="en-US"/>
          <w14:textFill>
            <w14:solidFill>
              <w14:schemeClr w14:val="tx1"/>
            </w14:solidFill>
          </w14:textFill>
        </w:rPr>
        <w:t>8、</w:t>
      </w:r>
      <w:r>
        <w:rPr>
          <w:rFonts w:hint="eastAsia" w:hAnsi="宋体" w:cs="宋体"/>
          <w:color w:val="000000" w:themeColor="text1"/>
          <w14:textFill>
            <w14:solidFill>
              <w14:schemeClr w14:val="tx1"/>
            </w14:solidFill>
          </w14:textFill>
        </w:rPr>
        <w:t>本项目不接受联合体参与（潜在响应人能独立完成本项目）。</w:t>
      </w:r>
    </w:p>
    <w:p w14:paraId="46195C24">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三、获取公开竞争文件</w:t>
      </w:r>
    </w:p>
    <w:p w14:paraId="2F36CA09">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2025年3月</w:t>
      </w:r>
      <w:r>
        <w:rPr>
          <w:rFonts w:hint="eastAsia" w:ascii="宋体" w:hAnsi="宋体" w:cs="宋体"/>
          <w:color w:val="000000" w:themeColor="text1"/>
          <w:sz w:val="24"/>
          <w:u w:val="single"/>
          <w:lang w:val="en-US" w:eastAsia="zh-CN"/>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w:t>
      </w:r>
    </w:p>
    <w:p w14:paraId="52438050">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乐采云平台（www.lecaiyun.com） </w:t>
      </w:r>
    </w:p>
    <w:p w14:paraId="02429AF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响应人登录乐采云平台（www.lecaiyun.com）在线申请获取公开竞争文件（进入“项目采购”应用，在获取采购文件菜单中选择项目，申请获取公开竞争文件）。 </w:t>
      </w:r>
    </w:p>
    <w:p w14:paraId="62D2AA2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0</w:t>
      </w:r>
    </w:p>
    <w:p w14:paraId="665D4F0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四、提交响应文件截止时间、交易时间和地点</w:t>
      </w:r>
    </w:p>
    <w:p w14:paraId="4D2273B6">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提交响应文件截止时间：</w:t>
      </w:r>
      <w:r>
        <w:rPr>
          <w:rFonts w:hint="eastAsia" w:ascii="宋体" w:hAnsi="宋体" w:cs="宋体"/>
          <w:color w:val="000000" w:themeColor="text1"/>
          <w:sz w:val="24"/>
          <w:u w:val="single"/>
          <w14:textFill>
            <w14:solidFill>
              <w14:schemeClr w14:val="tx1"/>
            </w14:solidFill>
          </w14:textFill>
        </w:rPr>
        <w:t>2025年3月</w:t>
      </w:r>
      <w:r>
        <w:rPr>
          <w:rFonts w:hint="eastAsia" w:ascii="宋体" w:hAnsi="宋体" w:cs="宋体"/>
          <w:color w:val="000000" w:themeColor="text1"/>
          <w:sz w:val="24"/>
          <w:u w:val="single"/>
          <w:lang w:val="en-US" w:eastAsia="zh-CN"/>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日09点00分</w:t>
      </w:r>
      <w:r>
        <w:rPr>
          <w:rFonts w:hint="eastAsia" w:ascii="宋体" w:hAnsi="宋体" w:cs="宋体"/>
          <w:color w:val="000000" w:themeColor="text1"/>
          <w:sz w:val="24"/>
          <w14:textFill>
            <w14:solidFill>
              <w14:schemeClr w14:val="tx1"/>
            </w14:solidFill>
          </w14:textFill>
        </w:rPr>
        <w:t>（北京时间）</w:t>
      </w:r>
    </w:p>
    <w:p w14:paraId="3B0DBB13">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乐采云平台（www.lecaiyun.com） </w:t>
      </w:r>
    </w:p>
    <w:p w14:paraId="3AEC7EEB">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交易时间：</w:t>
      </w:r>
      <w:r>
        <w:rPr>
          <w:rFonts w:hint="eastAsia" w:ascii="宋体" w:hAnsi="宋体" w:cs="宋体"/>
          <w:color w:val="000000" w:themeColor="text1"/>
          <w:sz w:val="24"/>
          <w:u w:val="single"/>
          <w14:textFill>
            <w14:solidFill>
              <w14:schemeClr w14:val="tx1"/>
            </w14:solidFill>
          </w14:textFill>
        </w:rPr>
        <w:t>2025年3月</w:t>
      </w:r>
      <w:r>
        <w:rPr>
          <w:rFonts w:hint="eastAsia" w:ascii="宋体" w:hAnsi="宋体" w:cs="宋体"/>
          <w:color w:val="000000" w:themeColor="text1"/>
          <w:sz w:val="24"/>
          <w:u w:val="single"/>
          <w:lang w:val="en-US" w:eastAsia="zh-CN"/>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日09点00分</w:t>
      </w:r>
    </w:p>
    <w:p w14:paraId="518BD56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乐采云平台（www.lecaiyun.com）</w:t>
      </w:r>
    </w:p>
    <w:p w14:paraId="25579F4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五、其他补充事宜</w:t>
      </w:r>
    </w:p>
    <w:p w14:paraId="4A1B9D2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128611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54240F17">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六、对本次交易提出异议、投诉，请按以下方式联系</w:t>
      </w:r>
    </w:p>
    <w:p w14:paraId="17A554EF">
      <w:pPr>
        <w:widowControl/>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1、交易发起人信息</w:t>
      </w:r>
    </w:p>
    <w:p w14:paraId="7C8F4FBA">
      <w:pPr>
        <w:spacing w:line="360" w:lineRule="auto"/>
        <w:ind w:firstLine="480" w:firstLineChars="200"/>
        <w:jc w:val="left"/>
        <w:rPr>
          <w:rFonts w:ascii="宋体" w:hAnsi="宋体" w:cs="宋体"/>
          <w:color w:val="000000" w:themeColor="text1"/>
          <w:sz w:val="24"/>
          <w14:textFill>
            <w14:solidFill>
              <w14:schemeClr w14:val="tx1"/>
            </w14:solidFill>
          </w14:textFill>
        </w:rPr>
      </w:pPr>
      <w:bookmarkStart w:id="10" w:name="_Toc28359086"/>
      <w:bookmarkStart w:id="11" w:name="_Toc28359009"/>
      <w:r>
        <w:rPr>
          <w:rFonts w:hint="eastAsia" w:ascii="宋体" w:hAnsi="宋体" w:cs="宋体"/>
          <w:color w:val="000000" w:themeColor="text1"/>
          <w:sz w:val="24"/>
          <w14:textFill>
            <w14:solidFill>
              <w14:schemeClr w14:val="tx1"/>
            </w14:solidFill>
          </w14:textFill>
        </w:rPr>
        <w:t>名称：萧山经济技术开发区管理委员会</w:t>
      </w:r>
    </w:p>
    <w:p w14:paraId="2B8A5C5E">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地址：杭州市萧山区市心北路99号</w:t>
      </w:r>
    </w:p>
    <w:p w14:paraId="3B849506">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项目联系人（询问）：沈鑫 </w:t>
      </w:r>
    </w:p>
    <w:p w14:paraId="04B4C5B1">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项目联系方式（询问）：0571</w:t>
      </w:r>
      <w:r>
        <w:rPr>
          <w:rFonts w:hint="eastAsia" w:ascii="宋体" w:hAnsi="宋体" w:cs="宋体"/>
          <w:color w:val="000000" w:themeColor="text1"/>
          <w:sz w:val="24"/>
          <w:lang w:val="en-US" w:eastAsia="zh-CN"/>
          <w14:textFill>
            <w14:solidFill>
              <w14:schemeClr w14:val="tx1"/>
            </w14:solidFill>
          </w14:textFill>
        </w:rPr>
        <w:t>-</w:t>
      </w:r>
      <w:bookmarkStart w:id="383" w:name="_GoBack"/>
      <w:bookmarkEnd w:id="383"/>
      <w:r>
        <w:rPr>
          <w:rFonts w:hint="eastAsia" w:ascii="宋体" w:hAnsi="宋体" w:cs="宋体"/>
          <w:color w:val="000000" w:themeColor="text1"/>
          <w:sz w:val="24"/>
          <w14:textFill>
            <w14:solidFill>
              <w14:schemeClr w14:val="tx1"/>
            </w14:solidFill>
          </w14:textFill>
        </w:rPr>
        <w:t>82866806</w:t>
      </w:r>
    </w:p>
    <w:p w14:paraId="6BBD4727">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2</w:t>
      </w:r>
      <w:bookmarkEnd w:id="10"/>
      <w:bookmarkEnd w:id="11"/>
      <w:r>
        <w:rPr>
          <w:rFonts w:hint="eastAsia" w:ascii="宋体" w:hAnsi="宋体" w:cs="宋体"/>
          <w:color w:val="000000" w:themeColor="text1"/>
          <w:sz w:val="24"/>
          <w:szCs w:val="28"/>
          <w14:textFill>
            <w14:solidFill>
              <w14:schemeClr w14:val="tx1"/>
            </w14:solidFill>
          </w14:textFill>
        </w:rPr>
        <w:t>、代理机构信息</w:t>
      </w:r>
    </w:p>
    <w:p w14:paraId="65C6043A">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名称：杭州博望建设工程招标投标代理有限公司</w:t>
      </w:r>
    </w:p>
    <w:p w14:paraId="6EB0B5F5">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地址：杭州市萧山区金城路433号天汇园一幢A座5楼</w:t>
      </w:r>
    </w:p>
    <w:p w14:paraId="312CB255">
      <w:pPr>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项目联系人（询问）：高华萍</w:t>
      </w:r>
    </w:p>
    <w:p w14:paraId="6275690C">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项目联系方式（询问）：0571-83881218</w:t>
      </w:r>
    </w:p>
    <w:p w14:paraId="0ADA847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3.采购监督管理部门：</w:t>
      </w:r>
    </w:p>
    <w:p w14:paraId="30C8BC2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名称：开发区财政局</w:t>
      </w:r>
    </w:p>
    <w:p w14:paraId="7FAAABD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地址：杭州市萧山区市心北路99号</w:t>
      </w:r>
    </w:p>
    <w:p w14:paraId="7F3692B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联系人：王先生</w:t>
      </w:r>
    </w:p>
    <w:p w14:paraId="23EAD9B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监督投诉电话：0571-82866806</w:t>
      </w:r>
    </w:p>
    <w:p w14:paraId="3B551F58">
      <w:pPr>
        <w:spacing w:line="360" w:lineRule="auto"/>
        <w:ind w:firstLine="480" w:firstLineChars="200"/>
        <w:rPr>
          <w:rFonts w:ascii="宋体" w:hAnsi="宋体" w:cs="宋体"/>
          <w:color w:val="000000" w:themeColor="text1"/>
          <w:sz w:val="24"/>
          <w14:textFill>
            <w14:solidFill>
              <w14:schemeClr w14:val="tx1"/>
            </w14:solidFill>
          </w14:textFill>
        </w:rPr>
      </w:pPr>
    </w:p>
    <w:p w14:paraId="376FCB84">
      <w:pPr>
        <w:spacing w:line="360" w:lineRule="auto"/>
        <w:ind w:firstLine="480" w:firstLineChars="200"/>
        <w:rPr>
          <w:rFonts w:ascii="宋体" w:hAnsi="宋体" w:cs="宋体"/>
          <w:color w:val="000000" w:themeColor="text1"/>
          <w:sz w:val="24"/>
          <w14:textFill>
            <w14:solidFill>
              <w14:schemeClr w14:val="tx1"/>
            </w14:solidFill>
          </w14:textFill>
        </w:rPr>
      </w:pPr>
    </w:p>
    <w:p w14:paraId="38D760D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若对项目电子交易系统操作有疑问，可登录乐采云平台（www.lecaiyun.com），点击右侧咨询小采，获取采小蜜智能服务管家帮助，或拨打乐采云服务热线95763获取热线服务帮助。</w:t>
      </w:r>
    </w:p>
    <w:p w14:paraId="458C1A9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30AC80F8">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r>
        <w:rPr>
          <w:rFonts w:hint="eastAsia" w:ascii="宋体" w:hAnsi="宋体" w:cs="宋体"/>
          <w:b/>
          <w:color w:val="000000" w:themeColor="text1"/>
          <w:sz w:val="36"/>
          <w:szCs w:val="20"/>
          <w14:textFill>
            <w14:solidFill>
              <w14:schemeClr w14:val="tx1"/>
            </w14:solidFill>
          </w14:textFill>
        </w:rPr>
        <w:t>第二部分</w:t>
      </w:r>
      <w:bookmarkEnd w:id="7"/>
      <w:r>
        <w:rPr>
          <w:rFonts w:hint="eastAsia" w:ascii="宋体" w:hAnsi="宋体" w:cs="宋体"/>
          <w:b/>
          <w:color w:val="000000" w:themeColor="text1"/>
          <w:sz w:val="36"/>
          <w:szCs w:val="20"/>
          <w14:textFill>
            <w14:solidFill>
              <w14:schemeClr w14:val="tx1"/>
            </w14:solidFill>
          </w14:textFill>
        </w:rPr>
        <w:t>响应人须知</w:t>
      </w:r>
      <w:bookmarkEnd w:id="8"/>
    </w:p>
    <w:p w14:paraId="11B8B8C9">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053B4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496D12E">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51701A8">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2632D5B7">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15A4B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928530">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7E9194D">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42F8AFB1">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A货物类</w:t>
            </w:r>
            <w:r>
              <w:rPr>
                <w:rFonts w:hint="eastAsia" w:ascii="宋体" w:hAnsi="宋体" w:cs="宋体"/>
                <w:color w:val="000000" w:themeColor="text1"/>
                <w:sz w:val="24"/>
                <w14:textFill>
                  <w14:solidFill>
                    <w14:schemeClr w14:val="tx1"/>
                  </w14:solidFill>
                </w14:textFill>
              </w:rPr>
              <w:t>。</w:t>
            </w:r>
          </w:p>
          <w:p w14:paraId="66DB2FB5">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（√）B服务类。</w:t>
            </w:r>
          </w:p>
        </w:tc>
      </w:tr>
      <w:tr w14:paraId="332C5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2F9590F">
            <w:pPr>
              <w:snapToGrid w:val="0"/>
              <w:spacing w:line="400" w:lineRule="exact"/>
              <w:jc w:val="center"/>
              <w:rPr>
                <w:rFonts w:ascii="宋体" w:hAnsi="宋体" w:cs="宋体"/>
                <w:color w:val="000000" w:themeColor="text1"/>
                <w:sz w:val="24"/>
                <w14:textFill>
                  <w14:solidFill>
                    <w14:schemeClr w14:val="tx1"/>
                  </w14:solidFill>
                </w14:textFill>
              </w:rPr>
            </w:pPr>
          </w:p>
          <w:p w14:paraId="09B9190F">
            <w:pPr>
              <w:snapToGrid w:val="0"/>
              <w:spacing w:line="400" w:lineRule="exact"/>
              <w:jc w:val="center"/>
              <w:rPr>
                <w:rFonts w:ascii="宋体" w:hAnsi="宋体" w:cs="宋体"/>
                <w:color w:val="000000" w:themeColor="text1"/>
                <w:sz w:val="24"/>
                <w14:textFill>
                  <w14:solidFill>
                    <w14:schemeClr w14:val="tx1"/>
                  </w14:solidFill>
                </w14:textFill>
              </w:rPr>
            </w:pPr>
          </w:p>
          <w:p w14:paraId="730A900A">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8DF30C">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20E905A5">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w:t>
            </w:r>
            <w:r>
              <w:rPr>
                <w:rFonts w:hint="eastAsia" w:ascii="宋体" w:hAnsi="宋体" w:cs="宋体"/>
                <w:color w:val="000000" w:themeColor="text1"/>
                <w:kern w:val="0"/>
                <w:sz w:val="24"/>
                <w14:textFill>
                  <w14:solidFill>
                    <w14:schemeClr w14:val="tx1"/>
                  </w14:solidFill>
                </w14:textFill>
              </w:rPr>
              <w:t>A适用</w:t>
            </w:r>
            <w:r>
              <w:rPr>
                <w:rFonts w:hint="eastAsia" w:ascii="宋体" w:hAnsi="宋体" w:cs="宋体"/>
                <w:color w:val="000000" w:themeColor="text1"/>
                <w:sz w:val="24"/>
                <w14:textFill>
                  <w14:solidFill>
                    <w14:schemeClr w14:val="tx1"/>
                  </w14:solidFill>
                </w14:textFill>
              </w:rPr>
              <w:t>。</w:t>
            </w:r>
          </w:p>
          <w:p w14:paraId="3C1E4E87">
            <w:pPr>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B不适用</w:t>
            </w:r>
            <w:r>
              <w:rPr>
                <w:rFonts w:hint="eastAsia" w:ascii="宋体" w:hAnsi="宋体" w:cs="宋体"/>
                <w:color w:val="000000" w:themeColor="text1"/>
                <w:sz w:val="24"/>
                <w14:textFill>
                  <w14:solidFill>
                    <w14:schemeClr w14:val="tx1"/>
                  </w14:solidFill>
                </w14:textFill>
              </w:rPr>
              <w:t>。</w:t>
            </w:r>
          </w:p>
        </w:tc>
      </w:tr>
      <w:tr w14:paraId="5E0EF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FA6C042">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42AA68">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6B67B24A">
            <w:pPr>
              <w:spacing w:line="400" w:lineRule="exact"/>
              <w:rPr>
                <w:rFonts w:ascii="宋体" w:hAnsi="宋体" w:cs="宋体"/>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本项目不允许采购进口产品。</w:t>
            </w:r>
          </w:p>
        </w:tc>
      </w:tr>
      <w:tr w14:paraId="78DCC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8D7B3B">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7F5F37A">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55A05AC4">
            <w:pPr>
              <w:spacing w:line="4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B</w:t>
            </w:r>
            <w:r>
              <w:rPr>
                <w:rFonts w:hint="eastAsia" w:ascii="宋体" w:hAnsi="宋体" w:cs="宋体"/>
                <w:bCs/>
                <w:color w:val="000000" w:themeColor="text1"/>
                <w:sz w:val="24"/>
                <w14:textFill>
                  <w14:solidFill>
                    <w14:schemeClr w14:val="tx1"/>
                  </w14:solidFill>
                </w14:textFill>
              </w:rPr>
              <w:t>不同意分包。</w:t>
            </w:r>
          </w:p>
        </w:tc>
      </w:tr>
      <w:tr w14:paraId="64793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6FCA4B">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0F8DE6">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5FF9D2F9">
            <w:pPr>
              <w:spacing w:line="400" w:lineRule="exact"/>
              <w:rPr>
                <w:rFonts w:ascii="宋体" w:hAnsi="宋体" w:cs="宋体"/>
                <w:bCs/>
                <w:color w:val="000000" w:themeColor="text1"/>
                <w:sz w:val="24"/>
                <w:szCs w:val="20"/>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A</w:t>
            </w:r>
            <w:r>
              <w:rPr>
                <w:rFonts w:hint="eastAsia" w:ascii="宋体" w:hAnsi="宋体" w:cs="宋体"/>
                <w:bCs/>
                <w:color w:val="000000" w:themeColor="text1"/>
                <w:sz w:val="24"/>
                <w14:textFill>
                  <w14:solidFill>
                    <w14:schemeClr w14:val="tx1"/>
                  </w14:solidFill>
                </w14:textFill>
              </w:rPr>
              <w:t>不组织。</w:t>
            </w:r>
          </w:p>
        </w:tc>
      </w:tr>
      <w:tr w14:paraId="230F8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C79BBE3">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5EB36EC">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7D5E1BC8">
            <w:pPr>
              <w:spacing w:line="4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（√）A不要求提供。</w:t>
            </w:r>
          </w:p>
        </w:tc>
      </w:tr>
      <w:tr w14:paraId="7DDD3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9CA8A4">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6FA77B">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现场演示</w:t>
            </w:r>
          </w:p>
        </w:tc>
        <w:tc>
          <w:tcPr>
            <w:tcW w:w="6706" w:type="dxa"/>
            <w:tcBorders>
              <w:top w:val="single" w:color="000000" w:sz="8" w:space="0"/>
              <w:left w:val="single" w:color="000000" w:sz="2" w:space="0"/>
              <w:bottom w:val="single" w:color="000000" w:sz="8" w:space="0"/>
              <w:right w:val="single" w:color="000000" w:sz="8" w:space="0"/>
            </w:tcBorders>
            <w:vAlign w:val="center"/>
          </w:tcPr>
          <w:p w14:paraId="4CEB6559">
            <w:pPr>
              <w:snapToGrid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（√）A不组织。</w:t>
            </w:r>
          </w:p>
        </w:tc>
      </w:tr>
      <w:tr w14:paraId="37838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066D341F">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tcBorders>
              <w:top w:val="single" w:color="000000" w:sz="8" w:space="0"/>
              <w:left w:val="single" w:color="auto" w:sz="4" w:space="0"/>
              <w:right w:val="single" w:color="000000" w:sz="8" w:space="0"/>
            </w:tcBorders>
            <w:vAlign w:val="center"/>
          </w:tcPr>
          <w:p w14:paraId="3010130E">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75D254E2">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（1）资格证明文件：见公开竞争文件第二部分10.1。</w:t>
            </w:r>
          </w:p>
          <w:p w14:paraId="7EC77942">
            <w:pPr>
              <w:spacing w:line="400" w:lineRule="exact"/>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响应人未提供有效的资格证明文件的，视为响应人不具备公开竞争文件中规定的资格要求，交易无效。</w:t>
            </w:r>
          </w:p>
        </w:tc>
      </w:tr>
      <w:tr w14:paraId="0DC49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1B94E355">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auto" w:sz="4" w:space="0"/>
              <w:right w:val="single" w:color="000000" w:sz="8" w:space="0"/>
            </w:tcBorders>
            <w:vAlign w:val="center"/>
          </w:tcPr>
          <w:p w14:paraId="0E8C8A73">
            <w:pPr>
              <w:snapToGrid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622E8B1F">
            <w:pPr>
              <w:spacing w:line="400" w:lineRule="exact"/>
              <w:ind w:firstLine="480" w:firstLineChars="20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Cs/>
                <w:color w:val="000000" w:themeColor="text1"/>
                <w:kern w:val="0"/>
                <w:sz w:val="24"/>
                <w14:textFill>
                  <w14:solidFill>
                    <w14:schemeClr w14:val="tx1"/>
                  </w14:solidFill>
                </w14:textFill>
              </w:rPr>
              <w:t>交易一览表（报价表）是报价的唯一载体</w:t>
            </w:r>
            <w:r>
              <w:rPr>
                <w:rFonts w:hint="eastAsia" w:ascii="宋体" w:hAnsi="宋体" w:cs="宋体"/>
                <w:bCs/>
                <w:color w:val="000000" w:themeColor="text1"/>
                <w:kern w:val="0"/>
                <w:sz w:val="24"/>
                <w:lang w:val="zh-CN"/>
                <w14:textFill>
                  <w14:solidFill>
                    <w14:schemeClr w14:val="tx1"/>
                  </w14:solidFill>
                </w14:textFill>
              </w:rPr>
              <w:t>。响应文件中价格全部采用人民币报价。公开竞争文件未列明，而响应人认为必需的费用也需列入报价。</w:t>
            </w:r>
          </w:p>
          <w:p w14:paraId="3428FB2F">
            <w:pPr>
              <w:spacing w:line="400" w:lineRule="exact"/>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交易报价出现下列情形的，交易无效：</w:t>
            </w:r>
          </w:p>
          <w:p w14:paraId="71DE301C">
            <w:pPr>
              <w:spacing w:line="400" w:lineRule="exact"/>
              <w:ind w:firstLine="480" w:firstLineChars="20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响应文件出现不是唯一的、有选择性交易报价的；</w:t>
            </w:r>
          </w:p>
          <w:p w14:paraId="09B01990">
            <w:pPr>
              <w:spacing w:line="400" w:lineRule="exact"/>
              <w:ind w:firstLine="480" w:firstLineChars="200"/>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交易报价超过公开竞争文件中规定的预算金额或者最高限价的；</w:t>
            </w:r>
          </w:p>
          <w:p w14:paraId="4DB65445">
            <w:pPr>
              <w:spacing w:line="40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报价明显低于其他通过符合性审查响应人的报价，有可能影响产品质量或者不能诚信履约的，未能按要求提供书面说明或者提交相关证明材料证明其报价合理性的；</w:t>
            </w:r>
          </w:p>
          <w:p w14:paraId="08B70EAF">
            <w:pPr>
              <w:spacing w:line="400" w:lineRule="exact"/>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响应人对根据修正原则修正后的报价不确认的。</w:t>
            </w:r>
          </w:p>
        </w:tc>
      </w:tr>
      <w:tr w14:paraId="65675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1B66A2F">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063153E">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25868824">
            <w:pPr>
              <w:pStyle w:val="35"/>
              <w:spacing w:line="400" w:lineRule="exact"/>
              <w:ind w:hanging="4"/>
              <w:rPr>
                <w:rFonts w:hAnsi="宋体" w:cs="宋体"/>
                <w:color w:val="000000" w:themeColor="text1"/>
                <w:kern w:val="28"/>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备份文件是否收取：不收取。</w:t>
            </w:r>
          </w:p>
          <w:p w14:paraId="2FDBB78B">
            <w:pPr>
              <w:pStyle w:val="35"/>
              <w:spacing w:line="400" w:lineRule="exact"/>
              <w:ind w:hanging="4"/>
              <w:rPr>
                <w:rFonts w:hAnsi="宋体" w:cs="宋体"/>
                <w:color w:val="000000" w:themeColor="text1"/>
                <w:kern w:val="28"/>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成交单位在成交后提供纸质响应文件一正二副。</w:t>
            </w:r>
          </w:p>
        </w:tc>
      </w:tr>
      <w:tr w14:paraId="0F04E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4EDE9CF">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47AF4AC">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273691AC">
            <w:pPr>
              <w:snapToGrid w:val="0"/>
              <w:spacing w:line="400" w:lineRule="exac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本项目代理服务费由</w:t>
            </w:r>
            <w:r>
              <w:rPr>
                <w:rFonts w:hint="eastAsia" w:ascii="宋体" w:hAnsi="宋体" w:cs="宋体"/>
                <w:bCs/>
                <w:color w:val="000000" w:themeColor="text1"/>
                <w:kern w:val="0"/>
                <w:sz w:val="24"/>
                <w14:textFill>
                  <w14:solidFill>
                    <w14:schemeClr w14:val="tx1"/>
                  </w14:solidFill>
                </w14:textFill>
              </w:rPr>
              <w:t>交易发起人</w:t>
            </w:r>
            <w:r>
              <w:rPr>
                <w:rFonts w:hint="eastAsia" w:ascii="宋体" w:hAnsi="宋体" w:cs="宋体"/>
                <w:bCs/>
                <w:color w:val="000000" w:themeColor="text1"/>
                <w:kern w:val="0"/>
                <w:sz w:val="24"/>
                <w:lang w:val="zh-CN"/>
                <w14:textFill>
                  <w14:solidFill>
                    <w14:schemeClr w14:val="tx1"/>
                  </w14:solidFill>
                </w14:textFill>
              </w:rPr>
              <w:t>支付。</w:t>
            </w:r>
          </w:p>
        </w:tc>
      </w:tr>
      <w:tr w14:paraId="2E12A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C0C132B">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48AD02">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4BB43F60">
            <w:pPr>
              <w:snapToGrid w:val="0"/>
              <w:spacing w:line="400" w:lineRule="exac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不收取</w:t>
            </w:r>
            <w:r>
              <w:rPr>
                <w:rFonts w:hint="eastAsia" w:ascii="宋体" w:hAnsi="宋体" w:cs="宋体"/>
                <w:color w:val="000000" w:themeColor="text1"/>
                <w:sz w:val="24"/>
                <w14:textFill>
                  <w14:solidFill>
                    <w14:schemeClr w14:val="tx1"/>
                  </w14:solidFill>
                </w14:textFill>
              </w:rPr>
              <w:t>。</w:t>
            </w:r>
          </w:p>
        </w:tc>
      </w:tr>
      <w:tr w14:paraId="090A7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798981">
            <w:pPr>
              <w:snapToGrid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E1D3BCF">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17EE6822">
            <w:pPr>
              <w:snapToGrid w:val="0"/>
              <w:spacing w:line="400" w:lineRule="exac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本项目由交易发起人进行资格文件及信用信息查询。</w:t>
            </w:r>
          </w:p>
        </w:tc>
      </w:tr>
      <w:tr w14:paraId="00A5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AB8F04A">
            <w:pPr>
              <w:snapToGrid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1114437">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74385A79">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代理机构异议接收人：</w:t>
            </w:r>
            <w:r>
              <w:rPr>
                <w:rFonts w:hint="eastAsia" w:ascii="宋体" w:hAnsi="宋体" w:cs="宋体"/>
                <w:color w:val="000000" w:themeColor="text1"/>
                <w:sz w:val="24"/>
                <w:u w:val="single"/>
                <w14:textFill>
                  <w14:solidFill>
                    <w14:schemeClr w14:val="tx1"/>
                  </w14:solidFill>
                </w14:textFill>
              </w:rPr>
              <w:t>范梦迪</w:t>
            </w:r>
            <w:r>
              <w:rPr>
                <w:rFonts w:hint="eastAsia" w:ascii="宋体" w:hAnsi="宋体" w:cs="宋体"/>
                <w:color w:val="000000" w:themeColor="text1"/>
                <w:sz w:val="24"/>
                <w14:textFill>
                  <w14:solidFill>
                    <w14:schemeClr w14:val="tx1"/>
                  </w14:solidFill>
                </w14:textFill>
              </w:rPr>
              <w:t xml:space="preserve"> 联系方式：</w:t>
            </w:r>
            <w:r>
              <w:rPr>
                <w:rFonts w:hint="eastAsia" w:ascii="宋体" w:hAnsi="宋体" w:cs="宋体"/>
                <w:color w:val="000000" w:themeColor="text1"/>
                <w:sz w:val="24"/>
                <w:u w:val="single"/>
                <w14:textFill>
                  <w14:solidFill>
                    <w14:schemeClr w14:val="tx1"/>
                  </w14:solidFill>
                </w14:textFill>
              </w:rPr>
              <w:t>0571-83881208</w:t>
            </w:r>
          </w:p>
          <w:p w14:paraId="4A32450F">
            <w:pPr>
              <w:snapToGrid w:val="0"/>
              <w:spacing w:line="40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杭州市萧山区金城路433号天汇园一幢A座5楼</w:t>
            </w:r>
          </w:p>
          <w:p w14:paraId="7ADEF328">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"mailto:382733636@qq.com"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4"/>
                <w:u w:val="single"/>
                <w14:textFill>
                  <w14:solidFill>
                    <w14:schemeClr w14:val="tx1"/>
                  </w14:solidFill>
                </w14:textFill>
              </w:rPr>
              <w:t>492477800@qq.com</w:t>
            </w:r>
            <w:r>
              <w:rPr>
                <w:rFonts w:hint="eastAsia" w:ascii="仿宋" w:hAnsi="仿宋" w:eastAsia="仿宋" w:cs="仿宋"/>
                <w:color w:val="000000" w:themeColor="text1"/>
                <w:sz w:val="24"/>
                <w:u w:val="single"/>
                <w14:textFill>
                  <w14:solidFill>
                    <w14:schemeClr w14:val="tx1"/>
                  </w14:solidFill>
                </w14:textFill>
              </w:rPr>
              <w:fldChar w:fldCharType="end"/>
            </w:r>
          </w:p>
          <w:p w14:paraId="505C5670">
            <w:pPr>
              <w:snapToGrid w:val="0"/>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如通过邮箱方式发送异议，须提交符合法规及公开竞争文件要求的异议文件（参考附件1），盖章扫描后发送，异议的受理按答复主体划分以交易发起人或代理机构邮箱回复确认受理为准。</w:t>
            </w:r>
          </w:p>
          <w:p w14:paraId="6A162BEA">
            <w:pPr>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本项目涉及资格条件、交易需求、评分办法及交易过程中有关现场考察或开标前答疑会事项由交易发起人进行答复。</w:t>
            </w:r>
          </w:p>
          <w:p w14:paraId="608F0373">
            <w:pPr>
              <w:pStyle w:val="35"/>
              <w:spacing w:line="400" w:lineRule="exact"/>
              <w:ind w:hanging="4"/>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涉及流程组织等相关事项，由代理机构进行答复。</w:t>
            </w:r>
          </w:p>
        </w:tc>
      </w:tr>
      <w:tr w14:paraId="05C2B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C15941A">
            <w:pPr>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F28EF74">
            <w:pPr>
              <w:snapToGrid w:val="0"/>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5C8856B5">
            <w:pPr>
              <w:spacing w:line="400" w:lineRule="exact"/>
              <w:rPr>
                <w:rFonts w:ascii="宋体" w:hAnsi="宋体" w:cs="宋体"/>
                <w:snapToGrid w:val="0"/>
                <w:color w:val="000000" w:themeColor="text1"/>
                <w:kern w:val="28"/>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本项目通用总则条款与前附表等专用特别规定有冲突之处，以专用条款（特别规定）为准。</w:t>
            </w:r>
          </w:p>
        </w:tc>
      </w:tr>
    </w:tbl>
    <w:p w14:paraId="5BBD88EF">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9"/>
    <w:p w14:paraId="2D1259FE">
      <w:pPr>
        <w:rPr>
          <w:rFonts w:ascii="宋体" w:hAnsi="宋体" w:cs="宋体"/>
          <w:b/>
          <w:color w:val="000000" w:themeColor="text1"/>
          <w:sz w:val="32"/>
          <w:szCs w:val="20"/>
          <w14:textFill>
            <w14:solidFill>
              <w14:schemeClr w14:val="tx1"/>
            </w14:solidFill>
          </w14:textFill>
        </w:rPr>
      </w:pPr>
      <w:bookmarkStart w:id="12" w:name="_Toc164416483"/>
      <w:bookmarkStart w:id="13" w:name="第三部分"/>
      <w:r>
        <w:rPr>
          <w:rFonts w:hint="eastAsia" w:ascii="宋体" w:hAnsi="宋体" w:cs="宋体"/>
          <w:b/>
          <w:color w:val="000000" w:themeColor="text1"/>
          <w:sz w:val="32"/>
          <w:szCs w:val="20"/>
          <w14:textFill>
            <w14:solidFill>
              <w14:schemeClr w14:val="tx1"/>
            </w14:solidFill>
          </w14:textFill>
        </w:rPr>
        <w:br w:type="page"/>
      </w:r>
    </w:p>
    <w:p w14:paraId="545F0874">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2BBF48FC">
      <w:pPr>
        <w:snapToGrid w:val="0"/>
        <w:spacing w:line="460" w:lineRule="exact"/>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14:paraId="175D5A40">
      <w:pPr>
        <w:snapToGrid w:val="0"/>
        <w:spacing w:line="460" w:lineRule="exact"/>
        <w:ind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本公开竞争文件适用于该项目的交易、响应、评审、资格审查及信用信息查询、评审、定标、合同、验收等行为（法律、法规另有规定的，从其规定）。</w:t>
      </w:r>
    </w:p>
    <w:p w14:paraId="4EF85BD7">
      <w:pPr>
        <w:adjustRightInd/>
        <w:spacing w:line="460" w:lineRule="exact"/>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239D0124">
      <w:pPr>
        <w:spacing w:line="46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2.1“交易发起人”系指交易公告中载明的本项目的交易发起人。</w:t>
      </w:r>
    </w:p>
    <w:p w14:paraId="5D46C584">
      <w:pPr>
        <w:spacing w:line="46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2.2“代理机构”系指交易公告中载明的本项目的代理机构。</w:t>
      </w:r>
    </w:p>
    <w:p w14:paraId="3BB7CA71">
      <w:pPr>
        <w:spacing w:line="46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2.3“响应人”系指响应招标、参加投标竞争的法人、其他组织或者自然人。</w:t>
      </w:r>
    </w:p>
    <w:p w14:paraId="2D7091BC">
      <w:pPr>
        <w:spacing w:line="46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66175FA9">
      <w:pPr>
        <w:spacing w:line="46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50D4C68E">
      <w:pPr>
        <w:spacing w:line="460" w:lineRule="exact"/>
        <w:ind w:firstLine="420" w:firstLineChars="175"/>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2.6“电子交易平台”是指本项目交易活动所依托的乐采云平台（www.lecaiyun.com）。</w:t>
      </w:r>
    </w:p>
    <w:p w14:paraId="64959777">
      <w:pPr>
        <w:spacing w:line="46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系指实质性要求条款，“（</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系指适用本项目的要求，“（  ）”系指不适用本项目的要求。</w:t>
      </w:r>
    </w:p>
    <w:p w14:paraId="38863C70">
      <w:pPr>
        <w:spacing w:line="4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3.异议、投诉</w:t>
      </w:r>
    </w:p>
    <w:p w14:paraId="5B43496C">
      <w:pPr>
        <w:autoSpaceDE w:val="0"/>
        <w:autoSpaceDN w:val="0"/>
        <w:spacing w:line="460" w:lineRule="exact"/>
        <w:ind w:firstLine="420" w:firstLineChars="175"/>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.1响应人异议</w:t>
      </w:r>
    </w:p>
    <w:p w14:paraId="4FC7099B">
      <w:pPr>
        <w:autoSpaceDE w:val="0"/>
        <w:autoSpaceDN w:val="0"/>
        <w:spacing w:line="460" w:lineRule="exact"/>
        <w:ind w:firstLine="420" w:firstLineChars="175"/>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响应人对</w:t>
      </w:r>
      <w:r>
        <w:rPr>
          <w:rFonts w:hint="eastAsia" w:ascii="宋体" w:hAnsi="宋体" w:cs="宋体"/>
          <w:color w:val="000000" w:themeColor="text1"/>
          <w:kern w:val="0"/>
          <w:sz w:val="24"/>
          <w14:textFill>
            <w14:solidFill>
              <w14:schemeClr w14:val="tx1"/>
            </w14:solidFill>
          </w14:textFill>
        </w:rPr>
        <w:t>交易</w:t>
      </w:r>
      <w:r>
        <w:rPr>
          <w:rFonts w:hint="eastAsia" w:ascii="宋体" w:hAnsi="宋体" w:cs="宋体"/>
          <w:color w:val="000000" w:themeColor="text1"/>
          <w:kern w:val="0"/>
          <w:sz w:val="24"/>
          <w:lang w:val="zh-CN"/>
          <w14:textFill>
            <w14:solidFill>
              <w14:schemeClr w14:val="tx1"/>
            </w14:solidFill>
          </w14:textFill>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45DF3130">
      <w:pPr>
        <w:autoSpaceDE w:val="0"/>
        <w:autoSpaceDN w:val="0"/>
        <w:spacing w:line="460" w:lineRule="exact"/>
        <w:ind w:firstLine="420" w:firstLineChars="175"/>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.2响应人异议</w:t>
      </w:r>
    </w:p>
    <w:p w14:paraId="5B1AA06E">
      <w:pPr>
        <w:pStyle w:val="35"/>
        <w:spacing w:line="460" w:lineRule="exact"/>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sz w:val="24"/>
          <w14:textFill>
            <w14:solidFill>
              <w14:schemeClr w14:val="tx1"/>
            </w14:solidFill>
          </w14:textFill>
        </w:rPr>
        <w:t>.1提出</w:t>
      </w:r>
      <w:r>
        <w:rPr>
          <w:rFonts w:hint="eastAsia" w:hAnsi="宋体" w:cs="宋体"/>
          <w:color w:val="000000" w:themeColor="text1"/>
          <w:kern w:val="0"/>
          <w:sz w:val="24"/>
          <w:lang w:val="zh-CN"/>
          <w14:textFill>
            <w14:solidFill>
              <w14:schemeClr w14:val="tx1"/>
            </w14:solidFill>
          </w14:textFill>
        </w:rPr>
        <w:t>异议</w:t>
      </w:r>
      <w:r>
        <w:rPr>
          <w:rFonts w:hint="eastAsia" w:hAnsi="宋体" w:cs="宋体"/>
          <w:color w:val="000000" w:themeColor="text1"/>
          <w:sz w:val="24"/>
          <w14:textFill>
            <w14:solidFill>
              <w14:schemeClr w14:val="tx1"/>
            </w14:solidFill>
          </w14:textFill>
        </w:rPr>
        <w:t>的响应人应当是参与所质</w:t>
      </w:r>
      <w:r>
        <w:rPr>
          <w:rFonts w:hint="eastAsia" w:hAnsi="宋体" w:cs="宋体"/>
          <w:color w:val="000000" w:themeColor="text1"/>
          <w:kern w:val="0"/>
          <w:sz w:val="24"/>
          <w:lang w:val="zh-CN"/>
          <w14:textFill>
            <w14:solidFill>
              <w14:schemeClr w14:val="tx1"/>
            </w14:solidFill>
          </w14:textFill>
        </w:rPr>
        <w:t>异议</w:t>
      </w:r>
      <w:r>
        <w:rPr>
          <w:rFonts w:hint="eastAsia" w:hAnsi="宋体" w:cs="宋体"/>
          <w:color w:val="000000" w:themeColor="text1"/>
          <w:sz w:val="24"/>
          <w14:textFill>
            <w14:solidFill>
              <w14:schemeClr w14:val="tx1"/>
            </w14:solidFill>
          </w14:textFill>
        </w:rPr>
        <w:t>项目交易活动的响应人。潜在响应人已依法获取其可</w:t>
      </w:r>
      <w:r>
        <w:rPr>
          <w:rFonts w:hint="eastAsia" w:hAnsi="宋体" w:cs="宋体"/>
          <w:color w:val="000000" w:themeColor="text1"/>
          <w:kern w:val="0"/>
          <w:sz w:val="24"/>
          <w:lang w:val="zh-CN"/>
          <w14:textFill>
            <w14:solidFill>
              <w14:schemeClr w14:val="tx1"/>
            </w14:solidFill>
          </w14:textFill>
        </w:rPr>
        <w:t>异议</w:t>
      </w:r>
      <w:r>
        <w:rPr>
          <w:rFonts w:hint="eastAsia" w:hAnsi="宋体" w:cs="宋体"/>
          <w:color w:val="000000" w:themeColor="text1"/>
          <w:sz w:val="24"/>
          <w14:textFill>
            <w14:solidFill>
              <w14:schemeClr w14:val="tx1"/>
            </w14:solidFill>
          </w14:textFill>
        </w:rPr>
        <w:t>的公开竞争文件的，可以对该文件提出</w:t>
      </w:r>
      <w:r>
        <w:rPr>
          <w:rFonts w:hint="eastAsia" w:hAnsi="宋体" w:cs="宋体"/>
          <w:color w:val="000000" w:themeColor="text1"/>
          <w:kern w:val="0"/>
          <w:sz w:val="24"/>
          <w:lang w:val="zh-CN"/>
          <w14:textFill>
            <w14:solidFill>
              <w14:schemeClr w14:val="tx1"/>
            </w14:solidFill>
          </w14:textFill>
        </w:rPr>
        <w:t>异议</w:t>
      </w:r>
      <w:r>
        <w:rPr>
          <w:rFonts w:hint="eastAsia" w:hAnsi="宋体" w:cs="宋体"/>
          <w:color w:val="000000" w:themeColor="text1"/>
          <w:sz w:val="24"/>
          <w14:textFill>
            <w14:solidFill>
              <w14:schemeClr w14:val="tx1"/>
            </w14:solidFill>
          </w14:textFill>
        </w:rPr>
        <w:t>。</w:t>
      </w:r>
    </w:p>
    <w:p w14:paraId="0CC36D8F">
      <w:pPr>
        <w:pStyle w:val="35"/>
        <w:spacing w:line="460" w:lineRule="exact"/>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sz w:val="24"/>
          <w14:textFill>
            <w14:solidFill>
              <w14:schemeClr w14:val="tx1"/>
            </w14:solidFill>
          </w14:textFill>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000000" w:themeColor="text1"/>
          <w:kern w:val="0"/>
          <w:sz w:val="24"/>
          <w:lang w:val="zh-CN"/>
          <w14:textFill>
            <w14:solidFill>
              <w14:schemeClr w14:val="tx1"/>
            </w14:solidFill>
          </w14:textFill>
        </w:rPr>
        <w:t>异议</w:t>
      </w:r>
      <w:r>
        <w:rPr>
          <w:rFonts w:hint="eastAsia" w:hAnsi="宋体" w:cs="宋体"/>
          <w:color w:val="000000" w:themeColor="text1"/>
          <w:sz w:val="24"/>
          <w14:textFill>
            <w14:solidFill>
              <w14:schemeClr w14:val="tx1"/>
            </w14:solidFill>
          </w14:textFill>
        </w:rPr>
        <w:t>，否则，交易发起人或者代理机构不予受理：</w:t>
      </w:r>
    </w:p>
    <w:p w14:paraId="7C580461">
      <w:pPr>
        <w:pStyle w:val="35"/>
        <w:spacing w:line="460" w:lineRule="exact"/>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3.2.2.1对交易过程提出</w:t>
      </w:r>
      <w:r>
        <w:rPr>
          <w:rFonts w:hint="eastAsia" w:hAnsi="宋体" w:cs="宋体"/>
          <w:color w:val="000000" w:themeColor="text1"/>
          <w:kern w:val="0"/>
          <w:sz w:val="24"/>
          <w:lang w:val="zh-CN"/>
          <w14:textFill>
            <w14:solidFill>
              <w14:schemeClr w14:val="tx1"/>
            </w14:solidFill>
          </w14:textFill>
        </w:rPr>
        <w:t>异议</w:t>
      </w:r>
      <w:r>
        <w:rPr>
          <w:rFonts w:hint="eastAsia" w:hAnsi="宋体" w:cs="宋体"/>
          <w:color w:val="000000" w:themeColor="text1"/>
          <w:sz w:val="24"/>
          <w14:textFill>
            <w14:solidFill>
              <w14:schemeClr w14:val="tx1"/>
            </w14:solidFill>
          </w14:textFill>
        </w:rPr>
        <w:t>的，</w:t>
      </w:r>
      <w:r>
        <w:rPr>
          <w:rFonts w:hint="eastAsia" w:hAnsi="宋体" w:cs="宋体"/>
          <w:color w:val="000000" w:themeColor="text1"/>
          <w:kern w:val="0"/>
          <w:sz w:val="24"/>
          <w:lang w:val="zh-CN"/>
          <w14:textFill>
            <w14:solidFill>
              <w14:schemeClr w14:val="tx1"/>
            </w14:solidFill>
          </w14:textFill>
        </w:rPr>
        <w:t>异议</w:t>
      </w:r>
      <w:r>
        <w:rPr>
          <w:rFonts w:hint="eastAsia" w:hAnsi="宋体" w:cs="宋体"/>
          <w:color w:val="000000" w:themeColor="text1"/>
          <w:sz w:val="24"/>
          <w14:textFill>
            <w14:solidFill>
              <w14:schemeClr w14:val="tx1"/>
            </w14:solidFill>
          </w14:textFill>
        </w:rPr>
        <w:t>期限为各交易程序环节结束之日起计算。对同一交易程序环节的</w:t>
      </w:r>
      <w:r>
        <w:rPr>
          <w:rFonts w:hint="eastAsia" w:hAnsi="宋体" w:cs="宋体"/>
          <w:color w:val="000000" w:themeColor="text1"/>
          <w:kern w:val="0"/>
          <w:sz w:val="24"/>
          <w:lang w:val="zh-CN"/>
          <w14:textFill>
            <w14:solidFill>
              <w14:schemeClr w14:val="tx1"/>
            </w14:solidFill>
          </w14:textFill>
        </w:rPr>
        <w:t>异议</w:t>
      </w:r>
      <w:r>
        <w:rPr>
          <w:rFonts w:hint="eastAsia" w:hAnsi="宋体" w:cs="宋体"/>
          <w:color w:val="000000" w:themeColor="text1"/>
          <w:sz w:val="24"/>
          <w14:textFill>
            <w14:solidFill>
              <w14:schemeClr w14:val="tx1"/>
            </w14:solidFill>
          </w14:textFill>
        </w:rPr>
        <w:t>，响应人须一次性提出。</w:t>
      </w:r>
    </w:p>
    <w:p w14:paraId="3D5A9D6E">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w:t>
      </w:r>
      <w:r>
        <w:rPr>
          <w:rFonts w:hint="eastAsia" w:hAnsi="宋体" w:cs="宋体"/>
          <w:color w:val="000000" w:themeColor="text1"/>
          <w:sz w:val="24"/>
          <w14:textFill>
            <w14:solidFill>
              <w14:schemeClr w14:val="tx1"/>
            </w14:solidFill>
          </w14:textFill>
        </w:rPr>
        <w:t>响应人提出</w:t>
      </w:r>
      <w:r>
        <w:rPr>
          <w:rFonts w:hint="eastAsia" w:hAnsi="宋体" w:cs="宋体"/>
          <w:color w:val="000000" w:themeColor="text1"/>
          <w:kern w:val="0"/>
          <w:sz w:val="24"/>
          <w:lang w:val="zh-CN"/>
          <w14:textFill>
            <w14:solidFill>
              <w14:schemeClr w14:val="tx1"/>
            </w14:solidFill>
          </w14:textFill>
        </w:rPr>
        <w:t>异议</w:t>
      </w:r>
      <w:r>
        <w:rPr>
          <w:rFonts w:hint="eastAsia" w:hAnsi="宋体" w:cs="宋体"/>
          <w:color w:val="000000" w:themeColor="text1"/>
          <w:sz w:val="24"/>
          <w14:textFill>
            <w14:solidFill>
              <w14:schemeClr w14:val="tx1"/>
            </w14:solidFill>
          </w14:textFill>
        </w:rPr>
        <w:t>应当提交</w:t>
      </w:r>
      <w:r>
        <w:rPr>
          <w:rFonts w:hint="eastAsia" w:hAnsi="宋体" w:cs="宋体"/>
          <w:color w:val="000000" w:themeColor="text1"/>
          <w:kern w:val="0"/>
          <w:sz w:val="24"/>
          <w:lang w:val="zh-CN"/>
          <w14:textFill>
            <w14:solidFill>
              <w14:schemeClr w14:val="tx1"/>
            </w14:solidFill>
          </w14:textFill>
        </w:rPr>
        <w:t>异议</w:t>
      </w:r>
      <w:r>
        <w:rPr>
          <w:rFonts w:hint="eastAsia" w:hAnsi="宋体" w:cs="宋体"/>
          <w:color w:val="000000" w:themeColor="text1"/>
          <w:sz w:val="24"/>
          <w14:textFill>
            <w14:solidFill>
              <w14:schemeClr w14:val="tx1"/>
            </w14:solidFill>
          </w14:textFill>
        </w:rPr>
        <w:t>函和必要的证明材料。</w:t>
      </w:r>
      <w:r>
        <w:rPr>
          <w:rFonts w:hint="eastAsia" w:hAnsi="宋体" w:cs="宋体"/>
          <w:color w:val="000000" w:themeColor="text1"/>
          <w:kern w:val="0"/>
          <w:sz w:val="24"/>
          <w:lang w:val="zh-CN"/>
          <w14:textFill>
            <w14:solidFill>
              <w14:schemeClr w14:val="tx1"/>
            </w14:solidFill>
          </w14:textFill>
        </w:rPr>
        <w:t>异议</w:t>
      </w:r>
      <w:r>
        <w:rPr>
          <w:rFonts w:hint="eastAsia" w:hAnsi="宋体" w:cs="宋体"/>
          <w:color w:val="000000" w:themeColor="text1"/>
          <w:sz w:val="24"/>
          <w14:textFill>
            <w14:solidFill>
              <w14:schemeClr w14:val="tx1"/>
            </w14:solidFill>
          </w14:textFill>
        </w:rPr>
        <w:t>函应当包括下列内容：</w:t>
      </w:r>
    </w:p>
    <w:p w14:paraId="1111388E">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.2.3.1响应人的姓名或者名称、地址、邮编、联系人及联系电话；</w:t>
      </w:r>
    </w:p>
    <w:p w14:paraId="539C9552">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.2.3.2异议项目的名称、编号；</w:t>
      </w:r>
    </w:p>
    <w:p w14:paraId="57806C67">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.2.3.3具体、明确的异议事项和与异议事项相关的请求；</w:t>
      </w:r>
    </w:p>
    <w:p w14:paraId="14E5FDA7">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.2.3.4事实依据；</w:t>
      </w:r>
    </w:p>
    <w:p w14:paraId="44F46B7F">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.2.3.5必要的法律依据；</w:t>
      </w:r>
    </w:p>
    <w:p w14:paraId="77C2ED23">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.2.3.6提出异议的日期。</w:t>
      </w:r>
    </w:p>
    <w:p w14:paraId="4C5DB544">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响应人提交的异议函需一式三份。响应人为自然人的，应当由本人签字；响应人为法人或者其他组织的，应当由法定代表人、主要负责人，或者其授权代表签字或者盖章，并加盖公章。</w:t>
      </w:r>
    </w:p>
    <w:p w14:paraId="038F1423">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异议函范本及制作说明详见附件</w:t>
      </w:r>
      <w:r>
        <w:rPr>
          <w:rFonts w:hint="eastAsia" w:hAnsi="宋体" w:cs="宋体"/>
          <w:color w:val="000000" w:themeColor="text1"/>
          <w:kern w:val="0"/>
          <w:sz w:val="24"/>
          <w14:textFill>
            <w14:solidFill>
              <w14:schemeClr w14:val="tx1"/>
            </w14:solidFill>
          </w14:textFill>
        </w:rPr>
        <w:t>1</w:t>
      </w:r>
      <w:r>
        <w:rPr>
          <w:rFonts w:hint="eastAsia" w:hAnsi="宋体" w:cs="宋体"/>
          <w:color w:val="000000" w:themeColor="text1"/>
          <w:kern w:val="0"/>
          <w:sz w:val="24"/>
          <w:lang w:val="zh-CN"/>
          <w14:textFill>
            <w14:solidFill>
              <w14:schemeClr w14:val="tx1"/>
            </w14:solidFill>
          </w14:textFill>
        </w:rPr>
        <w:t>。</w:t>
      </w:r>
    </w:p>
    <w:p w14:paraId="6C5A65B9">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.2.4交易发起人或者代理机构应当在收到响应人的书面异议后</w:t>
      </w: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日内作出答复，并以书面形式通知异议响应人和其他与异议处理结果有利害关系的交易当事人，但答复的内容不得涉及商业秘密。</w:t>
      </w:r>
    </w:p>
    <w:p w14:paraId="7B13EAB5">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.2.5询问或者异议事项可能影响</w:t>
      </w:r>
      <w:r>
        <w:rPr>
          <w:rFonts w:hint="eastAsia" w:hAnsi="宋体" w:cs="宋体"/>
          <w:color w:val="000000" w:themeColor="text1"/>
          <w:kern w:val="0"/>
          <w:sz w:val="24"/>
          <w14:textFill>
            <w14:solidFill>
              <w14:schemeClr w14:val="tx1"/>
            </w14:solidFill>
          </w14:textFill>
        </w:rPr>
        <w:t>交易</w:t>
      </w:r>
      <w:r>
        <w:rPr>
          <w:rFonts w:hint="eastAsia" w:hAnsi="宋体" w:cs="宋体"/>
          <w:color w:val="000000" w:themeColor="text1"/>
          <w:kern w:val="0"/>
          <w:sz w:val="24"/>
          <w:lang w:val="zh-CN"/>
          <w14:textFill>
            <w14:solidFill>
              <w14:schemeClr w14:val="tx1"/>
            </w14:solidFill>
          </w14:textFill>
        </w:rPr>
        <w:t>结果的，交易发起人应当暂停签订合同，已经签订合同的，应当中止履行合同。</w:t>
      </w:r>
    </w:p>
    <w:p w14:paraId="7557B336">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.3响应人投诉</w:t>
      </w:r>
    </w:p>
    <w:p w14:paraId="7409FB3C">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.3.1异议响应人对交易发起人、代理机构的答复不满意或者交易发起人、代理机构未在规定的时间内作出答复的，可以在答复期满后</w:t>
      </w:r>
      <w:r>
        <w:rPr>
          <w:rFonts w:hint="eastAsia" w:hAnsi="宋体" w:cs="宋体"/>
          <w:color w:val="000000" w:themeColor="text1"/>
          <w:kern w:val="0"/>
          <w:sz w:val="24"/>
          <w14:textFill>
            <w14:solidFill>
              <w14:schemeClr w14:val="tx1"/>
            </w14:solidFill>
          </w14:textFill>
        </w:rPr>
        <w:t>10</w:t>
      </w:r>
      <w:r>
        <w:rPr>
          <w:rFonts w:hint="eastAsia" w:hAnsi="宋体" w:cs="宋体"/>
          <w:color w:val="000000" w:themeColor="text1"/>
          <w:kern w:val="0"/>
          <w:sz w:val="24"/>
          <w:lang w:val="zh-CN"/>
          <w14:textFill>
            <w14:solidFill>
              <w14:schemeClr w14:val="tx1"/>
            </w14:solidFill>
          </w14:textFill>
        </w:rPr>
        <w:t>日内向基层监督机构部门提出投诉。</w:t>
      </w:r>
    </w:p>
    <w:p w14:paraId="1CABD2AE">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.3.2响应人投诉的事项不得超出已异议事项的范围，基于异议答复内容提出的投诉事项除外。</w:t>
      </w:r>
    </w:p>
    <w:p w14:paraId="390545DC">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.3.3响应人投诉应当有明确的请求和必要的证明材料。</w:t>
      </w:r>
    </w:p>
    <w:p w14:paraId="6904D042">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3</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以联合体形式参加交易活动的，其投诉应当由组成联合体的所有响应人共同提出。</w:t>
      </w:r>
    </w:p>
    <w:p w14:paraId="17215FC5">
      <w:pPr>
        <w:pStyle w:val="35"/>
        <w:spacing w:line="460" w:lineRule="exact"/>
        <w:ind w:firstLine="420" w:firstLineChars="175"/>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投诉书范本及制作说明详见附件</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w:t>
      </w:r>
    </w:p>
    <w:p w14:paraId="5EC9D64D">
      <w:pPr>
        <w:pStyle w:val="140"/>
        <w:snapToGrid w:val="0"/>
        <w:spacing w:before="0" w:line="460" w:lineRule="exact"/>
        <w:ind w:firstLine="360"/>
        <w:rPr>
          <w:rFonts w:ascii="宋体" w:hAnsi="宋体" w:cs="宋体"/>
          <w:color w:val="000000" w:themeColor="text1"/>
          <w:sz w:val="18"/>
          <w:szCs w:val="18"/>
          <w14:textFill>
            <w14:solidFill>
              <w14:schemeClr w14:val="tx1"/>
            </w14:solidFill>
          </w14:textFill>
        </w:rPr>
      </w:pPr>
    </w:p>
    <w:p w14:paraId="714625EB">
      <w:pPr>
        <w:adjustRightInd/>
        <w:spacing w:line="460" w:lineRule="exact"/>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二、公开竞争文件的构成、澄清、修改</w:t>
      </w:r>
    </w:p>
    <w:p w14:paraId="48F57DD4">
      <w:pPr>
        <w:pStyle w:val="35"/>
        <w:spacing w:line="46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4．公开竞争文件的构成</w:t>
      </w:r>
    </w:p>
    <w:p w14:paraId="303B9467">
      <w:pPr>
        <w:pStyle w:val="35"/>
        <w:spacing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4.1公开竞争文件包括下列文件及附件：</w:t>
      </w:r>
    </w:p>
    <w:p w14:paraId="5CBE26BB">
      <w:pPr>
        <w:pStyle w:val="35"/>
        <w:tabs>
          <w:tab w:val="left" w:pos="840"/>
        </w:tabs>
        <w:spacing w:line="460" w:lineRule="exact"/>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4.1.1交易公告；</w:t>
      </w:r>
    </w:p>
    <w:p w14:paraId="1B75DBDC">
      <w:pPr>
        <w:pStyle w:val="35"/>
        <w:tabs>
          <w:tab w:val="left" w:pos="840"/>
        </w:tabs>
        <w:spacing w:line="460" w:lineRule="exact"/>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4.1.2响应人须知；</w:t>
      </w:r>
    </w:p>
    <w:p w14:paraId="3B17691C">
      <w:pPr>
        <w:pStyle w:val="35"/>
        <w:tabs>
          <w:tab w:val="left" w:pos="840"/>
        </w:tabs>
        <w:spacing w:line="460" w:lineRule="exact"/>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4.1.3交易需求；</w:t>
      </w:r>
    </w:p>
    <w:p w14:paraId="12DFF3C2">
      <w:pPr>
        <w:pStyle w:val="35"/>
        <w:tabs>
          <w:tab w:val="left" w:pos="840"/>
        </w:tabs>
        <w:spacing w:line="460" w:lineRule="exact"/>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4.1.4交易办法；</w:t>
      </w:r>
    </w:p>
    <w:p w14:paraId="008EA0D4">
      <w:pPr>
        <w:pStyle w:val="35"/>
        <w:tabs>
          <w:tab w:val="left" w:pos="840"/>
        </w:tabs>
        <w:spacing w:line="460" w:lineRule="exact"/>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4.1.5拟签订的合同文本；</w:t>
      </w:r>
    </w:p>
    <w:p w14:paraId="38296E1D">
      <w:pPr>
        <w:pStyle w:val="35"/>
        <w:tabs>
          <w:tab w:val="left" w:pos="840"/>
        </w:tabs>
        <w:spacing w:line="460" w:lineRule="exact"/>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4.1.6</w:t>
      </w:r>
      <w:r>
        <w:rPr>
          <w:rFonts w:hint="eastAsia" w:hAnsi="宋体" w:cs="宋体"/>
          <w:color w:val="000000" w:themeColor="text1"/>
          <w:sz w:val="24"/>
          <w:szCs w:val="24"/>
          <w14:textFill>
            <w14:solidFill>
              <w14:schemeClr w14:val="tx1"/>
            </w14:solidFill>
          </w14:textFill>
        </w:rPr>
        <w:t>应提交的有关格式范例。</w:t>
      </w:r>
    </w:p>
    <w:p w14:paraId="36602B55">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4.2与本项目有关的</w:t>
      </w:r>
      <w:r>
        <w:rPr>
          <w:rFonts w:hint="eastAsia" w:ascii="宋体" w:hAnsi="宋体" w:cs="宋体"/>
          <w:bCs/>
          <w:color w:val="000000" w:themeColor="text1"/>
          <w:sz w:val="24"/>
          <w14:textFill>
            <w14:solidFill>
              <w14:schemeClr w14:val="tx1"/>
            </w14:solidFill>
          </w14:textFill>
        </w:rPr>
        <w:t>澄清或者修改的内容为公开竞争文件的组成部分</w:t>
      </w:r>
      <w:r>
        <w:rPr>
          <w:rFonts w:hint="eastAsia" w:ascii="宋体" w:hAnsi="宋体" w:cs="宋体"/>
          <w:color w:val="000000" w:themeColor="text1"/>
          <w:sz w:val="24"/>
          <w14:textFill>
            <w14:solidFill>
              <w14:schemeClr w14:val="tx1"/>
            </w14:solidFill>
          </w14:textFill>
        </w:rPr>
        <w:t>。</w:t>
      </w:r>
    </w:p>
    <w:p w14:paraId="76B48522">
      <w:pPr>
        <w:pStyle w:val="35"/>
        <w:spacing w:line="46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5.公开竞争文件的澄清、修改</w:t>
      </w:r>
    </w:p>
    <w:p w14:paraId="05FF39DB">
      <w:pPr>
        <w:pStyle w:val="140"/>
        <w:snapToGrid w:val="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5.1已获取公开竞争文件的潜在响应人，若有问题需要澄清，应于响应截止时间前，以书面形式向代理机构提出。</w:t>
      </w:r>
    </w:p>
    <w:p w14:paraId="39A2C234">
      <w:pPr>
        <w:pStyle w:val="140"/>
        <w:snapToGrid w:val="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11BE3890">
      <w:pPr>
        <w:adjustRightInd/>
        <w:spacing w:line="460" w:lineRule="exact"/>
        <w:jc w:val="center"/>
        <w:outlineLvl w:val="0"/>
        <w:rPr>
          <w:rFonts w:ascii="宋体" w:hAnsi="宋体" w:cs="宋体"/>
          <w:b/>
          <w:color w:val="000000" w:themeColor="text1"/>
          <w:sz w:val="30"/>
          <w:szCs w:val="20"/>
          <w14:textFill>
            <w14:solidFill>
              <w14:schemeClr w14:val="tx1"/>
            </w14:solidFill>
          </w14:textFill>
        </w:rPr>
      </w:pPr>
    </w:p>
    <w:p w14:paraId="1B99138A">
      <w:pPr>
        <w:adjustRightInd/>
        <w:spacing w:line="460" w:lineRule="exact"/>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三、响应</w:t>
      </w:r>
    </w:p>
    <w:p w14:paraId="0E2AE215">
      <w:pPr>
        <w:pStyle w:val="35"/>
        <w:spacing w:line="46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6.公开竞争文件的获取</w:t>
      </w:r>
    </w:p>
    <w:p w14:paraId="1644D0F5">
      <w:pPr>
        <w:spacing w:line="460" w:lineRule="exact"/>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详见交易公告中获取公开竞争文件的时间期限、地点、方式及公开竞争文件售价。</w:t>
      </w:r>
    </w:p>
    <w:p w14:paraId="1B8C5F84">
      <w:pPr>
        <w:pStyle w:val="35"/>
        <w:spacing w:line="46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7.交易前答疑会或现场考察</w:t>
      </w:r>
    </w:p>
    <w:p w14:paraId="6B93DC39">
      <w:pPr>
        <w:pStyle w:val="35"/>
        <w:spacing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本项目不组织交易前答疑会或现场考察。</w:t>
      </w:r>
    </w:p>
    <w:p w14:paraId="18EB6A6C">
      <w:pPr>
        <w:pStyle w:val="35"/>
        <w:spacing w:line="460" w:lineRule="exact"/>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8.交易保证金</w:t>
      </w:r>
    </w:p>
    <w:p w14:paraId="2F344F27">
      <w:pPr>
        <w:pStyle w:val="16"/>
        <w:spacing w:line="46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本项目不需缴纳交易保证金。</w:t>
      </w:r>
    </w:p>
    <w:p w14:paraId="2C172CF6">
      <w:pPr>
        <w:pStyle w:val="35"/>
        <w:spacing w:line="46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9.响应文件的语言</w:t>
      </w:r>
    </w:p>
    <w:p w14:paraId="2E9A9006">
      <w:pPr>
        <w:autoSpaceDE w:val="0"/>
        <w:autoSpaceDN w:val="0"/>
        <w:spacing w:line="46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响应文件及响应人与交易有关的来往通知、函件和文件均应使用中文。</w:t>
      </w:r>
    </w:p>
    <w:p w14:paraId="56B358FB">
      <w:pPr>
        <w:pStyle w:val="35"/>
        <w:spacing w:line="46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10.响应文件的组成</w:t>
      </w:r>
    </w:p>
    <w:p w14:paraId="47677CD7">
      <w:pPr>
        <w:snapToGrid w:val="0"/>
        <w:spacing w:line="4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10.1资格文件：</w:t>
      </w:r>
    </w:p>
    <w:p w14:paraId="78D65A6F">
      <w:pPr>
        <w:snapToGrid w:val="0"/>
        <w:spacing w:line="46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10.1.1符合参加交易活动应当具备的一般条件的承诺函；</w:t>
      </w:r>
    </w:p>
    <w:p w14:paraId="3330FA5C">
      <w:pPr>
        <w:snapToGrid w:val="0"/>
        <w:spacing w:line="46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10.1.2本项目的特定资格要求。</w:t>
      </w:r>
    </w:p>
    <w:p w14:paraId="73B92E1E">
      <w:pPr>
        <w:snapToGrid w:val="0"/>
        <w:spacing w:line="460" w:lineRule="exact"/>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0</w:t>
      </w:r>
      <w:r>
        <w:rPr>
          <w:rFonts w:hint="eastAsia" w:ascii="宋体" w:hAnsi="宋体" w:cs="宋体"/>
          <w:b/>
          <w:bCs/>
          <w:color w:val="000000" w:themeColor="text1"/>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2商务技术</w:t>
      </w:r>
      <w:r>
        <w:rPr>
          <w:rFonts w:hint="eastAsia" w:ascii="宋体" w:hAnsi="宋体" w:cs="宋体"/>
          <w:b/>
          <w:bCs/>
          <w:color w:val="000000" w:themeColor="text1"/>
          <w:sz w:val="24"/>
          <w:lang w:val="zh-CN"/>
          <w14:textFill>
            <w14:solidFill>
              <w14:schemeClr w14:val="tx1"/>
            </w14:solidFill>
          </w14:textFill>
        </w:rPr>
        <w:t>文件：</w:t>
      </w:r>
    </w:p>
    <w:p w14:paraId="1FF127B1">
      <w:pPr>
        <w:snapToGrid w:val="0"/>
        <w:spacing w:line="46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10.2.1交易函；</w:t>
      </w:r>
    </w:p>
    <w:p w14:paraId="2C645011">
      <w:pPr>
        <w:snapToGrid w:val="0"/>
        <w:spacing w:line="46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10.2.2授权委托书或法定代表人（单位负责人、自然人本人）身份证明；</w:t>
      </w:r>
    </w:p>
    <w:p w14:paraId="3A0A3149">
      <w:pPr>
        <w:snapToGrid w:val="0"/>
        <w:spacing w:line="46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10.2.3营业执照；</w:t>
      </w:r>
    </w:p>
    <w:p w14:paraId="3FFB74D4">
      <w:pPr>
        <w:snapToGrid w:val="0"/>
        <w:spacing w:line="46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10.2.4符合性审查资料；</w:t>
      </w:r>
    </w:p>
    <w:p w14:paraId="78FD86EC">
      <w:pPr>
        <w:snapToGrid w:val="0"/>
        <w:spacing w:line="46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10.2.5评审标准相应的商务技术资料；</w:t>
      </w:r>
    </w:p>
    <w:p w14:paraId="179EA4FE">
      <w:pPr>
        <w:snapToGrid w:val="0"/>
        <w:spacing w:line="46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10.2.6商务技术偏离表；</w:t>
      </w:r>
    </w:p>
    <w:p w14:paraId="0B7A2FAB">
      <w:pPr>
        <w:snapToGrid w:val="0"/>
        <w:spacing w:line="46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10.2.7</w:t>
      </w:r>
      <w:r>
        <w:rPr>
          <w:rFonts w:hint="eastAsia" w:ascii="宋体" w:hAnsi="宋体" w:cs="宋体"/>
          <w:color w:val="000000" w:themeColor="text1"/>
          <w:sz w:val="24"/>
          <w:lang w:val="zh-CN"/>
          <w14:textFill>
            <w14:solidFill>
              <w14:schemeClr w14:val="tx1"/>
            </w14:solidFill>
          </w14:textFill>
        </w:rPr>
        <w:t>响应人廉洁自律承诺书。</w:t>
      </w:r>
    </w:p>
    <w:p w14:paraId="695A19CD">
      <w:pPr>
        <w:snapToGrid w:val="0"/>
        <w:spacing w:line="460" w:lineRule="exact"/>
        <w:ind w:firstLine="482" w:firstLineChars="200"/>
        <w:rPr>
          <w:rFonts w:ascii="宋体" w:hAnsi="宋体" w:cs="宋体"/>
          <w:b/>
          <w:bCs/>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w:t>
      </w:r>
      <w:r>
        <w:rPr>
          <w:rFonts w:hint="eastAsia" w:ascii="宋体" w:hAnsi="宋体" w:cs="宋体"/>
          <w:b/>
          <w:bCs/>
          <w:color w:val="000000" w:themeColor="text1"/>
          <w:kern w:val="0"/>
          <w:sz w:val="24"/>
          <w14:textFill>
            <w14:solidFill>
              <w14:schemeClr w14:val="tx1"/>
            </w14:solidFill>
          </w14:textFill>
        </w:rPr>
        <w:t>0</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报价文件：</w:t>
      </w:r>
    </w:p>
    <w:p w14:paraId="166E7BD0">
      <w:pPr>
        <w:snapToGrid w:val="0"/>
        <w:spacing w:line="46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10.3.1交易一览表（报价表）。</w:t>
      </w:r>
    </w:p>
    <w:p w14:paraId="171F54BC">
      <w:pPr>
        <w:spacing w:line="460" w:lineRule="exact"/>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响应文件含有交易发起人不能接受的附加条件的，交易无效；</w:t>
      </w:r>
    </w:p>
    <w:p w14:paraId="159FB3AF">
      <w:pPr>
        <w:spacing w:line="460" w:lineRule="exact"/>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响应人提供虚假材料投标的，交易无效。</w:t>
      </w:r>
    </w:p>
    <w:p w14:paraId="1B53C952">
      <w:pPr>
        <w:pStyle w:val="140"/>
        <w:snapToGrid w:val="0"/>
        <w:spacing w:before="0" w:line="460" w:lineRule="exact"/>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11</w:t>
      </w:r>
      <w:r>
        <w:rPr>
          <w:rFonts w:hint="eastAsia" w:ascii="宋体" w:hAnsi="宋体" w:cs="宋体"/>
          <w:b/>
          <w:color w:val="000000" w:themeColor="text1"/>
          <w:kern w:val="0"/>
          <w:szCs w:val="24"/>
          <w:lang w:val="zh-CN"/>
          <w14:textFill>
            <w14:solidFill>
              <w14:schemeClr w14:val="tx1"/>
            </w14:solidFill>
          </w14:textFill>
        </w:rPr>
        <w:t>.</w:t>
      </w:r>
      <w:r>
        <w:rPr>
          <w:rFonts w:hint="eastAsia" w:ascii="宋体" w:hAnsi="宋体" w:cs="宋体"/>
          <w:b/>
          <w:color w:val="000000" w:themeColor="text1"/>
          <w:szCs w:val="24"/>
          <w14:textFill>
            <w14:solidFill>
              <w14:schemeClr w14:val="tx1"/>
            </w14:solidFill>
          </w14:textFill>
        </w:rPr>
        <w:t>响应文件的编制</w:t>
      </w:r>
    </w:p>
    <w:p w14:paraId="70D4F425">
      <w:pPr>
        <w:spacing w:line="46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1CA9050D">
      <w:pPr>
        <w:spacing w:line="460" w:lineRule="exact"/>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.2响应人进行电子投标应安装客户端软件—“</w:t>
      </w:r>
      <w:r>
        <w:rPr>
          <w:rFonts w:hint="eastAsia" w:ascii="宋体" w:hAnsi="宋体" w:cs="宋体"/>
          <w:color w:val="000000" w:themeColor="text1"/>
          <w:kern w:val="0"/>
          <w:sz w:val="24"/>
          <w14:textFill>
            <w14:solidFill>
              <w14:schemeClr w14:val="tx1"/>
            </w14:solidFill>
          </w14:textFill>
        </w:rPr>
        <w:t>乐采</w:t>
      </w:r>
      <w:r>
        <w:rPr>
          <w:rFonts w:hint="eastAsia" w:ascii="宋体" w:hAnsi="宋体" w:cs="宋体"/>
          <w:color w:val="000000" w:themeColor="text1"/>
          <w:kern w:val="0"/>
          <w:sz w:val="24"/>
          <w:lang w:val="zh-CN"/>
          <w14:textFill>
            <w14:solidFill>
              <w14:schemeClr w14:val="tx1"/>
            </w14:solidFill>
          </w14:textFill>
        </w:rPr>
        <w:t>云电子交易客户端”，并按照公开竞争文件和电子交易平台的要求编制并加密响应文件。响应人未按规定加密的响应文件，电子交易平台将拒收并提示。</w:t>
      </w:r>
    </w:p>
    <w:p w14:paraId="7E4E5958">
      <w:pPr>
        <w:spacing w:line="460" w:lineRule="exact"/>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.3使用“</w:t>
      </w:r>
      <w:r>
        <w:rPr>
          <w:rFonts w:hint="eastAsia" w:ascii="宋体" w:hAnsi="宋体" w:cs="宋体"/>
          <w:color w:val="000000" w:themeColor="text1"/>
          <w:kern w:val="0"/>
          <w:sz w:val="24"/>
          <w14:textFill>
            <w14:solidFill>
              <w14:schemeClr w14:val="tx1"/>
            </w14:solidFill>
          </w14:textFill>
        </w:rPr>
        <w:t>乐采</w:t>
      </w:r>
      <w:r>
        <w:rPr>
          <w:rFonts w:hint="eastAsia" w:ascii="宋体" w:hAnsi="宋体" w:cs="宋体"/>
          <w:color w:val="000000" w:themeColor="text1"/>
          <w:kern w:val="0"/>
          <w:sz w:val="24"/>
          <w:lang w:val="zh-CN"/>
          <w14:textFill>
            <w14:solidFill>
              <w14:schemeClr w14:val="tx1"/>
            </w14:solidFill>
          </w14:textFill>
        </w:rPr>
        <w:t>云电子交易客户端”需要提前申领CA数字证书，申领流程请自行前往“</w:t>
      </w:r>
      <w:r>
        <w:rPr>
          <w:rFonts w:hint="eastAsia" w:ascii="宋体" w:hAnsi="宋体" w:cs="宋体"/>
          <w:color w:val="000000" w:themeColor="text1"/>
          <w:sz w:val="24"/>
          <w14:textFill>
            <w14:solidFill>
              <w14:schemeClr w14:val="tx1"/>
            </w14:solidFill>
          </w14:textFill>
        </w:rPr>
        <w:t>浙江企业采购信息服务网-下载专区-电子交易客户端</w:t>
      </w:r>
      <w:r>
        <w:rPr>
          <w:rFonts w:hint="eastAsia" w:ascii="宋体" w:hAnsi="宋体" w:cs="宋体"/>
          <w:color w:val="000000" w:themeColor="text1"/>
          <w:kern w:val="0"/>
          <w:sz w:val="24"/>
          <w:lang w:val="zh-CN"/>
          <w14:textFill>
            <w14:solidFill>
              <w14:schemeClr w14:val="tx1"/>
            </w14:solidFill>
          </w14:textFill>
        </w:rPr>
        <w:t>-CA驱动和申领流程”进行查阅。</w:t>
      </w:r>
    </w:p>
    <w:p w14:paraId="5B1CE72D">
      <w:pPr>
        <w:snapToGrid w:val="0"/>
        <w:spacing w:line="4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12.响应文件的签署、盖章</w:t>
      </w:r>
    </w:p>
    <w:p w14:paraId="26000702">
      <w:pPr>
        <w:pStyle w:val="140"/>
        <w:snapToGrid w:val="0"/>
        <w:spacing w:before="0" w:line="460" w:lineRule="exact"/>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12.1响应文件按照公开竞争文件第六部分格式要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▲响应人的响应文件未按照公开竞争文件要求签署、盖章的，其交易无效</w:t>
      </w:r>
      <w:r>
        <w:rPr>
          <w:rFonts w:hint="eastAsia" w:ascii="宋体" w:hAnsi="宋体" w:cs="宋体"/>
          <w:color w:val="000000" w:themeColor="text1"/>
          <w:szCs w:val="24"/>
          <w14:textFill>
            <w14:solidFill>
              <w14:schemeClr w14:val="tx1"/>
            </w14:solidFill>
          </w14:textFill>
        </w:rPr>
        <w:t>。</w:t>
      </w:r>
    </w:p>
    <w:p w14:paraId="600CC5F0">
      <w:pPr>
        <w:pStyle w:val="140"/>
        <w:snapToGrid w:val="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12.2为确保网上操作合法、有效和安全，响应人应当在响应截止时间前完成在“乐采云平台”的身份认证，确保在电子投标过程中能够对相关数据电文进行加密和使用电子签名。</w:t>
      </w:r>
    </w:p>
    <w:p w14:paraId="3AC13CF0">
      <w:pPr>
        <w:pStyle w:val="140"/>
        <w:snapToGrid w:val="0"/>
        <w:spacing w:before="0" w:line="460" w:lineRule="exact"/>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12.3公开竞争文件对响应文件签署、盖章的要求适用于电子签名。</w:t>
      </w:r>
    </w:p>
    <w:p w14:paraId="0705A12D">
      <w:pPr>
        <w:pStyle w:val="140"/>
        <w:spacing w:before="0" w:line="460" w:lineRule="exact"/>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13.响应文件的提交、补充、修改、撤回</w:t>
      </w:r>
    </w:p>
    <w:p w14:paraId="6BA1B965">
      <w:pPr>
        <w:pStyle w:val="140"/>
        <w:spacing w:line="460" w:lineRule="exact"/>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776B9E26">
      <w:pPr>
        <w:pStyle w:val="140"/>
        <w:spacing w:before="0" w:line="460" w:lineRule="exact"/>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13.2电子交易平台收到响应文件，将妥善保存并即时向响应人发出确认回执通知。在响应截止时间前，除响应人补充、修改或者撤回响应文件外，任何单位和个人不得解密或提取响应文件。</w:t>
      </w:r>
    </w:p>
    <w:p w14:paraId="77D03E56">
      <w:pPr>
        <w:pStyle w:val="140"/>
        <w:spacing w:before="0" w:line="460" w:lineRule="exact"/>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13.3交易发起人、代理机构可以视情况延长响应文件提交的截止时间。在上述情况下，代理机构与响应人以前在投标截止期方面的全部权利、责任和义务，将适用于延长至新的投标截止期。</w:t>
      </w:r>
    </w:p>
    <w:p w14:paraId="65A5BA92">
      <w:pPr>
        <w:pStyle w:val="35"/>
        <w:numPr>
          <w:ilvl w:val="0"/>
          <w:numId w:val="1"/>
        </w:numPr>
        <w:spacing w:line="46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备份响应文件</w:t>
      </w:r>
    </w:p>
    <w:p w14:paraId="5C917D25">
      <w:pPr>
        <w:pStyle w:val="35"/>
        <w:spacing w:line="460" w:lineRule="exact"/>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不收取备份响应文件。</w:t>
      </w:r>
    </w:p>
    <w:p w14:paraId="160F2CE6">
      <w:pPr>
        <w:pStyle w:val="140"/>
        <w:spacing w:before="0" w:line="460" w:lineRule="exact"/>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15.响应文件的无效处理</w:t>
      </w:r>
    </w:p>
    <w:p w14:paraId="0175D880">
      <w:pPr>
        <w:pStyle w:val="17"/>
        <w:spacing w:line="46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有公开竞争文件第四部分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的情形之一的，交易无效：</w:t>
      </w:r>
    </w:p>
    <w:p w14:paraId="7C6945AB">
      <w:pPr>
        <w:pStyle w:val="140"/>
        <w:spacing w:before="0" w:line="460" w:lineRule="exact"/>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16.交易有效期</w:t>
      </w:r>
    </w:p>
    <w:p w14:paraId="51F0EC8E">
      <w:pPr>
        <w:spacing w:line="460" w:lineRule="exact"/>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16.1交易有效期为从提交响应文件的截止之日起90天。▲</w:t>
      </w:r>
      <w:r>
        <w:rPr>
          <w:rFonts w:hint="eastAsia" w:ascii="宋体" w:hAnsi="宋体" w:cs="宋体"/>
          <w:b/>
          <w:color w:val="000000" w:themeColor="text1"/>
          <w:sz w:val="24"/>
          <w:szCs w:val="20"/>
          <w14:textFill>
            <w14:solidFill>
              <w14:schemeClr w14:val="tx1"/>
            </w14:solidFill>
          </w14:textFill>
        </w:rPr>
        <w:t>响应人的响应文件中承</w:t>
      </w:r>
      <w:r>
        <w:rPr>
          <w:rFonts w:hint="eastAsia" w:ascii="宋体" w:hAnsi="宋体" w:cs="宋体"/>
          <w:b/>
          <w:color w:val="000000" w:themeColor="text1"/>
          <w:sz w:val="24"/>
          <w:szCs w:val="21"/>
          <w14:textFill>
            <w14:solidFill>
              <w14:schemeClr w14:val="tx1"/>
            </w14:solidFill>
          </w14:textFill>
        </w:rPr>
        <w:t>诺的交易有效期少于公开竞争文件中载明的交易有效期的，交易无效。</w:t>
      </w:r>
    </w:p>
    <w:p w14:paraId="544BB26A">
      <w:pPr>
        <w:pStyle w:val="14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16.2响应文件合格投递后，自投标截止日期起，在交易有效期内有效。</w:t>
      </w:r>
    </w:p>
    <w:p w14:paraId="133EC120">
      <w:pPr>
        <w:pStyle w:val="14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16.3在原定交易有效期满之前，如果出现特殊情况，代理机构可以以书面形式通知响应人延长交易有效期。响应人同意延长的，不得要求或被允许修改其响应文件，响应人拒绝延长的，其交易无效。</w:t>
      </w:r>
    </w:p>
    <w:p w14:paraId="5411BFDB">
      <w:pPr>
        <w:pStyle w:val="140"/>
        <w:spacing w:before="0" w:line="460" w:lineRule="exact"/>
        <w:ind w:firstLine="643"/>
        <w:rPr>
          <w:rFonts w:ascii="宋体" w:hAnsi="宋体" w:cs="宋体"/>
          <w:b/>
          <w:color w:val="000000" w:themeColor="text1"/>
          <w:sz w:val="32"/>
          <w14:textFill>
            <w14:solidFill>
              <w14:schemeClr w14:val="tx1"/>
            </w14:solidFill>
          </w14:textFill>
        </w:rPr>
      </w:pPr>
    </w:p>
    <w:p w14:paraId="740D1B4A">
      <w:pPr>
        <w:pStyle w:val="140"/>
        <w:spacing w:before="0" w:line="460" w:lineRule="exact"/>
        <w:ind w:firstLine="0" w:firstLineChars="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四、交易、资格审查</w:t>
      </w:r>
    </w:p>
    <w:p w14:paraId="74FE55F9">
      <w:pPr>
        <w:pStyle w:val="565"/>
        <w:spacing w:before="0" w:line="460" w:lineRule="exact"/>
        <w:ind w:left="0" w:firstLine="0"/>
        <w:contextualSpacing/>
        <w:rPr>
          <w:rFonts w:ascii="宋体" w:hAnsi="宋体" w:cs="宋体"/>
          <w:b/>
          <w:color w:val="000000" w:themeColor="text1"/>
          <w:kern w:val="2"/>
          <w:sz w:val="24"/>
          <w:szCs w:val="24"/>
          <w14:textFill>
            <w14:solidFill>
              <w14:schemeClr w14:val="tx1"/>
            </w14:solidFill>
          </w14:textFill>
        </w:rPr>
      </w:pPr>
      <w:r>
        <w:rPr>
          <w:rFonts w:hint="eastAsia" w:ascii="宋体" w:hAnsi="宋体" w:cs="宋体"/>
          <w:b/>
          <w:color w:val="000000" w:themeColor="text1"/>
          <w:kern w:val="2"/>
          <w:sz w:val="24"/>
          <w:szCs w:val="24"/>
          <w14:textFill>
            <w14:solidFill>
              <w14:schemeClr w14:val="tx1"/>
            </w14:solidFill>
          </w14:textFill>
        </w:rPr>
        <w:t xml:space="preserve">17.交易 </w:t>
      </w:r>
    </w:p>
    <w:p w14:paraId="22D3D238">
      <w:pPr>
        <w:pStyle w:val="565"/>
        <w:spacing w:before="0" w:line="460" w:lineRule="exact"/>
        <w:ind w:left="0" w:firstLine="420" w:firstLineChars="175"/>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17.1代理机构按照公开竞争文件规定的时间通过电子交易平台组织开标，所有响应人均应当准时在线参加。响应人不足3家的，不得开标。</w:t>
      </w:r>
    </w:p>
    <w:p w14:paraId="0895331E">
      <w:pPr>
        <w:pStyle w:val="565"/>
        <w:spacing w:before="0" w:line="460" w:lineRule="exact"/>
        <w:ind w:left="0" w:firstLine="420" w:firstLineChars="175"/>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17.2交易时，电子交易平台按交易时间自动提取所有响应文件。代理机构依托电子交易平台发起开始解密指令，响应人按照平台提示和公开竞争文件的规定在半小时内完成在线解密。</w:t>
      </w:r>
    </w:p>
    <w:p w14:paraId="1238461E">
      <w:pPr>
        <w:pStyle w:val="565"/>
        <w:spacing w:before="0" w:line="460" w:lineRule="exact"/>
        <w:ind w:left="0" w:firstLine="420" w:firstLineChars="175"/>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17.3响应文件未按时解密，视为响应文件撤回。</w:t>
      </w:r>
    </w:p>
    <w:p w14:paraId="4D8926FC">
      <w:pPr>
        <w:pStyle w:val="17"/>
        <w:spacing w:line="460" w:lineRule="exact"/>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18、资格审查</w:t>
      </w:r>
    </w:p>
    <w:p w14:paraId="1DEF7F6B">
      <w:pPr>
        <w:pStyle w:val="140"/>
        <w:spacing w:before="0" w:line="46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18.1交易后，交易发起人或代理机构将依法对响应人的资格进行审查。</w:t>
      </w:r>
    </w:p>
    <w:p w14:paraId="0B28C689">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18.2</w:t>
      </w:r>
      <w:r>
        <w:rPr>
          <w:rFonts w:hint="eastAsia" w:ascii="宋体" w:hAnsi="宋体" w:cs="宋体"/>
          <w:color w:val="000000" w:themeColor="text1"/>
          <w:sz w:val="24"/>
          <w14:textFill>
            <w14:solidFill>
              <w14:schemeClr w14:val="tx1"/>
            </w14:solidFill>
          </w14:textFill>
        </w:rPr>
        <w:t>交易发起人或代理机构依据法律法规和公开竞争文件的规定，对响应人的基本资格条件、特定资格条件进行审查。</w:t>
      </w:r>
    </w:p>
    <w:p w14:paraId="7D5030E8">
      <w:pPr>
        <w:pStyle w:val="14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18.3响应人未按照公开竞争文件要求提供与</w:t>
      </w:r>
      <w:r>
        <w:rPr>
          <w:rFonts w:hint="eastAsia" w:ascii="宋体" w:hAnsi="宋体" w:cs="宋体"/>
          <w:color w:val="000000" w:themeColor="text1"/>
          <w14:textFill>
            <w14:solidFill>
              <w14:schemeClr w14:val="tx1"/>
            </w14:solidFill>
          </w14:textFill>
        </w:rPr>
        <w:t>基本资格条件、特定资格条件相应的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响应人不具备公开竞争文件中规定的资格要求，其交易无效。</w:t>
      </w:r>
    </w:p>
    <w:p w14:paraId="49A5AB52">
      <w:pPr>
        <w:pStyle w:val="14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w:t>
      </w:r>
      <w:r>
        <w:rPr>
          <w:rFonts w:hint="eastAsia" w:ascii="宋体" w:hAnsi="宋体" w:cs="宋体"/>
          <w:color w:val="000000" w:themeColor="text1"/>
          <w14:textFill>
            <w14:solidFill>
              <w14:schemeClr w14:val="tx1"/>
            </w14:solidFill>
          </w14:textFill>
        </w:rPr>
        <w:t>4对未通过资格审查的响应人，交易发起人或代理机构告知其未通过的原因。</w:t>
      </w:r>
    </w:p>
    <w:p w14:paraId="63F4E6F2">
      <w:pPr>
        <w:pStyle w:val="14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18.</w:t>
      </w:r>
      <w:r>
        <w:rPr>
          <w:rFonts w:hint="eastAsia" w:ascii="宋体" w:hAnsi="宋体" w:cs="宋体"/>
          <w:color w:val="000000" w:themeColor="text1"/>
          <w14:textFill>
            <w14:solidFill>
              <w14:schemeClr w14:val="tx1"/>
            </w14:solidFill>
          </w14:textFill>
        </w:rPr>
        <w:t>5合格响应人不足3家的，不再评标。</w:t>
      </w:r>
    </w:p>
    <w:p w14:paraId="4706B0B6">
      <w:pPr>
        <w:pStyle w:val="140"/>
        <w:spacing w:before="0" w:line="460" w:lineRule="exact"/>
        <w:ind w:firstLine="0" w:firstLineChars="0"/>
        <w:rPr>
          <w:rFonts w:ascii="宋体" w:hAnsi="宋体" w:cs="宋体"/>
          <w:color w:val="000000" w:themeColor="text1"/>
          <w:kern w:val="0"/>
          <w:szCs w:val="24"/>
          <w14:textFill>
            <w14:solidFill>
              <w14:schemeClr w14:val="tx1"/>
            </w14:solidFill>
          </w14:textFill>
        </w:rPr>
      </w:pPr>
    </w:p>
    <w:p w14:paraId="611670E5">
      <w:pPr>
        <w:snapToGrid w:val="0"/>
        <w:spacing w:line="460" w:lineRule="exact"/>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五、评审</w:t>
      </w:r>
    </w:p>
    <w:p w14:paraId="0B1BB66B">
      <w:pPr>
        <w:spacing w:line="460" w:lineRule="exact"/>
        <w:rPr>
          <w:rFonts w:ascii="宋体" w:hAnsi="宋体" w:cs="宋体"/>
          <w:color w:val="000000" w:themeColor="text1"/>
          <w:sz w:val="24"/>
          <w14:textFill>
            <w14:solidFill>
              <w14:schemeClr w14:val="tx1"/>
            </w14:solidFill>
          </w14:textFill>
        </w:rPr>
      </w:pPr>
      <w:bookmarkStart w:id="14" w:name="_Toc91899903"/>
      <w:r>
        <w:rPr>
          <w:rFonts w:hint="eastAsia" w:ascii="宋体" w:hAnsi="宋体" w:cs="宋体"/>
          <w:b/>
          <w:color w:val="000000" w:themeColor="text1"/>
          <w:sz w:val="24"/>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E8769B6">
      <w:pPr>
        <w:spacing w:line="4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详见公开竞争文件第四部分交易办法。</w:t>
      </w:r>
    </w:p>
    <w:p w14:paraId="5D832305">
      <w:pPr>
        <w:spacing w:line="460" w:lineRule="exact"/>
        <w:rPr>
          <w:rFonts w:ascii="宋体" w:hAnsi="宋体" w:cs="宋体"/>
          <w:b/>
          <w:color w:val="000000" w:themeColor="text1"/>
          <w:sz w:val="24"/>
          <w14:textFill>
            <w14:solidFill>
              <w14:schemeClr w14:val="tx1"/>
            </w14:solidFill>
          </w14:textFill>
        </w:rPr>
      </w:pPr>
    </w:p>
    <w:p w14:paraId="151D15F3">
      <w:pPr>
        <w:snapToGrid w:val="0"/>
        <w:spacing w:line="460" w:lineRule="exact"/>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六、定标</w:t>
      </w:r>
    </w:p>
    <w:p w14:paraId="32EC7D54">
      <w:pPr>
        <w:pStyle w:val="17"/>
        <w:spacing w:line="460" w:lineRule="exact"/>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20.确定成交响应人</w:t>
      </w:r>
    </w:p>
    <w:p w14:paraId="7108412D">
      <w:pPr>
        <w:pStyle w:val="140"/>
        <w:snapToGrid w:val="0"/>
        <w:spacing w:before="0" w:line="460" w:lineRule="exact"/>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交易发起人将自收到评审报告之日起5个工作日内通过电子交易平台在评审报告推荐的成交候选人中按顺序确定成交响应人。</w:t>
      </w:r>
    </w:p>
    <w:p w14:paraId="3238FB31">
      <w:pPr>
        <w:pStyle w:val="140"/>
        <w:snapToGrid w:val="0"/>
        <w:spacing w:before="0" w:line="460" w:lineRule="exact"/>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21.成交通知与成交结果公告</w:t>
      </w:r>
    </w:p>
    <w:p w14:paraId="07D93AAB">
      <w:pPr>
        <w:widowControl/>
        <w:shd w:val="clear" w:color="auto" w:fill="FFFFFF"/>
        <w:spacing w:line="4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21.1自成交人确定之日起3天内，代理机构通过电子交易平台向成交人发出成交通知书，同时编制发布成交结果公告。代理机构也可以以纸质形式进行成交通知。</w:t>
      </w:r>
    </w:p>
    <w:p w14:paraId="3C2519D6">
      <w:pPr>
        <w:widowControl/>
        <w:shd w:val="clear" w:color="auto" w:fill="FFFFFF"/>
        <w:spacing w:line="4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21.2成交结果公告内容包括交易发起人及其委托的代理机构的名称、地址、联系方式，项目名称和交易编号，成交人名称、地址和成交金额。</w:t>
      </w:r>
    </w:p>
    <w:p w14:paraId="774F8A6E">
      <w:pPr>
        <w:snapToGrid w:val="0"/>
        <w:spacing w:line="460" w:lineRule="exact"/>
        <w:ind w:left="120" w:leftChars="57" w:firstLine="482" w:firstLineChars="150"/>
        <w:jc w:val="center"/>
        <w:rPr>
          <w:rFonts w:ascii="宋体" w:hAnsi="宋体" w:cs="宋体"/>
          <w:b/>
          <w:color w:val="000000" w:themeColor="text1"/>
          <w:sz w:val="32"/>
          <w14:textFill>
            <w14:solidFill>
              <w14:schemeClr w14:val="tx1"/>
            </w14:solidFill>
          </w14:textFill>
        </w:rPr>
      </w:pPr>
    </w:p>
    <w:p w14:paraId="1260A724">
      <w:pPr>
        <w:snapToGrid w:val="0"/>
        <w:spacing w:line="460" w:lineRule="exact"/>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0AF6B94D">
      <w:pPr>
        <w:pStyle w:val="17"/>
        <w:spacing w:line="460" w:lineRule="exact"/>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w:t>
      </w:r>
      <w:r>
        <w:rPr>
          <w:rFonts w:hint="eastAsia" w:cs="宋体"/>
          <w:color w:val="000000" w:themeColor="text1"/>
          <w14:textFill>
            <w14:solidFill>
              <w14:schemeClr w14:val="tx1"/>
            </w14:solidFill>
          </w14:textFill>
        </w:rPr>
        <w:t>合同主要条款详见第五部分拟签订的合同文本。</w:t>
      </w:r>
    </w:p>
    <w:p w14:paraId="1D58B546">
      <w:pPr>
        <w:pStyle w:val="17"/>
        <w:spacing w:line="460" w:lineRule="exact"/>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23.合同的签订</w:t>
      </w:r>
    </w:p>
    <w:p w14:paraId="233D15C5">
      <w:pPr>
        <w:widowControl/>
        <w:shd w:val="clear" w:color="auto" w:fill="FFFFFF"/>
        <w:spacing w:line="46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w:t>
      </w:r>
      <w:r>
        <w:rPr>
          <w:rFonts w:hint="eastAsia" w:ascii="宋体" w:hAnsi="宋体" w:cs="宋体"/>
          <w:color w:val="000000" w:themeColor="text1"/>
          <w:kern w:val="0"/>
          <w:sz w:val="24"/>
          <w14:textFill>
            <w14:solidFill>
              <w14:schemeClr w14:val="tx1"/>
            </w14:solidFill>
          </w14:textFill>
        </w:rPr>
        <w:t>交易发起人与成交人应当通过电子交易平台在成交通知书发出之日起三十日内，按照公开竞争文件确定的事项签订书面合同。</w:t>
      </w:r>
    </w:p>
    <w:p w14:paraId="6715B411">
      <w:pPr>
        <w:pStyle w:val="140"/>
        <w:snapToGrid w:val="0"/>
        <w:spacing w:before="0" w:line="460" w:lineRule="exact"/>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239BA8BA">
      <w:pPr>
        <w:pStyle w:val="140"/>
        <w:snapToGrid w:val="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23.3如签订合同并生效后，响应人无故拒绝或延期，除按照合同条款处理外，列入不良行为记录一次，并给予通报。</w:t>
      </w:r>
    </w:p>
    <w:p w14:paraId="2E63DCAD">
      <w:pPr>
        <w:pStyle w:val="140"/>
        <w:snapToGrid w:val="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23.4成交响应人拒绝与交易发起人签订合同的，交易发起人可以按照评审报告推荐的</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14:textFill>
            <w14:solidFill>
              <w14:schemeClr w14:val="tx1"/>
            </w14:solidFill>
          </w14:textFill>
        </w:rPr>
        <w:t>或者成交候选人名单排序，确定下一候选人为成交响应人，也可以重新开展交易活动。</w:t>
      </w:r>
    </w:p>
    <w:p w14:paraId="15CD536B">
      <w:pPr>
        <w:pStyle w:val="140"/>
        <w:snapToGrid w:val="0"/>
        <w:spacing w:before="0" w:after="12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23.5书面合同由交易发起人与成交响应人根据公开竞争文件、响应文件等内容签订合同。</w:t>
      </w:r>
    </w:p>
    <w:p w14:paraId="08FEBA50">
      <w:pPr>
        <w:pStyle w:val="17"/>
        <w:spacing w:line="460" w:lineRule="exact"/>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24.履约保证金：</w:t>
      </w:r>
      <w:r>
        <w:rPr>
          <w:rFonts w:hint="eastAsia" w:cs="宋体"/>
          <w:bCs/>
          <w:color w:val="000000" w:themeColor="text1"/>
          <w14:textFill>
            <w14:solidFill>
              <w14:schemeClr w14:val="tx1"/>
            </w14:solidFill>
          </w14:textFill>
        </w:rPr>
        <w:t>详见前附表。</w:t>
      </w:r>
    </w:p>
    <w:p w14:paraId="781E4715">
      <w:pPr>
        <w:snapToGrid w:val="0"/>
        <w:spacing w:line="460" w:lineRule="exact"/>
        <w:ind w:firstLine="3357" w:firstLineChars="1045"/>
        <w:rPr>
          <w:rFonts w:ascii="宋体" w:hAnsi="宋体" w:cs="宋体"/>
          <w:b/>
          <w:color w:val="000000" w:themeColor="text1"/>
          <w:sz w:val="32"/>
          <w14:textFill>
            <w14:solidFill>
              <w14:schemeClr w14:val="tx1"/>
            </w14:solidFill>
          </w14:textFill>
        </w:rPr>
      </w:pPr>
    </w:p>
    <w:p w14:paraId="0556903D">
      <w:pPr>
        <w:snapToGrid w:val="0"/>
        <w:spacing w:line="460" w:lineRule="exact"/>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3781EE74">
      <w:pPr>
        <w:pStyle w:val="140"/>
        <w:snapToGrid w:val="0"/>
        <w:spacing w:before="0"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w:t>
      </w:r>
      <w:r>
        <w:rPr>
          <w:rFonts w:hint="eastAsia" w:ascii="宋体" w:hAnsi="宋体" w:cs="宋体"/>
          <w:b/>
          <w:color w:val="000000" w:themeColor="text1"/>
          <w:szCs w:val="24"/>
          <w14:textFill>
            <w14:solidFill>
              <w14:schemeClr w14:val="tx1"/>
            </w14:solidFill>
          </w14:textFill>
        </w:rPr>
        <w:t>5.电子交易活动的中止。</w:t>
      </w:r>
      <w:r>
        <w:rPr>
          <w:rFonts w:hint="eastAsia" w:ascii="宋体" w:hAnsi="宋体" w:cs="宋体"/>
          <w:bCs/>
          <w:color w:val="000000" w:themeColor="text1"/>
          <w:szCs w:val="24"/>
          <w14:textFill>
            <w14:solidFill>
              <w14:schemeClr w14:val="tx1"/>
            </w14:solidFill>
          </w14:textFill>
        </w:rPr>
        <w:t>交易</w:t>
      </w:r>
      <w:r>
        <w:rPr>
          <w:rFonts w:hint="eastAsia" w:ascii="宋体" w:hAnsi="宋体" w:cs="宋体"/>
          <w:color w:val="000000" w:themeColor="text1"/>
          <w14:textFill>
            <w14:solidFill>
              <w14:schemeClr w14:val="tx1"/>
            </w14:solidFill>
          </w14:textFill>
        </w:rPr>
        <w:t>过程中出现以下情形，导致电子交易平台无法正常运行，或者无法保证电子交易的公平、公正和安全时，代理机构可中止电子交易活动：</w:t>
      </w:r>
    </w:p>
    <w:p w14:paraId="43B6BA87">
      <w:pPr>
        <w:pStyle w:val="140"/>
        <w:snapToGrid w:val="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25.1电子交易平台发生故障而无法登录访问的； </w:t>
      </w:r>
    </w:p>
    <w:p w14:paraId="74E47FF5">
      <w:pPr>
        <w:pStyle w:val="140"/>
        <w:snapToGrid w:val="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25.2电子交易平台应用或数据库出现错误，不能进行正常操作的；</w:t>
      </w:r>
    </w:p>
    <w:p w14:paraId="60E80522">
      <w:pPr>
        <w:pStyle w:val="140"/>
        <w:snapToGrid w:val="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25.3电子交易平台发现严重安全漏洞，有潜在泄密危险的；</w:t>
      </w:r>
    </w:p>
    <w:p w14:paraId="23490590">
      <w:pPr>
        <w:pStyle w:val="140"/>
        <w:snapToGrid w:val="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25.4病毒发作导致不能进行正常操作的； </w:t>
      </w:r>
    </w:p>
    <w:p w14:paraId="52D19D1F">
      <w:pPr>
        <w:pStyle w:val="140"/>
        <w:snapToGrid w:val="0"/>
        <w:spacing w:before="0" w:line="4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25.5其他无法保证电子交易的公平、公正和安全的情况。</w:t>
      </w:r>
    </w:p>
    <w:p w14:paraId="67521B53">
      <w:pPr>
        <w:pStyle w:val="140"/>
        <w:snapToGrid w:val="0"/>
        <w:spacing w:before="0" w:line="460" w:lineRule="exact"/>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26.</w:t>
      </w:r>
      <w:r>
        <w:rPr>
          <w:rFonts w:hint="eastAsia" w:ascii="宋体" w:hAnsi="宋体" w:cs="宋体"/>
          <w:color w:val="000000" w:themeColor="text1"/>
          <w14:textFill>
            <w14:solidFill>
              <w14:schemeClr w14:val="tx1"/>
            </w14:solidFill>
          </w14:textFill>
        </w:rPr>
        <w:t>出现以上情形，不影响交易公平、公正性的，代理机构可以待上述情形消除后继续组织电子交易活动，也可以决定某些环节以纸质形式进行；影响或可能影响交易公平、公正性的，应当重新交易。</w:t>
      </w:r>
    </w:p>
    <w:p w14:paraId="2A3BD12B">
      <w:pPr>
        <w:snapToGrid w:val="0"/>
        <w:spacing w:line="460" w:lineRule="exact"/>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7D6BAD20">
      <w:pPr>
        <w:pStyle w:val="17"/>
        <w:spacing w:line="460" w:lineRule="exact"/>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27.验收</w:t>
      </w:r>
    </w:p>
    <w:p w14:paraId="232E3995">
      <w:pPr>
        <w:tabs>
          <w:tab w:val="left" w:pos="0"/>
        </w:tabs>
        <w:spacing w:line="46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27.1交易发起人应当组织对响应人履约的验收。</w:t>
      </w:r>
    </w:p>
    <w:bookmarkEnd w:id="12"/>
    <w:bookmarkEnd w:id="13"/>
    <w:bookmarkEnd w:id="14"/>
    <w:p w14:paraId="79C84FFD">
      <w:pPr>
        <w:rPr>
          <w:rFonts w:ascii="宋体" w:hAnsi="宋体" w:cs="宋体"/>
          <w:b/>
          <w:color w:val="000000" w:themeColor="text1"/>
          <w:sz w:val="36"/>
          <w:szCs w:val="36"/>
          <w14:textFill>
            <w14:solidFill>
              <w14:schemeClr w14:val="tx1"/>
            </w14:solidFill>
          </w14:textFill>
        </w:rPr>
      </w:pPr>
      <w:bookmarkStart w:id="15" w:name="第四部分"/>
      <w:r>
        <w:rPr>
          <w:rFonts w:hint="eastAsia" w:ascii="宋体" w:hAnsi="宋体" w:cs="宋体"/>
          <w:b/>
          <w:color w:val="000000" w:themeColor="text1"/>
          <w:sz w:val="36"/>
          <w:szCs w:val="36"/>
          <w14:textFill>
            <w14:solidFill>
              <w14:schemeClr w14:val="tx1"/>
            </w14:solidFill>
          </w14:textFill>
        </w:rPr>
        <w:br w:type="page"/>
      </w:r>
    </w:p>
    <w:p w14:paraId="09466E07">
      <w:pPr>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第三部分   交易需求</w:t>
      </w:r>
    </w:p>
    <w:p w14:paraId="5E91E682">
      <w:pPr>
        <w:snapToGrid w:val="0"/>
        <w:spacing w:line="360" w:lineRule="auto"/>
        <w:jc w:val="center"/>
        <w:rPr>
          <w:rFonts w:ascii="宋体" w:hAnsi="宋体" w:cs="宋体"/>
          <w:color w:val="000000" w:themeColor="text1"/>
          <w:sz w:val="24"/>
          <w14:textFill>
            <w14:solidFill>
              <w14:schemeClr w14:val="tx1"/>
            </w14:solidFill>
          </w14:textFill>
        </w:rPr>
      </w:pPr>
    </w:p>
    <w:p w14:paraId="0FF98B45">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属于实质性要求条款的，请用符号“▲”标明，否则属于非实质性要求。</w:t>
      </w:r>
    </w:p>
    <w:p w14:paraId="72C81E48">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一、交易一览表</w:t>
      </w:r>
    </w:p>
    <w:p w14:paraId="1CA2C73B">
      <w:pPr>
        <w:spacing w:after="120"/>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标项1：</w:t>
      </w:r>
      <w:r>
        <w:rPr>
          <w:rFonts w:hint="eastAsia" w:ascii="宋体" w:hAnsi="宋体" w:cs="宋体"/>
          <w:bCs/>
          <w:color w:val="000000" w:themeColor="text1"/>
          <w:sz w:val="24"/>
          <w14:textFill>
            <w14:solidFill>
              <w14:schemeClr w14:val="tx1"/>
            </w14:solidFill>
          </w14:textFill>
        </w:rPr>
        <w:t>新街机场高铁拆迁安置房招标控制价审核项目</w:t>
      </w:r>
    </w:p>
    <w:tbl>
      <w:tblPr>
        <w:tblStyle w:val="64"/>
        <w:tblW w:w="9556" w:type="dxa"/>
        <w:jc w:val="center"/>
        <w:tblLayout w:type="fixed"/>
        <w:tblCellMar>
          <w:top w:w="0" w:type="dxa"/>
          <w:left w:w="0" w:type="dxa"/>
          <w:bottom w:w="0" w:type="dxa"/>
          <w:right w:w="0" w:type="dxa"/>
        </w:tblCellMar>
      </w:tblPr>
      <w:tblGrid>
        <w:gridCol w:w="746"/>
        <w:gridCol w:w="4239"/>
        <w:gridCol w:w="2199"/>
        <w:gridCol w:w="796"/>
        <w:gridCol w:w="788"/>
        <w:gridCol w:w="788"/>
      </w:tblGrid>
      <w:tr w14:paraId="5E941983">
        <w:tblPrEx>
          <w:tblCellMar>
            <w:top w:w="0" w:type="dxa"/>
            <w:left w:w="0" w:type="dxa"/>
            <w:bottom w:w="0" w:type="dxa"/>
            <w:right w:w="0" w:type="dxa"/>
          </w:tblCellMar>
        </w:tblPrEx>
        <w:trPr>
          <w:cantSplit/>
          <w:trHeight w:val="516" w:hRule="atLeast"/>
          <w:jc w:val="center"/>
        </w:trPr>
        <w:tc>
          <w:tcPr>
            <w:tcW w:w="7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72CAA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42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D3452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p>
        </w:tc>
        <w:tc>
          <w:tcPr>
            <w:tcW w:w="21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C30E43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具体服务要求</w:t>
            </w:r>
          </w:p>
        </w:tc>
        <w:tc>
          <w:tcPr>
            <w:tcW w:w="7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94E49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7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B7CD6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88" w:type="dxa"/>
            <w:tcBorders>
              <w:top w:val="single" w:color="auto" w:sz="4" w:space="0"/>
              <w:left w:val="nil"/>
              <w:bottom w:val="single" w:color="auto" w:sz="4" w:space="0"/>
              <w:right w:val="single" w:color="auto" w:sz="4" w:space="0"/>
            </w:tcBorders>
            <w:vAlign w:val="center"/>
          </w:tcPr>
          <w:p w14:paraId="137222C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2640010B">
        <w:tblPrEx>
          <w:tblCellMar>
            <w:top w:w="0" w:type="dxa"/>
            <w:left w:w="0" w:type="dxa"/>
            <w:bottom w:w="0" w:type="dxa"/>
            <w:right w:w="0" w:type="dxa"/>
          </w:tblCellMar>
        </w:tblPrEx>
        <w:trPr>
          <w:cantSplit/>
          <w:trHeight w:val="548" w:hRule="atLeast"/>
          <w:jc w:val="center"/>
        </w:trPr>
        <w:tc>
          <w:tcPr>
            <w:tcW w:w="7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16AFE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2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6E61E5F">
            <w:pPr>
              <w:spacing w:after="120"/>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新街机场高铁拆迁安置房招标控制价</w:t>
            </w:r>
          </w:p>
          <w:p w14:paraId="781885E6">
            <w:pPr>
              <w:spacing w:after="120"/>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审核项目</w:t>
            </w:r>
          </w:p>
        </w:tc>
        <w:tc>
          <w:tcPr>
            <w:tcW w:w="21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A2B512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详见交易需求</w:t>
            </w:r>
          </w:p>
        </w:tc>
        <w:tc>
          <w:tcPr>
            <w:tcW w:w="7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3B614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家</w:t>
            </w:r>
          </w:p>
        </w:tc>
        <w:tc>
          <w:tcPr>
            <w:tcW w:w="7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57A79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88" w:type="dxa"/>
            <w:tcBorders>
              <w:top w:val="single" w:color="auto" w:sz="4" w:space="0"/>
              <w:left w:val="nil"/>
              <w:bottom w:val="single" w:color="auto" w:sz="4" w:space="0"/>
              <w:right w:val="single" w:color="auto" w:sz="4" w:space="0"/>
            </w:tcBorders>
            <w:vAlign w:val="center"/>
          </w:tcPr>
          <w:p w14:paraId="3037F3CC">
            <w:pPr>
              <w:rPr>
                <w:rFonts w:ascii="宋体" w:hAnsi="宋体" w:cs="宋体"/>
                <w:color w:val="000000" w:themeColor="text1"/>
                <w:sz w:val="24"/>
                <w14:textFill>
                  <w14:solidFill>
                    <w14:schemeClr w14:val="tx1"/>
                  </w14:solidFill>
                </w14:textFill>
              </w:rPr>
            </w:pPr>
          </w:p>
        </w:tc>
      </w:tr>
    </w:tbl>
    <w:p w14:paraId="5DA200DE">
      <w:pPr>
        <w:spacing w:line="360" w:lineRule="auto"/>
        <w:jc w:val="center"/>
        <w:rPr>
          <w:rFonts w:ascii="宋体" w:hAnsi="宋体" w:cs="宋体"/>
          <w:b/>
          <w:color w:val="000000" w:themeColor="text1"/>
          <w:sz w:val="28"/>
          <w:szCs w:val="28"/>
          <w14:textFill>
            <w14:solidFill>
              <w14:schemeClr w14:val="tx1"/>
            </w14:solidFill>
          </w14:textFill>
        </w:rPr>
      </w:pPr>
    </w:p>
    <w:p w14:paraId="4064B05B">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二、交易需求</w:t>
      </w:r>
    </w:p>
    <w:p w14:paraId="36EF7AB3">
      <w:pPr>
        <w:pStyle w:val="140"/>
        <w:ind w:firstLine="0" w:firstLineChars="0"/>
        <w:outlineLvl w:val="2"/>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（一）技术需求</w:t>
      </w:r>
    </w:p>
    <w:p w14:paraId="561CB486">
      <w:pPr>
        <w:spacing w:line="520" w:lineRule="exac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1、交易内容及范围</w:t>
      </w:r>
      <w:r>
        <w:rPr>
          <w:rFonts w:hint="eastAsia" w:ascii="宋体" w:hAnsi="宋体" w:cs="宋体"/>
          <w:color w:val="000000" w:themeColor="text1"/>
          <w:sz w:val="24"/>
          <w14:textFill>
            <w14:solidFill>
              <w14:schemeClr w14:val="tx1"/>
            </w14:solidFill>
          </w14:textFill>
        </w:rPr>
        <w:t xml:space="preserve"> </w:t>
      </w:r>
    </w:p>
    <w:p w14:paraId="2AA9DA35">
      <w:pPr>
        <w:spacing w:line="52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1.1 项目概况： </w:t>
      </w:r>
    </w:p>
    <w:p w14:paraId="67858DBF">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街机场高铁拆迁安置房项目，总建筑面积300000平方米，其中地上建筑面积为200000平方米，地下建筑面积为100000平方米，建设内容包括土建及安装、道路、给排水、暖通、消防人防、电气弱电、绿化及相应配套等工程，该项目投资估算为200000万元，建安费暂估120000万元。</w:t>
      </w:r>
    </w:p>
    <w:p w14:paraId="24FFA3F4">
      <w:pPr>
        <w:spacing w:line="52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 委托内容包括：</w:t>
      </w:r>
    </w:p>
    <w:p w14:paraId="293F0ABA">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（1）组织建立工程造价审核团队，明确各专业技术人员负责审核的内容，做到审核人员专业能力和审核内容相匹配，委派项目负责人，并授予其行使本工程造价咨询合同范围内处理咨询业务的全部权力。 </w:t>
      </w:r>
    </w:p>
    <w:p w14:paraId="1C1DA2A5">
      <w:pPr>
        <w:spacing w:line="520" w:lineRule="exact"/>
        <w:ind w:firstLine="422" w:firstLineChars="175"/>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（2）人员配置：</w:t>
      </w:r>
      <w:r>
        <w:rPr>
          <w:rFonts w:hint="eastAsia" w:ascii="宋体" w:hAnsi="宋体" w:cs="宋体"/>
          <w:b/>
          <w:bCs/>
          <w:color w:val="000000" w:themeColor="text1"/>
          <w:sz w:val="24"/>
          <w:highlight w:val="none"/>
          <w14:textFill>
            <w14:solidFill>
              <w14:schemeClr w14:val="tx1"/>
            </w14:solidFill>
          </w14:textFill>
        </w:rPr>
        <w:t>项目组成人员总数不少于12人。</w:t>
      </w:r>
    </w:p>
    <w:p w14:paraId="48C3F2EA">
      <w:pPr>
        <w:spacing w:line="520" w:lineRule="exact"/>
        <w:ind w:firstLine="422" w:firstLineChars="175"/>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（3）项目组人员要求一览表：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22"/>
        <w:gridCol w:w="800"/>
        <w:gridCol w:w="5530"/>
      </w:tblGrid>
      <w:tr w14:paraId="3CDB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9AA89EA">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822" w:type="dxa"/>
            <w:tcBorders>
              <w:top w:val="single" w:color="auto" w:sz="4" w:space="0"/>
              <w:left w:val="nil"/>
              <w:bottom w:val="single" w:color="auto" w:sz="4" w:space="0"/>
              <w:right w:val="single" w:color="auto" w:sz="4" w:space="0"/>
            </w:tcBorders>
            <w:vAlign w:val="center"/>
          </w:tcPr>
          <w:p w14:paraId="1130787E">
            <w:pPr>
              <w:autoSpaceDE w:val="0"/>
              <w:autoSpaceDN w:val="0"/>
              <w:spacing w:line="52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p>
        </w:tc>
        <w:tc>
          <w:tcPr>
            <w:tcW w:w="800" w:type="dxa"/>
            <w:tcBorders>
              <w:top w:val="single" w:color="auto" w:sz="4" w:space="0"/>
              <w:left w:val="nil"/>
              <w:bottom w:val="single" w:color="auto" w:sz="4" w:space="0"/>
              <w:right w:val="single" w:color="auto" w:sz="4" w:space="0"/>
            </w:tcBorders>
            <w:vAlign w:val="center"/>
          </w:tcPr>
          <w:p w14:paraId="75DE35E5">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人数</w:t>
            </w:r>
          </w:p>
        </w:tc>
        <w:tc>
          <w:tcPr>
            <w:tcW w:w="5530" w:type="dxa"/>
            <w:tcBorders>
              <w:top w:val="single" w:color="auto" w:sz="4" w:space="0"/>
              <w:left w:val="nil"/>
              <w:bottom w:val="single" w:color="auto" w:sz="4" w:space="0"/>
              <w:right w:val="single" w:color="auto" w:sz="4" w:space="0"/>
            </w:tcBorders>
            <w:vAlign w:val="center"/>
          </w:tcPr>
          <w:p w14:paraId="5BA77552">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26F2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DE9B418">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22" w:type="dxa"/>
            <w:tcBorders>
              <w:top w:val="single" w:color="auto" w:sz="4" w:space="0"/>
              <w:left w:val="nil"/>
              <w:bottom w:val="single" w:color="auto" w:sz="4" w:space="0"/>
              <w:right w:val="single" w:color="auto" w:sz="4" w:space="0"/>
            </w:tcBorders>
            <w:vAlign w:val="center"/>
          </w:tcPr>
          <w:p w14:paraId="55AD4E47">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w:t>
            </w:r>
          </w:p>
        </w:tc>
        <w:tc>
          <w:tcPr>
            <w:tcW w:w="800" w:type="dxa"/>
            <w:tcBorders>
              <w:top w:val="single" w:color="auto" w:sz="4" w:space="0"/>
              <w:left w:val="nil"/>
              <w:bottom w:val="single" w:color="auto" w:sz="4" w:space="0"/>
              <w:right w:val="single" w:color="auto" w:sz="4" w:space="0"/>
            </w:tcBorders>
            <w:vAlign w:val="center"/>
          </w:tcPr>
          <w:p w14:paraId="4CA6C0CA">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530" w:type="dxa"/>
            <w:tcBorders>
              <w:top w:val="single" w:color="auto" w:sz="4" w:space="0"/>
              <w:left w:val="nil"/>
              <w:bottom w:val="single" w:color="auto" w:sz="4" w:space="0"/>
              <w:right w:val="single" w:color="auto" w:sz="4" w:space="0"/>
            </w:tcBorders>
            <w:vAlign w:val="center"/>
          </w:tcPr>
          <w:p w14:paraId="0B626B6E">
            <w:pPr>
              <w:autoSpaceDE w:val="0"/>
              <w:autoSpaceDN w:val="0"/>
              <w:spacing w:line="5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土建专业注册一级造价工程师执业资格</w:t>
            </w:r>
          </w:p>
        </w:tc>
      </w:tr>
      <w:tr w14:paraId="1B89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63" w:type="dxa"/>
            <w:vMerge w:val="restart"/>
            <w:tcBorders>
              <w:top w:val="nil"/>
              <w:left w:val="single" w:color="auto" w:sz="4" w:space="0"/>
              <w:right w:val="single" w:color="auto" w:sz="4" w:space="0"/>
            </w:tcBorders>
            <w:vAlign w:val="center"/>
          </w:tcPr>
          <w:p w14:paraId="4C3FBFD6">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22" w:type="dxa"/>
            <w:vMerge w:val="restart"/>
            <w:tcBorders>
              <w:top w:val="nil"/>
              <w:left w:val="nil"/>
              <w:right w:val="single" w:color="auto" w:sz="4" w:space="0"/>
            </w:tcBorders>
            <w:vAlign w:val="center"/>
          </w:tcPr>
          <w:p w14:paraId="59CC47B4">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土建专业</w:t>
            </w:r>
          </w:p>
        </w:tc>
        <w:tc>
          <w:tcPr>
            <w:tcW w:w="800" w:type="dxa"/>
            <w:tcBorders>
              <w:top w:val="single" w:color="auto" w:sz="4" w:space="0"/>
              <w:left w:val="nil"/>
              <w:bottom w:val="single" w:color="auto" w:sz="4" w:space="0"/>
              <w:right w:val="single" w:color="auto" w:sz="4" w:space="0"/>
            </w:tcBorders>
            <w:vAlign w:val="center"/>
          </w:tcPr>
          <w:p w14:paraId="69FF92FD">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5530" w:type="dxa"/>
            <w:tcBorders>
              <w:top w:val="single" w:color="auto" w:sz="4" w:space="0"/>
              <w:left w:val="nil"/>
              <w:bottom w:val="single" w:color="auto" w:sz="4" w:space="0"/>
              <w:right w:val="single" w:color="auto" w:sz="4" w:space="0"/>
            </w:tcBorders>
            <w:vAlign w:val="center"/>
          </w:tcPr>
          <w:p w14:paraId="4AC7AB54">
            <w:pPr>
              <w:autoSpaceDE w:val="0"/>
              <w:autoSpaceDN w:val="0"/>
              <w:spacing w:line="5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具有土建专业注册一级造价工程师执业资格</w:t>
            </w:r>
          </w:p>
        </w:tc>
      </w:tr>
      <w:tr w14:paraId="6BB3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tcBorders>
              <w:left w:val="single" w:color="auto" w:sz="4" w:space="0"/>
              <w:right w:val="single" w:color="auto" w:sz="4" w:space="0"/>
            </w:tcBorders>
            <w:vAlign w:val="center"/>
          </w:tcPr>
          <w:p w14:paraId="178CBC35">
            <w:pPr>
              <w:rPr>
                <w:rFonts w:ascii="宋体" w:hAnsi="宋体" w:cs="宋体"/>
                <w:color w:val="000000" w:themeColor="text1"/>
                <w:sz w:val="24"/>
                <w14:textFill>
                  <w14:solidFill>
                    <w14:schemeClr w14:val="tx1"/>
                  </w14:solidFill>
                </w14:textFill>
              </w:rPr>
            </w:pPr>
          </w:p>
        </w:tc>
        <w:tc>
          <w:tcPr>
            <w:tcW w:w="1822" w:type="dxa"/>
            <w:vMerge w:val="continue"/>
            <w:tcBorders>
              <w:left w:val="nil"/>
              <w:right w:val="single" w:color="auto" w:sz="4" w:space="0"/>
            </w:tcBorders>
            <w:vAlign w:val="center"/>
          </w:tcPr>
          <w:p w14:paraId="31A39B24">
            <w:pPr>
              <w:rPr>
                <w:rFonts w:ascii="宋体" w:hAnsi="宋体" w:cs="宋体"/>
                <w:color w:val="000000" w:themeColor="text1"/>
                <w:sz w:val="24"/>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center"/>
          </w:tcPr>
          <w:p w14:paraId="4BF86B5D">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5530" w:type="dxa"/>
            <w:tcBorders>
              <w:top w:val="single" w:color="auto" w:sz="4" w:space="0"/>
              <w:left w:val="nil"/>
              <w:bottom w:val="single" w:color="auto" w:sz="4" w:space="0"/>
              <w:right w:val="single" w:color="auto" w:sz="4" w:space="0"/>
            </w:tcBorders>
            <w:vAlign w:val="center"/>
          </w:tcPr>
          <w:p w14:paraId="391BF545">
            <w:pPr>
              <w:autoSpaceDE w:val="0"/>
              <w:autoSpaceDN w:val="0"/>
              <w:spacing w:line="5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具有土建专业注册二级及以上造价工程师执业资格</w:t>
            </w:r>
          </w:p>
        </w:tc>
      </w:tr>
      <w:tr w14:paraId="7CFC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tcBorders>
              <w:left w:val="single" w:color="auto" w:sz="4" w:space="0"/>
              <w:right w:val="single" w:color="auto" w:sz="4" w:space="0"/>
            </w:tcBorders>
            <w:vAlign w:val="center"/>
          </w:tcPr>
          <w:p w14:paraId="07113F5F">
            <w:pPr>
              <w:rPr>
                <w:rFonts w:ascii="宋体" w:hAnsi="宋体" w:cs="宋体"/>
                <w:color w:val="000000" w:themeColor="text1"/>
                <w:sz w:val="24"/>
                <w14:textFill>
                  <w14:solidFill>
                    <w14:schemeClr w14:val="tx1"/>
                  </w14:solidFill>
                </w14:textFill>
              </w:rPr>
            </w:pPr>
          </w:p>
        </w:tc>
        <w:tc>
          <w:tcPr>
            <w:tcW w:w="1822" w:type="dxa"/>
            <w:vMerge w:val="continue"/>
            <w:tcBorders>
              <w:left w:val="nil"/>
              <w:right w:val="single" w:color="auto" w:sz="4" w:space="0"/>
            </w:tcBorders>
            <w:vAlign w:val="center"/>
          </w:tcPr>
          <w:p w14:paraId="74D27B19">
            <w:pPr>
              <w:rPr>
                <w:rFonts w:ascii="宋体" w:hAnsi="宋体" w:cs="宋体"/>
                <w:color w:val="000000" w:themeColor="text1"/>
                <w:sz w:val="24"/>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center"/>
          </w:tcPr>
          <w:p w14:paraId="039A49A9">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530" w:type="dxa"/>
            <w:tcBorders>
              <w:top w:val="single" w:color="auto" w:sz="4" w:space="0"/>
              <w:left w:val="nil"/>
              <w:bottom w:val="single" w:color="auto" w:sz="4" w:space="0"/>
              <w:right w:val="single" w:color="auto" w:sz="4" w:space="0"/>
            </w:tcBorders>
            <w:vAlign w:val="center"/>
          </w:tcPr>
          <w:p w14:paraId="72B85A82">
            <w:pPr>
              <w:autoSpaceDE w:val="0"/>
              <w:autoSpaceDN w:val="0"/>
              <w:spacing w:line="5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具有一级造价工程师执业资格，并提供该人员在本项目中从事市政专业咨询工作的承诺函（承诺函格式自拟）</w:t>
            </w:r>
          </w:p>
        </w:tc>
      </w:tr>
      <w:tr w14:paraId="0C2C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vMerge w:val="continue"/>
            <w:tcBorders>
              <w:left w:val="single" w:color="auto" w:sz="4" w:space="0"/>
              <w:bottom w:val="single" w:color="auto" w:sz="4" w:space="0"/>
              <w:right w:val="single" w:color="auto" w:sz="4" w:space="0"/>
            </w:tcBorders>
            <w:vAlign w:val="center"/>
          </w:tcPr>
          <w:p w14:paraId="6A9D1EDC">
            <w:pPr>
              <w:rPr>
                <w:rFonts w:ascii="宋体" w:hAnsi="宋体" w:cs="宋体"/>
                <w:color w:val="000000" w:themeColor="text1"/>
                <w:sz w:val="24"/>
                <w14:textFill>
                  <w14:solidFill>
                    <w14:schemeClr w14:val="tx1"/>
                  </w14:solidFill>
                </w14:textFill>
              </w:rPr>
            </w:pPr>
          </w:p>
        </w:tc>
        <w:tc>
          <w:tcPr>
            <w:tcW w:w="1822" w:type="dxa"/>
            <w:vMerge w:val="continue"/>
            <w:tcBorders>
              <w:left w:val="nil"/>
              <w:bottom w:val="single" w:color="auto" w:sz="4" w:space="0"/>
              <w:right w:val="single" w:color="auto" w:sz="4" w:space="0"/>
            </w:tcBorders>
            <w:vAlign w:val="center"/>
          </w:tcPr>
          <w:p w14:paraId="14F22D88">
            <w:pPr>
              <w:rPr>
                <w:rFonts w:ascii="宋体" w:hAnsi="宋体" w:cs="宋体"/>
                <w:color w:val="000000" w:themeColor="text1"/>
                <w:sz w:val="24"/>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center"/>
          </w:tcPr>
          <w:p w14:paraId="5869BF0B">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5530" w:type="dxa"/>
            <w:tcBorders>
              <w:top w:val="single" w:color="auto" w:sz="4" w:space="0"/>
              <w:left w:val="nil"/>
              <w:bottom w:val="single" w:color="auto" w:sz="4" w:space="0"/>
              <w:right w:val="single" w:color="auto" w:sz="4" w:space="0"/>
            </w:tcBorders>
            <w:vAlign w:val="center"/>
          </w:tcPr>
          <w:p w14:paraId="644ECD62">
            <w:pPr>
              <w:autoSpaceDE w:val="0"/>
              <w:autoSpaceDN w:val="0"/>
              <w:spacing w:line="5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具有二级造价工程师执业资格，并提供该人员在本项目中从事市政专业咨询工作的承诺函（承诺函格式自拟）</w:t>
            </w:r>
          </w:p>
        </w:tc>
      </w:tr>
      <w:tr w14:paraId="5413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3" w:type="dxa"/>
            <w:vMerge w:val="restart"/>
            <w:tcBorders>
              <w:top w:val="single" w:color="auto" w:sz="4" w:space="0"/>
              <w:left w:val="single" w:color="auto" w:sz="4" w:space="0"/>
              <w:right w:val="single" w:color="auto" w:sz="4" w:space="0"/>
            </w:tcBorders>
            <w:vAlign w:val="center"/>
          </w:tcPr>
          <w:p w14:paraId="7AFD31F3">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22" w:type="dxa"/>
            <w:vMerge w:val="restart"/>
            <w:tcBorders>
              <w:top w:val="single" w:color="auto" w:sz="4" w:space="0"/>
              <w:left w:val="nil"/>
              <w:right w:val="single" w:color="auto" w:sz="4" w:space="0"/>
            </w:tcBorders>
            <w:vAlign w:val="center"/>
          </w:tcPr>
          <w:p w14:paraId="30126703">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安装专业</w:t>
            </w:r>
          </w:p>
        </w:tc>
        <w:tc>
          <w:tcPr>
            <w:tcW w:w="800" w:type="dxa"/>
            <w:tcBorders>
              <w:top w:val="single" w:color="auto" w:sz="4" w:space="0"/>
              <w:left w:val="nil"/>
              <w:bottom w:val="single" w:color="auto" w:sz="4" w:space="0"/>
              <w:right w:val="single" w:color="auto" w:sz="4" w:space="0"/>
            </w:tcBorders>
            <w:vAlign w:val="center"/>
          </w:tcPr>
          <w:p w14:paraId="19EDAD32">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530" w:type="dxa"/>
            <w:tcBorders>
              <w:top w:val="single" w:color="auto" w:sz="4" w:space="0"/>
              <w:left w:val="nil"/>
              <w:bottom w:val="single" w:color="auto" w:sz="4" w:space="0"/>
              <w:right w:val="single" w:color="auto" w:sz="4" w:space="0"/>
            </w:tcBorders>
            <w:vAlign w:val="center"/>
          </w:tcPr>
          <w:p w14:paraId="5E389D97">
            <w:pPr>
              <w:autoSpaceDE w:val="0"/>
              <w:autoSpaceDN w:val="0"/>
              <w:spacing w:line="5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具有具有安装专业注册一级造价工程师执业资格</w:t>
            </w:r>
          </w:p>
        </w:tc>
      </w:tr>
      <w:tr w14:paraId="1D81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3" w:type="dxa"/>
            <w:vMerge w:val="continue"/>
            <w:tcBorders>
              <w:left w:val="single" w:color="auto" w:sz="4" w:space="0"/>
              <w:bottom w:val="single" w:color="auto" w:sz="4" w:space="0"/>
              <w:right w:val="single" w:color="auto" w:sz="4" w:space="0"/>
            </w:tcBorders>
            <w:vAlign w:val="center"/>
          </w:tcPr>
          <w:p w14:paraId="07995C67">
            <w:pPr>
              <w:autoSpaceDE w:val="0"/>
              <w:autoSpaceDN w:val="0"/>
              <w:spacing w:line="520" w:lineRule="exact"/>
              <w:jc w:val="center"/>
              <w:rPr>
                <w:rFonts w:ascii="宋体" w:hAnsi="宋体" w:cs="宋体"/>
                <w:color w:val="000000" w:themeColor="text1"/>
                <w:sz w:val="24"/>
                <w14:textFill>
                  <w14:solidFill>
                    <w14:schemeClr w14:val="tx1"/>
                  </w14:solidFill>
                </w14:textFill>
              </w:rPr>
            </w:pPr>
          </w:p>
        </w:tc>
        <w:tc>
          <w:tcPr>
            <w:tcW w:w="1822" w:type="dxa"/>
            <w:vMerge w:val="continue"/>
            <w:tcBorders>
              <w:left w:val="nil"/>
              <w:bottom w:val="single" w:color="auto" w:sz="4" w:space="0"/>
              <w:right w:val="single" w:color="auto" w:sz="4" w:space="0"/>
            </w:tcBorders>
            <w:vAlign w:val="center"/>
          </w:tcPr>
          <w:p w14:paraId="35A356CB">
            <w:pPr>
              <w:autoSpaceDE w:val="0"/>
              <w:autoSpaceDN w:val="0"/>
              <w:spacing w:line="520" w:lineRule="exact"/>
              <w:jc w:val="center"/>
              <w:rPr>
                <w:rFonts w:ascii="宋体" w:hAnsi="宋体" w:cs="宋体"/>
                <w:color w:val="000000" w:themeColor="text1"/>
                <w:sz w:val="24"/>
                <w14:textFill>
                  <w14:solidFill>
                    <w14:schemeClr w14:val="tx1"/>
                  </w14:solidFill>
                </w14:textFill>
              </w:rPr>
            </w:pPr>
          </w:p>
        </w:tc>
        <w:tc>
          <w:tcPr>
            <w:tcW w:w="800" w:type="dxa"/>
            <w:tcBorders>
              <w:top w:val="single" w:color="auto" w:sz="4" w:space="0"/>
              <w:left w:val="nil"/>
              <w:bottom w:val="single" w:color="auto" w:sz="4" w:space="0"/>
              <w:right w:val="single" w:color="auto" w:sz="4" w:space="0"/>
            </w:tcBorders>
            <w:vAlign w:val="center"/>
          </w:tcPr>
          <w:p w14:paraId="379BACBB">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5530" w:type="dxa"/>
            <w:tcBorders>
              <w:top w:val="single" w:color="auto" w:sz="4" w:space="0"/>
              <w:left w:val="nil"/>
              <w:bottom w:val="single" w:color="auto" w:sz="4" w:space="0"/>
              <w:right w:val="single" w:color="auto" w:sz="4" w:space="0"/>
            </w:tcBorders>
            <w:vAlign w:val="center"/>
          </w:tcPr>
          <w:p w14:paraId="71EAF535">
            <w:pPr>
              <w:autoSpaceDE w:val="0"/>
              <w:autoSpaceDN w:val="0"/>
              <w:spacing w:line="5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具有安装专业注册二级及以上造价工程师执业资格</w:t>
            </w:r>
          </w:p>
        </w:tc>
      </w:tr>
      <w:tr w14:paraId="05EE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ECD097F">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22" w:type="dxa"/>
            <w:tcBorders>
              <w:top w:val="single" w:color="auto" w:sz="4" w:space="0"/>
              <w:left w:val="nil"/>
              <w:bottom w:val="single" w:color="auto" w:sz="4" w:space="0"/>
              <w:right w:val="single" w:color="auto" w:sz="4" w:space="0"/>
            </w:tcBorders>
            <w:vAlign w:val="center"/>
          </w:tcPr>
          <w:p w14:paraId="7FFD49B5">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小计</w:t>
            </w:r>
          </w:p>
        </w:tc>
        <w:tc>
          <w:tcPr>
            <w:tcW w:w="800" w:type="dxa"/>
            <w:tcBorders>
              <w:top w:val="single" w:color="auto" w:sz="4" w:space="0"/>
              <w:left w:val="nil"/>
              <w:bottom w:val="single" w:color="auto" w:sz="4" w:space="0"/>
              <w:right w:val="single" w:color="auto" w:sz="4" w:space="0"/>
            </w:tcBorders>
            <w:vAlign w:val="center"/>
          </w:tcPr>
          <w:p w14:paraId="75ACC62E">
            <w:pPr>
              <w:autoSpaceDE w:val="0"/>
              <w:autoSpaceDN w:val="0"/>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5530" w:type="dxa"/>
            <w:tcBorders>
              <w:top w:val="single" w:color="auto" w:sz="4" w:space="0"/>
              <w:left w:val="nil"/>
              <w:bottom w:val="single" w:color="auto" w:sz="4" w:space="0"/>
              <w:right w:val="single" w:color="auto" w:sz="4" w:space="0"/>
            </w:tcBorders>
            <w:vAlign w:val="center"/>
          </w:tcPr>
          <w:p w14:paraId="27FA2B7B">
            <w:pPr>
              <w:autoSpaceDE w:val="0"/>
              <w:autoSpaceDN w:val="0"/>
              <w:spacing w:line="520" w:lineRule="exact"/>
              <w:ind w:firstLine="420" w:firstLineChars="17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bl>
    <w:p w14:paraId="073AB547">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（4）在服务期间内，成交人员需能满足各土建、安装、市政各专业要求及时间要求。不符合工作要求的，交易发起人有权提出更换人员，成交人应无条件服务。</w:t>
      </w:r>
    </w:p>
    <w:p w14:paraId="68581765">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在服务期间内，成交人的项目组人员必须与响应时一致，未经交易发起人同意，成交人不得调换项目负责人和审计服务人员。未经交易发起人同意，成交人不得更换咨询团队人员，成交人私自更换项目审核团队人员的，每更换一名扣服务费5%，扣完为止。成交人确需更换审核团队人员的，需提前7日历天向交易发起人书面提交申请，申请报告内应说明需更换人员原因及用于更换人员的证书、做过项目的业绩、水平等的证明文件，根据成交人提供的申请报告，交易发起人以书面形式回复是否允许更换。在服务期间内，交易发起人对于成交人咨询团队人员不满意的，有权要求成交人更换相关人员，直至交易发起人满意为准。</w:t>
      </w:r>
    </w:p>
    <w:p w14:paraId="73EF32E0">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（6）招标控制价审核应符合现行的《建设工程工程量清单计价规范》(GB50500)的有关规定，并不得违背《建设工程工程量清单计价规范》(GB50500)中强制性条文的规定。</w:t>
      </w:r>
    </w:p>
    <w:p w14:paraId="108DD7B3">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（7）积极配合交易发起人的法定审计（含招标人上级各部门的审计）工作，并及时提交各项所需资料。</w:t>
      </w:r>
    </w:p>
    <w:p w14:paraId="50CB5092">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严格遵守与本工程有关的法律、法规和规章，保证交易发起人免于承担由于交易发起人违反上述法律、法规和规章而引起的的任何责任。自觉遵守有关规定，严格执行工程造价审核服务、廉政纪律和职业道德，保守工程资料数据的秘密。</w:t>
      </w:r>
    </w:p>
    <w:p w14:paraId="6B5B7FC0">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严格按照交易发起人的有关规定和要求实施工程造价审核服务，接受交易发起人的指导、监督和管理，同时按交易发起人的质量和进度要求及时提供结果以及与服务事项相关的资料。按交易发起人规定的格式、要求起草有关文书和其他材料。</w:t>
      </w:r>
    </w:p>
    <w:p w14:paraId="2B6F8DF2">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（10）若因成交人过失，造成交易发起人经济损失的，成交人应全额赔偿。</w:t>
      </w:r>
    </w:p>
    <w:p w14:paraId="24F6E62D">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（11）不得接受施工单位提供的折让、佣金或礼物等超越工作条件需要的利益，不得接受贵重礼品，不得参加相关单位的宴请和娱乐活动，严禁工作人员单独与承包方进行有碍独立执业和职业形象的接触。</w:t>
      </w:r>
    </w:p>
    <w:p w14:paraId="09D59ADB">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审核人在招标控制价审核期间对交易发起人做到随叫随到。收到交易发起人通知后成交人应及时进行现场踏勘等工作。成交人应对交易发起人不确定的材料及时进行市场询价并作相关书面回复递交至交易发起人。</w:t>
      </w:r>
    </w:p>
    <w:p w14:paraId="222F5F84">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审计过程中出具的各类成果必须在规定的时间内保质保量的按时完成。相关成果文件必须由本机构注册造价工程师或相关专业造价员编制，本机构注册造价师审核，相关专业人员，应签字并加盖执业专用章。提交造价成果文件时一并提供工程量清单、招标控制价审核报告书6份(若实际需要增加报告份数按实提供）及电子版（含计价软件电子版）。</w:t>
      </w:r>
    </w:p>
    <w:p w14:paraId="0CE31396">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（14）响应人应认真、如实地填写响应书的有关内容，如弄虚作假或虚报有关业绩、数据，评标委员会一经发现查实，取消其响应资格。</w:t>
      </w:r>
    </w:p>
    <w:p w14:paraId="1EA57E8A">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（15）在服务过程中，应无条件配合交易发起人项目争议问题解决、政策咨询等。</w:t>
      </w:r>
    </w:p>
    <w:p w14:paraId="346B94F7">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没有交易发起人事先书面同意，成交人不得将由交易发起人提供的有关合同或任何合同条文、规格、计划、图纸、样品或资料等提供给与履行本合同无关的任何其他人。即使向履行本合同有关人员提供，也应注意保密并限于履行合同的必需范围。</w:t>
      </w:r>
    </w:p>
    <w:p w14:paraId="48762378">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（17）本项目成交人必须相关造价审核工作，并接受开发区财政局监督、管理。</w:t>
      </w:r>
    </w:p>
    <w:p w14:paraId="19D89C5B">
      <w:pPr>
        <w:pStyle w:val="60"/>
        <w:widowControl w:val="0"/>
        <w:tabs>
          <w:tab w:val="left" w:pos="840"/>
          <w:tab w:val="right" w:leader="dot" w:pos="9356"/>
        </w:tabs>
        <w:spacing w:before="120" w:beforeAutospacing="0" w:after="120" w:afterAutospacing="0" w:line="360" w:lineRule="auto"/>
        <w:rPr>
          <w:rFonts w:cs="宋体"/>
          <w:b/>
          <w:bCs/>
          <w:color w:val="000000" w:themeColor="text1"/>
          <w14:textFill>
            <w14:solidFill>
              <w14:schemeClr w14:val="tx1"/>
            </w14:solidFill>
          </w14:textFill>
        </w:rPr>
      </w:pPr>
      <w:r>
        <w:rPr>
          <w:rFonts w:hint="eastAsia" w:cs="宋体"/>
          <w:b/>
          <w:bCs/>
          <w:caps/>
          <w:color w:val="000000" w:themeColor="text1"/>
          <w14:textFill>
            <w14:solidFill>
              <w14:schemeClr w14:val="tx1"/>
            </w14:solidFill>
          </w14:textFill>
        </w:rPr>
        <w:t>（二）服务期限：</w:t>
      </w:r>
    </w:p>
    <w:p w14:paraId="10D82315">
      <w:pPr>
        <w:widowControl/>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本项目总服务期从项目招标控制价审核工作开始至EPC项目结算审计完成。</w:t>
      </w:r>
    </w:p>
    <w:p w14:paraId="68478641">
      <w:pPr>
        <w:widowControl/>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招标控制价审核工作应与招标控制价编制同步完成。</w:t>
      </w:r>
    </w:p>
    <w:p w14:paraId="184D50FB">
      <w:pPr>
        <w:pStyle w:val="4"/>
        <w:widowControl/>
        <w:numPr>
          <w:ilvl w:val="0"/>
          <w:numId w:val="2"/>
        </w:numPr>
        <w:spacing w:before="0" w:after="0" w:line="520" w:lineRule="exact"/>
        <w:ind w:left="0" w:firstLine="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服务费用：</w:t>
      </w:r>
    </w:p>
    <w:p w14:paraId="2EC932C3">
      <w:pPr>
        <w:pStyle w:val="4"/>
        <w:widowControl/>
        <w:spacing w:before="0" w:after="0" w:line="520" w:lineRule="exact"/>
        <w:ind w:left="0"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供应商结合相关文件进行报价，应充分考虑服务期间各类价格的风险、物价上涨因素、项目方案调整、国家政策性调整风险和自然条件。</w:t>
      </w:r>
      <w:r>
        <w:rPr>
          <w:rFonts w:hint="eastAsia" w:ascii="宋体" w:hAnsi="宋体" w:cs="宋体"/>
          <w:b/>
          <w:bCs/>
          <w:color w:val="000000" w:themeColor="text1"/>
          <w:sz w:val="24"/>
          <w:szCs w:val="24"/>
          <w:highlight w:val="none"/>
          <w14:textFill>
            <w14:solidFill>
              <w14:schemeClr w14:val="tx1"/>
            </w14:solidFill>
          </w14:textFill>
        </w:rPr>
        <w:t>供应商自行承担投标风险。</w:t>
      </w:r>
    </w:p>
    <w:p w14:paraId="79BBE75F">
      <w:pPr>
        <w:pStyle w:val="4"/>
        <w:widowControl/>
        <w:spacing w:before="0" w:after="0" w:line="520" w:lineRule="exact"/>
        <w:ind w:left="0"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本项目最终审核费用以招标控制价为取费基数，根据浙价服（2009）84号文件“设计概算编制或审核”计费标准结合中标优惠率计算，中标下浮率为一次性包干今后不做调整。本项目中标下浮率=中标价(万元)/98.02万元×100%，保留两位小数。本项目最终结算总价若超过最高限价，则按最高限价进行结算</w:t>
      </w:r>
      <w:r>
        <w:rPr>
          <w:rFonts w:ascii="宋体" w:hAnsi="宋体" w:cs="宋体"/>
          <w:b/>
          <w:bCs/>
          <w:color w:val="000000" w:themeColor="text1"/>
          <w:sz w:val="24"/>
          <w:szCs w:val="24"/>
          <w:highlight w:val="none"/>
          <w14:textFill>
            <w14:solidFill>
              <w14:schemeClr w14:val="tx1"/>
            </w14:solidFill>
          </w14:textFill>
        </w:rPr>
        <w:t>。</w:t>
      </w:r>
    </w:p>
    <w:p w14:paraId="788FBA47">
      <w:pPr>
        <w:widowControl/>
        <w:spacing w:line="5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（四）付款方式：</w:t>
      </w:r>
    </w:p>
    <w:p w14:paraId="4EFF6011">
      <w:pPr>
        <w:widowControl/>
        <w:spacing w:line="520" w:lineRule="exact"/>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招标控制价审核完成并出具审核报告后，付至完成调整合同价的90%；其余10%在竣工结算审核结束后付清。</w:t>
      </w:r>
    </w:p>
    <w:p w14:paraId="3AA6ACFF">
      <w:pPr>
        <w:widowControl/>
        <w:spacing w:line="520" w:lineRule="exact"/>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（五）质量要求：</w:t>
      </w:r>
    </w:p>
    <w:p w14:paraId="1B0F0740">
      <w:pPr>
        <w:pStyle w:val="4"/>
        <w:widowControl/>
        <w:spacing w:before="0" w:after="0" w:line="520" w:lineRule="exact"/>
        <w:ind w:left="0" w:firstLine="480" w:firstLineChars="200"/>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按合同规定的时限及采购人要求完成预算审核服务，审核承诺误差率不得超过2%。</w:t>
      </w:r>
      <w:r>
        <w:rPr>
          <w:rFonts w:ascii="宋体" w:hAnsi="宋体" w:cs="宋体"/>
          <w:b w:val="0"/>
          <w:bCs w:val="0"/>
          <w:color w:val="000000" w:themeColor="text1"/>
          <w:sz w:val="24"/>
          <w:szCs w:val="24"/>
          <w:highlight w:val="none"/>
          <w14:textFill>
            <w14:solidFill>
              <w14:schemeClr w14:val="tx1"/>
            </w14:solidFill>
          </w14:textFill>
        </w:rPr>
        <w:t>由于</w:t>
      </w:r>
      <w:r>
        <w:rPr>
          <w:rFonts w:hint="eastAsia" w:ascii="宋体" w:hAnsi="宋体" w:cs="宋体"/>
          <w:b w:val="0"/>
          <w:bCs w:val="0"/>
          <w:color w:val="000000" w:themeColor="text1"/>
          <w:sz w:val="24"/>
          <w:szCs w:val="24"/>
          <w:highlight w:val="none"/>
          <w14:textFill>
            <w14:solidFill>
              <w14:schemeClr w14:val="tx1"/>
            </w14:solidFill>
          </w14:textFill>
        </w:rPr>
        <w:t>中签人</w:t>
      </w:r>
      <w:r>
        <w:rPr>
          <w:rFonts w:ascii="宋体" w:hAnsi="宋体" w:cs="宋体"/>
          <w:b w:val="0"/>
          <w:bCs w:val="0"/>
          <w:color w:val="000000" w:themeColor="text1"/>
          <w:sz w:val="24"/>
          <w:szCs w:val="24"/>
          <w:highlight w:val="none"/>
          <w14:textFill>
            <w14:solidFill>
              <w14:schemeClr w14:val="tx1"/>
            </w14:solidFill>
          </w14:textFill>
        </w:rPr>
        <w:t>原因出现漏项、漏量等质量问题，影响造价2%以上的，扣除</w:t>
      </w:r>
      <w:r>
        <w:rPr>
          <w:rFonts w:hint="eastAsia" w:ascii="宋体" w:hAnsi="宋体" w:cs="宋体"/>
          <w:b w:val="0"/>
          <w:bCs w:val="0"/>
          <w:color w:val="000000" w:themeColor="text1"/>
          <w:sz w:val="24"/>
          <w:szCs w:val="24"/>
          <w:highlight w:val="none"/>
          <w14:textFill>
            <w14:solidFill>
              <w14:schemeClr w14:val="tx1"/>
            </w14:solidFill>
          </w14:textFill>
        </w:rPr>
        <w:t>合同金额</w:t>
      </w:r>
      <w:r>
        <w:rPr>
          <w:rFonts w:ascii="宋体" w:hAnsi="宋体" w:cs="宋体"/>
          <w:b w:val="0"/>
          <w:bCs w:val="0"/>
          <w:color w:val="000000" w:themeColor="text1"/>
          <w:sz w:val="24"/>
          <w:szCs w:val="24"/>
          <w:highlight w:val="none"/>
          <w14:textFill>
            <w14:solidFill>
              <w14:schemeClr w14:val="tx1"/>
            </w14:solidFill>
          </w14:textFill>
        </w:rPr>
        <w:t>的25%；影响造价3%以上的，扣除</w:t>
      </w:r>
      <w:r>
        <w:rPr>
          <w:rFonts w:hint="eastAsia" w:ascii="宋体" w:hAnsi="宋体" w:cs="宋体"/>
          <w:b w:val="0"/>
          <w:bCs w:val="0"/>
          <w:color w:val="000000" w:themeColor="text1"/>
          <w:sz w:val="24"/>
          <w:szCs w:val="24"/>
          <w:highlight w:val="none"/>
          <w14:textFill>
            <w14:solidFill>
              <w14:schemeClr w14:val="tx1"/>
            </w14:solidFill>
          </w14:textFill>
        </w:rPr>
        <w:t>合同金额</w:t>
      </w:r>
      <w:r>
        <w:rPr>
          <w:rFonts w:ascii="宋体" w:hAnsi="宋体" w:cs="宋体"/>
          <w:b w:val="0"/>
          <w:bCs w:val="0"/>
          <w:color w:val="000000" w:themeColor="text1"/>
          <w:sz w:val="24"/>
          <w:szCs w:val="24"/>
          <w:highlight w:val="none"/>
          <w14:textFill>
            <w14:solidFill>
              <w14:schemeClr w14:val="tx1"/>
            </w14:solidFill>
          </w14:textFill>
        </w:rPr>
        <w:t>的50%；若出现严重的质量问题，对总造价影响偏差在5%以上的，扣除</w:t>
      </w:r>
      <w:r>
        <w:rPr>
          <w:rFonts w:hint="eastAsia" w:ascii="宋体" w:hAnsi="宋体" w:cs="宋体"/>
          <w:b w:val="0"/>
          <w:bCs w:val="0"/>
          <w:color w:val="000000" w:themeColor="text1"/>
          <w:sz w:val="24"/>
          <w:szCs w:val="24"/>
          <w:highlight w:val="none"/>
          <w14:textFill>
            <w14:solidFill>
              <w14:schemeClr w14:val="tx1"/>
            </w14:solidFill>
          </w14:textFill>
        </w:rPr>
        <w:t>合同金额</w:t>
      </w:r>
      <w:r>
        <w:rPr>
          <w:rFonts w:ascii="宋体" w:hAnsi="宋体" w:cs="宋体"/>
          <w:b w:val="0"/>
          <w:bCs w:val="0"/>
          <w:color w:val="000000" w:themeColor="text1"/>
          <w:sz w:val="24"/>
          <w:szCs w:val="24"/>
          <w:highlight w:val="none"/>
          <w14:textFill>
            <w14:solidFill>
              <w14:schemeClr w14:val="tx1"/>
            </w14:solidFill>
          </w14:textFill>
        </w:rPr>
        <w:t xml:space="preserve">的100%。 </w:t>
      </w:r>
    </w:p>
    <w:p w14:paraId="31536DB1">
      <w:pPr>
        <w:spacing w:line="360" w:lineRule="auto"/>
        <w:ind w:firstLine="480" w:firstLineChars="200"/>
        <w:rPr>
          <w:rFonts w:ascii="宋体" w:hAnsi="宋体" w:cs="宋体"/>
          <w:color w:val="000000" w:themeColor="text1"/>
          <w:sz w:val="24"/>
          <w14:textFill>
            <w14:solidFill>
              <w14:schemeClr w14:val="tx1"/>
            </w14:solidFill>
          </w14:textFill>
        </w:rPr>
      </w:pPr>
    </w:p>
    <w:p w14:paraId="4619E51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27414362">
      <w:pPr>
        <w:spacing w:line="360" w:lineRule="auto"/>
        <w:ind w:firstLine="480" w:firstLineChars="200"/>
        <w:rPr>
          <w:rFonts w:ascii="宋体" w:hAnsi="宋体" w:cs="宋体"/>
          <w:color w:val="000000" w:themeColor="text1"/>
          <w:sz w:val="24"/>
          <w14:textFill>
            <w14:solidFill>
              <w14:schemeClr w14:val="tx1"/>
            </w14:solidFill>
          </w14:textFill>
        </w:rPr>
      </w:pPr>
    </w:p>
    <w:p w14:paraId="127FF2DD">
      <w:pPr>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16" w:name="_Toc184308095"/>
      <w:bookmarkEnd w:id="16"/>
      <w:bookmarkStart w:id="17" w:name="_Toc184312074"/>
      <w:bookmarkEnd w:id="17"/>
      <w:bookmarkStart w:id="18" w:name="_Toc184314426"/>
      <w:bookmarkEnd w:id="18"/>
      <w:bookmarkStart w:id="19" w:name="_Toc184308056"/>
      <w:bookmarkEnd w:id="19"/>
      <w:bookmarkStart w:id="20" w:name="_Toc184310296"/>
      <w:bookmarkEnd w:id="20"/>
      <w:bookmarkStart w:id="21" w:name="_Toc184313271"/>
      <w:bookmarkEnd w:id="21"/>
      <w:bookmarkStart w:id="22" w:name="_Toc184310325"/>
      <w:bookmarkEnd w:id="22"/>
      <w:bookmarkStart w:id="23" w:name="_Toc184314412"/>
      <w:bookmarkEnd w:id="23"/>
      <w:bookmarkStart w:id="24" w:name="_Toc184310318"/>
      <w:bookmarkEnd w:id="24"/>
      <w:bookmarkStart w:id="25" w:name="_Toc184308077"/>
      <w:bookmarkEnd w:id="25"/>
      <w:bookmarkStart w:id="26" w:name="_Toc184312090"/>
      <w:bookmarkEnd w:id="26"/>
      <w:bookmarkStart w:id="27" w:name="_Toc184312078"/>
      <w:bookmarkEnd w:id="27"/>
      <w:bookmarkStart w:id="28" w:name="_Toc184312132"/>
      <w:bookmarkEnd w:id="28"/>
      <w:bookmarkStart w:id="29" w:name="_Toc184310338"/>
      <w:bookmarkEnd w:id="29"/>
      <w:bookmarkStart w:id="30" w:name="_Toc184312077"/>
      <w:bookmarkEnd w:id="30"/>
      <w:bookmarkStart w:id="31" w:name="_Toc184308083"/>
      <w:bookmarkEnd w:id="31"/>
      <w:bookmarkStart w:id="32" w:name="_Toc184310301"/>
      <w:bookmarkEnd w:id="32"/>
      <w:bookmarkStart w:id="33" w:name="_Toc184310292"/>
      <w:bookmarkEnd w:id="33"/>
      <w:bookmarkStart w:id="34" w:name="_Toc184313256"/>
      <w:bookmarkEnd w:id="34"/>
      <w:bookmarkStart w:id="35" w:name="_Toc184313258"/>
      <w:bookmarkEnd w:id="35"/>
      <w:bookmarkStart w:id="36" w:name="_Toc184308081"/>
      <w:bookmarkEnd w:id="36"/>
      <w:bookmarkStart w:id="37" w:name="_Toc184312087"/>
      <w:bookmarkEnd w:id="37"/>
      <w:bookmarkStart w:id="38" w:name="_Toc184313266"/>
      <w:bookmarkEnd w:id="38"/>
      <w:bookmarkStart w:id="39" w:name="_Toc184312072"/>
      <w:bookmarkEnd w:id="39"/>
      <w:bookmarkStart w:id="40" w:name="_Toc184313293"/>
      <w:bookmarkEnd w:id="40"/>
      <w:bookmarkStart w:id="41" w:name="_Toc184308053"/>
      <w:bookmarkEnd w:id="41"/>
      <w:bookmarkStart w:id="42" w:name="_Toc184310310"/>
      <w:bookmarkEnd w:id="42"/>
      <w:bookmarkStart w:id="43" w:name="_Toc184308062"/>
      <w:bookmarkEnd w:id="43"/>
      <w:bookmarkStart w:id="44" w:name="_Toc184314420"/>
      <w:bookmarkEnd w:id="44"/>
      <w:bookmarkStart w:id="45" w:name="_Toc184308044"/>
      <w:bookmarkEnd w:id="45"/>
      <w:bookmarkStart w:id="46" w:name="_Toc184312106"/>
      <w:bookmarkEnd w:id="46"/>
      <w:bookmarkStart w:id="47" w:name="_Toc184312109"/>
      <w:bookmarkEnd w:id="47"/>
      <w:bookmarkStart w:id="48" w:name="_Toc184308093"/>
      <w:bookmarkEnd w:id="48"/>
      <w:bookmarkStart w:id="49" w:name="_Toc184313263"/>
      <w:bookmarkEnd w:id="49"/>
      <w:bookmarkStart w:id="50" w:name="_Toc184314428"/>
      <w:bookmarkEnd w:id="50"/>
      <w:bookmarkStart w:id="51" w:name="_Toc184308038"/>
      <w:bookmarkEnd w:id="51"/>
      <w:bookmarkStart w:id="52" w:name="_Toc184313261"/>
      <w:bookmarkEnd w:id="52"/>
      <w:bookmarkStart w:id="53" w:name="_Toc184314431"/>
      <w:bookmarkEnd w:id="53"/>
      <w:bookmarkStart w:id="54" w:name="_Toc184310300"/>
      <w:bookmarkEnd w:id="54"/>
      <w:bookmarkStart w:id="55" w:name="_Toc184312085"/>
      <w:bookmarkEnd w:id="55"/>
      <w:bookmarkStart w:id="56" w:name="_Toc184312110"/>
      <w:bookmarkEnd w:id="56"/>
      <w:bookmarkStart w:id="57" w:name="_Toc184308072"/>
      <w:bookmarkEnd w:id="57"/>
      <w:bookmarkStart w:id="58" w:name="_Toc184310290"/>
      <w:bookmarkEnd w:id="58"/>
      <w:bookmarkStart w:id="59" w:name="_Toc184312113"/>
      <w:bookmarkEnd w:id="59"/>
      <w:bookmarkStart w:id="60" w:name="_Toc184310279"/>
      <w:bookmarkEnd w:id="60"/>
      <w:bookmarkStart w:id="61" w:name="_Toc184314436"/>
      <w:bookmarkEnd w:id="61"/>
      <w:bookmarkStart w:id="62" w:name="_Toc184314443"/>
      <w:bookmarkEnd w:id="62"/>
      <w:bookmarkStart w:id="63" w:name="_Toc184308098"/>
      <w:bookmarkEnd w:id="63"/>
      <w:bookmarkStart w:id="64" w:name="_Toc184313268"/>
      <w:bookmarkEnd w:id="64"/>
      <w:bookmarkStart w:id="65" w:name="_Toc184313286"/>
      <w:bookmarkEnd w:id="65"/>
      <w:bookmarkStart w:id="66" w:name="_Toc184314465"/>
      <w:bookmarkEnd w:id="66"/>
      <w:bookmarkStart w:id="67" w:name="_Toc184308060"/>
      <w:bookmarkEnd w:id="67"/>
      <w:bookmarkStart w:id="68" w:name="_Toc184308108"/>
      <w:bookmarkEnd w:id="68"/>
      <w:bookmarkStart w:id="69" w:name="_Toc184308037"/>
      <w:bookmarkEnd w:id="69"/>
      <w:bookmarkStart w:id="70" w:name="_Toc184308088"/>
      <w:bookmarkEnd w:id="70"/>
      <w:bookmarkStart w:id="71" w:name="_Toc184312115"/>
      <w:bookmarkEnd w:id="71"/>
      <w:bookmarkStart w:id="72" w:name="_Toc184312091"/>
      <w:bookmarkEnd w:id="72"/>
      <w:bookmarkStart w:id="73" w:name="_Toc184314432"/>
      <w:bookmarkEnd w:id="73"/>
      <w:bookmarkStart w:id="74" w:name="_Toc184313238"/>
      <w:bookmarkEnd w:id="74"/>
      <w:bookmarkStart w:id="75" w:name="_Toc184312088"/>
      <w:bookmarkEnd w:id="75"/>
      <w:bookmarkStart w:id="76" w:name="_Toc184312117"/>
      <w:bookmarkEnd w:id="76"/>
      <w:bookmarkStart w:id="77" w:name="_Toc184310324"/>
      <w:bookmarkEnd w:id="77"/>
      <w:bookmarkStart w:id="78" w:name="_Toc184308075"/>
      <w:bookmarkEnd w:id="78"/>
      <w:bookmarkStart w:id="79" w:name="_Toc184308089"/>
      <w:bookmarkEnd w:id="79"/>
      <w:bookmarkStart w:id="80" w:name="_Toc184314471"/>
      <w:bookmarkEnd w:id="80"/>
      <w:bookmarkStart w:id="81" w:name="_Toc184310343"/>
      <w:bookmarkEnd w:id="81"/>
      <w:bookmarkStart w:id="82" w:name="_Toc184310329"/>
      <w:bookmarkEnd w:id="82"/>
      <w:bookmarkStart w:id="83" w:name="_Toc184310340"/>
      <w:bookmarkEnd w:id="83"/>
      <w:bookmarkStart w:id="84" w:name="_Toc184308045"/>
      <w:bookmarkEnd w:id="84"/>
      <w:bookmarkStart w:id="85" w:name="_Toc184312108"/>
      <w:bookmarkEnd w:id="85"/>
      <w:bookmarkStart w:id="86" w:name="_Toc184308079"/>
      <w:bookmarkEnd w:id="86"/>
      <w:bookmarkStart w:id="87" w:name="_Toc184308069"/>
      <w:bookmarkEnd w:id="87"/>
      <w:bookmarkStart w:id="88" w:name="_Toc184310308"/>
      <w:bookmarkEnd w:id="88"/>
      <w:bookmarkStart w:id="89" w:name="_Toc184308101"/>
      <w:bookmarkEnd w:id="89"/>
      <w:bookmarkStart w:id="90" w:name="_Toc184313264"/>
      <w:bookmarkEnd w:id="90"/>
      <w:bookmarkStart w:id="91" w:name="_Toc184313307"/>
      <w:bookmarkEnd w:id="91"/>
      <w:bookmarkStart w:id="92" w:name="_Toc184312128"/>
      <w:bookmarkEnd w:id="92"/>
      <w:bookmarkStart w:id="93" w:name="_Toc184313269"/>
      <w:bookmarkEnd w:id="93"/>
      <w:bookmarkStart w:id="94" w:name="_Toc184312114"/>
      <w:bookmarkEnd w:id="94"/>
      <w:bookmarkStart w:id="95" w:name="_Toc184310304"/>
      <w:bookmarkEnd w:id="95"/>
      <w:bookmarkStart w:id="96" w:name="_Toc184312098"/>
      <w:bookmarkEnd w:id="96"/>
      <w:bookmarkStart w:id="97" w:name="_Toc184312136"/>
      <w:bookmarkEnd w:id="97"/>
      <w:bookmarkStart w:id="98" w:name="_Toc184310341"/>
      <w:bookmarkEnd w:id="98"/>
      <w:bookmarkStart w:id="99" w:name="_Toc184314468"/>
      <w:bookmarkEnd w:id="99"/>
      <w:bookmarkStart w:id="100" w:name="_Toc184313289"/>
      <w:bookmarkEnd w:id="100"/>
      <w:bookmarkStart w:id="101" w:name="_Toc184314415"/>
      <w:bookmarkEnd w:id="101"/>
      <w:bookmarkStart w:id="102" w:name="_Toc184314449"/>
      <w:bookmarkEnd w:id="102"/>
      <w:bookmarkStart w:id="103" w:name="_Toc184312125"/>
      <w:bookmarkEnd w:id="103"/>
      <w:bookmarkStart w:id="104" w:name="_Toc184314417"/>
      <w:bookmarkEnd w:id="104"/>
      <w:bookmarkStart w:id="105" w:name="_Toc184314434"/>
      <w:bookmarkEnd w:id="105"/>
      <w:bookmarkStart w:id="106" w:name="_Toc184313291"/>
      <w:bookmarkEnd w:id="106"/>
      <w:bookmarkStart w:id="107" w:name="_Toc184313262"/>
      <w:bookmarkEnd w:id="107"/>
      <w:bookmarkStart w:id="108" w:name="_Toc184314463"/>
      <w:bookmarkEnd w:id="108"/>
      <w:bookmarkStart w:id="109" w:name="_Toc184312101"/>
      <w:bookmarkEnd w:id="109"/>
      <w:bookmarkStart w:id="110" w:name="_Toc184308058"/>
      <w:bookmarkEnd w:id="110"/>
      <w:bookmarkStart w:id="111" w:name="_Toc184312099"/>
      <w:bookmarkEnd w:id="111"/>
      <w:bookmarkStart w:id="112" w:name="_Toc184314455"/>
      <w:bookmarkEnd w:id="112"/>
      <w:bookmarkStart w:id="113" w:name="_Toc184310336"/>
      <w:bookmarkEnd w:id="113"/>
      <w:bookmarkStart w:id="114" w:name="_Toc184312139"/>
      <w:bookmarkEnd w:id="114"/>
      <w:bookmarkStart w:id="115" w:name="_Toc184308080"/>
      <w:bookmarkEnd w:id="115"/>
      <w:bookmarkStart w:id="116" w:name="_Toc184313255"/>
      <w:bookmarkEnd w:id="116"/>
      <w:bookmarkStart w:id="117" w:name="_Toc184308071"/>
      <w:bookmarkEnd w:id="117"/>
      <w:bookmarkStart w:id="118" w:name="_Toc184310330"/>
      <w:bookmarkEnd w:id="118"/>
      <w:bookmarkStart w:id="119" w:name="_Toc184313249"/>
      <w:bookmarkEnd w:id="119"/>
      <w:bookmarkStart w:id="120" w:name="_Toc184314470"/>
      <w:bookmarkEnd w:id="120"/>
      <w:bookmarkStart w:id="121" w:name="_Toc184312138"/>
      <w:bookmarkEnd w:id="121"/>
      <w:bookmarkStart w:id="122" w:name="_Toc184308040"/>
      <w:bookmarkEnd w:id="122"/>
      <w:bookmarkStart w:id="123" w:name="_Toc184310277"/>
      <w:bookmarkEnd w:id="123"/>
      <w:bookmarkStart w:id="124" w:name="_Toc184313290"/>
      <w:bookmarkEnd w:id="124"/>
      <w:bookmarkStart w:id="125" w:name="_Toc184308049"/>
      <w:bookmarkEnd w:id="125"/>
      <w:bookmarkStart w:id="126" w:name="_Toc184313267"/>
      <w:bookmarkEnd w:id="126"/>
      <w:bookmarkStart w:id="127" w:name="_Toc184310334"/>
      <w:bookmarkEnd w:id="127"/>
      <w:bookmarkStart w:id="128" w:name="_Toc184314476"/>
      <w:bookmarkEnd w:id="128"/>
      <w:bookmarkStart w:id="129" w:name="_Toc184308067"/>
      <w:bookmarkEnd w:id="129"/>
      <w:bookmarkStart w:id="130" w:name="_Toc184313243"/>
      <w:bookmarkEnd w:id="130"/>
      <w:bookmarkStart w:id="131" w:name="_Toc184314462"/>
      <w:bookmarkEnd w:id="131"/>
      <w:bookmarkStart w:id="132" w:name="_Toc184312083"/>
      <w:bookmarkEnd w:id="132"/>
      <w:bookmarkStart w:id="133" w:name="_Toc184314475"/>
      <w:bookmarkEnd w:id="133"/>
      <w:bookmarkStart w:id="134" w:name="_Toc184308086"/>
      <w:bookmarkEnd w:id="134"/>
      <w:bookmarkStart w:id="135" w:name="_Toc184310305"/>
      <w:bookmarkEnd w:id="135"/>
      <w:bookmarkStart w:id="136" w:name="_Toc184313253"/>
      <w:bookmarkEnd w:id="136"/>
      <w:bookmarkStart w:id="137" w:name="_Toc184314458"/>
      <w:bookmarkEnd w:id="137"/>
      <w:bookmarkStart w:id="138" w:name="_Toc184313247"/>
      <w:bookmarkEnd w:id="138"/>
      <w:bookmarkStart w:id="139" w:name="_Toc184312134"/>
      <w:bookmarkEnd w:id="139"/>
      <w:bookmarkStart w:id="140" w:name="_Toc184312089"/>
      <w:bookmarkEnd w:id="140"/>
      <w:bookmarkStart w:id="141" w:name="_Toc184314440"/>
      <w:bookmarkEnd w:id="141"/>
      <w:bookmarkStart w:id="142" w:name="_Toc184314466"/>
      <w:bookmarkEnd w:id="142"/>
      <w:bookmarkStart w:id="143" w:name="_Toc184312096"/>
      <w:bookmarkEnd w:id="143"/>
      <w:bookmarkStart w:id="144" w:name="_Toc184312071"/>
      <w:bookmarkEnd w:id="144"/>
      <w:bookmarkStart w:id="145" w:name="_Toc184310293"/>
      <w:bookmarkEnd w:id="145"/>
      <w:bookmarkStart w:id="146" w:name="_Toc184314461"/>
      <w:bookmarkEnd w:id="146"/>
      <w:bookmarkStart w:id="147" w:name="_Toc184310299"/>
      <w:bookmarkEnd w:id="147"/>
      <w:bookmarkStart w:id="148" w:name="_Toc184314457"/>
      <w:bookmarkEnd w:id="148"/>
      <w:bookmarkStart w:id="149" w:name="_Toc184313300"/>
      <w:bookmarkEnd w:id="149"/>
      <w:bookmarkStart w:id="150" w:name="_Toc184314427"/>
      <w:bookmarkEnd w:id="150"/>
      <w:bookmarkStart w:id="151" w:name="_Toc184308066"/>
      <w:bookmarkEnd w:id="151"/>
      <w:bookmarkStart w:id="152" w:name="_Toc184310294"/>
      <w:bookmarkEnd w:id="152"/>
      <w:bookmarkStart w:id="153" w:name="_Toc184312111"/>
      <w:bookmarkEnd w:id="153"/>
      <w:bookmarkStart w:id="154" w:name="_Toc184310314"/>
      <w:bookmarkEnd w:id="154"/>
      <w:bookmarkStart w:id="155" w:name="_Toc184308100"/>
      <w:bookmarkEnd w:id="155"/>
      <w:bookmarkStart w:id="156" w:name="_Toc184314423"/>
      <w:bookmarkEnd w:id="156"/>
      <w:bookmarkStart w:id="157" w:name="_Toc184310285"/>
      <w:bookmarkEnd w:id="157"/>
      <w:bookmarkStart w:id="158" w:name="_Toc184312100"/>
      <w:bookmarkEnd w:id="158"/>
      <w:bookmarkStart w:id="159" w:name="_Toc184310332"/>
      <w:bookmarkEnd w:id="159"/>
      <w:bookmarkStart w:id="160" w:name="_Toc184308052"/>
      <w:bookmarkEnd w:id="160"/>
      <w:bookmarkStart w:id="161" w:name="_Toc184310313"/>
      <w:bookmarkEnd w:id="161"/>
      <w:bookmarkStart w:id="162" w:name="_Toc184310306"/>
      <w:bookmarkEnd w:id="162"/>
      <w:bookmarkStart w:id="163" w:name="_Toc184314416"/>
      <w:bookmarkEnd w:id="163"/>
      <w:bookmarkStart w:id="164" w:name="_Toc184308087"/>
      <w:bookmarkEnd w:id="164"/>
      <w:bookmarkStart w:id="165" w:name="_Toc184314424"/>
      <w:bookmarkEnd w:id="165"/>
      <w:bookmarkStart w:id="166" w:name="_Toc184312076"/>
      <w:bookmarkEnd w:id="166"/>
      <w:bookmarkStart w:id="167" w:name="_Toc184314456"/>
      <w:bookmarkEnd w:id="167"/>
      <w:bookmarkStart w:id="168" w:name="_Toc184308085"/>
      <w:bookmarkEnd w:id="168"/>
      <w:bookmarkStart w:id="169" w:name="_Toc184312130"/>
      <w:bookmarkEnd w:id="169"/>
      <w:bookmarkStart w:id="170" w:name="_Toc184312069"/>
      <w:bookmarkEnd w:id="170"/>
      <w:bookmarkStart w:id="171" w:name="_Toc184313283"/>
      <w:bookmarkEnd w:id="171"/>
      <w:bookmarkStart w:id="172" w:name="_Toc184310311"/>
      <w:bookmarkEnd w:id="172"/>
      <w:bookmarkStart w:id="173" w:name="_Toc184310275"/>
      <w:bookmarkEnd w:id="173"/>
      <w:bookmarkStart w:id="174" w:name="_Toc184308064"/>
      <w:bookmarkEnd w:id="174"/>
      <w:bookmarkStart w:id="175" w:name="_Toc184308074"/>
      <w:bookmarkEnd w:id="175"/>
      <w:bookmarkStart w:id="176" w:name="_Toc184310312"/>
      <w:bookmarkEnd w:id="176"/>
      <w:bookmarkStart w:id="177" w:name="_Toc184314435"/>
      <w:bookmarkEnd w:id="177"/>
      <w:bookmarkStart w:id="178" w:name="_Toc184314481"/>
      <w:bookmarkEnd w:id="178"/>
      <w:bookmarkStart w:id="179" w:name="_Toc184310284"/>
      <w:bookmarkEnd w:id="179"/>
      <w:bookmarkStart w:id="180" w:name="_Toc184308090"/>
      <w:bookmarkEnd w:id="180"/>
      <w:bookmarkStart w:id="181" w:name="_Toc184312097"/>
      <w:bookmarkEnd w:id="181"/>
      <w:bookmarkStart w:id="182" w:name="_Toc184310335"/>
      <w:bookmarkEnd w:id="182"/>
      <w:bookmarkStart w:id="183" w:name="_Toc184313292"/>
      <w:bookmarkEnd w:id="183"/>
      <w:bookmarkStart w:id="184" w:name="_Toc184310315"/>
      <w:bookmarkEnd w:id="184"/>
      <w:bookmarkStart w:id="185" w:name="_Toc184308043"/>
      <w:bookmarkEnd w:id="185"/>
      <w:bookmarkStart w:id="186" w:name="_Toc184313296"/>
      <w:bookmarkEnd w:id="186"/>
      <w:bookmarkStart w:id="187" w:name="_Toc184312123"/>
      <w:bookmarkEnd w:id="187"/>
      <w:bookmarkStart w:id="188" w:name="_Toc184312112"/>
      <w:bookmarkEnd w:id="188"/>
      <w:bookmarkStart w:id="189" w:name="_Toc184313299"/>
      <w:bookmarkEnd w:id="189"/>
      <w:bookmarkStart w:id="190" w:name="_Toc184312081"/>
      <w:bookmarkEnd w:id="190"/>
      <w:bookmarkStart w:id="191" w:name="_Toc184313310"/>
      <w:bookmarkEnd w:id="191"/>
      <w:bookmarkStart w:id="192" w:name="_Toc184310291"/>
      <w:bookmarkEnd w:id="192"/>
      <w:bookmarkStart w:id="193" w:name="_Toc184310316"/>
      <w:bookmarkEnd w:id="193"/>
      <w:bookmarkStart w:id="194" w:name="_Toc184310281"/>
      <w:bookmarkEnd w:id="194"/>
      <w:bookmarkStart w:id="195" w:name="_Toc184313285"/>
      <w:bookmarkEnd w:id="195"/>
      <w:bookmarkStart w:id="196" w:name="_Toc184314445"/>
      <w:bookmarkEnd w:id="196"/>
      <w:bookmarkStart w:id="197" w:name="_Toc184312133"/>
      <w:bookmarkEnd w:id="197"/>
      <w:bookmarkStart w:id="198" w:name="_Toc184313239"/>
      <w:bookmarkEnd w:id="198"/>
      <w:bookmarkStart w:id="199" w:name="_Toc184314414"/>
      <w:bookmarkEnd w:id="199"/>
      <w:bookmarkStart w:id="200" w:name="_Toc184314442"/>
      <w:bookmarkEnd w:id="200"/>
      <w:bookmarkStart w:id="201" w:name="_Toc184308042"/>
      <w:bookmarkEnd w:id="201"/>
      <w:bookmarkStart w:id="202" w:name="_Toc184310295"/>
      <w:bookmarkEnd w:id="202"/>
      <w:bookmarkStart w:id="203" w:name="_Toc184314444"/>
      <w:bookmarkEnd w:id="203"/>
      <w:bookmarkStart w:id="204" w:name="_Toc184314425"/>
      <w:bookmarkEnd w:id="204"/>
      <w:bookmarkStart w:id="205" w:name="_Toc184308065"/>
      <w:bookmarkEnd w:id="205"/>
      <w:bookmarkStart w:id="206" w:name="_Toc184310339"/>
      <w:bookmarkEnd w:id="206"/>
      <w:bookmarkStart w:id="207" w:name="_Toc184308105"/>
      <w:bookmarkEnd w:id="207"/>
      <w:bookmarkStart w:id="208" w:name="_Toc184310327"/>
      <w:bookmarkEnd w:id="208"/>
      <w:bookmarkStart w:id="209" w:name="_Toc184310319"/>
      <w:bookmarkEnd w:id="209"/>
      <w:bookmarkStart w:id="210" w:name="_Toc184312105"/>
      <w:bookmarkEnd w:id="210"/>
      <w:bookmarkStart w:id="211" w:name="_Toc184310333"/>
      <w:bookmarkEnd w:id="211"/>
      <w:bookmarkStart w:id="212" w:name="_Toc184308046"/>
      <w:bookmarkEnd w:id="212"/>
      <w:bookmarkStart w:id="213" w:name="_Toc184310342"/>
      <w:bookmarkEnd w:id="213"/>
      <w:bookmarkStart w:id="214" w:name="_Toc184313272"/>
      <w:bookmarkEnd w:id="214"/>
      <w:bookmarkStart w:id="215" w:name="_Toc184308048"/>
      <w:bookmarkEnd w:id="215"/>
      <w:bookmarkStart w:id="216" w:name="_Toc184308107"/>
      <w:bookmarkEnd w:id="216"/>
      <w:bookmarkStart w:id="217" w:name="_Toc184310322"/>
      <w:bookmarkEnd w:id="217"/>
      <w:bookmarkStart w:id="218" w:name="_Toc184314437"/>
      <w:bookmarkEnd w:id="218"/>
      <w:bookmarkStart w:id="219" w:name="_Toc184310289"/>
      <w:bookmarkEnd w:id="219"/>
      <w:bookmarkStart w:id="220" w:name="_Toc184314439"/>
      <w:bookmarkEnd w:id="220"/>
      <w:bookmarkStart w:id="221" w:name="_Toc184314473"/>
      <w:bookmarkEnd w:id="221"/>
      <w:bookmarkStart w:id="222" w:name="_Toc184312121"/>
      <w:bookmarkEnd w:id="222"/>
      <w:bookmarkStart w:id="223" w:name="_Toc184312092"/>
      <w:bookmarkEnd w:id="223"/>
      <w:bookmarkStart w:id="224" w:name="_Toc184308078"/>
      <w:bookmarkEnd w:id="224"/>
      <w:bookmarkStart w:id="225" w:name="_Toc184314464"/>
      <w:bookmarkEnd w:id="225"/>
      <w:bookmarkStart w:id="226" w:name="_Toc184313280"/>
      <w:bookmarkEnd w:id="226"/>
      <w:bookmarkStart w:id="227" w:name="_Toc184310321"/>
      <w:bookmarkEnd w:id="227"/>
      <w:bookmarkStart w:id="228" w:name="_Toc184312118"/>
      <w:bookmarkEnd w:id="228"/>
      <w:bookmarkStart w:id="229" w:name="_Toc184308039"/>
      <w:bookmarkEnd w:id="229"/>
      <w:bookmarkStart w:id="230" w:name="_Toc184310331"/>
      <w:bookmarkEnd w:id="230"/>
      <w:bookmarkStart w:id="231" w:name="_Toc184312102"/>
      <w:bookmarkEnd w:id="231"/>
      <w:bookmarkStart w:id="232" w:name="_Toc184313287"/>
      <w:bookmarkEnd w:id="232"/>
      <w:bookmarkStart w:id="233" w:name="_Toc184314480"/>
      <w:bookmarkEnd w:id="233"/>
      <w:bookmarkStart w:id="234" w:name="_Toc184313301"/>
      <w:bookmarkEnd w:id="234"/>
      <w:bookmarkStart w:id="235" w:name="_Toc184313241"/>
      <w:bookmarkEnd w:id="235"/>
      <w:bookmarkStart w:id="236" w:name="_Toc184312082"/>
      <w:bookmarkEnd w:id="236"/>
      <w:bookmarkStart w:id="237" w:name="_Toc184310302"/>
      <w:bookmarkEnd w:id="237"/>
      <w:bookmarkStart w:id="238" w:name="_Toc184314418"/>
      <w:bookmarkEnd w:id="238"/>
      <w:bookmarkStart w:id="239" w:name="_Toc184308057"/>
      <w:bookmarkEnd w:id="239"/>
      <w:bookmarkStart w:id="240" w:name="_Toc184313308"/>
      <w:bookmarkEnd w:id="240"/>
      <w:bookmarkStart w:id="241" w:name="_Toc184314460"/>
      <w:bookmarkEnd w:id="241"/>
      <w:bookmarkStart w:id="242" w:name="_Toc184313306"/>
      <w:bookmarkEnd w:id="242"/>
      <w:bookmarkStart w:id="243" w:name="_Toc184308094"/>
      <w:bookmarkEnd w:id="243"/>
      <w:bookmarkStart w:id="244" w:name="_Toc184314413"/>
      <w:bookmarkEnd w:id="244"/>
      <w:bookmarkStart w:id="245" w:name="_Toc184308092"/>
      <w:bookmarkEnd w:id="245"/>
      <w:bookmarkStart w:id="246" w:name="_Toc184312119"/>
      <w:bookmarkEnd w:id="246"/>
      <w:bookmarkStart w:id="247" w:name="_Toc184310276"/>
      <w:bookmarkEnd w:id="247"/>
      <w:bookmarkStart w:id="248" w:name="_Toc184313288"/>
      <w:bookmarkEnd w:id="248"/>
      <w:bookmarkStart w:id="249" w:name="_Toc184314422"/>
      <w:bookmarkEnd w:id="249"/>
      <w:bookmarkStart w:id="250" w:name="_Toc184314441"/>
      <w:bookmarkEnd w:id="250"/>
      <w:bookmarkStart w:id="251" w:name="_Toc184310307"/>
      <w:bookmarkEnd w:id="251"/>
      <w:bookmarkStart w:id="252" w:name="_Toc184312067"/>
      <w:bookmarkEnd w:id="252"/>
      <w:bookmarkStart w:id="253" w:name="_Toc184308070"/>
      <w:bookmarkEnd w:id="253"/>
      <w:bookmarkStart w:id="254" w:name="_Toc184310317"/>
      <w:bookmarkEnd w:id="254"/>
      <w:bookmarkStart w:id="255" w:name="_Toc184308103"/>
      <w:bookmarkEnd w:id="255"/>
      <w:bookmarkStart w:id="256" w:name="_Toc184312103"/>
      <w:bookmarkEnd w:id="256"/>
      <w:bookmarkStart w:id="257" w:name="_Toc184308104"/>
      <w:bookmarkEnd w:id="257"/>
      <w:bookmarkStart w:id="258" w:name="_Toc184308068"/>
      <w:bookmarkEnd w:id="258"/>
      <w:bookmarkStart w:id="259" w:name="_Toc184312075"/>
      <w:bookmarkEnd w:id="259"/>
      <w:bookmarkStart w:id="260" w:name="_Toc184310286"/>
      <w:bookmarkEnd w:id="260"/>
      <w:bookmarkStart w:id="261" w:name="_Toc184313246"/>
      <w:bookmarkEnd w:id="261"/>
      <w:bookmarkStart w:id="262" w:name="_Toc184314448"/>
      <w:bookmarkEnd w:id="262"/>
      <w:bookmarkStart w:id="263" w:name="_Toc184314459"/>
      <w:bookmarkEnd w:id="263"/>
      <w:bookmarkStart w:id="264" w:name="_Toc184312073"/>
      <w:bookmarkEnd w:id="264"/>
      <w:bookmarkStart w:id="265" w:name="_Toc184310326"/>
      <w:bookmarkEnd w:id="265"/>
      <w:bookmarkStart w:id="266" w:name="_Toc184313257"/>
      <w:bookmarkEnd w:id="266"/>
      <w:bookmarkStart w:id="267" w:name="_Toc184312068"/>
      <w:bookmarkEnd w:id="267"/>
      <w:bookmarkStart w:id="268" w:name="_Toc184310309"/>
      <w:bookmarkEnd w:id="268"/>
      <w:bookmarkStart w:id="269" w:name="_Toc184313304"/>
      <w:bookmarkEnd w:id="269"/>
      <w:bookmarkStart w:id="270" w:name="_Toc184314454"/>
      <w:bookmarkEnd w:id="270"/>
      <w:bookmarkStart w:id="271" w:name="_Toc184310278"/>
      <w:bookmarkEnd w:id="271"/>
      <w:bookmarkStart w:id="272" w:name="_Toc184313294"/>
      <w:bookmarkEnd w:id="272"/>
      <w:bookmarkStart w:id="273" w:name="_Toc184314438"/>
      <w:bookmarkEnd w:id="273"/>
      <w:bookmarkStart w:id="274" w:name="_Toc184314446"/>
      <w:bookmarkEnd w:id="274"/>
      <w:bookmarkStart w:id="275" w:name="_Toc184308061"/>
      <w:bookmarkEnd w:id="275"/>
      <w:bookmarkStart w:id="276" w:name="_Toc184313275"/>
      <w:bookmarkEnd w:id="276"/>
      <w:bookmarkStart w:id="277" w:name="_Toc184313295"/>
      <w:bookmarkEnd w:id="277"/>
      <w:bookmarkStart w:id="278" w:name="_Toc184313274"/>
      <w:bookmarkEnd w:id="278"/>
      <w:bookmarkStart w:id="279" w:name="_Toc184314452"/>
      <w:bookmarkEnd w:id="279"/>
      <w:bookmarkStart w:id="280" w:name="_Toc184313244"/>
      <w:bookmarkEnd w:id="280"/>
      <w:bookmarkStart w:id="281" w:name="_Toc184308102"/>
      <w:bookmarkEnd w:id="281"/>
      <w:bookmarkStart w:id="282" w:name="_Toc184308051"/>
      <w:bookmarkEnd w:id="282"/>
      <w:bookmarkStart w:id="283" w:name="_Toc184310282"/>
      <w:bookmarkEnd w:id="283"/>
      <w:bookmarkStart w:id="284" w:name="_Toc184313303"/>
      <w:bookmarkEnd w:id="284"/>
      <w:bookmarkStart w:id="285" w:name="_Toc184314450"/>
      <w:bookmarkEnd w:id="285"/>
      <w:bookmarkStart w:id="286" w:name="_Toc184312104"/>
      <w:bookmarkEnd w:id="286"/>
      <w:bookmarkStart w:id="287" w:name="_Toc184310283"/>
      <w:bookmarkEnd w:id="287"/>
      <w:bookmarkStart w:id="288" w:name="_Toc184314451"/>
      <w:bookmarkEnd w:id="288"/>
      <w:bookmarkStart w:id="289" w:name="_Toc184314478"/>
      <w:bookmarkEnd w:id="289"/>
      <w:bookmarkStart w:id="290" w:name="_Toc184310328"/>
      <w:bookmarkEnd w:id="290"/>
      <w:bookmarkStart w:id="291" w:name="_Toc184312107"/>
      <w:bookmarkEnd w:id="291"/>
      <w:bookmarkStart w:id="292" w:name="_Toc184313254"/>
      <w:bookmarkEnd w:id="292"/>
      <w:bookmarkStart w:id="293" w:name="_Toc184312120"/>
      <w:bookmarkEnd w:id="293"/>
      <w:bookmarkStart w:id="294" w:name="_Toc184314421"/>
      <w:bookmarkEnd w:id="294"/>
      <w:bookmarkStart w:id="295" w:name="_Toc184312095"/>
      <w:bookmarkEnd w:id="295"/>
      <w:bookmarkStart w:id="296" w:name="_Toc184314467"/>
      <w:bookmarkEnd w:id="296"/>
      <w:bookmarkStart w:id="297" w:name="_Toc184310297"/>
      <w:bookmarkEnd w:id="297"/>
      <w:bookmarkStart w:id="298" w:name="_Toc184313251"/>
      <w:bookmarkEnd w:id="298"/>
      <w:bookmarkStart w:id="299" w:name="_Toc184314433"/>
      <w:bookmarkEnd w:id="299"/>
      <w:bookmarkStart w:id="300" w:name="_Toc184308099"/>
      <w:bookmarkEnd w:id="300"/>
      <w:bookmarkStart w:id="301" w:name="_Toc184312093"/>
      <w:bookmarkEnd w:id="301"/>
      <w:bookmarkStart w:id="302" w:name="_Toc184310303"/>
      <w:bookmarkEnd w:id="302"/>
      <w:bookmarkStart w:id="303" w:name="_Toc184308059"/>
      <w:bookmarkEnd w:id="303"/>
      <w:bookmarkStart w:id="304" w:name="_Toc184310320"/>
      <w:bookmarkEnd w:id="304"/>
      <w:bookmarkStart w:id="305" w:name="_Toc184312135"/>
      <w:bookmarkEnd w:id="305"/>
      <w:bookmarkStart w:id="306" w:name="_Toc184310280"/>
      <w:bookmarkEnd w:id="306"/>
      <w:bookmarkStart w:id="307" w:name="_Toc184310273"/>
      <w:bookmarkEnd w:id="307"/>
      <w:bookmarkStart w:id="308" w:name="_Toc184310344"/>
      <w:bookmarkEnd w:id="308"/>
      <w:bookmarkStart w:id="309" w:name="_Toc184310272"/>
      <w:bookmarkEnd w:id="309"/>
      <w:bookmarkStart w:id="310" w:name="_Toc184314472"/>
      <w:bookmarkEnd w:id="310"/>
      <w:bookmarkStart w:id="311" w:name="_Toc184313265"/>
      <w:bookmarkEnd w:id="311"/>
      <w:bookmarkStart w:id="312" w:name="_Toc184314469"/>
      <w:bookmarkEnd w:id="312"/>
      <w:bookmarkStart w:id="313" w:name="_Toc184314430"/>
      <w:bookmarkEnd w:id="313"/>
      <w:bookmarkStart w:id="314" w:name="_Toc184308055"/>
      <w:bookmarkEnd w:id="314"/>
      <w:bookmarkStart w:id="315" w:name="_Toc184312129"/>
      <w:bookmarkEnd w:id="315"/>
      <w:bookmarkStart w:id="316" w:name="_Toc184313259"/>
      <w:bookmarkEnd w:id="316"/>
      <w:bookmarkStart w:id="317" w:name="_Toc184310323"/>
      <w:bookmarkEnd w:id="317"/>
      <w:bookmarkStart w:id="318" w:name="_Toc184314479"/>
      <w:bookmarkEnd w:id="318"/>
      <w:bookmarkStart w:id="319" w:name="_Toc184312126"/>
      <w:bookmarkEnd w:id="319"/>
      <w:bookmarkStart w:id="320" w:name="_Toc184313278"/>
      <w:bookmarkEnd w:id="320"/>
      <w:bookmarkStart w:id="321" w:name="_Toc184313282"/>
      <w:bookmarkEnd w:id="321"/>
      <w:bookmarkStart w:id="322" w:name="_Toc184312122"/>
      <w:bookmarkEnd w:id="322"/>
      <w:bookmarkStart w:id="323" w:name="_Toc184312094"/>
      <w:bookmarkEnd w:id="323"/>
      <w:bookmarkStart w:id="324" w:name="_Toc184314410"/>
      <w:bookmarkEnd w:id="324"/>
      <w:bookmarkStart w:id="325" w:name="_Toc184312070"/>
      <w:bookmarkEnd w:id="325"/>
      <w:bookmarkStart w:id="326" w:name="_Toc184313298"/>
      <w:bookmarkEnd w:id="326"/>
      <w:bookmarkStart w:id="327" w:name="_Toc184313252"/>
      <w:bookmarkEnd w:id="327"/>
      <w:bookmarkStart w:id="328" w:name="_Toc184312079"/>
      <w:bookmarkEnd w:id="328"/>
      <w:bookmarkStart w:id="329" w:name="_Toc184308091"/>
      <w:bookmarkEnd w:id="329"/>
      <w:bookmarkStart w:id="330" w:name="_Toc184310298"/>
      <w:bookmarkEnd w:id="330"/>
      <w:bookmarkStart w:id="331" w:name="_Toc184313273"/>
      <w:bookmarkEnd w:id="331"/>
      <w:bookmarkStart w:id="332" w:name="_Toc184308054"/>
      <w:bookmarkEnd w:id="332"/>
      <w:bookmarkStart w:id="333" w:name="_Toc184313245"/>
      <w:bookmarkEnd w:id="333"/>
      <w:bookmarkStart w:id="334" w:name="_Toc184313276"/>
      <w:bookmarkEnd w:id="334"/>
      <w:bookmarkStart w:id="335" w:name="_Toc184313305"/>
      <w:bookmarkEnd w:id="335"/>
      <w:bookmarkStart w:id="336" w:name="_Toc184313248"/>
      <w:bookmarkEnd w:id="336"/>
      <w:bookmarkStart w:id="337" w:name="_Toc184313302"/>
      <w:bookmarkEnd w:id="337"/>
      <w:bookmarkStart w:id="338" w:name="_Toc184313281"/>
      <w:bookmarkEnd w:id="338"/>
      <w:bookmarkStart w:id="339" w:name="_Toc184310287"/>
      <w:bookmarkEnd w:id="339"/>
      <w:bookmarkStart w:id="340" w:name="_Toc184308084"/>
      <w:bookmarkEnd w:id="340"/>
      <w:bookmarkStart w:id="341" w:name="_Toc184313242"/>
      <w:bookmarkEnd w:id="341"/>
      <w:bookmarkStart w:id="342" w:name="_Toc184312080"/>
      <w:bookmarkEnd w:id="342"/>
      <w:bookmarkStart w:id="343" w:name="_Toc184313279"/>
      <w:bookmarkEnd w:id="343"/>
      <w:bookmarkStart w:id="344" w:name="_Toc184312137"/>
      <w:bookmarkEnd w:id="344"/>
      <w:bookmarkStart w:id="345" w:name="_Toc184313240"/>
      <w:bookmarkEnd w:id="345"/>
      <w:bookmarkStart w:id="346" w:name="_Toc184313250"/>
      <w:bookmarkEnd w:id="346"/>
      <w:bookmarkStart w:id="347" w:name="_Toc184308096"/>
      <w:bookmarkEnd w:id="347"/>
      <w:bookmarkStart w:id="348" w:name="_Toc184312086"/>
      <w:bookmarkEnd w:id="348"/>
      <w:bookmarkStart w:id="349" w:name="_Toc184314447"/>
      <w:bookmarkEnd w:id="349"/>
      <w:bookmarkStart w:id="350" w:name="_Toc184313260"/>
      <w:bookmarkEnd w:id="350"/>
      <w:bookmarkStart w:id="351" w:name="_Toc184313297"/>
      <w:bookmarkEnd w:id="351"/>
      <w:bookmarkStart w:id="352" w:name="_Toc184314477"/>
      <w:bookmarkEnd w:id="352"/>
      <w:bookmarkStart w:id="353" w:name="_Toc184313284"/>
      <w:bookmarkEnd w:id="353"/>
      <w:bookmarkStart w:id="354" w:name="_Toc184313270"/>
      <w:bookmarkEnd w:id="354"/>
      <w:bookmarkStart w:id="355" w:name="_Toc184308050"/>
      <w:bookmarkEnd w:id="355"/>
      <w:bookmarkStart w:id="356" w:name="_Toc184308073"/>
      <w:bookmarkEnd w:id="356"/>
      <w:bookmarkStart w:id="357" w:name="_Toc184313277"/>
      <w:bookmarkEnd w:id="357"/>
      <w:bookmarkStart w:id="358" w:name="_Toc184313309"/>
      <w:bookmarkEnd w:id="358"/>
      <w:bookmarkStart w:id="359" w:name="_Toc184314419"/>
      <w:bookmarkEnd w:id="359"/>
      <w:bookmarkStart w:id="360" w:name="_Toc184308106"/>
      <w:bookmarkEnd w:id="360"/>
      <w:bookmarkStart w:id="361" w:name="_Toc184314411"/>
      <w:bookmarkEnd w:id="361"/>
      <w:bookmarkStart w:id="362" w:name="_Toc184310337"/>
      <w:bookmarkEnd w:id="362"/>
      <w:bookmarkStart w:id="363" w:name="_Toc184308097"/>
      <w:bookmarkEnd w:id="363"/>
      <w:bookmarkStart w:id="364" w:name="_Toc184308063"/>
      <w:bookmarkEnd w:id="364"/>
      <w:bookmarkStart w:id="365" w:name="_Toc184312084"/>
      <w:bookmarkEnd w:id="365"/>
      <w:bookmarkStart w:id="366" w:name="_Toc184314429"/>
      <w:bookmarkEnd w:id="366"/>
      <w:bookmarkStart w:id="367" w:name="_Toc184314453"/>
      <w:bookmarkEnd w:id="367"/>
      <w:bookmarkStart w:id="368" w:name="_Toc184314474"/>
      <w:bookmarkEnd w:id="368"/>
      <w:bookmarkStart w:id="369" w:name="_Toc184308041"/>
      <w:bookmarkEnd w:id="369"/>
      <w:bookmarkStart w:id="370" w:name="_Toc184312124"/>
      <w:bookmarkEnd w:id="370"/>
      <w:bookmarkStart w:id="371" w:name="_Toc184308036"/>
      <w:bookmarkEnd w:id="371"/>
      <w:bookmarkStart w:id="372" w:name="_Toc184308047"/>
      <w:bookmarkEnd w:id="372"/>
      <w:bookmarkStart w:id="373" w:name="_Toc184310274"/>
      <w:bookmarkEnd w:id="373"/>
      <w:bookmarkStart w:id="374" w:name="_Toc184312127"/>
      <w:bookmarkEnd w:id="374"/>
      <w:bookmarkStart w:id="375" w:name="_Toc184312116"/>
      <w:bookmarkEnd w:id="375"/>
      <w:bookmarkStart w:id="376" w:name="_Toc184308082"/>
      <w:bookmarkEnd w:id="376"/>
      <w:bookmarkStart w:id="377" w:name="_Toc184314482"/>
      <w:bookmarkEnd w:id="377"/>
      <w:bookmarkStart w:id="378" w:name="_Toc184308076"/>
      <w:bookmarkEnd w:id="378"/>
      <w:bookmarkStart w:id="379" w:name="_Toc184312131"/>
      <w:bookmarkEnd w:id="379"/>
      <w:bookmarkStart w:id="380" w:name="_Toc184310288"/>
      <w:bookmarkEnd w:id="380"/>
      <w:r>
        <w:rPr>
          <w:rFonts w:hint="eastAsia" w:ascii="宋体" w:hAnsi="宋体" w:cs="宋体"/>
          <w:b/>
          <w:color w:val="000000" w:themeColor="text1"/>
          <w:sz w:val="36"/>
          <w:szCs w:val="36"/>
          <w14:textFill>
            <w14:solidFill>
              <w14:schemeClr w14:val="tx1"/>
            </w14:solidFill>
          </w14:textFill>
        </w:rPr>
        <w:t>交易办法</w:t>
      </w:r>
    </w:p>
    <w:p w14:paraId="5122F8A1">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交易办法前附表</w:t>
      </w:r>
    </w:p>
    <w:p w14:paraId="3D35F972">
      <w:pPr>
        <w:widowControl/>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1、商务技术部分（70分）：</w:t>
      </w:r>
    </w:p>
    <w:tbl>
      <w:tblPr>
        <w:tblStyle w:val="64"/>
        <w:tblW w:w="48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074"/>
        <w:gridCol w:w="5479"/>
        <w:gridCol w:w="906"/>
        <w:gridCol w:w="940"/>
      </w:tblGrid>
      <w:tr w14:paraId="567C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329" w:type="pct"/>
            <w:vAlign w:val="center"/>
          </w:tcPr>
          <w:p w14:paraId="124D60A2">
            <w:pPr>
              <w:widowControl/>
              <w:snapToGrid w:val="0"/>
              <w:spacing w:line="380" w:lineRule="exact"/>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序号</w:t>
            </w:r>
          </w:p>
        </w:tc>
        <w:tc>
          <w:tcPr>
            <w:tcW w:w="3644" w:type="pct"/>
            <w:gridSpan w:val="2"/>
            <w:vAlign w:val="center"/>
          </w:tcPr>
          <w:p w14:paraId="33ECFA29">
            <w:pPr>
              <w:widowControl/>
              <w:snapToGrid w:val="0"/>
              <w:spacing w:line="380" w:lineRule="exact"/>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评分内容和标准</w:t>
            </w:r>
          </w:p>
        </w:tc>
        <w:tc>
          <w:tcPr>
            <w:tcW w:w="503" w:type="pct"/>
            <w:vAlign w:val="center"/>
          </w:tcPr>
          <w:p w14:paraId="0B494A1F">
            <w:pPr>
              <w:widowControl/>
              <w:snapToGrid w:val="0"/>
              <w:spacing w:line="380" w:lineRule="exact"/>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分值</w:t>
            </w:r>
          </w:p>
          <w:p w14:paraId="6EA5D466">
            <w:pPr>
              <w:widowControl/>
              <w:snapToGrid w:val="0"/>
              <w:spacing w:line="380" w:lineRule="exact"/>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区间</w:t>
            </w:r>
          </w:p>
        </w:tc>
        <w:tc>
          <w:tcPr>
            <w:tcW w:w="522" w:type="pct"/>
            <w:vAlign w:val="center"/>
          </w:tcPr>
          <w:p w14:paraId="33140EB5">
            <w:pPr>
              <w:widowControl/>
              <w:snapToGrid w:val="0"/>
              <w:spacing w:line="380" w:lineRule="exact"/>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主观/客观分</w:t>
            </w:r>
          </w:p>
        </w:tc>
      </w:tr>
      <w:tr w14:paraId="6323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9" w:type="pct"/>
            <w:shd w:val="clear" w:color="auto" w:fill="auto"/>
            <w:vAlign w:val="center"/>
          </w:tcPr>
          <w:p w14:paraId="4D68E859">
            <w:pPr>
              <w:widowControl/>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p>
        </w:tc>
        <w:tc>
          <w:tcPr>
            <w:tcW w:w="597" w:type="pct"/>
            <w:shd w:val="clear" w:color="000000" w:fill="FFFFFF"/>
            <w:vAlign w:val="center"/>
          </w:tcPr>
          <w:p w14:paraId="59B6374E">
            <w:pPr>
              <w:widowControl/>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管理</w:t>
            </w:r>
          </w:p>
          <w:p w14:paraId="2CCEE7C7">
            <w:pPr>
              <w:widowControl/>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体系</w:t>
            </w:r>
          </w:p>
        </w:tc>
        <w:tc>
          <w:tcPr>
            <w:tcW w:w="3046" w:type="pct"/>
            <w:shd w:val="clear" w:color="000000" w:fill="FFFFFF"/>
            <w:vAlign w:val="center"/>
          </w:tcPr>
          <w:p w14:paraId="4F5B2488">
            <w:pPr>
              <w:widowControl/>
              <w:snapToGrid w:val="0"/>
              <w:spacing w:line="380" w:lineRule="exact"/>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响应人获得质量管理体系认证且在有效期内、获得职业健康管理体系认证且在有效期内、获得环境管理体系认证且在有效期内的，</w:t>
            </w:r>
            <w:r>
              <w:rPr>
                <w:rFonts w:hint="eastAsia" w:ascii="宋体" w:hAnsi="宋体" w:cs="宋体"/>
                <w:color w:val="000000" w:themeColor="text1"/>
                <w:kern w:val="0"/>
                <w:sz w:val="24"/>
                <w:highlight w:val="none"/>
                <w14:textFill>
                  <w14:solidFill>
                    <w14:schemeClr w14:val="tx1"/>
                  </w14:solidFill>
                </w14:textFill>
              </w:rPr>
              <w:t>认证覆盖的业务范围</w:t>
            </w:r>
            <w:r>
              <w:rPr>
                <w:rFonts w:hint="eastAsia" w:ascii="宋体" w:hAnsi="宋体" w:cs="宋体"/>
                <w:color w:val="000000" w:themeColor="text1"/>
                <w:kern w:val="0"/>
                <w:sz w:val="24"/>
                <w:highlight w:val="none"/>
                <w:lang w:val="en-US" w:eastAsia="zh-CN"/>
                <w14:textFill>
                  <w14:solidFill>
                    <w14:schemeClr w14:val="tx1"/>
                  </w14:solidFill>
                </w14:textFill>
              </w:rPr>
              <w:t>包含工程造价咨询或全过程工程咨询。</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每个得</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分，最高得</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分。（证明材料：提供有效期内的相关认证证书复印件并加盖公章。）</w:t>
            </w:r>
          </w:p>
        </w:tc>
        <w:tc>
          <w:tcPr>
            <w:tcW w:w="503" w:type="pct"/>
            <w:shd w:val="clear" w:color="000000" w:fill="FFFFFF"/>
            <w:vAlign w:val="center"/>
          </w:tcPr>
          <w:p w14:paraId="5F41510E">
            <w:pPr>
              <w:widowControl/>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分</w:t>
            </w:r>
          </w:p>
        </w:tc>
        <w:tc>
          <w:tcPr>
            <w:tcW w:w="522" w:type="pct"/>
            <w:shd w:val="clear" w:color="000000" w:fill="FFFFFF"/>
            <w:vAlign w:val="center"/>
          </w:tcPr>
          <w:p w14:paraId="60383AFF">
            <w:pPr>
              <w:widowControl/>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客观分</w:t>
            </w:r>
          </w:p>
        </w:tc>
      </w:tr>
      <w:tr w14:paraId="797C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29" w:type="pct"/>
            <w:vAlign w:val="center"/>
          </w:tcPr>
          <w:p w14:paraId="680A4C62">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p>
        </w:tc>
        <w:tc>
          <w:tcPr>
            <w:tcW w:w="597" w:type="pct"/>
            <w:vAlign w:val="center"/>
          </w:tcPr>
          <w:p w14:paraId="6FE8946A">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信用</w:t>
            </w:r>
          </w:p>
          <w:p w14:paraId="68D817FA">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评价</w:t>
            </w:r>
          </w:p>
        </w:tc>
        <w:tc>
          <w:tcPr>
            <w:tcW w:w="3046" w:type="pct"/>
            <w:vAlign w:val="center"/>
          </w:tcPr>
          <w:p w14:paraId="69D80BBC">
            <w:pPr>
              <w:snapToGrid w:val="0"/>
              <w:spacing w:line="380" w:lineRule="exact"/>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响应人获得省级建设工程造价管理部门颁发的动态信用评价AAAAA级或中国建设工程造价管理协会颁发的信用评价AAA级且在有效期内的得4分；获得省级建设工程造价管理部门颁发的动态信用评价AAAA级或中国建设工程造价管理协会颁发的信用评价AA级且在有效期内的得2分；其余不得分；本项最高得4分，不重复得分，按高分计取。【证明材料:附相应证书的复印件加盖公章，证书无法体现有效期的附能体现有效期相关内容或网页截图】</w:t>
            </w:r>
          </w:p>
        </w:tc>
        <w:tc>
          <w:tcPr>
            <w:tcW w:w="503" w:type="pct"/>
            <w:vAlign w:val="center"/>
          </w:tcPr>
          <w:p w14:paraId="4E9A2E72">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0-4分</w:t>
            </w:r>
          </w:p>
        </w:tc>
        <w:tc>
          <w:tcPr>
            <w:tcW w:w="522" w:type="pct"/>
            <w:vAlign w:val="center"/>
          </w:tcPr>
          <w:p w14:paraId="1DA2698A">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客观分</w:t>
            </w:r>
          </w:p>
        </w:tc>
      </w:tr>
      <w:tr w14:paraId="4D8C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29" w:type="pct"/>
            <w:vAlign w:val="center"/>
          </w:tcPr>
          <w:p w14:paraId="39A14496">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w:t>
            </w:r>
          </w:p>
        </w:tc>
        <w:tc>
          <w:tcPr>
            <w:tcW w:w="597" w:type="pct"/>
            <w:vAlign w:val="center"/>
          </w:tcPr>
          <w:p w14:paraId="3C942155">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类似</w:t>
            </w:r>
          </w:p>
          <w:p w14:paraId="349B3812">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业绩</w:t>
            </w:r>
          </w:p>
        </w:tc>
        <w:tc>
          <w:tcPr>
            <w:tcW w:w="3046" w:type="pct"/>
            <w:vAlign w:val="center"/>
          </w:tcPr>
          <w:p w14:paraId="70D39AA4">
            <w:pPr>
              <w:snapToGrid w:val="0"/>
              <w:spacing w:line="380" w:lineRule="exact"/>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响应人自2020年01月01日[时间以中标（成交）通知书为准]以来,完成过房屋建筑类工程招标控制价审核业绩：项目新建建筑面积24万平方米及以上的每个得2分，项目新建建筑面积15-24万平方米的每个得1分，同一项目不得累计得分，最高得4分，且最多只计2个项目。【证明材料：附中标（成交）通知书及成果报告盖章页复印件并加盖公章，可使用超额业绩，高按低计取】</w:t>
            </w:r>
          </w:p>
        </w:tc>
        <w:tc>
          <w:tcPr>
            <w:tcW w:w="503" w:type="pct"/>
            <w:vAlign w:val="center"/>
          </w:tcPr>
          <w:p w14:paraId="4070F117">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0-4分</w:t>
            </w:r>
          </w:p>
        </w:tc>
        <w:tc>
          <w:tcPr>
            <w:tcW w:w="522" w:type="pct"/>
            <w:vAlign w:val="center"/>
          </w:tcPr>
          <w:p w14:paraId="58521AA4">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客观分</w:t>
            </w:r>
          </w:p>
        </w:tc>
      </w:tr>
      <w:tr w14:paraId="0BA3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29" w:type="pct"/>
            <w:vMerge w:val="restart"/>
            <w:vAlign w:val="center"/>
          </w:tcPr>
          <w:p w14:paraId="110A529B">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w:t>
            </w:r>
          </w:p>
        </w:tc>
        <w:tc>
          <w:tcPr>
            <w:tcW w:w="597" w:type="pct"/>
            <w:vMerge w:val="restart"/>
            <w:vAlign w:val="center"/>
          </w:tcPr>
          <w:p w14:paraId="434F043D">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人员配备要求</w:t>
            </w:r>
          </w:p>
        </w:tc>
        <w:tc>
          <w:tcPr>
            <w:tcW w:w="3046" w:type="pct"/>
            <w:vAlign w:val="center"/>
          </w:tcPr>
          <w:p w14:paraId="7CA8C005">
            <w:pPr>
              <w:pStyle w:val="30"/>
              <w:ind w:left="-19" w:leftChars="-9" w:right="57" w:rightChars="27" w:firstLine="16" w:firstLineChars="7"/>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1.拟派项目负责人具有工程造价咨询相关专业副高级以上技术职称的得2分，具有工程造价咨询相关专业中级技术职称的得1分，其余不得分（须提供该证书复印件）；</w:t>
            </w:r>
          </w:p>
          <w:p w14:paraId="6CED1C02">
            <w:pPr>
              <w:pStyle w:val="30"/>
              <w:ind w:left="-19" w:leftChars="-9" w:right="57" w:rightChars="27" w:firstLine="16" w:firstLineChars="7"/>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2.拟派项目负责人具有土建专业一级注册造价工程师注册证书的得</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分；具有安装专业一级注册造价工程师注册证书的得</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分；本项最高得</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分。</w:t>
            </w:r>
          </w:p>
          <w:p w14:paraId="2FBFDB67">
            <w:pPr>
              <w:snapToGrid w:val="0"/>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拟派项目负责人具有15年及以上造价从业经验的得3分，具有10年（含）至15年（不含）造价从业经验的得2分；具有5年（含）至10年（不含）造价从业经验的得1分；5年以下不得分。从业经验起始时间以造价资格证书（注册造价师证书或造价员证书）最早取得时间计取（须提供该证书复印件）。</w:t>
            </w:r>
          </w:p>
        </w:tc>
        <w:tc>
          <w:tcPr>
            <w:tcW w:w="503" w:type="pct"/>
            <w:vAlign w:val="center"/>
          </w:tcPr>
          <w:p w14:paraId="364363B0">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分</w:t>
            </w:r>
          </w:p>
        </w:tc>
        <w:tc>
          <w:tcPr>
            <w:tcW w:w="522" w:type="pct"/>
            <w:vAlign w:val="center"/>
          </w:tcPr>
          <w:p w14:paraId="09C8618F">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客观分</w:t>
            </w:r>
          </w:p>
        </w:tc>
      </w:tr>
      <w:tr w14:paraId="541B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29" w:type="pct"/>
            <w:vMerge w:val="continue"/>
            <w:vAlign w:val="center"/>
          </w:tcPr>
          <w:p w14:paraId="37C07DA5">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p>
        </w:tc>
        <w:tc>
          <w:tcPr>
            <w:tcW w:w="597" w:type="pct"/>
            <w:vMerge w:val="continue"/>
            <w:vAlign w:val="center"/>
          </w:tcPr>
          <w:p w14:paraId="5BAF6D28">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p>
        </w:tc>
        <w:tc>
          <w:tcPr>
            <w:tcW w:w="3046" w:type="pct"/>
            <w:vAlign w:val="center"/>
          </w:tcPr>
          <w:p w14:paraId="0CF157FA">
            <w:pPr>
              <w:snapToGrid w:val="0"/>
              <w:spacing w:line="380" w:lineRule="exact"/>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针对本项目服务团队：满足人员基本配置要求得2分；每增加一名一级造价工程师加2分，每增加一名二级造价工程师加1分，本项最高得4分。</w:t>
            </w:r>
          </w:p>
          <w:p w14:paraId="5BCCC716">
            <w:pPr>
              <w:snapToGrid w:val="0"/>
              <w:spacing w:line="380" w:lineRule="exact"/>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证明材料：附相应注册证书（含注册及变更信息、职业资格证书），需提供全国造价工程师注册管理系统查询记录及相应人员的信息页及上报业务查询页（变更或注册通过且上报日期以本项目交易公告发布之日为止）；【证明材料：附相应人员注册证书及本单位为其缴纳的最近三个月中的任意一个月的社保证明复印件加盖公章,若为已退休人员可提供退休证明及返聘合同复印件加盖公章；注册证书上无法体现变更日期的，需提供全国造价工程师注册管理系统中相应人员的账号、密码、信息页及上报业务查询页（变更或注册通过且上报日期以本项目招标公告发布之日为止），否则相应人员证书不予得分。】</w:t>
            </w:r>
          </w:p>
        </w:tc>
        <w:tc>
          <w:tcPr>
            <w:tcW w:w="503" w:type="pct"/>
            <w:shd w:val="clear" w:color="auto" w:fill="auto"/>
            <w:vAlign w:val="center"/>
          </w:tcPr>
          <w:p w14:paraId="41155859">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0-4分</w:t>
            </w:r>
          </w:p>
        </w:tc>
        <w:tc>
          <w:tcPr>
            <w:tcW w:w="522" w:type="pct"/>
            <w:shd w:val="clear" w:color="auto" w:fill="auto"/>
            <w:vAlign w:val="center"/>
          </w:tcPr>
          <w:p w14:paraId="4AEF81D9">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客观分</w:t>
            </w:r>
          </w:p>
        </w:tc>
      </w:tr>
      <w:tr w14:paraId="5123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29" w:type="pct"/>
            <w:vAlign w:val="center"/>
          </w:tcPr>
          <w:p w14:paraId="4426C309">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w:t>
            </w:r>
          </w:p>
        </w:tc>
        <w:tc>
          <w:tcPr>
            <w:tcW w:w="597" w:type="pct"/>
            <w:vAlign w:val="center"/>
          </w:tcPr>
          <w:p w14:paraId="282B5DF1">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审核误差率</w:t>
            </w:r>
          </w:p>
        </w:tc>
        <w:tc>
          <w:tcPr>
            <w:tcW w:w="3046" w:type="pct"/>
            <w:vAlign w:val="center"/>
          </w:tcPr>
          <w:p w14:paraId="32C7987C">
            <w:pPr>
              <w:snapToGrid w:val="0"/>
              <w:spacing w:line="38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提供审核误差率不超过2%的承诺，得5分。</w:t>
            </w:r>
          </w:p>
          <w:p w14:paraId="0E8A0970">
            <w:pPr>
              <w:snapToGrid w:val="0"/>
              <w:spacing w:line="380" w:lineRule="exact"/>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注：承诺函格式自拟，未提供不得分。</w:t>
            </w:r>
          </w:p>
        </w:tc>
        <w:tc>
          <w:tcPr>
            <w:tcW w:w="503" w:type="pct"/>
            <w:shd w:val="clear" w:color="auto" w:fill="auto"/>
            <w:vAlign w:val="center"/>
          </w:tcPr>
          <w:p w14:paraId="2ECEC296">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0-5分</w:t>
            </w:r>
          </w:p>
        </w:tc>
        <w:tc>
          <w:tcPr>
            <w:tcW w:w="522" w:type="pct"/>
            <w:shd w:val="clear" w:color="auto" w:fill="auto"/>
            <w:vAlign w:val="center"/>
          </w:tcPr>
          <w:p w14:paraId="5772B24E">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客观分</w:t>
            </w:r>
          </w:p>
        </w:tc>
      </w:tr>
      <w:tr w14:paraId="2E26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29" w:type="pct"/>
            <w:vMerge w:val="restart"/>
            <w:vAlign w:val="center"/>
          </w:tcPr>
          <w:p w14:paraId="68F1514E">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w:t>
            </w:r>
          </w:p>
        </w:tc>
        <w:tc>
          <w:tcPr>
            <w:tcW w:w="597" w:type="pct"/>
            <w:vMerge w:val="restart"/>
            <w:vAlign w:val="center"/>
          </w:tcPr>
          <w:p w14:paraId="6382546B">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审核</w:t>
            </w:r>
          </w:p>
          <w:p w14:paraId="61036DE5">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方案</w:t>
            </w:r>
          </w:p>
        </w:tc>
        <w:tc>
          <w:tcPr>
            <w:tcW w:w="3046" w:type="pct"/>
            <w:vAlign w:val="center"/>
          </w:tcPr>
          <w:p w14:paraId="0191AA50">
            <w:pPr>
              <w:snapToGrid w:val="0"/>
              <w:spacing w:line="380" w:lineRule="exact"/>
              <w:jc w:val="lef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针对本项目审核服务工作进行合理安排。</w:t>
            </w:r>
          </w:p>
          <w:p w14:paraId="66EA4873">
            <w:pPr>
              <w:snapToGrid w:val="0"/>
              <w:spacing w:line="380" w:lineRule="exact"/>
              <w:jc w:val="lef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方案完全符合招标需求，内容完善，合理性高的得4分；方案较为完整且与项目匹配度较好的得3分；方案与需求吻合度一般，内容有所欠缺，合理性有缺失的得2分；与招标需求有偏离，内容较差，不具备合理性的得1分；无方案，得0分。</w:t>
            </w:r>
          </w:p>
        </w:tc>
        <w:tc>
          <w:tcPr>
            <w:tcW w:w="503" w:type="pct"/>
            <w:shd w:val="clear" w:color="auto" w:fill="auto"/>
            <w:vAlign w:val="center"/>
          </w:tcPr>
          <w:p w14:paraId="350F5927">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0-4分</w:t>
            </w:r>
          </w:p>
        </w:tc>
        <w:tc>
          <w:tcPr>
            <w:tcW w:w="522" w:type="pct"/>
            <w:shd w:val="clear" w:color="auto" w:fill="auto"/>
            <w:vAlign w:val="center"/>
          </w:tcPr>
          <w:p w14:paraId="4787C3D1">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主观分</w:t>
            </w:r>
          </w:p>
        </w:tc>
      </w:tr>
      <w:tr w14:paraId="5B40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29" w:type="pct"/>
            <w:vMerge w:val="continue"/>
            <w:vAlign w:val="center"/>
          </w:tcPr>
          <w:p w14:paraId="5BB8B523">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p>
        </w:tc>
        <w:tc>
          <w:tcPr>
            <w:tcW w:w="597" w:type="pct"/>
            <w:vMerge w:val="continue"/>
            <w:vAlign w:val="center"/>
          </w:tcPr>
          <w:p w14:paraId="4BDFD54B">
            <w:pPr>
              <w:snapToGrid w:val="0"/>
              <w:spacing w:line="380" w:lineRule="exact"/>
              <w:jc w:val="center"/>
              <w:rPr>
                <w:rFonts w:ascii="宋体" w:hAnsi="宋体" w:cs="宋体"/>
                <w:color w:val="000000" w:themeColor="text1"/>
                <w:sz w:val="24"/>
                <w14:textFill>
                  <w14:solidFill>
                    <w14:schemeClr w14:val="tx1"/>
                  </w14:solidFill>
                </w14:textFill>
              </w:rPr>
            </w:pPr>
          </w:p>
        </w:tc>
        <w:tc>
          <w:tcPr>
            <w:tcW w:w="3046" w:type="pct"/>
            <w:vAlign w:val="center"/>
          </w:tcPr>
          <w:p w14:paraId="70CBF5C9">
            <w:pPr>
              <w:snapToGrid w:val="0"/>
              <w:spacing w:line="380" w:lineRule="exact"/>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招标控制价审核工作的的措施及要点分析。</w:t>
            </w:r>
          </w:p>
          <w:p w14:paraId="48539CE5">
            <w:pPr>
              <w:snapToGrid w:val="0"/>
              <w:spacing w:line="380" w:lineRule="exact"/>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方案完全符合招标需求，内容完善，合理性高的得4分；方案较为完整且与项目匹配度较好的得3分；方案与需求吻合度一般，内容有所欠缺，合理性有缺失的得2分；与招标需求有偏离，内容较差，不具备合理性的得1分；无方案，得0分。</w:t>
            </w:r>
          </w:p>
        </w:tc>
        <w:tc>
          <w:tcPr>
            <w:tcW w:w="503" w:type="pct"/>
            <w:shd w:val="clear" w:color="auto" w:fill="auto"/>
            <w:vAlign w:val="center"/>
          </w:tcPr>
          <w:p w14:paraId="75F2513C">
            <w:pPr>
              <w:snapToGrid w:val="0"/>
              <w:spacing w:line="380" w:lineRule="exact"/>
              <w:jc w:val="cente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0-4分</w:t>
            </w:r>
          </w:p>
        </w:tc>
        <w:tc>
          <w:tcPr>
            <w:tcW w:w="522" w:type="pct"/>
            <w:shd w:val="clear" w:color="auto" w:fill="auto"/>
            <w:vAlign w:val="center"/>
          </w:tcPr>
          <w:p w14:paraId="0D62E4D0">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主观分</w:t>
            </w:r>
          </w:p>
        </w:tc>
      </w:tr>
      <w:tr w14:paraId="34D3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9" w:type="pct"/>
            <w:vMerge w:val="continue"/>
            <w:vAlign w:val="center"/>
          </w:tcPr>
          <w:p w14:paraId="3FB1935E">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p>
        </w:tc>
        <w:tc>
          <w:tcPr>
            <w:tcW w:w="597" w:type="pct"/>
            <w:vMerge w:val="continue"/>
            <w:vAlign w:val="center"/>
          </w:tcPr>
          <w:p w14:paraId="72426DA7">
            <w:pPr>
              <w:snapToGrid w:val="0"/>
              <w:spacing w:line="380" w:lineRule="exact"/>
              <w:jc w:val="center"/>
              <w:rPr>
                <w:rFonts w:ascii="宋体" w:hAnsi="宋体" w:cs="宋体"/>
                <w:color w:val="000000" w:themeColor="text1"/>
                <w:sz w:val="24"/>
                <w14:textFill>
                  <w14:solidFill>
                    <w14:schemeClr w14:val="tx1"/>
                  </w14:solidFill>
                </w14:textFill>
              </w:rPr>
            </w:pPr>
          </w:p>
        </w:tc>
        <w:tc>
          <w:tcPr>
            <w:tcW w:w="3046" w:type="pct"/>
            <w:vAlign w:val="center"/>
          </w:tcPr>
          <w:p w14:paraId="5ABD66A4">
            <w:pPr>
              <w:snapToGrid w:val="0"/>
              <w:spacing w:line="380" w:lineRule="exact"/>
              <w:jc w:val="lef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针对本项目审核的重难点分析及相应解决措施与方案。</w:t>
            </w:r>
          </w:p>
          <w:p w14:paraId="477FC2E9">
            <w:pPr>
              <w:snapToGrid w:val="0"/>
              <w:spacing w:line="380" w:lineRule="exact"/>
              <w:jc w:val="lef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方案完全符合招标需求，内容完善，合理性高的得4分；方案较为完整且与项目匹配度较好的得3分；方案与需求吻合度一般，内容有所欠缺，合理性有缺失的得2分；与招标需求有偏离，内容较差，不具备合理性的得1分；无方案，得0分。</w:t>
            </w:r>
          </w:p>
        </w:tc>
        <w:tc>
          <w:tcPr>
            <w:tcW w:w="503" w:type="pct"/>
            <w:shd w:val="clear" w:color="auto" w:fill="auto"/>
            <w:vAlign w:val="center"/>
          </w:tcPr>
          <w:p w14:paraId="48623EA8">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0-4分</w:t>
            </w:r>
          </w:p>
        </w:tc>
        <w:tc>
          <w:tcPr>
            <w:tcW w:w="522" w:type="pct"/>
            <w:shd w:val="clear" w:color="auto" w:fill="auto"/>
            <w:vAlign w:val="center"/>
          </w:tcPr>
          <w:p w14:paraId="5355867A">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主观分</w:t>
            </w:r>
          </w:p>
        </w:tc>
      </w:tr>
      <w:tr w14:paraId="3B7E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9" w:type="pct"/>
            <w:vAlign w:val="center"/>
          </w:tcPr>
          <w:p w14:paraId="0C9CA0C0">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w:t>
            </w:r>
          </w:p>
        </w:tc>
        <w:tc>
          <w:tcPr>
            <w:tcW w:w="597" w:type="pct"/>
            <w:vAlign w:val="center"/>
          </w:tcPr>
          <w:p w14:paraId="663F2A4C">
            <w:pPr>
              <w:snapToGrid w:val="0"/>
              <w:spacing w:line="3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审核保障措施</w:t>
            </w:r>
          </w:p>
        </w:tc>
        <w:tc>
          <w:tcPr>
            <w:tcW w:w="3046" w:type="pct"/>
            <w:vAlign w:val="center"/>
          </w:tcPr>
          <w:p w14:paraId="65E3C5AA">
            <w:pPr>
              <w:snapToGrid w:val="0"/>
              <w:spacing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针对本项目审核保障措施方案。</w:t>
            </w:r>
          </w:p>
          <w:p w14:paraId="71270F54">
            <w:pPr>
              <w:snapToGrid w:val="0"/>
              <w:spacing w:line="380" w:lineRule="exact"/>
              <w:jc w:val="lef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方案完全符合招标需求，内容完善，合理性高的得4分；方案较为完整且与项目匹配度较好的得3分；方案与需求吻合度一般，内容有所欠缺，合理性有缺失的得2分；与招标需求有偏离，内容较差，不具备合理性的得1分；无方案，得0分。</w:t>
            </w:r>
          </w:p>
        </w:tc>
        <w:tc>
          <w:tcPr>
            <w:tcW w:w="503" w:type="pct"/>
            <w:shd w:val="clear" w:color="auto" w:fill="auto"/>
            <w:vAlign w:val="center"/>
          </w:tcPr>
          <w:p w14:paraId="09FF344A">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0-4分</w:t>
            </w:r>
          </w:p>
        </w:tc>
        <w:tc>
          <w:tcPr>
            <w:tcW w:w="522" w:type="pct"/>
            <w:shd w:val="clear" w:color="auto" w:fill="auto"/>
            <w:vAlign w:val="center"/>
          </w:tcPr>
          <w:p w14:paraId="6C63236C">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主观分</w:t>
            </w:r>
          </w:p>
        </w:tc>
      </w:tr>
      <w:tr w14:paraId="288A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29" w:type="pct"/>
            <w:vAlign w:val="center"/>
          </w:tcPr>
          <w:p w14:paraId="1C071A3F">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w:t>
            </w:r>
          </w:p>
        </w:tc>
        <w:tc>
          <w:tcPr>
            <w:tcW w:w="597" w:type="pct"/>
            <w:vAlign w:val="center"/>
          </w:tcPr>
          <w:p w14:paraId="7589F027">
            <w:pPr>
              <w:adjustRightInd/>
              <w:snapToGrid w:val="0"/>
              <w:spacing w:line="276"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服务质量控制措施方案</w:t>
            </w:r>
          </w:p>
        </w:tc>
        <w:tc>
          <w:tcPr>
            <w:tcW w:w="3046" w:type="pct"/>
            <w:vAlign w:val="center"/>
          </w:tcPr>
          <w:p w14:paraId="4EF05236">
            <w:pPr>
              <w:snapToGrid w:val="0"/>
              <w:spacing w:line="380" w:lineRule="exact"/>
              <w:jc w:val="lef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质控制度流程规范，建立内部控制体系，质控体系、技术复核与管理全面，质量评估与考核完善。</w:t>
            </w:r>
          </w:p>
          <w:p w14:paraId="4EE04997">
            <w:pPr>
              <w:snapToGrid w:val="0"/>
              <w:spacing w:line="380" w:lineRule="exact"/>
              <w:jc w:val="left"/>
              <w:rPr>
                <w:rFonts w:ascii="宋体" w:hAnsi="宋体" w:cs="宋体"/>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方案完全符合招标需求，内容完善，合理性高的得4分；方案较为完整且与项目匹配度较好的得3分；方案与需求吻合度一般，内容有所欠缺，合理性有缺失的得2分；与招标需求有偏离，内容较差，不具备合理性的得1分；无方案，得0分。</w:t>
            </w:r>
          </w:p>
        </w:tc>
        <w:tc>
          <w:tcPr>
            <w:tcW w:w="503" w:type="pct"/>
            <w:shd w:val="clear" w:color="auto" w:fill="auto"/>
            <w:vAlign w:val="center"/>
          </w:tcPr>
          <w:p w14:paraId="1582D8A4">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0-4分</w:t>
            </w:r>
          </w:p>
        </w:tc>
        <w:tc>
          <w:tcPr>
            <w:tcW w:w="522" w:type="pct"/>
            <w:shd w:val="clear" w:color="auto" w:fill="auto"/>
            <w:vAlign w:val="center"/>
          </w:tcPr>
          <w:p w14:paraId="171DA36E">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主观分</w:t>
            </w:r>
          </w:p>
        </w:tc>
      </w:tr>
      <w:tr w14:paraId="004C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9" w:type="pct"/>
            <w:vAlign w:val="center"/>
          </w:tcPr>
          <w:p w14:paraId="3246364A">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9</w:t>
            </w:r>
          </w:p>
        </w:tc>
        <w:tc>
          <w:tcPr>
            <w:tcW w:w="597" w:type="pct"/>
            <w:vAlign w:val="center"/>
          </w:tcPr>
          <w:p w14:paraId="2D89260B">
            <w:pPr>
              <w:snapToGrid w:val="0"/>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合理化建议</w:t>
            </w:r>
          </w:p>
        </w:tc>
        <w:tc>
          <w:tcPr>
            <w:tcW w:w="3046" w:type="pct"/>
            <w:vAlign w:val="center"/>
          </w:tcPr>
          <w:p w14:paraId="3D1EBC6B">
            <w:pPr>
              <w:snapToGrid w:val="0"/>
              <w:spacing w:line="380" w:lineRule="exact"/>
              <w:jc w:val="left"/>
              <w:rPr>
                <w:rFonts w:ascii="宋体" w:hAnsi="宋体" w:cs="宋体"/>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响应人</w:t>
            </w:r>
            <w:r>
              <w:rPr>
                <w:rFonts w:hint="eastAsia" w:ascii="宋体" w:hAnsi="宋体" w:cs="宋体"/>
                <w:bCs/>
                <w:color w:val="000000" w:themeColor="text1"/>
                <w:sz w:val="24"/>
                <w14:textFill>
                  <w14:solidFill>
                    <w14:schemeClr w14:val="tx1"/>
                  </w14:solidFill>
                </w14:textFill>
              </w:rPr>
              <w:t>对本项目的合理化建议或意见，每提供一条具有实施性的建议或意见的得1分，本项最高得2分。</w:t>
            </w:r>
          </w:p>
        </w:tc>
        <w:tc>
          <w:tcPr>
            <w:tcW w:w="503" w:type="pct"/>
            <w:shd w:val="clear" w:color="auto" w:fill="auto"/>
            <w:vAlign w:val="center"/>
          </w:tcPr>
          <w:p w14:paraId="7B7EA9A6">
            <w:pPr>
              <w:snapToGrid w:val="0"/>
              <w:spacing w:line="38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0-2分</w:t>
            </w:r>
          </w:p>
        </w:tc>
        <w:tc>
          <w:tcPr>
            <w:tcW w:w="522" w:type="pct"/>
            <w:shd w:val="clear" w:color="auto" w:fill="auto"/>
            <w:vAlign w:val="center"/>
          </w:tcPr>
          <w:p w14:paraId="6F62596F">
            <w:pPr>
              <w:snapToGrid w:val="0"/>
              <w:spacing w:line="38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主观分</w:t>
            </w:r>
          </w:p>
        </w:tc>
      </w:tr>
      <w:tr w14:paraId="3E8D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9" w:type="pct"/>
            <w:vAlign w:val="center"/>
          </w:tcPr>
          <w:p w14:paraId="3A80810A">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10</w:t>
            </w:r>
          </w:p>
        </w:tc>
        <w:tc>
          <w:tcPr>
            <w:tcW w:w="597" w:type="pct"/>
            <w:vAlign w:val="center"/>
          </w:tcPr>
          <w:p w14:paraId="02FC642E">
            <w:pPr>
              <w:pStyle w:val="23"/>
              <w:spacing w:line="276" w:lineRule="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应急服务响应方案</w:t>
            </w:r>
          </w:p>
          <w:p w14:paraId="495B5F93">
            <w:pPr>
              <w:snapToGrid w:val="0"/>
              <w:spacing w:line="380" w:lineRule="exact"/>
              <w:jc w:val="center"/>
              <w:rPr>
                <w:rFonts w:ascii="宋体" w:hAnsi="宋体" w:cs="宋体"/>
                <w:bCs/>
                <w:color w:val="000000" w:themeColor="text1"/>
                <w:sz w:val="24"/>
                <w14:textFill>
                  <w14:solidFill>
                    <w14:schemeClr w14:val="tx1"/>
                  </w14:solidFill>
                </w14:textFill>
              </w:rPr>
            </w:pPr>
          </w:p>
        </w:tc>
        <w:tc>
          <w:tcPr>
            <w:tcW w:w="3046" w:type="pct"/>
            <w:vAlign w:val="center"/>
          </w:tcPr>
          <w:p w14:paraId="0B22FA97">
            <w:pPr>
              <w:snapToGrid w:val="0"/>
              <w:spacing w:line="380" w:lineRule="exact"/>
              <w:jc w:val="left"/>
              <w:rPr>
                <w:rFonts w:ascii="宋体" w:hAnsi="宋体" w:cs="宋体"/>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应急预案和流程高效有序，如针对紧急任务,制定有针对性、高效的应急措施等情况，供应商提供的应急服务响应方案。应急保障措施符合相应特殊时期特征、情况分析准确、考虑周全、实施方式可行。方案完全符合招标需求，内容完善，合理性高的得</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分；方案较为完整且与项目匹配度较好的得</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分；方案与需求吻合度一般，内容有所欠缺，合理性有缺失的得2分；与招标需求有偏离，内容较差，不具备合理性的得1分；无方案，得0分。</w:t>
            </w:r>
          </w:p>
        </w:tc>
        <w:tc>
          <w:tcPr>
            <w:tcW w:w="503" w:type="pct"/>
            <w:shd w:val="clear" w:color="auto" w:fill="auto"/>
            <w:vAlign w:val="center"/>
          </w:tcPr>
          <w:p w14:paraId="2AC193E9">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分</w:t>
            </w:r>
          </w:p>
        </w:tc>
        <w:tc>
          <w:tcPr>
            <w:tcW w:w="522" w:type="pct"/>
            <w:shd w:val="clear" w:color="auto" w:fill="auto"/>
            <w:vAlign w:val="center"/>
          </w:tcPr>
          <w:p w14:paraId="2EB5257A">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主观分</w:t>
            </w:r>
          </w:p>
        </w:tc>
      </w:tr>
      <w:tr w14:paraId="2053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9" w:type="pct"/>
            <w:vAlign w:val="center"/>
          </w:tcPr>
          <w:p w14:paraId="4DBA6538">
            <w:pPr>
              <w:snapToGrid w:val="0"/>
              <w:spacing w:line="380" w:lineRule="exact"/>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11</w:t>
            </w:r>
          </w:p>
        </w:tc>
        <w:tc>
          <w:tcPr>
            <w:tcW w:w="597" w:type="pct"/>
            <w:vAlign w:val="center"/>
          </w:tcPr>
          <w:p w14:paraId="3F941B31">
            <w:pPr>
              <w:snapToGrid w:val="0"/>
              <w:spacing w:line="276"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w:t>
            </w:r>
          </w:p>
          <w:p w14:paraId="4D3C4424">
            <w:pPr>
              <w:snapToGrid w:val="0"/>
              <w:spacing w:line="276"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速度</w:t>
            </w:r>
          </w:p>
        </w:tc>
        <w:tc>
          <w:tcPr>
            <w:tcW w:w="3046" w:type="pct"/>
            <w:vAlign w:val="center"/>
          </w:tcPr>
          <w:p w14:paraId="533F0DAA">
            <w:pPr>
              <w:snapToGrid w:val="0"/>
              <w:spacing w:line="276"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响应速度</w:t>
            </w:r>
          </w:p>
          <w:p w14:paraId="1AF43DFB">
            <w:pPr>
              <w:snapToGrid w:val="0"/>
              <w:spacing w:line="276"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响应人</w:t>
            </w:r>
            <w:r>
              <w:rPr>
                <w:rFonts w:hint="eastAsia" w:ascii="宋体" w:hAnsi="宋体" w:cs="宋体"/>
                <w:color w:val="000000" w:themeColor="text1"/>
                <w:sz w:val="24"/>
                <w:highlight w:val="none"/>
                <w14:textFill>
                  <w14:solidFill>
                    <w14:schemeClr w14:val="tx1"/>
                  </w14:solidFill>
                </w14:textFill>
              </w:rPr>
              <w:t>承诺一般情况30分钟内响应</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需要现场服务时，接到交易发起人通知后1小时内到达交易发起人指定的服务地点</w:t>
            </w:r>
            <w:r>
              <w:rPr>
                <w:rFonts w:hint="eastAsia" w:ascii="宋体" w:hAnsi="宋体" w:cs="宋体"/>
                <w:color w:val="000000" w:themeColor="text1"/>
                <w:sz w:val="24"/>
                <w:highlight w:val="none"/>
                <w:lang w:eastAsia="zh-CN"/>
                <w14:textFill>
                  <w14:solidFill>
                    <w14:schemeClr w14:val="tx1"/>
                  </w14:solidFill>
                </w14:textFill>
              </w:rPr>
              <w:t>，如遇项目紧急，将服从采购人要求，全力配合审价工作</w:t>
            </w:r>
            <w:r>
              <w:rPr>
                <w:rFonts w:hint="eastAsia" w:ascii="宋体" w:hAnsi="宋体" w:eastAsia="东文宋体" w:cs="宋体"/>
                <w:color w:val="000000" w:themeColor="text1"/>
                <w:sz w:val="24"/>
                <w:highlight w:val="none"/>
                <w:lang w:eastAsia="zh-CN"/>
                <w14:textFill>
                  <w14:solidFill>
                    <w14:schemeClr w14:val="tx1"/>
                  </w14:solidFill>
                </w14:textFill>
              </w:rPr>
              <w:t>。承诺包含三点要素得</w:t>
            </w:r>
            <w:r>
              <w:rPr>
                <w:rFonts w:hint="eastAsia" w:ascii="宋体" w:hAnsi="宋体" w:eastAsia="东文宋体" w:cs="宋体"/>
                <w:color w:val="000000" w:themeColor="text1"/>
                <w:sz w:val="24"/>
                <w:highlight w:val="none"/>
                <w:lang w:val="en-US" w:eastAsia="zh-CN"/>
                <w14:textFill>
                  <w14:solidFill>
                    <w14:schemeClr w14:val="tx1"/>
                  </w14:solidFill>
                </w14:textFill>
              </w:rPr>
              <w:t>5分，</w:t>
            </w:r>
            <w:r>
              <w:rPr>
                <w:rFonts w:hint="eastAsia" w:ascii="宋体" w:hAnsi="宋体" w:cs="宋体"/>
                <w:color w:val="000000" w:themeColor="text1"/>
                <w:sz w:val="24"/>
                <w:highlight w:val="none"/>
                <w14:textFill>
                  <w14:solidFill>
                    <w14:schemeClr w14:val="tx1"/>
                  </w14:solidFill>
                </w14:textFill>
              </w:rPr>
              <w:t>未承诺或不满足的不得分。</w:t>
            </w:r>
          </w:p>
          <w:p w14:paraId="55656C55">
            <w:pPr>
              <w:snapToGrid w:val="0"/>
              <w:spacing w:line="380" w:lineRule="exact"/>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注：承诺函格式自拟，未提供不得分。</w:t>
            </w:r>
          </w:p>
        </w:tc>
        <w:tc>
          <w:tcPr>
            <w:tcW w:w="503" w:type="pct"/>
            <w:shd w:val="clear" w:color="auto" w:fill="auto"/>
            <w:vAlign w:val="center"/>
          </w:tcPr>
          <w:p w14:paraId="374FC80B">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0-5分</w:t>
            </w:r>
          </w:p>
        </w:tc>
        <w:tc>
          <w:tcPr>
            <w:tcW w:w="522" w:type="pct"/>
            <w:shd w:val="clear" w:color="auto" w:fill="auto"/>
            <w:vAlign w:val="center"/>
          </w:tcPr>
          <w:p w14:paraId="5161C4BF">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客观分</w:t>
            </w:r>
          </w:p>
        </w:tc>
      </w:tr>
      <w:tr w14:paraId="19B0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9" w:type="pct"/>
            <w:shd w:val="clear" w:color="auto" w:fill="auto"/>
            <w:vAlign w:val="center"/>
          </w:tcPr>
          <w:p w14:paraId="4AF46661">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12</w:t>
            </w:r>
          </w:p>
        </w:tc>
        <w:tc>
          <w:tcPr>
            <w:tcW w:w="597" w:type="pct"/>
            <w:shd w:val="clear" w:color="auto" w:fill="auto"/>
            <w:vAlign w:val="center"/>
          </w:tcPr>
          <w:p w14:paraId="2018AC9E">
            <w:pPr>
              <w:snapToGrid w:val="0"/>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后续服务方案</w:t>
            </w:r>
          </w:p>
        </w:tc>
        <w:tc>
          <w:tcPr>
            <w:tcW w:w="3046" w:type="pct"/>
            <w:shd w:val="clear" w:color="auto" w:fill="auto"/>
            <w:vAlign w:val="center"/>
          </w:tcPr>
          <w:p w14:paraId="07085B7D">
            <w:pPr>
              <w:snapToGrid w:val="0"/>
              <w:spacing w:line="380" w:lineRule="exact"/>
              <w:jc w:val="left"/>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职业道德、廉价自律</w:t>
            </w: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承诺及后续服务</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等措施。方案完全符合招标需求，内容完善，合理性高的得4分；方案较为完整且与项目匹配度较好的得3分；方案与需求吻合度一般，内容有所欠缺，合理性有缺失的得2分；与招标需求有偏离，内容较差，不具备合理性的得1分；无方案，得0分。</w:t>
            </w:r>
          </w:p>
        </w:tc>
        <w:tc>
          <w:tcPr>
            <w:tcW w:w="503" w:type="pct"/>
            <w:shd w:val="clear" w:color="auto" w:fill="auto"/>
            <w:vAlign w:val="center"/>
          </w:tcPr>
          <w:p w14:paraId="33EC7115">
            <w:pPr>
              <w:snapToGrid w:val="0"/>
              <w:spacing w:line="380" w:lineRule="exact"/>
              <w:jc w:val="cente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0-4分</w:t>
            </w:r>
          </w:p>
        </w:tc>
        <w:tc>
          <w:tcPr>
            <w:tcW w:w="522" w:type="pct"/>
            <w:shd w:val="clear" w:color="auto" w:fill="auto"/>
            <w:vAlign w:val="center"/>
          </w:tcPr>
          <w:p w14:paraId="55268D22">
            <w:pPr>
              <w:snapToGrid w:val="0"/>
              <w:spacing w:line="380" w:lineRule="exact"/>
              <w:jc w:val="center"/>
              <w:rPr>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主观分</w:t>
            </w:r>
          </w:p>
        </w:tc>
      </w:tr>
    </w:tbl>
    <w:p w14:paraId="21600E55">
      <w:pPr>
        <w:widowControl/>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1、评分条款中涉及的业绩、荣誉、人员、社保等分公司均有效。</w:t>
      </w:r>
    </w:p>
    <w:p w14:paraId="72D1DE87">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345EEE9A">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3、响应人编制响应文件（商务技术文件部分）时，建议按此目录（序号和内容）提供评审标准相应的商务技术资料。</w:t>
      </w:r>
    </w:p>
    <w:p w14:paraId="2AB25AF3">
      <w:pPr>
        <w:widowControl/>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2、价格分（30分）：</w:t>
      </w:r>
    </w:p>
    <w:tbl>
      <w:tblPr>
        <w:tblStyle w:val="6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3889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3306CDFD">
            <w:pPr>
              <w:adjustRightInd/>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价格权值</w:t>
            </w:r>
          </w:p>
        </w:tc>
        <w:tc>
          <w:tcPr>
            <w:tcW w:w="6905" w:type="dxa"/>
            <w:vAlign w:val="center"/>
          </w:tcPr>
          <w:p w14:paraId="7E12C7FA">
            <w:pPr>
              <w:adjustRightInd/>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    算    方    法</w:t>
            </w:r>
          </w:p>
        </w:tc>
      </w:tr>
      <w:tr w14:paraId="45BB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169" w:type="dxa"/>
            <w:vAlign w:val="center"/>
          </w:tcPr>
          <w:p w14:paraId="611CF90E">
            <w:pPr>
              <w:adjustRightInd/>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价格权值=0.30</w:t>
            </w:r>
          </w:p>
        </w:tc>
        <w:tc>
          <w:tcPr>
            <w:tcW w:w="6905" w:type="dxa"/>
            <w:vAlign w:val="center"/>
          </w:tcPr>
          <w:p w14:paraId="4A495CB8">
            <w:pPr>
              <w:adjustRightInd/>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最低有效响应价格为评标基准价</w:t>
            </w:r>
          </w:p>
          <w:p w14:paraId="7C0DCB52">
            <w:pPr>
              <w:adjustRightInd/>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响应报价得分=(评标基准价／响应报价)×价格权值×100</w:t>
            </w:r>
          </w:p>
          <w:p w14:paraId="320A226E">
            <w:pPr>
              <w:adjustRightInd/>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（计算得分保留小数点后2位）</w:t>
            </w:r>
          </w:p>
          <w:p w14:paraId="5F45A2BB">
            <w:pPr>
              <w:widowControl/>
              <w:shd w:val="clear" w:color="auto" w:fill="FFFFFF"/>
              <w:adjustRightInd/>
              <w:snapToGrid w:val="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评标过程中，不得去掉报价中的最高报价和最低报价。</w:t>
            </w:r>
          </w:p>
        </w:tc>
      </w:tr>
    </w:tbl>
    <w:p w14:paraId="3D5B626A">
      <w:pP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br w:type="page"/>
      </w:r>
    </w:p>
    <w:p w14:paraId="52825960">
      <w:pPr>
        <w:snapToGrid w:val="0"/>
        <w:spacing w:line="570" w:lineRule="exac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一、交易方法</w:t>
      </w:r>
    </w:p>
    <w:p w14:paraId="472E34F1">
      <w:pPr>
        <w:adjustRightInd/>
        <w:spacing w:line="570" w:lineRule="exact"/>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1.本项目采用综合评估法。</w:t>
      </w:r>
      <w:r>
        <w:rPr>
          <w:rFonts w:hint="eastAsia" w:ascii="宋体" w:hAnsi="宋体" w:cs="宋体"/>
          <w:color w:val="000000" w:themeColor="text1"/>
          <w:kern w:val="0"/>
          <w:sz w:val="24"/>
          <w14:textFill>
            <w14:solidFill>
              <w14:schemeClr w14:val="tx1"/>
            </w14:solidFill>
          </w14:textFill>
        </w:rPr>
        <w:t>综合评估法，是指响应文件满足公开竞争文件全部实质性要求，且按照评审因素的量化指标评审得分最高的响应人为成交候选人的评标方法。</w:t>
      </w:r>
    </w:p>
    <w:p w14:paraId="65927EE8">
      <w:pPr>
        <w:snapToGrid w:val="0"/>
        <w:spacing w:line="570" w:lineRule="exac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二、交易标准</w:t>
      </w:r>
    </w:p>
    <w:p w14:paraId="17BCD4C7">
      <w:pPr>
        <w:spacing w:line="570" w:lineRule="exact"/>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见交易办法前附表。</w:t>
      </w:r>
    </w:p>
    <w:p w14:paraId="669F806B">
      <w:pPr>
        <w:snapToGrid w:val="0"/>
        <w:spacing w:line="570" w:lineRule="exac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三、交易程序</w:t>
      </w:r>
    </w:p>
    <w:bookmarkEnd w:id="15"/>
    <w:p w14:paraId="30613349">
      <w:pPr>
        <w:spacing w:line="570" w:lineRule="exact"/>
        <w:ind w:firstLine="472" w:firstLineChars="196"/>
        <w:rPr>
          <w:rFonts w:ascii="宋体" w:hAnsi="宋体" w:cs="宋体"/>
          <w:color w:val="000000" w:themeColor="text1"/>
          <w:kern w:val="0"/>
          <w:sz w:val="24"/>
          <w14:textFill>
            <w14:solidFill>
              <w14:schemeClr w14:val="tx1"/>
            </w14:solidFill>
          </w14:textFill>
        </w:rPr>
      </w:pPr>
      <w:bookmarkStart w:id="381" w:name="第五部分"/>
      <w:bookmarkStart w:id="382" w:name="_Toc86217003"/>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评审委员会应当对符合资格的响应人的响应文件进行符合性审查，以确定其是否满足公开竞争文件的实质性要求。不满足公开竞争文件的实质性要求的，交易无效。</w:t>
      </w:r>
    </w:p>
    <w:p w14:paraId="17B0382F">
      <w:pPr>
        <w:spacing w:line="570" w:lineRule="exact"/>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3.2比较与评价。</w:t>
      </w:r>
      <w:r>
        <w:rPr>
          <w:rFonts w:hint="eastAsia" w:ascii="宋体" w:hAnsi="宋体" w:cs="宋体"/>
          <w:color w:val="000000" w:themeColor="text1"/>
          <w:kern w:val="0"/>
          <w:sz w:val="24"/>
          <w14:textFill>
            <w14:solidFill>
              <w14:schemeClr w14:val="tx1"/>
            </w14:solidFill>
          </w14:textFill>
        </w:rPr>
        <w:t>评审委员会应当按照公开竞争文件中规定的评标方法和标准，对符合性审查合格的响应文件进行商务和技术评估，综合比较与评价。</w:t>
      </w:r>
    </w:p>
    <w:p w14:paraId="6DE4E538">
      <w:pPr>
        <w:spacing w:line="570" w:lineRule="exact"/>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评审委员会各成员应当独立对每个响应人的商务和技术文件进行评价，并汇总商务技术得分情况。</w:t>
      </w:r>
    </w:p>
    <w:p w14:paraId="7E7B146A">
      <w:pPr>
        <w:spacing w:line="570" w:lineRule="exact"/>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65940F3B">
      <w:pPr>
        <w:pStyle w:val="140"/>
        <w:spacing w:before="0" w:line="570" w:lineRule="exact"/>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3.4.1响应文件报价出现前后不一致的，按照下列规定修正：</w:t>
      </w:r>
    </w:p>
    <w:p w14:paraId="5B047D51">
      <w:pPr>
        <w:pStyle w:val="140"/>
        <w:spacing w:before="0" w:line="57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6A1ECC3A">
      <w:pPr>
        <w:pStyle w:val="140"/>
        <w:spacing w:before="0" w:line="57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0501FD31">
      <w:pPr>
        <w:pStyle w:val="140"/>
        <w:spacing w:before="0" w:line="57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3.4.1.3单价金额小数点或者百分比有明显错位的，以交易一览表的总价为准，并修改单价；</w:t>
      </w:r>
    </w:p>
    <w:p w14:paraId="08C7120F">
      <w:pPr>
        <w:pStyle w:val="140"/>
        <w:spacing w:before="0" w:line="57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3D9E13C3">
      <w:pPr>
        <w:pStyle w:val="140"/>
        <w:spacing w:before="0" w:line="57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w:t>
      </w:r>
    </w:p>
    <w:p w14:paraId="1FC0B190">
      <w:pPr>
        <w:snapToGrid w:val="0"/>
        <w:spacing w:line="57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3.4.2响应文件出现不是唯一的、有选择性交易报价的，交易无效。</w:t>
      </w:r>
    </w:p>
    <w:p w14:paraId="6794E5D7">
      <w:pPr>
        <w:snapToGrid w:val="0"/>
        <w:spacing w:line="57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3.4.3交易报价超过公开竞争文件中规定的预算金额或者最高限价的，交易无效。</w:t>
      </w:r>
    </w:p>
    <w:p w14:paraId="64E97F5F">
      <w:pPr>
        <w:pStyle w:val="140"/>
        <w:spacing w:before="0" w:line="570" w:lineRule="exact"/>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237062A7">
      <w:pPr>
        <w:spacing w:line="570" w:lineRule="exact"/>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62E9B00B">
      <w:pPr>
        <w:spacing w:line="570" w:lineRule="exact"/>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3.6编写评审报告。</w:t>
      </w:r>
      <w:r>
        <w:rPr>
          <w:rFonts w:hint="eastAsia" w:ascii="宋体" w:hAnsi="宋体" w:cs="宋体"/>
          <w:color w:val="000000" w:themeColor="text1"/>
          <w:kern w:val="0"/>
          <w:sz w:val="24"/>
          <w14:textFill>
            <w14:solidFill>
              <w14:schemeClr w14:val="tx1"/>
            </w14:solidFill>
          </w14:textFill>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217BA062">
      <w:pPr>
        <w:snapToGrid w:val="0"/>
        <w:spacing w:line="570" w:lineRule="exac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四、评标中的其他事项</w:t>
      </w:r>
    </w:p>
    <w:p w14:paraId="601EAD09">
      <w:pPr>
        <w:pStyle w:val="140"/>
        <w:spacing w:before="0" w:line="570" w:lineRule="exact"/>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4.1响应人澄清、说明或者补正。</w:t>
      </w:r>
      <w:r>
        <w:rPr>
          <w:rFonts w:hint="eastAsia" w:ascii="宋体" w:hAnsi="宋体" w:cs="宋体"/>
          <w:color w:val="000000" w:themeColor="text1"/>
          <w:kern w:val="0"/>
          <w:szCs w:val="24"/>
          <w14:textFill>
            <w14:solidFill>
              <w14:schemeClr w14:val="tx1"/>
            </w14:solidFill>
          </w14:textFill>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1C8DED5E">
      <w:pPr>
        <w:pStyle w:val="17"/>
        <w:spacing w:line="570" w:lineRule="exact"/>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4.2交易无效。</w:t>
      </w:r>
      <w:r>
        <w:rPr>
          <w:rFonts w:hint="eastAsia" w:cs="宋体"/>
          <w:color w:val="000000" w:themeColor="text1"/>
          <w:szCs w:val="21"/>
          <w14:textFill>
            <w14:solidFill>
              <w14:schemeClr w14:val="tx1"/>
            </w14:solidFill>
          </w14:textFill>
        </w:rPr>
        <w:t>有下列情形之一的，交易无效：</w:t>
      </w:r>
    </w:p>
    <w:p w14:paraId="58BB0F3D">
      <w:pPr>
        <w:spacing w:line="5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4.2.1响应人不具备公开竞争文件中规定的资格要求的（响应人未提供有效的资格文件的，视为响应人不具备公开竞争文件中规定的资格要求）；</w:t>
      </w:r>
    </w:p>
    <w:p w14:paraId="2ACFE2D7">
      <w:pPr>
        <w:spacing w:line="5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4.2.2响应文件未按照公开竞争文件要求签署、盖章的；</w:t>
      </w:r>
    </w:p>
    <w:p w14:paraId="2E3014D6">
      <w:pPr>
        <w:spacing w:line="5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4.2.3响应文件含有交易发起人不能接受的附加条件的；</w:t>
      </w:r>
    </w:p>
    <w:p w14:paraId="70651786">
      <w:pPr>
        <w:spacing w:line="5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4.2.4响应文件中承诺的交易有效期少于公开竞争文件中载明的交易有效期的；</w:t>
      </w:r>
    </w:p>
    <w:p w14:paraId="400A3365">
      <w:pPr>
        <w:snapToGrid w:val="0"/>
        <w:spacing w:line="570" w:lineRule="exact"/>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4.2.5响应文件出现不是唯一的、有选择性交易报价的；</w:t>
      </w:r>
    </w:p>
    <w:p w14:paraId="7791458B">
      <w:pPr>
        <w:spacing w:line="5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4.2.6交易报价超过公开竞争文件中规定的预算金额或者最高限价的；</w:t>
      </w:r>
    </w:p>
    <w:p w14:paraId="757A30EB">
      <w:pPr>
        <w:spacing w:line="5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4.2.7报价明显低于其他通过符合性审查响应人的报价，有可能影响产品质量或者不能诚信履约的，未能按要求提供书面说明或者提交相关证明材料，不能证明其报价合理性的；</w:t>
      </w:r>
    </w:p>
    <w:p w14:paraId="5E0B9F56">
      <w:pPr>
        <w:spacing w:line="5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4.2.8响应人对根据修正原则修正后的报价不确认的；</w:t>
      </w:r>
    </w:p>
    <w:p w14:paraId="716784FB">
      <w:pPr>
        <w:spacing w:line="5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4.2.9响应人提供虚假材料投标的；</w:t>
      </w:r>
    </w:p>
    <w:p w14:paraId="0B8864C9">
      <w:pPr>
        <w:spacing w:line="570" w:lineRule="exact"/>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4.2.10响应人有恶意串通、妨碍其他响应人的竞争行为、损害交易发起人或者其他响应人的合法权益情形的；</w:t>
      </w:r>
    </w:p>
    <w:p w14:paraId="3FBB5DEE">
      <w:pPr>
        <w:spacing w:line="5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4.2.11响应人未在电子交易平台传输递交响应文件的，交易无效；</w:t>
      </w:r>
    </w:p>
    <w:p w14:paraId="6187213E">
      <w:pPr>
        <w:pStyle w:val="2"/>
        <w:spacing w:line="570" w:lineRule="exact"/>
        <w:ind w:left="862" w:leftChars="205"/>
        <w:rPr>
          <w:rFonts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14:textFill>
            <w14:solidFill>
              <w14:schemeClr w14:val="tx1"/>
            </w14:solidFill>
          </w14:textFill>
        </w:rPr>
        <w:t>4.2.12响应文件不满足公开竞争文件的其它实质性要求的；</w:t>
      </w:r>
    </w:p>
    <w:p w14:paraId="503B4BD2">
      <w:pPr>
        <w:spacing w:line="57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4.2.13法律、法规、规章（适用本市的）及省级以上规范性文件（适用本市的）规定的其他无效情形。</w:t>
      </w:r>
    </w:p>
    <w:p w14:paraId="21046118">
      <w:pPr>
        <w:pStyle w:val="17"/>
        <w:snapToGrid w:val="0"/>
        <w:spacing w:line="570" w:lineRule="exact"/>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根据《中华人民共和国政府采购法》第三十六条之规定，在交易过程中，出现下列情形之一的，应予废标：</w:t>
      </w:r>
    </w:p>
    <w:p w14:paraId="724C3D4E">
      <w:pPr>
        <w:pStyle w:val="17"/>
        <w:snapToGrid w:val="0"/>
        <w:spacing w:line="57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5.1符合专业条件的响应人或者对公开竞争文件作实质响应的响应人不足3家的；</w:t>
      </w:r>
    </w:p>
    <w:p w14:paraId="00F48DE9">
      <w:pPr>
        <w:pStyle w:val="17"/>
        <w:snapToGrid w:val="0"/>
        <w:spacing w:line="57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584A0FE7">
      <w:pPr>
        <w:pStyle w:val="17"/>
        <w:snapToGrid w:val="0"/>
        <w:spacing w:line="57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5.3响应人的报价均超过了采购预算，交易发起人不能支付的；</w:t>
      </w:r>
    </w:p>
    <w:p w14:paraId="5A42E6BF">
      <w:pPr>
        <w:pStyle w:val="17"/>
        <w:snapToGrid w:val="0"/>
        <w:spacing w:line="57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740779F5">
      <w:pPr>
        <w:pStyle w:val="17"/>
        <w:snapToGrid w:val="0"/>
        <w:spacing w:line="57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废标后，代理机构应当将废标理由通知所有响应人。</w:t>
      </w:r>
    </w:p>
    <w:p w14:paraId="30C251C3">
      <w:pPr>
        <w:pStyle w:val="17"/>
        <w:snapToGrid w:val="0"/>
        <w:spacing w:line="570" w:lineRule="exact"/>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6.修改公开竞争文件，重新组织交易活动。</w:t>
      </w:r>
      <w:r>
        <w:rPr>
          <w:rFonts w:hint="eastAsia" w:cs="宋体"/>
          <w:color w:val="000000" w:themeColor="text1"/>
          <w14:textFill>
            <w14:solidFill>
              <w14:schemeClr w14:val="tx1"/>
            </w14:solidFill>
          </w14:textFill>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78343BDC">
      <w:pPr>
        <w:pStyle w:val="17"/>
        <w:snapToGrid w:val="0"/>
        <w:spacing w:line="570" w:lineRule="exact"/>
        <w:ind w:firstLine="590" w:firstLineChars="245"/>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7.重新开展交易。</w:t>
      </w:r>
      <w:r>
        <w:rPr>
          <w:rFonts w:hint="eastAsia" w:cs="宋体"/>
          <w:color w:val="000000" w:themeColor="text1"/>
          <w14:textFill>
            <w14:solidFill>
              <w14:schemeClr w14:val="tx1"/>
            </w14:solidFill>
          </w14:textFill>
        </w:rPr>
        <w:t>影响或者可能影响</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、成交结果的，依照下列规定处理：</w:t>
      </w:r>
    </w:p>
    <w:p w14:paraId="171EB552">
      <w:pPr>
        <w:pStyle w:val="17"/>
        <w:snapToGrid w:val="0"/>
        <w:spacing w:line="570" w:lineRule="exact"/>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或者成交人的，终止本次交易活动，重新开展交易活动。</w:t>
      </w:r>
    </w:p>
    <w:p w14:paraId="130F9B91">
      <w:pPr>
        <w:pStyle w:val="17"/>
        <w:snapToGrid w:val="0"/>
        <w:spacing w:line="570" w:lineRule="exact"/>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或者成交人但尚未签订合同的，</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或者成交结果无效，从合格的</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或者成交候选人中另行确定</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或者成交人；没有合格的</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或者成交候选人的，重新开展交易活动。</w:t>
      </w:r>
    </w:p>
    <w:p w14:paraId="53F68D63">
      <w:pPr>
        <w:pStyle w:val="17"/>
        <w:snapToGrid w:val="0"/>
        <w:spacing w:line="570" w:lineRule="exact"/>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7.3书面合同已签订但尚未履行的，撤销合同，从合格的</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或者成交候选人中另行确定</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或者成交人；没有合格的</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或者成交候选人的，重新开展交易活动。</w:t>
      </w:r>
    </w:p>
    <w:p w14:paraId="66E1FA84">
      <w:pPr>
        <w:pStyle w:val="17"/>
        <w:snapToGrid w:val="0"/>
        <w:spacing w:line="57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7.4书面合同已经履行，给交易发起人、响应人造成损失的，由责任人承担赔偿责任。</w:t>
      </w:r>
    </w:p>
    <w:p w14:paraId="5CE2CF9A">
      <w:pPr>
        <w:pStyle w:val="17"/>
        <w:snapToGrid w:val="0"/>
        <w:spacing w:line="570" w:lineRule="exac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7.5交易当事人有其他违反政府采购法</w:t>
      </w:r>
      <w:r>
        <w:rPr>
          <w:rFonts w:hint="eastAsia" w:cs="宋体"/>
          <w:color w:val="000000" w:themeColor="text1"/>
          <w:kern w:val="0"/>
          <w14:textFill>
            <w14:solidFill>
              <w14:schemeClr w14:val="tx1"/>
            </w14:solidFill>
          </w14:textFill>
        </w:rPr>
        <w:t>或者政府采购法实施条例等法律法规规定</w:t>
      </w:r>
      <w:r>
        <w:rPr>
          <w:rFonts w:hint="eastAsia" w:cs="宋体"/>
          <w:color w:val="000000" w:themeColor="text1"/>
          <w14:textFill>
            <w14:solidFill>
              <w14:schemeClr w14:val="tx1"/>
            </w14:solidFill>
          </w14:textFill>
        </w:rPr>
        <w:t>的行为，经改正后仍然影响或者可能影响</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、成交结果或者依法被认定为</w:t>
      </w:r>
      <w:r>
        <w:rPr>
          <w:rFonts w:hint="eastAsia" w:cs="宋体"/>
          <w:color w:val="000000" w:themeColor="text1"/>
          <w:kern w:val="0"/>
          <w14:textFill>
            <w14:solidFill>
              <w14:schemeClr w14:val="tx1"/>
            </w14:solidFill>
          </w14:textFill>
        </w:rPr>
        <w:t>成交</w:t>
      </w:r>
      <w:r>
        <w:rPr>
          <w:rFonts w:hint="eastAsia" w:cs="宋体"/>
          <w:color w:val="000000" w:themeColor="text1"/>
          <w14:textFill>
            <w14:solidFill>
              <w14:schemeClr w14:val="tx1"/>
            </w14:solidFill>
          </w14:textFill>
        </w:rPr>
        <w:t>、成交无效的，依照7.1-7.4规定处理。</w:t>
      </w:r>
    </w:p>
    <w:p w14:paraId="46DA14F1">
      <w:pPr>
        <w:pStyle w:val="17"/>
        <w:snapToGrid w:val="0"/>
        <w:spacing w:line="360" w:lineRule="auto"/>
        <w:rPr>
          <w:rFonts w:cs="宋体"/>
          <w:color w:val="000000" w:themeColor="text1"/>
          <w14:textFill>
            <w14:solidFill>
              <w14:schemeClr w14:val="tx1"/>
            </w14:solidFill>
          </w14:textFill>
        </w:rPr>
      </w:pPr>
    </w:p>
    <w:p w14:paraId="2E0B19F3">
      <w:pPr>
        <w:pStyle w:val="16"/>
        <w:rPr>
          <w:rFonts w:hAnsi="宋体" w:cs="宋体"/>
          <w:color w:val="000000" w:themeColor="text1"/>
          <w14:textFill>
            <w14:solidFill>
              <w14:schemeClr w14:val="tx1"/>
            </w14:solidFill>
          </w14:textFill>
        </w:rPr>
      </w:pPr>
    </w:p>
    <w:p w14:paraId="604632F9">
      <w:pPr>
        <w:rPr>
          <w:rFonts w:ascii="宋体" w:hAnsi="宋体" w:cs="宋体"/>
          <w:color w:val="000000" w:themeColor="text1"/>
          <w14:textFill>
            <w14:solidFill>
              <w14:schemeClr w14:val="tx1"/>
            </w14:solidFill>
          </w14:textFill>
        </w:rPr>
      </w:pPr>
    </w:p>
    <w:p w14:paraId="2358D2CE">
      <w:pP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19E8984B">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14:paraId="2F547FEB">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合同编号：</w:t>
      </w:r>
    </w:p>
    <w:p w14:paraId="09D066F3">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签订地点：                                 签订时间：    年  月  日</w:t>
      </w:r>
    </w:p>
    <w:p w14:paraId="58753DB0">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p w14:paraId="0E6812EA">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甲方（需方）：                                     </w:t>
      </w:r>
    </w:p>
    <w:p w14:paraId="736523E1">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乙方（供方）：                                     </w:t>
      </w:r>
    </w:p>
    <w:p w14:paraId="282B2FB5">
      <w:pPr>
        <w:spacing w:line="360"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供、需双方根据项目（交易编号  -  -   ）成交结果和公开竞争文件的要求，并经双方协调一致，订立本合同。</w:t>
      </w:r>
    </w:p>
    <w:p w14:paraId="471F114C">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一、合同文件：</w:t>
      </w:r>
    </w:p>
    <w:p w14:paraId="3E53D58E">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1、合同条款。</w:t>
      </w:r>
    </w:p>
    <w:p w14:paraId="22D6ECAA">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2、成交通知书。</w:t>
      </w:r>
    </w:p>
    <w:p w14:paraId="287F75A1">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3、公开竞争文件。</w:t>
      </w:r>
    </w:p>
    <w:p w14:paraId="4D908DB2">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4、更正公告。</w:t>
      </w:r>
    </w:p>
    <w:p w14:paraId="20AB271F">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5、成交单位响应文件。</w:t>
      </w:r>
    </w:p>
    <w:p w14:paraId="51490236">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6、其他。</w:t>
      </w:r>
    </w:p>
    <w:p w14:paraId="75A48DBA">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二、合同金额: 本合同金额为（大写）</w:t>
      </w:r>
      <w:r>
        <w:rPr>
          <w:rFonts w:hint="eastAsia" w:asciiTheme="minorEastAsia" w:hAnsiTheme="minorEastAsia" w:eastAsiaTheme="minorEastAsia" w:cstheme="minorEastAsia"/>
          <w:color w:val="000000" w:themeColor="text1"/>
          <w:u w:val="single"/>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元（￥</w:t>
      </w:r>
      <w:r>
        <w:rPr>
          <w:rFonts w:hint="eastAsia" w:asciiTheme="minorEastAsia" w:hAnsiTheme="minorEastAsia" w:eastAsiaTheme="minorEastAsia" w:cstheme="minorEastAsia"/>
          <w:color w:val="000000" w:themeColor="text1"/>
          <w:u w:val="single"/>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元）人民币。</w:t>
      </w:r>
    </w:p>
    <w:p w14:paraId="2B075B9F">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附：</w:t>
      </w:r>
    </w:p>
    <w:p w14:paraId="4756E5EC">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830"/>
        <w:gridCol w:w="1972"/>
        <w:gridCol w:w="961"/>
        <w:gridCol w:w="2356"/>
      </w:tblGrid>
      <w:tr w14:paraId="3DE6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14:paraId="3634A438">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序号</w:t>
            </w:r>
          </w:p>
        </w:tc>
        <w:tc>
          <w:tcPr>
            <w:tcW w:w="1830" w:type="dxa"/>
            <w:tcBorders>
              <w:top w:val="single" w:color="auto" w:sz="4" w:space="0"/>
              <w:left w:val="single" w:color="auto" w:sz="4" w:space="0"/>
              <w:bottom w:val="single" w:color="auto" w:sz="4" w:space="0"/>
              <w:right w:val="single" w:color="auto" w:sz="4" w:space="0"/>
            </w:tcBorders>
            <w:vAlign w:val="center"/>
          </w:tcPr>
          <w:p w14:paraId="6ED0ED6F">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51749167">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7B6CF8CA">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6D69BA57">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成交总价（元）</w:t>
            </w:r>
          </w:p>
        </w:tc>
      </w:tr>
      <w:tr w14:paraId="5352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14:paraId="662D0EC9">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830" w:type="dxa"/>
            <w:tcBorders>
              <w:top w:val="single" w:color="auto" w:sz="4" w:space="0"/>
              <w:left w:val="single" w:color="auto" w:sz="4" w:space="0"/>
              <w:bottom w:val="single" w:color="auto" w:sz="4" w:space="0"/>
              <w:right w:val="single" w:color="auto" w:sz="4" w:space="0"/>
            </w:tcBorders>
            <w:vAlign w:val="center"/>
          </w:tcPr>
          <w:p w14:paraId="5BE7BEA0">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0F7B82FE">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63063D28">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50925E7B">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r>
      <w:tr w14:paraId="765A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14:paraId="4DAFF1A9">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830" w:type="dxa"/>
            <w:tcBorders>
              <w:top w:val="single" w:color="auto" w:sz="4" w:space="0"/>
              <w:left w:val="single" w:color="auto" w:sz="4" w:space="0"/>
              <w:bottom w:val="single" w:color="auto" w:sz="4" w:space="0"/>
              <w:right w:val="single" w:color="auto" w:sz="4" w:space="0"/>
            </w:tcBorders>
            <w:vAlign w:val="center"/>
          </w:tcPr>
          <w:p w14:paraId="30D9FD3B">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52585C2C">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961" w:type="dxa"/>
            <w:tcBorders>
              <w:top w:val="single" w:color="auto" w:sz="4" w:space="0"/>
              <w:left w:val="single" w:color="auto" w:sz="4" w:space="0"/>
              <w:bottom w:val="single" w:color="auto" w:sz="4" w:space="0"/>
              <w:right w:val="single" w:color="auto" w:sz="4" w:space="0"/>
            </w:tcBorders>
            <w:vAlign w:val="center"/>
          </w:tcPr>
          <w:p w14:paraId="1F64808F">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vAlign w:val="center"/>
          </w:tcPr>
          <w:p w14:paraId="5EF66541">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r>
    </w:tbl>
    <w:p w14:paraId="4F30FD60">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三、技术资料</w:t>
      </w:r>
    </w:p>
    <w:p w14:paraId="5DB2B833">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1.乙方应按公开竞争文件规定的时间向甲方提供有关技术资料。</w:t>
      </w:r>
    </w:p>
    <w:p w14:paraId="231FC41E">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08201ACD">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四、转包或分包</w:t>
      </w:r>
    </w:p>
    <w:p w14:paraId="4B06982A">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1.本合同范围的服务，应由乙方直接提供，乙方不得将本合同范围的服务全部或部分分包给他人供应；</w:t>
      </w:r>
    </w:p>
    <w:p w14:paraId="0A9716D1">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2.如有转让和未经甲方同意的分包行为，甲方有权解除合同，追究乙方的违约责任。</w:t>
      </w:r>
    </w:p>
    <w:p w14:paraId="24E2E7EE">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五、服务质量保证期</w:t>
      </w:r>
    </w:p>
    <w:p w14:paraId="6E0E1CD2">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服务时间：</w:t>
      </w:r>
    </w:p>
    <w:p w14:paraId="3F1A0F9A">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六、合同履行时间、履行方式及履行地点</w:t>
      </w:r>
    </w:p>
    <w:p w14:paraId="3C48D551">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履行时间：</w:t>
      </w:r>
    </w:p>
    <w:p w14:paraId="788D7ED0">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 履行方式：按合同履行。</w:t>
      </w:r>
    </w:p>
    <w:p w14:paraId="73CC6490">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 履行地点：甲方指定地点内。</w:t>
      </w:r>
    </w:p>
    <w:p w14:paraId="66A98CA4">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七、款项支付</w:t>
      </w:r>
    </w:p>
    <w:p w14:paraId="0E941BD1">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1.付款方式</w:t>
      </w:r>
    </w:p>
    <w:p w14:paraId="78F34FF0">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八、税费</w:t>
      </w:r>
    </w:p>
    <w:p w14:paraId="170BA3C3">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本合同执行中相关的一切税费均由乙方负担。</w:t>
      </w:r>
    </w:p>
    <w:p w14:paraId="10BBEBCF">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九、质量保证及后续服务</w:t>
      </w:r>
    </w:p>
    <w:p w14:paraId="1613D7C2">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乙方应按公开竞争文件规定向甲方提供服务。</w:t>
      </w:r>
    </w:p>
    <w:p w14:paraId="35F6F27A">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 乙方提供的服务发生问题或产出重大不良影响的，除按招标文件扣除结算金额外，乙方应负责免费提供后续善后服务，同时承担相应责任。</w:t>
      </w:r>
    </w:p>
    <w:p w14:paraId="486342C1">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十、违约责任</w:t>
      </w:r>
    </w:p>
    <w:p w14:paraId="6427D22F">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1.甲方无正当理由拒绝接收服务的，甲方向乙方偿付合同款项百分之五作为违约金。</w:t>
      </w:r>
    </w:p>
    <w:p w14:paraId="7558A387">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2.乙方未能如期提供服务的，每日向甲方支付合同款项的千分之六作为违约金。乙方超过约定日期3个工作日仍不能提供服务的，甲方可解除本合同，追究乙赔偿责任。  3.如发现乙方违反公开竞争文件、响应文件和合同的有关规定，甲方有权根据约定和《杭州市政府采购响应人合同履行和售后服务考核暂行办法》，对乙方进行处罚，并有权提前终止合同。</w:t>
      </w:r>
    </w:p>
    <w:p w14:paraId="4F86226D">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十一、争议的解决</w:t>
      </w:r>
    </w:p>
    <w:p w14:paraId="743BBCD9">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因本合同引起的或与本合同有关的任何争议，合同双方应首先通过协商解决，达成书面协议，如协商不成，可选择下列方式解决。</w:t>
      </w:r>
    </w:p>
    <w:p w14:paraId="7BB34C96">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1.提请杭州仲裁委员会按照该会仲裁规则进行仲裁，仲裁裁决是终局的，对合同双方均有约束力。</w:t>
      </w:r>
    </w:p>
    <w:p w14:paraId="09909021">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2.向有管辖权的人民法院提起诉讼。</w:t>
      </w:r>
    </w:p>
    <w:p w14:paraId="27D7FBB5">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十二、合同生效</w:t>
      </w:r>
    </w:p>
    <w:p w14:paraId="160CB3DD">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1.成交方持成交通知书作为与需方签订合同的凭证。</w:t>
      </w:r>
    </w:p>
    <w:p w14:paraId="4265A150">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2.本合同经需、供双方法定代表人或其授权委托人签字并加盖单位公章或合同章后生效。</w:t>
      </w:r>
    </w:p>
    <w:p w14:paraId="734D47D9">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p>
    <w:p w14:paraId="3C668A84">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p>
    <w:p w14:paraId="4AB6089E">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需方（盖章）：                     供方（盖章）：</w:t>
      </w:r>
    </w:p>
    <w:p w14:paraId="37D77151">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地址：                             地址：</w:t>
      </w:r>
    </w:p>
    <w:p w14:paraId="35BC9C62">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法定代表人（或委托代理人）签名：   法定代表人（或委托代理人）签名：</w:t>
      </w:r>
    </w:p>
    <w:p w14:paraId="298C1031">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                         联系电话：</w:t>
      </w:r>
    </w:p>
    <w:p w14:paraId="17AEA4D0">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邮政编码：                         邮政编码：</w:t>
      </w:r>
    </w:p>
    <w:p w14:paraId="006D89E2">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开户银行：                         开户银行：      </w:t>
      </w:r>
    </w:p>
    <w:p w14:paraId="3EBE7FCF">
      <w:pPr>
        <w:pStyle w:val="17"/>
        <w:snapToGrid w:val="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帐号：                             帐号：</w:t>
      </w:r>
    </w:p>
    <w:p w14:paraId="18B66C9B">
      <w:pPr>
        <w:spacing w:line="480" w:lineRule="auto"/>
        <w:jc w:val="center"/>
        <w:rPr>
          <w:rFonts w:ascii="宋体" w:hAnsi="宋体" w:cs="宋体"/>
          <w:b/>
          <w:color w:val="000000" w:themeColor="text1"/>
          <w:sz w:val="24"/>
          <w14:textFill>
            <w14:solidFill>
              <w14:schemeClr w14:val="tx1"/>
            </w14:solidFill>
          </w14:textFill>
        </w:rPr>
      </w:pPr>
    </w:p>
    <w:p w14:paraId="147EC308">
      <w:pP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20E0D558">
      <w:pPr>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81"/>
      <w:bookmarkEnd w:id="382"/>
      <w:r>
        <w:rPr>
          <w:rFonts w:hint="eastAsia" w:ascii="宋体" w:hAnsi="宋体" w:cs="宋体"/>
          <w:b/>
          <w:color w:val="000000" w:themeColor="text1"/>
          <w:sz w:val="36"/>
          <w:szCs w:val="20"/>
          <w14:textFill>
            <w14:solidFill>
              <w14:schemeClr w14:val="tx1"/>
            </w14:solidFill>
          </w14:textFill>
        </w:rPr>
        <w:t>应提交的有关格式范例</w:t>
      </w:r>
    </w:p>
    <w:p w14:paraId="4B1AA3FC">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0368804D">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1148F129">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0568552C">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6936CBD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（1）符合参加交易活动应当具备的一般条件的承诺函…………………（页码）</w:t>
      </w:r>
    </w:p>
    <w:p w14:paraId="79B1D62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（2）本项目的特定资格要求………………………………………………（页码）</w:t>
      </w:r>
    </w:p>
    <w:p w14:paraId="71F1FFE3">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5B925F2D">
      <w:pPr>
        <w:spacing w:line="360" w:lineRule="auto"/>
        <w:ind w:firstLine="480" w:firstLineChars="200"/>
        <w:rPr>
          <w:rFonts w:ascii="宋体" w:hAnsi="宋体" w:cs="宋体"/>
          <w:color w:val="000000" w:themeColor="text1"/>
          <w:sz w:val="24"/>
          <w14:textFill>
            <w14:solidFill>
              <w14:schemeClr w14:val="tx1"/>
            </w14:solidFill>
          </w14:textFill>
        </w:rPr>
      </w:pPr>
    </w:p>
    <w:p w14:paraId="0D9DB75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符合参加交易活动应当具备的一般条件的承诺函</w:t>
      </w:r>
    </w:p>
    <w:p w14:paraId="09BDBB0A">
      <w:pPr>
        <w:snapToGrid w:val="0"/>
        <w:spacing w:line="360" w:lineRule="auto"/>
        <w:rPr>
          <w:rFonts w:ascii="宋体" w:hAnsi="宋体" w:cs="宋体"/>
          <w:color w:val="000000" w:themeColor="text1"/>
          <w:sz w:val="24"/>
          <w14:textFill>
            <w14:solidFill>
              <w14:schemeClr w14:val="tx1"/>
            </w14:solidFill>
          </w14:textFill>
        </w:rPr>
      </w:pPr>
    </w:p>
    <w:p w14:paraId="30922560">
      <w:pPr>
        <w:snapToGrid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（交易发起人）、（代理机构）：</w:t>
      </w:r>
    </w:p>
    <w:p w14:paraId="688DE35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（项目名称）【交易编号：】</w:t>
      </w:r>
      <w:r>
        <w:rPr>
          <w:rFonts w:hint="eastAsia" w:ascii="宋体" w:hAnsi="宋体" w:cs="宋体"/>
          <w:color w:val="000000" w:themeColor="text1"/>
          <w:sz w:val="24"/>
          <w14:textFill>
            <w14:solidFill>
              <w14:schemeClr w14:val="tx1"/>
            </w14:solidFill>
          </w14:textFill>
        </w:rPr>
        <w:t>交易活动，郑重承诺：</w:t>
      </w:r>
    </w:p>
    <w:p w14:paraId="3FCE553F">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（一）具备以下条件：</w:t>
      </w:r>
    </w:p>
    <w:p w14:paraId="5F7C6EE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65AE67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1D4BB69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2FDF802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34488A6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5、参加交易活动前三年内，在经营活动中没有重大违法记录；</w:t>
      </w:r>
    </w:p>
    <w:p w14:paraId="1A7D20D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4449FC8E">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53E7298F">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46B49A0B">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52C8A50F">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响应人名称(电子签名)：</w:t>
      </w:r>
    </w:p>
    <w:p w14:paraId="01E1F132">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37AF6E0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6213AA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B9D5E7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A1E3E67">
      <w:pPr>
        <w:rPr>
          <w:rFonts w:ascii="宋体" w:hAnsi="宋体" w:cs="宋体"/>
          <w:color w:val="000000" w:themeColor="text1"/>
          <w14:textFill>
            <w14:solidFill>
              <w14:schemeClr w14:val="tx1"/>
            </w14:solidFill>
          </w14:textFill>
        </w:rPr>
      </w:pPr>
    </w:p>
    <w:p w14:paraId="40C56F40">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71F73A0F">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0DF12868">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二、本项目的特定资格要求</w:t>
      </w:r>
    </w:p>
    <w:p w14:paraId="14819BD7">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（根据交易公告本项目的特定资格要求提供相应的材料；未要求的，无需提供）</w:t>
      </w:r>
    </w:p>
    <w:p w14:paraId="68BA317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68C1FF4">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48BA891A">
      <w:pP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008EAABD">
      <w:pPr>
        <w:spacing w:line="360" w:lineRule="auto"/>
        <w:ind w:right="420"/>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6BCE5F5E">
      <w:pPr>
        <w:spacing w:line="360" w:lineRule="auto"/>
        <w:jc w:val="center"/>
        <w:outlineLvl w:val="0"/>
        <w:rPr>
          <w:rFonts w:ascii="宋体" w:hAnsi="宋体" w:cs="宋体"/>
          <w:b/>
          <w:color w:val="000000" w:themeColor="text1"/>
          <w:kern w:val="0"/>
          <w:sz w:val="24"/>
          <w14:textFill>
            <w14:solidFill>
              <w14:schemeClr w14:val="tx1"/>
            </w14:solidFill>
          </w14:textFill>
        </w:rPr>
      </w:pPr>
    </w:p>
    <w:p w14:paraId="338D0620">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3A69A7D6">
      <w:pPr>
        <w:snapToGrid w:val="0"/>
        <w:spacing w:line="360" w:lineRule="auto"/>
        <w:ind w:left="479" w:leftChars="228"/>
        <w:jc w:val="distribute"/>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（1）交易函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6E868292">
      <w:pPr>
        <w:snapToGrid w:val="0"/>
        <w:spacing w:line="360" w:lineRule="auto"/>
        <w:ind w:firstLine="480" w:firstLineChars="20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（3）营业执照</w:t>
      </w:r>
      <w:r>
        <w:rPr>
          <w:rFonts w:hint="eastAsia" w:ascii="宋体" w:hAnsi="宋体" w:cs="宋体"/>
          <w:color w:val="000000" w:themeColor="text1"/>
          <w14:textFill>
            <w14:solidFill>
              <w14:schemeClr w14:val="tx1"/>
            </w14:solidFill>
          </w14:textFill>
        </w:rPr>
        <w:t>………………………………………………………………………………（页码）</w:t>
      </w:r>
    </w:p>
    <w:p w14:paraId="3FC9A792">
      <w:pPr>
        <w:snapToGrid w:val="0"/>
        <w:spacing w:line="360" w:lineRule="auto"/>
        <w:ind w:firstLine="480" w:firstLineChars="200"/>
        <w:jc w:val="distribute"/>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（4）符合性审查资料</w:t>
      </w:r>
      <w:r>
        <w:rPr>
          <w:rFonts w:hint="eastAsia" w:ascii="宋体" w:hAnsi="宋体" w:cs="宋体"/>
          <w:color w:val="000000" w:themeColor="text1"/>
          <w14:textFill>
            <w14:solidFill>
              <w14:schemeClr w14:val="tx1"/>
            </w14:solidFill>
          </w14:textFill>
        </w:rPr>
        <w:t>………………………………………………………………………（页码）</w:t>
      </w:r>
    </w:p>
    <w:p w14:paraId="757E8C7B">
      <w:pPr>
        <w:snapToGrid w:val="0"/>
        <w:spacing w:line="360" w:lineRule="auto"/>
        <w:ind w:firstLine="480" w:firstLineChars="20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（5）评审标准相应的商务技术资料</w:t>
      </w:r>
      <w:r>
        <w:rPr>
          <w:rFonts w:hint="eastAsia" w:ascii="宋体" w:hAnsi="宋体" w:cs="宋体"/>
          <w:color w:val="000000" w:themeColor="text1"/>
          <w14:textFill>
            <w14:solidFill>
              <w14:schemeClr w14:val="tx1"/>
            </w14:solidFill>
          </w14:textFill>
        </w:rPr>
        <w:t>……………………………………………………（页码）</w:t>
      </w:r>
    </w:p>
    <w:p w14:paraId="2441D992">
      <w:pPr>
        <w:snapToGrid w:val="0"/>
        <w:spacing w:line="360" w:lineRule="auto"/>
        <w:ind w:firstLine="480" w:firstLineChars="200"/>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（6）商务技术偏离表</w:t>
      </w:r>
      <w:r>
        <w:rPr>
          <w:rFonts w:hint="eastAsia" w:ascii="宋体" w:hAnsi="宋体" w:cs="宋体"/>
          <w:color w:val="000000" w:themeColor="text1"/>
          <w14:textFill>
            <w14:solidFill>
              <w14:schemeClr w14:val="tx1"/>
            </w14:solidFill>
          </w14:textFill>
        </w:rPr>
        <w:t>………………………………………………………………………（页码）</w:t>
      </w:r>
    </w:p>
    <w:p w14:paraId="153C8F32">
      <w:pPr>
        <w:snapToGrid w:val="0"/>
        <w:spacing w:line="360" w:lineRule="auto"/>
        <w:ind w:left="479" w:leftChars="228"/>
        <w:jc w:val="distribut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响应人廉洁自律承诺书</w:t>
      </w:r>
      <w:r>
        <w:rPr>
          <w:rFonts w:hint="eastAsia" w:ascii="宋体" w:hAnsi="宋体" w:cs="宋体"/>
          <w:color w:val="000000" w:themeColor="text1"/>
          <w14:textFill>
            <w14:solidFill>
              <w14:schemeClr w14:val="tx1"/>
            </w14:solidFill>
          </w14:textFill>
        </w:rPr>
        <w:t>……………………………………………………………（页码）</w:t>
      </w:r>
    </w:p>
    <w:p w14:paraId="16B31C1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CD632F3">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02003DE">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E4FEA0B">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3BB1BD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A3D7102">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421E6456">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64315131">
      <w:pPr>
        <w:rPr>
          <w:rFonts w:ascii="宋体" w:hAnsi="宋体" w:cs="宋体"/>
          <w:color w:val="000000" w:themeColor="text1"/>
          <w14:textFill>
            <w14:solidFill>
              <w14:schemeClr w14:val="tx1"/>
            </w14:solidFill>
          </w14:textFill>
        </w:rPr>
      </w:pPr>
    </w:p>
    <w:p w14:paraId="583A5E5A">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3CCF277F">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64DB136D">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61AA8D80">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40059300">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790C4A64">
      <w:pPr>
        <w:snapToGrid w:val="0"/>
        <w:spacing w:line="360" w:lineRule="auto"/>
        <w:jc w:val="center"/>
        <w:outlineLvl w:val="0"/>
        <w:rPr>
          <w:rFonts w:ascii="宋体" w:hAnsi="宋体" w:cs="宋体"/>
          <w:b/>
          <w:color w:val="000000" w:themeColor="text1"/>
          <w:kern w:val="0"/>
          <w:sz w:val="32"/>
          <w:szCs w:val="32"/>
          <w14:textFill>
            <w14:solidFill>
              <w14:schemeClr w14:val="tx1"/>
            </w14:solidFill>
          </w14:textFill>
        </w:rPr>
      </w:pPr>
    </w:p>
    <w:p w14:paraId="18B27DAA">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76BB77A0">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一、交易函</w:t>
      </w:r>
    </w:p>
    <w:p w14:paraId="56B000EC">
      <w:pPr>
        <w:snapToGrid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（交易发起人）、（代理机构）：</w:t>
      </w:r>
    </w:p>
    <w:p w14:paraId="0705C33F">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14:textFill>
            <w14:solidFill>
              <w14:schemeClr w14:val="tx1"/>
            </w14:solidFill>
          </w14:textFill>
        </w:rPr>
        <w:t>（项目名称）【交易编号：】</w:t>
      </w:r>
      <w:r>
        <w:rPr>
          <w:rFonts w:hint="eastAsia" w:ascii="宋体" w:hAnsi="宋体" w:cs="宋体"/>
          <w:color w:val="000000" w:themeColor="text1"/>
          <w:sz w:val="24"/>
          <w14:textFill>
            <w14:solidFill>
              <w14:schemeClr w14:val="tx1"/>
            </w14:solidFill>
          </w14:textFill>
        </w:rPr>
        <w:t>招标的有关活动，并对此项目进行投标。为此：</w:t>
      </w:r>
    </w:p>
    <w:p w14:paraId="3CBA2C90">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1、我方承诺交易有效期从提交响应文件的截止之日起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本响应文件在交易有效期满之前均具有约束力。</w:t>
      </w:r>
    </w:p>
    <w:p w14:paraId="0B806DCC">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14:paraId="5C3471D3">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20355437">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3B4726B2">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2.1.2本项目的特定资格要求（如果有）。</w:t>
      </w:r>
    </w:p>
    <w:p w14:paraId="192D2A45">
      <w:pPr>
        <w:snapToGrid w:val="0"/>
        <w:spacing w:line="440" w:lineRule="exact"/>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2E800DA8">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2.2.1交易函；</w:t>
      </w:r>
    </w:p>
    <w:p w14:paraId="5CF9262F">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313D3F54">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2.2.3营业执照；</w:t>
      </w:r>
    </w:p>
    <w:p w14:paraId="6D1DA9F9">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2.2.4符合性审查资料；</w:t>
      </w:r>
    </w:p>
    <w:p w14:paraId="58F4B102">
      <w:pPr>
        <w:snapToGrid w:val="0"/>
        <w:spacing w:line="440" w:lineRule="exact"/>
        <w:ind w:left="420" w:lef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2.2.5评审标准相应的商务技术资料；</w:t>
      </w:r>
    </w:p>
    <w:p w14:paraId="576E0291">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2.2.6商务技术偏离表；</w:t>
      </w:r>
    </w:p>
    <w:p w14:paraId="42C64E3F">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2.2.7</w:t>
      </w:r>
      <w:r>
        <w:rPr>
          <w:rFonts w:hint="eastAsia" w:ascii="宋体" w:hAnsi="宋体" w:cs="宋体"/>
          <w:color w:val="000000" w:themeColor="text1"/>
          <w:sz w:val="24"/>
          <w:lang w:val="zh-CN"/>
          <w14:textFill>
            <w14:solidFill>
              <w14:schemeClr w14:val="tx1"/>
            </w14:solidFill>
          </w14:textFill>
        </w:rPr>
        <w:t>响应人廉洁自律承诺书。</w:t>
      </w:r>
    </w:p>
    <w:p w14:paraId="7401BB80">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089AE2C8">
      <w:pPr>
        <w:snapToGrid w:val="0"/>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2.3.1交易一览表（报价表）。</w:t>
      </w:r>
    </w:p>
    <w:p w14:paraId="260E21D5">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3、我方承诺除商务技术偏离表列出的偏离外，我方响应公开竞争文件的全部要求。</w:t>
      </w:r>
    </w:p>
    <w:p w14:paraId="11176030">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14:paraId="4F4AE05D">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4.1在收到成交通知书后，在成交通知书规定的期限内与你方签订合同； </w:t>
      </w:r>
    </w:p>
    <w:p w14:paraId="66C5418F">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096EFE5F">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4.3按照公开竞争文件要求提交履约保证金； </w:t>
      </w:r>
    </w:p>
    <w:p w14:paraId="6E157F7B">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196F2001">
      <w:pPr>
        <w:snapToGrid w:val="0"/>
        <w:spacing w:line="440" w:lineRule="exact"/>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2DC3B1DC">
      <w:pPr>
        <w:spacing w:line="440" w:lineRule="exact"/>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响应人名称（电子签名）：                          </w:t>
      </w:r>
    </w:p>
    <w:p w14:paraId="478A8607">
      <w:pPr>
        <w:spacing w:line="440" w:lineRule="exact"/>
        <w:jc w:val="center"/>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187EADD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FE56050">
      <w:pPr>
        <w:pStyle w:val="25"/>
        <w:rPr>
          <w:rFonts w:hAnsi="宋体" w:cs="宋体"/>
          <w:color w:val="000000" w:themeColor="text1"/>
          <w:lang w:val="en-US"/>
          <w14:textFill>
            <w14:solidFill>
              <w14:schemeClr w14:val="tx1"/>
            </w14:solidFill>
          </w14:textFill>
        </w:rPr>
      </w:pPr>
    </w:p>
    <w:p w14:paraId="7F40D375">
      <w:pPr>
        <w:jc w:val="center"/>
        <w:rPr>
          <w:rFonts w:ascii="宋体" w:hAnsi="宋体" w:cs="宋体"/>
          <w:b/>
          <w:color w:val="000000" w:themeColor="text1"/>
          <w:kern w:val="0"/>
          <w:sz w:val="32"/>
          <w:szCs w:val="32"/>
          <w14:textFill>
            <w14:solidFill>
              <w14:schemeClr w14:val="tx1"/>
            </w14:solidFill>
          </w14:textFill>
        </w:rPr>
      </w:pPr>
    </w:p>
    <w:p w14:paraId="21920D47">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10098BDD">
      <w:pPr>
        <w:snapToGrid w:val="0"/>
        <w:spacing w:line="360" w:lineRule="auto"/>
        <w:rPr>
          <w:rFonts w:ascii="宋体" w:hAnsi="宋体" w:cs="宋体"/>
          <w:color w:val="000000" w:themeColor="text1"/>
          <w:sz w:val="24"/>
          <w14:textFill>
            <w14:solidFill>
              <w14:schemeClr w14:val="tx1"/>
            </w14:solidFill>
          </w14:textFill>
        </w:rPr>
      </w:pPr>
    </w:p>
    <w:p w14:paraId="691583EE">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w:t>
      </w:r>
    </w:p>
    <w:p w14:paraId="115868C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（交易发起人）、（代理机构）</w:t>
      </w:r>
      <w:r>
        <w:rPr>
          <w:rFonts w:hint="eastAsia" w:ascii="宋体" w:hAnsi="宋体" w:cs="宋体"/>
          <w:color w:val="000000" w:themeColor="text1"/>
          <w:kern w:val="0"/>
          <w:sz w:val="24"/>
          <w:lang w:val="zh-CN"/>
          <w14:textFill>
            <w14:solidFill>
              <w14:schemeClr w14:val="tx1"/>
            </w14:solidFill>
          </w14:textFill>
        </w:rPr>
        <w:t>：</w:t>
      </w:r>
    </w:p>
    <w:p w14:paraId="0C516E71">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sz w:val="24"/>
          <w:u w:val="single"/>
          <w14:textFill>
            <w14:solidFill>
              <w14:schemeClr w14:val="tx1"/>
            </w14:solidFill>
          </w14:textFill>
        </w:rPr>
        <w:t>（项目名称）【交易编号：】</w:t>
      </w:r>
      <w:r>
        <w:rPr>
          <w:rFonts w:hint="eastAsia" w:ascii="宋体" w:hAnsi="宋体" w:cs="宋体"/>
          <w:color w:val="000000" w:themeColor="text1"/>
          <w:kern w:val="0"/>
          <w:sz w:val="24"/>
          <w:lang w:val="zh-CN"/>
          <w14:textFill>
            <w14:solidFill>
              <w14:schemeClr w14:val="tx1"/>
            </w14:solidFill>
          </w14:textFill>
        </w:rPr>
        <w:t>交易项目的一切事项，其法律后果由我方承担。</w:t>
      </w:r>
    </w:p>
    <w:p w14:paraId="72D050B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自年月日起至年月日止。</w:t>
      </w:r>
    </w:p>
    <w:p w14:paraId="2F216CE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45548E5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响应人名称(电子签名)：</w:t>
      </w:r>
    </w:p>
    <w:p w14:paraId="46673CE2">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09B1F535">
      <w:pPr>
        <w:snapToGrid w:val="0"/>
        <w:spacing w:line="360" w:lineRule="auto"/>
        <w:rPr>
          <w:rFonts w:ascii="宋体" w:hAnsi="宋体" w:cs="宋体"/>
          <w:color w:val="000000" w:themeColor="text1"/>
          <w:sz w:val="24"/>
          <w14:textFill>
            <w14:solidFill>
              <w14:schemeClr w14:val="tx1"/>
            </w14:solidFill>
          </w14:textFill>
        </w:rPr>
      </w:pPr>
    </w:p>
    <w:p w14:paraId="60ECF521">
      <w:pPr>
        <w:snapToGrid w:val="0"/>
        <w:spacing w:line="360" w:lineRule="auto"/>
        <w:rPr>
          <w:rFonts w:ascii="宋体" w:hAnsi="宋体" w:cs="宋体"/>
          <w:color w:val="000000" w:themeColor="text1"/>
          <w:kern w:val="0"/>
          <w:sz w:val="24"/>
          <w:lang w:val="zh-CN"/>
          <w14:textFill>
            <w14:solidFill>
              <w14:schemeClr w14:val="tx1"/>
            </w14:solidFill>
          </w14:textFill>
        </w:rPr>
      </w:pPr>
    </w:p>
    <w:p w14:paraId="79CEA560">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的身份证明（适用于法定代表人、单位负责人或者自然人本人代表响应人参加投标）</w:t>
      </w:r>
    </w:p>
    <w:p w14:paraId="3A90EB43">
      <w:pPr>
        <w:pStyle w:val="158"/>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33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1C1AE042">
            <w:pPr>
              <w:pStyle w:val="158"/>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04E775EC">
            <w:pPr>
              <w:pStyle w:val="158"/>
              <w:adjustRightInd w:val="0"/>
              <w:spacing w:line="360" w:lineRule="auto"/>
              <w:rPr>
                <w:rFonts w:hAnsi="宋体" w:cs="宋体"/>
                <w:bCs/>
                <w:color w:val="000000" w:themeColor="text1"/>
                <w:sz w:val="24"/>
                <w14:textFill>
                  <w14:solidFill>
                    <w14:schemeClr w14:val="tx1"/>
                  </w14:solidFill>
                </w14:textFill>
              </w:rPr>
            </w:pPr>
          </w:p>
        </w:tc>
      </w:tr>
    </w:tbl>
    <w:p w14:paraId="0A5FBA33">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6047EE45">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响应人名称(电子签名)：                              </w:t>
      </w:r>
    </w:p>
    <w:p w14:paraId="1DFB8C2E">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484D157">
      <w:pPr>
        <w:jc w:val="center"/>
        <w:rPr>
          <w:rFonts w:ascii="宋体" w:hAnsi="宋体" w:cs="宋体"/>
          <w:b/>
          <w:color w:val="000000" w:themeColor="text1"/>
          <w:kern w:val="0"/>
          <w:sz w:val="32"/>
          <w:szCs w:val="32"/>
          <w14:textFill>
            <w14:solidFill>
              <w14:schemeClr w14:val="tx1"/>
            </w14:solidFill>
          </w14:textFill>
        </w:rPr>
      </w:pPr>
    </w:p>
    <w:p w14:paraId="3BDA744F">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15D0F918">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三、营业执照</w:t>
      </w:r>
    </w:p>
    <w:p w14:paraId="2C4DD8B3">
      <w:pPr>
        <w:jc w:val="center"/>
        <w:rPr>
          <w:rFonts w:ascii="宋体" w:hAnsi="宋体" w:cs="宋体"/>
          <w:b/>
          <w:color w:val="000000" w:themeColor="text1"/>
          <w:kern w:val="0"/>
          <w:sz w:val="32"/>
          <w:szCs w:val="32"/>
          <w14:textFill>
            <w14:solidFill>
              <w14:schemeClr w14:val="tx1"/>
            </w14:solidFill>
          </w14:textFill>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03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29100222">
            <w:pPr>
              <w:pStyle w:val="158"/>
              <w:adjustRightInd w:val="0"/>
              <w:spacing w:line="360" w:lineRule="auto"/>
              <w:rPr>
                <w:rFonts w:hAnsi="宋体" w:cs="宋体"/>
                <w:bCs/>
                <w:color w:val="000000" w:themeColor="text1"/>
                <w:sz w:val="24"/>
                <w14:textFill>
                  <w14:solidFill>
                    <w14:schemeClr w14:val="tx1"/>
                  </w14:solidFill>
                </w14:textFill>
              </w:rPr>
            </w:pPr>
          </w:p>
        </w:tc>
      </w:tr>
    </w:tbl>
    <w:p w14:paraId="02C43ED0">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3406B989">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3FDA6836">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响应人名称(电子签名)：                              </w:t>
      </w:r>
    </w:p>
    <w:p w14:paraId="6683B46A">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51844FCB">
      <w:pPr>
        <w:jc w:val="center"/>
        <w:rPr>
          <w:rFonts w:ascii="宋体" w:hAnsi="宋体" w:cs="宋体"/>
          <w:b/>
          <w:color w:val="000000" w:themeColor="text1"/>
          <w:kern w:val="0"/>
          <w:sz w:val="32"/>
          <w:szCs w:val="32"/>
          <w14:textFill>
            <w14:solidFill>
              <w14:schemeClr w14:val="tx1"/>
            </w14:solidFill>
          </w14:textFill>
        </w:rPr>
      </w:pPr>
    </w:p>
    <w:p w14:paraId="1E02751B">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4D00B51B">
      <w:pPr>
        <w:jc w:val="center"/>
        <w:rPr>
          <w:rFonts w:ascii="宋体" w:hAnsi="宋体" w:cs="宋体"/>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88B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7EF44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976" w:type="dxa"/>
            <w:vAlign w:val="center"/>
          </w:tcPr>
          <w:p w14:paraId="5AB75DA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566" w:type="dxa"/>
            <w:vAlign w:val="center"/>
          </w:tcPr>
          <w:p w14:paraId="4B0E8EF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4241A5EA">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w:t>
            </w:r>
          </w:p>
          <w:p w14:paraId="4BE03F9E">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4307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7615D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976" w:type="dxa"/>
            <w:vAlign w:val="center"/>
          </w:tcPr>
          <w:p w14:paraId="152A487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响应文件按照公开竞争文件要求签署、盖章。</w:t>
            </w:r>
          </w:p>
        </w:tc>
        <w:tc>
          <w:tcPr>
            <w:tcW w:w="3566" w:type="dxa"/>
            <w:vAlign w:val="center"/>
          </w:tcPr>
          <w:p w14:paraId="285DF3A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2C341646">
            <w:pPr>
              <w:jc w:val="center"/>
              <w:rPr>
                <w:rFonts w:ascii="宋体" w:hAnsi="宋体" w:cs="宋体"/>
                <w:color w:val="000000" w:themeColor="text1"/>
                <w:sz w:val="24"/>
                <w14:textFill>
                  <w14:solidFill>
                    <w14:schemeClr w14:val="tx1"/>
                  </w14:solidFill>
                </w14:textFill>
              </w:rPr>
            </w:pPr>
          </w:p>
          <w:p w14:paraId="6B44F62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2291E44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  页</w:t>
            </w:r>
          </w:p>
        </w:tc>
      </w:tr>
      <w:tr w14:paraId="7899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31E83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976" w:type="dxa"/>
            <w:vAlign w:val="center"/>
          </w:tcPr>
          <w:p w14:paraId="2723DD1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响应文件中承诺的交易有效期不少于公开竞争文件中载明的交易有效期。</w:t>
            </w:r>
          </w:p>
        </w:tc>
        <w:tc>
          <w:tcPr>
            <w:tcW w:w="3566" w:type="dxa"/>
            <w:vAlign w:val="center"/>
          </w:tcPr>
          <w:p w14:paraId="071CBC8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交易函</w:t>
            </w:r>
          </w:p>
        </w:tc>
        <w:tc>
          <w:tcPr>
            <w:tcW w:w="1418" w:type="dxa"/>
            <w:vAlign w:val="center"/>
          </w:tcPr>
          <w:p w14:paraId="38067A0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  页</w:t>
            </w:r>
          </w:p>
        </w:tc>
      </w:tr>
      <w:tr w14:paraId="67B6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923ED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976" w:type="dxa"/>
            <w:vAlign w:val="center"/>
          </w:tcPr>
          <w:p w14:paraId="53E70BF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响应文件满足公开竞争文件的其它实质性要求。</w:t>
            </w:r>
          </w:p>
        </w:tc>
        <w:tc>
          <w:tcPr>
            <w:tcW w:w="3566" w:type="dxa"/>
            <w:vAlign w:val="center"/>
          </w:tcPr>
          <w:p w14:paraId="0177B27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公开竞争文件其它实质性要求相应的材料（“▲” 系指实质性要求条款，公开竞争文件无其它实质性要求的，无需提供）</w:t>
            </w:r>
          </w:p>
        </w:tc>
        <w:tc>
          <w:tcPr>
            <w:tcW w:w="1418" w:type="dxa"/>
            <w:vAlign w:val="center"/>
          </w:tcPr>
          <w:p w14:paraId="761B50D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  页</w:t>
            </w:r>
          </w:p>
        </w:tc>
      </w:tr>
    </w:tbl>
    <w:p w14:paraId="152AA463">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58FA0A9">
      <w:pPr>
        <w:jc w:val="center"/>
        <w:rPr>
          <w:rFonts w:ascii="宋体" w:hAnsi="宋体" w:cs="宋体"/>
          <w:b/>
          <w:color w:val="000000" w:themeColor="text1"/>
          <w:kern w:val="0"/>
          <w:sz w:val="32"/>
          <w:szCs w:val="32"/>
          <w14:textFill>
            <w14:solidFill>
              <w14:schemeClr w14:val="tx1"/>
            </w14:solidFill>
          </w14:textFill>
        </w:rPr>
      </w:pPr>
    </w:p>
    <w:p w14:paraId="57EE3548">
      <w:pPr>
        <w:jc w:val="center"/>
        <w:rPr>
          <w:rFonts w:ascii="宋体" w:hAnsi="宋体" w:cs="宋体"/>
          <w:b/>
          <w:color w:val="000000" w:themeColor="text1"/>
          <w:kern w:val="0"/>
          <w:sz w:val="32"/>
          <w:szCs w:val="32"/>
          <w14:textFill>
            <w14:solidFill>
              <w14:schemeClr w14:val="tx1"/>
            </w14:solidFill>
          </w14:textFill>
        </w:rPr>
      </w:pPr>
    </w:p>
    <w:p w14:paraId="336285A4">
      <w:pPr>
        <w:rPr>
          <w:rFonts w:ascii="宋体" w:hAnsi="宋体" w:cs="宋体"/>
          <w:b/>
          <w:color w:val="000000" w:themeColor="text1"/>
          <w:kern w:val="0"/>
          <w:sz w:val="32"/>
          <w:szCs w:val="32"/>
          <w14:textFill>
            <w14:solidFill>
              <w14:schemeClr w14:val="tx1"/>
            </w14:solidFill>
          </w14:textFill>
        </w:rPr>
      </w:pPr>
    </w:p>
    <w:p w14:paraId="2661D234">
      <w:pPr>
        <w:jc w:val="center"/>
        <w:rPr>
          <w:rFonts w:ascii="宋体" w:hAnsi="宋体" w:cs="宋体"/>
          <w:b/>
          <w:color w:val="000000" w:themeColor="text1"/>
          <w:kern w:val="0"/>
          <w:sz w:val="32"/>
          <w:szCs w:val="32"/>
          <w14:textFill>
            <w14:solidFill>
              <w14:schemeClr w14:val="tx1"/>
            </w14:solidFill>
          </w14:textFill>
        </w:rPr>
      </w:pPr>
    </w:p>
    <w:p w14:paraId="274D9670">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五、评审标准相应的商务技术资料</w:t>
      </w:r>
    </w:p>
    <w:p w14:paraId="7315F1BD">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（按公开竞争文件第四部分交易办法前附表中“响应文件中评审标准相应的商务技术资料目录”提供资料。）</w:t>
      </w:r>
    </w:p>
    <w:p w14:paraId="207F2AFD">
      <w:pPr>
        <w:jc w:val="center"/>
        <w:rPr>
          <w:rFonts w:ascii="宋体" w:hAnsi="宋体" w:cs="宋体"/>
          <w:b/>
          <w:color w:val="000000" w:themeColor="text1"/>
          <w:kern w:val="0"/>
          <w:sz w:val="32"/>
          <w:szCs w:val="32"/>
          <w14:textFill>
            <w14:solidFill>
              <w14:schemeClr w14:val="tx1"/>
            </w14:solidFill>
          </w14:textFill>
        </w:rPr>
      </w:pPr>
    </w:p>
    <w:p w14:paraId="7A8B7D2C">
      <w:pPr>
        <w:jc w:val="center"/>
        <w:rPr>
          <w:rFonts w:ascii="宋体" w:hAnsi="宋体" w:cs="宋体"/>
          <w:b/>
          <w:color w:val="000000" w:themeColor="text1"/>
          <w:kern w:val="0"/>
          <w:sz w:val="32"/>
          <w:szCs w:val="32"/>
          <w14:textFill>
            <w14:solidFill>
              <w14:schemeClr w14:val="tx1"/>
            </w14:solidFill>
          </w14:textFill>
        </w:rPr>
      </w:pPr>
    </w:p>
    <w:p w14:paraId="4288688C">
      <w:pPr>
        <w:jc w:val="center"/>
        <w:rPr>
          <w:rFonts w:ascii="宋体" w:hAnsi="宋体" w:cs="宋体"/>
          <w:b/>
          <w:color w:val="000000" w:themeColor="text1"/>
          <w:kern w:val="0"/>
          <w:sz w:val="32"/>
          <w:szCs w:val="32"/>
          <w14:textFill>
            <w14:solidFill>
              <w14:schemeClr w14:val="tx1"/>
            </w14:solidFill>
          </w14:textFill>
        </w:rPr>
      </w:pPr>
    </w:p>
    <w:p w14:paraId="31F1A43A">
      <w:pPr>
        <w:jc w:val="center"/>
        <w:rPr>
          <w:rFonts w:ascii="宋体" w:hAnsi="宋体" w:cs="宋体"/>
          <w:b/>
          <w:color w:val="000000" w:themeColor="text1"/>
          <w:kern w:val="0"/>
          <w:sz w:val="32"/>
          <w:szCs w:val="32"/>
          <w14:textFill>
            <w14:solidFill>
              <w14:schemeClr w14:val="tx1"/>
            </w14:solidFill>
          </w14:textFill>
        </w:rPr>
      </w:pPr>
    </w:p>
    <w:p w14:paraId="15C0C564">
      <w:pPr>
        <w:jc w:val="center"/>
        <w:rPr>
          <w:rFonts w:ascii="宋体" w:hAnsi="宋体" w:cs="宋体"/>
          <w:b/>
          <w:color w:val="000000" w:themeColor="text1"/>
          <w:kern w:val="0"/>
          <w:sz w:val="32"/>
          <w:szCs w:val="32"/>
          <w14:textFill>
            <w14:solidFill>
              <w14:schemeClr w14:val="tx1"/>
            </w14:solidFill>
          </w14:textFill>
        </w:rPr>
      </w:pPr>
    </w:p>
    <w:p w14:paraId="657A33AB">
      <w:pPr>
        <w:pStyle w:val="26"/>
        <w:rPr>
          <w:rFonts w:hAnsi="宋体" w:cs="宋体"/>
          <w:b/>
          <w:color w:val="000000" w:themeColor="text1"/>
          <w:kern w:val="0"/>
          <w:sz w:val="32"/>
          <w:szCs w:val="32"/>
          <w14:textFill>
            <w14:solidFill>
              <w14:schemeClr w14:val="tx1"/>
            </w14:solidFill>
          </w14:textFill>
        </w:rPr>
      </w:pPr>
    </w:p>
    <w:p w14:paraId="0A4AD143">
      <w:pPr>
        <w:pStyle w:val="27"/>
        <w:rPr>
          <w:rFonts w:ascii="宋体" w:hAnsi="宋体" w:cs="宋体"/>
          <w:color w:val="000000" w:themeColor="text1"/>
          <w14:textFill>
            <w14:solidFill>
              <w14:schemeClr w14:val="tx1"/>
            </w14:solidFill>
          </w14:textFill>
        </w:rPr>
      </w:pPr>
    </w:p>
    <w:p w14:paraId="2386EB6D">
      <w:pPr>
        <w:jc w:val="center"/>
        <w:rPr>
          <w:rFonts w:ascii="宋体" w:hAnsi="宋体" w:cs="宋体"/>
          <w:b/>
          <w:color w:val="000000" w:themeColor="text1"/>
          <w:kern w:val="0"/>
          <w:sz w:val="32"/>
          <w:szCs w:val="32"/>
          <w14:textFill>
            <w14:solidFill>
              <w14:schemeClr w14:val="tx1"/>
            </w14:solidFill>
          </w14:textFill>
        </w:rPr>
      </w:pPr>
    </w:p>
    <w:p w14:paraId="505EE398">
      <w:pPr>
        <w:jc w:val="center"/>
        <w:rPr>
          <w:rFonts w:ascii="宋体" w:hAnsi="宋体" w:cs="宋体"/>
          <w:b/>
          <w:color w:val="000000" w:themeColor="text1"/>
          <w:kern w:val="0"/>
          <w:sz w:val="32"/>
          <w:szCs w:val="32"/>
          <w14:textFill>
            <w14:solidFill>
              <w14:schemeClr w14:val="tx1"/>
            </w14:solidFill>
          </w14:textFill>
        </w:rPr>
      </w:pPr>
    </w:p>
    <w:p w14:paraId="2F0106CF">
      <w:pPr>
        <w:jc w:val="center"/>
        <w:rPr>
          <w:rFonts w:ascii="宋体" w:hAnsi="宋体" w:cs="宋体"/>
          <w:b/>
          <w:color w:val="000000" w:themeColor="text1"/>
          <w:kern w:val="0"/>
          <w:sz w:val="32"/>
          <w:szCs w:val="32"/>
          <w14:textFill>
            <w14:solidFill>
              <w14:schemeClr w14:val="tx1"/>
            </w14:solidFill>
          </w14:textFill>
        </w:rPr>
      </w:pPr>
    </w:p>
    <w:p w14:paraId="78709A51">
      <w:pPr>
        <w:jc w:val="center"/>
        <w:rPr>
          <w:rFonts w:ascii="宋体" w:hAnsi="宋体" w:cs="宋体"/>
          <w:b/>
          <w:color w:val="000000" w:themeColor="text1"/>
          <w:kern w:val="0"/>
          <w:sz w:val="32"/>
          <w:szCs w:val="32"/>
          <w14:textFill>
            <w14:solidFill>
              <w14:schemeClr w14:val="tx1"/>
            </w14:solidFill>
          </w14:textFill>
        </w:rPr>
      </w:pPr>
    </w:p>
    <w:p w14:paraId="24A9476A">
      <w:pPr>
        <w:spacing w:line="360" w:lineRule="auto"/>
        <w:ind w:right="42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B78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32A72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3678F789">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公开竞争文件章节及具体内容</w:t>
            </w:r>
          </w:p>
        </w:tc>
        <w:tc>
          <w:tcPr>
            <w:tcW w:w="3546" w:type="dxa"/>
          </w:tcPr>
          <w:p w14:paraId="3D223E8A">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响应文件章节及具体内容</w:t>
            </w:r>
          </w:p>
        </w:tc>
        <w:tc>
          <w:tcPr>
            <w:tcW w:w="1276" w:type="dxa"/>
          </w:tcPr>
          <w:p w14:paraId="47C80BAC">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3501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81E7A9">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7A71B18E">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75B08BA5">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039F8BBA">
            <w:pPr>
              <w:jc w:val="center"/>
              <w:rPr>
                <w:rFonts w:ascii="宋体" w:hAnsi="宋体" w:cs="宋体"/>
                <w:b/>
                <w:color w:val="000000" w:themeColor="text1"/>
                <w:kern w:val="0"/>
                <w:sz w:val="32"/>
                <w:szCs w:val="32"/>
                <w14:textFill>
                  <w14:solidFill>
                    <w14:schemeClr w14:val="tx1"/>
                  </w14:solidFill>
                </w14:textFill>
              </w:rPr>
            </w:pPr>
          </w:p>
        </w:tc>
      </w:tr>
      <w:tr w14:paraId="160D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577E35">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34AF9EBA">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3142F8E9">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23C6DD01">
            <w:pPr>
              <w:jc w:val="center"/>
              <w:rPr>
                <w:rFonts w:ascii="宋体" w:hAnsi="宋体" w:cs="宋体"/>
                <w:b/>
                <w:color w:val="000000" w:themeColor="text1"/>
                <w:kern w:val="0"/>
                <w:sz w:val="32"/>
                <w:szCs w:val="32"/>
                <w14:textFill>
                  <w14:solidFill>
                    <w14:schemeClr w14:val="tx1"/>
                  </w14:solidFill>
                </w14:textFill>
              </w:rPr>
            </w:pPr>
          </w:p>
        </w:tc>
      </w:tr>
      <w:tr w14:paraId="4721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821347">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5A3F1792">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3201B68C">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4BAE9534">
            <w:pPr>
              <w:jc w:val="center"/>
              <w:rPr>
                <w:rFonts w:ascii="宋体" w:hAnsi="宋体" w:cs="宋体"/>
                <w:b/>
                <w:color w:val="000000" w:themeColor="text1"/>
                <w:kern w:val="0"/>
                <w:sz w:val="32"/>
                <w:szCs w:val="32"/>
                <w14:textFill>
                  <w14:solidFill>
                    <w14:schemeClr w14:val="tx1"/>
                  </w14:solidFill>
                </w14:textFill>
              </w:rPr>
            </w:pPr>
          </w:p>
        </w:tc>
      </w:tr>
    </w:tbl>
    <w:p w14:paraId="093698C8">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响应人保证：除商务技术偏离表列出的偏离外，响应人响应公开竞争文件的全部要求</w:t>
      </w:r>
    </w:p>
    <w:p w14:paraId="7736D53D">
      <w:pPr>
        <w:jc w:val="center"/>
        <w:rPr>
          <w:rFonts w:ascii="宋体" w:hAnsi="宋体" w:cs="宋体"/>
          <w:b/>
          <w:color w:val="000000" w:themeColor="text1"/>
          <w:kern w:val="0"/>
          <w:sz w:val="32"/>
          <w:szCs w:val="32"/>
          <w14:textFill>
            <w14:solidFill>
              <w14:schemeClr w14:val="tx1"/>
            </w14:solidFill>
          </w14:textFill>
        </w:rPr>
      </w:pPr>
    </w:p>
    <w:p w14:paraId="31D91298">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94EC7E3">
      <w:pPr>
        <w:jc w:val="center"/>
        <w:rPr>
          <w:rFonts w:ascii="宋体" w:hAnsi="宋体" w:cs="宋体"/>
          <w:b/>
          <w:color w:val="000000" w:themeColor="text1"/>
          <w:kern w:val="0"/>
          <w:sz w:val="32"/>
          <w:szCs w:val="32"/>
          <w14:textFill>
            <w14:solidFill>
              <w14:schemeClr w14:val="tx1"/>
            </w14:solidFill>
          </w14:textFill>
        </w:rPr>
      </w:pPr>
    </w:p>
    <w:p w14:paraId="1666451C">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7B46580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七</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响应人廉洁自律承诺书</w:t>
      </w:r>
    </w:p>
    <w:p w14:paraId="3A9E9058">
      <w:pPr>
        <w:snapToGrid w:val="0"/>
        <w:spacing w:line="360" w:lineRule="auto"/>
        <w:rPr>
          <w:rFonts w:ascii="宋体" w:hAnsi="宋体" w:cs="宋体"/>
          <w:color w:val="000000" w:themeColor="text1"/>
          <w:sz w:val="24"/>
          <w14:textFill>
            <w14:solidFill>
              <w14:schemeClr w14:val="tx1"/>
            </w14:solidFill>
          </w14:textFill>
        </w:rPr>
      </w:pPr>
    </w:p>
    <w:p w14:paraId="329F6B9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（交易发起人）、（代理机构）</w:t>
      </w:r>
      <w:r>
        <w:rPr>
          <w:rFonts w:hint="eastAsia" w:ascii="宋体" w:hAnsi="宋体" w:cs="宋体"/>
          <w:color w:val="000000" w:themeColor="text1"/>
          <w:kern w:val="0"/>
          <w:sz w:val="24"/>
          <w:lang w:val="zh-CN"/>
          <w14:textFill>
            <w14:solidFill>
              <w14:schemeClr w14:val="tx1"/>
            </w14:solidFill>
          </w14:textFill>
        </w:rPr>
        <w:t>：</w:t>
      </w:r>
    </w:p>
    <w:p w14:paraId="3CAB92C4">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后，我们将严格遵守国家法律法规要求，并郑重承诺：</w:t>
      </w:r>
    </w:p>
    <w:p w14:paraId="33EAE24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384C1CC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53A7519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04F9C17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601B6779">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35FB8155">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7E30EDF8">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66CCDD40">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780D0DB6">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6D8037C5">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6BE6224B">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5F95DE24">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094B30F2">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3A0F71FE">
      <w:pPr>
        <w:spacing w:line="360" w:lineRule="auto"/>
        <w:jc w:val="center"/>
        <w:rPr>
          <w:rFonts w:ascii="宋体" w:hAnsi="宋体" w:cs="宋体"/>
          <w:b/>
          <w:bCs/>
          <w:color w:val="000000" w:themeColor="text1"/>
          <w:sz w:val="24"/>
          <w14:textFill>
            <w14:solidFill>
              <w14:schemeClr w14:val="tx1"/>
            </w14:solidFill>
          </w14:textFill>
        </w:rPr>
      </w:pPr>
    </w:p>
    <w:p w14:paraId="484C0A5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A26A6D2">
      <w:pPr>
        <w:spacing w:line="360" w:lineRule="auto"/>
        <w:jc w:val="center"/>
        <w:rPr>
          <w:rFonts w:ascii="宋体" w:hAnsi="宋体" w:cs="宋体"/>
          <w:b/>
          <w:bCs/>
          <w:color w:val="000000" w:themeColor="text1"/>
          <w:sz w:val="24"/>
          <w14:textFill>
            <w14:solidFill>
              <w14:schemeClr w14:val="tx1"/>
            </w14:solidFill>
          </w14:textFill>
        </w:rPr>
        <w:sectPr>
          <w:footerReference r:id="rId10" w:type="first"/>
          <w:footerReference r:id="rId9" w:type="default"/>
          <w:pgSz w:w="11906" w:h="16838"/>
          <w:pgMar w:top="1247" w:right="1417" w:bottom="1247" w:left="1417" w:header="851" w:footer="992" w:gutter="0"/>
          <w:pgNumType w:fmt="numberInDash"/>
          <w:cols w:space="0" w:num="1"/>
          <w:docGrid w:linePitch="312" w:charSpace="0"/>
        </w:sectPr>
      </w:pPr>
    </w:p>
    <w:p w14:paraId="31B9C1B3">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618122DB">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3FC6E305">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3EE5E00E">
      <w:pPr>
        <w:snapToGrid w:val="0"/>
        <w:spacing w:line="360" w:lineRule="auto"/>
        <w:rPr>
          <w:rFonts w:ascii="宋体" w:hAnsi="宋体" w:cs="宋体"/>
          <w:color w:val="000000" w:themeColor="text1"/>
          <w:sz w:val="24"/>
          <w14:textFill>
            <w14:solidFill>
              <w14:schemeClr w14:val="tx1"/>
            </w14:solidFill>
          </w14:textFill>
        </w:rPr>
        <w:sectPr>
          <w:headerReference r:id="rId12" w:type="first"/>
          <w:footerReference r:id="rId14" w:type="first"/>
          <w:headerReference r:id="rId11" w:type="default"/>
          <w:footerReference r:id="rId13" w:type="default"/>
          <w:pgSz w:w="11906" w:h="16838"/>
          <w:pgMar w:top="1247" w:right="1417" w:bottom="1247" w:left="1417" w:header="851" w:footer="992" w:gutter="0"/>
          <w:pgNumType w:fmt="numberInDash"/>
          <w:cols w:space="0" w:num="1"/>
          <w:titlePg/>
          <w:docGrid w:linePitch="312" w:charSpace="0"/>
        </w:sectPr>
      </w:pPr>
      <w:r>
        <w:rPr>
          <w:rFonts w:hint="eastAsia" w:ascii="宋体" w:hAnsi="宋体" w:cs="宋体"/>
          <w:color w:val="000000" w:themeColor="text1"/>
          <w:sz w:val="24"/>
          <w14:textFill>
            <w14:solidFill>
              <w14:schemeClr w14:val="tx1"/>
            </w14:solidFill>
          </w14:textFill>
        </w:rPr>
        <w:t>（1）交易一览表（报价表）………………………………………………………（页码）</w:t>
      </w:r>
    </w:p>
    <w:p w14:paraId="2DC99E32">
      <w:pPr>
        <w:pStyle w:val="70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一、交易一览表（报价表）</w:t>
      </w:r>
    </w:p>
    <w:p w14:paraId="5B61CB6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（交易发起人）、（代理机构）</w:t>
      </w:r>
      <w:r>
        <w:rPr>
          <w:rFonts w:hint="eastAsia" w:ascii="宋体" w:hAnsi="宋体" w:cs="宋体"/>
          <w:color w:val="000000" w:themeColor="text1"/>
          <w:kern w:val="0"/>
          <w:sz w:val="24"/>
          <w:lang w:val="zh-CN"/>
          <w14:textFill>
            <w14:solidFill>
              <w14:schemeClr w14:val="tx1"/>
            </w14:solidFill>
          </w14:textFill>
        </w:rPr>
        <w:t>：</w:t>
      </w:r>
    </w:p>
    <w:p w14:paraId="77A8CBF0">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按你方公开竞争文件要求，我们，本响应文件签字方，谨此向你方发出要约如下：如你方接受本投标，我方承诺按照如下交易一览表（报价表）的价格完成</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kern w:val="0"/>
          <w:sz w:val="24"/>
          <w:u w:val="single"/>
          <w:lang w:val="zh-CN"/>
          <w14:textFill>
            <w14:solidFill>
              <w14:schemeClr w14:val="tx1"/>
            </w14:solidFill>
          </w14:textFill>
        </w:rPr>
        <w:t>【交易编号：</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65700299">
      <w:pPr>
        <w:snapToGrid w:val="0"/>
        <w:spacing w:line="360" w:lineRule="auto"/>
        <w:ind w:left="480"/>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交易一览表（报价表）(单位均为人民币元)</w:t>
      </w:r>
    </w:p>
    <w:tbl>
      <w:tblPr>
        <w:tblStyle w:val="64"/>
        <w:tblW w:w="14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86"/>
        <w:gridCol w:w="3466"/>
        <w:gridCol w:w="1517"/>
        <w:gridCol w:w="1946"/>
        <w:gridCol w:w="1940"/>
        <w:gridCol w:w="2305"/>
      </w:tblGrid>
      <w:tr w14:paraId="70A1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31F16CB">
            <w:pPr>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2186" w:type="dxa"/>
            <w:tcBorders>
              <w:top w:val="single" w:color="auto" w:sz="4" w:space="0"/>
              <w:left w:val="single" w:color="auto" w:sz="4" w:space="0"/>
              <w:bottom w:val="single" w:color="auto" w:sz="4" w:space="0"/>
              <w:right w:val="single" w:color="auto" w:sz="4" w:space="0"/>
            </w:tcBorders>
            <w:vAlign w:val="center"/>
          </w:tcPr>
          <w:p w14:paraId="7419FA2D">
            <w:pPr>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名称</w:t>
            </w:r>
          </w:p>
        </w:tc>
        <w:tc>
          <w:tcPr>
            <w:tcW w:w="3466" w:type="dxa"/>
            <w:tcBorders>
              <w:top w:val="single" w:color="auto" w:sz="4" w:space="0"/>
              <w:left w:val="single" w:color="auto" w:sz="4" w:space="0"/>
              <w:bottom w:val="single" w:color="auto" w:sz="4" w:space="0"/>
              <w:right w:val="single" w:color="auto" w:sz="4" w:space="0"/>
            </w:tcBorders>
            <w:vAlign w:val="center"/>
          </w:tcPr>
          <w:p w14:paraId="325E4EBD">
            <w:pPr>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具体服务</w:t>
            </w:r>
          </w:p>
        </w:tc>
        <w:tc>
          <w:tcPr>
            <w:tcW w:w="1517" w:type="dxa"/>
            <w:tcBorders>
              <w:top w:val="single" w:color="auto" w:sz="4" w:space="0"/>
              <w:left w:val="single" w:color="auto" w:sz="4" w:space="0"/>
              <w:bottom w:val="single" w:color="auto" w:sz="4" w:space="0"/>
              <w:right w:val="single" w:color="auto" w:sz="4" w:space="0"/>
            </w:tcBorders>
            <w:vAlign w:val="center"/>
          </w:tcPr>
          <w:p w14:paraId="143A2BEA">
            <w:pPr>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数量</w:t>
            </w:r>
          </w:p>
        </w:tc>
        <w:tc>
          <w:tcPr>
            <w:tcW w:w="1946" w:type="dxa"/>
            <w:tcBorders>
              <w:top w:val="single" w:color="auto" w:sz="4" w:space="0"/>
              <w:left w:val="single" w:color="auto" w:sz="4" w:space="0"/>
              <w:bottom w:val="single" w:color="auto" w:sz="4" w:space="0"/>
              <w:right w:val="single" w:color="auto" w:sz="4" w:space="0"/>
            </w:tcBorders>
            <w:vAlign w:val="center"/>
          </w:tcPr>
          <w:p w14:paraId="7F0097BF">
            <w:pPr>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项目负责人</w:t>
            </w:r>
          </w:p>
        </w:tc>
        <w:tc>
          <w:tcPr>
            <w:tcW w:w="1940" w:type="dxa"/>
            <w:tcBorders>
              <w:top w:val="single" w:color="auto" w:sz="4" w:space="0"/>
              <w:left w:val="single" w:color="auto" w:sz="4" w:space="0"/>
              <w:bottom w:val="single" w:color="auto" w:sz="4" w:space="0"/>
              <w:right w:val="single" w:color="auto" w:sz="4" w:space="0"/>
            </w:tcBorders>
            <w:vAlign w:val="center"/>
          </w:tcPr>
          <w:p w14:paraId="10D31A45">
            <w:pPr>
              <w:jc w:val="center"/>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总价</w:t>
            </w:r>
          </w:p>
        </w:tc>
        <w:tc>
          <w:tcPr>
            <w:tcW w:w="2305" w:type="dxa"/>
            <w:tcBorders>
              <w:top w:val="single" w:color="auto" w:sz="4" w:space="0"/>
              <w:left w:val="single" w:color="auto" w:sz="4" w:space="0"/>
              <w:bottom w:val="single" w:color="auto" w:sz="4" w:space="0"/>
              <w:right w:val="single" w:color="auto" w:sz="4" w:space="0"/>
            </w:tcBorders>
            <w:vAlign w:val="center"/>
          </w:tcPr>
          <w:p w14:paraId="65A4B1F5">
            <w:pPr>
              <w:jc w:val="center"/>
              <w:rPr>
                <w:rFonts w:hint="default" w:asciiTheme="minorEastAsia" w:hAnsiTheme="minorEastAsia" w:eastAsiaTheme="minorEastAsia" w:cstheme="minorEastAsia"/>
                <w:b/>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lang w:val="en-US" w:eastAsia="zh-CN"/>
                <w14:textFill>
                  <w14:solidFill>
                    <w14:schemeClr w14:val="tx1"/>
                  </w14:solidFill>
                </w14:textFill>
              </w:rPr>
              <w:t>中标下浮率 %    （保留二位小数）</w:t>
            </w:r>
          </w:p>
        </w:tc>
      </w:tr>
      <w:tr w14:paraId="0C23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B0F6EBC">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2186" w:type="dxa"/>
            <w:tcBorders>
              <w:top w:val="single" w:color="auto" w:sz="4" w:space="0"/>
              <w:left w:val="single" w:color="auto" w:sz="4" w:space="0"/>
              <w:bottom w:val="single" w:color="auto" w:sz="4" w:space="0"/>
              <w:right w:val="single" w:color="auto" w:sz="4" w:space="0"/>
            </w:tcBorders>
            <w:vAlign w:val="center"/>
          </w:tcPr>
          <w:p w14:paraId="16EFE024">
            <w:pPr>
              <w:snapToGrid w:val="0"/>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3466" w:type="dxa"/>
            <w:tcBorders>
              <w:top w:val="single" w:color="auto" w:sz="4" w:space="0"/>
              <w:left w:val="single" w:color="auto" w:sz="4" w:space="0"/>
              <w:bottom w:val="single" w:color="auto" w:sz="4" w:space="0"/>
              <w:right w:val="single" w:color="auto" w:sz="4" w:space="0"/>
            </w:tcBorders>
            <w:vAlign w:val="center"/>
          </w:tcPr>
          <w:p w14:paraId="6E8BBAC7">
            <w:pPr>
              <w:snapToGrid w:val="0"/>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517" w:type="dxa"/>
            <w:tcBorders>
              <w:top w:val="single" w:color="auto" w:sz="4" w:space="0"/>
              <w:left w:val="single" w:color="auto" w:sz="4" w:space="0"/>
              <w:bottom w:val="single" w:color="auto" w:sz="4" w:space="0"/>
              <w:right w:val="single" w:color="auto" w:sz="4" w:space="0"/>
            </w:tcBorders>
            <w:vAlign w:val="center"/>
          </w:tcPr>
          <w:p w14:paraId="7F13BB88">
            <w:pPr>
              <w:snapToGrid w:val="0"/>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946" w:type="dxa"/>
            <w:tcBorders>
              <w:top w:val="single" w:color="auto" w:sz="4" w:space="0"/>
              <w:left w:val="single" w:color="auto" w:sz="4" w:space="0"/>
              <w:bottom w:val="single" w:color="auto" w:sz="4" w:space="0"/>
              <w:right w:val="single" w:color="auto" w:sz="4" w:space="0"/>
            </w:tcBorders>
            <w:vAlign w:val="center"/>
          </w:tcPr>
          <w:p w14:paraId="59489947">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940" w:type="dxa"/>
            <w:tcBorders>
              <w:top w:val="single" w:color="auto" w:sz="4" w:space="0"/>
              <w:left w:val="single" w:color="auto" w:sz="4" w:space="0"/>
              <w:bottom w:val="single" w:color="auto" w:sz="4" w:space="0"/>
              <w:right w:val="single" w:color="auto" w:sz="4" w:space="0"/>
            </w:tcBorders>
            <w:vAlign w:val="center"/>
          </w:tcPr>
          <w:p w14:paraId="276D822C">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vAlign w:val="center"/>
          </w:tcPr>
          <w:p w14:paraId="3AC61A1D">
            <w:pPr>
              <w:jc w:val="center"/>
              <w:rPr>
                <w:rFonts w:asciiTheme="minorEastAsia" w:hAnsiTheme="minorEastAsia" w:eastAsiaTheme="minorEastAsia" w:cstheme="minorEastAsia"/>
                <w:color w:val="000000" w:themeColor="text1"/>
                <w:sz w:val="24"/>
                <w14:textFill>
                  <w14:solidFill>
                    <w14:schemeClr w14:val="tx1"/>
                  </w14:solidFill>
                </w14:textFill>
              </w:rPr>
            </w:pPr>
          </w:p>
        </w:tc>
      </w:tr>
      <w:tr w14:paraId="2651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891" w:type="dxa"/>
            <w:gridSpan w:val="2"/>
            <w:tcBorders>
              <w:top w:val="single" w:color="auto" w:sz="4" w:space="0"/>
              <w:left w:val="single" w:color="auto" w:sz="4" w:space="0"/>
              <w:bottom w:val="single" w:color="auto" w:sz="4" w:space="0"/>
              <w:right w:val="single" w:color="auto" w:sz="4" w:space="0"/>
            </w:tcBorders>
            <w:vAlign w:val="center"/>
          </w:tcPr>
          <w:p w14:paraId="7581E58E">
            <w:pPr>
              <w:jc w:val="both"/>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投标报价（小写）</w:t>
            </w:r>
          </w:p>
        </w:tc>
        <w:tc>
          <w:tcPr>
            <w:tcW w:w="11174" w:type="dxa"/>
            <w:gridSpan w:val="5"/>
            <w:tcBorders>
              <w:top w:val="single" w:color="auto" w:sz="4" w:space="0"/>
              <w:left w:val="single" w:color="auto" w:sz="4" w:space="0"/>
              <w:bottom w:val="single" w:color="auto" w:sz="4" w:space="0"/>
              <w:right w:val="single" w:color="auto" w:sz="4" w:space="0"/>
            </w:tcBorders>
            <w:vAlign w:val="center"/>
          </w:tcPr>
          <w:p w14:paraId="5A8F0626">
            <w:pPr>
              <w:jc w:val="center"/>
              <w:rPr>
                <w:rFonts w:asciiTheme="minorEastAsia" w:hAnsiTheme="minorEastAsia" w:eastAsiaTheme="minorEastAsia" w:cstheme="minorEastAsia"/>
                <w:color w:val="000000" w:themeColor="text1"/>
                <w:sz w:val="24"/>
                <w14:textFill>
                  <w14:solidFill>
                    <w14:schemeClr w14:val="tx1"/>
                  </w14:solidFill>
                </w14:textFill>
              </w:rPr>
            </w:pPr>
          </w:p>
        </w:tc>
      </w:tr>
      <w:tr w14:paraId="4621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891" w:type="dxa"/>
            <w:gridSpan w:val="2"/>
            <w:tcBorders>
              <w:top w:val="single" w:color="auto" w:sz="4" w:space="0"/>
              <w:left w:val="single" w:color="auto" w:sz="4" w:space="0"/>
              <w:bottom w:val="single" w:color="auto" w:sz="4" w:space="0"/>
              <w:right w:val="single" w:color="auto" w:sz="4" w:space="0"/>
            </w:tcBorders>
            <w:vAlign w:val="center"/>
          </w:tcPr>
          <w:p w14:paraId="0F062168">
            <w:pPr>
              <w:jc w:val="both"/>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投标报价（大写）</w:t>
            </w:r>
          </w:p>
        </w:tc>
        <w:tc>
          <w:tcPr>
            <w:tcW w:w="11174" w:type="dxa"/>
            <w:gridSpan w:val="5"/>
            <w:tcBorders>
              <w:top w:val="single" w:color="auto" w:sz="4" w:space="0"/>
              <w:left w:val="single" w:color="auto" w:sz="4" w:space="0"/>
              <w:bottom w:val="single" w:color="auto" w:sz="4" w:space="0"/>
              <w:right w:val="single" w:color="auto" w:sz="4" w:space="0"/>
            </w:tcBorders>
            <w:vAlign w:val="center"/>
          </w:tcPr>
          <w:p w14:paraId="11D4D4C5">
            <w:pPr>
              <w:jc w:val="center"/>
              <w:rPr>
                <w:rFonts w:asciiTheme="minorEastAsia" w:hAnsiTheme="minorEastAsia" w:eastAsiaTheme="minorEastAsia" w:cstheme="minorEastAsia"/>
                <w:color w:val="000000" w:themeColor="text1"/>
                <w:sz w:val="24"/>
                <w14:textFill>
                  <w14:solidFill>
                    <w14:schemeClr w14:val="tx1"/>
                  </w14:solidFill>
                </w14:textFill>
              </w:rPr>
            </w:pPr>
          </w:p>
        </w:tc>
      </w:tr>
    </w:tbl>
    <w:p w14:paraId="1866C4AB">
      <w:pPr>
        <w:snapToGrid w:val="0"/>
        <w:spacing w:line="360" w:lineRule="auto"/>
        <w:ind w:left="480"/>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3F89D2E1">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1、响应人需按本表格式填写，不得自行更改。</w:t>
      </w:r>
    </w:p>
    <w:p w14:paraId="68CBF39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交易发起人将以合同形式有偿取得货物或服务，不接受响应人给予的赠品、回扣或者与交易无关的其他商品、服务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响应文件含有交易发起人不能接受的附加条件的，交易无效</w:t>
      </w:r>
      <w:r>
        <w:rPr>
          <w:rFonts w:hint="eastAsia" w:ascii="宋体" w:hAnsi="宋体" w:cs="宋体"/>
          <w:b/>
          <w:color w:val="000000" w:themeColor="text1"/>
          <w:kern w:val="0"/>
          <w:sz w:val="24"/>
          <w:lang w:val="zh-CN"/>
          <w14:textFill>
            <w14:solidFill>
              <w14:schemeClr w14:val="tx1"/>
            </w14:solidFill>
          </w14:textFill>
        </w:rPr>
        <w:t>；交易内容未包含在《交易一览表（报价表）》名称栏中，响应人不能作出合理解释的，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响应文件含有交易发起人不能接受的附加条件的，交易无效。</w:t>
      </w:r>
    </w:p>
    <w:p w14:paraId="363E1EBB">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3、以上表格要求细分项目及报价，在“规格型号（或具体服务）”一栏中，货物类项目填写规格型号，服务类项目填写具体服务。</w:t>
      </w:r>
    </w:p>
    <w:p w14:paraId="68C0569D">
      <w:pPr>
        <w:spacing w:line="480" w:lineRule="exact"/>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4、特别提示：代理机构将对项目名称和项目编号，成交响应人名称、地址和</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金额等予以公示。</w:t>
      </w:r>
    </w:p>
    <w:p w14:paraId="2501FD73">
      <w:pPr>
        <w:spacing w:line="480" w:lineRule="exact"/>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r>
        <w:rPr>
          <w:rFonts w:hint="eastAsia" w:ascii="宋体" w:hAnsi="宋体" w:cs="宋体"/>
          <w:b/>
          <w:bCs/>
          <w:color w:val="000000" w:themeColor="text1"/>
          <w:sz w:val="24"/>
          <w:lang w:val="zh-CN"/>
          <w14:textFill>
            <w14:solidFill>
              <w14:schemeClr w14:val="tx1"/>
            </w14:solidFill>
          </w14:textFill>
        </w:rPr>
        <w:t>、特别说明：▲供应商报价低于项目预算50%的，应当在报价文件中详细阐述不影响产品质量或者诚信履约的具体原因，未做阐述说明的，投标无效。</w:t>
      </w:r>
    </w:p>
    <w:p w14:paraId="388941F0">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09C3619E">
      <w:pPr>
        <w:spacing w:line="360" w:lineRule="auto"/>
        <w:ind w:firstLine="482" w:firstLineChars="200"/>
        <w:rPr>
          <w:rFonts w:ascii="宋体" w:hAnsi="宋体" w:cs="宋体"/>
          <w:b/>
          <w:color w:val="000000" w:themeColor="text1"/>
          <w:kern w:val="0"/>
          <w:sz w:val="24"/>
          <w14:textFill>
            <w14:solidFill>
              <w14:schemeClr w14:val="tx1"/>
            </w14:solidFill>
          </w14:textFill>
        </w:rPr>
      </w:pPr>
    </w:p>
    <w:p w14:paraId="06FA9203">
      <w:pPr>
        <w:autoSpaceDE w:val="0"/>
        <w:autoSpaceDN w:val="0"/>
        <w:spacing w:line="360" w:lineRule="auto"/>
        <w:ind w:left="2" w:leftChars="1" w:right="1120" w:firstLine="7680" w:firstLineChars="3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响应人名称（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w:t>
      </w:r>
    </w:p>
    <w:p w14:paraId="5A736318">
      <w:pPr>
        <w:autoSpaceDE w:val="0"/>
        <w:autoSpaceDN w:val="0"/>
        <w:spacing w:line="360" w:lineRule="auto"/>
        <w:ind w:left="2" w:leftChars="1" w:right="1120" w:firstLine="7680" w:firstLineChars="3200"/>
        <w:jc w:val="left"/>
        <w:rPr>
          <w:rFonts w:ascii="宋体" w:hAnsi="宋体" w:cs="宋体"/>
          <w:color w:val="000000" w:themeColor="text1"/>
          <w:kern w:val="0"/>
          <w:sz w:val="24"/>
          <w:lang w:val="zh-CN"/>
          <w14:textFill>
            <w14:solidFill>
              <w14:schemeClr w14:val="tx1"/>
            </w14:solidFill>
          </w14:textFill>
        </w:rPr>
        <w:sectPr>
          <w:pgSz w:w="16838" w:h="11906" w:orient="landscape"/>
          <w:pgMar w:top="1417" w:right="1247" w:bottom="1417" w:left="1247" w:header="851" w:footer="992" w:gutter="0"/>
          <w:pgNumType w:fmt="numberInDash"/>
          <w:cols w:space="0" w:num="1"/>
          <w:titlePg/>
          <w:docGrid w:linePitch="312" w:charSpace="0"/>
        </w:sect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5FFC992C">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r>
        <w:rPr>
          <w:rFonts w:hint="eastAsia" w:ascii="宋体" w:hAnsi="宋体" w:cs="宋体"/>
          <w:b/>
          <w:color w:val="000000" w:themeColor="text1"/>
          <w:spacing w:val="6"/>
          <w:sz w:val="32"/>
          <w:szCs w:val="32"/>
          <w:lang w:val="zh-CN"/>
          <w14:textFill>
            <w14:solidFill>
              <w14:schemeClr w14:val="tx1"/>
            </w14:solidFill>
          </w14:textFill>
        </w:rPr>
        <w:t>异议</w:t>
      </w:r>
      <w:r>
        <w:rPr>
          <w:rFonts w:hint="eastAsia" w:ascii="宋体" w:hAnsi="宋体" w:cs="宋体"/>
          <w:b/>
          <w:color w:val="000000" w:themeColor="text1"/>
          <w:spacing w:val="6"/>
          <w:sz w:val="32"/>
          <w:szCs w:val="32"/>
          <w14:textFill>
            <w14:solidFill>
              <w14:schemeClr w14:val="tx1"/>
            </w14:solidFill>
          </w14:textFill>
        </w:rPr>
        <w:t>函范本及制作说明</w:t>
      </w:r>
    </w:p>
    <w:p w14:paraId="5DE2EB29">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异议函范本</w:t>
      </w:r>
    </w:p>
    <w:p w14:paraId="0B7E3D3B">
      <w:pPr>
        <w:snapToGrid w:val="0"/>
        <w:spacing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一、异议响应人基本信息</w:t>
      </w:r>
    </w:p>
    <w:p w14:paraId="05A2E638">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异议响应人：</w:t>
      </w:r>
      <w:r>
        <w:rPr>
          <w:rFonts w:hint="eastAsia" w:ascii="宋体" w:hAnsi="宋体" w:cs="宋体"/>
          <w:color w:val="000000" w:themeColor="text1"/>
          <w:sz w:val="24"/>
          <w:u w:val="dotted"/>
          <w14:textFill>
            <w14:solidFill>
              <w14:schemeClr w14:val="tx1"/>
            </w14:solidFill>
          </w14:textFill>
        </w:rPr>
        <w:t xml:space="preserve">                                        </w:t>
      </w:r>
    </w:p>
    <w:p w14:paraId="4C6C92D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2BFDD6A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00E306E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2952ECC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15939B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69C7DF7E">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二、异议项目基本情况</w:t>
      </w:r>
    </w:p>
    <w:p w14:paraId="05D4529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异议项目的名称：</w:t>
      </w:r>
      <w:r>
        <w:rPr>
          <w:rFonts w:hint="eastAsia" w:ascii="宋体" w:hAnsi="宋体" w:cs="宋体"/>
          <w:color w:val="000000" w:themeColor="text1"/>
          <w:sz w:val="24"/>
          <w:u w:val="dotted"/>
          <w14:textFill>
            <w14:solidFill>
              <w14:schemeClr w14:val="tx1"/>
            </w14:solidFill>
          </w14:textFill>
        </w:rPr>
        <w:t xml:space="preserve">                                      </w:t>
      </w:r>
    </w:p>
    <w:p w14:paraId="68ADFB6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171322E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交易发起人名称：</w:t>
      </w:r>
      <w:r>
        <w:rPr>
          <w:rFonts w:hint="eastAsia" w:ascii="宋体" w:hAnsi="宋体" w:cs="宋体"/>
          <w:color w:val="000000" w:themeColor="text1"/>
          <w:sz w:val="24"/>
          <w:u w:val="dotted"/>
          <w14:textFill>
            <w14:solidFill>
              <w14:schemeClr w14:val="tx1"/>
            </w14:solidFill>
          </w14:textFill>
        </w:rPr>
        <w:t xml:space="preserve">                                         </w:t>
      </w:r>
    </w:p>
    <w:p w14:paraId="4AE27F2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公开竞争文件获取日期：</w:t>
      </w:r>
      <w:r>
        <w:rPr>
          <w:rFonts w:hint="eastAsia" w:ascii="宋体" w:hAnsi="宋体" w:cs="宋体"/>
          <w:color w:val="000000" w:themeColor="text1"/>
          <w:sz w:val="24"/>
          <w:u w:val="dotted"/>
          <w14:textFill>
            <w14:solidFill>
              <w14:schemeClr w14:val="tx1"/>
            </w14:solidFill>
          </w14:textFill>
        </w:rPr>
        <w:t xml:space="preserve">                                           </w:t>
      </w:r>
    </w:p>
    <w:p w14:paraId="50BE178B">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三、异议事项具体内容</w:t>
      </w:r>
    </w:p>
    <w:p w14:paraId="38265E0A">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异议事项1：</w:t>
      </w:r>
      <w:r>
        <w:rPr>
          <w:rFonts w:hint="eastAsia" w:ascii="宋体" w:hAnsi="宋体" w:cs="宋体"/>
          <w:color w:val="000000" w:themeColor="text1"/>
          <w:sz w:val="24"/>
          <w:u w:val="dotted"/>
          <w14:textFill>
            <w14:solidFill>
              <w14:schemeClr w14:val="tx1"/>
            </w14:solidFill>
          </w14:textFill>
        </w:rPr>
        <w:t xml:space="preserve">                                         </w:t>
      </w:r>
    </w:p>
    <w:p w14:paraId="75CD6DF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63D0948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8D9A55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33CF716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B1BA33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异议事项2</w:t>
      </w:r>
    </w:p>
    <w:p w14:paraId="012C141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6CCA3E3">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四、与异议事项相关的异议请求</w:t>
      </w:r>
    </w:p>
    <w:p w14:paraId="31AA8C2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7FE5E8F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5E64613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531BAE14">
      <w:pPr>
        <w:spacing w:line="360" w:lineRule="auto"/>
        <w:jc w:val="center"/>
        <w:rPr>
          <w:rFonts w:ascii="宋体" w:hAnsi="宋体" w:cs="宋体"/>
          <w:b/>
          <w:bCs/>
          <w:color w:val="000000" w:themeColor="text1"/>
          <w:sz w:val="24"/>
          <w14:textFill>
            <w14:solidFill>
              <w14:schemeClr w14:val="tx1"/>
            </w14:solidFill>
          </w14:textFill>
        </w:rPr>
      </w:pPr>
    </w:p>
    <w:p w14:paraId="7255A820">
      <w:pPr>
        <w:spacing w:line="360" w:lineRule="auto"/>
        <w:jc w:val="center"/>
        <w:rPr>
          <w:rFonts w:ascii="宋体" w:hAnsi="宋体" w:cs="宋体"/>
          <w:b/>
          <w:bCs/>
          <w:color w:val="000000" w:themeColor="text1"/>
          <w:sz w:val="24"/>
          <w14:textFill>
            <w14:solidFill>
              <w14:schemeClr w14:val="tx1"/>
            </w14:solidFill>
          </w14:textFill>
        </w:rPr>
      </w:pPr>
    </w:p>
    <w:p w14:paraId="5B5C1EF8">
      <w:pPr>
        <w:spacing w:line="360" w:lineRule="auto"/>
        <w:rPr>
          <w:rFonts w:ascii="宋体" w:hAnsi="宋体" w:cs="宋体"/>
          <w:b/>
          <w:color w:val="000000" w:themeColor="text1"/>
          <w:sz w:val="24"/>
          <w14:textFill>
            <w14:solidFill>
              <w14:schemeClr w14:val="tx1"/>
            </w14:solidFill>
          </w14:textFill>
        </w:rPr>
      </w:pPr>
    </w:p>
    <w:p w14:paraId="623CB3DE">
      <w:pPr>
        <w:spacing w:line="360" w:lineRule="auto"/>
        <w:rPr>
          <w:rFonts w:ascii="宋体" w:hAnsi="宋体" w:cs="宋体"/>
          <w:b/>
          <w:color w:val="000000" w:themeColor="text1"/>
          <w:sz w:val="24"/>
          <w14:textFill>
            <w14:solidFill>
              <w14:schemeClr w14:val="tx1"/>
            </w14:solidFill>
          </w14:textFill>
        </w:rPr>
      </w:pPr>
    </w:p>
    <w:p w14:paraId="66D20D31">
      <w:pPr>
        <w:spacing w:line="360" w:lineRule="auto"/>
        <w:rPr>
          <w:rFonts w:ascii="宋体" w:hAnsi="宋体" w:cs="宋体"/>
          <w:b/>
          <w:color w:val="000000" w:themeColor="text1"/>
          <w:sz w:val="24"/>
          <w14:textFill>
            <w14:solidFill>
              <w14:schemeClr w14:val="tx1"/>
            </w14:solidFill>
          </w14:textFill>
        </w:rPr>
      </w:pPr>
    </w:p>
    <w:p w14:paraId="7E89FBA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异议函制作说明：</w:t>
      </w:r>
    </w:p>
    <w:p w14:paraId="2E589B3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1.响应人提出异议时，应提交异议函和必要的证明材料。</w:t>
      </w:r>
    </w:p>
    <w:p w14:paraId="6A98CC41">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2.异议响应人若委托代理人进行异议的，异议函应按要求列明“授权代表”的有关内容，并在附件中提交由异议</w:t>
      </w:r>
      <w:r>
        <w:rPr>
          <w:rFonts w:hint="eastAsia" w:ascii="宋体" w:hAnsi="宋体" w:cs="宋体"/>
          <w:color w:val="000000" w:themeColor="text1"/>
          <w:kern w:val="0"/>
          <w:sz w:val="24"/>
          <w14:textFill>
            <w14:solidFill>
              <w14:schemeClr w14:val="tx1"/>
            </w14:solidFill>
          </w14:textFill>
        </w:rPr>
        <w:t>响应人签署的授权委托书。授权委托书应载明代理人的姓名或者名称、代理事项、具体权限、期限和相关事项。</w:t>
      </w:r>
    </w:p>
    <w:p w14:paraId="743A1E3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3.异议响应人若对项目的某一分包进行异议，异议函中应列明具体分包号。</w:t>
      </w:r>
    </w:p>
    <w:p w14:paraId="18F2894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4.异议函的异议事项应具体、明确，并有必要的事实依据和法律依据。</w:t>
      </w:r>
    </w:p>
    <w:p w14:paraId="08ACFBE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5.异议函的异议请求应与异议事项相关。</w:t>
      </w:r>
    </w:p>
    <w:p w14:paraId="18094F9D">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6.异议响应人为自然人的，异议函应由本人签字；异议响应人为法人或者其他组织的，异议函应由法定代表人、主要负责人，或者其授权代表签字或者盖章，并加盖公章。</w:t>
      </w:r>
    </w:p>
    <w:p w14:paraId="7BD39119">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10669339">
      <w:pPr>
        <w:spacing w:line="360" w:lineRule="auto"/>
        <w:jc w:val="center"/>
        <w:rPr>
          <w:rFonts w:ascii="宋体" w:hAnsi="宋体" w:cs="宋体"/>
          <w:b/>
          <w:color w:val="000000" w:themeColor="text1"/>
          <w:spacing w:val="6"/>
          <w:sz w:val="32"/>
          <w:szCs w:val="32"/>
          <w14:textFill>
            <w14:solidFill>
              <w14:schemeClr w14:val="tx1"/>
            </w14:solidFill>
          </w14:textFill>
        </w:rPr>
      </w:pPr>
    </w:p>
    <w:p w14:paraId="4321C207">
      <w:pPr>
        <w:spacing w:line="360" w:lineRule="auto"/>
        <w:jc w:val="center"/>
        <w:rPr>
          <w:rFonts w:ascii="宋体" w:hAnsi="宋体" w:cs="宋体"/>
          <w:b/>
          <w:color w:val="000000" w:themeColor="text1"/>
          <w:spacing w:val="6"/>
          <w:sz w:val="32"/>
          <w:szCs w:val="32"/>
          <w14:textFill>
            <w14:solidFill>
              <w14:schemeClr w14:val="tx1"/>
            </w14:solidFill>
          </w14:textFill>
        </w:rPr>
      </w:pPr>
    </w:p>
    <w:p w14:paraId="1DF217D7">
      <w:pPr>
        <w:spacing w:line="360" w:lineRule="auto"/>
        <w:jc w:val="center"/>
        <w:rPr>
          <w:rFonts w:ascii="宋体" w:hAnsi="宋体" w:cs="宋体"/>
          <w:b/>
          <w:color w:val="000000" w:themeColor="text1"/>
          <w:spacing w:val="6"/>
          <w:sz w:val="32"/>
          <w:szCs w:val="32"/>
          <w14:textFill>
            <w14:solidFill>
              <w14:schemeClr w14:val="tx1"/>
            </w14:solidFill>
          </w14:textFill>
        </w:rPr>
      </w:pPr>
    </w:p>
    <w:p w14:paraId="0C53D7CD">
      <w:pPr>
        <w:spacing w:line="360" w:lineRule="auto"/>
        <w:jc w:val="center"/>
        <w:rPr>
          <w:rFonts w:ascii="宋体" w:hAnsi="宋体" w:cs="宋体"/>
          <w:b/>
          <w:color w:val="000000" w:themeColor="text1"/>
          <w:spacing w:val="6"/>
          <w:sz w:val="32"/>
          <w:szCs w:val="32"/>
          <w14:textFill>
            <w14:solidFill>
              <w14:schemeClr w14:val="tx1"/>
            </w14:solidFill>
          </w14:textFill>
        </w:rPr>
      </w:pPr>
    </w:p>
    <w:p w14:paraId="308C5949">
      <w:pPr>
        <w:spacing w:line="360" w:lineRule="auto"/>
        <w:jc w:val="center"/>
        <w:rPr>
          <w:rFonts w:ascii="宋体" w:hAnsi="宋体" w:cs="宋体"/>
          <w:b/>
          <w:color w:val="000000" w:themeColor="text1"/>
          <w:spacing w:val="6"/>
          <w:sz w:val="32"/>
          <w:szCs w:val="32"/>
          <w14:textFill>
            <w14:solidFill>
              <w14:schemeClr w14:val="tx1"/>
            </w14:solidFill>
          </w14:textFill>
        </w:rPr>
      </w:pPr>
    </w:p>
    <w:p w14:paraId="578B10AA">
      <w:pPr>
        <w:spacing w:line="360" w:lineRule="auto"/>
        <w:jc w:val="center"/>
        <w:rPr>
          <w:rFonts w:ascii="宋体" w:hAnsi="宋体" w:cs="宋体"/>
          <w:b/>
          <w:color w:val="000000" w:themeColor="text1"/>
          <w:spacing w:val="6"/>
          <w:sz w:val="32"/>
          <w:szCs w:val="32"/>
          <w14:textFill>
            <w14:solidFill>
              <w14:schemeClr w14:val="tx1"/>
            </w14:solidFill>
          </w14:textFill>
        </w:rPr>
      </w:pPr>
    </w:p>
    <w:p w14:paraId="567AE259">
      <w:pPr>
        <w:spacing w:line="360" w:lineRule="auto"/>
        <w:jc w:val="center"/>
        <w:rPr>
          <w:rFonts w:ascii="宋体" w:hAnsi="宋体" w:cs="宋体"/>
          <w:b/>
          <w:color w:val="000000" w:themeColor="text1"/>
          <w:spacing w:val="6"/>
          <w:sz w:val="32"/>
          <w:szCs w:val="32"/>
          <w14:textFill>
            <w14:solidFill>
              <w14:schemeClr w14:val="tx1"/>
            </w14:solidFill>
          </w14:textFill>
        </w:rPr>
      </w:pPr>
    </w:p>
    <w:p w14:paraId="26889042">
      <w:pPr>
        <w:spacing w:line="360" w:lineRule="auto"/>
        <w:jc w:val="center"/>
        <w:rPr>
          <w:rFonts w:ascii="宋体" w:hAnsi="宋体" w:cs="宋体"/>
          <w:b/>
          <w:color w:val="000000" w:themeColor="text1"/>
          <w:spacing w:val="6"/>
          <w:sz w:val="32"/>
          <w:szCs w:val="32"/>
          <w14:textFill>
            <w14:solidFill>
              <w14:schemeClr w14:val="tx1"/>
            </w14:solidFill>
          </w14:textFill>
        </w:rPr>
      </w:pPr>
    </w:p>
    <w:p w14:paraId="2E3034C6">
      <w:pPr>
        <w:spacing w:line="360" w:lineRule="auto"/>
        <w:jc w:val="center"/>
        <w:rPr>
          <w:rFonts w:ascii="宋体" w:hAnsi="宋体" w:cs="宋体"/>
          <w:b/>
          <w:color w:val="000000" w:themeColor="text1"/>
          <w:spacing w:val="6"/>
          <w:sz w:val="32"/>
          <w:szCs w:val="32"/>
          <w14:textFill>
            <w14:solidFill>
              <w14:schemeClr w14:val="tx1"/>
            </w14:solidFill>
          </w14:textFill>
        </w:rPr>
      </w:pPr>
    </w:p>
    <w:p w14:paraId="3C2B0323">
      <w:pPr>
        <w:spacing w:line="360" w:lineRule="auto"/>
        <w:jc w:val="center"/>
        <w:rPr>
          <w:rFonts w:ascii="宋体" w:hAnsi="宋体" w:cs="宋体"/>
          <w:b/>
          <w:color w:val="000000" w:themeColor="text1"/>
          <w:spacing w:val="6"/>
          <w:sz w:val="32"/>
          <w:szCs w:val="32"/>
          <w14:textFill>
            <w14:solidFill>
              <w14:schemeClr w14:val="tx1"/>
            </w14:solidFill>
          </w14:textFill>
        </w:rPr>
      </w:pPr>
    </w:p>
    <w:p w14:paraId="2D041AF1">
      <w:pPr>
        <w:spacing w:line="360" w:lineRule="auto"/>
        <w:jc w:val="center"/>
        <w:rPr>
          <w:rFonts w:ascii="宋体" w:hAnsi="宋体" w:cs="宋体"/>
          <w:b/>
          <w:color w:val="000000" w:themeColor="text1"/>
          <w:spacing w:val="6"/>
          <w:sz w:val="32"/>
          <w:szCs w:val="32"/>
          <w14:textFill>
            <w14:solidFill>
              <w14:schemeClr w14:val="tx1"/>
            </w14:solidFill>
          </w14:textFill>
        </w:rPr>
      </w:pPr>
    </w:p>
    <w:p w14:paraId="1FCA6E5B">
      <w:pPr>
        <w:spacing w:line="360" w:lineRule="auto"/>
        <w:jc w:val="center"/>
        <w:rPr>
          <w:rFonts w:ascii="宋体" w:hAnsi="宋体" w:cs="宋体"/>
          <w:b/>
          <w:color w:val="000000" w:themeColor="text1"/>
          <w:spacing w:val="6"/>
          <w:sz w:val="32"/>
          <w:szCs w:val="32"/>
          <w14:textFill>
            <w14:solidFill>
              <w14:schemeClr w14:val="tx1"/>
            </w14:solidFill>
          </w14:textFill>
        </w:rPr>
      </w:pPr>
    </w:p>
    <w:p w14:paraId="1F247863">
      <w:pPr>
        <w:spacing w:line="360" w:lineRule="auto"/>
        <w:jc w:val="left"/>
        <w:rPr>
          <w:rFonts w:ascii="宋体" w:hAnsi="宋体" w:cs="宋体"/>
          <w:b/>
          <w:color w:val="000000" w:themeColor="text1"/>
          <w:spacing w:val="6"/>
          <w:sz w:val="32"/>
          <w:szCs w:val="32"/>
          <w14:textFill>
            <w14:solidFill>
              <w14:schemeClr w14:val="tx1"/>
            </w14:solidFill>
          </w14:textFill>
        </w:rPr>
      </w:pPr>
    </w:p>
    <w:p w14:paraId="721C6453">
      <w:pPr>
        <w:spacing w:line="360" w:lineRule="auto"/>
        <w:jc w:val="left"/>
        <w:rPr>
          <w:rFonts w:ascii="宋体" w:hAnsi="宋体" w:cs="宋体"/>
          <w:b/>
          <w:color w:val="000000" w:themeColor="text1"/>
          <w:spacing w:val="6"/>
          <w:sz w:val="32"/>
          <w:szCs w:val="32"/>
          <w14:textFill>
            <w14:solidFill>
              <w14:schemeClr w14:val="tx1"/>
            </w14:solidFill>
          </w14:textFill>
        </w:rPr>
      </w:pPr>
    </w:p>
    <w:p w14:paraId="19B958A0">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附件2：投诉书范本及制作说明</w:t>
      </w:r>
    </w:p>
    <w:p w14:paraId="5968EA1D">
      <w:pPr>
        <w:spacing w:line="360" w:lineRule="auto"/>
        <w:jc w:val="center"/>
        <w:rPr>
          <w:rFonts w:ascii="宋体" w:hAnsi="宋体" w:cs="宋体"/>
          <w:b/>
          <w:color w:val="000000" w:themeColor="text1"/>
          <w:sz w:val="24"/>
          <w14:textFill>
            <w14:solidFill>
              <w14:schemeClr w14:val="tx1"/>
            </w14:solidFill>
          </w14:textFill>
        </w:rPr>
      </w:pPr>
    </w:p>
    <w:p w14:paraId="08D8A9F7">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55ED65D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4F0AAD4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67836F8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05882286">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FFE9CED">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2EC83B8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08F555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7824B70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6B2D0E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5B9E60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474C24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253A627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6DB729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相关响应人：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2927F3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EA9951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BE4615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297BC1B6">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交易名称：</w:t>
      </w:r>
      <w:r>
        <w:rPr>
          <w:rFonts w:hint="eastAsia" w:ascii="宋体" w:hAnsi="宋体" w:cs="宋体"/>
          <w:color w:val="000000" w:themeColor="text1"/>
          <w:sz w:val="24"/>
          <w:u w:val="dotted"/>
          <w14:textFill>
            <w14:solidFill>
              <w14:schemeClr w14:val="tx1"/>
            </w14:solidFill>
          </w14:textFill>
        </w:rPr>
        <w:t xml:space="preserve">                                        </w:t>
      </w:r>
    </w:p>
    <w:p w14:paraId="2ADAE450">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7F54906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交易发起人名称：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C82E199">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642C71A8">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公开竞争文件公告: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C5BAF1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52CEE8F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三、异议基本情况</w:t>
      </w:r>
    </w:p>
    <w:p w14:paraId="6B55AED1">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提出异议，异议事项为：</w:t>
      </w:r>
      <w:r>
        <w:rPr>
          <w:rFonts w:hint="eastAsia" w:ascii="宋体" w:hAnsi="宋体" w:cs="宋体"/>
          <w:color w:val="000000" w:themeColor="text1"/>
          <w:sz w:val="24"/>
          <w:u w:val="dotted"/>
          <w14:textFill>
            <w14:solidFill>
              <w14:schemeClr w14:val="tx1"/>
            </w14:solidFill>
          </w14:textFill>
        </w:rPr>
        <w:t xml:space="preserve">                                </w:t>
      </w:r>
    </w:p>
    <w:p w14:paraId="0DB3CF1B">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0AEB4550">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交易发起人/代理机构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日,就异议事项作出了答复/没有在法定期限内作出答复。</w:t>
      </w:r>
    </w:p>
    <w:p w14:paraId="18AE05E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128CEEB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2598116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1747553C">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C7BD5D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2E6F46D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9A70F3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589B1874">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550504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6430F2E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1AC3894">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EB46B7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039DB59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48A1CE2D">
      <w:pPr>
        <w:spacing w:line="360" w:lineRule="auto"/>
        <w:rPr>
          <w:rFonts w:ascii="宋体" w:hAnsi="宋体" w:cs="宋体"/>
          <w:b/>
          <w:color w:val="000000" w:themeColor="text1"/>
          <w:sz w:val="24"/>
          <w14:textFill>
            <w14:solidFill>
              <w14:schemeClr w14:val="tx1"/>
            </w14:solidFill>
          </w14:textFill>
        </w:rPr>
      </w:pPr>
    </w:p>
    <w:p w14:paraId="70D05B36">
      <w:pPr>
        <w:spacing w:line="360" w:lineRule="auto"/>
        <w:rPr>
          <w:rFonts w:ascii="宋体" w:hAnsi="宋体" w:cs="宋体"/>
          <w:b/>
          <w:color w:val="000000" w:themeColor="text1"/>
          <w:sz w:val="24"/>
          <w14:textFill>
            <w14:solidFill>
              <w14:schemeClr w14:val="tx1"/>
            </w14:solidFill>
          </w14:textFill>
        </w:rPr>
      </w:pPr>
    </w:p>
    <w:p w14:paraId="59EEAC8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4AB47807">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1.投诉人提起投诉时，应当提交投诉书和必要的证明材料，并按照被投诉人和与投诉事项有关的响应人数量提供投诉书副本。</w:t>
      </w:r>
    </w:p>
    <w:p w14:paraId="16E130E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2876372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1E74CDA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4.投诉书应简要列明异议事项，异议函、异议答复等作为附件材料提供。</w:t>
      </w:r>
    </w:p>
    <w:p w14:paraId="0EB030D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3DE28BB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77988A4A">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8F1178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3A777B">
      <w:pPr>
        <w:autoSpaceDE w:val="0"/>
        <w:autoSpaceDN w:val="0"/>
        <w:jc w:val="left"/>
        <w:rPr>
          <w:rFonts w:ascii="宋体" w:hAnsi="宋体" w:cs="宋体"/>
          <w:b/>
          <w:color w:val="000000" w:themeColor="text1"/>
          <w:spacing w:val="6"/>
          <w:sz w:val="32"/>
          <w:szCs w:val="32"/>
          <w14:textFill>
            <w14:solidFill>
              <w14:schemeClr w14:val="tx1"/>
            </w14:solidFill>
          </w14:textFill>
        </w:rPr>
      </w:pPr>
    </w:p>
    <w:p w14:paraId="16E5750F">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5EC0A209">
      <w:pPr>
        <w:autoSpaceDE w:val="0"/>
        <w:autoSpaceDN w:val="0"/>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w:t>
      </w:r>
    </w:p>
    <w:p w14:paraId="7B101D08">
      <w:pPr>
        <w:autoSpaceDE w:val="0"/>
        <w:autoSpaceDN w:val="0"/>
        <w:jc w:val="center"/>
        <w:rPr>
          <w:rFonts w:ascii="宋体" w:hAnsi="宋体" w:cs="宋体"/>
          <w:b/>
          <w:bCs/>
          <w:color w:val="000000" w:themeColor="text1"/>
          <w:sz w:val="32"/>
          <w:szCs w:val="32"/>
          <w14:textFill>
            <w14:solidFill>
              <w14:schemeClr w14:val="tx1"/>
            </w14:solidFill>
          </w14:textFill>
        </w:rPr>
      </w:pPr>
    </w:p>
    <w:p w14:paraId="4EC72123">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业务专用章使用说明函</w:t>
      </w:r>
    </w:p>
    <w:p w14:paraId="50F57165">
      <w:pPr>
        <w:spacing w:line="360" w:lineRule="auto"/>
        <w:rPr>
          <w:rFonts w:ascii="宋体" w:hAnsi="宋体" w:cs="宋体"/>
          <w:color w:val="000000" w:themeColor="text1"/>
          <w:sz w:val="24"/>
          <w:u w:val="single"/>
          <w14:textFill>
            <w14:solidFill>
              <w14:schemeClr w14:val="tx1"/>
            </w14:solidFill>
          </w14:textFill>
        </w:rPr>
      </w:pPr>
    </w:p>
    <w:p w14:paraId="262DE62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（交易发起人）、（代理机构）</w:t>
      </w:r>
    </w:p>
    <w:p w14:paraId="18C5485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(响应人全称)是中华人民共和国依法登记注册的合法企业，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14:textFill>
            <w14:solidFill>
              <w14:schemeClr w14:val="tx1"/>
            </w14:solidFill>
          </w14:textFill>
        </w:rPr>
        <w:t>（项目名称）项目【交易编号：）】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0CCCDA8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1954C76A">
      <w:pPr>
        <w:spacing w:line="360" w:lineRule="auto"/>
        <w:ind w:firstLine="494"/>
        <w:rPr>
          <w:rFonts w:ascii="宋体" w:hAnsi="宋体" w:cs="宋体"/>
          <w:color w:val="000000" w:themeColor="text1"/>
          <w:sz w:val="24"/>
          <w14:textFill>
            <w14:solidFill>
              <w14:schemeClr w14:val="tx1"/>
            </w14:solidFill>
          </w14:textFill>
        </w:rPr>
      </w:pPr>
    </w:p>
    <w:p w14:paraId="13445525">
      <w:pPr>
        <w:spacing w:line="360" w:lineRule="auto"/>
        <w:ind w:firstLine="494"/>
        <w:rPr>
          <w:rFonts w:ascii="宋体" w:hAnsi="宋体" w:cs="宋体"/>
          <w:color w:val="000000" w:themeColor="text1"/>
          <w:sz w:val="24"/>
          <w14:textFill>
            <w14:solidFill>
              <w14:schemeClr w14:val="tx1"/>
            </w14:solidFill>
          </w14:textFill>
        </w:rPr>
      </w:pPr>
    </w:p>
    <w:p w14:paraId="70B1CF88">
      <w:pPr>
        <w:spacing w:line="360" w:lineRule="auto"/>
        <w:ind w:firstLine="494"/>
        <w:rPr>
          <w:rFonts w:ascii="宋体" w:hAnsi="宋体" w:cs="宋体"/>
          <w:color w:val="000000" w:themeColor="text1"/>
          <w:sz w:val="24"/>
          <w14:textFill>
            <w14:solidFill>
              <w14:schemeClr w14:val="tx1"/>
            </w14:solidFill>
          </w14:textFill>
        </w:rPr>
      </w:pPr>
    </w:p>
    <w:p w14:paraId="2FC675FE">
      <w:pPr>
        <w:spacing w:line="360" w:lineRule="auto"/>
        <w:ind w:firstLine="494"/>
        <w:rPr>
          <w:rFonts w:ascii="宋体" w:hAnsi="宋体" w:cs="宋体"/>
          <w:color w:val="000000" w:themeColor="text1"/>
          <w:sz w:val="24"/>
          <w14:textFill>
            <w14:solidFill>
              <w14:schemeClr w14:val="tx1"/>
            </w14:solidFill>
          </w14:textFill>
        </w:rPr>
      </w:pPr>
    </w:p>
    <w:p w14:paraId="177F3500">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4C85AC9E">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BBFAD93">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07B137CF">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0700EF2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0700EF2B">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378D9D5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A7446F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221D3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E84F95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F6D69E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033AB9">
      <w:pPr>
        <w:autoSpaceDE w:val="0"/>
        <w:autoSpaceDN w:val="0"/>
        <w:rPr>
          <w:rFonts w:ascii="宋体" w:hAnsi="宋体" w:cs="宋体"/>
          <w:b/>
          <w:color w:val="000000" w:themeColor="text1"/>
          <w:spacing w:val="6"/>
          <w:sz w:val="32"/>
          <w:szCs w:val="32"/>
          <w14:textFill>
            <w14:solidFill>
              <w14:schemeClr w14:val="tx1"/>
            </w14:solidFill>
          </w14:textFill>
        </w:rPr>
        <w:sectPr>
          <w:headerReference r:id="rId16" w:type="first"/>
          <w:footerReference r:id="rId19" w:type="first"/>
          <w:headerReference r:id="rId15" w:type="default"/>
          <w:footerReference r:id="rId17" w:type="default"/>
          <w:footerReference r:id="rId18" w:type="even"/>
          <w:pgSz w:w="11906" w:h="16838"/>
          <w:pgMar w:top="1247" w:right="1417" w:bottom="1247" w:left="1417" w:header="851" w:footer="992" w:gutter="0"/>
          <w:pgNumType w:fmt="numberInDash"/>
          <w:cols w:space="0" w:num="1"/>
          <w:titlePg/>
          <w:docGrid w:linePitch="312" w:charSpace="0"/>
        </w:sectPr>
      </w:pPr>
    </w:p>
    <w:p w14:paraId="19C228ED">
      <w:pPr>
        <w:autoSpaceDE w:val="0"/>
        <w:autoSpaceDN w:val="0"/>
        <w:rPr>
          <w:rFonts w:ascii="宋体" w:hAnsi="宋体" w:cs="宋体"/>
          <w:b/>
          <w:color w:val="000000" w:themeColor="text1"/>
          <w:spacing w:val="6"/>
          <w:sz w:val="32"/>
          <w:szCs w:val="32"/>
          <w14:textFill>
            <w14:solidFill>
              <w14:schemeClr w14:val="tx1"/>
            </w14:solidFill>
          </w14:textFill>
        </w:rPr>
      </w:pPr>
    </w:p>
    <w:sectPr>
      <w:pgSz w:w="11906" w:h="16838"/>
      <w:pgMar w:top="1247" w:right="1417" w:bottom="1247" w:left="1417" w:header="851" w:footer="992"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Liberation Sans">
    <w:altName w:val="Segoe Print"/>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Noto Naskh Arabic">
    <w:altName w:val="Segoe Print"/>
    <w:panose1 w:val="00000000000000000000"/>
    <w:charset w:val="00"/>
    <w:family w:val="auto"/>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20B05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DejaVu Sans">
    <w:altName w:val="Segoe Print"/>
    <w:panose1 w:val="00000000000000000000"/>
    <w:charset w:val="00"/>
    <w:family w:val="auto"/>
    <w:pitch w:val="default"/>
    <w:sig w:usb0="00000000" w:usb1="00000000" w:usb2="00000000" w:usb3="00000000" w:csb0="00000000"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
    <w:altName w:val="宋体"/>
    <w:panose1 w:val="00000000000000000000"/>
    <w:charset w:val="86"/>
    <w:family w:val="roman"/>
    <w:pitch w:val="default"/>
    <w:sig w:usb0="00000000" w:usb1="00000000" w:usb2="00000000" w:usb3="00000000" w:csb0="00000000" w:csb1="00000000"/>
  </w:font>
  <w:font w:name="东文宋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A70CA">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35CE011">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D9CGnWAQAAsQ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9SJXl6DzVW3Xusi8MnN6TSKQ4YTKwHGUz6Ih+CeRT3eBZXDJHwdKlaVlWJKY652UGc4vG6DxA/&#10;C2dIMhoa8PWyqOzwFeJYOpekbtbdKq0xzmptSY+ol9XVZb5xTiG6tqlC5GWYcBKncfZkxWE7TIS2&#10;rj0izx4XoqEW958S/cWi3ml3ZiPMxnY29j6oXZeXK/UCf7OPOFyeOXUYYZFrcvAlM+tp69KqPPVz&#10;1eOftv4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CD9CGnWAQAAsQMAAA4AAAAAAAAAAQAg&#10;AAAAIgEAAGRycy9lMm9Eb2MueG1sUEsFBgAAAAAGAAYAWQEAAGoFAAAAAA==&#10;">
              <v:fill on="f" focussize="0,0"/>
              <v:stroke on="f" weight="1.25pt"/>
              <v:imagedata o:title=""/>
              <o:lock v:ext="edit" aspectratio="f"/>
              <v:textbox inset="0mm,0mm,0mm,0mm" style="mso-fit-shape-to-text:t;">
                <w:txbxContent>
                  <w:p w14:paraId="435CE011">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9714A">
    <w:pPr>
      <w:pStyle w:val="42"/>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F201D41">
                          <w:pPr>
                            <w:pStyle w:val="42"/>
                          </w:pPr>
                          <w:r>
                            <w:fldChar w:fldCharType="begin"/>
                          </w:r>
                          <w:r>
                            <w:instrText xml:space="preserve"> PAGE  \* MERGEFORMAT </w:instrText>
                          </w:r>
                          <w:r>
                            <w:fldChar w:fldCharType="separate"/>
                          </w:r>
                          <w:r>
                            <w:t>- 41 -</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j4ZUvtgBAACzAwAADgAAAAAAAAAB&#10;ACAAAAAiAQAAZHJzL2Uyb0RvYy54bWxQSwUGAAAAAAYABgBZAQAAbAUAAAAA&#10;">
              <v:fill on="f" focussize="0,0"/>
              <v:stroke on="f" weight="1.25pt"/>
              <v:imagedata o:title=""/>
              <o:lock v:ext="edit" aspectratio="f"/>
              <v:textbox inset="0mm,0mm,0mm,0mm" style="mso-fit-shape-to-text:t;">
                <w:txbxContent>
                  <w:p w14:paraId="2F201D41">
                    <w:pPr>
                      <w:pStyle w:val="4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4FF6E">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49D8B">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4FC612B">
                          <w:pPr>
                            <w:pStyle w:val="4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3MbTXXAQAAsQ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V5RYZnDg5x/fzz9/&#10;n399I2+TPL2HGrMePebF4c4NuDTzPeBlYj3IYNIX+RCMo7ini7hiiISnR9WyqkoMcYzNDuIXT899&#10;gPggnCHJaGjA6WVR2fEDxDF1TknVrLtXWucJakt6RF1Vb1b5xSWE6NqmZJGXYcJJnMbekxWH3TAR&#10;3bn2hDx7XIiGWtx/SvR7i3qn3ZmNMBu72Tj4oPZdXq5UC/y7Q8Tmcs+pwgiLXJODk8ysp61Lq/K3&#10;n7Oe/rT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dzG011wEAALEDAAAOAAAAAAAAAAEA&#10;IAAAACIBAABkcnMvZTJvRG9jLnhtbFBLBQYAAAAABgAGAFkBAABrBQAAAAA=&#10;">
              <v:fill on="f" focussize="0,0"/>
              <v:stroke on="f" weight="1.25pt"/>
              <v:imagedata o:title=""/>
              <o:lock v:ext="edit" aspectratio="f"/>
              <v:textbox inset="0mm,0mm,0mm,0mm" style="mso-fit-shape-to-text:t;">
                <w:txbxContent>
                  <w:p w14:paraId="44FC612B">
                    <w:pPr>
                      <w:pStyle w:val="4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61133">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5BC8DBA">
                          <w:pPr>
                            <w:pStyle w:val="42"/>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LHD9s9gBAACyAwAADgAAAAAAAAAB&#10;ACAAAAAiAQAAZHJzL2Uyb0RvYy54bWxQSwUGAAAAAAYABgBZAQAAbAUAAAAA&#10;">
              <v:fill on="f" focussize="0,0"/>
              <v:stroke on="f" weight="1.25pt"/>
              <v:imagedata o:title=""/>
              <o:lock v:ext="edit" aspectratio="f"/>
              <v:textbox inset="0mm,0mm,0mm,0mm" style="mso-fit-shape-to-text:t;">
                <w:txbxContent>
                  <w:p w14:paraId="25BC8DBA">
                    <w:pPr>
                      <w:pStyle w:val="42"/>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ABA4">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9F7A2">
                          <w:pPr>
                            <w:pStyle w:val="42"/>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9F7A2">
                    <w:pPr>
                      <w:pStyle w:val="42"/>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p w14:paraId="4541588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8C460">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779E924">
                          <w:pPr>
                            <w:pStyle w:val="42"/>
                          </w:pPr>
                          <w:r>
                            <w:fldChar w:fldCharType="begin"/>
                          </w:r>
                          <w:r>
                            <w:instrText xml:space="preserve"> PAGE  \* MERGEFORMAT </w:instrText>
                          </w:r>
                          <w:r>
                            <w:fldChar w:fldCharType="separate"/>
                          </w:r>
                          <w:r>
                            <w:t>- 40 -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TYSpH9gBAACyAwAADgAAAAAAAAAB&#10;ACAAAAAiAQAAZHJzL2Uyb0RvYy54bWxQSwUGAAAAAAYABgBZAQAAbAUAAAAA&#10;">
              <v:fill on="f" focussize="0,0"/>
              <v:stroke on="f" weight="1.25pt"/>
              <v:imagedata o:title=""/>
              <o:lock v:ext="edit" aspectratio="f"/>
              <v:textbox inset="0mm,0mm,0mm,0mm" style="mso-fit-shape-to-text:t;">
                <w:txbxContent>
                  <w:p w14:paraId="5779E924">
                    <w:pPr>
                      <w:pStyle w:val="42"/>
                    </w:pPr>
                    <w:r>
                      <w:fldChar w:fldCharType="begin"/>
                    </w:r>
                    <w:r>
                      <w:instrText xml:space="preserve"> PAGE  \* MERGEFORMAT </w:instrText>
                    </w:r>
                    <w:r>
                      <w:fldChar w:fldCharType="separate"/>
                    </w:r>
                    <w:r>
                      <w:t>- 40 -</w:t>
                    </w:r>
                    <w:r>
                      <w:fldChar w:fldCharType="end"/>
                    </w:r>
                  </w:p>
                </w:txbxContent>
              </v:textbox>
            </v:shape>
          </w:pict>
        </mc:Fallback>
      </mc:AlternateContent>
    </w:r>
  </w:p>
  <w:p w14:paraId="497B350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0533">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029C57F">
                          <w:pPr>
                            <w:pStyle w:val="42"/>
                          </w:pPr>
                          <w:r>
                            <w:fldChar w:fldCharType="begin"/>
                          </w:r>
                          <w:r>
                            <w:instrText xml:space="preserve"> PAGE  \* MERGEFORMAT </w:instrText>
                          </w:r>
                          <w:r>
                            <w:fldChar w:fldCharType="separate"/>
                          </w:r>
                          <w:r>
                            <w:t>- 38 -</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ktH09gBAACyAwAADgAAAAAAAAAB&#10;ACAAAAAiAQAAZHJzL2Uyb0RvYy54bWxQSwUGAAAAAAYABgBZAQAAbAUAAAAA&#10;">
              <v:fill on="f" focussize="0,0"/>
              <v:stroke on="f" weight="1.25pt"/>
              <v:imagedata o:title=""/>
              <o:lock v:ext="edit" aspectratio="f"/>
              <v:textbox inset="0mm,0mm,0mm,0mm" style="mso-fit-shape-to-text:t;">
                <w:txbxContent>
                  <w:p w14:paraId="4029C57F">
                    <w:pPr>
                      <w:pStyle w:val="42"/>
                    </w:pPr>
                    <w:r>
                      <w:fldChar w:fldCharType="begin"/>
                    </w:r>
                    <w:r>
                      <w:instrText xml:space="preserve"> PAGE  \* MERGEFORMAT </w:instrText>
                    </w:r>
                    <w:r>
                      <w:fldChar w:fldCharType="separate"/>
                    </w:r>
                    <w:r>
                      <w:t>- 38 -</w:t>
                    </w:r>
                    <w:r>
                      <w:fldChar w:fldCharType="end"/>
                    </w:r>
                  </w:p>
                </w:txbxContent>
              </v:textbox>
            </v:shape>
          </w:pict>
        </mc:Fallback>
      </mc:AlternateContent>
    </w:r>
  </w:p>
  <w:p w14:paraId="1D89540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131E">
    <w:pPr>
      <w:pStyle w:val="42"/>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1B0DBAF">
                          <w:pPr>
                            <w:pStyle w:val="42"/>
                          </w:pPr>
                          <w:r>
                            <w:fldChar w:fldCharType="begin"/>
                          </w:r>
                          <w:r>
                            <w:instrText xml:space="preserve"> PAGE  \* MERGEFORMAT </w:instrText>
                          </w:r>
                          <w:r>
                            <w:fldChar w:fldCharType="separate"/>
                          </w:r>
                          <w:r>
                            <w:t>- 42 -</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XEm6ctgBAACzAwAADgAAAAAAAAAB&#10;ACAAAAAiAQAAZHJzL2Uyb0RvYy54bWxQSwUGAAAAAAYABgBZAQAAbAUAAAAA&#10;">
              <v:fill on="f" focussize="0,0"/>
              <v:stroke on="f" weight="1.25pt"/>
              <v:imagedata o:title=""/>
              <o:lock v:ext="edit" aspectratio="f"/>
              <v:textbox inset="0mm,0mm,0mm,0mm" style="mso-fit-shape-to-text:t;">
                <w:txbxContent>
                  <w:p w14:paraId="61B0DBAF">
                    <w:pPr>
                      <w:pStyle w:val="42"/>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80DA">
    <w:pPr>
      <w:pStyle w:val="42"/>
      <w:framePr w:wrap="around" w:vAnchor="text" w:hAnchor="margin" w:xAlign="right" w:y="1"/>
      <w:rPr>
        <w:rStyle w:val="74"/>
      </w:rPr>
    </w:pPr>
    <w:r>
      <w:fldChar w:fldCharType="begin"/>
    </w:r>
    <w:r>
      <w:rPr>
        <w:rStyle w:val="74"/>
      </w:rPr>
      <w:instrText xml:space="preserve">PAGE  </w:instrText>
    </w:r>
    <w:r>
      <w:fldChar w:fldCharType="end"/>
    </w:r>
  </w:p>
  <w:p w14:paraId="60949849">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DEB1D">
    <w:pPr>
      <w:pStyle w:val="44"/>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53D3">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D8D19">
    <w:pPr>
      <w:pStyle w:val="44"/>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0D9A3">
    <w:pPr>
      <w:pStyle w:val="44"/>
      <w:jc w:val="right"/>
    </w:pPr>
    <w:r>
      <w:rPr>
        <w:rFonts w:hint="eastAsia"/>
      </w:rPr>
      <w:t xml:space="preserve">                                                                                                                                         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5AA32">
    <w:pPr>
      <w:pStyle w:val="44"/>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FE3B">
    <w:pPr>
      <w:pStyle w:val="44"/>
      <w:jc w:val="right"/>
    </w:pPr>
    <w:r>
      <w:rPr>
        <w:rFonts w:hint="eastAsia"/>
      </w:rPr>
      <w:t>公开竞争文件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70482">
    <w:pPr>
      <w:pStyle w:val="44"/>
      <w:jc w:val="right"/>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9B9BB"/>
    <w:multiLevelType w:val="singleLevel"/>
    <w:tmpl w:val="C809B9BB"/>
    <w:lvl w:ilvl="0" w:tentative="0">
      <w:start w:val="3"/>
      <w:numFmt w:val="chineseCounting"/>
      <w:suff w:val="nothing"/>
      <w:lvlText w:val="（%1）"/>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E1B"/>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6F"/>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0B90"/>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0D"/>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2E08"/>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D1D"/>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5798"/>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25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09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7EF"/>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6DB"/>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13"/>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CF"/>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00E"/>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B2E"/>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41D"/>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BF9"/>
    <w:rsid w:val="00AC6D24"/>
    <w:rsid w:val="00AC6E18"/>
    <w:rsid w:val="00AC7F64"/>
    <w:rsid w:val="00AD1065"/>
    <w:rsid w:val="00AD159E"/>
    <w:rsid w:val="00AD2AB1"/>
    <w:rsid w:val="00AD3132"/>
    <w:rsid w:val="00AD3DA6"/>
    <w:rsid w:val="00AD3F3C"/>
    <w:rsid w:val="00AD447E"/>
    <w:rsid w:val="00AD4B2F"/>
    <w:rsid w:val="00AD5F0A"/>
    <w:rsid w:val="00AD6621"/>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75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72B"/>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C98"/>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CF6"/>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C8"/>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2CD"/>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FE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780456"/>
    <w:rsid w:val="02824D4D"/>
    <w:rsid w:val="029307AF"/>
    <w:rsid w:val="02BE3979"/>
    <w:rsid w:val="02DC4B10"/>
    <w:rsid w:val="02DD76CE"/>
    <w:rsid w:val="02F36323"/>
    <w:rsid w:val="02F5619C"/>
    <w:rsid w:val="0326446A"/>
    <w:rsid w:val="032D5555"/>
    <w:rsid w:val="036634D2"/>
    <w:rsid w:val="03756463"/>
    <w:rsid w:val="038A68D9"/>
    <w:rsid w:val="03CE5103"/>
    <w:rsid w:val="03DD35E4"/>
    <w:rsid w:val="04076900"/>
    <w:rsid w:val="041A5A3B"/>
    <w:rsid w:val="041B2008"/>
    <w:rsid w:val="042311BA"/>
    <w:rsid w:val="042B157A"/>
    <w:rsid w:val="048F763B"/>
    <w:rsid w:val="049F330E"/>
    <w:rsid w:val="04AA775C"/>
    <w:rsid w:val="04AF1889"/>
    <w:rsid w:val="04B85F11"/>
    <w:rsid w:val="04EE3F9B"/>
    <w:rsid w:val="04F66F48"/>
    <w:rsid w:val="051E28A6"/>
    <w:rsid w:val="05251E14"/>
    <w:rsid w:val="05507636"/>
    <w:rsid w:val="05672598"/>
    <w:rsid w:val="056839B2"/>
    <w:rsid w:val="05770BD6"/>
    <w:rsid w:val="058806C7"/>
    <w:rsid w:val="05A16594"/>
    <w:rsid w:val="05A7762D"/>
    <w:rsid w:val="05BF4603"/>
    <w:rsid w:val="05C04DC2"/>
    <w:rsid w:val="060A0D89"/>
    <w:rsid w:val="060E5941"/>
    <w:rsid w:val="06110FAF"/>
    <w:rsid w:val="06493CA7"/>
    <w:rsid w:val="065A6178"/>
    <w:rsid w:val="066D3597"/>
    <w:rsid w:val="066F1CF3"/>
    <w:rsid w:val="06930BB8"/>
    <w:rsid w:val="06956198"/>
    <w:rsid w:val="06DC05BD"/>
    <w:rsid w:val="07245D42"/>
    <w:rsid w:val="07264C62"/>
    <w:rsid w:val="072F6604"/>
    <w:rsid w:val="074460BC"/>
    <w:rsid w:val="0779354C"/>
    <w:rsid w:val="077F0C95"/>
    <w:rsid w:val="07C300BD"/>
    <w:rsid w:val="07EC6682"/>
    <w:rsid w:val="07FE18F3"/>
    <w:rsid w:val="08061376"/>
    <w:rsid w:val="08127C83"/>
    <w:rsid w:val="081A0204"/>
    <w:rsid w:val="082C3E90"/>
    <w:rsid w:val="08452D77"/>
    <w:rsid w:val="086401F8"/>
    <w:rsid w:val="08751CAA"/>
    <w:rsid w:val="0876556A"/>
    <w:rsid w:val="087E4C40"/>
    <w:rsid w:val="0897212F"/>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851FD"/>
    <w:rsid w:val="097B2960"/>
    <w:rsid w:val="098353B5"/>
    <w:rsid w:val="09A92330"/>
    <w:rsid w:val="09B06B87"/>
    <w:rsid w:val="09C13146"/>
    <w:rsid w:val="09E04166"/>
    <w:rsid w:val="09E268B9"/>
    <w:rsid w:val="09E464BD"/>
    <w:rsid w:val="09F81448"/>
    <w:rsid w:val="0A1C0718"/>
    <w:rsid w:val="0A2C10A7"/>
    <w:rsid w:val="0A3E7710"/>
    <w:rsid w:val="0A5B7E63"/>
    <w:rsid w:val="0A5E227D"/>
    <w:rsid w:val="0A7F4701"/>
    <w:rsid w:val="0A8A3386"/>
    <w:rsid w:val="0A982AEC"/>
    <w:rsid w:val="0AA374A5"/>
    <w:rsid w:val="0AAB7649"/>
    <w:rsid w:val="0AAF5E89"/>
    <w:rsid w:val="0AB86C5C"/>
    <w:rsid w:val="0ABC5606"/>
    <w:rsid w:val="0AC42692"/>
    <w:rsid w:val="0ADE3108"/>
    <w:rsid w:val="0ADF4EB4"/>
    <w:rsid w:val="0B0109A4"/>
    <w:rsid w:val="0B0F74C5"/>
    <w:rsid w:val="0B1D1535"/>
    <w:rsid w:val="0B30404E"/>
    <w:rsid w:val="0B4C6C14"/>
    <w:rsid w:val="0B524759"/>
    <w:rsid w:val="0B631A88"/>
    <w:rsid w:val="0B683D45"/>
    <w:rsid w:val="0B76461B"/>
    <w:rsid w:val="0B7F3F11"/>
    <w:rsid w:val="0B884417"/>
    <w:rsid w:val="0B93709B"/>
    <w:rsid w:val="0BA212C6"/>
    <w:rsid w:val="0BF6188C"/>
    <w:rsid w:val="0BF73C91"/>
    <w:rsid w:val="0BF80826"/>
    <w:rsid w:val="0BFF7F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D84B52"/>
    <w:rsid w:val="0DF50604"/>
    <w:rsid w:val="0DF702FE"/>
    <w:rsid w:val="0E060E51"/>
    <w:rsid w:val="0E22536A"/>
    <w:rsid w:val="0E24319C"/>
    <w:rsid w:val="0E373674"/>
    <w:rsid w:val="0E4E3D1B"/>
    <w:rsid w:val="0E5604B2"/>
    <w:rsid w:val="0E6D5D79"/>
    <w:rsid w:val="0E6F14E6"/>
    <w:rsid w:val="0E9B5E39"/>
    <w:rsid w:val="0E9D0089"/>
    <w:rsid w:val="0EB803EE"/>
    <w:rsid w:val="0EF94D4B"/>
    <w:rsid w:val="0F0B13B6"/>
    <w:rsid w:val="0F182768"/>
    <w:rsid w:val="0F4958DC"/>
    <w:rsid w:val="0F4B07FA"/>
    <w:rsid w:val="0F515DF7"/>
    <w:rsid w:val="0F564CA1"/>
    <w:rsid w:val="0F596BA8"/>
    <w:rsid w:val="0F6248D2"/>
    <w:rsid w:val="0F635421"/>
    <w:rsid w:val="0F636BE8"/>
    <w:rsid w:val="0F693536"/>
    <w:rsid w:val="0F7B0511"/>
    <w:rsid w:val="0F7B76D9"/>
    <w:rsid w:val="0F816ACD"/>
    <w:rsid w:val="0F9832DB"/>
    <w:rsid w:val="0FBF3FD2"/>
    <w:rsid w:val="0FBF7FF3"/>
    <w:rsid w:val="0FCF1C32"/>
    <w:rsid w:val="0FDA406B"/>
    <w:rsid w:val="0FFC3E38"/>
    <w:rsid w:val="100A3C4E"/>
    <w:rsid w:val="10156805"/>
    <w:rsid w:val="101F593D"/>
    <w:rsid w:val="10646583"/>
    <w:rsid w:val="107D4B15"/>
    <w:rsid w:val="10841832"/>
    <w:rsid w:val="108A3C80"/>
    <w:rsid w:val="10A15184"/>
    <w:rsid w:val="10C26171"/>
    <w:rsid w:val="10DC700E"/>
    <w:rsid w:val="10F33360"/>
    <w:rsid w:val="10F4083A"/>
    <w:rsid w:val="10FC16EA"/>
    <w:rsid w:val="110F1D40"/>
    <w:rsid w:val="11266F33"/>
    <w:rsid w:val="113055C1"/>
    <w:rsid w:val="113F0F05"/>
    <w:rsid w:val="118963A1"/>
    <w:rsid w:val="11C6522A"/>
    <w:rsid w:val="11D84431"/>
    <w:rsid w:val="11E104CC"/>
    <w:rsid w:val="11E20309"/>
    <w:rsid w:val="11F0289B"/>
    <w:rsid w:val="11FD14B9"/>
    <w:rsid w:val="120E4728"/>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BB6FA"/>
    <w:rsid w:val="13BF3CE4"/>
    <w:rsid w:val="13D309AB"/>
    <w:rsid w:val="13E47441"/>
    <w:rsid w:val="13E674F4"/>
    <w:rsid w:val="140F0A5D"/>
    <w:rsid w:val="141008D8"/>
    <w:rsid w:val="14125FE6"/>
    <w:rsid w:val="142B70E5"/>
    <w:rsid w:val="14500381"/>
    <w:rsid w:val="146D271E"/>
    <w:rsid w:val="147B24A0"/>
    <w:rsid w:val="14870D7F"/>
    <w:rsid w:val="14982588"/>
    <w:rsid w:val="149A5AD9"/>
    <w:rsid w:val="14A7619D"/>
    <w:rsid w:val="14AA2978"/>
    <w:rsid w:val="14C445F3"/>
    <w:rsid w:val="14E4570B"/>
    <w:rsid w:val="14F25B02"/>
    <w:rsid w:val="150536C3"/>
    <w:rsid w:val="15062E2B"/>
    <w:rsid w:val="150C1963"/>
    <w:rsid w:val="151447A0"/>
    <w:rsid w:val="154A6454"/>
    <w:rsid w:val="156B1C46"/>
    <w:rsid w:val="15762120"/>
    <w:rsid w:val="15844A86"/>
    <w:rsid w:val="1586383D"/>
    <w:rsid w:val="15C1630E"/>
    <w:rsid w:val="15F56AC3"/>
    <w:rsid w:val="1608540D"/>
    <w:rsid w:val="16204A74"/>
    <w:rsid w:val="164F32FA"/>
    <w:rsid w:val="166C515D"/>
    <w:rsid w:val="16A8729C"/>
    <w:rsid w:val="16B33777"/>
    <w:rsid w:val="16B741E9"/>
    <w:rsid w:val="16BC70A7"/>
    <w:rsid w:val="16C6339E"/>
    <w:rsid w:val="16C730F7"/>
    <w:rsid w:val="16D6012D"/>
    <w:rsid w:val="16DF1B83"/>
    <w:rsid w:val="16FE2244"/>
    <w:rsid w:val="172F2D79"/>
    <w:rsid w:val="17557BEF"/>
    <w:rsid w:val="176D1E2A"/>
    <w:rsid w:val="176E634F"/>
    <w:rsid w:val="17852075"/>
    <w:rsid w:val="178B06F1"/>
    <w:rsid w:val="179B74BF"/>
    <w:rsid w:val="17A05FFC"/>
    <w:rsid w:val="17BF6011"/>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01E9A"/>
    <w:rsid w:val="19D16EBE"/>
    <w:rsid w:val="19E05098"/>
    <w:rsid w:val="1A071A03"/>
    <w:rsid w:val="1A1A5A79"/>
    <w:rsid w:val="1A1A697E"/>
    <w:rsid w:val="1A1F16AE"/>
    <w:rsid w:val="1A3B5C77"/>
    <w:rsid w:val="1A78287A"/>
    <w:rsid w:val="1A7A249A"/>
    <w:rsid w:val="1A984BAD"/>
    <w:rsid w:val="1AB8220E"/>
    <w:rsid w:val="1ADE4F75"/>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1347D"/>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094530"/>
    <w:rsid w:val="211116EB"/>
    <w:rsid w:val="211E01F0"/>
    <w:rsid w:val="212D6D8F"/>
    <w:rsid w:val="216133FC"/>
    <w:rsid w:val="218944CA"/>
    <w:rsid w:val="21B3021E"/>
    <w:rsid w:val="21D56769"/>
    <w:rsid w:val="21D62C50"/>
    <w:rsid w:val="21E52EF3"/>
    <w:rsid w:val="21FB5D7B"/>
    <w:rsid w:val="220B1C3D"/>
    <w:rsid w:val="221D1D20"/>
    <w:rsid w:val="22334A87"/>
    <w:rsid w:val="225E0148"/>
    <w:rsid w:val="22B61EBB"/>
    <w:rsid w:val="22B83BEE"/>
    <w:rsid w:val="22BE6801"/>
    <w:rsid w:val="22C04C60"/>
    <w:rsid w:val="22E03145"/>
    <w:rsid w:val="23113F1A"/>
    <w:rsid w:val="231D4E73"/>
    <w:rsid w:val="23321C7E"/>
    <w:rsid w:val="233500BF"/>
    <w:rsid w:val="23377FF7"/>
    <w:rsid w:val="23536CFD"/>
    <w:rsid w:val="236B39C8"/>
    <w:rsid w:val="236B425F"/>
    <w:rsid w:val="23836192"/>
    <w:rsid w:val="238E494F"/>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050C41"/>
    <w:rsid w:val="254F52B1"/>
    <w:rsid w:val="25571FF4"/>
    <w:rsid w:val="258B00E2"/>
    <w:rsid w:val="258D6809"/>
    <w:rsid w:val="25A34E23"/>
    <w:rsid w:val="25A917A6"/>
    <w:rsid w:val="25BE27CC"/>
    <w:rsid w:val="25DB6AC0"/>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8F44BA3"/>
    <w:rsid w:val="29345E77"/>
    <w:rsid w:val="29421565"/>
    <w:rsid w:val="29453CBE"/>
    <w:rsid w:val="294C65AD"/>
    <w:rsid w:val="294E3480"/>
    <w:rsid w:val="295BCEC6"/>
    <w:rsid w:val="297521AE"/>
    <w:rsid w:val="29806583"/>
    <w:rsid w:val="298B3C4C"/>
    <w:rsid w:val="299D3240"/>
    <w:rsid w:val="29EB63A2"/>
    <w:rsid w:val="29F26D24"/>
    <w:rsid w:val="2A15033F"/>
    <w:rsid w:val="2A1662C1"/>
    <w:rsid w:val="2A196977"/>
    <w:rsid w:val="2A1C7367"/>
    <w:rsid w:val="2A200230"/>
    <w:rsid w:val="2A2815FA"/>
    <w:rsid w:val="2A6D6092"/>
    <w:rsid w:val="2A7A1CCA"/>
    <w:rsid w:val="2A7D76B4"/>
    <w:rsid w:val="2A830ABD"/>
    <w:rsid w:val="2AAF16FA"/>
    <w:rsid w:val="2AD8021A"/>
    <w:rsid w:val="2AEE1B3B"/>
    <w:rsid w:val="2AF47F2E"/>
    <w:rsid w:val="2B437463"/>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06EC2"/>
    <w:rsid w:val="2D956040"/>
    <w:rsid w:val="2D97490F"/>
    <w:rsid w:val="2DC53663"/>
    <w:rsid w:val="2DD15014"/>
    <w:rsid w:val="2DF72DE4"/>
    <w:rsid w:val="2DFD17EA"/>
    <w:rsid w:val="2E0220AF"/>
    <w:rsid w:val="2E2A66CA"/>
    <w:rsid w:val="2E4B082A"/>
    <w:rsid w:val="2E5D4E86"/>
    <w:rsid w:val="2E5D790B"/>
    <w:rsid w:val="2E776A61"/>
    <w:rsid w:val="2E9A143D"/>
    <w:rsid w:val="2E9A3C18"/>
    <w:rsid w:val="2EBB0FEE"/>
    <w:rsid w:val="2EBD2D81"/>
    <w:rsid w:val="2EC63002"/>
    <w:rsid w:val="2EC97B4F"/>
    <w:rsid w:val="2ECB46DA"/>
    <w:rsid w:val="2ECE7777"/>
    <w:rsid w:val="2F064D1A"/>
    <w:rsid w:val="2F0A6B38"/>
    <w:rsid w:val="2F0E78D3"/>
    <w:rsid w:val="2F3B36E4"/>
    <w:rsid w:val="2F585F5C"/>
    <w:rsid w:val="2F7D1824"/>
    <w:rsid w:val="2F923332"/>
    <w:rsid w:val="2F946CCB"/>
    <w:rsid w:val="2F9B2564"/>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0FA5F0F"/>
    <w:rsid w:val="310062EF"/>
    <w:rsid w:val="31487AC4"/>
    <w:rsid w:val="319C6071"/>
    <w:rsid w:val="31AC537E"/>
    <w:rsid w:val="31B420C4"/>
    <w:rsid w:val="31B82C24"/>
    <w:rsid w:val="31C17BA9"/>
    <w:rsid w:val="31C549B6"/>
    <w:rsid w:val="31E3679B"/>
    <w:rsid w:val="31E732FD"/>
    <w:rsid w:val="324E33D2"/>
    <w:rsid w:val="32517576"/>
    <w:rsid w:val="3262346C"/>
    <w:rsid w:val="327E0403"/>
    <w:rsid w:val="32A64673"/>
    <w:rsid w:val="32BE5C2C"/>
    <w:rsid w:val="32D22AAA"/>
    <w:rsid w:val="32FB6478"/>
    <w:rsid w:val="331E793D"/>
    <w:rsid w:val="332637C2"/>
    <w:rsid w:val="33263B3F"/>
    <w:rsid w:val="336963EB"/>
    <w:rsid w:val="33816EEB"/>
    <w:rsid w:val="338863E7"/>
    <w:rsid w:val="33D80FFE"/>
    <w:rsid w:val="33EB55CD"/>
    <w:rsid w:val="33EC4C02"/>
    <w:rsid w:val="33FFA364"/>
    <w:rsid w:val="340D2360"/>
    <w:rsid w:val="340D3EB8"/>
    <w:rsid w:val="340D5F96"/>
    <w:rsid w:val="3410665D"/>
    <w:rsid w:val="34211214"/>
    <w:rsid w:val="342E63AB"/>
    <w:rsid w:val="34433534"/>
    <w:rsid w:val="345C6202"/>
    <w:rsid w:val="3466782F"/>
    <w:rsid w:val="347B5D1E"/>
    <w:rsid w:val="34812DB4"/>
    <w:rsid w:val="348A4ECC"/>
    <w:rsid w:val="34950E68"/>
    <w:rsid w:val="34986E94"/>
    <w:rsid w:val="34AF62C9"/>
    <w:rsid w:val="34CB4388"/>
    <w:rsid w:val="34DC2C0A"/>
    <w:rsid w:val="34FA6E12"/>
    <w:rsid w:val="3511322A"/>
    <w:rsid w:val="354D7158"/>
    <w:rsid w:val="358D5588"/>
    <w:rsid w:val="35BB105D"/>
    <w:rsid w:val="36136070"/>
    <w:rsid w:val="363924A3"/>
    <w:rsid w:val="363A3B40"/>
    <w:rsid w:val="365302AE"/>
    <w:rsid w:val="36607A0A"/>
    <w:rsid w:val="366E227C"/>
    <w:rsid w:val="366F2E0D"/>
    <w:rsid w:val="367B6A5C"/>
    <w:rsid w:val="368C0F3C"/>
    <w:rsid w:val="36A74ADA"/>
    <w:rsid w:val="36AD60D5"/>
    <w:rsid w:val="36B224F9"/>
    <w:rsid w:val="36EC0CC9"/>
    <w:rsid w:val="37390A8E"/>
    <w:rsid w:val="373F410B"/>
    <w:rsid w:val="3756404C"/>
    <w:rsid w:val="37611015"/>
    <w:rsid w:val="376A0174"/>
    <w:rsid w:val="3786509C"/>
    <w:rsid w:val="378C13F6"/>
    <w:rsid w:val="37917B1B"/>
    <w:rsid w:val="37BD1A5A"/>
    <w:rsid w:val="37E16E9C"/>
    <w:rsid w:val="37EE7094"/>
    <w:rsid w:val="38296C89"/>
    <w:rsid w:val="383002EB"/>
    <w:rsid w:val="38414055"/>
    <w:rsid w:val="38586797"/>
    <w:rsid w:val="38717BB4"/>
    <w:rsid w:val="388843DC"/>
    <w:rsid w:val="38BC0149"/>
    <w:rsid w:val="38C277EB"/>
    <w:rsid w:val="38D87D1C"/>
    <w:rsid w:val="38DE6D4B"/>
    <w:rsid w:val="391F535F"/>
    <w:rsid w:val="392E73EA"/>
    <w:rsid w:val="394925D7"/>
    <w:rsid w:val="39636459"/>
    <w:rsid w:val="396B7F6C"/>
    <w:rsid w:val="399C14F7"/>
    <w:rsid w:val="39B417A9"/>
    <w:rsid w:val="39D00F17"/>
    <w:rsid w:val="39D17336"/>
    <w:rsid w:val="39F5707E"/>
    <w:rsid w:val="39FC5695"/>
    <w:rsid w:val="3A006D8E"/>
    <w:rsid w:val="3A3651E5"/>
    <w:rsid w:val="3A4E2342"/>
    <w:rsid w:val="3A744481"/>
    <w:rsid w:val="3A824DB6"/>
    <w:rsid w:val="3A8C7BEF"/>
    <w:rsid w:val="3A906246"/>
    <w:rsid w:val="3AB13D31"/>
    <w:rsid w:val="3AC55923"/>
    <w:rsid w:val="3B2349B7"/>
    <w:rsid w:val="3B4677B8"/>
    <w:rsid w:val="3B4F5EBB"/>
    <w:rsid w:val="3B616CFF"/>
    <w:rsid w:val="3B6259F6"/>
    <w:rsid w:val="3B775E68"/>
    <w:rsid w:val="3B894B0B"/>
    <w:rsid w:val="3B976654"/>
    <w:rsid w:val="3B9B68EE"/>
    <w:rsid w:val="3BBF1AAF"/>
    <w:rsid w:val="3BC01EFC"/>
    <w:rsid w:val="3BC52CC1"/>
    <w:rsid w:val="3BCA786A"/>
    <w:rsid w:val="3BD06659"/>
    <w:rsid w:val="3BD31E2F"/>
    <w:rsid w:val="3BF15831"/>
    <w:rsid w:val="3BFEC544"/>
    <w:rsid w:val="3C105946"/>
    <w:rsid w:val="3C331431"/>
    <w:rsid w:val="3C3A44D8"/>
    <w:rsid w:val="3C471448"/>
    <w:rsid w:val="3C556941"/>
    <w:rsid w:val="3C5F759A"/>
    <w:rsid w:val="3C616601"/>
    <w:rsid w:val="3C6C525A"/>
    <w:rsid w:val="3CA60D3D"/>
    <w:rsid w:val="3CBCB03C"/>
    <w:rsid w:val="3CCD42E3"/>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441FE"/>
    <w:rsid w:val="3E7B5D6B"/>
    <w:rsid w:val="3E843E66"/>
    <w:rsid w:val="3E8F51FE"/>
    <w:rsid w:val="3E926F87"/>
    <w:rsid w:val="3E992734"/>
    <w:rsid w:val="3E9A59DE"/>
    <w:rsid w:val="3EA95CBD"/>
    <w:rsid w:val="3EAF4836"/>
    <w:rsid w:val="3EC33DFA"/>
    <w:rsid w:val="3EF66285"/>
    <w:rsid w:val="3EFDFDD0"/>
    <w:rsid w:val="3F060E16"/>
    <w:rsid w:val="3F13CEF8"/>
    <w:rsid w:val="3F1D1096"/>
    <w:rsid w:val="3F2F0234"/>
    <w:rsid w:val="3F3013EB"/>
    <w:rsid w:val="3F5707E4"/>
    <w:rsid w:val="3F6363FE"/>
    <w:rsid w:val="3F756B8F"/>
    <w:rsid w:val="3F8D4B70"/>
    <w:rsid w:val="3F95482B"/>
    <w:rsid w:val="3FAD3701"/>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571E1"/>
    <w:rsid w:val="458A2D71"/>
    <w:rsid w:val="458E4BD4"/>
    <w:rsid w:val="459C0750"/>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A75F76"/>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773208"/>
    <w:rsid w:val="4B9739F7"/>
    <w:rsid w:val="4B974368"/>
    <w:rsid w:val="4B9A6B21"/>
    <w:rsid w:val="4B9C1FA2"/>
    <w:rsid w:val="4BA13CA3"/>
    <w:rsid w:val="4BAD565A"/>
    <w:rsid w:val="4BE96C25"/>
    <w:rsid w:val="4BEE2503"/>
    <w:rsid w:val="4BF80D38"/>
    <w:rsid w:val="4C245A30"/>
    <w:rsid w:val="4C3A3668"/>
    <w:rsid w:val="4C5477C7"/>
    <w:rsid w:val="4C5D53ED"/>
    <w:rsid w:val="4C676029"/>
    <w:rsid w:val="4C8C2664"/>
    <w:rsid w:val="4C937B57"/>
    <w:rsid w:val="4CA601B0"/>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B62A4C"/>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9C0145"/>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1FF8E79"/>
    <w:rsid w:val="522E4CC3"/>
    <w:rsid w:val="5244713B"/>
    <w:rsid w:val="52615633"/>
    <w:rsid w:val="526A04DD"/>
    <w:rsid w:val="52977FD4"/>
    <w:rsid w:val="52A25790"/>
    <w:rsid w:val="52A96B6F"/>
    <w:rsid w:val="52B45975"/>
    <w:rsid w:val="52C5748B"/>
    <w:rsid w:val="52D374D1"/>
    <w:rsid w:val="52D94AA4"/>
    <w:rsid w:val="52EA3A62"/>
    <w:rsid w:val="52F143C0"/>
    <w:rsid w:val="52F50BB8"/>
    <w:rsid w:val="52F802A1"/>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706D7"/>
    <w:rsid w:val="557A4C8B"/>
    <w:rsid w:val="558931E1"/>
    <w:rsid w:val="55923347"/>
    <w:rsid w:val="55925180"/>
    <w:rsid w:val="55983B1B"/>
    <w:rsid w:val="55A8376B"/>
    <w:rsid w:val="55BC9C08"/>
    <w:rsid w:val="55C248FD"/>
    <w:rsid w:val="55D87B28"/>
    <w:rsid w:val="55DC29B6"/>
    <w:rsid w:val="55DD4241"/>
    <w:rsid w:val="55F16964"/>
    <w:rsid w:val="55FA20BB"/>
    <w:rsid w:val="55FFF5C6"/>
    <w:rsid w:val="560A7BD7"/>
    <w:rsid w:val="561C1BE8"/>
    <w:rsid w:val="566B6D1E"/>
    <w:rsid w:val="567D2234"/>
    <w:rsid w:val="56872DD3"/>
    <w:rsid w:val="569E129D"/>
    <w:rsid w:val="56C76EC1"/>
    <w:rsid w:val="57032A2C"/>
    <w:rsid w:val="570F5219"/>
    <w:rsid w:val="575D12B5"/>
    <w:rsid w:val="57610A87"/>
    <w:rsid w:val="577B1140"/>
    <w:rsid w:val="577B7F21"/>
    <w:rsid w:val="577C7C4E"/>
    <w:rsid w:val="577F181B"/>
    <w:rsid w:val="57921984"/>
    <w:rsid w:val="579737F0"/>
    <w:rsid w:val="57AB7B30"/>
    <w:rsid w:val="57AC1D76"/>
    <w:rsid w:val="57AF5251"/>
    <w:rsid w:val="57B26373"/>
    <w:rsid w:val="57B3517E"/>
    <w:rsid w:val="57B63F04"/>
    <w:rsid w:val="57CD20C2"/>
    <w:rsid w:val="57D675AB"/>
    <w:rsid w:val="57D95FDD"/>
    <w:rsid w:val="57FEC6E1"/>
    <w:rsid w:val="58914238"/>
    <w:rsid w:val="58917D2F"/>
    <w:rsid w:val="5894085C"/>
    <w:rsid w:val="58A14202"/>
    <w:rsid w:val="58AE4F0C"/>
    <w:rsid w:val="58B85899"/>
    <w:rsid w:val="58C0702C"/>
    <w:rsid w:val="58E363A9"/>
    <w:rsid w:val="591C22E3"/>
    <w:rsid w:val="59272ECB"/>
    <w:rsid w:val="59307B25"/>
    <w:rsid w:val="595E1678"/>
    <w:rsid w:val="59694B63"/>
    <w:rsid w:val="596D5BD4"/>
    <w:rsid w:val="597E3DD8"/>
    <w:rsid w:val="59977A37"/>
    <w:rsid w:val="59AB1AC0"/>
    <w:rsid w:val="59B31026"/>
    <w:rsid w:val="59D57FBC"/>
    <w:rsid w:val="59F80043"/>
    <w:rsid w:val="5A09252F"/>
    <w:rsid w:val="5A0B2778"/>
    <w:rsid w:val="5A2A7C7B"/>
    <w:rsid w:val="5A380D61"/>
    <w:rsid w:val="5A3E2560"/>
    <w:rsid w:val="5A405C9C"/>
    <w:rsid w:val="5A5D3B6E"/>
    <w:rsid w:val="5A637A76"/>
    <w:rsid w:val="5A686384"/>
    <w:rsid w:val="5A6D33BA"/>
    <w:rsid w:val="5A792B1F"/>
    <w:rsid w:val="5A874767"/>
    <w:rsid w:val="5A9A655F"/>
    <w:rsid w:val="5AA85BE2"/>
    <w:rsid w:val="5AAD6F28"/>
    <w:rsid w:val="5AD63A24"/>
    <w:rsid w:val="5AE51FB6"/>
    <w:rsid w:val="5AFBEEEB"/>
    <w:rsid w:val="5B0B0B6B"/>
    <w:rsid w:val="5B2E1A1D"/>
    <w:rsid w:val="5B843A1C"/>
    <w:rsid w:val="5B873E3F"/>
    <w:rsid w:val="5B9F0551"/>
    <w:rsid w:val="5BFA9C54"/>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EFE8015"/>
    <w:rsid w:val="5F012A1A"/>
    <w:rsid w:val="5F06174D"/>
    <w:rsid w:val="5F3A3602"/>
    <w:rsid w:val="5F45733B"/>
    <w:rsid w:val="5F5B211E"/>
    <w:rsid w:val="5F6277C6"/>
    <w:rsid w:val="5F6D0B1D"/>
    <w:rsid w:val="5F7734EA"/>
    <w:rsid w:val="5F7BB12B"/>
    <w:rsid w:val="5F7F277C"/>
    <w:rsid w:val="5F8D0B82"/>
    <w:rsid w:val="5FA61B85"/>
    <w:rsid w:val="5FCC5339"/>
    <w:rsid w:val="5FDDE902"/>
    <w:rsid w:val="5FE33751"/>
    <w:rsid w:val="5FE34A5B"/>
    <w:rsid w:val="5FFE1E36"/>
    <w:rsid w:val="60172C7B"/>
    <w:rsid w:val="60232584"/>
    <w:rsid w:val="60305BC5"/>
    <w:rsid w:val="60326087"/>
    <w:rsid w:val="605864BB"/>
    <w:rsid w:val="607330CE"/>
    <w:rsid w:val="60825176"/>
    <w:rsid w:val="60873AD9"/>
    <w:rsid w:val="609F2AC4"/>
    <w:rsid w:val="60C413D5"/>
    <w:rsid w:val="60F14C86"/>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70269"/>
    <w:rsid w:val="63AC52D2"/>
    <w:rsid w:val="63AC6CC0"/>
    <w:rsid w:val="63B048E8"/>
    <w:rsid w:val="64043733"/>
    <w:rsid w:val="64055776"/>
    <w:rsid w:val="64175397"/>
    <w:rsid w:val="64240056"/>
    <w:rsid w:val="64337D05"/>
    <w:rsid w:val="643E143A"/>
    <w:rsid w:val="644A0C02"/>
    <w:rsid w:val="64713380"/>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5B6D99"/>
    <w:rsid w:val="666D1F69"/>
    <w:rsid w:val="667133EA"/>
    <w:rsid w:val="668B6A45"/>
    <w:rsid w:val="66DE04FB"/>
    <w:rsid w:val="66F85C8F"/>
    <w:rsid w:val="671E7365"/>
    <w:rsid w:val="67230B7E"/>
    <w:rsid w:val="67277552"/>
    <w:rsid w:val="672F3F24"/>
    <w:rsid w:val="673E055F"/>
    <w:rsid w:val="67551CE3"/>
    <w:rsid w:val="67672ABA"/>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EE06D6"/>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26B0"/>
    <w:rsid w:val="6C226FCB"/>
    <w:rsid w:val="6C2D6B19"/>
    <w:rsid w:val="6C31226F"/>
    <w:rsid w:val="6C312D47"/>
    <w:rsid w:val="6C340BCC"/>
    <w:rsid w:val="6C390C24"/>
    <w:rsid w:val="6C552F0B"/>
    <w:rsid w:val="6C8C2DF7"/>
    <w:rsid w:val="6C8C4C6F"/>
    <w:rsid w:val="6C8C67B7"/>
    <w:rsid w:val="6C9D744C"/>
    <w:rsid w:val="6CFD6256"/>
    <w:rsid w:val="6CFE67A8"/>
    <w:rsid w:val="6D167928"/>
    <w:rsid w:val="6D1A2B1A"/>
    <w:rsid w:val="6D261515"/>
    <w:rsid w:val="6D26299B"/>
    <w:rsid w:val="6D4772EC"/>
    <w:rsid w:val="6D6D4FC1"/>
    <w:rsid w:val="6D8007DE"/>
    <w:rsid w:val="6D9078AF"/>
    <w:rsid w:val="6DAA3FEF"/>
    <w:rsid w:val="6DC0172B"/>
    <w:rsid w:val="6DCB690C"/>
    <w:rsid w:val="6DCEC140"/>
    <w:rsid w:val="6DD41A5B"/>
    <w:rsid w:val="6DF43C2E"/>
    <w:rsid w:val="6DF4670C"/>
    <w:rsid w:val="6DF51CA3"/>
    <w:rsid w:val="6DF9CEB2"/>
    <w:rsid w:val="6DFB42A4"/>
    <w:rsid w:val="6E05604C"/>
    <w:rsid w:val="6E2F184C"/>
    <w:rsid w:val="6E731D44"/>
    <w:rsid w:val="6E8335BD"/>
    <w:rsid w:val="6E8E12EF"/>
    <w:rsid w:val="6E9045AA"/>
    <w:rsid w:val="6E972936"/>
    <w:rsid w:val="6EB74327"/>
    <w:rsid w:val="6EC91D52"/>
    <w:rsid w:val="6ED34821"/>
    <w:rsid w:val="6ED446C5"/>
    <w:rsid w:val="6EDA7DC0"/>
    <w:rsid w:val="6EDD6C63"/>
    <w:rsid w:val="6EFA6CD6"/>
    <w:rsid w:val="6F0F7527"/>
    <w:rsid w:val="6F184A18"/>
    <w:rsid w:val="6F2A7D94"/>
    <w:rsid w:val="6F50422C"/>
    <w:rsid w:val="6F802313"/>
    <w:rsid w:val="6F8331F1"/>
    <w:rsid w:val="6F8BC50F"/>
    <w:rsid w:val="6FAE1A09"/>
    <w:rsid w:val="6FBF7E05"/>
    <w:rsid w:val="6FCDC3D8"/>
    <w:rsid w:val="6FD75BF8"/>
    <w:rsid w:val="6FD97A1B"/>
    <w:rsid w:val="6FEF3B3E"/>
    <w:rsid w:val="6FFDCD5E"/>
    <w:rsid w:val="6FFF01F4"/>
    <w:rsid w:val="6FFF693A"/>
    <w:rsid w:val="703C638E"/>
    <w:rsid w:val="704015D6"/>
    <w:rsid w:val="704318A8"/>
    <w:rsid w:val="707723D0"/>
    <w:rsid w:val="70D867D7"/>
    <w:rsid w:val="70DB77AC"/>
    <w:rsid w:val="70E6430E"/>
    <w:rsid w:val="70F5661B"/>
    <w:rsid w:val="70FF0D7D"/>
    <w:rsid w:val="712004A7"/>
    <w:rsid w:val="7123737D"/>
    <w:rsid w:val="71360107"/>
    <w:rsid w:val="713B688E"/>
    <w:rsid w:val="713F034E"/>
    <w:rsid w:val="716167CC"/>
    <w:rsid w:val="7183561A"/>
    <w:rsid w:val="719926D7"/>
    <w:rsid w:val="71BE6408"/>
    <w:rsid w:val="71D43752"/>
    <w:rsid w:val="71D7083C"/>
    <w:rsid w:val="71DF0B1D"/>
    <w:rsid w:val="71F1796A"/>
    <w:rsid w:val="720846CC"/>
    <w:rsid w:val="72154626"/>
    <w:rsid w:val="721F290F"/>
    <w:rsid w:val="72202699"/>
    <w:rsid w:val="72262B5D"/>
    <w:rsid w:val="72283FF7"/>
    <w:rsid w:val="722E7212"/>
    <w:rsid w:val="723A0474"/>
    <w:rsid w:val="723F6D35"/>
    <w:rsid w:val="724563D0"/>
    <w:rsid w:val="725923E4"/>
    <w:rsid w:val="72864BF7"/>
    <w:rsid w:val="729023FC"/>
    <w:rsid w:val="729B6005"/>
    <w:rsid w:val="733470C6"/>
    <w:rsid w:val="7351236B"/>
    <w:rsid w:val="73533CC2"/>
    <w:rsid w:val="736D2DF9"/>
    <w:rsid w:val="737F1CB4"/>
    <w:rsid w:val="73C0646E"/>
    <w:rsid w:val="73D62258"/>
    <w:rsid w:val="742222F5"/>
    <w:rsid w:val="742348D0"/>
    <w:rsid w:val="74476126"/>
    <w:rsid w:val="74624977"/>
    <w:rsid w:val="74706664"/>
    <w:rsid w:val="7475702A"/>
    <w:rsid w:val="747F3682"/>
    <w:rsid w:val="748F6260"/>
    <w:rsid w:val="749C4185"/>
    <w:rsid w:val="74A73931"/>
    <w:rsid w:val="74B26FCC"/>
    <w:rsid w:val="74BE006A"/>
    <w:rsid w:val="74DA51BD"/>
    <w:rsid w:val="75067759"/>
    <w:rsid w:val="752E6DCD"/>
    <w:rsid w:val="7551380D"/>
    <w:rsid w:val="75600BE5"/>
    <w:rsid w:val="7564475C"/>
    <w:rsid w:val="756D162F"/>
    <w:rsid w:val="75834A5C"/>
    <w:rsid w:val="7583797F"/>
    <w:rsid w:val="75D20F1D"/>
    <w:rsid w:val="75DA2C18"/>
    <w:rsid w:val="75F34D16"/>
    <w:rsid w:val="75F54412"/>
    <w:rsid w:val="75FF1B9F"/>
    <w:rsid w:val="761969BC"/>
    <w:rsid w:val="761D08E0"/>
    <w:rsid w:val="76400B70"/>
    <w:rsid w:val="764B1099"/>
    <w:rsid w:val="765D347C"/>
    <w:rsid w:val="76826699"/>
    <w:rsid w:val="7688753D"/>
    <w:rsid w:val="76B70782"/>
    <w:rsid w:val="76C87133"/>
    <w:rsid w:val="76CD08D5"/>
    <w:rsid w:val="76DB4B92"/>
    <w:rsid w:val="76E6E16E"/>
    <w:rsid w:val="76FF4961"/>
    <w:rsid w:val="77052AA4"/>
    <w:rsid w:val="77136511"/>
    <w:rsid w:val="77340A39"/>
    <w:rsid w:val="77351FD0"/>
    <w:rsid w:val="77472422"/>
    <w:rsid w:val="777F31F2"/>
    <w:rsid w:val="779571D0"/>
    <w:rsid w:val="77BC4C63"/>
    <w:rsid w:val="77C24C2D"/>
    <w:rsid w:val="77D1700D"/>
    <w:rsid w:val="77E4568D"/>
    <w:rsid w:val="77EC04CC"/>
    <w:rsid w:val="77EDB3D6"/>
    <w:rsid w:val="77EFA893"/>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9F4335"/>
    <w:rsid w:val="79A97383"/>
    <w:rsid w:val="79D89FCD"/>
    <w:rsid w:val="79E27E8B"/>
    <w:rsid w:val="79F850CE"/>
    <w:rsid w:val="79FD443C"/>
    <w:rsid w:val="7A1D1975"/>
    <w:rsid w:val="7A3902E6"/>
    <w:rsid w:val="7A3E5150"/>
    <w:rsid w:val="7A4670D6"/>
    <w:rsid w:val="7A534B63"/>
    <w:rsid w:val="7A5FB011"/>
    <w:rsid w:val="7A615382"/>
    <w:rsid w:val="7A653600"/>
    <w:rsid w:val="7A67303B"/>
    <w:rsid w:val="7AAB1D04"/>
    <w:rsid w:val="7ABA4368"/>
    <w:rsid w:val="7ABC1217"/>
    <w:rsid w:val="7AD05746"/>
    <w:rsid w:val="7AE07309"/>
    <w:rsid w:val="7AFB1CFF"/>
    <w:rsid w:val="7AFDEDBA"/>
    <w:rsid w:val="7B226FCC"/>
    <w:rsid w:val="7B257FFD"/>
    <w:rsid w:val="7B343476"/>
    <w:rsid w:val="7B37404C"/>
    <w:rsid w:val="7B5A2978"/>
    <w:rsid w:val="7B5A7E4C"/>
    <w:rsid w:val="7B667AF9"/>
    <w:rsid w:val="7B727542"/>
    <w:rsid w:val="7B7468F8"/>
    <w:rsid w:val="7BAD0FAD"/>
    <w:rsid w:val="7BB53FBE"/>
    <w:rsid w:val="7BE64CF7"/>
    <w:rsid w:val="7BEE0103"/>
    <w:rsid w:val="7C0A0FE4"/>
    <w:rsid w:val="7C254906"/>
    <w:rsid w:val="7C5022FF"/>
    <w:rsid w:val="7C590818"/>
    <w:rsid w:val="7C5A34B2"/>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8F07CD"/>
    <w:rsid w:val="7DAD6DD7"/>
    <w:rsid w:val="7DB57A34"/>
    <w:rsid w:val="7DDB10A1"/>
    <w:rsid w:val="7DE60973"/>
    <w:rsid w:val="7DEF0916"/>
    <w:rsid w:val="7DFBE469"/>
    <w:rsid w:val="7E1E5218"/>
    <w:rsid w:val="7E7514D4"/>
    <w:rsid w:val="7E9A4E1F"/>
    <w:rsid w:val="7EA7723A"/>
    <w:rsid w:val="7EB659FE"/>
    <w:rsid w:val="7EBC6AFC"/>
    <w:rsid w:val="7ED456CF"/>
    <w:rsid w:val="7EDF7003"/>
    <w:rsid w:val="7EEF143E"/>
    <w:rsid w:val="7EF56FBB"/>
    <w:rsid w:val="7EF63851"/>
    <w:rsid w:val="7EFC38CE"/>
    <w:rsid w:val="7EFD24F3"/>
    <w:rsid w:val="7F015C50"/>
    <w:rsid w:val="7F067E4D"/>
    <w:rsid w:val="7F0768EB"/>
    <w:rsid w:val="7F143BEC"/>
    <w:rsid w:val="7F19715A"/>
    <w:rsid w:val="7F530228"/>
    <w:rsid w:val="7F5856D4"/>
    <w:rsid w:val="7F5F2B94"/>
    <w:rsid w:val="7F6137FA"/>
    <w:rsid w:val="7F715AF2"/>
    <w:rsid w:val="7F793597"/>
    <w:rsid w:val="7F886E69"/>
    <w:rsid w:val="7FB98CAE"/>
    <w:rsid w:val="7FCF2D12"/>
    <w:rsid w:val="7FFA1DC8"/>
    <w:rsid w:val="7FFC601E"/>
    <w:rsid w:val="7FFD4220"/>
    <w:rsid w:val="7FFF2825"/>
    <w:rsid w:val="8B3F9714"/>
    <w:rsid w:val="8FFFB204"/>
    <w:rsid w:val="93BB2F3D"/>
    <w:rsid w:val="9AFF05EF"/>
    <w:rsid w:val="9F5EEE15"/>
    <w:rsid w:val="9F9F3EDD"/>
    <w:rsid w:val="9FAB38C7"/>
    <w:rsid w:val="9FF9AE6E"/>
    <w:rsid w:val="A7771890"/>
    <w:rsid w:val="AFDBC43A"/>
    <w:rsid w:val="B5CE7034"/>
    <w:rsid w:val="BB7FA927"/>
    <w:rsid w:val="BCFBB17D"/>
    <w:rsid w:val="BFCF2A52"/>
    <w:rsid w:val="C6EFA515"/>
    <w:rsid w:val="CFF3F5EA"/>
    <w:rsid w:val="CFFE1E95"/>
    <w:rsid w:val="D643BA1D"/>
    <w:rsid w:val="D79E8AD0"/>
    <w:rsid w:val="D7FFAB87"/>
    <w:rsid w:val="D9F10258"/>
    <w:rsid w:val="DC3EBDA8"/>
    <w:rsid w:val="DCFB65A0"/>
    <w:rsid w:val="DEF762B6"/>
    <w:rsid w:val="DF6FCCB9"/>
    <w:rsid w:val="E1CF54D1"/>
    <w:rsid w:val="E7F7035D"/>
    <w:rsid w:val="ED6DF4FB"/>
    <w:rsid w:val="F2FF5C5E"/>
    <w:rsid w:val="F5FFD31F"/>
    <w:rsid w:val="F7CD2865"/>
    <w:rsid w:val="F7D7D93B"/>
    <w:rsid w:val="FBAF9756"/>
    <w:rsid w:val="FBB34033"/>
    <w:rsid w:val="FBDBDDFC"/>
    <w:rsid w:val="FDD7084D"/>
    <w:rsid w:val="FEB73032"/>
    <w:rsid w:val="FEFE8AD1"/>
    <w:rsid w:val="FF3B95A2"/>
    <w:rsid w:val="FF9FBC1F"/>
    <w:rsid w:val="FFBF4F13"/>
    <w:rsid w:val="FFDF2959"/>
    <w:rsid w:val="FFEF426E"/>
    <w:rsid w:val="FFEFD9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202"/>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link w:val="273"/>
    <w:qFormat/>
    <w:uiPriority w:val="0"/>
    <w:pPr>
      <w:spacing w:line="480" w:lineRule="exact"/>
      <w:ind w:firstLine="480" w:firstLineChars="200"/>
    </w:pPr>
    <w:rPr>
      <w:rFonts w:ascii="宋体" w:hAnsi="宋体"/>
      <w:sz w:val="24"/>
    </w:rPr>
  </w:style>
  <w:style w:type="paragraph" w:styleId="18">
    <w:name w:val="caption"/>
    <w:basedOn w:val="1"/>
    <w:next w:val="1"/>
    <w:link w:val="23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1"/>
    <w:qFormat/>
    <w:uiPriority w:val="0"/>
    <w:pPr>
      <w:shd w:val="clear" w:color="auto" w:fill="000080"/>
    </w:pPr>
  </w:style>
  <w:style w:type="paragraph" w:styleId="21">
    <w:name w:val="annotation text"/>
    <w:basedOn w:val="1"/>
    <w:link w:val="352"/>
    <w:qFormat/>
    <w:uiPriority w:val="99"/>
    <w:pPr>
      <w:jc w:val="left"/>
    </w:pPr>
  </w:style>
  <w:style w:type="paragraph" w:styleId="22">
    <w:name w:val="Salutation"/>
    <w:basedOn w:val="1"/>
    <w:next w:val="1"/>
    <w:link w:val="306"/>
    <w:qFormat/>
    <w:uiPriority w:val="0"/>
    <w:rPr>
      <w:rFonts w:ascii="仿宋_GB2312" w:eastAsia="仿宋_GB2312"/>
      <w:sz w:val="28"/>
      <w:szCs w:val="20"/>
    </w:rPr>
  </w:style>
  <w:style w:type="paragraph" w:styleId="23">
    <w:name w:val="Body Text 3"/>
    <w:basedOn w:val="1"/>
    <w:link w:val="33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9"/>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90"/>
    <w:qFormat/>
    <w:uiPriority w:val="0"/>
    <w:pPr>
      <w:ind w:left="100" w:leftChars="2500"/>
    </w:pPr>
    <w:rPr>
      <w:rFonts w:ascii="宋体"/>
      <w:sz w:val="24"/>
      <w:szCs w:val="21"/>
      <w:lang w:val="zh-CN"/>
    </w:rPr>
  </w:style>
  <w:style w:type="paragraph" w:styleId="39">
    <w:name w:val="Body Text Indent 2"/>
    <w:basedOn w:val="1"/>
    <w:link w:val="316"/>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197"/>
    <w:qFormat/>
    <w:uiPriority w:val="0"/>
    <w:rPr>
      <w:sz w:val="18"/>
      <w:szCs w:val="18"/>
    </w:rPr>
  </w:style>
  <w:style w:type="paragraph" w:styleId="42">
    <w:name w:val="footer"/>
    <w:basedOn w:val="1"/>
    <w:link w:val="391"/>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40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318"/>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10"/>
    <w:qFormat/>
    <w:uiPriority w:val="0"/>
    <w:pPr>
      <w:spacing w:after="120" w:line="480" w:lineRule="auto"/>
    </w:pPr>
  </w:style>
  <w:style w:type="paragraph" w:styleId="59">
    <w:name w:val="HTML Preformatted"/>
    <w:basedOn w:val="1"/>
    <w:link w:val="3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4"/>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05"/>
    <w:qFormat/>
    <w:uiPriority w:val="0"/>
    <w:rPr>
      <w:b/>
      <w:bCs/>
    </w:rPr>
  </w:style>
  <w:style w:type="paragraph" w:styleId="63">
    <w:name w:val="Body Text First Indent 2"/>
    <w:basedOn w:val="17"/>
    <w:next w:val="26"/>
    <w:link w:val="13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4">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5">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6">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8">
    <w:name w:val="[Normal]"/>
    <w:qFormat/>
    <w:uiPriority w:val="0"/>
    <w:rPr>
      <w:rFonts w:ascii="宋体" w:hAnsi="宋体" w:eastAsia="宋体" w:cs="Times New Roman"/>
      <w:sz w:val="24"/>
      <w:lang w:val="zh-CN" w:eastAsia="zh-CN" w:bidi="ar-SA"/>
    </w:rPr>
  </w:style>
  <w:style w:type="paragraph" w:styleId="89">
    <w:name w:val="List Paragraph"/>
    <w:basedOn w:val="1"/>
    <w:qFormat/>
    <w:uiPriority w:val="34"/>
    <w:pPr>
      <w:spacing w:line="360" w:lineRule="auto"/>
      <w:ind w:firstLine="200" w:firstLineChars="200"/>
    </w:pPr>
    <w:rPr>
      <w:rFonts w:eastAsia="楷体_GB2312" w:cs="Lucida Sans"/>
      <w:sz w:val="24"/>
    </w:rPr>
  </w:style>
  <w:style w:type="paragraph" w:customStyle="1" w:styleId="90">
    <w:name w:val="正文文本首行缩进 21"/>
    <w:basedOn w:val="17"/>
    <w:qFormat/>
    <w:uiPriority w:val="99"/>
    <w:pPr>
      <w:spacing w:line="200" w:lineRule="atLeast"/>
      <w:ind w:firstLine="420"/>
    </w:pPr>
    <w:rPr>
      <w:rFonts w:hAnsi="Courier New"/>
      <w:spacing w:val="-4"/>
      <w:sz w:val="18"/>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2"/>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qFormat/>
    <w:uiPriority w:val="9"/>
    <w:rPr>
      <w:b/>
      <w:bCs/>
      <w:kern w:val="2"/>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1"/>
    <w:qFormat/>
    <w:uiPriority w:val="0"/>
    <w:rPr>
      <w:rFonts w:ascii="Arial" w:hAnsi="Arial" w:eastAsia="黑体" w:cs="Arial"/>
      <w:snapToGrid w:val="0"/>
      <w:kern w:val="0"/>
      <w:szCs w:val="21"/>
    </w:rPr>
  </w:style>
  <w:style w:type="character" w:customStyle="1" w:styleId="134">
    <w:name w:val="纯文本 Char"/>
    <w:link w:val="35"/>
    <w:qFormat/>
    <w:uiPriority w:val="99"/>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Char"/>
    <w:link w:val="50"/>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7"/>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99"/>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2"/>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38"/>
    <w:qFormat/>
    <w:uiPriority w:val="0"/>
    <w:rPr>
      <w:rFonts w:ascii="宋体"/>
      <w:kern w:val="2"/>
      <w:sz w:val="24"/>
      <w:szCs w:val="21"/>
      <w:lang w:val="zh-CN"/>
    </w:rPr>
  </w:style>
  <w:style w:type="character" w:customStyle="1" w:styleId="191">
    <w:name w:val="标题 9 Char"/>
    <w:link w:val="10"/>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Char"/>
    <w:link w:val="41"/>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16"/>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Char1"/>
    <w:link w:val="20"/>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Char"/>
    <w:link w:val="32"/>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5"/>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18"/>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1"/>
    <w:qFormat/>
    <w:uiPriority w:val="0"/>
    <w:rPr>
      <w:rFonts w:ascii="仿宋_GB2312" w:eastAsia="仿宋_GB2312" w:cs="仿宋_GB2312"/>
      <w:color w:val="000000"/>
      <w:sz w:val="24"/>
      <w:szCs w:val="24"/>
      <w:lang w:val="en-US" w:eastAsia="zh-CN" w:bidi="ar-SA"/>
    </w:rPr>
  </w:style>
  <w:style w:type="paragraph" w:customStyle="1" w:styleId="24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5">
    <w:name w:val="style91"/>
    <w:qFormat/>
    <w:uiPriority w:val="0"/>
    <w:rPr>
      <w:color w:val="333333"/>
    </w:rPr>
  </w:style>
  <w:style w:type="character" w:customStyle="1" w:styleId="246">
    <w:name w:val="列出段落 Char2"/>
    <w:qFormat/>
    <w:uiPriority w:val="34"/>
    <w:rPr>
      <w:rFonts w:ascii="Calibri" w:hAnsi="Calibri"/>
      <w:kern w:val="2"/>
      <w:sz w:val="28"/>
    </w:rPr>
  </w:style>
  <w:style w:type="character" w:customStyle="1" w:styleId="247">
    <w:name w:val="mdeck"/>
    <w:qFormat/>
    <w:uiPriority w:val="0"/>
    <w:rPr>
      <w:rFonts w:ascii="仿宋_GB2312" w:eastAsia="微软雅黑"/>
      <w:b/>
      <w:kern w:val="2"/>
      <w:sz w:val="32"/>
      <w:szCs w:val="32"/>
      <w:lang w:val="en-US" w:eastAsia="zh-CN" w:bidi="ar-SA"/>
    </w:rPr>
  </w:style>
  <w:style w:type="character" w:customStyle="1" w:styleId="248">
    <w:name w:val="unnamed11"/>
    <w:qFormat/>
    <w:uiPriority w:val="0"/>
    <w:rPr>
      <w:sz w:val="20"/>
      <w:szCs w:val="20"/>
    </w:rPr>
  </w:style>
  <w:style w:type="character" w:customStyle="1" w:styleId="249">
    <w:name w:val="正文文本 Char2"/>
    <w:semiHidden/>
    <w:qFormat/>
    <w:uiPriority w:val="99"/>
    <w:rPr>
      <w:rFonts w:ascii="Times New Roman" w:hAnsi="Times New Roman" w:eastAsia="宋体" w:cs="Times New Roman"/>
      <w:snapToGrid w:val="0"/>
      <w:kern w:val="0"/>
      <w:szCs w:val="24"/>
    </w:rPr>
  </w:style>
  <w:style w:type="character" w:customStyle="1" w:styleId="250">
    <w:name w:val="标书正文格式 Char"/>
    <w:qFormat/>
    <w:uiPriority w:val="0"/>
    <w:rPr>
      <w:rFonts w:eastAsia="楷体_GB2312"/>
      <w:kern w:val="2"/>
      <w:sz w:val="24"/>
      <w:szCs w:val="24"/>
      <w:lang w:bidi="ar-SA"/>
    </w:rPr>
  </w:style>
  <w:style w:type="character" w:customStyle="1" w:styleId="251">
    <w:name w:val="Char Char11"/>
    <w:qFormat/>
    <w:locked/>
    <w:uiPriority w:val="0"/>
    <w:rPr>
      <w:rFonts w:ascii="宋体" w:hAnsi="宋体" w:eastAsia="宋体"/>
      <w:b/>
      <w:kern w:val="2"/>
      <w:sz w:val="24"/>
      <w:szCs w:val="24"/>
      <w:lang w:val="en-US" w:eastAsia="zh-CN" w:bidi="ar-SA"/>
    </w:rPr>
  </w:style>
  <w:style w:type="character" w:customStyle="1" w:styleId="252">
    <w:name w:val="ca-131"/>
    <w:qFormat/>
    <w:uiPriority w:val="0"/>
    <w:rPr>
      <w:rFonts w:hint="eastAsia" w:ascii="仿宋_GB2312" w:eastAsia="仿宋_GB2312"/>
      <w:b/>
      <w:bCs/>
      <w:color w:val="000000"/>
      <w:spacing w:val="-20"/>
      <w:sz w:val="24"/>
      <w:szCs w:val="24"/>
    </w:rPr>
  </w:style>
  <w:style w:type="character" w:customStyle="1" w:styleId="253">
    <w:name w:val="tw4winMark"/>
    <w:qFormat/>
    <w:uiPriority w:val="0"/>
    <w:rPr>
      <w:rFonts w:ascii="Courier New" w:hAnsi="Courier New" w:cs="Courier New"/>
      <w:vanish/>
      <w:color w:val="800080"/>
      <w:sz w:val="24"/>
      <w:szCs w:val="24"/>
      <w:vertAlign w:val="subscript"/>
    </w:rPr>
  </w:style>
  <w:style w:type="character" w:customStyle="1" w:styleId="254">
    <w:name w:val="正文样式 Char"/>
    <w:link w:val="255"/>
    <w:qFormat/>
    <w:uiPriority w:val="0"/>
    <w:rPr>
      <w:rFonts w:ascii="Calibri" w:hAnsi="Calibri"/>
      <w:sz w:val="24"/>
      <w:szCs w:val="24"/>
    </w:rPr>
  </w:style>
  <w:style w:type="paragraph" w:customStyle="1" w:styleId="255">
    <w:name w:val="正文样式"/>
    <w:basedOn w:val="1"/>
    <w:link w:val="254"/>
    <w:qFormat/>
    <w:uiPriority w:val="0"/>
    <w:pPr>
      <w:adjustRightInd/>
      <w:spacing w:line="360" w:lineRule="auto"/>
      <w:ind w:firstLine="480" w:firstLineChars="200"/>
    </w:pPr>
    <w:rPr>
      <w:kern w:val="0"/>
      <w:sz w:val="24"/>
    </w:rPr>
  </w:style>
  <w:style w:type="character" w:customStyle="1" w:styleId="256">
    <w:name w:val="表正文 Char3"/>
    <w:qFormat/>
    <w:uiPriority w:val="0"/>
    <w:rPr>
      <w:rFonts w:eastAsia="宋体"/>
    </w:rPr>
  </w:style>
  <w:style w:type="character" w:customStyle="1" w:styleId="257">
    <w:name w:val="H5 Char"/>
    <w:qFormat/>
    <w:uiPriority w:val="0"/>
    <w:rPr>
      <w:b/>
      <w:bCs/>
      <w:kern w:val="2"/>
      <w:sz w:val="28"/>
      <w:szCs w:val="28"/>
    </w:rPr>
  </w:style>
  <w:style w:type="character" w:customStyle="1" w:styleId="258">
    <w:name w:val="Char Char3"/>
    <w:qFormat/>
    <w:uiPriority w:val="0"/>
    <w:rPr>
      <w:rFonts w:eastAsia="宋体"/>
      <w:kern w:val="2"/>
      <w:sz w:val="21"/>
      <w:szCs w:val="24"/>
      <w:lang w:val="en-US" w:eastAsia="zh-CN" w:bidi="ar-SA"/>
    </w:rPr>
  </w:style>
  <w:style w:type="character" w:customStyle="1" w:styleId="259">
    <w:name w:val="正文 编号 Char"/>
    <w:qFormat/>
    <w:uiPriority w:val="0"/>
    <w:rPr>
      <w:rFonts w:ascii="仿宋_GB2312" w:hAnsi="仿宋_GB2312" w:eastAsia="仿宋_GB2312"/>
      <w:kern w:val="2"/>
      <w:sz w:val="24"/>
      <w:lang w:bidi="ar-SA"/>
    </w:rPr>
  </w:style>
  <w:style w:type="character" w:customStyle="1" w:styleId="260">
    <w:name w:val="question-title2"/>
    <w:qFormat/>
    <w:uiPriority w:val="6"/>
    <w:rPr>
      <w:rFonts w:ascii="Arial" w:hAnsi="Arial" w:eastAsia="黑体" w:cs="Arial"/>
      <w:snapToGrid w:val="0"/>
      <w:kern w:val="0"/>
      <w:szCs w:val="21"/>
    </w:rPr>
  </w:style>
  <w:style w:type="character" w:customStyle="1" w:styleId="261">
    <w:name w:val="gf正文1 Char Char"/>
    <w:link w:val="262"/>
    <w:qFormat/>
    <w:uiPriority w:val="0"/>
    <w:rPr>
      <w:rFonts w:ascii="宋体" w:hAnsi="宋体" w:cs="宋体"/>
      <w:kern w:val="2"/>
      <w:sz w:val="24"/>
      <w:szCs w:val="24"/>
    </w:rPr>
  </w:style>
  <w:style w:type="paragraph" w:customStyle="1" w:styleId="262">
    <w:name w:val="gf正文1"/>
    <w:basedOn w:val="1"/>
    <w:link w:val="26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qFormat/>
    <w:uiPriority w:val="6"/>
    <w:rPr>
      <w:rFonts w:ascii="宋体" w:hAnsi="宋体"/>
      <w:kern w:val="1"/>
      <w:sz w:val="21"/>
    </w:rPr>
  </w:style>
  <w:style w:type="character" w:customStyle="1" w:styleId="264">
    <w:name w:val="正文缩进 Char3"/>
    <w:qFormat/>
    <w:uiPriority w:val="0"/>
    <w:rPr>
      <w:rFonts w:ascii="宋体" w:eastAsia="宋体"/>
      <w:snapToGrid w:val="0"/>
      <w:color w:val="000000"/>
      <w:kern w:val="28"/>
      <w:sz w:val="28"/>
      <w:lang w:val="en-US" w:eastAsia="zh-CN" w:bidi="ar-SA"/>
    </w:rPr>
  </w:style>
  <w:style w:type="character" w:customStyle="1" w:styleId="265">
    <w:name w:val="列出段落 Char1"/>
    <w:link w:val="266"/>
    <w:qFormat/>
    <w:uiPriority w:val="0"/>
    <w:rPr>
      <w:rFonts w:ascii="Calibri" w:hAnsi="Calibri"/>
      <w:sz w:val="24"/>
      <w:lang w:eastAsia="en-US"/>
    </w:rPr>
  </w:style>
  <w:style w:type="paragraph" w:customStyle="1" w:styleId="266">
    <w:name w:val="列表1"/>
    <w:basedOn w:val="1"/>
    <w:next w:val="89"/>
    <w:link w:val="26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Char3"/>
    <w:link w:val="17"/>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semiHidden/>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
    <w:qFormat/>
    <w:locked/>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Char"/>
    <w:link w:val="3"/>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Char2"/>
    <w:link w:val="61"/>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Char"/>
    <w:link w:val="6"/>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Char"/>
    <w:link w:val="22"/>
    <w:qFormat/>
    <w:uiPriority w:val="0"/>
    <w:rPr>
      <w:rFonts w:ascii="仿宋_GB2312" w:eastAsia="仿宋_GB2312"/>
      <w:kern w:val="2"/>
      <w:sz w:val="28"/>
    </w:rPr>
  </w:style>
  <w:style w:type="character" w:customStyle="1" w:styleId="307">
    <w:name w:val="文本正文 Char Char"/>
    <w:qFormat/>
    <w:locked/>
    <w:uiPriority w:val="0"/>
    <w:rPr>
      <w:sz w:val="24"/>
      <w:lang w:bidi="ar-SA"/>
    </w:rPr>
  </w:style>
  <w:style w:type="character" w:customStyle="1" w:styleId="308">
    <w:name w:val="正文缩进 字符"/>
    <w:qFormat/>
    <w:uiPriority w:val="0"/>
    <w:rPr>
      <w:rFonts w:ascii="宋体" w:eastAsia="宋体"/>
      <w:snapToGrid w:val="0"/>
      <w:color w:val="000000"/>
      <w:kern w:val="28"/>
      <w:sz w:val="28"/>
      <w:lang w:val="en-US" w:eastAsia="zh-CN" w:bidi="ar-SA"/>
    </w:rPr>
  </w:style>
  <w:style w:type="character" w:customStyle="1" w:styleId="309">
    <w:name w:val="HTML 预设格式 Char"/>
    <w:link w:val="59"/>
    <w:qFormat/>
    <w:uiPriority w:val="0"/>
    <w:rPr>
      <w:rFonts w:ascii="黑体" w:hAnsi="Courier New" w:eastAsia="黑体"/>
    </w:rPr>
  </w:style>
  <w:style w:type="character" w:customStyle="1" w:styleId="310">
    <w:name w:val="正文文本 2 Char1"/>
    <w:link w:val="58"/>
    <w:qFormat/>
    <w:uiPriority w:val="0"/>
    <w:rPr>
      <w:kern w:val="2"/>
      <w:sz w:val="21"/>
      <w:szCs w:val="24"/>
    </w:rPr>
  </w:style>
  <w:style w:type="character" w:customStyle="1" w:styleId="311">
    <w:name w:val="样式 样式 标题 4h4H4Fab-4T5Ref Heading 1rh1Heading sqlsect 1.2.3.... +... Char"/>
    <w:link w:val="312"/>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qFormat/>
    <w:uiPriority w:val="0"/>
    <w:pPr>
      <w:tabs>
        <w:tab w:val="left" w:pos="2356"/>
      </w:tabs>
    </w:pPr>
  </w:style>
  <w:style w:type="paragraph" w:customStyle="1" w:styleId="313">
    <w:name w:val="样式 标题 4h4H4Fab-4T5Ref Heading 1rh1Heading sqlsect 1.2.3...."/>
    <w:basedOn w:val="5"/>
    <w:link w:val="4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标题 7 Char"/>
    <w:link w:val="8"/>
    <w:qFormat/>
    <w:uiPriority w:val="0"/>
    <w:rPr>
      <w:b/>
      <w:bCs/>
      <w:kern w:val="2"/>
      <w:sz w:val="24"/>
      <w:szCs w:val="24"/>
    </w:rPr>
  </w:style>
  <w:style w:type="character" w:customStyle="1" w:styleId="316">
    <w:name w:val="正文文本缩进 2 Char"/>
    <w:link w:val="39"/>
    <w:qFormat/>
    <w:uiPriority w:val="0"/>
    <w:rPr>
      <w:rFonts w:ascii="宋体"/>
      <w:sz w:val="28"/>
    </w:rPr>
  </w:style>
  <w:style w:type="character" w:customStyle="1" w:styleId="317">
    <w:name w:val="Char Char5"/>
    <w:qFormat/>
    <w:uiPriority w:val="0"/>
    <w:rPr>
      <w:rFonts w:ascii="宋体" w:hAnsi="Courier New" w:eastAsia="宋体"/>
      <w:kern w:val="2"/>
      <w:sz w:val="21"/>
      <w:lang w:val="en-US" w:eastAsia="zh-CN"/>
    </w:rPr>
  </w:style>
  <w:style w:type="character" w:customStyle="1" w:styleId="318">
    <w:name w:val="脚注文本 Char"/>
    <w:link w:val="53"/>
    <w:qFormat/>
    <w:uiPriority w:val="0"/>
    <w:rPr>
      <w:color w:val="0000FF"/>
      <w:sz w:val="21"/>
    </w:rPr>
  </w:style>
  <w:style w:type="character" w:customStyle="1" w:styleId="319">
    <w:name w:val="称呼 Char1"/>
    <w:qFormat/>
    <w:uiPriority w:val="0"/>
    <w:rPr>
      <w:rFonts w:ascii="Times New Roman" w:hAnsi="Times New Roman" w:eastAsia="宋体" w:cs="Times New Roman"/>
      <w:szCs w:val="24"/>
    </w:rPr>
  </w:style>
  <w:style w:type="character" w:customStyle="1" w:styleId="320">
    <w:name w:val="正文1 Char"/>
    <w:qFormat/>
    <w:uiPriority w:val="0"/>
    <w:rPr>
      <w:rFonts w:ascii="宋体" w:eastAsia="宋体"/>
      <w:snapToGrid w:val="0"/>
      <w:color w:val="000000"/>
      <w:kern w:val="28"/>
      <w:sz w:val="28"/>
      <w:lang w:val="en-US" w:eastAsia="zh-CN" w:bidi="ar-SA"/>
    </w:rPr>
  </w:style>
  <w:style w:type="character" w:customStyle="1" w:styleId="321">
    <w:name w:val="正文缩进 Char1"/>
    <w:qFormat/>
    <w:uiPriority w:val="0"/>
    <w:rPr>
      <w:rFonts w:ascii="宋体" w:eastAsia="宋体"/>
      <w:snapToGrid w:val="0"/>
      <w:color w:val="000000"/>
      <w:kern w:val="28"/>
      <w:sz w:val="28"/>
      <w:lang w:val="en-US" w:eastAsia="zh-CN" w:bidi="ar-SA"/>
    </w:rPr>
  </w:style>
  <w:style w:type="character" w:customStyle="1" w:styleId="322">
    <w:name w:val="font21"/>
    <w:qFormat/>
    <w:uiPriority w:val="0"/>
    <w:rPr>
      <w:rFonts w:hint="eastAsia" w:ascii="宋体" w:hAnsi="宋体" w:eastAsia="宋体"/>
      <w:kern w:val="2"/>
      <w:sz w:val="28"/>
      <w:szCs w:val="28"/>
      <w:lang w:val="en-US" w:eastAsia="zh-CN" w:bidi="ar-SA"/>
    </w:rPr>
  </w:style>
  <w:style w:type="character" w:customStyle="1" w:styleId="323">
    <w:name w:val="Char Char26"/>
    <w:qFormat/>
    <w:uiPriority w:val="6"/>
    <w:rPr>
      <w:kern w:val="1"/>
      <w:sz w:val="21"/>
      <w:szCs w:val="24"/>
    </w:rPr>
  </w:style>
  <w:style w:type="character" w:customStyle="1" w:styleId="324">
    <w:name w:val="Item List Char"/>
    <w:link w:val="325"/>
    <w:qFormat/>
    <w:uiPriority w:val="0"/>
    <w:rPr>
      <w:rFonts w:ascii="Arial"/>
      <w:bCs/>
      <w:sz w:val="21"/>
      <w:szCs w:val="21"/>
      <w:lang w:val="en-US" w:eastAsia="zh-CN" w:bidi="ar-SA"/>
    </w:rPr>
  </w:style>
  <w:style w:type="paragraph" w:customStyle="1" w:styleId="325">
    <w:name w:val="Item List"/>
    <w:link w:val="3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0"/>
    <w:rPr>
      <w:rFonts w:ascii="Times New Roman" w:hAnsi="Times New Roman" w:eastAsia="宋体" w:cs="Times New Roman"/>
      <w:sz w:val="18"/>
      <w:szCs w:val="18"/>
    </w:rPr>
  </w:style>
  <w:style w:type="character" w:customStyle="1" w:styleId="327">
    <w:name w:val="纯文本 Char1"/>
    <w:link w:val="328"/>
    <w:qFormat/>
    <w:uiPriority w:val="0"/>
    <w:rPr>
      <w:rFonts w:ascii="宋体" w:hAnsi="Courier New"/>
    </w:rPr>
  </w:style>
  <w:style w:type="paragraph" w:customStyle="1" w:styleId="328">
    <w:name w:val="纯文本1"/>
    <w:basedOn w:val="1"/>
    <w:link w:val="327"/>
    <w:qFormat/>
    <w:uiPriority w:val="0"/>
    <w:pPr>
      <w:adjustRightInd/>
    </w:pPr>
    <w:rPr>
      <w:rFonts w:ascii="宋体" w:hAnsi="Courier New"/>
      <w:kern w:val="0"/>
      <w:sz w:val="20"/>
      <w:szCs w:val="20"/>
    </w:rPr>
  </w:style>
  <w:style w:type="character" w:customStyle="1" w:styleId="329">
    <w:name w:val="正文首行缩进 Char"/>
    <w:link w:val="26"/>
    <w:qFormat/>
    <w:uiPriority w:val="0"/>
    <w:rPr>
      <w:rFonts w:ascii="宋体"/>
      <w:kern w:val="2"/>
      <w:sz w:val="24"/>
      <w:lang w:val="zh-CN"/>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标题 4 Char2"/>
    <w:link w:val="5"/>
    <w:qFormat/>
    <w:uiPriority w:val="9"/>
    <w:rPr>
      <w:rFonts w:ascii="Arial" w:hAnsi="Arial" w:eastAsia="黑体"/>
      <w:b/>
      <w:bCs/>
      <w:kern w:val="2"/>
      <w:sz w:val="28"/>
      <w:szCs w:val="28"/>
      <w:lang w:val="zh-CN"/>
    </w:rPr>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正文文本 3 Char"/>
    <w:link w:val="23"/>
    <w:qFormat/>
    <w:uiPriority w:val="0"/>
    <w:rPr>
      <w:kern w:val="2"/>
      <w:sz w:val="21"/>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批注文字 Char1"/>
    <w:link w:val="21"/>
    <w:qFormat/>
    <w:uiPriority w:val="0"/>
    <w:rPr>
      <w:kern w:val="2"/>
      <w:sz w:val="21"/>
      <w:szCs w:val="24"/>
    </w:rPr>
  </w:style>
  <w:style w:type="character" w:customStyle="1" w:styleId="353">
    <w:name w:val="签名 Char"/>
    <w:link w:val="45"/>
    <w:qFormat/>
    <w:uiPriority w:val="0"/>
    <w:rPr>
      <w:rFonts w:eastAsia="仿宋_GB2312"/>
      <w:sz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Char"/>
    <w:link w:val="9"/>
    <w:qFormat/>
    <w:uiPriority w:val="0"/>
    <w:rPr>
      <w:rFonts w:ascii="Arial" w:hAnsi="Arial" w:eastAsia="黑体"/>
      <w:kern w:val="2"/>
      <w:sz w:val="24"/>
      <w:szCs w:val="24"/>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正文文本缩进 3 Char"/>
    <w:link w:val="55"/>
    <w:qFormat/>
    <w:uiPriority w:val="0"/>
    <w:rPr>
      <w:kern w:val="2"/>
      <w:sz w:val="24"/>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页脚 Char2"/>
    <w:link w:val="42"/>
    <w:qFormat/>
    <w:locked/>
    <w:uiPriority w:val="99"/>
    <w:rPr>
      <w:kern w:val="2"/>
      <w:sz w:val="18"/>
      <w:szCs w:val="18"/>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页眉 Char2"/>
    <w:link w:val="44"/>
    <w:qFormat/>
    <w:uiPriority w:val="99"/>
    <w:rPr>
      <w:kern w:val="2"/>
      <w:sz w:val="18"/>
      <w:szCs w:val="18"/>
    </w:rPr>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样式 标题 4h4H4Fab-4T5Ref Heading 1rh1Heading sqlsect 1.2.3.... Char"/>
    <w:link w:val="313"/>
    <w:qFormat/>
    <w:uiPriority w:val="0"/>
    <w:rPr>
      <w:rFonts w:ascii="微软雅黑" w:hAnsi="微软雅黑" w:eastAsia="微软雅黑"/>
      <w:b/>
      <w:bCs/>
      <w:kern w:val="2"/>
      <w:sz w:val="24"/>
      <w:szCs w:val="28"/>
    </w:rPr>
  </w:style>
  <w:style w:type="character" w:customStyle="1" w:styleId="422">
    <w:name w:val="h Char Char"/>
    <w:qFormat/>
    <w:uiPriority w:val="0"/>
    <w:rPr>
      <w:rFonts w:eastAsia="宋体"/>
      <w:kern w:val="2"/>
      <w:sz w:val="18"/>
      <w:lang w:val="en-US" w:eastAsia="zh-CN" w:bidi="ar-SA"/>
    </w:rPr>
  </w:style>
  <w:style w:type="character" w:customStyle="1" w:styleId="423">
    <w:name w:val="仿宋正文 Char"/>
    <w:link w:val="424"/>
    <w:qFormat/>
    <w:uiPriority w:val="0"/>
    <w:rPr>
      <w:rFonts w:ascii="仿宋_GB2312" w:eastAsia="仿宋_GB2312"/>
      <w:kern w:val="2"/>
      <w:sz w:val="24"/>
      <w:lang w:val="en-US" w:eastAsia="zh-CN" w:bidi="ar-SA"/>
    </w:rPr>
  </w:style>
  <w:style w:type="paragraph" w:customStyle="1" w:styleId="424">
    <w:name w:val="仿宋正文"/>
    <w:basedOn w:val="1"/>
    <w:link w:val="423"/>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0"/>
    <w:rPr>
      <w:rFonts w:ascii="宋体" w:eastAsia="宋体"/>
      <w:kern w:val="2"/>
      <w:sz w:val="24"/>
      <w:lang w:val="zh-CN" w:bidi="ar-SA"/>
    </w:rPr>
  </w:style>
  <w:style w:type="character" w:customStyle="1" w:styleId="426">
    <w:name w:val="样式 宋体"/>
    <w:qFormat/>
    <w:uiPriority w:val="0"/>
    <w:rPr>
      <w:rFonts w:ascii="宋体" w:hAnsi="宋体"/>
      <w:sz w:val="24"/>
    </w:rPr>
  </w:style>
  <w:style w:type="character" w:customStyle="1" w:styleId="427">
    <w:name w:val="tw4winJump"/>
    <w:qFormat/>
    <w:uiPriority w:val="0"/>
    <w:rPr>
      <w:rFonts w:ascii="Courier New" w:hAnsi="Courier New" w:cs="Courier New"/>
      <w:color w:val="008080"/>
      <w:lang w:val="en-US" w:eastAsia="zh-CN"/>
    </w:rPr>
  </w:style>
  <w:style w:type="character" w:customStyle="1" w:styleId="428">
    <w:name w:val="标题 1 字符"/>
    <w:qFormat/>
    <w:uiPriority w:val="9"/>
    <w:rPr>
      <w:rFonts w:ascii="Arial" w:hAnsi="Arial" w:eastAsia="黑体" w:cs="Arial"/>
      <w:b/>
      <w:bCs/>
      <w:snapToGrid w:val="0"/>
      <w:kern w:val="44"/>
      <w:sz w:val="44"/>
      <w:szCs w:val="44"/>
    </w:rPr>
  </w:style>
  <w:style w:type="character" w:customStyle="1" w:styleId="429">
    <w:name w:val="style36"/>
    <w:basedOn w:val="71"/>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16"/>
    <w:link w:val="43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9">
    <w:name w:val="gray6"/>
    <w:basedOn w:val="71"/>
    <w:qFormat/>
    <w:uiPriority w:val="0"/>
    <w:rPr>
      <w:rFonts w:ascii="Arial" w:hAnsi="Arial" w:eastAsia="黑体" w:cs="Arial"/>
      <w:snapToGrid w:val="0"/>
      <w:kern w:val="0"/>
      <w:szCs w:val="21"/>
    </w:rPr>
  </w:style>
  <w:style w:type="character" w:customStyle="1" w:styleId="440">
    <w:name w:val="hui"/>
    <w:basedOn w:val="71"/>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1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5"/>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outlineLvl w:val="5"/>
    </w:pPr>
  </w:style>
  <w:style w:type="paragraph" w:customStyle="1" w:styleId="482">
    <w:name w:val="5级标题"/>
    <w:basedOn w:val="48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3">
    <w:name w:val="4级标题"/>
    <w:basedOn w:val="8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1">
    <w:name w:val="No Spacing"/>
    <w:basedOn w:val="1"/>
    <w:link w:val="939"/>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2"/>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4"/>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6"/>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4"/>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_Style 3"/>
    <w:basedOn w:val="1"/>
    <w:next w:val="1"/>
    <w:qFormat/>
    <w:uiPriority w:val="0"/>
    <w:pPr>
      <w:adjustRightInd/>
      <w:ind w:firstLine="420" w:firstLineChars="200"/>
    </w:pPr>
    <w:rPr>
      <w:rFonts w:eastAsia="仿宋_GB2312"/>
      <w:sz w:val="28"/>
    </w:rPr>
  </w:style>
  <w:style w:type="paragraph" w:customStyle="1" w:styleId="5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qFormat/>
    <w:uiPriority w:val="0"/>
    <w:pPr>
      <w:adjustRightInd/>
      <w:ind w:firstLine="200" w:firstLineChars="200"/>
      <w:jc w:val="right"/>
    </w:pPr>
  </w:style>
  <w:style w:type="paragraph" w:customStyle="1" w:styleId="533">
    <w:name w:val="Char Char11 Char Char Char Char Char Char Char Char Char"/>
    <w:basedOn w:val="1"/>
    <w:qFormat/>
    <w:uiPriority w:val="0"/>
    <w:pPr>
      <w:spacing w:line="360" w:lineRule="auto"/>
    </w:pPr>
    <w:rPr>
      <w:szCs w:val="20"/>
    </w:rPr>
  </w:style>
  <w:style w:type="paragraph" w:customStyle="1" w:styleId="534">
    <w:name w:val="正文1.25"/>
    <w:basedOn w:val="1"/>
    <w:qFormat/>
    <w:uiPriority w:val="0"/>
    <w:pPr>
      <w:adjustRightInd/>
      <w:spacing w:line="300" w:lineRule="auto"/>
      <w:ind w:firstLine="480" w:firstLineChars="200"/>
    </w:pPr>
    <w:rPr>
      <w:sz w:val="24"/>
      <w:szCs w:val="20"/>
    </w:rPr>
  </w:style>
  <w:style w:type="paragraph" w:customStyle="1" w:styleId="5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qFormat/>
    <w:uiPriority w:val="6"/>
    <w:rPr>
      <w:rFonts w:ascii="仿宋_GB2312" w:eastAsia="仿宋_GB2312"/>
      <w:b/>
      <w:sz w:val="32"/>
      <w:szCs w:val="20"/>
    </w:rPr>
  </w:style>
  <w:style w:type="paragraph" w:customStyle="1" w:styleId="539">
    <w:name w:val="列出段落2"/>
    <w:basedOn w:val="1"/>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qFormat/>
    <w:uiPriority w:val="0"/>
    <w:rPr>
      <w:rFonts w:eastAsia="仿宋_GB2312"/>
      <w:sz w:val="28"/>
      <w:szCs w:val="20"/>
    </w:rPr>
  </w:style>
  <w:style w:type="paragraph" w:customStyle="1" w:styleId="5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5"/>
    <w:qFormat/>
    <w:uiPriority w:val="0"/>
    <w:pPr>
      <w:widowControl/>
      <w:jc w:val="left"/>
    </w:pPr>
    <w:rPr>
      <w:rFonts w:cs="宋体"/>
      <w:sz w:val="24"/>
      <w:szCs w:val="20"/>
    </w:rPr>
  </w:style>
  <w:style w:type="paragraph" w:customStyle="1" w:styleId="543">
    <w:name w:val="彩色列表 - 强调文字颜色 11"/>
    <w:basedOn w:val="1"/>
    <w:qFormat/>
    <w:uiPriority w:val="0"/>
    <w:pPr>
      <w:adjustRightInd/>
      <w:ind w:firstLine="420" w:firstLineChars="200"/>
    </w:pPr>
    <w:rPr>
      <w:rFonts w:ascii="Calibri" w:hAnsi="Calibri"/>
      <w:szCs w:val="22"/>
    </w:rPr>
  </w:style>
  <w:style w:type="paragraph" w:customStyle="1" w:styleId="544">
    <w:name w:val="加粗正文"/>
    <w:basedOn w:val="1"/>
    <w:qFormat/>
    <w:uiPriority w:val="0"/>
    <w:pPr>
      <w:adjustRightInd/>
      <w:spacing w:beforeLines="50" w:afterLines="50" w:line="360" w:lineRule="auto"/>
      <w:ind w:firstLine="422" w:firstLineChars="200"/>
    </w:pPr>
    <w:rPr>
      <w:b/>
      <w:bCs/>
      <w:szCs w:val="21"/>
    </w:rPr>
  </w:style>
  <w:style w:type="paragraph" w:customStyle="1" w:styleId="5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6"/>
    <w:rPr>
      <w:szCs w:val="20"/>
    </w:rPr>
  </w:style>
  <w:style w:type="paragraph" w:customStyle="1" w:styleId="5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81"/>
    <w:next w:val="81"/>
    <w:qFormat/>
    <w:uiPriority w:val="0"/>
    <w:pPr>
      <w:spacing w:after="68"/>
    </w:pPr>
    <w:rPr>
      <w:rFonts w:ascii="FHLHE E+ Futura Bk" w:eastAsia="FHLHE E+ Futura Bk" w:cs="Times New Roman"/>
      <w:color w:val="auto"/>
    </w:rPr>
  </w:style>
  <w:style w:type="paragraph" w:customStyle="1" w:styleId="5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81"/>
    <w:next w:val="81"/>
    <w:qFormat/>
    <w:uiPriority w:val="0"/>
    <w:rPr>
      <w:rFonts w:ascii="宋体" w:eastAsia="宋体" w:cs="Times New Roman"/>
      <w:color w:val="auto"/>
    </w:rPr>
  </w:style>
  <w:style w:type="paragraph" w:customStyle="1" w:styleId="55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qFormat/>
    <w:uiPriority w:val="0"/>
    <w:rPr>
      <w:rFonts w:ascii="仿宋_GB2312" w:eastAsia="仿宋_GB2312"/>
      <w:b/>
      <w:sz w:val="32"/>
      <w:szCs w:val="32"/>
    </w:rPr>
  </w:style>
  <w:style w:type="paragraph" w:customStyle="1" w:styleId="5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qFormat/>
    <w:uiPriority w:val="0"/>
    <w:pPr>
      <w:spacing w:line="360" w:lineRule="auto"/>
    </w:pPr>
    <w:rPr>
      <w:szCs w:val="20"/>
    </w:rPr>
  </w:style>
  <w:style w:type="paragraph" w:customStyle="1" w:styleId="563">
    <w:name w:val="Char"/>
    <w:basedOn w:val="1"/>
    <w:qFormat/>
    <w:uiPriority w:val="0"/>
    <w:rPr>
      <w:rFonts w:ascii="仿宋_GB2312" w:eastAsia="仿宋_GB2312"/>
      <w:b/>
      <w:sz w:val="32"/>
      <w:szCs w:val="32"/>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0"/>
    <w:rPr>
      <w:szCs w:val="20"/>
    </w:rPr>
  </w:style>
  <w:style w:type="paragraph" w:customStyle="1" w:styleId="567">
    <w:name w:val="正文标准"/>
    <w:basedOn w:val="1"/>
    <w:qFormat/>
    <w:uiPriority w:val="0"/>
    <w:pPr>
      <w:adjustRightInd/>
      <w:spacing w:line="360" w:lineRule="auto"/>
      <w:ind w:firstLine="200" w:firstLineChars="200"/>
    </w:pPr>
    <w:rPr>
      <w:rFonts w:ascii="宋体" w:hAnsi="Calibri"/>
      <w:sz w:val="24"/>
    </w:rPr>
  </w:style>
  <w:style w:type="paragraph" w:customStyle="1" w:styleId="5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2">
    <w:name w:val="_正文段落"/>
    <w:basedOn w:val="1"/>
    <w:qFormat/>
    <w:uiPriority w:val="0"/>
    <w:pPr>
      <w:adjustRightInd/>
      <w:ind w:firstLine="560"/>
    </w:pPr>
    <w:rPr>
      <w:rFonts w:ascii="仿宋_GB2312" w:hAnsi="仿宋" w:eastAsia="仿宋_GB2312"/>
      <w:kern w:val="0"/>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1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qFormat/>
    <w:uiPriority w:val="0"/>
    <w:rPr>
      <w:rFonts w:ascii="Tahoma" w:hAnsi="Tahoma"/>
      <w:sz w:val="24"/>
      <w:szCs w:val="20"/>
    </w:rPr>
  </w:style>
  <w:style w:type="paragraph" w:customStyle="1" w:styleId="592">
    <w:name w:val="标题五"/>
    <w:basedOn w:val="1"/>
    <w:qFormat/>
    <w:uiPriority w:val="0"/>
    <w:pPr>
      <w:adjustRightInd/>
      <w:spacing w:beforeLines="50" w:line="360" w:lineRule="auto"/>
    </w:pPr>
    <w:rPr>
      <w:b/>
      <w:sz w:val="24"/>
    </w:rPr>
  </w:style>
  <w:style w:type="paragraph" w:customStyle="1" w:styleId="593">
    <w:name w:val="Char Char1101"/>
    <w:basedOn w:val="1"/>
    <w:qFormat/>
    <w:uiPriority w:val="0"/>
    <w:pPr>
      <w:spacing w:line="360" w:lineRule="auto"/>
    </w:pPr>
    <w:rPr>
      <w:rFonts w:ascii="Tahoma" w:hAnsi="Tahoma"/>
      <w:sz w:val="24"/>
      <w:szCs w:val="20"/>
    </w:rPr>
  </w:style>
  <w:style w:type="paragraph" w:customStyle="1" w:styleId="594">
    <w:name w:val="Char Char Char Char Char Char Char Char1"/>
    <w:basedOn w:val="1"/>
    <w:qFormat/>
    <w:uiPriority w:val="0"/>
    <w:pPr>
      <w:tabs>
        <w:tab w:val="left" w:pos="360"/>
      </w:tabs>
    </w:pPr>
    <w:rPr>
      <w:sz w:val="24"/>
      <w:szCs w:val="20"/>
    </w:rPr>
  </w:style>
  <w:style w:type="paragraph" w:customStyle="1" w:styleId="595">
    <w:name w:val="Char Char Char 字元 字元"/>
    <w:basedOn w:val="1"/>
    <w:qFormat/>
    <w:uiPriority w:val="0"/>
    <w:pPr>
      <w:adjustRightInd/>
      <w:spacing w:line="360" w:lineRule="auto"/>
      <w:ind w:firstLine="200" w:firstLineChars="200"/>
    </w:pPr>
    <w:rPr>
      <w:szCs w:val="20"/>
    </w:rPr>
  </w:style>
  <w:style w:type="paragraph" w:customStyle="1" w:styleId="5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0"/>
    <w:rPr>
      <w:rFonts w:ascii="仿宋_GB2312" w:eastAsia="仿宋_GB2312"/>
      <w:b/>
      <w:sz w:val="32"/>
      <w:szCs w:val="32"/>
    </w:rPr>
  </w:style>
  <w:style w:type="paragraph" w:customStyle="1" w:styleId="5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0"/>
    <w:pPr>
      <w:adjustRightInd/>
    </w:pPr>
    <w:rPr>
      <w:sz w:val="18"/>
      <w:szCs w:val="20"/>
    </w:rPr>
  </w:style>
  <w:style w:type="paragraph" w:customStyle="1" w:styleId="6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1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58"/>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2"/>
    <w:next w:val="1"/>
    <w:qFormat/>
    <w:uiPriority w:val="0"/>
    <w:pPr>
      <w:tabs>
        <w:tab w:val="left" w:pos="578"/>
        <w:tab w:val="left" w:pos="900"/>
        <w:tab w:val="left" w:pos="1440"/>
      </w:tabs>
      <w:ind w:left="1440" w:hanging="360"/>
    </w:pPr>
    <w:rPr>
      <w:rFonts w:ascii="仿宋" w:eastAsia="仿宋" w:cs="宋体"/>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3">
    <w:name w:val="MM Topic 1"/>
    <w:basedOn w:val="3"/>
    <w:qFormat/>
    <w:uiPriority w:val="0"/>
    <w:pPr>
      <w:tabs>
        <w:tab w:val="left" w:pos="840"/>
      </w:tabs>
      <w:adjustRightInd/>
      <w:ind w:left="840" w:hanging="420"/>
    </w:pPr>
  </w:style>
  <w:style w:type="paragraph" w:customStyle="1" w:styleId="63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qFormat/>
    <w:uiPriority w:val="0"/>
    <w:pPr>
      <w:snapToGrid w:val="0"/>
      <w:ind w:firstLine="42" w:firstLineChars="21"/>
    </w:pPr>
    <w:rPr>
      <w:rFonts w:ascii="宋体" w:hAnsi="宋体"/>
      <w:kern w:val="0"/>
      <w:sz w:val="20"/>
      <w:szCs w:val="20"/>
    </w:rPr>
  </w:style>
  <w:style w:type="paragraph" w:customStyle="1" w:styleId="63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0"/>
    <w:pPr>
      <w:adjustRightInd/>
      <w:spacing w:line="300" w:lineRule="auto"/>
      <w:jc w:val="center"/>
    </w:pPr>
  </w:style>
  <w:style w:type="paragraph" w:customStyle="1" w:styleId="642">
    <w:name w:val="_Style 6"/>
    <w:basedOn w:val="1"/>
    <w:qFormat/>
    <w:uiPriority w:val="34"/>
    <w:pPr>
      <w:adjustRightInd/>
      <w:ind w:firstLine="420" w:firstLineChars="200"/>
    </w:pPr>
    <w:rPr>
      <w:rFonts w:eastAsia="仿宋_GB2312"/>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0"/>
    <w:rPr>
      <w:rFonts w:ascii="仿宋_GB2312" w:eastAsia="仿宋_GB2312"/>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0"/>
    <w:pPr>
      <w:adjustRightInd/>
      <w:ind w:firstLine="200" w:firstLineChars="200"/>
    </w:pPr>
    <w:rPr>
      <w:rFonts w:ascii="Tahoma" w:hAnsi="Tahoma"/>
      <w:sz w:val="24"/>
      <w:szCs w:val="20"/>
    </w:rPr>
  </w:style>
  <w:style w:type="paragraph" w:customStyle="1" w:styleId="655">
    <w:name w:val="a1"/>
    <w:basedOn w:val="1"/>
    <w:qFormat/>
    <w:uiPriority w:val="0"/>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0"/>
    <w:pPr>
      <w:spacing w:afterLines="50"/>
      <w:jc w:val="left"/>
      <w:outlineLvl w:val="3"/>
    </w:pPr>
    <w:rPr>
      <w:sz w:val="24"/>
      <w:szCs w:val="24"/>
    </w:rPr>
  </w:style>
  <w:style w:type="paragraph" w:customStyle="1" w:styleId="6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0"/>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0"/>
    <w:pPr>
      <w:tabs>
        <w:tab w:val="left" w:pos="1260"/>
        <w:tab w:val="left" w:pos="1680"/>
        <w:tab w:val="left" w:pos="2100"/>
      </w:tabs>
      <w:ind w:left="0"/>
      <w:outlineLvl w:val="3"/>
    </w:pPr>
  </w:style>
  <w:style w:type="paragraph" w:customStyle="1" w:styleId="665">
    <w:name w:val="一级条标题"/>
    <w:basedOn w:val="666"/>
    <w:next w:val="648"/>
    <w:qFormat/>
    <w:uiPriority w:val="0"/>
    <w:pPr>
      <w:tabs>
        <w:tab w:val="left" w:pos="1260"/>
        <w:tab w:val="left" w:pos="1680"/>
      </w:tabs>
      <w:spacing w:beforeLines="0" w:afterLines="0"/>
      <w:ind w:left="1680"/>
      <w:outlineLvl w:val="2"/>
    </w:pPr>
  </w:style>
  <w:style w:type="paragraph" w:customStyle="1" w:styleId="666">
    <w:name w:val="章标题"/>
    <w:next w:val="6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3">
    <w:name w:val="正文 项目2"/>
    <w:basedOn w:val="674"/>
    <w:qFormat/>
    <w:uiPriority w:val="0"/>
    <w:pPr>
      <w:tabs>
        <w:tab w:val="left" w:pos="840"/>
      </w:tabs>
      <w:spacing w:after="0"/>
      <w:ind w:left="900"/>
    </w:pPr>
  </w:style>
  <w:style w:type="paragraph" w:customStyle="1" w:styleId="6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6"/>
    <w:pPr>
      <w:widowControl/>
      <w:adjustRightInd/>
      <w:ind w:left="720" w:hanging="720"/>
    </w:pPr>
    <w:rPr>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style>
  <w:style w:type="paragraph" w:customStyle="1" w:styleId="6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9"/>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1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8"/>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2"/>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17"/>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0"/>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6"/>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1"/>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0"/>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491"/>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89"/>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2"/>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qFormat/>
    <w:uiPriority w:val="0"/>
    <w:rPr>
      <w:rFonts w:hint="eastAsia" w:ascii="Calibri" w:hAnsi="Calibri" w:eastAsia="宋体" w:cs="Times New Roman"/>
      <w:lang w:val="en-US" w:eastAsia="zh-CN" w:bidi="ar-SA"/>
    </w:rPr>
  </w:style>
  <w:style w:type="paragraph" w:customStyle="1" w:styleId="976">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7">
    <w:name w:val="不明显参考1"/>
    <w:basedOn w:val="71"/>
    <w:qFormat/>
    <w:uiPriority w:val="31"/>
    <w:rPr>
      <w:smallCaps/>
    </w:rPr>
  </w:style>
  <w:style w:type="paragraph" w:customStyle="1" w:styleId="978">
    <w:name w:val="正文文本1"/>
    <w:basedOn w:val="1"/>
    <w:qFormat/>
    <w:uiPriority w:val="0"/>
    <w:pPr>
      <w:spacing w:line="200" w:lineRule="exact"/>
      <w:ind w:firstLine="301"/>
    </w:pPr>
    <w:rPr>
      <w:rFonts w:ascii="??" w:hAnsi="??" w:eastAsia="??" w:cs="宋体"/>
      <w:spacing w:val="-4"/>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46</Pages>
  <Words>12154</Words>
  <Characters>12916</Characters>
  <Lines>177</Lines>
  <Paragraphs>49</Paragraphs>
  <TotalTime>23</TotalTime>
  <ScaleCrop>false</ScaleCrop>
  <LinksUpToDate>false</LinksUpToDate>
  <CharactersWithSpaces>13007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2023-11-13T07:59:00Z</dcterms:created>
  <dc:creator>玥</dc:creator>
  <cp:lastModifiedBy>WPS_1575867827</cp:lastModifiedBy>
  <cp:lastPrinted>2021-12-30T19:06:00Z</cp:lastPrinted>
  <dcterms:modified xsi:type="dcterms:W3CDTF">2025-03-18T05:44:18Z</dcterms:modified>
  <dc:title>杭州市市民卡扩大发卡工程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6A0201D20E81366B0D74D767E00EC24D_43</vt:lpwstr>
  </property>
  <property fmtid="{D5CDD505-2E9C-101B-9397-08002B2CF9AE}" pid="5" name="commondata">
    <vt:lpwstr>eyJoZGlkIjoiMzdkYTNjODAzOWEyZTBjZWI2OWE0Y2U2MTNhOGNiNmUifQ==</vt:lpwstr>
  </property>
  <property fmtid="{D5CDD505-2E9C-101B-9397-08002B2CF9AE}" pid="6" name="KSOTemplateDocerSaveRecord">
    <vt:lpwstr>eyJoZGlkIjoiMjFmODY1OGQ1YWQ5MDhhYWNjMzJhYTk5YmNkMDBmMDgiLCJ1c2VySWQiOiI3MzE3NTYzMjcifQ==</vt:lpwstr>
  </property>
</Properties>
</file>