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1B938">
      <w:pPr>
        <w:spacing w:line="360" w:lineRule="auto"/>
        <w:jc w:val="center"/>
        <w:rPr>
          <w:rFonts w:hint="eastAsia" w:ascii="宋体" w:hAnsi="宋体" w:eastAsia="宋体" w:cs="宋体"/>
          <w:b/>
          <w:color w:val="auto"/>
          <w:sz w:val="24"/>
          <w:highlight w:val="none"/>
        </w:rPr>
      </w:pPr>
    </w:p>
    <w:p w14:paraId="70BF65CE">
      <w:pPr>
        <w:pStyle w:val="969"/>
        <w:spacing w:line="760" w:lineRule="exact"/>
        <w:rPr>
          <w:rFonts w:hint="eastAsia" w:ascii="宋体" w:hAnsi="宋体" w:eastAsia="宋体" w:cs="宋体"/>
          <w:color w:val="auto"/>
          <w:sz w:val="72"/>
          <w:szCs w:val="72"/>
          <w:highlight w:val="none"/>
        </w:rPr>
      </w:pPr>
    </w:p>
    <w:p w14:paraId="52CB3C43">
      <w:pPr>
        <w:pStyle w:val="24"/>
        <w:jc w:val="center"/>
        <w:rPr>
          <w:rFonts w:hint="eastAsia" w:ascii="宋体" w:hAnsi="宋体" w:eastAsia="宋体" w:cs="宋体"/>
          <w:b/>
          <w:bCs/>
          <w:color w:val="auto"/>
          <w:sz w:val="52"/>
          <w:szCs w:val="52"/>
          <w:highlight w:val="none"/>
          <w:lang w:val="en-US" w:eastAsia="zh-CN"/>
        </w:rPr>
      </w:pPr>
      <w:r>
        <w:rPr>
          <w:rFonts w:hint="eastAsia" w:ascii="宋体" w:hAnsi="宋体" w:eastAsia="宋体" w:cs="宋体"/>
          <w:b/>
          <w:bCs/>
          <w:color w:val="auto"/>
          <w:sz w:val="48"/>
          <w:szCs w:val="48"/>
          <w:highlight w:val="none"/>
          <w:lang w:val="en-US" w:eastAsia="zh-CN"/>
        </w:rPr>
        <w:t>宁围街道宁牧未来社区百姓健身房运营招商项目</w:t>
      </w:r>
    </w:p>
    <w:p w14:paraId="7ACE8651">
      <w:pPr>
        <w:pStyle w:val="83"/>
        <w:rPr>
          <w:rFonts w:hint="eastAsia" w:ascii="宋体" w:hAnsi="宋体" w:eastAsia="宋体" w:cs="宋体"/>
          <w:color w:val="auto"/>
          <w:highlight w:val="none"/>
          <w:lang w:eastAsia="zh-CN"/>
        </w:rPr>
      </w:pPr>
    </w:p>
    <w:p w14:paraId="611E1E8C">
      <w:pPr>
        <w:adjustRightInd/>
        <w:spacing w:line="360" w:lineRule="auto"/>
        <w:jc w:val="center"/>
        <w:rPr>
          <w:rFonts w:hint="eastAsia" w:ascii="宋体" w:hAnsi="宋体" w:eastAsia="宋体" w:cs="宋体"/>
          <w:b/>
          <w:bCs/>
          <w:color w:val="auto"/>
          <w:sz w:val="72"/>
          <w:szCs w:val="72"/>
          <w:highlight w:val="none"/>
        </w:rPr>
      </w:pPr>
    </w:p>
    <w:p w14:paraId="54BAB5CC">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公开竞争</w:t>
      </w:r>
    </w:p>
    <w:p w14:paraId="1B6F6E19">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32"/>
          <w:szCs w:val="32"/>
          <w:highlight w:val="none"/>
        </w:rPr>
        <w:t>（电子交易文件）</w:t>
      </w:r>
    </w:p>
    <w:p w14:paraId="50186B22">
      <w:pPr>
        <w:adjustRightInd/>
        <w:spacing w:line="360" w:lineRule="auto"/>
        <w:jc w:val="center"/>
        <w:rPr>
          <w:rFonts w:hint="eastAsia" w:ascii="宋体" w:hAnsi="宋体" w:eastAsia="宋体" w:cs="宋体"/>
          <w:b/>
          <w:color w:val="auto"/>
          <w:sz w:val="44"/>
          <w:szCs w:val="44"/>
          <w:highlight w:val="none"/>
        </w:rPr>
      </w:pPr>
    </w:p>
    <w:p w14:paraId="2050CAB1">
      <w:pPr>
        <w:snapToGrid w:val="0"/>
        <w:spacing w:line="360" w:lineRule="auto"/>
        <w:jc w:val="center"/>
        <w:rPr>
          <w:rFonts w:hint="default"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rPr>
        <w:t>交易编号：</w:t>
      </w:r>
      <w:r>
        <w:rPr>
          <w:rFonts w:hint="eastAsia" w:ascii="宋体" w:hAnsi="宋体" w:eastAsia="宋体" w:cs="宋体"/>
          <w:b/>
          <w:bCs/>
          <w:color w:val="auto"/>
          <w:sz w:val="30"/>
          <w:szCs w:val="30"/>
          <w:highlight w:val="none"/>
          <w:lang w:eastAsia="zh-CN"/>
        </w:rPr>
        <w:t>QTCG-NW2025</w:t>
      </w:r>
      <w:r>
        <w:rPr>
          <w:rFonts w:hint="eastAsia" w:ascii="宋体" w:hAnsi="宋体" w:cs="宋体"/>
          <w:b/>
          <w:bCs/>
          <w:color w:val="auto"/>
          <w:sz w:val="30"/>
          <w:szCs w:val="30"/>
          <w:highlight w:val="none"/>
          <w:lang w:val="en-US" w:eastAsia="zh-CN"/>
        </w:rPr>
        <w:t>0302</w:t>
      </w:r>
    </w:p>
    <w:p w14:paraId="344305AC">
      <w:pPr>
        <w:adjustRightInd/>
        <w:spacing w:line="360" w:lineRule="auto"/>
        <w:rPr>
          <w:rFonts w:hint="eastAsia" w:ascii="宋体" w:hAnsi="宋体" w:eastAsia="宋体" w:cs="宋体"/>
          <w:color w:val="auto"/>
          <w:sz w:val="28"/>
          <w:szCs w:val="20"/>
          <w:highlight w:val="none"/>
        </w:rPr>
      </w:pPr>
    </w:p>
    <w:p w14:paraId="27703646">
      <w:pPr>
        <w:spacing w:line="360" w:lineRule="auto"/>
        <w:jc w:val="center"/>
        <w:rPr>
          <w:rFonts w:hint="eastAsia" w:ascii="宋体" w:hAnsi="宋体" w:eastAsia="宋体" w:cs="宋体"/>
          <w:b/>
          <w:color w:val="auto"/>
          <w:sz w:val="44"/>
          <w:szCs w:val="44"/>
          <w:highlight w:val="none"/>
        </w:rPr>
      </w:pPr>
    </w:p>
    <w:p w14:paraId="6227577F">
      <w:pPr>
        <w:spacing w:line="360" w:lineRule="auto"/>
        <w:jc w:val="center"/>
        <w:rPr>
          <w:rFonts w:hint="eastAsia" w:ascii="宋体" w:hAnsi="宋体" w:eastAsia="宋体" w:cs="宋体"/>
          <w:b/>
          <w:color w:val="auto"/>
          <w:sz w:val="44"/>
          <w:szCs w:val="44"/>
          <w:highlight w:val="none"/>
        </w:rPr>
      </w:pPr>
    </w:p>
    <w:p w14:paraId="470B3B20">
      <w:pPr>
        <w:pStyle w:val="86"/>
        <w:rPr>
          <w:rFonts w:hint="eastAsia" w:ascii="宋体" w:hAnsi="宋体" w:eastAsia="宋体" w:cs="宋体"/>
          <w:color w:val="auto"/>
          <w:highlight w:val="none"/>
        </w:rPr>
      </w:pPr>
    </w:p>
    <w:p w14:paraId="03BD1DFF">
      <w:pPr>
        <w:pStyle w:val="86"/>
        <w:rPr>
          <w:rFonts w:hint="eastAsia" w:ascii="宋体" w:hAnsi="宋体" w:eastAsia="宋体" w:cs="宋体"/>
          <w:color w:val="auto"/>
          <w:highlight w:val="none"/>
        </w:rPr>
      </w:pPr>
    </w:p>
    <w:p w14:paraId="389F25E4">
      <w:pPr>
        <w:pStyle w:val="83"/>
        <w:ind w:firstLine="0"/>
        <w:rPr>
          <w:rFonts w:hint="eastAsia" w:ascii="宋体" w:hAnsi="宋体" w:eastAsia="宋体" w:cs="宋体"/>
          <w:color w:val="auto"/>
          <w:highlight w:val="none"/>
          <w:lang w:eastAsia="zh-CN"/>
        </w:rPr>
      </w:pPr>
    </w:p>
    <w:p w14:paraId="2F734BBE">
      <w:pPr>
        <w:spacing w:line="360" w:lineRule="auto"/>
        <w:ind w:firstLine="964" w:firstLineChars="300"/>
        <w:rPr>
          <w:rFonts w:hint="eastAsia" w:ascii="宋体" w:hAnsi="宋体" w:eastAsia="宋体" w:cs="宋体"/>
          <w:b/>
          <w:color w:val="auto"/>
          <w:sz w:val="32"/>
          <w:szCs w:val="30"/>
          <w:highlight w:val="none"/>
        </w:rPr>
      </w:pPr>
      <w:r>
        <w:rPr>
          <w:rFonts w:hint="eastAsia" w:ascii="宋体" w:hAnsi="宋体" w:eastAsia="宋体" w:cs="宋体"/>
          <w:b/>
          <w:color w:val="auto"/>
          <w:sz w:val="32"/>
          <w:szCs w:val="30"/>
          <w:highlight w:val="none"/>
        </w:rPr>
        <w:t>交易发起人：杭州萧山宁围宁牧股份经济联合社</w:t>
      </w:r>
    </w:p>
    <w:p w14:paraId="12D82ED2">
      <w:pPr>
        <w:spacing w:line="360" w:lineRule="auto"/>
        <w:ind w:firstLine="964" w:firstLineChars="300"/>
        <w:rPr>
          <w:rFonts w:hint="eastAsia" w:ascii="宋体" w:hAnsi="宋体" w:eastAsia="宋体" w:cs="宋体"/>
          <w:b/>
          <w:color w:val="auto"/>
          <w:sz w:val="32"/>
          <w:szCs w:val="32"/>
          <w:highlight w:val="none"/>
        </w:rPr>
      </w:pPr>
      <w:r>
        <w:rPr>
          <w:rFonts w:hint="eastAsia" w:ascii="宋体" w:hAnsi="宋体" w:eastAsia="宋体" w:cs="宋体"/>
          <w:b/>
          <w:color w:val="auto"/>
          <w:sz w:val="32"/>
          <w:szCs w:val="30"/>
          <w:highlight w:val="none"/>
        </w:rPr>
        <w:t>代理机构：杭州博望建设工程招标投标代理有限公司</w:t>
      </w:r>
    </w:p>
    <w:p w14:paraId="7EABD1D6">
      <w:pPr>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二〇二</w:t>
      </w:r>
      <w:r>
        <w:rPr>
          <w:rFonts w:hint="eastAsia" w:ascii="宋体" w:hAnsi="宋体" w:eastAsia="宋体" w:cs="宋体"/>
          <w:b/>
          <w:color w:val="auto"/>
          <w:sz w:val="32"/>
          <w:szCs w:val="32"/>
          <w:highlight w:val="none"/>
          <w:lang w:val="en-US" w:eastAsia="zh-CN"/>
        </w:rPr>
        <w:t>五</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三</w:t>
      </w:r>
      <w:r>
        <w:rPr>
          <w:rFonts w:hint="eastAsia" w:ascii="宋体" w:hAnsi="宋体" w:eastAsia="宋体" w:cs="宋体"/>
          <w:b/>
          <w:color w:val="auto"/>
          <w:sz w:val="32"/>
          <w:szCs w:val="32"/>
          <w:highlight w:val="none"/>
        </w:rPr>
        <w:t>月</w:t>
      </w:r>
      <w:r>
        <w:rPr>
          <w:rFonts w:hint="eastAsia" w:ascii="宋体" w:hAnsi="宋体" w:cs="宋体"/>
          <w:b/>
          <w:color w:val="auto"/>
          <w:sz w:val="32"/>
          <w:szCs w:val="32"/>
          <w:highlight w:val="none"/>
          <w:lang w:val="en-US" w:eastAsia="zh-CN"/>
        </w:rPr>
        <w:t>二十一</w:t>
      </w:r>
      <w:bookmarkStart w:id="386" w:name="_GoBack"/>
      <w:bookmarkEnd w:id="386"/>
      <w:r>
        <w:rPr>
          <w:rFonts w:hint="eastAsia" w:ascii="宋体" w:hAnsi="宋体" w:eastAsia="宋体" w:cs="宋体"/>
          <w:b/>
          <w:color w:val="auto"/>
          <w:sz w:val="32"/>
          <w:szCs w:val="32"/>
          <w:highlight w:val="none"/>
        </w:rPr>
        <w:t>日</w:t>
      </w:r>
    </w:p>
    <w:p w14:paraId="361F8F63">
      <w:pP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br w:type="page"/>
      </w:r>
    </w:p>
    <w:p w14:paraId="5B9CD94D">
      <w:pPr>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6C324253">
      <w:pPr>
        <w:spacing w:line="360" w:lineRule="auto"/>
        <w:rPr>
          <w:rFonts w:hint="eastAsia" w:ascii="宋体" w:hAnsi="宋体" w:eastAsia="宋体" w:cs="宋体"/>
          <w:color w:val="auto"/>
          <w:sz w:val="32"/>
          <w:szCs w:val="32"/>
          <w:highlight w:val="none"/>
        </w:rPr>
      </w:pPr>
    </w:p>
    <w:p w14:paraId="33610A61">
      <w:pPr>
        <w:spacing w:line="360" w:lineRule="auto"/>
        <w:rPr>
          <w:rFonts w:hint="eastAsia" w:ascii="宋体" w:hAnsi="宋体" w:eastAsia="宋体" w:cs="宋体"/>
          <w:color w:val="auto"/>
          <w:sz w:val="32"/>
          <w:szCs w:val="32"/>
          <w:highlight w:val="none"/>
        </w:rPr>
      </w:pPr>
    </w:p>
    <w:p w14:paraId="6EB36B94">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交易公告</w:t>
      </w:r>
    </w:p>
    <w:p w14:paraId="02332B97">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响应人须知</w:t>
      </w:r>
    </w:p>
    <w:p w14:paraId="2027A085">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交易需求</w:t>
      </w:r>
    </w:p>
    <w:p w14:paraId="6B59F28F">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交易办法</w:t>
      </w:r>
    </w:p>
    <w:p w14:paraId="49ED92D2">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4453D454">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320E8DC2">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14:paraId="2ADBE875">
      <w:pPr>
        <w:spacing w:line="360" w:lineRule="auto"/>
        <w:ind w:firstLine="549" w:firstLineChars="229"/>
        <w:rPr>
          <w:rFonts w:hint="eastAsia" w:ascii="宋体" w:hAnsi="宋体" w:eastAsia="宋体" w:cs="宋体"/>
          <w:color w:val="auto"/>
          <w:sz w:val="24"/>
          <w:highlight w:val="none"/>
        </w:rPr>
      </w:pPr>
    </w:p>
    <w:p w14:paraId="71C07B88">
      <w:pPr>
        <w:spacing w:line="360" w:lineRule="auto"/>
        <w:ind w:firstLine="549" w:firstLineChars="229"/>
        <w:rPr>
          <w:rFonts w:hint="eastAsia" w:ascii="宋体" w:hAnsi="宋体" w:eastAsia="宋体" w:cs="宋体"/>
          <w:color w:val="auto"/>
          <w:sz w:val="24"/>
          <w:highlight w:val="none"/>
        </w:rPr>
      </w:pPr>
    </w:p>
    <w:p w14:paraId="54E974B9">
      <w:pPr>
        <w:spacing w:line="360" w:lineRule="auto"/>
        <w:ind w:firstLine="549" w:firstLineChars="229"/>
        <w:rPr>
          <w:rFonts w:hint="eastAsia" w:ascii="宋体" w:hAnsi="宋体" w:eastAsia="宋体" w:cs="宋体"/>
          <w:color w:val="auto"/>
          <w:sz w:val="24"/>
          <w:highlight w:val="none"/>
        </w:rPr>
      </w:pPr>
    </w:p>
    <w:p w14:paraId="6D916979">
      <w:pPr>
        <w:spacing w:line="360" w:lineRule="auto"/>
        <w:ind w:firstLine="549" w:firstLineChars="229"/>
        <w:rPr>
          <w:rFonts w:hint="eastAsia" w:ascii="宋体" w:hAnsi="宋体" w:eastAsia="宋体" w:cs="宋体"/>
          <w:color w:val="auto"/>
          <w:sz w:val="24"/>
          <w:highlight w:val="none"/>
        </w:rPr>
      </w:pPr>
    </w:p>
    <w:p w14:paraId="06C9E7CE">
      <w:pPr>
        <w:spacing w:line="360" w:lineRule="auto"/>
        <w:ind w:firstLine="549" w:firstLineChars="229"/>
        <w:rPr>
          <w:rFonts w:hint="eastAsia" w:ascii="宋体" w:hAnsi="宋体" w:eastAsia="宋体" w:cs="宋体"/>
          <w:color w:val="auto"/>
          <w:sz w:val="24"/>
          <w:highlight w:val="none"/>
        </w:rPr>
      </w:pPr>
    </w:p>
    <w:p w14:paraId="453B29DF">
      <w:pPr>
        <w:spacing w:line="360" w:lineRule="auto"/>
        <w:ind w:firstLine="549" w:firstLineChars="229"/>
        <w:rPr>
          <w:rFonts w:hint="eastAsia" w:ascii="宋体" w:hAnsi="宋体" w:eastAsia="宋体" w:cs="宋体"/>
          <w:color w:val="auto"/>
          <w:sz w:val="24"/>
          <w:highlight w:val="none"/>
        </w:rPr>
      </w:pPr>
    </w:p>
    <w:p w14:paraId="45DD6070">
      <w:pPr>
        <w:spacing w:line="360" w:lineRule="auto"/>
        <w:ind w:firstLine="549" w:firstLineChars="229"/>
        <w:rPr>
          <w:rFonts w:hint="eastAsia" w:ascii="宋体" w:hAnsi="宋体" w:eastAsia="宋体" w:cs="宋体"/>
          <w:color w:val="auto"/>
          <w:sz w:val="24"/>
          <w:highlight w:val="none"/>
        </w:rPr>
      </w:pPr>
    </w:p>
    <w:p w14:paraId="0D332615">
      <w:pPr>
        <w:spacing w:line="360" w:lineRule="auto"/>
        <w:ind w:firstLine="549" w:firstLineChars="229"/>
        <w:rPr>
          <w:rFonts w:hint="eastAsia" w:ascii="宋体" w:hAnsi="宋体" w:eastAsia="宋体" w:cs="宋体"/>
          <w:color w:val="auto"/>
          <w:sz w:val="24"/>
          <w:highlight w:val="none"/>
        </w:rPr>
      </w:pPr>
    </w:p>
    <w:p w14:paraId="4381DB45">
      <w:pPr>
        <w:spacing w:line="360" w:lineRule="auto"/>
        <w:ind w:firstLine="549" w:firstLineChars="229"/>
        <w:rPr>
          <w:rFonts w:hint="eastAsia" w:ascii="宋体" w:hAnsi="宋体" w:eastAsia="宋体" w:cs="宋体"/>
          <w:color w:val="auto"/>
          <w:sz w:val="24"/>
          <w:highlight w:val="none"/>
        </w:rPr>
      </w:pPr>
    </w:p>
    <w:p w14:paraId="275C285D">
      <w:pPr>
        <w:spacing w:line="360" w:lineRule="auto"/>
        <w:ind w:firstLine="549" w:firstLineChars="229"/>
        <w:rPr>
          <w:rFonts w:hint="eastAsia" w:ascii="宋体" w:hAnsi="宋体" w:eastAsia="宋体" w:cs="宋体"/>
          <w:color w:val="auto"/>
          <w:sz w:val="24"/>
          <w:highlight w:val="none"/>
        </w:rPr>
      </w:pPr>
    </w:p>
    <w:p w14:paraId="350238A8">
      <w:pPr>
        <w:spacing w:line="360" w:lineRule="auto"/>
        <w:ind w:firstLine="549" w:firstLineChars="229"/>
        <w:rPr>
          <w:rFonts w:hint="eastAsia" w:ascii="宋体" w:hAnsi="宋体" w:eastAsia="宋体" w:cs="宋体"/>
          <w:color w:val="auto"/>
          <w:sz w:val="24"/>
          <w:highlight w:val="none"/>
        </w:rPr>
      </w:pPr>
    </w:p>
    <w:p w14:paraId="3825DD4E">
      <w:pPr>
        <w:spacing w:line="360" w:lineRule="auto"/>
        <w:ind w:firstLine="549" w:firstLineChars="229"/>
        <w:rPr>
          <w:rFonts w:hint="eastAsia" w:ascii="宋体" w:hAnsi="宋体" w:eastAsia="宋体" w:cs="宋体"/>
          <w:color w:val="auto"/>
          <w:sz w:val="24"/>
          <w:highlight w:val="none"/>
        </w:rPr>
      </w:pPr>
    </w:p>
    <w:p w14:paraId="75423117">
      <w:pPr>
        <w:spacing w:line="360" w:lineRule="auto"/>
        <w:rPr>
          <w:rFonts w:hint="eastAsia" w:ascii="宋体" w:hAnsi="宋体" w:eastAsia="宋体" w:cs="宋体"/>
          <w:color w:val="auto"/>
          <w:sz w:val="24"/>
          <w:highlight w:val="none"/>
        </w:rPr>
      </w:pPr>
    </w:p>
    <w:p w14:paraId="28F03675">
      <w:pPr>
        <w:adjustRightInd/>
        <w:spacing w:line="360" w:lineRule="auto"/>
        <w:jc w:val="center"/>
        <w:outlineLvl w:val="0"/>
        <w:rPr>
          <w:rFonts w:hint="eastAsia" w:ascii="宋体" w:hAnsi="宋体" w:eastAsia="宋体" w:cs="宋体"/>
          <w:b/>
          <w:color w:val="auto"/>
          <w:sz w:val="36"/>
          <w:szCs w:val="20"/>
          <w:highlight w:val="none"/>
        </w:rPr>
      </w:pPr>
      <w:bookmarkStart w:id="2" w:name="第一部分"/>
      <w:r>
        <w:rPr>
          <w:rFonts w:hint="eastAsia" w:ascii="宋体" w:hAnsi="宋体" w:eastAsia="宋体" w:cs="宋体"/>
          <w:b/>
          <w:color w:val="auto"/>
          <w:sz w:val="36"/>
          <w:szCs w:val="36"/>
          <w:highlight w:val="none"/>
        </w:rPr>
        <w:br w:type="page"/>
      </w:r>
      <w:bookmarkEnd w:id="1"/>
      <w:bookmarkEnd w:id="2"/>
      <w:bookmarkStart w:id="3" w:name="_Hlt74728647"/>
      <w:bookmarkEnd w:id="3"/>
      <w:bookmarkStart w:id="4" w:name="_Hlt74707423"/>
      <w:bookmarkEnd w:id="4"/>
      <w:bookmarkStart w:id="5" w:name="_Hlt74649545"/>
      <w:bookmarkEnd w:id="5"/>
      <w:bookmarkStart w:id="6" w:name="_Hlt74729822"/>
      <w:bookmarkEnd w:id="6"/>
      <w:bookmarkStart w:id="7" w:name="第二部分"/>
      <w:bookmarkStart w:id="8" w:name="_Toc91899870"/>
      <w:bookmarkStart w:id="9" w:name="_Toc91899871"/>
      <w:r>
        <w:rPr>
          <w:rFonts w:hint="eastAsia" w:ascii="宋体" w:hAnsi="宋体" w:eastAsia="宋体" w:cs="宋体"/>
          <w:b/>
          <w:color w:val="auto"/>
          <w:sz w:val="36"/>
          <w:szCs w:val="20"/>
          <w:highlight w:val="none"/>
        </w:rPr>
        <w:t>第一部分 交易公告</w:t>
      </w:r>
    </w:p>
    <w:p w14:paraId="55A336B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一、基本情况</w:t>
      </w:r>
    </w:p>
    <w:p w14:paraId="75BA8FE1">
      <w:pPr>
        <w:spacing w:line="360" w:lineRule="auto"/>
        <w:ind w:firstLine="482" w:firstLineChars="200"/>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交易编号：</w:t>
      </w:r>
      <w:r>
        <w:rPr>
          <w:rFonts w:hint="eastAsia" w:ascii="宋体" w:hAnsi="宋体" w:eastAsia="宋体" w:cs="宋体"/>
          <w:b w:val="0"/>
          <w:bCs/>
          <w:color w:val="auto"/>
          <w:sz w:val="24"/>
          <w:highlight w:val="none"/>
          <w:lang w:eastAsia="zh-CN"/>
        </w:rPr>
        <w:t>QTCG-NW2025</w:t>
      </w:r>
      <w:r>
        <w:rPr>
          <w:rFonts w:hint="eastAsia" w:ascii="宋体" w:hAnsi="宋体" w:cs="宋体"/>
          <w:b w:val="0"/>
          <w:bCs/>
          <w:color w:val="auto"/>
          <w:sz w:val="24"/>
          <w:highlight w:val="none"/>
          <w:lang w:val="en-US" w:eastAsia="zh-CN"/>
        </w:rPr>
        <w:t>0302</w:t>
      </w:r>
    </w:p>
    <w:p w14:paraId="4AFB8A35">
      <w:pPr>
        <w:spacing w:line="360" w:lineRule="auto"/>
        <w:ind w:firstLine="482" w:firstLineChars="200"/>
        <w:rPr>
          <w:rFonts w:hint="eastAsia" w:ascii="宋体" w:hAnsi="宋体" w:eastAsia="宋体" w:cs="宋体"/>
          <w:bCs/>
          <w:color w:val="auto"/>
          <w:sz w:val="24"/>
          <w:highlight w:val="none"/>
          <w:lang w:eastAsia="zh-CN"/>
        </w:rPr>
      </w:pPr>
      <w:r>
        <w:rPr>
          <w:rFonts w:hint="eastAsia" w:ascii="宋体" w:hAnsi="宋体" w:eastAsia="宋体" w:cs="宋体"/>
          <w:b/>
          <w:color w:val="auto"/>
          <w:sz w:val="24"/>
          <w:highlight w:val="none"/>
        </w:rPr>
        <w:t>交易名称：</w:t>
      </w:r>
      <w:r>
        <w:rPr>
          <w:rFonts w:hint="eastAsia" w:ascii="宋体" w:hAnsi="宋体" w:eastAsia="宋体" w:cs="宋体"/>
          <w:bCs/>
          <w:color w:val="auto"/>
          <w:sz w:val="24"/>
          <w:highlight w:val="none"/>
          <w:lang w:eastAsia="zh-CN"/>
        </w:rPr>
        <w:t>宁围街道宁牧未来社区百姓健身房运营招商项目</w:t>
      </w:r>
    </w:p>
    <w:p w14:paraId="24E98202">
      <w:pPr>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最</w:t>
      </w:r>
      <w:r>
        <w:rPr>
          <w:rFonts w:hint="eastAsia" w:ascii="宋体" w:hAnsi="宋体" w:eastAsia="宋体" w:cs="宋体"/>
          <w:b/>
          <w:color w:val="auto"/>
          <w:sz w:val="24"/>
          <w:highlight w:val="none"/>
          <w:lang w:val="en-US" w:eastAsia="zh-CN"/>
        </w:rPr>
        <w:t>低</w:t>
      </w:r>
      <w:r>
        <w:rPr>
          <w:rFonts w:hint="eastAsia" w:ascii="宋体" w:hAnsi="宋体" w:eastAsia="宋体" w:cs="宋体"/>
          <w:b/>
          <w:color w:val="auto"/>
          <w:sz w:val="24"/>
          <w:highlight w:val="none"/>
        </w:rPr>
        <w:t>限价：</w:t>
      </w:r>
      <w:r>
        <w:rPr>
          <w:rFonts w:hint="eastAsia" w:ascii="宋体" w:hAnsi="宋体" w:cs="宋体"/>
          <w:b w:val="0"/>
          <w:bCs/>
          <w:color w:val="auto"/>
          <w:sz w:val="24"/>
          <w:highlight w:val="none"/>
          <w:lang w:val="en-US" w:eastAsia="zh-CN"/>
        </w:rPr>
        <w:t>不低于</w:t>
      </w:r>
      <w:r>
        <w:rPr>
          <w:rFonts w:hint="eastAsia" w:ascii="宋体" w:hAnsi="宋体" w:eastAsia="宋体" w:cs="宋体"/>
          <w:color w:val="auto"/>
          <w:sz w:val="24"/>
          <w:szCs w:val="28"/>
          <w:highlight w:val="none"/>
          <w:lang w:val="en-US" w:eastAsia="zh-CN"/>
        </w:rPr>
        <w:t>350000</w:t>
      </w:r>
      <w:r>
        <w:rPr>
          <w:rFonts w:hint="eastAsia" w:ascii="宋体" w:hAnsi="宋体" w:eastAsia="宋体" w:cs="宋体"/>
          <w:color w:val="auto"/>
          <w:sz w:val="24"/>
          <w:szCs w:val="28"/>
          <w:highlight w:val="none"/>
        </w:rPr>
        <w:t>.00</w:t>
      </w:r>
      <w:r>
        <w:rPr>
          <w:rFonts w:hint="eastAsia" w:ascii="宋体" w:hAnsi="宋体" w:eastAsia="宋体" w:cs="宋体"/>
          <w:color w:val="auto"/>
          <w:sz w:val="24"/>
          <w:szCs w:val="28"/>
          <w:highlight w:val="none"/>
          <w:lang w:val="en-US" w:eastAsia="zh-CN"/>
        </w:rPr>
        <w:t>元（</w:t>
      </w:r>
      <w:r>
        <w:rPr>
          <w:rFonts w:hint="eastAsia" w:ascii="宋体" w:hAnsi="宋体" w:cs="宋体"/>
          <w:color w:val="auto"/>
          <w:sz w:val="24"/>
          <w:szCs w:val="28"/>
          <w:highlight w:val="none"/>
          <w:lang w:val="en-US" w:eastAsia="zh-CN"/>
        </w:rPr>
        <w:t>支付给交易发起人：</w:t>
      </w:r>
      <w:r>
        <w:rPr>
          <w:rFonts w:hint="eastAsia" w:ascii="宋体" w:hAnsi="宋体" w:eastAsia="宋体" w:cs="宋体"/>
          <w:color w:val="auto"/>
          <w:sz w:val="24"/>
          <w:szCs w:val="28"/>
          <w:highlight w:val="none"/>
          <w:lang w:val="en-US" w:eastAsia="zh-CN"/>
        </w:rPr>
        <w:t>第一年60000.00元、第二年65000.00元、第三年70000.00元、第四年75000.00元、第五年80000.00元）</w:t>
      </w:r>
    </w:p>
    <w:p w14:paraId="55A30E72">
      <w:pPr>
        <w:pStyle w:val="16"/>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交易需求：</w:t>
      </w:r>
      <w:r>
        <w:rPr>
          <w:rFonts w:hint="eastAsia" w:ascii="宋体" w:hAnsi="宋体" w:eastAsia="宋体" w:cs="宋体"/>
          <w:b w:val="0"/>
          <w:bCs/>
          <w:color w:val="auto"/>
          <w:sz w:val="24"/>
          <w:highlight w:val="none"/>
        </w:rPr>
        <w:t>宁围街道宁牧未来社区百姓健身房运营招商项目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5年</w:t>
      </w:r>
      <w:r>
        <w:rPr>
          <w:rFonts w:hint="eastAsia" w:ascii="宋体" w:hAnsi="宋体" w:eastAsia="宋体" w:cs="宋体"/>
          <w:color w:val="auto"/>
          <w:sz w:val="24"/>
          <w:highlight w:val="none"/>
        </w:rPr>
        <w:t>，详见交易需求。</w:t>
      </w:r>
    </w:p>
    <w:p w14:paraId="56378C90">
      <w:pPr>
        <w:pStyle w:val="16"/>
        <w:spacing w:line="360" w:lineRule="auto"/>
        <w:ind w:firstLine="482" w:firstLineChars="200"/>
        <w:rPr>
          <w:rFonts w:hint="eastAsia" w:ascii="宋体" w:hAnsi="宋体" w:eastAsia="宋体" w:cs="宋体"/>
          <w:color w:val="auto"/>
          <w:highlight w:val="none"/>
        </w:rPr>
      </w:pPr>
      <w:r>
        <w:rPr>
          <w:rFonts w:hint="eastAsia" w:ascii="宋体" w:hAnsi="宋体" w:eastAsia="宋体" w:cs="宋体"/>
          <w:b/>
          <w:color w:val="auto"/>
          <w:sz w:val="24"/>
          <w:szCs w:val="18"/>
          <w:highlight w:val="none"/>
        </w:rPr>
        <w:t>合同履约期限：</w:t>
      </w:r>
      <w:r>
        <w:rPr>
          <w:rFonts w:hint="eastAsia" w:ascii="宋体" w:hAnsi="宋体" w:eastAsia="宋体" w:cs="宋体"/>
          <w:color w:val="auto"/>
          <w:sz w:val="24"/>
          <w:szCs w:val="28"/>
          <w:highlight w:val="none"/>
        </w:rPr>
        <w:t>详见公开竞争文件</w:t>
      </w:r>
    </w:p>
    <w:p w14:paraId="78DA5284">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bCs/>
          <w:color w:val="auto"/>
          <w:sz w:val="24"/>
          <w:highlight w:val="none"/>
        </w:rPr>
        <w:t>（ ）是；（√）否。</w:t>
      </w:r>
    </w:p>
    <w:p w14:paraId="5BF7FD9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026E6C8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1FA8F22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14:paraId="285BEAA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550015F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1AC7407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5、参加交易活动前三年内，在经营活动中没有重大违法记录；</w:t>
      </w:r>
    </w:p>
    <w:p w14:paraId="3907C93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14:paraId="2BD5679E">
      <w:pPr>
        <w:pStyle w:val="63"/>
        <w:ind w:firstLine="480" w:firstLineChars="200"/>
        <w:rPr>
          <w:rFonts w:hint="eastAsia" w:ascii="宋体" w:hAnsi="宋体" w:eastAsia="宋体" w:cs="宋体"/>
          <w:color w:val="auto"/>
          <w:highlight w:val="none"/>
          <w:lang w:val="en-US"/>
        </w:rPr>
      </w:pPr>
      <w:r>
        <w:rPr>
          <w:rFonts w:hint="eastAsia" w:ascii="宋体" w:hAnsi="宋体" w:eastAsia="宋体" w:cs="宋体"/>
          <w:color w:val="auto"/>
          <w:highlight w:val="none"/>
        </w:rPr>
        <w:t>7、本项目的特定资格要求：</w:t>
      </w:r>
      <w:r>
        <w:rPr>
          <w:rFonts w:hint="eastAsia" w:ascii="宋体" w:hAnsi="宋体" w:eastAsia="宋体" w:cs="宋体"/>
          <w:color w:val="auto"/>
          <w:highlight w:val="none"/>
          <w:lang w:val="en-US"/>
        </w:rPr>
        <w:t>无；</w:t>
      </w:r>
    </w:p>
    <w:p w14:paraId="2DE24113">
      <w:pPr>
        <w:pStyle w:val="63"/>
        <w:ind w:firstLine="480" w:firstLineChars="200"/>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8、</w:t>
      </w:r>
      <w:r>
        <w:rPr>
          <w:rFonts w:hint="eastAsia" w:ascii="宋体" w:hAnsi="宋体" w:eastAsia="宋体" w:cs="宋体"/>
          <w:color w:val="auto"/>
          <w:highlight w:val="none"/>
        </w:rPr>
        <w:t>本项目不接受联合体参与（潜在响应人能独立完成本项目）。</w:t>
      </w:r>
    </w:p>
    <w:p w14:paraId="0BF2B42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三、获取公开竞争文件</w:t>
      </w:r>
    </w:p>
    <w:p w14:paraId="64CD7BA1">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03</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31</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w:t>
      </w:r>
    </w:p>
    <w:p w14:paraId="53FB2229">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lang w:eastAsia="zh-CN"/>
        </w:rPr>
        <w:t>乐采云平台（www.lecaiyun.com）</w:t>
      </w:r>
      <w:r>
        <w:rPr>
          <w:rFonts w:hint="eastAsia" w:ascii="宋体" w:hAnsi="宋体" w:eastAsia="宋体" w:cs="宋体"/>
          <w:color w:val="auto"/>
          <w:sz w:val="24"/>
          <w:highlight w:val="none"/>
        </w:rPr>
        <w:t xml:space="preserve"> </w:t>
      </w:r>
    </w:p>
    <w:p w14:paraId="74210A30">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响应人登录</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https://</w:t>
      </w:r>
      <w:r>
        <w:rPr>
          <w:rFonts w:hint="eastAsia" w:ascii="宋体" w:hAnsi="宋体" w:eastAsia="宋体" w:cs="宋体"/>
          <w:color w:val="auto"/>
          <w:sz w:val="24"/>
          <w:highlight w:val="none"/>
          <w:lang w:eastAsia="zh-CN"/>
        </w:rPr>
        <w:t>www.lecaiyun.com</w:t>
      </w:r>
      <w:r>
        <w:rPr>
          <w:rFonts w:hint="eastAsia" w:ascii="宋体" w:hAnsi="宋体" w:eastAsia="宋体" w:cs="宋体"/>
          <w:color w:val="auto"/>
          <w:sz w:val="24"/>
          <w:highlight w:val="none"/>
        </w:rPr>
        <w:t xml:space="preserve">/在线申请获取公开竞争文件（进入“项目采购”应用，在获取采购文件菜单中选择项目，申请获取公开竞争文件）。 </w:t>
      </w:r>
    </w:p>
    <w:p w14:paraId="1A9378A4">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0</w:t>
      </w:r>
    </w:p>
    <w:p w14:paraId="2AA3AEF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四、提交响应文件截止时间、交易时间和地点</w:t>
      </w:r>
    </w:p>
    <w:p w14:paraId="1A24C464">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提交响应文件截止时间：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03</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31</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w:t>
      </w:r>
      <w:r>
        <w:rPr>
          <w:rFonts w:hint="eastAsia" w:ascii="宋体" w:hAnsi="宋体" w:eastAsia="宋体" w:cs="宋体"/>
          <w:color w:val="auto"/>
          <w:sz w:val="24"/>
          <w:highlight w:val="none"/>
          <w:u w:val="single"/>
          <w:lang w:val="en-US" w:eastAsia="zh-CN"/>
        </w:rPr>
        <w:t>0</w:t>
      </w:r>
      <w:r>
        <w:rPr>
          <w:rFonts w:hint="eastAsia" w:ascii="宋体" w:hAnsi="宋体" w:eastAsia="宋体" w:cs="宋体"/>
          <w:color w:val="auto"/>
          <w:sz w:val="24"/>
          <w:highlight w:val="none"/>
          <w:u w:val="single"/>
        </w:rPr>
        <w:t>分</w:t>
      </w:r>
      <w:r>
        <w:rPr>
          <w:rFonts w:hint="eastAsia" w:ascii="宋体" w:hAnsi="宋体" w:eastAsia="宋体" w:cs="宋体"/>
          <w:color w:val="auto"/>
          <w:sz w:val="24"/>
          <w:highlight w:val="none"/>
        </w:rPr>
        <w:t>（北京时间）</w:t>
      </w:r>
    </w:p>
    <w:p w14:paraId="67C7CA57">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lang w:eastAsia="zh-CN"/>
        </w:rPr>
        <w:t>乐采云平台（www.lecaiyun.com）</w:t>
      </w:r>
      <w:r>
        <w:rPr>
          <w:rFonts w:hint="eastAsia" w:ascii="宋体" w:hAnsi="宋体" w:eastAsia="宋体" w:cs="宋体"/>
          <w:color w:val="auto"/>
          <w:sz w:val="24"/>
          <w:highlight w:val="none"/>
        </w:rPr>
        <w:t xml:space="preserve"> </w:t>
      </w:r>
    </w:p>
    <w:p w14:paraId="0160774D">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交易时间：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03</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31</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p>
    <w:p w14:paraId="3E36214B">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lang w:eastAsia="zh-CN"/>
        </w:rPr>
        <w:t>乐采云平台（www.lecaiyun.com）</w:t>
      </w:r>
    </w:p>
    <w:p w14:paraId="201A1E6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五、其他补充事宜</w:t>
      </w:r>
    </w:p>
    <w:p w14:paraId="25F8133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14:paraId="505018F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2、其他事项：电子招投标的说明：①电子招投标：本项目以数据电文形式，依托“</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www.lecaiyun.com</w:t>
      </w:r>
      <w:r>
        <w:rPr>
          <w:rFonts w:hint="eastAsia" w:ascii="宋体" w:hAnsi="宋体" w:eastAsia="宋体" w:cs="宋体"/>
          <w:color w:val="auto"/>
          <w:sz w:val="24"/>
          <w:highlight w:val="none"/>
        </w:rPr>
        <w:t>）”进行招投标活动，不接受纸质响应文件；②投标准备：注册账号--点击“商家入驻”，进行采购供应商资料填写；申领CA数字证书---申领流程详见“</w:t>
      </w:r>
      <w:r>
        <w:rPr>
          <w:rFonts w:hint="eastAsia" w:ascii="宋体" w:hAnsi="宋体" w:eastAsia="宋体" w:cs="宋体"/>
          <w:color w:val="auto"/>
          <w:sz w:val="24"/>
          <w:highlight w:val="none"/>
          <w:lang w:eastAsia="zh-CN"/>
        </w:rPr>
        <w:t>浙江企业采购信息服务网</w:t>
      </w:r>
      <w:r>
        <w:rPr>
          <w:rFonts w:hint="eastAsia" w:ascii="宋体" w:hAnsi="宋体" w:eastAsia="宋体" w:cs="宋体"/>
          <w:color w:val="auto"/>
          <w:sz w:val="24"/>
          <w:highlight w:val="none"/>
        </w:rPr>
        <w:t>-下载专区-电子交易客户端-CA驱动和申领流程”；安装“</w:t>
      </w:r>
      <w:r>
        <w:rPr>
          <w:rFonts w:hint="eastAsia" w:ascii="宋体" w:hAnsi="宋体" w:eastAsia="宋体" w:cs="宋体"/>
          <w:color w:val="auto"/>
          <w:sz w:val="24"/>
          <w:highlight w:val="none"/>
          <w:lang w:eastAsia="zh-CN"/>
        </w:rPr>
        <w:t>乐采云电子交易客户端</w:t>
      </w:r>
      <w:r>
        <w:rPr>
          <w:rFonts w:hint="eastAsia" w:ascii="宋体" w:hAnsi="宋体" w:eastAsia="宋体" w:cs="宋体"/>
          <w:color w:val="auto"/>
          <w:sz w:val="24"/>
          <w:highlight w:val="none"/>
        </w:rPr>
        <w:t>”----前往“</w:t>
      </w:r>
      <w:r>
        <w:rPr>
          <w:rFonts w:hint="eastAsia" w:ascii="宋体" w:hAnsi="宋体" w:eastAsia="宋体" w:cs="宋体"/>
          <w:color w:val="auto"/>
          <w:sz w:val="24"/>
          <w:highlight w:val="none"/>
          <w:lang w:eastAsia="zh-CN"/>
        </w:rPr>
        <w:t>浙江企业采购信息服务网</w:t>
      </w:r>
      <w:r>
        <w:rPr>
          <w:rFonts w:hint="eastAsia" w:ascii="宋体" w:hAnsi="宋体" w:eastAsia="宋体" w:cs="宋体"/>
          <w:color w:val="auto"/>
          <w:sz w:val="24"/>
          <w:highlight w:val="none"/>
        </w:rPr>
        <w:t>-下载专区-电子交易客户端”进行下载并安装；③公开竞争文件的获取：使用账号登录或者使用CA登录</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；进入“项目采购”应用，在获取采购文件菜单中选择项目，获取公开竞争文件；④响应文件的制作：在“</w:t>
      </w:r>
      <w:r>
        <w:rPr>
          <w:rFonts w:hint="eastAsia" w:ascii="宋体" w:hAnsi="宋体" w:eastAsia="宋体" w:cs="宋体"/>
          <w:color w:val="auto"/>
          <w:sz w:val="24"/>
          <w:highlight w:val="none"/>
          <w:lang w:eastAsia="zh-CN"/>
        </w:rPr>
        <w:t>乐采云电子交易客户端</w:t>
      </w:r>
      <w:r>
        <w:rPr>
          <w:rFonts w:hint="eastAsia" w:ascii="宋体" w:hAnsi="宋体" w:eastAsia="宋体" w:cs="宋体"/>
          <w:color w:val="auto"/>
          <w:sz w:val="24"/>
          <w:highlight w:val="none"/>
        </w:rPr>
        <w:t>”中完成“填写基本信息”“导入响应文件”“标书关联”“标书检查”“电子签名”“生成电子标书”等操作；⑤交易发起人、代理机构将依托</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；⑨响应文件的解密：响应人按照平台提示和公开竞争文件的规定在半小时内完成在线解密。通过“</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”上传递交的响应文件无法按时解密，视为响应文件撤回；⑩具体操作指南：详见</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“服务中心-帮助文档-项目采购-操作流程-电子招投标-采购项目电子交易管理操作指南-供应商”。</w:t>
      </w:r>
    </w:p>
    <w:p w14:paraId="26E7C40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六、对本次交易提出异议、投诉，请按以下方式联系</w:t>
      </w:r>
    </w:p>
    <w:p w14:paraId="06C6C9AE">
      <w:pPr>
        <w:widowControl/>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1、交易发起人信息</w:t>
      </w:r>
    </w:p>
    <w:p w14:paraId="06CD65A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r>
        <w:rPr>
          <w:rFonts w:hint="eastAsia" w:ascii="宋体" w:hAnsi="宋体" w:eastAsia="宋体" w:cs="宋体"/>
          <w:bCs/>
          <w:color w:val="auto"/>
          <w:sz w:val="24"/>
          <w:highlight w:val="none"/>
        </w:rPr>
        <w:t>杭州萧山宁围宁牧股份经济联合社</w:t>
      </w:r>
    </w:p>
    <w:p w14:paraId="7BD4BB7E">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地址：杭州市萧山区宁围街道宁牧村</w:t>
      </w:r>
    </w:p>
    <w:p w14:paraId="3A99E3C1">
      <w:pPr>
        <w:spacing w:line="360" w:lineRule="auto"/>
        <w:ind w:firstLine="480" w:firstLineChars="200"/>
        <w:jc w:val="left"/>
        <w:rPr>
          <w:rFonts w:hint="eastAsia" w:ascii="宋体" w:hAnsi="宋体" w:eastAsia="宋体" w:cs="宋体"/>
          <w:color w:val="auto"/>
          <w:sz w:val="24"/>
          <w:highlight w:val="none"/>
          <w:lang w:val="en-US" w:eastAsia="zh-CN"/>
        </w:rPr>
      </w:pPr>
      <w:bookmarkStart w:id="10" w:name="_Toc28359086"/>
      <w:bookmarkStart w:id="11" w:name="_Toc28359009"/>
      <w:r>
        <w:rPr>
          <w:rFonts w:hint="eastAsia" w:ascii="宋体" w:hAnsi="宋体" w:eastAsia="宋体" w:cs="宋体"/>
          <w:color w:val="auto"/>
          <w:sz w:val="24"/>
          <w:highlight w:val="none"/>
        </w:rPr>
        <w:t>项目联系人（询问）：冯银</w:t>
      </w:r>
    </w:p>
    <w:p w14:paraId="64170E80">
      <w:pPr>
        <w:spacing w:line="360" w:lineRule="auto"/>
        <w:ind w:firstLine="480" w:firstLineChars="200"/>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eastAsia="宋体" w:cs="宋体"/>
          <w:color w:val="auto"/>
          <w:sz w:val="24"/>
          <w:highlight w:val="none"/>
          <w:lang w:val="en-US" w:eastAsia="zh-CN"/>
        </w:rPr>
        <w:t>0571-82605166</w:t>
      </w:r>
    </w:p>
    <w:p w14:paraId="6B8752FE">
      <w:pPr>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w:t>
      </w:r>
      <w:bookmarkEnd w:id="10"/>
      <w:bookmarkEnd w:id="11"/>
      <w:r>
        <w:rPr>
          <w:rFonts w:hint="eastAsia" w:ascii="宋体" w:hAnsi="宋体" w:eastAsia="宋体" w:cs="宋体"/>
          <w:color w:val="auto"/>
          <w:sz w:val="24"/>
          <w:szCs w:val="28"/>
          <w:highlight w:val="none"/>
        </w:rPr>
        <w:t>、代理机构信息</w:t>
      </w:r>
    </w:p>
    <w:p w14:paraId="34E5677B">
      <w:pPr>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名称：杭州博望建设工程招标投标代理有限公司</w:t>
      </w:r>
    </w:p>
    <w:p w14:paraId="3BEBBF11">
      <w:pPr>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地址：杭州市萧山区金城路433号天汇园一幢A座5楼</w:t>
      </w:r>
    </w:p>
    <w:p w14:paraId="0D5BBB54">
      <w:pPr>
        <w:spacing w:line="360" w:lineRule="auto"/>
        <w:ind w:firstLine="480" w:firstLineChars="200"/>
        <w:jc w:val="left"/>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项目联系人（询问）：</w:t>
      </w:r>
      <w:r>
        <w:rPr>
          <w:rFonts w:hint="eastAsia" w:ascii="宋体" w:hAnsi="宋体" w:cs="宋体"/>
          <w:color w:val="auto"/>
          <w:sz w:val="24"/>
          <w:szCs w:val="28"/>
          <w:highlight w:val="none"/>
          <w:lang w:val="en-US" w:eastAsia="zh-CN"/>
        </w:rPr>
        <w:t>范梦迪</w:t>
      </w:r>
    </w:p>
    <w:p w14:paraId="27AF32DF">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项目联系方式（询问）：0571-83881208</w:t>
      </w:r>
    </w:p>
    <w:p w14:paraId="64EFD998">
      <w:pPr>
        <w:spacing w:line="360" w:lineRule="auto"/>
        <w:ind w:firstLine="480" w:firstLineChars="200"/>
        <w:rPr>
          <w:rFonts w:hint="eastAsia" w:ascii="宋体" w:hAnsi="宋体" w:eastAsia="宋体" w:cs="宋体"/>
          <w:color w:val="auto"/>
          <w:sz w:val="24"/>
          <w:highlight w:val="none"/>
        </w:rPr>
      </w:pPr>
    </w:p>
    <w:p w14:paraId="18839657">
      <w:pPr>
        <w:spacing w:line="360" w:lineRule="auto"/>
        <w:ind w:firstLine="480" w:firstLineChars="200"/>
        <w:rPr>
          <w:rFonts w:hint="eastAsia" w:ascii="宋体" w:hAnsi="宋体" w:eastAsia="宋体" w:cs="宋体"/>
          <w:color w:val="auto"/>
          <w:sz w:val="24"/>
          <w:highlight w:val="none"/>
        </w:rPr>
      </w:pPr>
    </w:p>
    <w:p w14:paraId="50E0C16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若对项目电子交易系统操作有疑问，可登录</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（https://</w:t>
      </w:r>
      <w:r>
        <w:rPr>
          <w:rFonts w:hint="eastAsia" w:ascii="宋体" w:hAnsi="宋体" w:eastAsia="宋体" w:cs="宋体"/>
          <w:color w:val="auto"/>
          <w:sz w:val="24"/>
          <w:highlight w:val="none"/>
          <w:lang w:eastAsia="zh-CN"/>
        </w:rPr>
        <w:t>www.lecaiyun.com</w:t>
      </w:r>
      <w:r>
        <w:rPr>
          <w:rFonts w:hint="eastAsia" w:ascii="宋体" w:hAnsi="宋体" w:eastAsia="宋体" w:cs="宋体"/>
          <w:color w:val="auto"/>
          <w:sz w:val="24"/>
          <w:highlight w:val="none"/>
        </w:rPr>
        <w:t>/），点击右侧咨询小采，获取采小蜜智能服务管家帮助，或拨打</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服务热线95763获取热线服务帮助。</w:t>
      </w:r>
    </w:p>
    <w:p w14:paraId="66F97B2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6E60F3F2">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响应人须知</w:t>
      </w:r>
      <w:bookmarkEnd w:id="8"/>
    </w:p>
    <w:p w14:paraId="72117EC4">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5"/>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6"/>
      </w:tblGrid>
      <w:tr w14:paraId="45840C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276FBB7">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D9B359A">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706" w:type="dxa"/>
            <w:tcBorders>
              <w:top w:val="single" w:color="000000" w:sz="8" w:space="0"/>
              <w:left w:val="single" w:color="000000" w:sz="2" w:space="0"/>
              <w:bottom w:val="single" w:color="000000" w:sz="8" w:space="0"/>
              <w:right w:val="single" w:color="000000" w:sz="8" w:space="0"/>
            </w:tcBorders>
            <w:vAlign w:val="center"/>
          </w:tcPr>
          <w:p w14:paraId="00444A19">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1ABED6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B6140A0">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D57597B">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706" w:type="dxa"/>
            <w:tcBorders>
              <w:top w:val="single" w:color="000000" w:sz="8" w:space="0"/>
              <w:left w:val="single" w:color="000000" w:sz="2" w:space="0"/>
              <w:bottom w:val="single" w:color="000000" w:sz="8" w:space="0"/>
              <w:right w:val="single" w:color="000000" w:sz="8" w:space="0"/>
            </w:tcBorders>
            <w:vAlign w:val="center"/>
          </w:tcPr>
          <w:p w14:paraId="6A57E93F">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  ）</w:t>
            </w:r>
            <w:r>
              <w:rPr>
                <w:rFonts w:hint="eastAsia" w:ascii="宋体" w:hAnsi="宋体" w:eastAsia="宋体" w:cs="宋体"/>
                <w:color w:val="auto"/>
                <w:kern w:val="0"/>
                <w:sz w:val="24"/>
                <w:highlight w:val="none"/>
              </w:rPr>
              <w:t>A货物类</w:t>
            </w:r>
            <w:r>
              <w:rPr>
                <w:rFonts w:hint="eastAsia" w:ascii="宋体" w:hAnsi="宋体" w:eastAsia="宋体" w:cs="宋体"/>
                <w:color w:val="auto"/>
                <w:sz w:val="24"/>
                <w:highlight w:val="none"/>
              </w:rPr>
              <w:t>。</w:t>
            </w:r>
          </w:p>
          <w:p w14:paraId="1E293121">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color w:val="auto"/>
                <w:kern w:val="0"/>
                <w:sz w:val="24"/>
                <w:highlight w:val="none"/>
              </w:rPr>
              <w:t>B服务类</w:t>
            </w:r>
            <w:r>
              <w:rPr>
                <w:rFonts w:hint="eastAsia" w:ascii="宋体" w:hAnsi="宋体" w:eastAsia="宋体" w:cs="宋体"/>
                <w:color w:val="auto"/>
                <w:sz w:val="24"/>
                <w:highlight w:val="none"/>
              </w:rPr>
              <w:t>。</w:t>
            </w:r>
          </w:p>
        </w:tc>
      </w:tr>
      <w:tr w14:paraId="31E01A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1"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297B99B8">
            <w:pPr>
              <w:snapToGrid w:val="0"/>
              <w:jc w:val="center"/>
              <w:rPr>
                <w:rFonts w:hint="eastAsia" w:ascii="宋体" w:hAnsi="宋体" w:eastAsia="宋体" w:cs="宋体"/>
                <w:color w:val="auto"/>
                <w:sz w:val="24"/>
                <w:highlight w:val="none"/>
              </w:rPr>
            </w:pPr>
          </w:p>
          <w:p w14:paraId="5B8BD5E8">
            <w:pPr>
              <w:snapToGrid w:val="0"/>
              <w:jc w:val="center"/>
              <w:rPr>
                <w:rFonts w:hint="eastAsia" w:ascii="宋体" w:hAnsi="宋体" w:eastAsia="宋体" w:cs="宋体"/>
                <w:color w:val="auto"/>
                <w:sz w:val="24"/>
                <w:highlight w:val="none"/>
              </w:rPr>
            </w:pPr>
          </w:p>
          <w:p w14:paraId="20C6A380">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B2378CC">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6706" w:type="dxa"/>
            <w:tcBorders>
              <w:top w:val="single" w:color="000000" w:sz="8" w:space="0"/>
              <w:left w:val="single" w:color="000000" w:sz="2" w:space="0"/>
              <w:bottom w:val="single" w:color="000000" w:sz="8" w:space="0"/>
              <w:right w:val="single" w:color="000000" w:sz="8" w:space="0"/>
            </w:tcBorders>
            <w:vAlign w:val="center"/>
          </w:tcPr>
          <w:p w14:paraId="111CA7D9">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  ）</w:t>
            </w:r>
            <w:r>
              <w:rPr>
                <w:rFonts w:hint="eastAsia" w:ascii="宋体" w:hAnsi="宋体" w:eastAsia="宋体" w:cs="宋体"/>
                <w:color w:val="auto"/>
                <w:kern w:val="0"/>
                <w:sz w:val="24"/>
                <w:highlight w:val="none"/>
              </w:rPr>
              <w:t>A适用</w:t>
            </w:r>
            <w:r>
              <w:rPr>
                <w:rFonts w:hint="eastAsia" w:ascii="宋体" w:hAnsi="宋体" w:eastAsia="宋体" w:cs="宋体"/>
                <w:color w:val="auto"/>
                <w:sz w:val="24"/>
                <w:highlight w:val="none"/>
              </w:rPr>
              <w:t>。</w:t>
            </w:r>
          </w:p>
          <w:p w14:paraId="3C6A5417">
            <w:pPr>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w:t>
            </w:r>
            <w:r>
              <w:rPr>
                <w:rFonts w:hint="eastAsia" w:ascii="宋体" w:hAnsi="宋体" w:eastAsia="宋体" w:cs="宋体"/>
                <w:color w:val="auto"/>
                <w:kern w:val="0"/>
                <w:sz w:val="24"/>
                <w:highlight w:val="none"/>
              </w:rPr>
              <w:t>B不适用</w:t>
            </w:r>
            <w:r>
              <w:rPr>
                <w:rFonts w:hint="eastAsia" w:ascii="宋体" w:hAnsi="宋体" w:eastAsia="宋体" w:cs="宋体"/>
                <w:color w:val="auto"/>
                <w:sz w:val="24"/>
                <w:highlight w:val="none"/>
              </w:rPr>
              <w:t>。</w:t>
            </w:r>
          </w:p>
        </w:tc>
      </w:tr>
      <w:tr w14:paraId="570CD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C821C71">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B0BD698">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706" w:type="dxa"/>
            <w:tcBorders>
              <w:top w:val="single" w:color="000000" w:sz="8" w:space="0"/>
              <w:left w:val="single" w:color="000000" w:sz="2" w:space="0"/>
              <w:bottom w:val="single" w:color="000000" w:sz="8" w:space="0"/>
              <w:right w:val="single" w:color="000000" w:sz="8" w:space="0"/>
            </w:tcBorders>
            <w:vAlign w:val="center"/>
          </w:tcPr>
          <w:p w14:paraId="5BB9488A">
            <w:pPr>
              <w:rPr>
                <w:rFonts w:hint="eastAsia" w:ascii="宋体" w:hAnsi="宋体" w:eastAsia="宋体" w:cs="宋体"/>
                <w:color w:val="auto"/>
                <w:highlight w:val="none"/>
              </w:rPr>
            </w:pPr>
            <w:r>
              <w:rPr>
                <w:rFonts w:hint="eastAsia" w:ascii="宋体" w:hAnsi="宋体" w:eastAsia="宋体" w:cs="宋体"/>
                <w:bCs/>
                <w:color w:val="auto"/>
                <w:sz w:val="24"/>
                <w:highlight w:val="none"/>
              </w:rPr>
              <w:t>（√）</w:t>
            </w:r>
            <w:r>
              <w:rPr>
                <w:rFonts w:hint="eastAsia" w:ascii="宋体" w:hAnsi="宋体" w:eastAsia="宋体" w:cs="宋体"/>
                <w:color w:val="auto"/>
                <w:sz w:val="24"/>
                <w:szCs w:val="32"/>
                <w:highlight w:val="none"/>
              </w:rPr>
              <w:t>本项目不允许采购进口产品。</w:t>
            </w:r>
          </w:p>
        </w:tc>
      </w:tr>
      <w:tr w14:paraId="64C8E4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2607E2B">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287D117">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706" w:type="dxa"/>
            <w:tcBorders>
              <w:top w:val="single" w:color="000000" w:sz="8" w:space="0"/>
              <w:left w:val="single" w:color="000000" w:sz="2" w:space="0"/>
              <w:bottom w:val="single" w:color="000000" w:sz="8" w:space="0"/>
              <w:right w:val="single" w:color="000000" w:sz="8" w:space="0"/>
            </w:tcBorders>
            <w:vAlign w:val="center"/>
          </w:tcPr>
          <w:p w14:paraId="44B0A2E1">
            <w:pP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kern w:val="0"/>
                <w:sz w:val="24"/>
                <w:highlight w:val="none"/>
              </w:rPr>
              <w:t>B</w:t>
            </w:r>
            <w:r>
              <w:rPr>
                <w:rFonts w:hint="eastAsia" w:ascii="宋体" w:hAnsi="宋体" w:eastAsia="宋体" w:cs="宋体"/>
                <w:bCs/>
                <w:color w:val="auto"/>
                <w:sz w:val="24"/>
                <w:highlight w:val="none"/>
              </w:rPr>
              <w:t>不同意分包。</w:t>
            </w:r>
          </w:p>
        </w:tc>
      </w:tr>
      <w:tr w14:paraId="3BE439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DFA7476">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3869669">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706" w:type="dxa"/>
            <w:tcBorders>
              <w:top w:val="single" w:color="000000" w:sz="8" w:space="0"/>
              <w:left w:val="single" w:color="000000" w:sz="2" w:space="0"/>
              <w:bottom w:val="single" w:color="000000" w:sz="8" w:space="0"/>
              <w:right w:val="single" w:color="000000" w:sz="8" w:space="0"/>
            </w:tcBorders>
            <w:vAlign w:val="center"/>
          </w:tcPr>
          <w:p w14:paraId="1BB0D7F5">
            <w:pPr>
              <w:rPr>
                <w:rFonts w:hint="eastAsia" w:ascii="宋体" w:hAnsi="宋体" w:eastAsia="宋体" w:cs="宋体"/>
                <w:bCs/>
                <w:color w:val="auto"/>
                <w:sz w:val="24"/>
                <w:szCs w:val="20"/>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kern w:val="0"/>
                <w:sz w:val="24"/>
                <w:highlight w:val="none"/>
              </w:rPr>
              <w:t>A</w:t>
            </w:r>
            <w:r>
              <w:rPr>
                <w:rFonts w:hint="eastAsia" w:ascii="宋体" w:hAnsi="宋体" w:eastAsia="宋体" w:cs="宋体"/>
                <w:bCs/>
                <w:color w:val="auto"/>
                <w:sz w:val="24"/>
                <w:highlight w:val="none"/>
              </w:rPr>
              <w:t>不组织。</w:t>
            </w:r>
          </w:p>
        </w:tc>
      </w:tr>
      <w:tr w14:paraId="6FFEC5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506ABC7">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7988CD8">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706" w:type="dxa"/>
            <w:tcBorders>
              <w:top w:val="single" w:color="000000" w:sz="8" w:space="0"/>
              <w:left w:val="single" w:color="000000" w:sz="2" w:space="0"/>
              <w:bottom w:val="single" w:color="000000" w:sz="8" w:space="0"/>
              <w:right w:val="single" w:color="000000" w:sz="8" w:space="0"/>
            </w:tcBorders>
            <w:vAlign w:val="center"/>
          </w:tcPr>
          <w:p w14:paraId="1E3058CA">
            <w:pP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（√）A不要求提供。</w:t>
            </w:r>
          </w:p>
        </w:tc>
      </w:tr>
      <w:tr w14:paraId="7B9A2A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FC18827">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92EBF4A">
            <w:pPr>
              <w:snapToGrid w:val="0"/>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现场讲解</w:t>
            </w:r>
          </w:p>
        </w:tc>
        <w:tc>
          <w:tcPr>
            <w:tcW w:w="6706" w:type="dxa"/>
            <w:tcBorders>
              <w:top w:val="single" w:color="000000" w:sz="8" w:space="0"/>
              <w:left w:val="single" w:color="000000" w:sz="2" w:space="0"/>
              <w:bottom w:val="single" w:color="000000" w:sz="8" w:space="0"/>
              <w:right w:val="single" w:color="000000" w:sz="8" w:space="0"/>
            </w:tcBorders>
            <w:vAlign w:val="center"/>
          </w:tcPr>
          <w:p w14:paraId="24615BD8">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（√）A不组织。</w:t>
            </w:r>
          </w:p>
          <w:p w14:paraId="3F5E56DE">
            <w:pPr>
              <w:snapToGrid w:val="0"/>
              <w:rPr>
                <w:rFonts w:hint="eastAsia" w:ascii="宋体" w:hAnsi="宋体" w:eastAsia="宋体" w:cs="宋体"/>
                <w:color w:val="auto"/>
                <w:highlight w:val="none"/>
              </w:rPr>
            </w:pPr>
            <w:r>
              <w:rPr>
                <w:rFonts w:hint="eastAsia" w:ascii="宋体" w:hAnsi="宋体" w:eastAsia="宋体" w:cs="宋体"/>
                <w:color w:val="auto"/>
                <w:sz w:val="24"/>
                <w:highlight w:val="none"/>
              </w:rPr>
              <w:t>（  ）B组织。</w:t>
            </w:r>
          </w:p>
        </w:tc>
      </w:tr>
      <w:tr w14:paraId="14193F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14:paraId="794B8EBA">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tcBorders>
              <w:top w:val="single" w:color="000000" w:sz="8" w:space="0"/>
              <w:left w:val="single" w:color="auto" w:sz="4" w:space="0"/>
              <w:right w:val="single" w:color="000000" w:sz="8" w:space="0"/>
            </w:tcBorders>
            <w:vAlign w:val="center"/>
          </w:tcPr>
          <w:p w14:paraId="278D3974">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响应人应当提供的资格证明文件</w:t>
            </w:r>
          </w:p>
        </w:tc>
        <w:tc>
          <w:tcPr>
            <w:tcW w:w="6706" w:type="dxa"/>
            <w:tcBorders>
              <w:top w:val="single" w:color="000000" w:sz="8" w:space="0"/>
              <w:left w:val="single" w:color="000000" w:sz="2" w:space="0"/>
              <w:bottom w:val="single" w:color="000000" w:sz="8" w:space="0"/>
              <w:right w:val="single" w:color="000000" w:sz="8" w:space="0"/>
            </w:tcBorders>
            <w:vAlign w:val="center"/>
          </w:tcPr>
          <w:p w14:paraId="5F043482">
            <w:pPr>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（1）资格证明文件：见公开竞争文件第二部分10.1。</w:t>
            </w:r>
          </w:p>
          <w:p w14:paraId="586A65DE">
            <w:pPr>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响应人未提供有效的资格证明文件的，视为响应人不具备公开竞争文件中规定的资格要求，交易无效。</w:t>
            </w:r>
          </w:p>
        </w:tc>
      </w:tr>
      <w:tr w14:paraId="5D7F9B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14:paraId="4860E6E2">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auto" w:sz="4" w:space="0"/>
              <w:right w:val="single" w:color="000000" w:sz="8" w:space="0"/>
            </w:tcBorders>
            <w:vAlign w:val="center"/>
          </w:tcPr>
          <w:p w14:paraId="4B3884E2">
            <w:pPr>
              <w:snapToGrid w:val="0"/>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报价要求</w:t>
            </w:r>
          </w:p>
        </w:tc>
        <w:tc>
          <w:tcPr>
            <w:tcW w:w="6706" w:type="dxa"/>
            <w:tcBorders>
              <w:top w:val="single" w:color="000000" w:sz="8" w:space="0"/>
              <w:left w:val="single" w:color="000000" w:sz="2" w:space="0"/>
              <w:bottom w:val="single" w:color="000000" w:sz="8" w:space="0"/>
              <w:right w:val="single" w:color="000000" w:sz="8" w:space="0"/>
            </w:tcBorders>
            <w:vAlign w:val="center"/>
          </w:tcPr>
          <w:p w14:paraId="53F93C1C">
            <w:pPr>
              <w:ind w:firstLine="480" w:firstLineChars="200"/>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有关本项目实施所需的所有费用（含税费）均计入报价。</w:t>
            </w:r>
            <w:r>
              <w:rPr>
                <w:rFonts w:hint="eastAsia" w:ascii="宋体" w:hAnsi="宋体" w:eastAsia="宋体" w:cs="宋体"/>
                <w:bCs/>
                <w:color w:val="auto"/>
                <w:kern w:val="0"/>
                <w:sz w:val="24"/>
                <w:highlight w:val="none"/>
              </w:rPr>
              <w:t>交易一览表（报价表）是报价的唯一载体</w:t>
            </w:r>
            <w:r>
              <w:rPr>
                <w:rFonts w:hint="eastAsia" w:ascii="宋体" w:hAnsi="宋体" w:eastAsia="宋体" w:cs="宋体"/>
                <w:bCs/>
                <w:color w:val="auto"/>
                <w:kern w:val="0"/>
                <w:sz w:val="24"/>
                <w:highlight w:val="none"/>
                <w:lang w:val="zh-CN"/>
              </w:rPr>
              <w:t>。响应文件中价格全部采用人民币报价。公开竞争文件未列明，而响应人认为必需的费用也需列入报价。</w:t>
            </w:r>
          </w:p>
          <w:p w14:paraId="304F41FB">
            <w:pPr>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交易报价出现下列情形的，交易无效：</w:t>
            </w:r>
          </w:p>
          <w:p w14:paraId="0FD23A74">
            <w:pPr>
              <w:ind w:firstLine="480" w:firstLineChars="200"/>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响应文件出现不是唯一的、有选择性交易报价的；</w:t>
            </w:r>
          </w:p>
          <w:p w14:paraId="28B3FA2B">
            <w:pPr>
              <w:ind w:firstLine="480" w:firstLineChars="200"/>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交易报价</w:t>
            </w:r>
            <w:r>
              <w:rPr>
                <w:rFonts w:hint="eastAsia" w:ascii="宋体" w:hAnsi="宋体" w:eastAsia="宋体" w:cs="宋体"/>
                <w:bCs/>
                <w:color w:val="auto"/>
                <w:kern w:val="0"/>
                <w:sz w:val="24"/>
                <w:highlight w:val="none"/>
                <w:lang w:val="en-US" w:eastAsia="zh-CN"/>
              </w:rPr>
              <w:t>低于</w:t>
            </w:r>
            <w:r>
              <w:rPr>
                <w:rFonts w:hint="eastAsia" w:ascii="宋体" w:hAnsi="宋体" w:eastAsia="宋体" w:cs="宋体"/>
                <w:bCs/>
                <w:color w:val="auto"/>
                <w:kern w:val="0"/>
                <w:sz w:val="24"/>
                <w:highlight w:val="none"/>
                <w:lang w:val="zh-CN"/>
              </w:rPr>
              <w:t>公开竞争文件中规定的预算金额或者最</w:t>
            </w:r>
            <w:r>
              <w:rPr>
                <w:rFonts w:hint="eastAsia" w:ascii="宋体" w:hAnsi="宋体" w:eastAsia="宋体" w:cs="宋体"/>
                <w:bCs/>
                <w:color w:val="auto"/>
                <w:kern w:val="0"/>
                <w:sz w:val="24"/>
                <w:highlight w:val="none"/>
                <w:lang w:val="en-US" w:eastAsia="zh-CN"/>
              </w:rPr>
              <w:t>低</w:t>
            </w:r>
            <w:r>
              <w:rPr>
                <w:rFonts w:hint="eastAsia" w:ascii="宋体" w:hAnsi="宋体" w:eastAsia="宋体" w:cs="宋体"/>
                <w:bCs/>
                <w:color w:val="auto"/>
                <w:kern w:val="0"/>
                <w:sz w:val="24"/>
                <w:highlight w:val="none"/>
                <w:lang w:val="zh-CN"/>
              </w:rPr>
              <w:t>限价的；</w:t>
            </w:r>
          </w:p>
          <w:p w14:paraId="66D6959E">
            <w:pPr>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报价明显低于其他通过符合性审查响应人的报价，有可能影响产品质量或者不能诚信履约的，未能按要求提供书面说明或者提交相关证明材料证明其报价合理性的；</w:t>
            </w:r>
          </w:p>
          <w:p w14:paraId="532F038D">
            <w:pPr>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bCs/>
                <w:color w:val="auto"/>
                <w:kern w:val="0"/>
                <w:sz w:val="24"/>
                <w:highlight w:val="none"/>
              </w:rPr>
              <w:t>响应人对根据修正原则修正后的报价不确认的。</w:t>
            </w:r>
          </w:p>
        </w:tc>
      </w:tr>
      <w:tr w14:paraId="5C1D05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9"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69220D7">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8A5A1AA">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备份响应文件</w:t>
            </w:r>
          </w:p>
        </w:tc>
        <w:tc>
          <w:tcPr>
            <w:tcW w:w="6706" w:type="dxa"/>
            <w:tcBorders>
              <w:top w:val="single" w:color="000000" w:sz="8" w:space="0"/>
              <w:left w:val="single" w:color="000000" w:sz="2" w:space="0"/>
              <w:bottom w:val="single" w:color="000000" w:sz="8" w:space="0"/>
              <w:right w:val="single" w:color="000000" w:sz="8" w:space="0"/>
            </w:tcBorders>
            <w:vAlign w:val="center"/>
          </w:tcPr>
          <w:p w14:paraId="719F9F58">
            <w:pPr>
              <w:pStyle w:val="35"/>
              <w:ind w:hanging="4"/>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备份文件是否收取：不收取。</w:t>
            </w:r>
          </w:p>
          <w:p w14:paraId="435AAF7D">
            <w:pPr>
              <w:pStyle w:val="35"/>
              <w:ind w:hanging="4"/>
              <w:rPr>
                <w:rFonts w:hint="eastAsia" w:ascii="宋体" w:hAnsi="宋体" w:eastAsia="宋体" w:cs="宋体"/>
                <w:color w:val="auto"/>
                <w:kern w:val="28"/>
                <w:sz w:val="24"/>
                <w:szCs w:val="24"/>
                <w:highlight w:val="none"/>
              </w:rPr>
            </w:pPr>
            <w:r>
              <w:rPr>
                <w:rFonts w:hint="eastAsia" w:ascii="宋体" w:hAnsi="宋体" w:eastAsia="宋体" w:cs="宋体"/>
                <w:b/>
                <w:color w:val="auto"/>
                <w:sz w:val="24"/>
                <w:highlight w:val="none"/>
              </w:rPr>
              <w:t>成交单位在成交后提供纸质响应文件一正二副。</w:t>
            </w:r>
          </w:p>
        </w:tc>
      </w:tr>
      <w:tr w14:paraId="0FDE8E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95"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26B2683">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73CD6AA7">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代理机构代理费用</w:t>
            </w:r>
          </w:p>
        </w:tc>
        <w:tc>
          <w:tcPr>
            <w:tcW w:w="6706" w:type="dxa"/>
            <w:tcBorders>
              <w:top w:val="single" w:color="000000" w:sz="8" w:space="0"/>
              <w:left w:val="single" w:color="000000" w:sz="2" w:space="0"/>
              <w:bottom w:val="single" w:color="000000" w:sz="8" w:space="0"/>
              <w:right w:val="single" w:color="000000" w:sz="8" w:space="0"/>
            </w:tcBorders>
            <w:vAlign w:val="center"/>
          </w:tcPr>
          <w:p w14:paraId="01D828A1">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Theme="minorEastAsia" w:hAnsiTheme="minorEastAsia" w:eastAsiaTheme="minorEastAsia" w:cstheme="minorEastAsia"/>
                <w:bCs/>
                <w:color w:val="auto"/>
                <w:kern w:val="0"/>
                <w:sz w:val="24"/>
                <w:highlight w:val="none"/>
                <w:lang w:val="zh-CN" w:eastAsia="zh-CN"/>
              </w:rPr>
            </w:pPr>
            <w:r>
              <w:rPr>
                <w:rFonts w:hint="eastAsia" w:asciiTheme="minorEastAsia" w:hAnsiTheme="minorEastAsia" w:eastAsiaTheme="minorEastAsia" w:cstheme="minorEastAsia"/>
                <w:bCs/>
                <w:color w:val="auto"/>
                <w:kern w:val="0"/>
                <w:sz w:val="24"/>
                <w:highlight w:val="none"/>
                <w:lang w:val="zh-CN" w:eastAsia="zh-CN"/>
              </w:rPr>
              <w:t>本项目代理服务费</w:t>
            </w:r>
            <w:r>
              <w:rPr>
                <w:rFonts w:hint="eastAsia" w:asciiTheme="minorEastAsia" w:hAnsiTheme="minorEastAsia" w:eastAsiaTheme="minorEastAsia" w:cstheme="minorEastAsia"/>
                <w:bCs/>
                <w:color w:val="auto"/>
                <w:kern w:val="0"/>
                <w:sz w:val="24"/>
                <w:highlight w:val="none"/>
                <w:lang w:val="en-US" w:eastAsia="zh-CN"/>
              </w:rPr>
              <w:t>和</w:t>
            </w:r>
            <w:r>
              <w:rPr>
                <w:rFonts w:hint="eastAsia" w:asciiTheme="minorEastAsia" w:hAnsiTheme="minorEastAsia" w:eastAsiaTheme="minorEastAsia" w:cstheme="minorEastAsia"/>
                <w:bCs/>
                <w:color w:val="auto"/>
                <w:kern w:val="0"/>
                <w:sz w:val="24"/>
                <w:highlight w:val="none"/>
                <w:lang w:val="zh-CN" w:eastAsia="zh-CN"/>
              </w:rPr>
              <w:t>专家评审费由成交人支付。本次代理服务费</w:t>
            </w:r>
            <w:r>
              <w:rPr>
                <w:rFonts w:hint="eastAsia" w:asciiTheme="minorEastAsia" w:hAnsiTheme="minorEastAsia" w:eastAsiaTheme="minorEastAsia" w:cstheme="minorEastAsia"/>
                <w:bCs/>
                <w:color w:val="auto"/>
                <w:kern w:val="0"/>
                <w:sz w:val="24"/>
                <w:highlight w:val="none"/>
                <w:lang w:val="en-US" w:eastAsia="zh-CN"/>
              </w:rPr>
              <w:t>根据中标（成交）金额</w:t>
            </w:r>
            <w:r>
              <w:rPr>
                <w:rFonts w:hint="eastAsia" w:asciiTheme="minorEastAsia" w:hAnsiTheme="minorEastAsia" w:eastAsiaTheme="minorEastAsia" w:cstheme="minorEastAsia"/>
                <w:bCs/>
                <w:color w:val="auto"/>
                <w:kern w:val="0"/>
                <w:sz w:val="24"/>
                <w:highlight w:val="none"/>
                <w:lang w:val="zh-CN" w:eastAsia="zh-CN"/>
              </w:rPr>
              <w:t>按国家发展计划委员会的计价格[2002]1980号文件收费标准</w:t>
            </w:r>
            <w:r>
              <w:rPr>
                <w:rFonts w:hint="eastAsia" w:asciiTheme="minorEastAsia" w:hAnsiTheme="minorEastAsia" w:eastAsiaTheme="minorEastAsia" w:cstheme="minorEastAsia"/>
                <w:bCs/>
                <w:color w:val="auto"/>
                <w:kern w:val="0"/>
                <w:sz w:val="24"/>
                <w:highlight w:val="none"/>
                <w:lang w:val="en-US" w:eastAsia="zh-CN"/>
              </w:rPr>
              <w:t>下浮60%</w:t>
            </w:r>
            <w:r>
              <w:rPr>
                <w:rFonts w:hint="eastAsia" w:asciiTheme="minorEastAsia" w:hAnsiTheme="minorEastAsia" w:eastAsiaTheme="minorEastAsia" w:cstheme="minorEastAsia"/>
                <w:bCs/>
                <w:color w:val="auto"/>
                <w:kern w:val="0"/>
                <w:sz w:val="24"/>
                <w:highlight w:val="none"/>
                <w:lang w:val="zh-CN" w:eastAsia="zh-CN"/>
              </w:rPr>
              <w:t>结算收取，不足</w:t>
            </w:r>
            <w:r>
              <w:rPr>
                <w:rFonts w:hint="eastAsia" w:asciiTheme="minorEastAsia" w:hAnsiTheme="minorEastAsia" w:eastAsiaTheme="minorEastAsia" w:cstheme="minorEastAsia"/>
                <w:bCs/>
                <w:color w:val="auto"/>
                <w:kern w:val="0"/>
                <w:sz w:val="24"/>
                <w:highlight w:val="none"/>
                <w:lang w:val="en-US" w:eastAsia="zh-CN"/>
              </w:rPr>
              <w:t>2</w:t>
            </w:r>
            <w:r>
              <w:rPr>
                <w:rFonts w:hint="eastAsia" w:asciiTheme="minorEastAsia" w:hAnsiTheme="minorEastAsia" w:eastAsiaTheme="minorEastAsia" w:cstheme="minorEastAsia"/>
                <w:bCs/>
                <w:color w:val="auto"/>
                <w:kern w:val="0"/>
                <w:sz w:val="24"/>
                <w:highlight w:val="none"/>
                <w:lang w:val="zh-CN" w:eastAsia="zh-CN"/>
              </w:rPr>
              <w:t>000.00元按</w:t>
            </w:r>
            <w:r>
              <w:rPr>
                <w:rFonts w:hint="eastAsia" w:asciiTheme="minorEastAsia" w:hAnsiTheme="minorEastAsia" w:eastAsiaTheme="minorEastAsia" w:cstheme="minorEastAsia"/>
                <w:bCs/>
                <w:color w:val="auto"/>
                <w:kern w:val="0"/>
                <w:sz w:val="24"/>
                <w:highlight w:val="none"/>
                <w:lang w:val="en-US" w:eastAsia="zh-CN"/>
              </w:rPr>
              <w:t>2</w:t>
            </w:r>
            <w:r>
              <w:rPr>
                <w:rFonts w:hint="eastAsia" w:asciiTheme="minorEastAsia" w:hAnsiTheme="minorEastAsia" w:eastAsiaTheme="minorEastAsia" w:cstheme="minorEastAsia"/>
                <w:bCs/>
                <w:color w:val="auto"/>
                <w:kern w:val="0"/>
                <w:sz w:val="24"/>
                <w:highlight w:val="none"/>
                <w:lang w:val="zh-CN" w:eastAsia="zh-CN"/>
              </w:rPr>
              <w:t>000.00元收取。结算方式及时间为：成交供应商在领取成交通知书前向代理机构支付代理服务费和专家评审费。</w:t>
            </w:r>
          </w:p>
          <w:p w14:paraId="1F4D75AD">
            <w:pPr>
              <w:keepNext w:val="0"/>
              <w:keepLines w:val="0"/>
              <w:pageBreakBefore w:val="0"/>
              <w:widowControl w:val="0"/>
              <w:kinsoku/>
              <w:wordWrap/>
              <w:overflowPunct/>
              <w:topLinePunct w:val="0"/>
              <w:autoSpaceDE/>
              <w:autoSpaceDN/>
              <w:bidi w:val="0"/>
              <w:adjustRightInd w:val="0"/>
              <w:spacing w:line="360" w:lineRule="exact"/>
              <w:ind w:firstLine="480" w:firstLineChars="200"/>
              <w:textAlignment w:val="auto"/>
              <w:rPr>
                <w:rFonts w:hint="eastAsia" w:asciiTheme="minorEastAsia" w:hAnsiTheme="minorEastAsia" w:eastAsiaTheme="minorEastAsia" w:cstheme="minorEastAsia"/>
                <w:bCs/>
                <w:color w:val="auto"/>
                <w:kern w:val="0"/>
                <w:sz w:val="24"/>
                <w:highlight w:val="none"/>
                <w:lang w:val="zh-CN" w:eastAsia="zh-CN"/>
              </w:rPr>
            </w:pPr>
            <w:r>
              <w:rPr>
                <w:rFonts w:hint="eastAsia" w:asciiTheme="minorEastAsia" w:hAnsiTheme="minorEastAsia" w:eastAsiaTheme="minorEastAsia" w:cstheme="minorEastAsia"/>
                <w:bCs/>
                <w:color w:val="auto"/>
                <w:kern w:val="0"/>
                <w:sz w:val="24"/>
                <w:highlight w:val="none"/>
                <w:lang w:val="zh-CN" w:eastAsia="zh-CN"/>
              </w:rPr>
              <w:t>服务费缴纳账号：</w:t>
            </w:r>
          </w:p>
          <w:p w14:paraId="0E3995EB">
            <w:pPr>
              <w:keepNext w:val="0"/>
              <w:keepLines w:val="0"/>
              <w:pageBreakBefore w:val="0"/>
              <w:widowControl w:val="0"/>
              <w:kinsoku/>
              <w:wordWrap/>
              <w:overflowPunct/>
              <w:topLinePunct w:val="0"/>
              <w:autoSpaceDE/>
              <w:autoSpaceDN/>
              <w:bidi w:val="0"/>
              <w:adjustRightInd w:val="0"/>
              <w:spacing w:line="360" w:lineRule="exact"/>
              <w:ind w:firstLine="480" w:firstLineChars="200"/>
              <w:textAlignment w:val="auto"/>
              <w:rPr>
                <w:rFonts w:hint="eastAsia" w:asciiTheme="minorEastAsia" w:hAnsiTheme="minorEastAsia" w:eastAsiaTheme="minorEastAsia" w:cstheme="minorEastAsia"/>
                <w:bCs/>
                <w:color w:val="auto"/>
                <w:kern w:val="0"/>
                <w:sz w:val="24"/>
                <w:highlight w:val="none"/>
                <w:lang w:val="zh-CN" w:eastAsia="zh-CN"/>
              </w:rPr>
            </w:pPr>
            <w:r>
              <w:rPr>
                <w:rFonts w:hint="eastAsia" w:asciiTheme="minorEastAsia" w:hAnsiTheme="minorEastAsia" w:eastAsiaTheme="minorEastAsia" w:cstheme="minorEastAsia"/>
                <w:bCs/>
                <w:color w:val="auto"/>
                <w:kern w:val="0"/>
                <w:sz w:val="24"/>
                <w:highlight w:val="none"/>
                <w:lang w:val="zh-CN" w:eastAsia="zh-CN"/>
              </w:rPr>
              <w:t>开户银行：上海浦东发展银行萧山支行</w:t>
            </w:r>
          </w:p>
          <w:p w14:paraId="687C1E3A">
            <w:pPr>
              <w:keepNext w:val="0"/>
              <w:keepLines w:val="0"/>
              <w:pageBreakBefore w:val="0"/>
              <w:widowControl w:val="0"/>
              <w:kinsoku/>
              <w:wordWrap/>
              <w:overflowPunct/>
              <w:topLinePunct w:val="0"/>
              <w:autoSpaceDE/>
              <w:autoSpaceDN/>
              <w:bidi w:val="0"/>
              <w:adjustRightInd w:val="0"/>
              <w:spacing w:line="360" w:lineRule="exact"/>
              <w:ind w:firstLine="480" w:firstLineChars="200"/>
              <w:textAlignment w:val="auto"/>
              <w:rPr>
                <w:rFonts w:hint="eastAsia" w:asciiTheme="minorEastAsia" w:hAnsiTheme="minorEastAsia" w:eastAsiaTheme="minorEastAsia" w:cstheme="minorEastAsia"/>
                <w:bCs/>
                <w:color w:val="auto"/>
                <w:kern w:val="0"/>
                <w:sz w:val="24"/>
                <w:highlight w:val="none"/>
                <w:lang w:val="zh-CN" w:eastAsia="zh-CN"/>
              </w:rPr>
            </w:pPr>
            <w:r>
              <w:rPr>
                <w:rFonts w:hint="eastAsia" w:asciiTheme="minorEastAsia" w:hAnsiTheme="minorEastAsia" w:eastAsiaTheme="minorEastAsia" w:cstheme="minorEastAsia"/>
                <w:bCs/>
                <w:color w:val="auto"/>
                <w:kern w:val="0"/>
                <w:sz w:val="24"/>
                <w:highlight w:val="none"/>
                <w:lang w:val="zh-CN" w:eastAsia="zh-CN"/>
              </w:rPr>
              <w:t>帐户名称：杭州博望建设工程招标投标代理有限公司</w:t>
            </w:r>
          </w:p>
          <w:p w14:paraId="3DFEAD90">
            <w:pPr>
              <w:keepNext w:val="0"/>
              <w:keepLines w:val="0"/>
              <w:pageBreakBefore w:val="0"/>
              <w:widowControl w:val="0"/>
              <w:kinsoku/>
              <w:wordWrap/>
              <w:overflowPunct/>
              <w:topLinePunct w:val="0"/>
              <w:autoSpaceDE/>
              <w:autoSpaceDN/>
              <w:bidi w:val="0"/>
              <w:adjustRightInd w:val="0"/>
              <w:spacing w:line="360" w:lineRule="exact"/>
              <w:ind w:firstLine="480" w:firstLineChars="200"/>
              <w:textAlignment w:val="auto"/>
              <w:rPr>
                <w:rFonts w:hint="eastAsia" w:asciiTheme="minorEastAsia" w:hAnsiTheme="minorEastAsia" w:eastAsiaTheme="minorEastAsia" w:cstheme="minorEastAsia"/>
                <w:bCs/>
                <w:color w:val="auto"/>
                <w:kern w:val="0"/>
                <w:sz w:val="24"/>
                <w:highlight w:val="none"/>
                <w:lang w:val="zh-CN" w:eastAsia="zh-CN"/>
              </w:rPr>
            </w:pPr>
            <w:r>
              <w:rPr>
                <w:rFonts w:hint="eastAsia" w:asciiTheme="minorEastAsia" w:hAnsiTheme="minorEastAsia" w:eastAsiaTheme="minorEastAsia" w:cstheme="minorEastAsia"/>
                <w:bCs/>
                <w:color w:val="auto"/>
                <w:kern w:val="0"/>
                <w:sz w:val="24"/>
                <w:highlight w:val="none"/>
                <w:lang w:val="zh-CN" w:eastAsia="zh-CN"/>
              </w:rPr>
              <w:t>银行帐号：95070154740001005</w:t>
            </w:r>
          </w:p>
          <w:p w14:paraId="60DB3B45">
            <w:pPr>
              <w:keepNext w:val="0"/>
              <w:keepLines w:val="0"/>
              <w:pageBreakBefore w:val="0"/>
              <w:widowControl w:val="0"/>
              <w:kinsoku/>
              <w:wordWrap/>
              <w:overflowPunct/>
              <w:topLinePunct w:val="0"/>
              <w:autoSpaceDE/>
              <w:autoSpaceDN/>
              <w:bidi w:val="0"/>
              <w:adjustRightInd w:val="0"/>
              <w:spacing w:line="360" w:lineRule="exact"/>
              <w:ind w:firstLine="480" w:firstLineChars="200"/>
              <w:textAlignment w:val="auto"/>
              <w:rPr>
                <w:rFonts w:hint="eastAsia" w:ascii="宋体" w:hAnsi="宋体" w:eastAsia="宋体" w:cs="宋体"/>
                <w:bCs/>
                <w:color w:val="auto"/>
                <w:kern w:val="0"/>
                <w:sz w:val="24"/>
                <w:highlight w:val="none"/>
              </w:rPr>
            </w:pPr>
            <w:r>
              <w:rPr>
                <w:rFonts w:hint="eastAsia" w:asciiTheme="minorEastAsia" w:hAnsiTheme="minorEastAsia" w:eastAsiaTheme="minorEastAsia" w:cstheme="minorEastAsia"/>
                <w:bCs/>
                <w:color w:val="auto"/>
                <w:kern w:val="0"/>
                <w:sz w:val="24"/>
                <w:highlight w:val="none"/>
                <w:lang w:val="en-US" w:eastAsia="zh-CN"/>
              </w:rPr>
              <w:t>财务联系电话：0571-82373980</w:t>
            </w:r>
          </w:p>
        </w:tc>
      </w:tr>
      <w:tr w14:paraId="26F4A3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6874FE7">
            <w:pPr>
              <w:snapToGrid w:val="0"/>
              <w:jc w:val="center"/>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7D54A9E">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履约保证金</w:t>
            </w:r>
          </w:p>
        </w:tc>
        <w:tc>
          <w:tcPr>
            <w:tcW w:w="6706" w:type="dxa"/>
            <w:tcBorders>
              <w:top w:val="single" w:color="000000" w:sz="8" w:space="0"/>
              <w:left w:val="single" w:color="000000" w:sz="2" w:space="0"/>
              <w:bottom w:val="single" w:color="000000" w:sz="8" w:space="0"/>
              <w:right w:val="single" w:color="000000" w:sz="8" w:space="0"/>
            </w:tcBorders>
            <w:vAlign w:val="center"/>
          </w:tcPr>
          <w:p w14:paraId="059A3A72">
            <w:pPr>
              <w:snapToGrid w:val="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履约保证金：</w:t>
            </w:r>
            <w:r>
              <w:rPr>
                <w:rFonts w:hint="eastAsia" w:ascii="宋体" w:hAnsi="宋体" w:eastAsia="宋体" w:cs="宋体"/>
                <w:bCs/>
                <w:color w:val="auto"/>
                <w:kern w:val="0"/>
                <w:sz w:val="24"/>
                <w:highlight w:val="none"/>
                <w:lang w:val="en-US" w:eastAsia="zh-CN"/>
              </w:rPr>
              <w:t>50000.00元</w:t>
            </w:r>
          </w:p>
        </w:tc>
      </w:tr>
      <w:tr w14:paraId="58642B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3283F93">
            <w:pPr>
              <w:snapToGrid w:val="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C1B1FEA">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资格审查和信用信息审查</w:t>
            </w:r>
          </w:p>
        </w:tc>
        <w:tc>
          <w:tcPr>
            <w:tcW w:w="6706" w:type="dxa"/>
            <w:tcBorders>
              <w:top w:val="single" w:color="000000" w:sz="8" w:space="0"/>
              <w:left w:val="single" w:color="000000" w:sz="2" w:space="0"/>
              <w:bottom w:val="single" w:color="000000" w:sz="8" w:space="0"/>
              <w:right w:val="single" w:color="000000" w:sz="8" w:space="0"/>
            </w:tcBorders>
            <w:vAlign w:val="center"/>
          </w:tcPr>
          <w:p w14:paraId="2A8FACC1">
            <w:pPr>
              <w:snapToGrid w:val="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本项目由交易发起人进行资格文件及信用信息查询。</w:t>
            </w:r>
          </w:p>
        </w:tc>
      </w:tr>
      <w:tr w14:paraId="3C8563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7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65F7A5E">
            <w:pPr>
              <w:snapToGrid w:val="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28C87C58">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异议接收人及答复</w:t>
            </w:r>
          </w:p>
        </w:tc>
        <w:tc>
          <w:tcPr>
            <w:tcW w:w="6706" w:type="dxa"/>
            <w:tcBorders>
              <w:top w:val="single" w:color="000000" w:sz="8" w:space="0"/>
              <w:left w:val="single" w:color="000000" w:sz="2" w:space="0"/>
              <w:bottom w:val="single" w:color="000000" w:sz="8" w:space="0"/>
              <w:right w:val="single" w:color="000000" w:sz="8" w:space="0"/>
            </w:tcBorders>
            <w:vAlign w:val="center"/>
          </w:tcPr>
          <w:p w14:paraId="6737E0DE">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代理机构异议接收人：</w:t>
            </w:r>
            <w:r>
              <w:rPr>
                <w:rFonts w:hint="eastAsia" w:ascii="宋体" w:hAnsi="宋体" w:eastAsia="宋体" w:cs="宋体"/>
                <w:color w:val="auto"/>
                <w:sz w:val="24"/>
                <w:highlight w:val="none"/>
                <w:u w:val="single"/>
              </w:rPr>
              <w:t>高华萍</w:t>
            </w:r>
            <w:r>
              <w:rPr>
                <w:rFonts w:hint="eastAsia" w:ascii="宋体" w:hAnsi="宋体" w:eastAsia="宋体" w:cs="宋体"/>
                <w:color w:val="auto"/>
                <w:sz w:val="24"/>
                <w:highlight w:val="none"/>
              </w:rPr>
              <w:t xml:space="preserve"> 联系方式：</w:t>
            </w:r>
            <w:r>
              <w:rPr>
                <w:rFonts w:hint="eastAsia" w:ascii="宋体" w:hAnsi="宋体" w:eastAsia="宋体" w:cs="宋体"/>
                <w:color w:val="auto"/>
                <w:sz w:val="24"/>
                <w:highlight w:val="none"/>
                <w:u w:val="single"/>
              </w:rPr>
              <w:t>0571-83881208</w:t>
            </w:r>
          </w:p>
          <w:p w14:paraId="5023CDFC">
            <w:pPr>
              <w:snapToGrid w:val="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杭州市萧山区金城路433号天汇园一幢A座5楼</w:t>
            </w:r>
          </w:p>
          <w:p w14:paraId="73646970">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邮箱：</w:t>
            </w:r>
            <w:r>
              <w:rPr>
                <w:rFonts w:hint="eastAsia" w:ascii="宋体" w:hAnsi="宋体" w:eastAsia="宋体" w:cs="宋体"/>
                <w:color w:val="auto"/>
                <w:sz w:val="24"/>
                <w:highlight w:val="none"/>
                <w:u w:val="single"/>
              </w:rPr>
              <w:t>751200605@qq.com</w:t>
            </w:r>
          </w:p>
          <w:p w14:paraId="1D34EDC7">
            <w:pPr>
              <w:snapToGrid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如通过邮箱方式发送异议，须提交符合法规及公开竞争文件要求的异议文件（参考附件1），盖章扫描后发送，异议的受理按答复主体划分以交易发起人或代理机构邮箱回复确认受理为准。</w:t>
            </w:r>
          </w:p>
          <w:p w14:paraId="758EFD61">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本项目涉及资格条件、交易需求、评分办法及交易过程中有关现场考察或开标前答疑会事项由交易发起人进行答复。</w:t>
            </w:r>
          </w:p>
          <w:p w14:paraId="3D859D0B">
            <w:pPr>
              <w:pStyle w:val="35"/>
              <w:ind w:hanging="4"/>
              <w:rPr>
                <w:rFonts w:hint="eastAsia" w:ascii="宋体" w:hAnsi="宋体" w:eastAsia="宋体" w:cs="宋体"/>
                <w:color w:val="auto"/>
                <w:sz w:val="24"/>
                <w:highlight w:val="none"/>
              </w:rPr>
            </w:pPr>
            <w:r>
              <w:rPr>
                <w:rFonts w:hint="eastAsia" w:ascii="宋体" w:hAnsi="宋体" w:eastAsia="宋体" w:cs="宋体"/>
                <w:color w:val="auto"/>
                <w:sz w:val="24"/>
                <w:highlight w:val="none"/>
              </w:rPr>
              <w:t>涉及流程组织等相关事项，由代理机构进行答复。</w:t>
            </w:r>
          </w:p>
        </w:tc>
      </w:tr>
      <w:tr w14:paraId="4E5D11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85B1893">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44622EBD">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706" w:type="dxa"/>
            <w:tcBorders>
              <w:top w:val="single" w:color="000000" w:sz="8" w:space="0"/>
              <w:left w:val="single" w:color="000000" w:sz="2" w:space="0"/>
              <w:bottom w:val="single" w:color="000000" w:sz="8" w:space="0"/>
              <w:right w:val="single" w:color="000000" w:sz="8" w:space="0"/>
            </w:tcBorders>
            <w:vAlign w:val="center"/>
          </w:tcPr>
          <w:p w14:paraId="206F1676">
            <w:pPr>
              <w:rPr>
                <w:rFonts w:hint="eastAsia" w:ascii="宋体" w:hAnsi="宋体" w:eastAsia="宋体" w:cs="宋体"/>
                <w:snapToGrid w:val="0"/>
                <w:color w:val="auto"/>
                <w:kern w:val="28"/>
                <w:sz w:val="24"/>
                <w:highlight w:val="none"/>
              </w:rPr>
            </w:pPr>
            <w:r>
              <w:rPr>
                <w:rFonts w:hint="eastAsia" w:ascii="宋体" w:hAnsi="宋体" w:eastAsia="宋体" w:cs="宋体"/>
                <w:b/>
                <w:color w:val="auto"/>
                <w:sz w:val="24"/>
                <w:highlight w:val="none"/>
              </w:rPr>
              <w:t>本项目通用总则条款与前附表等专用特别规定有冲突之处，以专用条款（特别规定）为准。</w:t>
            </w:r>
          </w:p>
        </w:tc>
      </w:tr>
    </w:tbl>
    <w:p w14:paraId="068D6F65">
      <w:pPr>
        <w:snapToGrid w:val="0"/>
        <w:spacing w:line="360" w:lineRule="auto"/>
        <w:jc w:val="center"/>
        <w:rPr>
          <w:rFonts w:hint="eastAsia" w:ascii="宋体" w:hAnsi="宋体" w:eastAsia="宋体" w:cs="宋体"/>
          <w:b/>
          <w:color w:val="auto"/>
          <w:sz w:val="32"/>
          <w:szCs w:val="20"/>
          <w:highlight w:val="none"/>
        </w:rPr>
      </w:pPr>
    </w:p>
    <w:bookmarkEnd w:id="9"/>
    <w:p w14:paraId="1FFBD1B8">
      <w:pPr>
        <w:rPr>
          <w:rFonts w:hint="eastAsia" w:ascii="宋体" w:hAnsi="宋体" w:eastAsia="宋体" w:cs="宋体"/>
          <w:b/>
          <w:color w:val="auto"/>
          <w:sz w:val="32"/>
          <w:szCs w:val="20"/>
          <w:highlight w:val="none"/>
        </w:rPr>
      </w:pPr>
      <w:bookmarkStart w:id="12" w:name="第三部分"/>
      <w:bookmarkStart w:id="13" w:name="_Toc164416483"/>
      <w:r>
        <w:rPr>
          <w:rFonts w:hint="eastAsia" w:ascii="宋体" w:hAnsi="宋体" w:eastAsia="宋体" w:cs="宋体"/>
          <w:b/>
          <w:color w:val="auto"/>
          <w:sz w:val="32"/>
          <w:szCs w:val="20"/>
          <w:highlight w:val="none"/>
        </w:rPr>
        <w:br w:type="page"/>
      </w:r>
    </w:p>
    <w:p w14:paraId="33E22787">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4479C641">
      <w:pPr>
        <w:snapToGrid w:val="0"/>
        <w:spacing w:line="460" w:lineRule="exact"/>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1.适用范围</w:t>
      </w:r>
    </w:p>
    <w:p w14:paraId="34C026B0">
      <w:pPr>
        <w:snapToGrid w:val="0"/>
        <w:spacing w:line="460" w:lineRule="exact"/>
        <w:ind w:firstLine="420" w:firstLineChars="17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本公开竞争文件适用于该项目的交易、响应、评审、资格审查及信用信息查询、评审、定标、合同、验收等行为（法律、法规另有规定的，从其规定）。</w:t>
      </w:r>
    </w:p>
    <w:p w14:paraId="656B4B28">
      <w:pPr>
        <w:adjustRightInd/>
        <w:spacing w:line="460" w:lineRule="exact"/>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3962F26F">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2.1“交易发起人”系指交易公告中载明的本项目的交易发起人。</w:t>
      </w:r>
    </w:p>
    <w:p w14:paraId="20F88D1B">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2.2“代理机构”系指交易公告中载明的本项目的代理机构。</w:t>
      </w:r>
    </w:p>
    <w:p w14:paraId="151ABBC5">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2.3“响应人”系指响应招标、参加投标竞争的法人、其他组织或者自然人。</w:t>
      </w:r>
    </w:p>
    <w:p w14:paraId="09E817F5">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2.4“负责人”系指法人企业的法定负责人，或其他组织为法律、行政法规规定代表单位行使职权的主要负责人，或自然人本人。</w:t>
      </w:r>
    </w:p>
    <w:p w14:paraId="0C051770">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14:paraId="3604EAE7">
      <w:pPr>
        <w:spacing w:line="460" w:lineRule="exact"/>
        <w:ind w:firstLine="420" w:firstLineChars="17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2.6“电子交易平台”是指本项目交易活动所依托的</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（https://</w:t>
      </w:r>
      <w:r>
        <w:rPr>
          <w:rFonts w:hint="eastAsia" w:ascii="宋体" w:hAnsi="宋体" w:eastAsia="宋体" w:cs="宋体"/>
          <w:color w:val="auto"/>
          <w:sz w:val="24"/>
          <w:highlight w:val="none"/>
          <w:lang w:eastAsia="zh-CN"/>
        </w:rPr>
        <w:t>www.lecaiyun.com</w:t>
      </w:r>
      <w:r>
        <w:rPr>
          <w:rFonts w:hint="eastAsia" w:ascii="宋体" w:hAnsi="宋体" w:eastAsia="宋体" w:cs="宋体"/>
          <w:color w:val="auto"/>
          <w:sz w:val="24"/>
          <w:highlight w:val="none"/>
        </w:rPr>
        <w:t>/）。</w:t>
      </w:r>
    </w:p>
    <w:p w14:paraId="1FF7125D">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2.7“▲” 系指实质性要求条款，“（</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 系指适用本项目的要求，“（  ）”系指不适用本项目的要求。</w:t>
      </w:r>
    </w:p>
    <w:p w14:paraId="6C843B64">
      <w:pPr>
        <w:spacing w:line="4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3.异议、投诉</w:t>
      </w:r>
    </w:p>
    <w:p w14:paraId="28084254">
      <w:pPr>
        <w:autoSpaceDE w:val="0"/>
        <w:autoSpaceDN w:val="0"/>
        <w:spacing w:line="460" w:lineRule="exact"/>
        <w:ind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.1响应人异议</w:t>
      </w:r>
    </w:p>
    <w:p w14:paraId="39BE11D4">
      <w:pPr>
        <w:autoSpaceDE w:val="0"/>
        <w:autoSpaceDN w:val="0"/>
        <w:spacing w:line="460" w:lineRule="exact"/>
        <w:ind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响应人对</w:t>
      </w:r>
      <w:r>
        <w:rPr>
          <w:rFonts w:hint="eastAsia" w:ascii="宋体" w:hAnsi="宋体" w:eastAsia="宋体" w:cs="宋体"/>
          <w:color w:val="auto"/>
          <w:kern w:val="0"/>
          <w:sz w:val="24"/>
          <w:highlight w:val="none"/>
        </w:rPr>
        <w:t>交易</w:t>
      </w:r>
      <w:r>
        <w:rPr>
          <w:rFonts w:hint="eastAsia" w:ascii="宋体" w:hAnsi="宋体" w:eastAsia="宋体" w:cs="宋体"/>
          <w:color w:val="auto"/>
          <w:kern w:val="0"/>
          <w:sz w:val="24"/>
          <w:highlight w:val="none"/>
          <w:lang w:val="zh-CN"/>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14:paraId="43BC8C10">
      <w:pPr>
        <w:autoSpaceDE w:val="0"/>
        <w:autoSpaceDN w:val="0"/>
        <w:spacing w:line="460" w:lineRule="exact"/>
        <w:ind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.2响应人异议</w:t>
      </w:r>
    </w:p>
    <w:p w14:paraId="2E960094">
      <w:pPr>
        <w:pStyle w:val="35"/>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.1提出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的响应人应当是参与所质</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项目交易活动的响应人。潜在响应人已依法获取其可</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的公开竞争文件的，可以对该文件提出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w:t>
      </w:r>
    </w:p>
    <w:p w14:paraId="21128AA5">
      <w:pPr>
        <w:pStyle w:val="35"/>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.2响应人认为公开竞争文件、交易过程和成交结果使自己的权益受到损害的，可以在知道或者应知其权益受到损害之日起3日内，以书面形式向交易发起人或者代理机构提出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，否则，交易发起人或者代理机构不予受理：</w:t>
      </w:r>
    </w:p>
    <w:p w14:paraId="4FCA715C">
      <w:pPr>
        <w:pStyle w:val="35"/>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3.2.2.1对交易过程提出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的，</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期限为各交易程序环节结束之日起计算。对同一交易程序环节的</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，响应人须一次性提出。</w:t>
      </w:r>
    </w:p>
    <w:p w14:paraId="26729529">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w:t>
      </w:r>
      <w:r>
        <w:rPr>
          <w:rFonts w:hint="eastAsia" w:ascii="宋体" w:hAnsi="宋体" w:eastAsia="宋体" w:cs="宋体"/>
          <w:color w:val="auto"/>
          <w:sz w:val="24"/>
          <w:highlight w:val="none"/>
        </w:rPr>
        <w:t>响应人提出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应当提交</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函和必要的证明材料。</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函应当包括下列内容：</w:t>
      </w:r>
    </w:p>
    <w:p w14:paraId="13A0C91B">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.2.3.1响应人的姓名或者名称、地址、邮编、联系人及联系电话；</w:t>
      </w:r>
    </w:p>
    <w:p w14:paraId="7DE3937E">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.2.3.2异议项目的名称、编号；</w:t>
      </w:r>
    </w:p>
    <w:p w14:paraId="21718937">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.2.3.3具体、明确的异议事项和与异议事项相关的请求；</w:t>
      </w:r>
    </w:p>
    <w:p w14:paraId="2404E48D">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.2.3.4事实依据；</w:t>
      </w:r>
    </w:p>
    <w:p w14:paraId="66A1E70F">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.2.3.5必要的法律依据；</w:t>
      </w:r>
    </w:p>
    <w:p w14:paraId="0674B77F">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.2.3.6提出异议的日期。</w:t>
      </w:r>
    </w:p>
    <w:p w14:paraId="79BBA6B6">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响应人提交的异议函需一式三份。响应人为自然人的，应当由本人签字；响应人为法人或者其他组织的，应当由法定代表人、主要负责人，或者其授权代表签字或者盖章，并加盖公章。</w:t>
      </w:r>
    </w:p>
    <w:p w14:paraId="34795F86">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异议函范本及制作说明详见附件</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w:t>
      </w:r>
    </w:p>
    <w:p w14:paraId="6D728098">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.2.4交易发起人或者代理机构应当在收到响应人的书面异议后</w:t>
      </w: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日内作出答复，并以书面形式通知异议响应人和其他与异议处理结果有利害关系的交易当事人，但答复的内容不得涉及商业秘密。</w:t>
      </w:r>
    </w:p>
    <w:p w14:paraId="72DC628D">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.2.5询问或者异议事项可能影响</w:t>
      </w:r>
      <w:r>
        <w:rPr>
          <w:rFonts w:hint="eastAsia" w:ascii="宋体" w:hAnsi="宋体" w:eastAsia="宋体" w:cs="宋体"/>
          <w:color w:val="auto"/>
          <w:kern w:val="0"/>
          <w:sz w:val="24"/>
          <w:highlight w:val="none"/>
        </w:rPr>
        <w:t>交易</w:t>
      </w:r>
      <w:r>
        <w:rPr>
          <w:rFonts w:hint="eastAsia" w:ascii="宋体" w:hAnsi="宋体" w:eastAsia="宋体" w:cs="宋体"/>
          <w:color w:val="auto"/>
          <w:kern w:val="0"/>
          <w:sz w:val="24"/>
          <w:highlight w:val="none"/>
          <w:lang w:val="zh-CN"/>
        </w:rPr>
        <w:t>结果的，交易发起人应当暂停签订合同，已经签订合同的，应当中止履行合同。</w:t>
      </w:r>
    </w:p>
    <w:p w14:paraId="72DB876D">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.3响应人投诉</w:t>
      </w:r>
    </w:p>
    <w:p w14:paraId="1AFFDA20">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.3.1异议响应人对交易发起人、代理机构的答复不满意或者交易发起人、代理机构未在规定的时间内作出答复的，可以在答复期满后</w:t>
      </w:r>
      <w:r>
        <w:rPr>
          <w:rFonts w:hint="eastAsia" w:ascii="宋体" w:hAnsi="宋体" w:eastAsia="宋体" w:cs="宋体"/>
          <w:color w:val="auto"/>
          <w:kern w:val="0"/>
          <w:sz w:val="24"/>
          <w:highlight w:val="none"/>
        </w:rPr>
        <w:t>10</w:t>
      </w:r>
      <w:r>
        <w:rPr>
          <w:rFonts w:hint="eastAsia" w:ascii="宋体" w:hAnsi="宋体" w:eastAsia="宋体" w:cs="宋体"/>
          <w:color w:val="auto"/>
          <w:kern w:val="0"/>
          <w:sz w:val="24"/>
          <w:highlight w:val="none"/>
          <w:lang w:val="zh-CN"/>
        </w:rPr>
        <w:t>日内向基层监督机构部门提出投诉。</w:t>
      </w:r>
    </w:p>
    <w:p w14:paraId="186C0DEF">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.3.2响应人投诉的事项不得超出已异议事项的范围，基于异议答复内容提出的投诉事项除外。</w:t>
      </w:r>
    </w:p>
    <w:p w14:paraId="35603ACF">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.3.3响应人投诉应当有明确的请求和必要的证明材料。</w:t>
      </w:r>
    </w:p>
    <w:p w14:paraId="37939A19">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w:t>
      </w: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zh-CN"/>
        </w:rPr>
        <w:t>以联合体形式参加交易活动的，其投诉应当由组成联合体的所有响应人共同提出。</w:t>
      </w:r>
    </w:p>
    <w:p w14:paraId="2B40A67E">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投诉书范本及制作说明详见附件</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w:t>
      </w:r>
    </w:p>
    <w:p w14:paraId="658FA982">
      <w:pPr>
        <w:pStyle w:val="137"/>
        <w:snapToGrid w:val="0"/>
        <w:spacing w:before="0" w:line="460" w:lineRule="exact"/>
        <w:ind w:firstLine="360"/>
        <w:rPr>
          <w:rFonts w:hint="eastAsia" w:ascii="宋体" w:hAnsi="宋体" w:eastAsia="宋体" w:cs="宋体"/>
          <w:color w:val="auto"/>
          <w:sz w:val="18"/>
          <w:szCs w:val="18"/>
          <w:highlight w:val="none"/>
        </w:rPr>
      </w:pPr>
    </w:p>
    <w:p w14:paraId="47DE3134">
      <w:pPr>
        <w:adjustRightInd/>
        <w:spacing w:line="460" w:lineRule="exact"/>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二、公开竞争文件的构成、澄清、修改</w:t>
      </w:r>
    </w:p>
    <w:p w14:paraId="33125F1C">
      <w:pPr>
        <w:pStyle w:val="35"/>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4．公开竞争文件的构成</w:t>
      </w:r>
    </w:p>
    <w:p w14:paraId="0622E794">
      <w:pPr>
        <w:pStyle w:val="35"/>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4.1公开竞争文件包括下列文件及附件：</w:t>
      </w:r>
    </w:p>
    <w:p w14:paraId="51BDC82B">
      <w:pPr>
        <w:pStyle w:val="35"/>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4.1.1交易公告；</w:t>
      </w:r>
    </w:p>
    <w:p w14:paraId="209001BA">
      <w:pPr>
        <w:pStyle w:val="35"/>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4.1.2响应人须知；</w:t>
      </w:r>
    </w:p>
    <w:p w14:paraId="50DBA6F5">
      <w:pPr>
        <w:pStyle w:val="35"/>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4.1.3交易需求；</w:t>
      </w:r>
    </w:p>
    <w:p w14:paraId="4E41D1BC">
      <w:pPr>
        <w:pStyle w:val="35"/>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4.1.4交易办法；</w:t>
      </w:r>
    </w:p>
    <w:p w14:paraId="6035C8CC">
      <w:pPr>
        <w:pStyle w:val="35"/>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4.1.5拟签订的合同文本；</w:t>
      </w:r>
    </w:p>
    <w:p w14:paraId="045D6F36">
      <w:pPr>
        <w:pStyle w:val="35"/>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4.1.6</w:t>
      </w:r>
      <w:r>
        <w:rPr>
          <w:rFonts w:hint="eastAsia" w:ascii="宋体" w:hAnsi="宋体" w:eastAsia="宋体" w:cs="宋体"/>
          <w:color w:val="auto"/>
          <w:sz w:val="24"/>
          <w:szCs w:val="24"/>
          <w:highlight w:val="none"/>
        </w:rPr>
        <w:t>应提交的有关格式范例。</w:t>
      </w:r>
    </w:p>
    <w:p w14:paraId="695F18FC">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4.2与本项目有关的</w:t>
      </w:r>
      <w:r>
        <w:rPr>
          <w:rFonts w:hint="eastAsia" w:ascii="宋体" w:hAnsi="宋体" w:eastAsia="宋体" w:cs="宋体"/>
          <w:bCs/>
          <w:color w:val="auto"/>
          <w:sz w:val="24"/>
          <w:highlight w:val="none"/>
        </w:rPr>
        <w:t>澄清或者修改的内容为公开竞争文件的组成部分</w:t>
      </w:r>
      <w:r>
        <w:rPr>
          <w:rFonts w:hint="eastAsia" w:ascii="宋体" w:hAnsi="宋体" w:eastAsia="宋体" w:cs="宋体"/>
          <w:color w:val="auto"/>
          <w:sz w:val="24"/>
          <w:highlight w:val="none"/>
        </w:rPr>
        <w:t>。</w:t>
      </w:r>
    </w:p>
    <w:p w14:paraId="243D57C1">
      <w:pPr>
        <w:pStyle w:val="35"/>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5.公开竞争文件的澄清、修改</w:t>
      </w:r>
    </w:p>
    <w:p w14:paraId="43EDD218">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5.1已获取公开竞争文件的潜在响应人，若有问题需要澄清，应于响应截止时间前，以书面形式向代理机构提出。</w:t>
      </w:r>
    </w:p>
    <w:p w14:paraId="55C9A6A8">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5.2 代理机构对公开竞争文件进行澄清或修改的，将同时通过电子交易平台通知已获取公开竞争文件的潜在响应人。依法应当公告的，将按规定公告，同时视情况延长响应截止时间和交易时间。该澄清或者修改的内容为公开竞争文件的组成部分。</w:t>
      </w:r>
    </w:p>
    <w:p w14:paraId="293A73BE">
      <w:pPr>
        <w:adjustRightInd/>
        <w:spacing w:line="460" w:lineRule="exact"/>
        <w:jc w:val="center"/>
        <w:outlineLvl w:val="0"/>
        <w:rPr>
          <w:rFonts w:hint="eastAsia" w:ascii="宋体" w:hAnsi="宋体" w:eastAsia="宋体" w:cs="宋体"/>
          <w:b/>
          <w:color w:val="auto"/>
          <w:sz w:val="30"/>
          <w:szCs w:val="20"/>
          <w:highlight w:val="none"/>
        </w:rPr>
      </w:pPr>
    </w:p>
    <w:p w14:paraId="339CCC85">
      <w:pPr>
        <w:adjustRightInd/>
        <w:spacing w:line="460" w:lineRule="exact"/>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三、响应</w:t>
      </w:r>
    </w:p>
    <w:p w14:paraId="4403FEE4">
      <w:pPr>
        <w:pStyle w:val="35"/>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6.公开竞争文件的获取</w:t>
      </w:r>
    </w:p>
    <w:p w14:paraId="3886E288">
      <w:pPr>
        <w:spacing w:line="460" w:lineRule="exact"/>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详见交易公告中获取公开竞争文件的时间期限、地点、方式及公开竞争文件售价。</w:t>
      </w:r>
    </w:p>
    <w:p w14:paraId="14CE2EF8">
      <w:pPr>
        <w:pStyle w:val="35"/>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7.交易前答疑会或现场考察</w:t>
      </w:r>
    </w:p>
    <w:p w14:paraId="5395F9F2">
      <w:pPr>
        <w:pStyle w:val="35"/>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本项目不组织交易前答疑会或现场考察。</w:t>
      </w:r>
    </w:p>
    <w:p w14:paraId="6CDC1277">
      <w:pPr>
        <w:pStyle w:val="35"/>
        <w:spacing w:line="460" w:lineRule="exact"/>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8.交易保证金</w:t>
      </w:r>
    </w:p>
    <w:p w14:paraId="2AA433A5">
      <w:pPr>
        <w:pStyle w:val="16"/>
        <w:spacing w:line="460" w:lineRule="exact"/>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本项目不需缴纳交易保证金。</w:t>
      </w:r>
    </w:p>
    <w:p w14:paraId="20DB3612">
      <w:pPr>
        <w:pStyle w:val="35"/>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9.响应文件的语言</w:t>
      </w:r>
    </w:p>
    <w:p w14:paraId="5702B5DB">
      <w:pPr>
        <w:autoSpaceDE w:val="0"/>
        <w:autoSpaceDN w:val="0"/>
        <w:spacing w:line="46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响应文件及响应人与交易有关的来往通知、函件和文件均应使用中文。</w:t>
      </w:r>
    </w:p>
    <w:p w14:paraId="0CC2167D">
      <w:pPr>
        <w:pStyle w:val="35"/>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10.响应文件的组成</w:t>
      </w:r>
    </w:p>
    <w:p w14:paraId="1DA92A0B">
      <w:pPr>
        <w:snapToGrid w:val="0"/>
        <w:spacing w:line="46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10.1资格文件：</w:t>
      </w:r>
    </w:p>
    <w:p w14:paraId="5E0F9BAB">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10.1.1符合参加交易活动应当具备的一般条件的承诺函；</w:t>
      </w:r>
    </w:p>
    <w:p w14:paraId="0EBFC44C">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10.1.2本项目的特定资格要求。</w:t>
      </w:r>
    </w:p>
    <w:p w14:paraId="7215FB29">
      <w:pPr>
        <w:snapToGrid w:val="0"/>
        <w:spacing w:line="460" w:lineRule="exact"/>
        <w:ind w:firstLine="482"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w:t>
      </w:r>
      <w:r>
        <w:rPr>
          <w:rFonts w:hint="eastAsia" w:ascii="宋体" w:hAnsi="宋体" w:eastAsia="宋体" w:cs="宋体"/>
          <w:b/>
          <w:bCs/>
          <w:color w:val="auto"/>
          <w:sz w:val="24"/>
          <w:highlight w:val="none"/>
        </w:rPr>
        <w:t>0</w:t>
      </w:r>
      <w:r>
        <w:rPr>
          <w:rFonts w:hint="eastAsia" w:ascii="宋体" w:hAnsi="宋体" w:eastAsia="宋体" w:cs="宋体"/>
          <w:b/>
          <w:bCs/>
          <w:color w:val="auto"/>
          <w:sz w:val="24"/>
          <w:highlight w:val="none"/>
          <w:lang w:val="zh-CN"/>
        </w:rPr>
        <w:t>.</w:t>
      </w:r>
      <w:r>
        <w:rPr>
          <w:rFonts w:hint="eastAsia" w:ascii="宋体" w:hAnsi="宋体" w:eastAsia="宋体" w:cs="宋体"/>
          <w:b/>
          <w:bCs/>
          <w:color w:val="auto"/>
          <w:sz w:val="24"/>
          <w:highlight w:val="none"/>
        </w:rPr>
        <w:t>2商务技术</w:t>
      </w:r>
      <w:r>
        <w:rPr>
          <w:rFonts w:hint="eastAsia" w:ascii="宋体" w:hAnsi="宋体" w:eastAsia="宋体" w:cs="宋体"/>
          <w:b/>
          <w:bCs/>
          <w:color w:val="auto"/>
          <w:sz w:val="24"/>
          <w:highlight w:val="none"/>
          <w:lang w:val="zh-CN"/>
        </w:rPr>
        <w:t>文件：</w:t>
      </w:r>
    </w:p>
    <w:p w14:paraId="012945B0">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10.2.1交易函；</w:t>
      </w:r>
    </w:p>
    <w:p w14:paraId="365EC8AA">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10.2.2授权委托书或法定代表人（单位负责人、自然人本人）身份证明；</w:t>
      </w:r>
    </w:p>
    <w:p w14:paraId="77C276C6">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10.2.3营业执照；</w:t>
      </w:r>
    </w:p>
    <w:p w14:paraId="7C979318">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10.2.4符合性审查资料；</w:t>
      </w:r>
    </w:p>
    <w:p w14:paraId="760E5644">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10.2.5评审标准相应的商务技术资料；</w:t>
      </w:r>
    </w:p>
    <w:p w14:paraId="4A1C0CFE">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10.2.6商务技术偏离表；</w:t>
      </w:r>
    </w:p>
    <w:p w14:paraId="6AD996D4">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10.2.7</w:t>
      </w:r>
      <w:r>
        <w:rPr>
          <w:rFonts w:hint="eastAsia" w:ascii="宋体" w:hAnsi="宋体" w:eastAsia="宋体" w:cs="宋体"/>
          <w:color w:val="auto"/>
          <w:sz w:val="24"/>
          <w:highlight w:val="none"/>
          <w:lang w:val="zh-CN"/>
        </w:rPr>
        <w:t>响应人廉洁自律承诺书。</w:t>
      </w:r>
    </w:p>
    <w:p w14:paraId="3B8C0409">
      <w:pPr>
        <w:snapToGrid w:val="0"/>
        <w:spacing w:line="460" w:lineRule="exact"/>
        <w:ind w:firstLine="482" w:firstLineChars="200"/>
        <w:rPr>
          <w:rFonts w:hint="eastAsia" w:ascii="宋体" w:hAnsi="宋体" w:eastAsia="宋体" w:cs="宋体"/>
          <w:b/>
          <w:bCs/>
          <w:color w:val="auto"/>
          <w:sz w:val="24"/>
          <w:highlight w:val="none"/>
          <w:u w:val="single"/>
          <w:lang w:val="zh-CN"/>
        </w:rPr>
      </w:pPr>
      <w:r>
        <w:rPr>
          <w:rFonts w:hint="eastAsia" w:ascii="宋体" w:hAnsi="宋体" w:eastAsia="宋体" w:cs="宋体"/>
          <w:b/>
          <w:bCs/>
          <w:color w:val="auto"/>
          <w:kern w:val="0"/>
          <w:sz w:val="24"/>
          <w:highlight w:val="none"/>
          <w:lang w:val="zh-CN"/>
        </w:rPr>
        <w:t>1</w:t>
      </w:r>
      <w:r>
        <w:rPr>
          <w:rFonts w:hint="eastAsia" w:ascii="宋体" w:hAnsi="宋体" w:eastAsia="宋体" w:cs="宋体"/>
          <w:b/>
          <w:bCs/>
          <w:color w:val="auto"/>
          <w:kern w:val="0"/>
          <w:sz w:val="24"/>
          <w:highlight w:val="none"/>
        </w:rPr>
        <w:t>0</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kern w:val="0"/>
          <w:sz w:val="24"/>
          <w:highlight w:val="none"/>
        </w:rPr>
        <w:t>3</w:t>
      </w:r>
      <w:r>
        <w:rPr>
          <w:rFonts w:hint="eastAsia" w:ascii="宋体" w:hAnsi="宋体" w:eastAsia="宋体" w:cs="宋体"/>
          <w:b/>
          <w:bCs/>
          <w:color w:val="auto"/>
          <w:sz w:val="24"/>
          <w:highlight w:val="none"/>
        </w:rPr>
        <w:t>报价文件：</w:t>
      </w:r>
    </w:p>
    <w:p w14:paraId="26BC3C69">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10.3.1交易一览表（报价表）。</w:t>
      </w:r>
    </w:p>
    <w:p w14:paraId="2941A46A">
      <w:pPr>
        <w:spacing w:line="460" w:lineRule="exact"/>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响应文件含有交易发起人不能接受的附加条件的，交易无效；</w:t>
      </w:r>
    </w:p>
    <w:p w14:paraId="19EE1C85">
      <w:pPr>
        <w:spacing w:line="460" w:lineRule="exact"/>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响应人提供虚假材料投标的，交易无效。</w:t>
      </w:r>
    </w:p>
    <w:p w14:paraId="58FC1F9B">
      <w:pPr>
        <w:pStyle w:val="137"/>
        <w:snapToGrid w:val="0"/>
        <w:spacing w:before="0" w:line="460" w:lineRule="exact"/>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11</w:t>
      </w:r>
      <w:r>
        <w:rPr>
          <w:rFonts w:hint="eastAsia" w:ascii="宋体" w:hAnsi="宋体" w:eastAsia="宋体" w:cs="宋体"/>
          <w:b/>
          <w:color w:val="auto"/>
          <w:kern w:val="0"/>
          <w:szCs w:val="24"/>
          <w:highlight w:val="none"/>
          <w:lang w:val="zh-CN"/>
        </w:rPr>
        <w:t>.</w:t>
      </w:r>
      <w:r>
        <w:rPr>
          <w:rFonts w:hint="eastAsia" w:ascii="宋体" w:hAnsi="宋体" w:eastAsia="宋体" w:cs="宋体"/>
          <w:b/>
          <w:color w:val="auto"/>
          <w:szCs w:val="24"/>
          <w:highlight w:val="none"/>
        </w:rPr>
        <w:t>响应文件的编制</w:t>
      </w:r>
    </w:p>
    <w:p w14:paraId="48C254C5">
      <w:pPr>
        <w:spacing w:line="4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14:paraId="30C674D7">
      <w:pPr>
        <w:spacing w:line="46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.2响应人进行电子投标应安装客户端软件—“乐采云电子交易客户端”，并按照公开竞争文件和电子交易平台的要求编制并加密响应文件。响应人未按规定加密的响应文件，电子交易平台将拒收并提示。</w:t>
      </w:r>
    </w:p>
    <w:p w14:paraId="30A7A3A6">
      <w:pPr>
        <w:spacing w:line="46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.3使用“乐采云电子交易客户端”需要提前申领CA数字证书，申领流程请自行前往“浙江企业采购信息服务网-下载专区-电子交易客户端-CA驱动和申领流程”进行查阅。</w:t>
      </w:r>
    </w:p>
    <w:p w14:paraId="0D847800">
      <w:pPr>
        <w:snapToGrid w:val="0"/>
        <w:spacing w:line="4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12.响应文件的签署、盖章</w:t>
      </w:r>
    </w:p>
    <w:p w14:paraId="6C352F51">
      <w:pPr>
        <w:pStyle w:val="137"/>
        <w:snapToGrid w:val="0"/>
        <w:spacing w:before="0" w:line="460" w:lineRule="exact"/>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12.1响应文件按照公开竞争文件第六部分格式要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▲响应人的响应文件未按照公开竞争文件要求签署、盖章的，其交易无效</w:t>
      </w:r>
      <w:r>
        <w:rPr>
          <w:rFonts w:hint="eastAsia" w:ascii="宋体" w:hAnsi="宋体" w:eastAsia="宋体" w:cs="宋体"/>
          <w:color w:val="auto"/>
          <w:szCs w:val="24"/>
          <w:highlight w:val="none"/>
        </w:rPr>
        <w:t>。</w:t>
      </w:r>
    </w:p>
    <w:p w14:paraId="77481074">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12.2为确保网上操作合法、有效和安全，响应人应当在响应截止时间前完成在“</w:t>
      </w:r>
      <w:r>
        <w:rPr>
          <w:rFonts w:hint="eastAsia" w:ascii="宋体" w:hAnsi="宋体" w:eastAsia="宋体" w:cs="宋体"/>
          <w:color w:val="auto"/>
          <w:highlight w:val="none"/>
          <w:lang w:eastAsia="zh-CN"/>
        </w:rPr>
        <w:t>乐采云平台</w:t>
      </w:r>
      <w:r>
        <w:rPr>
          <w:rFonts w:hint="eastAsia" w:ascii="宋体" w:hAnsi="宋体" w:eastAsia="宋体" w:cs="宋体"/>
          <w:color w:val="auto"/>
          <w:highlight w:val="none"/>
        </w:rPr>
        <w:t>”的身份认证，确保在电子投标过程中能够对相关数据电文进行加密和使用电子签名。</w:t>
      </w:r>
    </w:p>
    <w:p w14:paraId="15DA2F7B">
      <w:pPr>
        <w:pStyle w:val="137"/>
        <w:snapToGrid w:val="0"/>
        <w:spacing w:before="0" w:line="460" w:lineRule="exact"/>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12.3公开竞争文件对响应文件签署、盖章的要求适用于电子签名。</w:t>
      </w:r>
    </w:p>
    <w:p w14:paraId="599AA094">
      <w:pPr>
        <w:pStyle w:val="137"/>
        <w:spacing w:before="0" w:line="46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13.响应文件的提交、补充、修改、撤回</w:t>
      </w:r>
    </w:p>
    <w:p w14:paraId="321863DA">
      <w:pPr>
        <w:pStyle w:val="137"/>
        <w:spacing w:line="46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14:paraId="3D4F5D6F">
      <w:pPr>
        <w:pStyle w:val="137"/>
        <w:spacing w:before="0" w:line="46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13.2电子交易平台收到响应文件，将妥善保存并即时向响应人发出确认回执通知。在响应截止时间前，除响应人补充、修改或者撤回响应文件外，任何单位和个人不得解密或提取响应文件。</w:t>
      </w:r>
    </w:p>
    <w:p w14:paraId="1125582E">
      <w:pPr>
        <w:pStyle w:val="137"/>
        <w:spacing w:before="0" w:line="46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13.3交易发起人、代理机构可以视情况延长响应文件提交的截止时间。在上述情况下，代理机构与响应人以前在投标截止期方面的全部权利、责任和义务，将适用于延长至新的投标截止期。</w:t>
      </w:r>
    </w:p>
    <w:p w14:paraId="745DF2A0">
      <w:pPr>
        <w:pStyle w:val="35"/>
        <w:numPr>
          <w:ilvl w:val="0"/>
          <w:numId w:val="1"/>
        </w:numPr>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备份响应文件</w:t>
      </w:r>
    </w:p>
    <w:p w14:paraId="4597079E">
      <w:pPr>
        <w:pStyle w:val="35"/>
        <w:spacing w:line="46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28"/>
          <w:sz w:val="24"/>
          <w:szCs w:val="24"/>
          <w:highlight w:val="none"/>
        </w:rPr>
        <w:t>不收取备份响应文件。</w:t>
      </w:r>
    </w:p>
    <w:p w14:paraId="4E459C3E">
      <w:pPr>
        <w:pStyle w:val="137"/>
        <w:spacing w:before="0" w:line="46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15.响应文件的无效处理</w:t>
      </w:r>
    </w:p>
    <w:p w14:paraId="7DC7AC1A">
      <w:pPr>
        <w:pStyle w:val="26"/>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有公开竞争文件第四部分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的情形之一的，交易无效：</w:t>
      </w:r>
    </w:p>
    <w:p w14:paraId="19B272AA">
      <w:pPr>
        <w:pStyle w:val="137"/>
        <w:spacing w:before="0" w:line="46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16.交易有效期</w:t>
      </w:r>
    </w:p>
    <w:p w14:paraId="4D7ACF55">
      <w:pPr>
        <w:spacing w:line="460" w:lineRule="exact"/>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16.1交易有效期为从提交响应文件的截止之日起90天。▲</w:t>
      </w:r>
      <w:r>
        <w:rPr>
          <w:rFonts w:hint="eastAsia" w:ascii="宋体" w:hAnsi="宋体" w:eastAsia="宋体" w:cs="宋体"/>
          <w:b/>
          <w:color w:val="auto"/>
          <w:sz w:val="24"/>
          <w:szCs w:val="20"/>
          <w:highlight w:val="none"/>
        </w:rPr>
        <w:t>响应人的响应文件中承</w:t>
      </w:r>
      <w:r>
        <w:rPr>
          <w:rFonts w:hint="eastAsia" w:ascii="宋体" w:hAnsi="宋体" w:eastAsia="宋体" w:cs="宋体"/>
          <w:b/>
          <w:color w:val="auto"/>
          <w:sz w:val="24"/>
          <w:szCs w:val="21"/>
          <w:highlight w:val="none"/>
        </w:rPr>
        <w:t>诺的交易有效期少于公开竞争文件中载明的交易有效期的，交易无效。</w:t>
      </w:r>
    </w:p>
    <w:p w14:paraId="12E75B05">
      <w:pPr>
        <w:pStyle w:val="137"/>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16.2响应文件合格投递后，自投标截止日期起，在交易有效期内有效。</w:t>
      </w:r>
    </w:p>
    <w:p w14:paraId="54A39544">
      <w:pPr>
        <w:pStyle w:val="137"/>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16.3在原定交易有效期满之前，如果出现特殊情况，代理机构可以以书面形式通知响应人延长交易有效期。响应人同意延长的，不得要求或被允许修改其响应文件，响应人拒绝延长的，其交易无效。</w:t>
      </w:r>
    </w:p>
    <w:p w14:paraId="60FE8D69">
      <w:pPr>
        <w:pStyle w:val="137"/>
        <w:spacing w:before="0" w:line="460" w:lineRule="exact"/>
        <w:ind w:firstLine="643"/>
        <w:rPr>
          <w:rFonts w:hint="eastAsia" w:ascii="宋体" w:hAnsi="宋体" w:eastAsia="宋体" w:cs="宋体"/>
          <w:b/>
          <w:color w:val="auto"/>
          <w:sz w:val="32"/>
          <w:highlight w:val="none"/>
        </w:rPr>
      </w:pPr>
    </w:p>
    <w:p w14:paraId="591A75A0">
      <w:pPr>
        <w:pStyle w:val="137"/>
        <w:spacing w:before="0" w:line="460" w:lineRule="exact"/>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四、交易、资格审查</w:t>
      </w:r>
    </w:p>
    <w:p w14:paraId="1A1835F3">
      <w:pPr>
        <w:pStyle w:val="562"/>
        <w:spacing w:before="0" w:line="460" w:lineRule="exact"/>
        <w:ind w:left="0" w:firstLine="0"/>
        <w:contextualSpacing/>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 xml:space="preserve">17.交易 </w:t>
      </w:r>
    </w:p>
    <w:p w14:paraId="4F245924">
      <w:pPr>
        <w:pStyle w:val="562"/>
        <w:spacing w:before="0" w:line="460" w:lineRule="exact"/>
        <w:ind w:left="0" w:firstLine="420"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17.1代理机构按照公开竞争文件规定的时间通过电子交易平台组织开标，所有响应人均应当准时在线参加。响应人不足3家的，不得开标。</w:t>
      </w:r>
    </w:p>
    <w:p w14:paraId="5388F416">
      <w:pPr>
        <w:pStyle w:val="562"/>
        <w:spacing w:before="0" w:line="460" w:lineRule="exact"/>
        <w:ind w:left="0" w:firstLine="420"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17.2交易时，电子交易平台按交易时间自动提取所有响应文件。代理机构依托电子交易平台发起开始解密指令，响应人按照平台提示和公开竞争文件的规定在半小时内完成在线解密。</w:t>
      </w:r>
    </w:p>
    <w:p w14:paraId="5944D515">
      <w:pPr>
        <w:pStyle w:val="562"/>
        <w:spacing w:before="0" w:line="460" w:lineRule="exact"/>
        <w:ind w:left="0" w:firstLine="420"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17.3响应文件未按时解密，视为响应文件撤回。</w:t>
      </w:r>
    </w:p>
    <w:p w14:paraId="3DFB6ABA">
      <w:pPr>
        <w:pStyle w:val="26"/>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18、资格审查</w:t>
      </w:r>
    </w:p>
    <w:p w14:paraId="5A2DB46D">
      <w:pPr>
        <w:pStyle w:val="137"/>
        <w:spacing w:before="0" w:line="46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18.1交易后，交易发起人或代理机构将依法对响应人的资格进行审查。</w:t>
      </w:r>
    </w:p>
    <w:p w14:paraId="63A4462E">
      <w:pPr>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18.2</w:t>
      </w:r>
      <w:r>
        <w:rPr>
          <w:rFonts w:hint="eastAsia" w:ascii="宋体" w:hAnsi="宋体" w:eastAsia="宋体" w:cs="宋体"/>
          <w:color w:val="auto"/>
          <w:sz w:val="24"/>
          <w:highlight w:val="none"/>
        </w:rPr>
        <w:t>交易发起人或代理机构依据法律法规和公开竞争文件的规定，对响应人的基本资格条件、特定资格条件进行审查。</w:t>
      </w:r>
    </w:p>
    <w:p w14:paraId="354885F5">
      <w:pPr>
        <w:pStyle w:val="137"/>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18.3响应人未按照公开竞争文件要求提供与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响应人不具备公开竞争文件中规定的资格要求，其交易无效。</w:t>
      </w:r>
    </w:p>
    <w:p w14:paraId="29C7DFBF">
      <w:pPr>
        <w:pStyle w:val="137"/>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w:t>
      </w:r>
      <w:r>
        <w:rPr>
          <w:rFonts w:hint="eastAsia" w:ascii="宋体" w:hAnsi="宋体" w:eastAsia="宋体" w:cs="宋体"/>
          <w:color w:val="auto"/>
          <w:highlight w:val="none"/>
        </w:rPr>
        <w:t>4对未通过资格审查的响应人，交易发起人或代理机构告知其未通过的原因。</w:t>
      </w:r>
    </w:p>
    <w:p w14:paraId="09E8AF44">
      <w:pPr>
        <w:pStyle w:val="137"/>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w:t>
      </w:r>
      <w:r>
        <w:rPr>
          <w:rFonts w:hint="eastAsia" w:ascii="宋体" w:hAnsi="宋体" w:eastAsia="宋体" w:cs="宋体"/>
          <w:color w:val="auto"/>
          <w:highlight w:val="none"/>
        </w:rPr>
        <w:t>5合格响应人不足3家的，不再评标。</w:t>
      </w:r>
    </w:p>
    <w:p w14:paraId="3B4244FF">
      <w:pPr>
        <w:pStyle w:val="137"/>
        <w:spacing w:before="0" w:line="460" w:lineRule="exact"/>
        <w:ind w:firstLine="0" w:firstLineChars="0"/>
        <w:rPr>
          <w:rFonts w:hint="eastAsia" w:ascii="宋体" w:hAnsi="宋体" w:eastAsia="宋体" w:cs="宋体"/>
          <w:color w:val="auto"/>
          <w:kern w:val="0"/>
          <w:szCs w:val="24"/>
          <w:highlight w:val="none"/>
        </w:rPr>
      </w:pPr>
    </w:p>
    <w:p w14:paraId="3C4918F8">
      <w:pPr>
        <w:snapToGrid w:val="0"/>
        <w:spacing w:line="460" w:lineRule="exact"/>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五、评审</w:t>
      </w:r>
    </w:p>
    <w:p w14:paraId="2B2BBEE2">
      <w:pPr>
        <w:spacing w:line="460" w:lineRule="exact"/>
        <w:rPr>
          <w:rFonts w:hint="eastAsia" w:ascii="宋体" w:hAnsi="宋体" w:eastAsia="宋体" w:cs="宋体"/>
          <w:color w:val="auto"/>
          <w:sz w:val="24"/>
          <w:highlight w:val="none"/>
        </w:rPr>
      </w:pPr>
      <w:bookmarkStart w:id="14" w:name="_Toc91899903"/>
      <w:r>
        <w:rPr>
          <w:rFonts w:hint="eastAsia" w:ascii="宋体" w:hAnsi="宋体" w:eastAsia="宋体" w:cs="宋体"/>
          <w:b/>
          <w:color w:val="auto"/>
          <w:sz w:val="24"/>
          <w:highlight w:val="none"/>
        </w:rPr>
        <w:t>19.</w:t>
      </w:r>
      <w:r>
        <w:rPr>
          <w:rFonts w:hint="eastAsia" w:ascii="宋体" w:hAnsi="宋体" w:eastAsia="宋体" w:cs="宋体"/>
          <w:color w:val="auto"/>
          <w:sz w:val="24"/>
          <w:highlight w:val="none"/>
        </w:rPr>
        <w:t>评审委员会将根据公开竞争文件和有关规定，履行评标工作职责，并按照评标方法及评分标准，全面衡量各响应人对公开竞争文件的响应情况。对实质上响应公开竞争文件的响应人，按照评审因素的量化指标排出推荐成交的响应人的先后顺序，并按顺序提出授标建议。</w:t>
      </w:r>
    </w:p>
    <w:p w14:paraId="09274377">
      <w:pPr>
        <w:spacing w:line="4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详见公开竞争文件第四部分交易办法。</w:t>
      </w:r>
    </w:p>
    <w:p w14:paraId="39F86E83">
      <w:pPr>
        <w:spacing w:line="460" w:lineRule="exact"/>
        <w:rPr>
          <w:rFonts w:hint="eastAsia" w:ascii="宋体" w:hAnsi="宋体" w:eastAsia="宋体" w:cs="宋体"/>
          <w:b/>
          <w:color w:val="auto"/>
          <w:sz w:val="24"/>
          <w:highlight w:val="none"/>
        </w:rPr>
      </w:pPr>
    </w:p>
    <w:p w14:paraId="18F0B234">
      <w:pPr>
        <w:snapToGrid w:val="0"/>
        <w:spacing w:line="460" w:lineRule="exact"/>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14:paraId="5820EC88">
      <w:pPr>
        <w:pStyle w:val="26"/>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20.确定成交响应人</w:t>
      </w:r>
    </w:p>
    <w:p w14:paraId="1517E423">
      <w:pPr>
        <w:pStyle w:val="137"/>
        <w:snapToGrid w:val="0"/>
        <w:spacing w:before="0" w:line="460" w:lineRule="exact"/>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交易发起人将自收到评审报告之日起5个工作日内通过电子交易平台在评审报告推荐的成交候选人中按顺序确定成交响应人。</w:t>
      </w:r>
    </w:p>
    <w:p w14:paraId="39E08E42">
      <w:pPr>
        <w:pStyle w:val="137"/>
        <w:snapToGrid w:val="0"/>
        <w:spacing w:before="0" w:line="46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21.成交通知与成交结果公告</w:t>
      </w:r>
    </w:p>
    <w:p w14:paraId="6F82F3EA">
      <w:pPr>
        <w:widowControl/>
        <w:shd w:val="clear" w:color="auto" w:fill="FFFFFF"/>
        <w:spacing w:line="460" w:lineRule="exact"/>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21.1自成交人确定之日起3天内，代理机构通过电子交易平台向成交人发出成交通知书，同时编制发布成交结果公告。代理机构也可以以纸质形式进行成交通知。</w:t>
      </w:r>
    </w:p>
    <w:p w14:paraId="5C5EA997">
      <w:pPr>
        <w:widowControl/>
        <w:shd w:val="clear" w:color="auto" w:fill="FFFFFF"/>
        <w:spacing w:line="460" w:lineRule="exact"/>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21.2成交结果公告内容包括交易发起人及其委托的代理机构的名称、地址、联系方式，项目名称和交易编号，成交人名称、地址和成交金额。</w:t>
      </w:r>
    </w:p>
    <w:p w14:paraId="2291AEB5">
      <w:pPr>
        <w:snapToGrid w:val="0"/>
        <w:spacing w:line="460" w:lineRule="exact"/>
        <w:ind w:left="120" w:leftChars="57" w:firstLine="482" w:firstLineChars="150"/>
        <w:jc w:val="center"/>
        <w:rPr>
          <w:rFonts w:hint="eastAsia" w:ascii="宋体" w:hAnsi="宋体" w:eastAsia="宋体" w:cs="宋体"/>
          <w:b/>
          <w:color w:val="auto"/>
          <w:sz w:val="32"/>
          <w:highlight w:val="none"/>
        </w:rPr>
      </w:pPr>
    </w:p>
    <w:p w14:paraId="014728A2">
      <w:pPr>
        <w:snapToGrid w:val="0"/>
        <w:spacing w:line="460" w:lineRule="exact"/>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7168C67B">
      <w:pPr>
        <w:pStyle w:val="26"/>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w:t>
      </w:r>
      <w:r>
        <w:rPr>
          <w:rFonts w:hint="eastAsia" w:ascii="宋体" w:hAnsi="宋体" w:eastAsia="宋体" w:cs="宋体"/>
          <w:color w:val="auto"/>
          <w:highlight w:val="none"/>
        </w:rPr>
        <w:t>合同主要条款详见第五部分拟签订的合同文本。</w:t>
      </w:r>
    </w:p>
    <w:p w14:paraId="726E1898">
      <w:pPr>
        <w:pStyle w:val="26"/>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23.合同的签订</w:t>
      </w:r>
    </w:p>
    <w:p w14:paraId="5E56B1BC">
      <w:pPr>
        <w:widowControl/>
        <w:shd w:val="clear" w:color="auto" w:fill="FFFFFF"/>
        <w:spacing w:line="460" w:lineRule="exac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23.1</w:t>
      </w:r>
      <w:r>
        <w:rPr>
          <w:rFonts w:hint="eastAsia" w:ascii="宋体" w:hAnsi="宋体" w:eastAsia="宋体" w:cs="宋体"/>
          <w:color w:val="auto"/>
          <w:kern w:val="0"/>
          <w:sz w:val="24"/>
          <w:highlight w:val="none"/>
        </w:rPr>
        <w:t>交易发起人与成交人应当通过电子交易平台在成交通知书发出之日起三十日内，按照公开竞争文件确定的事项签订书面合同。</w:t>
      </w:r>
    </w:p>
    <w:p w14:paraId="4F56C2DD">
      <w:pPr>
        <w:pStyle w:val="137"/>
        <w:snapToGrid w:val="0"/>
        <w:spacing w:before="0" w:line="460" w:lineRule="exact"/>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w:t>
      </w:r>
      <w:r>
        <w:rPr>
          <w:rFonts w:hint="eastAsia" w:ascii="宋体" w:hAnsi="宋体" w:eastAsia="宋体" w:cs="宋体"/>
          <w:color w:val="auto"/>
          <w:kern w:val="0"/>
          <w:highlight w:val="none"/>
        </w:rPr>
        <w:t>3</w:t>
      </w:r>
      <w:r>
        <w:rPr>
          <w:rFonts w:hint="eastAsia" w:ascii="宋体" w:hAnsi="宋体" w:eastAsia="宋体" w:cs="宋体"/>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14:paraId="2C0514FD">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23.3如签订合同并生效后，响应人无故拒绝或延期，除按照合同条款处理外，列入不良行为记录一次，并给予通报。</w:t>
      </w:r>
    </w:p>
    <w:p w14:paraId="1B91169C">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23.4成交响应人拒绝与交易发起人签订合同的，交易发起人可以按照评审报告推荐的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或者成交候选人名单排序，确定下一候选人为成交响应人，也可以重新开展交易活动。</w:t>
      </w:r>
    </w:p>
    <w:p w14:paraId="3385F3A8">
      <w:pPr>
        <w:pStyle w:val="137"/>
        <w:snapToGrid w:val="0"/>
        <w:spacing w:before="0" w:after="12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23.5书面合同由交易发起人与成交响应人根据公开竞争文件、响应文件等内容签订合同。</w:t>
      </w:r>
    </w:p>
    <w:p w14:paraId="68667234">
      <w:pPr>
        <w:pStyle w:val="26"/>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24.履约保证金：</w:t>
      </w:r>
      <w:r>
        <w:rPr>
          <w:rFonts w:hint="eastAsia" w:ascii="宋体" w:hAnsi="宋体" w:eastAsia="宋体" w:cs="宋体"/>
          <w:bCs/>
          <w:color w:val="auto"/>
          <w:highlight w:val="none"/>
          <w:lang w:val="en-US" w:eastAsia="zh-CN"/>
        </w:rPr>
        <w:t>详见前附表</w:t>
      </w:r>
      <w:r>
        <w:rPr>
          <w:rFonts w:hint="eastAsia" w:ascii="宋体" w:hAnsi="宋体" w:eastAsia="宋体" w:cs="宋体"/>
          <w:bCs/>
          <w:color w:val="auto"/>
          <w:highlight w:val="none"/>
        </w:rPr>
        <w:t>。</w:t>
      </w:r>
    </w:p>
    <w:p w14:paraId="0EE1EC96">
      <w:pPr>
        <w:snapToGrid w:val="0"/>
        <w:spacing w:line="460" w:lineRule="exact"/>
        <w:ind w:firstLine="3357" w:firstLineChars="1045"/>
        <w:rPr>
          <w:rFonts w:hint="eastAsia" w:ascii="宋体" w:hAnsi="宋体" w:eastAsia="宋体" w:cs="宋体"/>
          <w:b/>
          <w:color w:val="auto"/>
          <w:sz w:val="32"/>
          <w:highlight w:val="none"/>
        </w:rPr>
      </w:pPr>
    </w:p>
    <w:p w14:paraId="6C30F3E8">
      <w:pPr>
        <w:snapToGrid w:val="0"/>
        <w:spacing w:line="460" w:lineRule="exact"/>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457A41E3">
      <w:pPr>
        <w:pStyle w:val="137"/>
        <w:snapToGrid w:val="0"/>
        <w:spacing w:before="0" w:line="460" w:lineRule="exact"/>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color w:val="auto"/>
          <w:szCs w:val="24"/>
          <w:highlight w:val="none"/>
        </w:rPr>
        <w:t>5.电子交易活动的中止。</w:t>
      </w:r>
      <w:r>
        <w:rPr>
          <w:rFonts w:hint="eastAsia" w:ascii="宋体" w:hAnsi="宋体" w:eastAsia="宋体" w:cs="宋体"/>
          <w:bCs/>
          <w:color w:val="auto"/>
          <w:szCs w:val="24"/>
          <w:highlight w:val="none"/>
        </w:rPr>
        <w:t>交易</w:t>
      </w:r>
      <w:r>
        <w:rPr>
          <w:rFonts w:hint="eastAsia" w:ascii="宋体" w:hAnsi="宋体" w:eastAsia="宋体" w:cs="宋体"/>
          <w:color w:val="auto"/>
          <w:highlight w:val="none"/>
        </w:rPr>
        <w:t>过程中出现以下情形，导致电子交易平台无法正常运行，或者无法保证电子交易的公平、公正和安全时，代理机构可中止电子交易活动：</w:t>
      </w:r>
    </w:p>
    <w:p w14:paraId="1A318D92">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25.1电子交易平台发生故障而无法登录访问的； </w:t>
      </w:r>
    </w:p>
    <w:p w14:paraId="0F90577D">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25.2电子交易平台应用或数据库出现错误，不能进行正常操作的；</w:t>
      </w:r>
    </w:p>
    <w:p w14:paraId="73990BEA">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25.3电子交易平台发现严重安全漏洞，有潜在泄密危险的；</w:t>
      </w:r>
    </w:p>
    <w:p w14:paraId="7797A9F9">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25.4病毒发作导致不能进行正常操作的； </w:t>
      </w:r>
    </w:p>
    <w:p w14:paraId="063BFDF0">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25.5其他无法保证电子交易的公平、公正和安全的情况。</w:t>
      </w:r>
    </w:p>
    <w:p w14:paraId="0364661C">
      <w:pPr>
        <w:pStyle w:val="137"/>
        <w:snapToGrid w:val="0"/>
        <w:spacing w:before="0" w:line="460" w:lineRule="exact"/>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26.</w:t>
      </w:r>
      <w:r>
        <w:rPr>
          <w:rFonts w:hint="eastAsia" w:ascii="宋体" w:hAnsi="宋体" w:eastAsia="宋体" w:cs="宋体"/>
          <w:color w:val="auto"/>
          <w:highlight w:val="none"/>
        </w:rPr>
        <w:t>出现以上情形，不影响交易公平、公正性的，代理机构可以待上述情形消除后继续组织电子交易活动，也可以决定某些环节以纸质形式进行；影响或可能影响交易公平、公正性的，应当重新交易。</w:t>
      </w:r>
    </w:p>
    <w:p w14:paraId="1A1DCBC9">
      <w:pPr>
        <w:snapToGrid w:val="0"/>
        <w:spacing w:line="460" w:lineRule="exact"/>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6EA969C9">
      <w:pPr>
        <w:pStyle w:val="26"/>
        <w:spacing w:line="460" w:lineRule="exact"/>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27.验收</w:t>
      </w:r>
    </w:p>
    <w:p w14:paraId="7FCE9ADF">
      <w:pPr>
        <w:tabs>
          <w:tab w:val="left" w:pos="0"/>
        </w:tabs>
        <w:spacing w:line="460" w:lineRule="exac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27.1交易发起人应当组织对响应人履约的验收。</w:t>
      </w:r>
    </w:p>
    <w:bookmarkEnd w:id="12"/>
    <w:bookmarkEnd w:id="13"/>
    <w:bookmarkEnd w:id="14"/>
    <w:p w14:paraId="641ECFC6">
      <w:pPr>
        <w:rPr>
          <w:rFonts w:hint="eastAsia" w:ascii="宋体" w:hAnsi="宋体" w:eastAsia="宋体" w:cs="宋体"/>
          <w:b/>
          <w:color w:val="auto"/>
          <w:sz w:val="36"/>
          <w:szCs w:val="36"/>
          <w:highlight w:val="none"/>
        </w:rPr>
      </w:pPr>
      <w:bookmarkStart w:id="15" w:name="第四部分"/>
      <w:r>
        <w:rPr>
          <w:rFonts w:hint="eastAsia" w:ascii="宋体" w:hAnsi="宋体" w:eastAsia="宋体" w:cs="宋体"/>
          <w:b/>
          <w:color w:val="auto"/>
          <w:sz w:val="36"/>
          <w:szCs w:val="36"/>
          <w:highlight w:val="none"/>
        </w:rPr>
        <w:br w:type="page"/>
      </w:r>
    </w:p>
    <w:p w14:paraId="71796F5D">
      <w:pPr>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36"/>
          <w:szCs w:val="36"/>
          <w:highlight w:val="none"/>
        </w:rPr>
        <w:t>第三部分   交易需求</w:t>
      </w:r>
    </w:p>
    <w:p w14:paraId="56EF0EE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属于实质性要求条款的，请用符号“▲”标明，否则属于非实质性要求。</w:t>
      </w:r>
    </w:p>
    <w:p w14:paraId="4E73C393">
      <w:pPr>
        <w:numPr>
          <w:ilvl w:val="0"/>
          <w:numId w:val="2"/>
        </w:num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交易一览表</w:t>
      </w:r>
    </w:p>
    <w:tbl>
      <w:tblPr>
        <w:tblStyle w:val="65"/>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1498"/>
        <w:gridCol w:w="601"/>
        <w:gridCol w:w="601"/>
        <w:gridCol w:w="1329"/>
        <w:gridCol w:w="4406"/>
      </w:tblGrid>
      <w:tr w14:paraId="4FCE4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48" w:hRule="atLeast"/>
          <w:jc w:val="center"/>
        </w:trPr>
        <w:tc>
          <w:tcPr>
            <w:tcW w:w="615" w:type="dxa"/>
            <w:tcMar>
              <w:top w:w="15" w:type="dxa"/>
              <w:left w:w="15" w:type="dxa"/>
              <w:bottom w:w="0" w:type="dxa"/>
              <w:right w:w="15" w:type="dxa"/>
            </w:tcMar>
            <w:vAlign w:val="center"/>
          </w:tcPr>
          <w:p w14:paraId="7389E1CE">
            <w:pPr>
              <w:tabs>
                <w:tab w:val="left" w:pos="0"/>
              </w:tabs>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98" w:type="dxa"/>
            <w:tcMar>
              <w:top w:w="15" w:type="dxa"/>
              <w:left w:w="15" w:type="dxa"/>
              <w:bottom w:w="0" w:type="dxa"/>
              <w:right w:w="15" w:type="dxa"/>
            </w:tcMar>
            <w:vAlign w:val="center"/>
          </w:tcPr>
          <w:p w14:paraId="7DCA70AB">
            <w:pPr>
              <w:tabs>
                <w:tab w:val="left" w:pos="0"/>
              </w:tabs>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601" w:type="dxa"/>
            <w:tcMar>
              <w:top w:w="15" w:type="dxa"/>
              <w:left w:w="15" w:type="dxa"/>
              <w:bottom w:w="0" w:type="dxa"/>
              <w:right w:w="15" w:type="dxa"/>
            </w:tcMar>
            <w:vAlign w:val="center"/>
          </w:tcPr>
          <w:p w14:paraId="61A26A4C">
            <w:pPr>
              <w:tabs>
                <w:tab w:val="left" w:pos="0"/>
              </w:tabs>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601" w:type="dxa"/>
            <w:tcMar>
              <w:top w:w="15" w:type="dxa"/>
              <w:left w:w="15" w:type="dxa"/>
              <w:bottom w:w="0" w:type="dxa"/>
              <w:right w:w="15" w:type="dxa"/>
            </w:tcMar>
            <w:vAlign w:val="center"/>
          </w:tcPr>
          <w:p w14:paraId="1D4CC64E">
            <w:pPr>
              <w:tabs>
                <w:tab w:val="left" w:pos="0"/>
              </w:tabs>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329" w:type="dxa"/>
            <w:vAlign w:val="center"/>
          </w:tcPr>
          <w:p w14:paraId="7830BCA5">
            <w:pPr>
              <w:tabs>
                <w:tab w:val="left" w:pos="0"/>
              </w:tabs>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预算（元）</w:t>
            </w:r>
          </w:p>
        </w:tc>
        <w:tc>
          <w:tcPr>
            <w:tcW w:w="4406" w:type="dxa"/>
            <w:vAlign w:val="center"/>
          </w:tcPr>
          <w:p w14:paraId="2A15980C">
            <w:pPr>
              <w:tabs>
                <w:tab w:val="left" w:pos="0"/>
              </w:tabs>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w:t>
            </w:r>
            <w:r>
              <w:rPr>
                <w:rFonts w:hint="eastAsia" w:ascii="宋体" w:hAnsi="宋体" w:eastAsia="宋体" w:cs="宋体"/>
                <w:color w:val="auto"/>
                <w:sz w:val="24"/>
                <w:szCs w:val="24"/>
                <w:highlight w:val="none"/>
                <w:lang w:val="en-US" w:eastAsia="zh-CN"/>
              </w:rPr>
              <w:t>低</w:t>
            </w:r>
            <w:r>
              <w:rPr>
                <w:rFonts w:hint="eastAsia" w:ascii="宋体" w:hAnsi="宋体" w:eastAsia="宋体" w:cs="宋体"/>
                <w:color w:val="auto"/>
                <w:sz w:val="24"/>
                <w:szCs w:val="24"/>
                <w:highlight w:val="none"/>
              </w:rPr>
              <w:t>限价（元）</w:t>
            </w:r>
          </w:p>
        </w:tc>
      </w:tr>
      <w:tr w14:paraId="1714A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jc w:val="center"/>
        </w:trPr>
        <w:tc>
          <w:tcPr>
            <w:tcW w:w="615" w:type="dxa"/>
            <w:tcMar>
              <w:top w:w="15" w:type="dxa"/>
              <w:left w:w="15" w:type="dxa"/>
              <w:bottom w:w="0" w:type="dxa"/>
              <w:right w:w="15" w:type="dxa"/>
            </w:tcMar>
            <w:vAlign w:val="center"/>
          </w:tcPr>
          <w:p w14:paraId="2BA8EABD">
            <w:pPr>
              <w:tabs>
                <w:tab w:val="left" w:pos="0"/>
              </w:tabs>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98" w:type="dxa"/>
            <w:tcMar>
              <w:top w:w="15" w:type="dxa"/>
              <w:left w:w="15" w:type="dxa"/>
              <w:bottom w:w="0" w:type="dxa"/>
              <w:right w:w="15" w:type="dxa"/>
            </w:tcMar>
            <w:vAlign w:val="center"/>
          </w:tcPr>
          <w:p w14:paraId="2F3D6F5B">
            <w:pPr>
              <w:spacing w:line="240" w:lineRule="auto"/>
              <w:jc w:val="center"/>
              <w:textAlignment w:val="center"/>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lang w:val="en-GB" w:eastAsia="zh-CN"/>
              </w:rPr>
              <w:t>宁围街道宁牧未来社区百姓健身房运营招商项目</w:t>
            </w:r>
          </w:p>
        </w:tc>
        <w:tc>
          <w:tcPr>
            <w:tcW w:w="601" w:type="dxa"/>
            <w:tcMar>
              <w:top w:w="15" w:type="dxa"/>
              <w:left w:w="15" w:type="dxa"/>
              <w:bottom w:w="0" w:type="dxa"/>
              <w:right w:w="15" w:type="dxa"/>
            </w:tcMar>
            <w:vAlign w:val="center"/>
          </w:tcPr>
          <w:p w14:paraId="11DA2D6A">
            <w:pPr>
              <w:spacing w:line="240" w:lineRule="auto"/>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601" w:type="dxa"/>
            <w:tcMar>
              <w:top w:w="15" w:type="dxa"/>
              <w:left w:w="15" w:type="dxa"/>
              <w:bottom w:w="0" w:type="dxa"/>
              <w:right w:w="15" w:type="dxa"/>
            </w:tcMar>
            <w:vAlign w:val="center"/>
          </w:tcPr>
          <w:p w14:paraId="211CEA71">
            <w:pPr>
              <w:spacing w:line="240" w:lineRule="auto"/>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年</w:t>
            </w:r>
          </w:p>
        </w:tc>
        <w:tc>
          <w:tcPr>
            <w:tcW w:w="1329" w:type="dxa"/>
            <w:vAlign w:val="center"/>
          </w:tcPr>
          <w:p w14:paraId="09D3AFDE">
            <w:pPr>
              <w:spacing w:line="24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350000.00</w:t>
            </w:r>
          </w:p>
        </w:tc>
        <w:tc>
          <w:tcPr>
            <w:tcW w:w="4406" w:type="dxa"/>
            <w:vAlign w:val="center"/>
          </w:tcPr>
          <w:p w14:paraId="0DBD75D9">
            <w:pPr>
              <w:tabs>
                <w:tab w:val="left" w:pos="0"/>
              </w:tabs>
              <w:spacing w:line="240" w:lineRule="auto"/>
              <w:ind w:left="0" w:leftChars="0" w:hanging="13" w:firstLineChars="0"/>
              <w:jc w:val="left"/>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不低于</w:t>
            </w:r>
            <w:r>
              <w:rPr>
                <w:rFonts w:hint="eastAsia" w:ascii="宋体" w:hAnsi="宋体" w:eastAsia="宋体" w:cs="宋体"/>
                <w:color w:val="auto"/>
                <w:sz w:val="24"/>
                <w:szCs w:val="24"/>
                <w:highlight w:val="none"/>
                <w:lang w:val="en-US" w:eastAsia="zh-CN"/>
              </w:rPr>
              <w:t>350000</w:t>
            </w:r>
            <w:r>
              <w:rPr>
                <w:rFonts w:hint="eastAsia" w:ascii="宋体" w:hAnsi="宋体" w:eastAsia="宋体" w:cs="宋体"/>
                <w:color w:val="auto"/>
                <w:sz w:val="24"/>
                <w:szCs w:val="24"/>
                <w:highlight w:val="none"/>
              </w:rPr>
              <w:t>.00</w:t>
            </w:r>
            <w:r>
              <w:rPr>
                <w:rFonts w:hint="eastAsia" w:ascii="宋体" w:hAnsi="宋体" w:eastAsia="宋体" w:cs="宋体"/>
                <w:color w:val="auto"/>
                <w:sz w:val="24"/>
                <w:szCs w:val="24"/>
                <w:highlight w:val="none"/>
                <w:lang w:val="en-US" w:eastAsia="zh-CN"/>
              </w:rPr>
              <w:t>元（</w:t>
            </w:r>
            <w:r>
              <w:rPr>
                <w:rFonts w:hint="eastAsia" w:ascii="宋体" w:hAnsi="宋体" w:cs="宋体"/>
                <w:color w:val="auto"/>
                <w:sz w:val="24"/>
                <w:szCs w:val="24"/>
                <w:highlight w:val="none"/>
                <w:lang w:val="en-US" w:eastAsia="zh-CN"/>
              </w:rPr>
              <w:t>支付给交易发起人：</w:t>
            </w:r>
            <w:r>
              <w:rPr>
                <w:rFonts w:hint="eastAsia" w:ascii="宋体" w:hAnsi="宋体" w:eastAsia="宋体" w:cs="宋体"/>
                <w:color w:val="auto"/>
                <w:sz w:val="24"/>
                <w:szCs w:val="24"/>
                <w:highlight w:val="none"/>
                <w:lang w:val="en-US" w:eastAsia="zh-CN"/>
              </w:rPr>
              <w:t>第一年60000.00元、第二年65000.00元、第三年70000.00元、第四年75000.00元、第五年80000.00元）</w:t>
            </w:r>
          </w:p>
        </w:tc>
      </w:tr>
    </w:tbl>
    <w:p w14:paraId="60A9289D">
      <w:pPr>
        <w:spacing w:line="360" w:lineRule="auto"/>
        <w:jc w:val="center"/>
        <w:rPr>
          <w:rFonts w:hint="eastAsia" w:ascii="宋体" w:hAnsi="宋体" w:eastAsia="宋体" w:cs="宋体"/>
          <w:b/>
          <w:color w:val="auto"/>
          <w:sz w:val="24"/>
          <w:highlight w:val="none"/>
        </w:rPr>
      </w:pPr>
    </w:p>
    <w:p w14:paraId="70BD2DEC">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4"/>
          <w:highlight w:val="none"/>
        </w:rPr>
        <w:t>二、交易需求</w:t>
      </w:r>
    </w:p>
    <w:p w14:paraId="16E73D38">
      <w:pPr>
        <w:keepNext w:val="0"/>
        <w:keepLines w:val="0"/>
        <w:pageBreakBefore w:val="0"/>
        <w:numPr>
          <w:ilvl w:val="0"/>
          <w:numId w:val="0"/>
        </w:numPr>
        <w:kinsoku/>
        <w:wordWrap/>
        <w:overflowPunct/>
        <w:topLinePunct w:val="0"/>
        <w:autoSpaceDE/>
        <w:autoSpaceDN/>
        <w:bidi w:val="0"/>
        <w:adjustRightInd/>
        <w:snapToGrid/>
        <w:spacing w:line="360" w:lineRule="auto"/>
        <w:ind w:firstLine="478" w:firstLineChars="200"/>
        <w:outlineLvl w:val="1"/>
        <w:rPr>
          <w:rFonts w:hint="eastAsia" w:ascii="宋体" w:hAnsi="宋体" w:eastAsia="宋体" w:cs="宋体"/>
          <w:b/>
          <w:bCs/>
          <w:color w:val="auto"/>
          <w:spacing w:val="-1"/>
          <w:sz w:val="24"/>
          <w:szCs w:val="24"/>
          <w:highlight w:val="none"/>
        </w:rPr>
      </w:pPr>
      <w:r>
        <w:rPr>
          <w:rFonts w:hint="eastAsia" w:ascii="宋体" w:hAnsi="宋体" w:eastAsia="宋体" w:cs="宋体"/>
          <w:b/>
          <w:bCs/>
          <w:color w:val="auto"/>
          <w:spacing w:val="-1"/>
          <w:kern w:val="2"/>
          <w:sz w:val="24"/>
          <w:szCs w:val="24"/>
          <w:highlight w:val="none"/>
          <w:lang w:val="en-US" w:eastAsia="zh-CN" w:bidi="ar-SA"/>
        </w:rPr>
        <w:t>一、</w:t>
      </w:r>
      <w:r>
        <w:rPr>
          <w:rFonts w:hint="eastAsia" w:ascii="宋体" w:hAnsi="宋体" w:eastAsia="宋体" w:cs="宋体"/>
          <w:b/>
          <w:bCs/>
          <w:color w:val="auto"/>
          <w:spacing w:val="-1"/>
          <w:sz w:val="24"/>
          <w:szCs w:val="24"/>
          <w:highlight w:val="none"/>
        </w:rPr>
        <w:t>项目概述</w:t>
      </w:r>
    </w:p>
    <w:p w14:paraId="529305C5">
      <w:pPr>
        <w:keepNext w:val="0"/>
        <w:keepLines w:val="0"/>
        <w:pageBreakBefore w:val="0"/>
        <w:kinsoku/>
        <w:wordWrap/>
        <w:overflowPunct/>
        <w:topLinePunct w:val="0"/>
        <w:autoSpaceDE/>
        <w:autoSpaceDN/>
        <w:bidi w:val="0"/>
        <w:adjustRightInd/>
        <w:snapToGrid/>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本项目由</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供应商提供装修及设施设备等，全年365天维护运转健身房的日常。</w:t>
      </w:r>
      <w:r>
        <w:rPr>
          <w:rFonts w:hint="eastAsia" w:ascii="宋体" w:hAnsi="宋体" w:cs="宋体"/>
          <w:color w:val="auto"/>
          <w:sz w:val="24"/>
          <w:szCs w:val="24"/>
          <w:highlight w:val="none"/>
          <w:lang w:val="en-US" w:eastAsia="zh-CN"/>
        </w:rPr>
        <w:t>服务期5年。</w:t>
      </w:r>
    </w:p>
    <w:p w14:paraId="076D4B17">
      <w:pPr>
        <w:keepNext w:val="0"/>
        <w:keepLines w:val="0"/>
        <w:pageBreakBefore w:val="0"/>
        <w:numPr>
          <w:ilvl w:val="0"/>
          <w:numId w:val="0"/>
        </w:numPr>
        <w:kinsoku/>
        <w:wordWrap/>
        <w:overflowPunct/>
        <w:topLinePunct w:val="0"/>
        <w:autoSpaceDE/>
        <w:autoSpaceDN/>
        <w:bidi w:val="0"/>
        <w:adjustRightInd/>
        <w:snapToGrid/>
        <w:spacing w:line="360" w:lineRule="auto"/>
        <w:ind w:firstLine="478" w:firstLineChars="200"/>
        <w:outlineLvl w:val="1"/>
        <w:rPr>
          <w:rFonts w:hint="eastAsia" w:ascii="宋体" w:hAnsi="宋体" w:eastAsia="宋体" w:cs="宋体"/>
          <w:b/>
          <w:bCs/>
          <w:color w:val="auto"/>
          <w:spacing w:val="-1"/>
          <w:sz w:val="24"/>
          <w:szCs w:val="24"/>
          <w:highlight w:val="none"/>
        </w:rPr>
      </w:pPr>
      <w:r>
        <w:rPr>
          <w:rFonts w:hint="eastAsia" w:ascii="宋体" w:hAnsi="宋体" w:eastAsia="宋体" w:cs="宋体"/>
          <w:b/>
          <w:bCs/>
          <w:color w:val="auto"/>
          <w:spacing w:val="-1"/>
          <w:kern w:val="2"/>
          <w:sz w:val="24"/>
          <w:szCs w:val="24"/>
          <w:highlight w:val="none"/>
          <w:lang w:val="en-US" w:eastAsia="zh-CN" w:bidi="ar-SA"/>
        </w:rPr>
        <w:t>二、</w:t>
      </w:r>
      <w:r>
        <w:rPr>
          <w:rFonts w:hint="eastAsia" w:ascii="宋体" w:hAnsi="宋体" w:eastAsia="宋体" w:cs="宋体"/>
          <w:b/>
          <w:bCs/>
          <w:color w:val="auto"/>
          <w:spacing w:val="-1"/>
          <w:sz w:val="24"/>
          <w:szCs w:val="24"/>
          <w:highlight w:val="none"/>
        </w:rPr>
        <w:t>项目主要服务内容</w:t>
      </w:r>
    </w:p>
    <w:p w14:paraId="7C86FE8A">
      <w:pPr>
        <w:keepNext w:val="0"/>
        <w:keepLines w:val="0"/>
        <w:pageBreakBefore w:val="0"/>
        <w:kinsoku/>
        <w:wordWrap/>
        <w:overflowPunct/>
        <w:topLinePunct w:val="0"/>
        <w:autoSpaceDE/>
        <w:autoSpaceDN/>
        <w:bidi w:val="0"/>
        <w:adjustRightInd/>
        <w:snapToGrid/>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提供场地（面积约</w:t>
      </w:r>
      <w:r>
        <w:rPr>
          <w:rFonts w:hint="eastAsia" w:ascii="宋体" w:hAnsi="宋体" w:eastAsia="宋体" w:cs="宋体"/>
          <w:color w:val="auto"/>
          <w:sz w:val="24"/>
          <w:szCs w:val="24"/>
          <w:highlight w:val="none"/>
          <w:lang w:val="en-US" w:eastAsia="zh-CN"/>
        </w:rPr>
        <w:t>600</w:t>
      </w:r>
      <w:r>
        <w:rPr>
          <w:rFonts w:hint="eastAsia" w:ascii="宋体" w:hAnsi="宋体" w:eastAsia="宋体" w:cs="宋体"/>
          <w:color w:val="auto"/>
          <w:sz w:val="24"/>
          <w:szCs w:val="24"/>
          <w:highlight w:val="none"/>
        </w:rPr>
        <w:t>平方米）供</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开设健身房经营所用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其中40平方米的舞蹈室要求响应人装修供社区使用，该舞蹈室闲置期间响应人可自由安排。</w:t>
      </w:r>
    </w:p>
    <w:p w14:paraId="3160B896">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须出资</w:t>
      </w:r>
      <w:r>
        <w:rPr>
          <w:rFonts w:hint="eastAsia" w:ascii="宋体" w:hAnsi="宋体" w:eastAsia="宋体" w:cs="宋体"/>
          <w:color w:val="auto"/>
          <w:sz w:val="24"/>
          <w:szCs w:val="24"/>
          <w:highlight w:val="none"/>
          <w:lang w:val="en-US" w:eastAsia="zh-CN"/>
        </w:rPr>
        <w:t>装修及</w:t>
      </w:r>
      <w:r>
        <w:rPr>
          <w:rFonts w:hint="eastAsia" w:ascii="宋体" w:hAnsi="宋体" w:eastAsia="宋体" w:cs="宋体"/>
          <w:color w:val="auto"/>
          <w:sz w:val="24"/>
          <w:szCs w:val="24"/>
          <w:highlight w:val="none"/>
        </w:rPr>
        <w:t>购置健身房所有健身器材，并负责健身房运动器械的保养和维修。服务到期后，</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出资购置的健身器械归还</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w:t>
      </w:r>
    </w:p>
    <w:p w14:paraId="797AF6C4">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负责健身房装修、空调、智能化门禁、家具等相关费用，服务到期后除健身器材外，均归</w:t>
      </w: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所有。</w:t>
      </w:r>
    </w:p>
    <w:p w14:paraId="6B233B72">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负责聘用健身房必要人员运营，如前台、保洁、健身教练等，运营人数不少于</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人。</w:t>
      </w:r>
    </w:p>
    <w:p w14:paraId="5F85E6D7">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（5）本项目健身房对外开放经营。</w:t>
      </w:r>
    </w:p>
    <w:p w14:paraId="22694EE3">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（6）本项目健身房开放时间为周一至周日</w:t>
      </w:r>
      <w:r>
        <w:rPr>
          <w:rFonts w:hint="eastAsia" w:ascii="宋体" w:hAnsi="宋体" w:eastAsia="宋体" w:cs="宋体"/>
          <w:color w:val="auto"/>
          <w:sz w:val="24"/>
          <w:szCs w:val="24"/>
          <w:highlight w:val="none"/>
          <w:lang w:val="en-US" w:eastAsia="zh-CN"/>
        </w:rPr>
        <w:t>9：00-21:00</w:t>
      </w:r>
      <w:r>
        <w:rPr>
          <w:rFonts w:hint="eastAsia" w:ascii="宋体" w:hAnsi="宋体" w:eastAsia="宋体" w:cs="宋体"/>
          <w:color w:val="auto"/>
          <w:sz w:val="24"/>
          <w:szCs w:val="24"/>
          <w:highlight w:val="none"/>
        </w:rPr>
        <w:t>。如遇特殊情况不能正常营业，</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须提前告知</w:t>
      </w: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w:t>
      </w:r>
    </w:p>
    <w:p w14:paraId="7E4F80D7">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在健身房开放时间内，安排健身相关活动，包括趣味运动会、青少年体测等，每年不少于</w:t>
      </w:r>
      <w:r>
        <w:rPr>
          <w:rFonts w:hint="eastAsia" w:ascii="宋体" w:hAnsi="宋体" w:eastAsia="宋体" w:cs="宋体"/>
          <w:color w:val="auto"/>
          <w:sz w:val="24"/>
          <w:szCs w:val="24"/>
          <w:highlight w:val="none"/>
          <w:lang w:val="en-US" w:eastAsia="zh-CN"/>
        </w:rPr>
        <w:t>200</w:t>
      </w:r>
      <w:r>
        <w:rPr>
          <w:rFonts w:hint="eastAsia" w:ascii="宋体" w:hAnsi="宋体" w:eastAsia="宋体" w:cs="宋体"/>
          <w:color w:val="auto"/>
          <w:sz w:val="24"/>
          <w:szCs w:val="24"/>
          <w:highlight w:val="none"/>
        </w:rPr>
        <w:t>人次。</w:t>
      </w:r>
    </w:p>
    <w:p w14:paraId="53A12FC4">
      <w:pPr>
        <w:rPr>
          <w:rFonts w:hint="eastAsia" w:ascii="宋体" w:hAnsi="宋体" w:eastAsia="宋体" w:cs="宋体"/>
          <w:b/>
          <w:bCs/>
          <w:color w:val="auto"/>
          <w:spacing w:val="-1"/>
          <w:kern w:val="2"/>
          <w:sz w:val="24"/>
          <w:szCs w:val="24"/>
          <w:highlight w:val="none"/>
          <w:lang w:val="en-US" w:eastAsia="zh-CN" w:bidi="ar-SA"/>
        </w:rPr>
      </w:pPr>
      <w:r>
        <w:rPr>
          <w:rFonts w:hint="eastAsia" w:ascii="宋体" w:hAnsi="宋体" w:eastAsia="宋体" w:cs="宋体"/>
          <w:b/>
          <w:bCs/>
          <w:color w:val="auto"/>
          <w:spacing w:val="-1"/>
          <w:kern w:val="2"/>
          <w:sz w:val="24"/>
          <w:szCs w:val="24"/>
          <w:highlight w:val="none"/>
          <w:lang w:val="en-US" w:eastAsia="zh-CN" w:bidi="ar-SA"/>
        </w:rPr>
        <w:br w:type="page"/>
      </w:r>
    </w:p>
    <w:p w14:paraId="5C817A54">
      <w:pPr>
        <w:keepNext w:val="0"/>
        <w:keepLines w:val="0"/>
        <w:pageBreakBefore w:val="0"/>
        <w:numPr>
          <w:ilvl w:val="0"/>
          <w:numId w:val="0"/>
        </w:numPr>
        <w:kinsoku/>
        <w:wordWrap/>
        <w:overflowPunct/>
        <w:topLinePunct w:val="0"/>
        <w:autoSpaceDE/>
        <w:autoSpaceDN/>
        <w:bidi w:val="0"/>
        <w:adjustRightInd/>
        <w:snapToGrid/>
        <w:spacing w:line="360" w:lineRule="auto"/>
        <w:ind w:firstLine="478" w:firstLineChars="200"/>
        <w:outlineLvl w:val="1"/>
        <w:rPr>
          <w:rFonts w:hint="eastAsia" w:ascii="宋体" w:hAnsi="宋体" w:eastAsia="宋体" w:cs="宋体"/>
          <w:b/>
          <w:bCs/>
          <w:color w:val="auto"/>
          <w:spacing w:val="-1"/>
          <w:sz w:val="24"/>
          <w:szCs w:val="24"/>
          <w:highlight w:val="none"/>
        </w:rPr>
      </w:pPr>
      <w:r>
        <w:rPr>
          <w:rFonts w:hint="eastAsia" w:ascii="宋体" w:hAnsi="宋体" w:eastAsia="宋体" w:cs="宋体"/>
          <w:b/>
          <w:bCs/>
          <w:color w:val="auto"/>
          <w:spacing w:val="-1"/>
          <w:kern w:val="2"/>
          <w:sz w:val="24"/>
          <w:szCs w:val="24"/>
          <w:highlight w:val="none"/>
          <w:lang w:val="en-US" w:eastAsia="zh-CN" w:bidi="ar-SA"/>
        </w:rPr>
        <w:t>三、</w:t>
      </w:r>
      <w:r>
        <w:rPr>
          <w:rFonts w:hint="eastAsia" w:ascii="宋体" w:hAnsi="宋体" w:eastAsia="宋体" w:cs="宋体"/>
          <w:b/>
          <w:bCs/>
          <w:color w:val="auto"/>
          <w:spacing w:val="-1"/>
          <w:sz w:val="24"/>
          <w:szCs w:val="24"/>
          <w:highlight w:val="none"/>
          <w:lang w:eastAsia="zh-CN"/>
        </w:rPr>
        <w:t>成交供应商</w:t>
      </w:r>
      <w:r>
        <w:rPr>
          <w:rFonts w:hint="eastAsia" w:ascii="宋体" w:hAnsi="宋体" w:eastAsia="宋体" w:cs="宋体"/>
          <w:b/>
          <w:bCs/>
          <w:color w:val="auto"/>
          <w:spacing w:val="-1"/>
          <w:sz w:val="24"/>
          <w:szCs w:val="24"/>
          <w:highlight w:val="none"/>
        </w:rPr>
        <w:t>中标后须提供的运动器械清单：</w:t>
      </w:r>
    </w:p>
    <w:tbl>
      <w:tblPr>
        <w:tblStyle w:val="65"/>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39"/>
        <w:gridCol w:w="1894"/>
        <w:gridCol w:w="3803"/>
        <w:gridCol w:w="1169"/>
        <w:gridCol w:w="1193"/>
      </w:tblGrid>
      <w:tr w14:paraId="31886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39" w:type="dxa"/>
            <w:shd w:val="clear" w:color="auto" w:fill="auto"/>
            <w:vAlign w:val="center"/>
          </w:tcPr>
          <w:p w14:paraId="2D3B32C4">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bookmarkStart w:id="16" w:name="_Toc24243"/>
            <w:bookmarkStart w:id="17" w:name="_Toc3452"/>
            <w:bookmarkStart w:id="18" w:name="_Toc14269"/>
            <w:r>
              <w:rPr>
                <w:rStyle w:val="974"/>
                <w:rFonts w:hint="eastAsia" w:ascii="宋体" w:hAnsi="宋体" w:eastAsia="宋体" w:cs="宋体"/>
                <w:color w:val="auto"/>
                <w:sz w:val="24"/>
                <w:szCs w:val="24"/>
                <w:highlight w:val="none"/>
                <w:lang w:val="en-US" w:eastAsia="zh-CN" w:bidi="ar"/>
              </w:rPr>
              <w:t>编号</w:t>
            </w:r>
          </w:p>
        </w:tc>
        <w:tc>
          <w:tcPr>
            <w:tcW w:w="1894" w:type="dxa"/>
            <w:shd w:val="clear" w:color="auto" w:fill="auto"/>
            <w:vAlign w:val="center"/>
          </w:tcPr>
          <w:p w14:paraId="59CBF283">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Style w:val="974"/>
                <w:rFonts w:hint="eastAsia" w:ascii="宋体" w:hAnsi="宋体" w:eastAsia="宋体" w:cs="宋体"/>
                <w:color w:val="auto"/>
                <w:sz w:val="24"/>
                <w:szCs w:val="24"/>
                <w:highlight w:val="none"/>
                <w:lang w:val="en-US" w:eastAsia="zh-CN" w:bidi="ar"/>
              </w:rPr>
              <w:t>名称</w:t>
            </w:r>
          </w:p>
        </w:tc>
        <w:tc>
          <w:tcPr>
            <w:tcW w:w="3803" w:type="dxa"/>
            <w:shd w:val="clear" w:color="auto" w:fill="auto"/>
            <w:vAlign w:val="center"/>
          </w:tcPr>
          <w:p w14:paraId="24DAA9B6">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Style w:val="974"/>
                <w:rFonts w:hint="eastAsia" w:ascii="宋体" w:hAnsi="宋体" w:eastAsia="宋体" w:cs="宋体"/>
                <w:color w:val="auto"/>
                <w:sz w:val="24"/>
                <w:szCs w:val="24"/>
                <w:highlight w:val="none"/>
                <w:lang w:val="en-US" w:eastAsia="zh-CN" w:bidi="ar"/>
              </w:rPr>
              <w:t>图片</w:t>
            </w:r>
          </w:p>
        </w:tc>
        <w:tc>
          <w:tcPr>
            <w:tcW w:w="1169" w:type="dxa"/>
            <w:shd w:val="clear" w:color="auto" w:fill="auto"/>
            <w:vAlign w:val="center"/>
          </w:tcPr>
          <w:p w14:paraId="0C4F129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Style w:val="974"/>
                <w:rFonts w:hint="eastAsia" w:ascii="宋体" w:hAnsi="宋体" w:eastAsia="宋体" w:cs="宋体"/>
                <w:color w:val="auto"/>
                <w:sz w:val="24"/>
                <w:szCs w:val="24"/>
                <w:highlight w:val="none"/>
                <w:lang w:val="en-US" w:eastAsia="zh-CN" w:bidi="ar"/>
              </w:rPr>
              <w:t>单位</w:t>
            </w:r>
          </w:p>
        </w:tc>
        <w:tc>
          <w:tcPr>
            <w:tcW w:w="1193" w:type="dxa"/>
            <w:shd w:val="clear" w:color="auto" w:fill="auto"/>
            <w:vAlign w:val="center"/>
          </w:tcPr>
          <w:p w14:paraId="697E08F7">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Style w:val="974"/>
                <w:rFonts w:hint="eastAsia" w:ascii="宋体" w:hAnsi="宋体" w:eastAsia="宋体" w:cs="宋体"/>
                <w:color w:val="auto"/>
                <w:sz w:val="24"/>
                <w:szCs w:val="24"/>
                <w:highlight w:val="none"/>
                <w:lang w:val="en-US" w:eastAsia="zh-CN" w:bidi="ar"/>
              </w:rPr>
              <w:t>数量</w:t>
            </w:r>
          </w:p>
        </w:tc>
      </w:tr>
      <w:tr w14:paraId="74A10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2" w:hRule="atLeast"/>
          <w:jc w:val="center"/>
        </w:trPr>
        <w:tc>
          <w:tcPr>
            <w:tcW w:w="1439" w:type="dxa"/>
            <w:shd w:val="clear" w:color="auto" w:fill="auto"/>
            <w:vAlign w:val="center"/>
          </w:tcPr>
          <w:p w14:paraId="6A635C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JR02-8000</w:t>
            </w:r>
          </w:p>
        </w:tc>
        <w:tc>
          <w:tcPr>
            <w:tcW w:w="1894" w:type="dxa"/>
            <w:shd w:val="clear" w:color="auto" w:fill="auto"/>
            <w:vAlign w:val="center"/>
          </w:tcPr>
          <w:p w14:paraId="4952CE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大飞鸟训练器（豪华型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5站位)</w:t>
            </w:r>
          </w:p>
        </w:tc>
        <w:tc>
          <w:tcPr>
            <w:tcW w:w="3803" w:type="dxa"/>
            <w:shd w:val="clear" w:color="auto" w:fill="auto"/>
            <w:vAlign w:val="center"/>
          </w:tcPr>
          <w:p w14:paraId="722C5A76">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inline distT="0" distB="0" distL="114300" distR="114300">
                  <wp:extent cx="1353820" cy="1297940"/>
                  <wp:effectExtent l="0" t="0" r="17780" b="16510"/>
                  <wp:docPr id="1" name="image12"/>
                  <wp:cNvGraphicFramePr/>
                  <a:graphic xmlns:a="http://schemas.openxmlformats.org/drawingml/2006/main">
                    <a:graphicData uri="http://schemas.openxmlformats.org/drawingml/2006/picture">
                      <pic:pic xmlns:pic="http://schemas.openxmlformats.org/drawingml/2006/picture">
                        <pic:nvPicPr>
                          <pic:cNvPr id="1" name="image12"/>
                          <pic:cNvPicPr/>
                        </pic:nvPicPr>
                        <pic:blipFill>
                          <a:blip r:embed="rId17"/>
                          <a:stretch>
                            <a:fillRect/>
                          </a:stretch>
                        </pic:blipFill>
                        <pic:spPr>
                          <a:xfrm>
                            <a:off x="0" y="0"/>
                            <a:ext cx="1353820" cy="1297940"/>
                          </a:xfrm>
                          <a:prstGeom prst="rect">
                            <a:avLst/>
                          </a:prstGeom>
                          <a:noFill/>
                          <a:ln>
                            <a:noFill/>
                          </a:ln>
                        </pic:spPr>
                      </pic:pic>
                    </a:graphicData>
                  </a:graphic>
                </wp:inline>
              </w:drawing>
            </w:r>
          </w:p>
        </w:tc>
        <w:tc>
          <w:tcPr>
            <w:tcW w:w="1169" w:type="dxa"/>
            <w:shd w:val="clear" w:color="auto" w:fill="auto"/>
            <w:vAlign w:val="center"/>
          </w:tcPr>
          <w:p w14:paraId="578A29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193" w:type="dxa"/>
            <w:shd w:val="clear" w:color="auto" w:fill="auto"/>
            <w:vAlign w:val="center"/>
          </w:tcPr>
          <w:p w14:paraId="1D51E9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61094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jc w:val="center"/>
        </w:trPr>
        <w:tc>
          <w:tcPr>
            <w:tcW w:w="1439" w:type="dxa"/>
            <w:shd w:val="clear" w:color="auto" w:fill="auto"/>
            <w:vAlign w:val="center"/>
          </w:tcPr>
          <w:p w14:paraId="3F7B1C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JR03D-8900</w:t>
            </w:r>
          </w:p>
        </w:tc>
        <w:tc>
          <w:tcPr>
            <w:tcW w:w="1894" w:type="dxa"/>
            <w:shd w:val="clear" w:color="auto" w:fill="auto"/>
            <w:vAlign w:val="center"/>
          </w:tcPr>
          <w:p w14:paraId="595AA6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28"/>
                <w:rFonts w:hint="eastAsia" w:ascii="宋体" w:hAnsi="宋体" w:eastAsia="宋体" w:cs="宋体"/>
                <w:color w:val="auto"/>
                <w:sz w:val="24"/>
                <w:szCs w:val="24"/>
                <w:highlight w:val="none"/>
                <w:lang w:val="en-US" w:eastAsia="zh-CN" w:bidi="ar"/>
              </w:rPr>
              <w:t>深蹲架史密斯机一体机</w:t>
            </w:r>
            <w:r>
              <w:rPr>
                <w:rStyle w:val="128"/>
                <w:rFonts w:hint="eastAsia" w:ascii="宋体" w:hAnsi="宋体" w:eastAsia="宋体" w:cs="宋体"/>
                <w:color w:val="auto"/>
                <w:sz w:val="24"/>
                <w:szCs w:val="24"/>
                <w:highlight w:val="none"/>
                <w:lang w:val="en-US" w:eastAsia="zh-CN" w:bidi="ar"/>
              </w:rPr>
              <w:br w:type="textWrapping"/>
            </w:r>
            <w:r>
              <w:rPr>
                <w:rStyle w:val="975"/>
                <w:rFonts w:hint="eastAsia" w:ascii="宋体" w:hAnsi="宋体" w:eastAsia="宋体" w:cs="宋体"/>
                <w:color w:val="auto"/>
                <w:sz w:val="24"/>
                <w:szCs w:val="24"/>
                <w:highlight w:val="none"/>
                <w:lang w:val="en-US" w:eastAsia="zh-CN" w:bidi="ar"/>
              </w:rPr>
              <w:t>（零起始阻力）</w:t>
            </w:r>
          </w:p>
        </w:tc>
        <w:tc>
          <w:tcPr>
            <w:tcW w:w="3803" w:type="dxa"/>
            <w:shd w:val="clear" w:color="auto" w:fill="auto"/>
            <w:vAlign w:val="center"/>
          </w:tcPr>
          <w:p w14:paraId="7EA3DF47">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inline distT="0" distB="0" distL="114300" distR="114300">
                  <wp:extent cx="1445895" cy="1671955"/>
                  <wp:effectExtent l="0" t="0" r="1905" b="4445"/>
                  <wp:docPr id="2" name="image1"/>
                  <wp:cNvGraphicFramePr/>
                  <a:graphic xmlns:a="http://schemas.openxmlformats.org/drawingml/2006/main">
                    <a:graphicData uri="http://schemas.openxmlformats.org/drawingml/2006/picture">
                      <pic:pic xmlns:pic="http://schemas.openxmlformats.org/drawingml/2006/picture">
                        <pic:nvPicPr>
                          <pic:cNvPr id="2" name="image1"/>
                          <pic:cNvPicPr/>
                        </pic:nvPicPr>
                        <pic:blipFill>
                          <a:blip r:embed="rId18"/>
                          <a:stretch>
                            <a:fillRect/>
                          </a:stretch>
                        </pic:blipFill>
                        <pic:spPr>
                          <a:xfrm>
                            <a:off x="0" y="0"/>
                            <a:ext cx="1445895" cy="1671955"/>
                          </a:xfrm>
                          <a:prstGeom prst="rect">
                            <a:avLst/>
                          </a:prstGeom>
                          <a:noFill/>
                          <a:ln>
                            <a:noFill/>
                          </a:ln>
                        </pic:spPr>
                      </pic:pic>
                    </a:graphicData>
                  </a:graphic>
                </wp:inline>
              </w:drawing>
            </w:r>
          </w:p>
        </w:tc>
        <w:tc>
          <w:tcPr>
            <w:tcW w:w="1169" w:type="dxa"/>
            <w:shd w:val="clear" w:color="auto" w:fill="auto"/>
            <w:vAlign w:val="center"/>
          </w:tcPr>
          <w:p w14:paraId="111099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193" w:type="dxa"/>
            <w:shd w:val="clear" w:color="auto" w:fill="auto"/>
            <w:vAlign w:val="center"/>
          </w:tcPr>
          <w:p w14:paraId="5235EF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26510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8" w:hRule="atLeast"/>
          <w:jc w:val="center"/>
        </w:trPr>
        <w:tc>
          <w:tcPr>
            <w:tcW w:w="1439" w:type="dxa"/>
            <w:shd w:val="clear" w:color="auto" w:fill="auto"/>
            <w:vAlign w:val="center"/>
          </w:tcPr>
          <w:p w14:paraId="488289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18010</w:t>
            </w:r>
          </w:p>
        </w:tc>
        <w:tc>
          <w:tcPr>
            <w:tcW w:w="1894" w:type="dxa"/>
            <w:shd w:val="clear" w:color="auto" w:fill="auto"/>
            <w:vAlign w:val="center"/>
          </w:tcPr>
          <w:p w14:paraId="092385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胸背肌训练器</w:t>
            </w:r>
          </w:p>
        </w:tc>
        <w:tc>
          <w:tcPr>
            <w:tcW w:w="3803" w:type="dxa"/>
            <w:shd w:val="clear" w:color="auto" w:fill="auto"/>
            <w:vAlign w:val="center"/>
          </w:tcPr>
          <w:p w14:paraId="375FC47E">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inline distT="0" distB="0" distL="114300" distR="114300">
                  <wp:extent cx="1135380" cy="1739900"/>
                  <wp:effectExtent l="0" t="0" r="7620" b="12700"/>
                  <wp:docPr id="6" name="image7"/>
                  <wp:cNvGraphicFramePr/>
                  <a:graphic xmlns:a="http://schemas.openxmlformats.org/drawingml/2006/main">
                    <a:graphicData uri="http://schemas.openxmlformats.org/drawingml/2006/picture">
                      <pic:pic xmlns:pic="http://schemas.openxmlformats.org/drawingml/2006/picture">
                        <pic:nvPicPr>
                          <pic:cNvPr id="6" name="image7"/>
                          <pic:cNvPicPr/>
                        </pic:nvPicPr>
                        <pic:blipFill>
                          <a:blip r:embed="rId19"/>
                          <a:stretch>
                            <a:fillRect/>
                          </a:stretch>
                        </pic:blipFill>
                        <pic:spPr>
                          <a:xfrm>
                            <a:off x="0" y="0"/>
                            <a:ext cx="1135380" cy="1739900"/>
                          </a:xfrm>
                          <a:prstGeom prst="rect">
                            <a:avLst/>
                          </a:prstGeom>
                          <a:noFill/>
                          <a:ln>
                            <a:noFill/>
                          </a:ln>
                        </pic:spPr>
                      </pic:pic>
                    </a:graphicData>
                  </a:graphic>
                </wp:inline>
              </w:drawing>
            </w:r>
          </w:p>
        </w:tc>
        <w:tc>
          <w:tcPr>
            <w:tcW w:w="1169" w:type="dxa"/>
            <w:shd w:val="clear" w:color="auto" w:fill="auto"/>
            <w:vAlign w:val="center"/>
          </w:tcPr>
          <w:p w14:paraId="423792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193" w:type="dxa"/>
            <w:shd w:val="clear" w:color="auto" w:fill="auto"/>
            <w:vAlign w:val="center"/>
          </w:tcPr>
          <w:p w14:paraId="3960AC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419E8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4" w:hRule="atLeast"/>
          <w:jc w:val="center"/>
        </w:trPr>
        <w:tc>
          <w:tcPr>
            <w:tcW w:w="1439" w:type="dxa"/>
            <w:shd w:val="clear" w:color="auto" w:fill="auto"/>
            <w:vAlign w:val="center"/>
          </w:tcPr>
          <w:p w14:paraId="645C69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JR02-2160</w:t>
            </w:r>
          </w:p>
        </w:tc>
        <w:tc>
          <w:tcPr>
            <w:tcW w:w="1894" w:type="dxa"/>
            <w:shd w:val="clear" w:color="auto" w:fill="auto"/>
            <w:vAlign w:val="center"/>
          </w:tcPr>
          <w:p w14:paraId="40104C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分动式推胸及高拉背训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练器</w:t>
            </w:r>
          </w:p>
        </w:tc>
        <w:tc>
          <w:tcPr>
            <w:tcW w:w="3803" w:type="dxa"/>
            <w:shd w:val="clear" w:color="auto" w:fill="auto"/>
            <w:vAlign w:val="center"/>
          </w:tcPr>
          <w:p w14:paraId="1018FDA9">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inline distT="0" distB="0" distL="114300" distR="114300">
                  <wp:extent cx="1277620" cy="1437640"/>
                  <wp:effectExtent l="0" t="0" r="17780" b="10160"/>
                  <wp:docPr id="11" name="image10"/>
                  <wp:cNvGraphicFramePr/>
                  <a:graphic xmlns:a="http://schemas.openxmlformats.org/drawingml/2006/main">
                    <a:graphicData uri="http://schemas.openxmlformats.org/drawingml/2006/picture">
                      <pic:pic xmlns:pic="http://schemas.openxmlformats.org/drawingml/2006/picture">
                        <pic:nvPicPr>
                          <pic:cNvPr id="11" name="image10"/>
                          <pic:cNvPicPr/>
                        </pic:nvPicPr>
                        <pic:blipFill>
                          <a:blip r:embed="rId20"/>
                          <a:stretch>
                            <a:fillRect/>
                          </a:stretch>
                        </pic:blipFill>
                        <pic:spPr>
                          <a:xfrm>
                            <a:off x="0" y="0"/>
                            <a:ext cx="1277620" cy="1437640"/>
                          </a:xfrm>
                          <a:prstGeom prst="rect">
                            <a:avLst/>
                          </a:prstGeom>
                          <a:noFill/>
                          <a:ln>
                            <a:noFill/>
                          </a:ln>
                        </pic:spPr>
                      </pic:pic>
                    </a:graphicData>
                  </a:graphic>
                </wp:inline>
              </w:drawing>
            </w:r>
          </w:p>
        </w:tc>
        <w:tc>
          <w:tcPr>
            <w:tcW w:w="1169" w:type="dxa"/>
            <w:shd w:val="clear" w:color="auto" w:fill="auto"/>
            <w:vAlign w:val="center"/>
          </w:tcPr>
          <w:p w14:paraId="0DF942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193" w:type="dxa"/>
            <w:shd w:val="clear" w:color="auto" w:fill="auto"/>
            <w:vAlign w:val="center"/>
          </w:tcPr>
          <w:p w14:paraId="706F6D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4D895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0" w:hRule="atLeast"/>
          <w:jc w:val="center"/>
        </w:trPr>
        <w:tc>
          <w:tcPr>
            <w:tcW w:w="1439" w:type="dxa"/>
            <w:shd w:val="clear" w:color="auto" w:fill="auto"/>
            <w:vAlign w:val="center"/>
          </w:tcPr>
          <w:p w14:paraId="7863FD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JR02-2120</w:t>
            </w:r>
          </w:p>
        </w:tc>
        <w:tc>
          <w:tcPr>
            <w:tcW w:w="1894" w:type="dxa"/>
            <w:shd w:val="clear" w:color="auto" w:fill="auto"/>
            <w:vAlign w:val="center"/>
          </w:tcPr>
          <w:p w14:paraId="1DABFB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分动式下拉训练器</w:t>
            </w:r>
          </w:p>
        </w:tc>
        <w:tc>
          <w:tcPr>
            <w:tcW w:w="3803" w:type="dxa"/>
            <w:shd w:val="clear" w:color="auto" w:fill="auto"/>
            <w:vAlign w:val="center"/>
          </w:tcPr>
          <w:p w14:paraId="699C2307">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inline distT="0" distB="0" distL="114300" distR="114300">
                  <wp:extent cx="1234440" cy="1391920"/>
                  <wp:effectExtent l="0" t="0" r="3810" b="17780"/>
                  <wp:docPr id="7" name="image14"/>
                  <wp:cNvGraphicFramePr/>
                  <a:graphic xmlns:a="http://schemas.openxmlformats.org/drawingml/2006/main">
                    <a:graphicData uri="http://schemas.openxmlformats.org/drawingml/2006/picture">
                      <pic:pic xmlns:pic="http://schemas.openxmlformats.org/drawingml/2006/picture">
                        <pic:nvPicPr>
                          <pic:cNvPr id="7" name="image14"/>
                          <pic:cNvPicPr/>
                        </pic:nvPicPr>
                        <pic:blipFill>
                          <a:blip r:embed="rId21"/>
                          <a:stretch>
                            <a:fillRect/>
                          </a:stretch>
                        </pic:blipFill>
                        <pic:spPr>
                          <a:xfrm>
                            <a:off x="0" y="0"/>
                            <a:ext cx="1234440" cy="1391920"/>
                          </a:xfrm>
                          <a:prstGeom prst="rect">
                            <a:avLst/>
                          </a:prstGeom>
                          <a:noFill/>
                          <a:ln>
                            <a:noFill/>
                          </a:ln>
                        </pic:spPr>
                      </pic:pic>
                    </a:graphicData>
                  </a:graphic>
                </wp:inline>
              </w:drawing>
            </w:r>
          </w:p>
        </w:tc>
        <w:tc>
          <w:tcPr>
            <w:tcW w:w="1169" w:type="dxa"/>
            <w:shd w:val="clear" w:color="auto" w:fill="auto"/>
            <w:vAlign w:val="center"/>
          </w:tcPr>
          <w:p w14:paraId="181186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193" w:type="dxa"/>
            <w:shd w:val="clear" w:color="auto" w:fill="auto"/>
            <w:vAlign w:val="center"/>
          </w:tcPr>
          <w:p w14:paraId="2BB9CD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7EFA2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7" w:hRule="atLeast"/>
          <w:jc w:val="center"/>
        </w:trPr>
        <w:tc>
          <w:tcPr>
            <w:tcW w:w="1439" w:type="dxa"/>
            <w:shd w:val="clear" w:color="auto" w:fill="auto"/>
            <w:vAlign w:val="center"/>
          </w:tcPr>
          <w:p w14:paraId="792BD3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18032</w:t>
            </w:r>
          </w:p>
        </w:tc>
        <w:tc>
          <w:tcPr>
            <w:tcW w:w="1894" w:type="dxa"/>
            <w:shd w:val="clear" w:color="auto" w:fill="auto"/>
            <w:vAlign w:val="center"/>
          </w:tcPr>
          <w:p w14:paraId="3DD6AB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大腿内外侧训练器</w:t>
            </w:r>
          </w:p>
        </w:tc>
        <w:tc>
          <w:tcPr>
            <w:tcW w:w="3803" w:type="dxa"/>
            <w:shd w:val="clear" w:color="auto" w:fill="auto"/>
            <w:vAlign w:val="center"/>
          </w:tcPr>
          <w:p w14:paraId="72DDD77E">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inline distT="0" distB="0" distL="114300" distR="114300">
                  <wp:extent cx="1082675" cy="1698625"/>
                  <wp:effectExtent l="0" t="0" r="3175" b="15875"/>
                  <wp:docPr id="8" name="image9"/>
                  <wp:cNvGraphicFramePr/>
                  <a:graphic xmlns:a="http://schemas.openxmlformats.org/drawingml/2006/main">
                    <a:graphicData uri="http://schemas.openxmlformats.org/drawingml/2006/picture">
                      <pic:pic xmlns:pic="http://schemas.openxmlformats.org/drawingml/2006/picture">
                        <pic:nvPicPr>
                          <pic:cNvPr id="8" name="image9"/>
                          <pic:cNvPicPr/>
                        </pic:nvPicPr>
                        <pic:blipFill>
                          <a:blip r:embed="rId22"/>
                          <a:stretch>
                            <a:fillRect/>
                          </a:stretch>
                        </pic:blipFill>
                        <pic:spPr>
                          <a:xfrm>
                            <a:off x="0" y="0"/>
                            <a:ext cx="1082675" cy="1698625"/>
                          </a:xfrm>
                          <a:prstGeom prst="rect">
                            <a:avLst/>
                          </a:prstGeom>
                          <a:noFill/>
                          <a:ln>
                            <a:noFill/>
                          </a:ln>
                        </pic:spPr>
                      </pic:pic>
                    </a:graphicData>
                  </a:graphic>
                </wp:inline>
              </w:drawing>
            </w:r>
          </w:p>
        </w:tc>
        <w:tc>
          <w:tcPr>
            <w:tcW w:w="1169" w:type="dxa"/>
            <w:shd w:val="clear" w:color="auto" w:fill="auto"/>
            <w:vAlign w:val="center"/>
          </w:tcPr>
          <w:p w14:paraId="655ED2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193" w:type="dxa"/>
            <w:shd w:val="clear" w:color="auto" w:fill="auto"/>
            <w:vAlign w:val="center"/>
          </w:tcPr>
          <w:p w14:paraId="7F18D9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1349E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5" w:hRule="atLeast"/>
          <w:jc w:val="center"/>
        </w:trPr>
        <w:tc>
          <w:tcPr>
            <w:tcW w:w="1439" w:type="dxa"/>
            <w:shd w:val="clear" w:color="auto" w:fill="auto"/>
            <w:vAlign w:val="center"/>
          </w:tcPr>
          <w:p w14:paraId="7B7560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18037</w:t>
            </w:r>
          </w:p>
        </w:tc>
        <w:tc>
          <w:tcPr>
            <w:tcW w:w="1894" w:type="dxa"/>
            <w:shd w:val="clear" w:color="auto" w:fill="auto"/>
            <w:vAlign w:val="center"/>
          </w:tcPr>
          <w:p w14:paraId="12BB68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股四股二训练器</w:t>
            </w:r>
          </w:p>
        </w:tc>
        <w:tc>
          <w:tcPr>
            <w:tcW w:w="3803" w:type="dxa"/>
            <w:shd w:val="clear" w:color="auto" w:fill="auto"/>
            <w:vAlign w:val="center"/>
          </w:tcPr>
          <w:p w14:paraId="5389CB59">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inline distT="0" distB="0" distL="114300" distR="114300">
                  <wp:extent cx="1374140" cy="1653540"/>
                  <wp:effectExtent l="0" t="0" r="16510" b="3810"/>
                  <wp:docPr id="9" name="image2"/>
                  <wp:cNvGraphicFramePr/>
                  <a:graphic xmlns:a="http://schemas.openxmlformats.org/drawingml/2006/main">
                    <a:graphicData uri="http://schemas.openxmlformats.org/drawingml/2006/picture">
                      <pic:pic xmlns:pic="http://schemas.openxmlformats.org/drawingml/2006/picture">
                        <pic:nvPicPr>
                          <pic:cNvPr id="9" name="image2"/>
                          <pic:cNvPicPr/>
                        </pic:nvPicPr>
                        <pic:blipFill>
                          <a:blip r:embed="rId23"/>
                          <a:stretch>
                            <a:fillRect/>
                          </a:stretch>
                        </pic:blipFill>
                        <pic:spPr>
                          <a:xfrm>
                            <a:off x="0" y="0"/>
                            <a:ext cx="1374140" cy="1653540"/>
                          </a:xfrm>
                          <a:prstGeom prst="rect">
                            <a:avLst/>
                          </a:prstGeom>
                          <a:noFill/>
                          <a:ln>
                            <a:noFill/>
                          </a:ln>
                        </pic:spPr>
                      </pic:pic>
                    </a:graphicData>
                  </a:graphic>
                </wp:inline>
              </w:drawing>
            </w:r>
          </w:p>
        </w:tc>
        <w:tc>
          <w:tcPr>
            <w:tcW w:w="1169" w:type="dxa"/>
            <w:shd w:val="clear" w:color="auto" w:fill="auto"/>
            <w:vAlign w:val="center"/>
          </w:tcPr>
          <w:p w14:paraId="5C178D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193" w:type="dxa"/>
            <w:shd w:val="clear" w:color="auto" w:fill="auto"/>
            <w:vAlign w:val="center"/>
          </w:tcPr>
          <w:p w14:paraId="211533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073D9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1439" w:type="dxa"/>
            <w:shd w:val="clear" w:color="auto" w:fill="auto"/>
            <w:vAlign w:val="center"/>
          </w:tcPr>
          <w:p w14:paraId="567B27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JR02-3800</w:t>
            </w:r>
          </w:p>
        </w:tc>
        <w:tc>
          <w:tcPr>
            <w:tcW w:w="1894" w:type="dxa"/>
            <w:shd w:val="clear" w:color="auto" w:fill="auto"/>
            <w:vAlign w:val="center"/>
          </w:tcPr>
          <w:p w14:paraId="37200A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45度角坐式蹬腿训练器</w:t>
            </w:r>
          </w:p>
        </w:tc>
        <w:tc>
          <w:tcPr>
            <w:tcW w:w="3803" w:type="dxa"/>
            <w:shd w:val="clear" w:color="auto" w:fill="auto"/>
            <w:vAlign w:val="center"/>
          </w:tcPr>
          <w:p w14:paraId="24920B0F">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inline distT="0" distB="0" distL="114300" distR="114300">
                  <wp:extent cx="1282700" cy="1480820"/>
                  <wp:effectExtent l="0" t="0" r="12700" b="5080"/>
                  <wp:docPr id="10" name="image8"/>
                  <wp:cNvGraphicFramePr/>
                  <a:graphic xmlns:a="http://schemas.openxmlformats.org/drawingml/2006/main">
                    <a:graphicData uri="http://schemas.openxmlformats.org/drawingml/2006/picture">
                      <pic:pic xmlns:pic="http://schemas.openxmlformats.org/drawingml/2006/picture">
                        <pic:nvPicPr>
                          <pic:cNvPr id="10" name="image8"/>
                          <pic:cNvPicPr/>
                        </pic:nvPicPr>
                        <pic:blipFill>
                          <a:blip r:embed="rId24"/>
                          <a:stretch>
                            <a:fillRect/>
                          </a:stretch>
                        </pic:blipFill>
                        <pic:spPr>
                          <a:xfrm>
                            <a:off x="0" y="0"/>
                            <a:ext cx="1282700" cy="1480820"/>
                          </a:xfrm>
                          <a:prstGeom prst="rect">
                            <a:avLst/>
                          </a:prstGeom>
                          <a:noFill/>
                          <a:ln>
                            <a:noFill/>
                          </a:ln>
                        </pic:spPr>
                      </pic:pic>
                    </a:graphicData>
                  </a:graphic>
                </wp:inline>
              </w:drawing>
            </w:r>
          </w:p>
        </w:tc>
        <w:tc>
          <w:tcPr>
            <w:tcW w:w="1169" w:type="dxa"/>
            <w:shd w:val="clear" w:color="auto" w:fill="auto"/>
            <w:vAlign w:val="center"/>
          </w:tcPr>
          <w:p w14:paraId="291E03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193" w:type="dxa"/>
            <w:shd w:val="clear" w:color="auto" w:fill="auto"/>
            <w:vAlign w:val="center"/>
          </w:tcPr>
          <w:p w14:paraId="26B0C1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64715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1439" w:type="dxa"/>
            <w:shd w:val="clear" w:color="auto" w:fill="auto"/>
            <w:vAlign w:val="center"/>
          </w:tcPr>
          <w:p w14:paraId="7CDDE8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乔山</w:t>
            </w:r>
          </w:p>
        </w:tc>
        <w:tc>
          <w:tcPr>
            <w:tcW w:w="1894" w:type="dxa"/>
            <w:shd w:val="clear" w:color="auto" w:fill="auto"/>
            <w:vAlign w:val="center"/>
          </w:tcPr>
          <w:p w14:paraId="728090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挂片划船</w:t>
            </w:r>
          </w:p>
        </w:tc>
        <w:tc>
          <w:tcPr>
            <w:tcW w:w="3803" w:type="dxa"/>
            <w:shd w:val="clear" w:color="auto" w:fill="auto"/>
            <w:vAlign w:val="center"/>
          </w:tcPr>
          <w:p w14:paraId="67314D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inline distT="0" distB="0" distL="114300" distR="114300">
                  <wp:extent cx="1670685" cy="1273810"/>
                  <wp:effectExtent l="0" t="0" r="5715" b="2540"/>
                  <wp:docPr id="12" name="图片_36"/>
                  <wp:cNvGraphicFramePr/>
                  <a:graphic xmlns:a="http://schemas.openxmlformats.org/drawingml/2006/main">
                    <a:graphicData uri="http://schemas.openxmlformats.org/drawingml/2006/picture">
                      <pic:pic xmlns:pic="http://schemas.openxmlformats.org/drawingml/2006/picture">
                        <pic:nvPicPr>
                          <pic:cNvPr id="12" name="图片_36"/>
                          <pic:cNvPicPr/>
                        </pic:nvPicPr>
                        <pic:blipFill>
                          <a:blip r:embed="rId25"/>
                          <a:stretch>
                            <a:fillRect/>
                          </a:stretch>
                        </pic:blipFill>
                        <pic:spPr>
                          <a:xfrm>
                            <a:off x="0" y="0"/>
                            <a:ext cx="1670685" cy="1273810"/>
                          </a:xfrm>
                          <a:prstGeom prst="rect">
                            <a:avLst/>
                          </a:prstGeom>
                          <a:noFill/>
                          <a:ln>
                            <a:noFill/>
                          </a:ln>
                        </pic:spPr>
                      </pic:pic>
                    </a:graphicData>
                  </a:graphic>
                </wp:inline>
              </w:drawing>
            </w:r>
          </w:p>
        </w:tc>
        <w:tc>
          <w:tcPr>
            <w:tcW w:w="1169" w:type="dxa"/>
            <w:shd w:val="clear" w:color="auto" w:fill="auto"/>
            <w:vAlign w:val="center"/>
          </w:tcPr>
          <w:p w14:paraId="5063F2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193" w:type="dxa"/>
            <w:shd w:val="clear" w:color="auto" w:fill="auto"/>
            <w:vAlign w:val="center"/>
          </w:tcPr>
          <w:p w14:paraId="0DDABE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121A2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8" w:hRule="atLeast"/>
          <w:jc w:val="center"/>
        </w:trPr>
        <w:tc>
          <w:tcPr>
            <w:tcW w:w="1439" w:type="dxa"/>
            <w:shd w:val="clear" w:color="auto" w:fill="auto"/>
            <w:vAlign w:val="center"/>
          </w:tcPr>
          <w:p w14:paraId="119B8E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G3-S30</w:t>
            </w:r>
          </w:p>
        </w:tc>
        <w:tc>
          <w:tcPr>
            <w:tcW w:w="1894" w:type="dxa"/>
            <w:shd w:val="clear" w:color="auto" w:fill="auto"/>
            <w:vAlign w:val="center"/>
          </w:tcPr>
          <w:p w14:paraId="0CBC5D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高拉滑轮机</w:t>
            </w:r>
          </w:p>
        </w:tc>
        <w:tc>
          <w:tcPr>
            <w:tcW w:w="3803" w:type="dxa"/>
            <w:shd w:val="clear" w:color="auto" w:fill="FFFFFF"/>
            <w:noWrap/>
            <w:vAlign w:val="center"/>
          </w:tcPr>
          <w:p w14:paraId="54657A1F">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inline distT="0" distB="0" distL="114300" distR="114300">
                  <wp:extent cx="1055370" cy="1734820"/>
                  <wp:effectExtent l="0" t="0" r="11430" b="17780"/>
                  <wp:docPr id="18" name="图片_37"/>
                  <wp:cNvGraphicFramePr/>
                  <a:graphic xmlns:a="http://schemas.openxmlformats.org/drawingml/2006/main">
                    <a:graphicData uri="http://schemas.openxmlformats.org/drawingml/2006/picture">
                      <pic:pic xmlns:pic="http://schemas.openxmlformats.org/drawingml/2006/picture">
                        <pic:nvPicPr>
                          <pic:cNvPr id="18" name="图片_37"/>
                          <pic:cNvPicPr/>
                        </pic:nvPicPr>
                        <pic:blipFill>
                          <a:blip r:embed="rId26"/>
                          <a:stretch>
                            <a:fillRect/>
                          </a:stretch>
                        </pic:blipFill>
                        <pic:spPr>
                          <a:xfrm>
                            <a:off x="0" y="0"/>
                            <a:ext cx="1055370" cy="1734820"/>
                          </a:xfrm>
                          <a:prstGeom prst="rect">
                            <a:avLst/>
                          </a:prstGeom>
                          <a:noFill/>
                          <a:ln>
                            <a:noFill/>
                          </a:ln>
                        </pic:spPr>
                      </pic:pic>
                    </a:graphicData>
                  </a:graphic>
                </wp:inline>
              </w:drawing>
            </w:r>
          </w:p>
        </w:tc>
        <w:tc>
          <w:tcPr>
            <w:tcW w:w="1169" w:type="dxa"/>
            <w:shd w:val="clear" w:color="auto" w:fill="auto"/>
            <w:vAlign w:val="center"/>
          </w:tcPr>
          <w:p w14:paraId="52C7F7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193" w:type="dxa"/>
            <w:shd w:val="clear" w:color="auto" w:fill="auto"/>
            <w:vAlign w:val="center"/>
          </w:tcPr>
          <w:p w14:paraId="60A98D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5CB78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7" w:hRule="atLeast"/>
          <w:jc w:val="center"/>
        </w:trPr>
        <w:tc>
          <w:tcPr>
            <w:tcW w:w="1439" w:type="dxa"/>
            <w:shd w:val="clear" w:color="auto" w:fill="auto"/>
            <w:vAlign w:val="center"/>
          </w:tcPr>
          <w:p w14:paraId="2628C5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VERSA-S74P</w:t>
            </w:r>
          </w:p>
        </w:tc>
        <w:tc>
          <w:tcPr>
            <w:tcW w:w="1894" w:type="dxa"/>
            <w:shd w:val="clear" w:color="auto" w:fill="auto"/>
            <w:vAlign w:val="center"/>
          </w:tcPr>
          <w:p w14:paraId="003942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大腿内收/外展训练机</w:t>
            </w:r>
          </w:p>
        </w:tc>
        <w:tc>
          <w:tcPr>
            <w:tcW w:w="3803" w:type="dxa"/>
            <w:shd w:val="clear" w:color="auto" w:fill="auto"/>
            <w:vAlign w:val="center"/>
          </w:tcPr>
          <w:p w14:paraId="438350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inline distT="0" distB="0" distL="114300" distR="114300">
                  <wp:extent cx="1250950" cy="1339215"/>
                  <wp:effectExtent l="0" t="0" r="6350" b="13335"/>
                  <wp:docPr id="19" name="图片_134"/>
                  <wp:cNvGraphicFramePr/>
                  <a:graphic xmlns:a="http://schemas.openxmlformats.org/drawingml/2006/main">
                    <a:graphicData uri="http://schemas.openxmlformats.org/drawingml/2006/picture">
                      <pic:pic xmlns:pic="http://schemas.openxmlformats.org/drawingml/2006/picture">
                        <pic:nvPicPr>
                          <pic:cNvPr id="19" name="图片_134"/>
                          <pic:cNvPicPr/>
                        </pic:nvPicPr>
                        <pic:blipFill>
                          <a:blip r:embed="rId27"/>
                          <a:stretch>
                            <a:fillRect/>
                          </a:stretch>
                        </pic:blipFill>
                        <pic:spPr>
                          <a:xfrm>
                            <a:off x="0" y="0"/>
                            <a:ext cx="1250950" cy="1339215"/>
                          </a:xfrm>
                          <a:prstGeom prst="rect">
                            <a:avLst/>
                          </a:prstGeom>
                          <a:noFill/>
                          <a:ln>
                            <a:noFill/>
                          </a:ln>
                        </pic:spPr>
                      </pic:pic>
                    </a:graphicData>
                  </a:graphic>
                </wp:inline>
              </w:drawing>
            </w:r>
          </w:p>
        </w:tc>
        <w:tc>
          <w:tcPr>
            <w:tcW w:w="1169" w:type="dxa"/>
            <w:shd w:val="clear" w:color="auto" w:fill="auto"/>
            <w:vAlign w:val="center"/>
          </w:tcPr>
          <w:p w14:paraId="60F156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193" w:type="dxa"/>
            <w:shd w:val="clear" w:color="auto" w:fill="auto"/>
            <w:vAlign w:val="center"/>
          </w:tcPr>
          <w:p w14:paraId="0DB2CC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2A923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7" w:hRule="atLeast"/>
          <w:jc w:val="center"/>
        </w:trPr>
        <w:tc>
          <w:tcPr>
            <w:tcW w:w="1439" w:type="dxa"/>
            <w:shd w:val="clear" w:color="auto" w:fill="auto"/>
            <w:vAlign w:val="center"/>
          </w:tcPr>
          <w:p w14:paraId="34EDE5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乔山</w:t>
            </w:r>
          </w:p>
        </w:tc>
        <w:tc>
          <w:tcPr>
            <w:tcW w:w="1894" w:type="dxa"/>
            <w:shd w:val="clear" w:color="auto" w:fill="auto"/>
            <w:vAlign w:val="center"/>
          </w:tcPr>
          <w:p w14:paraId="395216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挂片推肩</w:t>
            </w:r>
          </w:p>
        </w:tc>
        <w:tc>
          <w:tcPr>
            <w:tcW w:w="3803" w:type="dxa"/>
            <w:shd w:val="clear" w:color="auto" w:fill="auto"/>
            <w:vAlign w:val="center"/>
          </w:tcPr>
          <w:p w14:paraId="71D9E9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inline distT="0" distB="0" distL="114300" distR="114300">
                  <wp:extent cx="1463675" cy="1291590"/>
                  <wp:effectExtent l="0" t="0" r="3175" b="3810"/>
                  <wp:docPr id="20" name="图片_40"/>
                  <wp:cNvGraphicFramePr/>
                  <a:graphic xmlns:a="http://schemas.openxmlformats.org/drawingml/2006/main">
                    <a:graphicData uri="http://schemas.openxmlformats.org/drawingml/2006/picture">
                      <pic:pic xmlns:pic="http://schemas.openxmlformats.org/drawingml/2006/picture">
                        <pic:nvPicPr>
                          <pic:cNvPr id="20" name="图片_40"/>
                          <pic:cNvPicPr/>
                        </pic:nvPicPr>
                        <pic:blipFill>
                          <a:blip r:embed="rId28"/>
                          <a:stretch>
                            <a:fillRect/>
                          </a:stretch>
                        </pic:blipFill>
                        <pic:spPr>
                          <a:xfrm>
                            <a:off x="0" y="0"/>
                            <a:ext cx="1463675" cy="1291590"/>
                          </a:xfrm>
                          <a:prstGeom prst="rect">
                            <a:avLst/>
                          </a:prstGeom>
                          <a:noFill/>
                          <a:ln>
                            <a:noFill/>
                          </a:ln>
                        </pic:spPr>
                      </pic:pic>
                    </a:graphicData>
                  </a:graphic>
                </wp:inline>
              </w:drawing>
            </w:r>
          </w:p>
        </w:tc>
        <w:tc>
          <w:tcPr>
            <w:tcW w:w="1169" w:type="dxa"/>
            <w:shd w:val="clear" w:color="auto" w:fill="auto"/>
            <w:vAlign w:val="center"/>
          </w:tcPr>
          <w:p w14:paraId="17906E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193" w:type="dxa"/>
            <w:shd w:val="clear" w:color="auto" w:fill="auto"/>
            <w:vAlign w:val="center"/>
          </w:tcPr>
          <w:p w14:paraId="4607C7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59251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7" w:hRule="atLeast"/>
          <w:jc w:val="center"/>
        </w:trPr>
        <w:tc>
          <w:tcPr>
            <w:tcW w:w="1439" w:type="dxa"/>
            <w:shd w:val="clear" w:color="auto" w:fill="auto"/>
            <w:vAlign w:val="center"/>
          </w:tcPr>
          <w:p w14:paraId="32209B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JR02-3810</w:t>
            </w:r>
          </w:p>
        </w:tc>
        <w:tc>
          <w:tcPr>
            <w:tcW w:w="1894" w:type="dxa"/>
            <w:shd w:val="clear" w:color="auto" w:fill="auto"/>
            <w:vAlign w:val="center"/>
          </w:tcPr>
          <w:p w14:paraId="76336C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V字下蹲训练器</w:t>
            </w:r>
          </w:p>
        </w:tc>
        <w:tc>
          <w:tcPr>
            <w:tcW w:w="3803" w:type="dxa"/>
            <w:shd w:val="clear" w:color="auto" w:fill="auto"/>
            <w:vAlign w:val="center"/>
          </w:tcPr>
          <w:p w14:paraId="6A0AE719">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inline distT="0" distB="0" distL="114300" distR="114300">
                  <wp:extent cx="1404620" cy="1526540"/>
                  <wp:effectExtent l="0" t="0" r="5080" b="16510"/>
                  <wp:docPr id="21" name="image5"/>
                  <wp:cNvGraphicFramePr/>
                  <a:graphic xmlns:a="http://schemas.openxmlformats.org/drawingml/2006/main">
                    <a:graphicData uri="http://schemas.openxmlformats.org/drawingml/2006/picture">
                      <pic:pic xmlns:pic="http://schemas.openxmlformats.org/drawingml/2006/picture">
                        <pic:nvPicPr>
                          <pic:cNvPr id="21" name="image5"/>
                          <pic:cNvPicPr/>
                        </pic:nvPicPr>
                        <pic:blipFill>
                          <a:blip r:embed="rId29"/>
                          <a:stretch>
                            <a:fillRect/>
                          </a:stretch>
                        </pic:blipFill>
                        <pic:spPr>
                          <a:xfrm>
                            <a:off x="0" y="0"/>
                            <a:ext cx="1404620" cy="1526540"/>
                          </a:xfrm>
                          <a:prstGeom prst="rect">
                            <a:avLst/>
                          </a:prstGeom>
                          <a:noFill/>
                          <a:ln>
                            <a:noFill/>
                          </a:ln>
                        </pic:spPr>
                      </pic:pic>
                    </a:graphicData>
                  </a:graphic>
                </wp:inline>
              </w:drawing>
            </w:r>
          </w:p>
        </w:tc>
        <w:tc>
          <w:tcPr>
            <w:tcW w:w="1169" w:type="dxa"/>
            <w:shd w:val="clear" w:color="auto" w:fill="auto"/>
            <w:vAlign w:val="center"/>
          </w:tcPr>
          <w:p w14:paraId="24C491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193" w:type="dxa"/>
            <w:shd w:val="clear" w:color="auto" w:fill="auto"/>
            <w:vAlign w:val="center"/>
          </w:tcPr>
          <w:p w14:paraId="47DED8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7F125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1439" w:type="dxa"/>
            <w:shd w:val="clear" w:color="auto" w:fill="auto"/>
            <w:vAlign w:val="center"/>
          </w:tcPr>
          <w:p w14:paraId="237A78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JR02-2241</w:t>
            </w:r>
          </w:p>
        </w:tc>
        <w:tc>
          <w:tcPr>
            <w:tcW w:w="1894" w:type="dxa"/>
            <w:shd w:val="clear" w:color="auto" w:fill="auto"/>
            <w:vAlign w:val="center"/>
          </w:tcPr>
          <w:p w14:paraId="07160C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三维臀桥机</w:t>
            </w:r>
          </w:p>
        </w:tc>
        <w:tc>
          <w:tcPr>
            <w:tcW w:w="3803" w:type="dxa"/>
            <w:shd w:val="clear" w:color="auto" w:fill="auto"/>
            <w:vAlign w:val="center"/>
          </w:tcPr>
          <w:p w14:paraId="74502FC8">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inline distT="0" distB="0" distL="114300" distR="114300">
                  <wp:extent cx="1517650" cy="1404620"/>
                  <wp:effectExtent l="0" t="0" r="6350" b="5080"/>
                  <wp:docPr id="22" name="image6"/>
                  <wp:cNvGraphicFramePr/>
                  <a:graphic xmlns:a="http://schemas.openxmlformats.org/drawingml/2006/main">
                    <a:graphicData uri="http://schemas.openxmlformats.org/drawingml/2006/picture">
                      <pic:pic xmlns:pic="http://schemas.openxmlformats.org/drawingml/2006/picture">
                        <pic:nvPicPr>
                          <pic:cNvPr id="22" name="image6"/>
                          <pic:cNvPicPr/>
                        </pic:nvPicPr>
                        <pic:blipFill>
                          <a:blip r:embed="rId30"/>
                          <a:stretch>
                            <a:fillRect/>
                          </a:stretch>
                        </pic:blipFill>
                        <pic:spPr>
                          <a:xfrm>
                            <a:off x="0" y="0"/>
                            <a:ext cx="1517650" cy="1404620"/>
                          </a:xfrm>
                          <a:prstGeom prst="rect">
                            <a:avLst/>
                          </a:prstGeom>
                          <a:noFill/>
                          <a:ln>
                            <a:noFill/>
                          </a:ln>
                        </pic:spPr>
                      </pic:pic>
                    </a:graphicData>
                  </a:graphic>
                </wp:inline>
              </w:drawing>
            </w:r>
          </w:p>
        </w:tc>
        <w:tc>
          <w:tcPr>
            <w:tcW w:w="1169" w:type="dxa"/>
            <w:shd w:val="clear" w:color="auto" w:fill="auto"/>
            <w:vAlign w:val="center"/>
          </w:tcPr>
          <w:p w14:paraId="4D18EB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193" w:type="dxa"/>
            <w:shd w:val="clear" w:color="auto" w:fill="auto"/>
            <w:vAlign w:val="center"/>
          </w:tcPr>
          <w:p w14:paraId="3012BE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71545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1439" w:type="dxa"/>
            <w:shd w:val="clear" w:color="auto" w:fill="auto"/>
            <w:vAlign w:val="center"/>
          </w:tcPr>
          <w:p w14:paraId="223419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JR02-2300</w:t>
            </w:r>
          </w:p>
        </w:tc>
        <w:tc>
          <w:tcPr>
            <w:tcW w:w="1894" w:type="dxa"/>
            <w:shd w:val="clear" w:color="auto" w:fill="auto"/>
            <w:vAlign w:val="center"/>
          </w:tcPr>
          <w:p w14:paraId="778DF7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背肌伸展练习椅</w:t>
            </w:r>
          </w:p>
        </w:tc>
        <w:tc>
          <w:tcPr>
            <w:tcW w:w="3803" w:type="dxa"/>
            <w:shd w:val="clear" w:color="auto" w:fill="auto"/>
            <w:vAlign w:val="center"/>
          </w:tcPr>
          <w:p w14:paraId="77041A50">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inline distT="0" distB="0" distL="114300" distR="114300">
                  <wp:extent cx="1338580" cy="957580"/>
                  <wp:effectExtent l="0" t="0" r="13970" b="13970"/>
                  <wp:docPr id="23" name="image18"/>
                  <wp:cNvGraphicFramePr/>
                  <a:graphic xmlns:a="http://schemas.openxmlformats.org/drawingml/2006/main">
                    <a:graphicData uri="http://schemas.openxmlformats.org/drawingml/2006/picture">
                      <pic:pic xmlns:pic="http://schemas.openxmlformats.org/drawingml/2006/picture">
                        <pic:nvPicPr>
                          <pic:cNvPr id="23" name="image18"/>
                          <pic:cNvPicPr/>
                        </pic:nvPicPr>
                        <pic:blipFill>
                          <a:blip r:embed="rId31"/>
                          <a:stretch>
                            <a:fillRect/>
                          </a:stretch>
                        </pic:blipFill>
                        <pic:spPr>
                          <a:xfrm>
                            <a:off x="0" y="0"/>
                            <a:ext cx="1338580" cy="957580"/>
                          </a:xfrm>
                          <a:prstGeom prst="rect">
                            <a:avLst/>
                          </a:prstGeom>
                          <a:noFill/>
                          <a:ln>
                            <a:noFill/>
                          </a:ln>
                        </pic:spPr>
                      </pic:pic>
                    </a:graphicData>
                  </a:graphic>
                </wp:inline>
              </w:drawing>
            </w:r>
          </w:p>
        </w:tc>
        <w:tc>
          <w:tcPr>
            <w:tcW w:w="1169" w:type="dxa"/>
            <w:shd w:val="clear" w:color="auto" w:fill="auto"/>
            <w:vAlign w:val="center"/>
          </w:tcPr>
          <w:p w14:paraId="68A1F0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193" w:type="dxa"/>
            <w:shd w:val="clear" w:color="auto" w:fill="auto"/>
            <w:vAlign w:val="center"/>
          </w:tcPr>
          <w:p w14:paraId="759021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67ABA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3" w:hRule="atLeast"/>
          <w:jc w:val="center"/>
        </w:trPr>
        <w:tc>
          <w:tcPr>
            <w:tcW w:w="1439" w:type="dxa"/>
            <w:shd w:val="clear" w:color="auto" w:fill="auto"/>
            <w:vAlign w:val="center"/>
          </w:tcPr>
          <w:p w14:paraId="620FD3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JR03-7100</w:t>
            </w:r>
          </w:p>
        </w:tc>
        <w:tc>
          <w:tcPr>
            <w:tcW w:w="1894" w:type="dxa"/>
            <w:shd w:val="clear" w:color="auto" w:fill="auto"/>
            <w:vAlign w:val="center"/>
          </w:tcPr>
          <w:p w14:paraId="14F4AB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可调节腹肌板</w:t>
            </w:r>
          </w:p>
        </w:tc>
        <w:tc>
          <w:tcPr>
            <w:tcW w:w="3803" w:type="dxa"/>
            <w:shd w:val="clear" w:color="auto" w:fill="auto"/>
            <w:vAlign w:val="center"/>
          </w:tcPr>
          <w:p w14:paraId="0596DA19">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inline distT="0" distB="0" distL="114300" distR="114300">
                  <wp:extent cx="1447800" cy="1206500"/>
                  <wp:effectExtent l="0" t="0" r="0" b="12700"/>
                  <wp:docPr id="25" name="image13"/>
                  <wp:cNvGraphicFramePr/>
                  <a:graphic xmlns:a="http://schemas.openxmlformats.org/drawingml/2006/main">
                    <a:graphicData uri="http://schemas.openxmlformats.org/drawingml/2006/picture">
                      <pic:pic xmlns:pic="http://schemas.openxmlformats.org/drawingml/2006/picture">
                        <pic:nvPicPr>
                          <pic:cNvPr id="25" name="image13"/>
                          <pic:cNvPicPr/>
                        </pic:nvPicPr>
                        <pic:blipFill>
                          <a:blip r:embed="rId32"/>
                          <a:stretch>
                            <a:fillRect/>
                          </a:stretch>
                        </pic:blipFill>
                        <pic:spPr>
                          <a:xfrm>
                            <a:off x="0" y="0"/>
                            <a:ext cx="1447800" cy="1206500"/>
                          </a:xfrm>
                          <a:prstGeom prst="rect">
                            <a:avLst/>
                          </a:prstGeom>
                          <a:noFill/>
                          <a:ln>
                            <a:noFill/>
                          </a:ln>
                        </pic:spPr>
                      </pic:pic>
                    </a:graphicData>
                  </a:graphic>
                </wp:inline>
              </w:drawing>
            </w:r>
          </w:p>
        </w:tc>
        <w:tc>
          <w:tcPr>
            <w:tcW w:w="1169" w:type="dxa"/>
            <w:shd w:val="clear" w:color="auto" w:fill="auto"/>
            <w:vAlign w:val="center"/>
          </w:tcPr>
          <w:p w14:paraId="13ABC0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193" w:type="dxa"/>
            <w:shd w:val="clear" w:color="auto" w:fill="auto"/>
            <w:vAlign w:val="center"/>
          </w:tcPr>
          <w:p w14:paraId="4F2744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1E319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439" w:type="dxa"/>
            <w:shd w:val="clear" w:color="auto" w:fill="auto"/>
            <w:vAlign w:val="center"/>
          </w:tcPr>
          <w:p w14:paraId="17D31A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JR03D-9100</w:t>
            </w:r>
          </w:p>
        </w:tc>
        <w:tc>
          <w:tcPr>
            <w:tcW w:w="1894" w:type="dxa"/>
            <w:shd w:val="clear" w:color="auto" w:fill="auto"/>
            <w:vAlign w:val="center"/>
          </w:tcPr>
          <w:p w14:paraId="5C63FF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75度上斜练习椅</w:t>
            </w:r>
          </w:p>
        </w:tc>
        <w:tc>
          <w:tcPr>
            <w:tcW w:w="3803" w:type="dxa"/>
            <w:shd w:val="clear" w:color="auto" w:fill="auto"/>
            <w:vAlign w:val="center"/>
          </w:tcPr>
          <w:p w14:paraId="642FC2E1">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inline distT="0" distB="0" distL="114300" distR="114300">
                  <wp:extent cx="863600" cy="1280795"/>
                  <wp:effectExtent l="0" t="0" r="12700" b="14605"/>
                  <wp:docPr id="24" name="image20"/>
                  <wp:cNvGraphicFramePr/>
                  <a:graphic xmlns:a="http://schemas.openxmlformats.org/drawingml/2006/main">
                    <a:graphicData uri="http://schemas.openxmlformats.org/drawingml/2006/picture">
                      <pic:pic xmlns:pic="http://schemas.openxmlformats.org/drawingml/2006/picture">
                        <pic:nvPicPr>
                          <pic:cNvPr id="24" name="image20"/>
                          <pic:cNvPicPr/>
                        </pic:nvPicPr>
                        <pic:blipFill>
                          <a:blip r:embed="rId33"/>
                          <a:stretch>
                            <a:fillRect/>
                          </a:stretch>
                        </pic:blipFill>
                        <pic:spPr>
                          <a:xfrm>
                            <a:off x="0" y="0"/>
                            <a:ext cx="863600" cy="1280795"/>
                          </a:xfrm>
                          <a:prstGeom prst="rect">
                            <a:avLst/>
                          </a:prstGeom>
                          <a:noFill/>
                          <a:ln>
                            <a:noFill/>
                          </a:ln>
                        </pic:spPr>
                      </pic:pic>
                    </a:graphicData>
                  </a:graphic>
                </wp:inline>
              </w:drawing>
            </w:r>
          </w:p>
        </w:tc>
        <w:tc>
          <w:tcPr>
            <w:tcW w:w="1169" w:type="dxa"/>
            <w:shd w:val="clear" w:color="auto" w:fill="auto"/>
            <w:vAlign w:val="center"/>
          </w:tcPr>
          <w:p w14:paraId="5E93CD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193" w:type="dxa"/>
            <w:shd w:val="clear" w:color="auto" w:fill="auto"/>
            <w:vAlign w:val="center"/>
          </w:tcPr>
          <w:p w14:paraId="5B7E2A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0FC3B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3" w:hRule="atLeast"/>
          <w:jc w:val="center"/>
        </w:trPr>
        <w:tc>
          <w:tcPr>
            <w:tcW w:w="1439" w:type="dxa"/>
            <w:shd w:val="clear" w:color="auto" w:fill="auto"/>
            <w:vAlign w:val="center"/>
          </w:tcPr>
          <w:p w14:paraId="05CA97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JR03D-9210</w:t>
            </w:r>
          </w:p>
        </w:tc>
        <w:tc>
          <w:tcPr>
            <w:tcW w:w="1894" w:type="dxa"/>
            <w:shd w:val="clear" w:color="auto" w:fill="auto"/>
            <w:vAlign w:val="center"/>
          </w:tcPr>
          <w:p w14:paraId="0210F6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水平练习椅</w:t>
            </w:r>
          </w:p>
        </w:tc>
        <w:tc>
          <w:tcPr>
            <w:tcW w:w="3803" w:type="dxa"/>
            <w:shd w:val="clear" w:color="auto" w:fill="auto"/>
            <w:vAlign w:val="center"/>
          </w:tcPr>
          <w:p w14:paraId="5A25049A">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inline distT="0" distB="0" distL="114300" distR="114300">
                  <wp:extent cx="1389380" cy="1046480"/>
                  <wp:effectExtent l="0" t="0" r="1270" b="1270"/>
                  <wp:docPr id="26" name="image17"/>
                  <wp:cNvGraphicFramePr/>
                  <a:graphic xmlns:a="http://schemas.openxmlformats.org/drawingml/2006/main">
                    <a:graphicData uri="http://schemas.openxmlformats.org/drawingml/2006/picture">
                      <pic:pic xmlns:pic="http://schemas.openxmlformats.org/drawingml/2006/picture">
                        <pic:nvPicPr>
                          <pic:cNvPr id="26" name="image17"/>
                          <pic:cNvPicPr/>
                        </pic:nvPicPr>
                        <pic:blipFill>
                          <a:blip r:embed="rId34"/>
                          <a:stretch>
                            <a:fillRect/>
                          </a:stretch>
                        </pic:blipFill>
                        <pic:spPr>
                          <a:xfrm>
                            <a:off x="0" y="0"/>
                            <a:ext cx="1389380" cy="1046480"/>
                          </a:xfrm>
                          <a:prstGeom prst="rect">
                            <a:avLst/>
                          </a:prstGeom>
                          <a:noFill/>
                          <a:ln>
                            <a:noFill/>
                          </a:ln>
                        </pic:spPr>
                      </pic:pic>
                    </a:graphicData>
                  </a:graphic>
                </wp:inline>
              </w:drawing>
            </w:r>
          </w:p>
        </w:tc>
        <w:tc>
          <w:tcPr>
            <w:tcW w:w="1169" w:type="dxa"/>
            <w:shd w:val="clear" w:color="auto" w:fill="auto"/>
            <w:vAlign w:val="center"/>
          </w:tcPr>
          <w:p w14:paraId="373353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193" w:type="dxa"/>
            <w:shd w:val="clear" w:color="auto" w:fill="auto"/>
            <w:vAlign w:val="center"/>
          </w:tcPr>
          <w:p w14:paraId="6BC88E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14:paraId="3146A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6" w:hRule="atLeast"/>
          <w:jc w:val="center"/>
        </w:trPr>
        <w:tc>
          <w:tcPr>
            <w:tcW w:w="1439" w:type="dxa"/>
            <w:shd w:val="clear" w:color="auto" w:fill="auto"/>
            <w:vAlign w:val="center"/>
          </w:tcPr>
          <w:p w14:paraId="1F6814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JR03D-9240</w:t>
            </w:r>
          </w:p>
        </w:tc>
        <w:tc>
          <w:tcPr>
            <w:tcW w:w="1894" w:type="dxa"/>
            <w:shd w:val="clear" w:color="auto" w:fill="auto"/>
            <w:vAlign w:val="center"/>
          </w:tcPr>
          <w:p w14:paraId="453FDC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可调节训练椅</w:t>
            </w:r>
          </w:p>
        </w:tc>
        <w:tc>
          <w:tcPr>
            <w:tcW w:w="3803" w:type="dxa"/>
            <w:shd w:val="clear" w:color="auto" w:fill="auto"/>
            <w:vAlign w:val="center"/>
          </w:tcPr>
          <w:p w14:paraId="7E556137">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inline distT="0" distB="0" distL="114300" distR="114300">
                  <wp:extent cx="1143000" cy="1369060"/>
                  <wp:effectExtent l="0" t="0" r="0" b="2540"/>
                  <wp:docPr id="27" name="image15"/>
                  <wp:cNvGraphicFramePr/>
                  <a:graphic xmlns:a="http://schemas.openxmlformats.org/drawingml/2006/main">
                    <a:graphicData uri="http://schemas.openxmlformats.org/drawingml/2006/picture">
                      <pic:pic xmlns:pic="http://schemas.openxmlformats.org/drawingml/2006/picture">
                        <pic:nvPicPr>
                          <pic:cNvPr id="27" name="image15"/>
                          <pic:cNvPicPr/>
                        </pic:nvPicPr>
                        <pic:blipFill>
                          <a:blip r:embed="rId35"/>
                          <a:stretch>
                            <a:fillRect/>
                          </a:stretch>
                        </pic:blipFill>
                        <pic:spPr>
                          <a:xfrm>
                            <a:off x="0" y="0"/>
                            <a:ext cx="1143000" cy="1369060"/>
                          </a:xfrm>
                          <a:prstGeom prst="rect">
                            <a:avLst/>
                          </a:prstGeom>
                          <a:noFill/>
                          <a:ln>
                            <a:noFill/>
                          </a:ln>
                        </pic:spPr>
                      </pic:pic>
                    </a:graphicData>
                  </a:graphic>
                </wp:inline>
              </w:drawing>
            </w:r>
          </w:p>
        </w:tc>
        <w:tc>
          <w:tcPr>
            <w:tcW w:w="1169" w:type="dxa"/>
            <w:shd w:val="clear" w:color="auto" w:fill="auto"/>
            <w:vAlign w:val="center"/>
          </w:tcPr>
          <w:p w14:paraId="0E0AB5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193" w:type="dxa"/>
            <w:shd w:val="clear" w:color="auto" w:fill="auto"/>
            <w:vAlign w:val="center"/>
          </w:tcPr>
          <w:p w14:paraId="323182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14:paraId="7A577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4" w:hRule="atLeast"/>
          <w:jc w:val="center"/>
        </w:trPr>
        <w:tc>
          <w:tcPr>
            <w:tcW w:w="1439" w:type="dxa"/>
            <w:shd w:val="clear" w:color="auto" w:fill="auto"/>
            <w:vAlign w:val="center"/>
          </w:tcPr>
          <w:p w14:paraId="2E8B5F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JR03-7600</w:t>
            </w:r>
          </w:p>
        </w:tc>
        <w:tc>
          <w:tcPr>
            <w:tcW w:w="1894" w:type="dxa"/>
            <w:shd w:val="clear" w:color="auto" w:fill="auto"/>
            <w:vAlign w:val="center"/>
          </w:tcPr>
          <w:p w14:paraId="1F10EC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28"/>
                <w:rFonts w:hint="eastAsia" w:ascii="宋体" w:hAnsi="宋体" w:eastAsia="宋体" w:cs="宋体"/>
                <w:color w:val="auto"/>
                <w:sz w:val="24"/>
                <w:szCs w:val="24"/>
                <w:highlight w:val="none"/>
                <w:lang w:val="en-US" w:eastAsia="zh-CN" w:bidi="ar"/>
              </w:rPr>
              <w:t>哑铃架</w:t>
            </w:r>
            <w:r>
              <w:rPr>
                <w:rStyle w:val="976"/>
                <w:rFonts w:hint="eastAsia" w:ascii="宋体" w:hAnsi="宋体" w:eastAsia="宋体" w:cs="宋体"/>
                <w:color w:val="auto"/>
                <w:sz w:val="24"/>
                <w:szCs w:val="24"/>
                <w:highlight w:val="none"/>
                <w:lang w:val="en-US" w:eastAsia="zh-CN" w:bidi="ar"/>
              </w:rPr>
              <w:t>（十对装）</w:t>
            </w:r>
          </w:p>
        </w:tc>
        <w:tc>
          <w:tcPr>
            <w:tcW w:w="3803" w:type="dxa"/>
            <w:shd w:val="clear" w:color="auto" w:fill="auto"/>
            <w:vAlign w:val="center"/>
          </w:tcPr>
          <w:p w14:paraId="1EBFAA23">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inline distT="0" distB="0" distL="114300" distR="114300">
                  <wp:extent cx="1531620" cy="1176020"/>
                  <wp:effectExtent l="0" t="0" r="11430" b="5080"/>
                  <wp:docPr id="28" name="image11"/>
                  <wp:cNvGraphicFramePr/>
                  <a:graphic xmlns:a="http://schemas.openxmlformats.org/drawingml/2006/main">
                    <a:graphicData uri="http://schemas.openxmlformats.org/drawingml/2006/picture">
                      <pic:pic xmlns:pic="http://schemas.openxmlformats.org/drawingml/2006/picture">
                        <pic:nvPicPr>
                          <pic:cNvPr id="28" name="image11"/>
                          <pic:cNvPicPr/>
                        </pic:nvPicPr>
                        <pic:blipFill>
                          <a:blip r:embed="rId36"/>
                          <a:stretch>
                            <a:fillRect/>
                          </a:stretch>
                        </pic:blipFill>
                        <pic:spPr>
                          <a:xfrm>
                            <a:off x="0" y="0"/>
                            <a:ext cx="1531620" cy="1176020"/>
                          </a:xfrm>
                          <a:prstGeom prst="rect">
                            <a:avLst/>
                          </a:prstGeom>
                          <a:noFill/>
                          <a:ln>
                            <a:noFill/>
                          </a:ln>
                        </pic:spPr>
                      </pic:pic>
                    </a:graphicData>
                  </a:graphic>
                </wp:inline>
              </w:drawing>
            </w:r>
          </w:p>
        </w:tc>
        <w:tc>
          <w:tcPr>
            <w:tcW w:w="1169" w:type="dxa"/>
            <w:shd w:val="clear" w:color="auto" w:fill="auto"/>
            <w:vAlign w:val="center"/>
          </w:tcPr>
          <w:p w14:paraId="7A6102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193" w:type="dxa"/>
            <w:shd w:val="clear" w:color="auto" w:fill="auto"/>
            <w:vAlign w:val="center"/>
          </w:tcPr>
          <w:p w14:paraId="706C1D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14:paraId="11BB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0" w:hRule="atLeast"/>
          <w:jc w:val="center"/>
        </w:trPr>
        <w:tc>
          <w:tcPr>
            <w:tcW w:w="1439" w:type="dxa"/>
            <w:shd w:val="clear" w:color="auto" w:fill="auto"/>
            <w:vAlign w:val="center"/>
          </w:tcPr>
          <w:p w14:paraId="67F539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Dab003</w:t>
            </w:r>
          </w:p>
        </w:tc>
        <w:tc>
          <w:tcPr>
            <w:tcW w:w="1894" w:type="dxa"/>
            <w:shd w:val="clear" w:color="auto" w:fill="auto"/>
            <w:vAlign w:val="center"/>
          </w:tcPr>
          <w:p w14:paraId="572E17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悍马  CPU杠铃片（kg）</w:t>
            </w:r>
          </w:p>
        </w:tc>
        <w:tc>
          <w:tcPr>
            <w:tcW w:w="3803" w:type="dxa"/>
            <w:shd w:val="clear" w:color="auto" w:fill="auto"/>
            <w:vAlign w:val="center"/>
          </w:tcPr>
          <w:p w14:paraId="4228DA49">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inline distT="0" distB="0" distL="114300" distR="114300">
                  <wp:extent cx="1526540" cy="995680"/>
                  <wp:effectExtent l="0" t="0" r="16510" b="13970"/>
                  <wp:docPr id="29" name="image16"/>
                  <wp:cNvGraphicFramePr/>
                  <a:graphic xmlns:a="http://schemas.openxmlformats.org/drawingml/2006/main">
                    <a:graphicData uri="http://schemas.openxmlformats.org/drawingml/2006/picture">
                      <pic:pic xmlns:pic="http://schemas.openxmlformats.org/drawingml/2006/picture">
                        <pic:nvPicPr>
                          <pic:cNvPr id="29" name="image16"/>
                          <pic:cNvPicPr/>
                        </pic:nvPicPr>
                        <pic:blipFill>
                          <a:blip r:embed="rId37"/>
                          <a:stretch>
                            <a:fillRect/>
                          </a:stretch>
                        </pic:blipFill>
                        <pic:spPr>
                          <a:xfrm>
                            <a:off x="0" y="0"/>
                            <a:ext cx="1526540" cy="995680"/>
                          </a:xfrm>
                          <a:prstGeom prst="rect">
                            <a:avLst/>
                          </a:prstGeom>
                          <a:noFill/>
                          <a:ln>
                            <a:noFill/>
                          </a:ln>
                        </pic:spPr>
                      </pic:pic>
                    </a:graphicData>
                  </a:graphic>
                </wp:inline>
              </w:drawing>
            </w:r>
          </w:p>
        </w:tc>
        <w:tc>
          <w:tcPr>
            <w:tcW w:w="1169" w:type="dxa"/>
            <w:shd w:val="clear" w:color="auto" w:fill="auto"/>
            <w:vAlign w:val="center"/>
          </w:tcPr>
          <w:p w14:paraId="5B7B6D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公斤</w:t>
            </w:r>
          </w:p>
        </w:tc>
        <w:tc>
          <w:tcPr>
            <w:tcW w:w="1193" w:type="dxa"/>
            <w:shd w:val="clear" w:color="auto" w:fill="auto"/>
            <w:vAlign w:val="center"/>
          </w:tcPr>
          <w:p w14:paraId="7901B3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w:t>
            </w:r>
          </w:p>
        </w:tc>
      </w:tr>
      <w:tr w14:paraId="5F508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439" w:type="dxa"/>
            <w:shd w:val="clear" w:color="auto" w:fill="auto"/>
            <w:vAlign w:val="center"/>
          </w:tcPr>
          <w:p w14:paraId="65BB34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Dab200</w:t>
            </w:r>
          </w:p>
        </w:tc>
        <w:tc>
          <w:tcPr>
            <w:tcW w:w="1894" w:type="dxa"/>
            <w:shd w:val="clear" w:color="auto" w:fill="auto"/>
            <w:vAlign w:val="center"/>
          </w:tcPr>
          <w:p w14:paraId="066A60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十二边悍马  CPU杠铃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片（kg）</w:t>
            </w:r>
          </w:p>
        </w:tc>
        <w:tc>
          <w:tcPr>
            <w:tcW w:w="3803" w:type="dxa"/>
            <w:shd w:val="clear" w:color="auto" w:fill="auto"/>
            <w:vAlign w:val="center"/>
          </w:tcPr>
          <w:p w14:paraId="48F2C25B">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inline distT="0" distB="0" distL="114300" distR="114300">
                  <wp:extent cx="1066800" cy="1075055"/>
                  <wp:effectExtent l="0" t="0" r="0" b="10795"/>
                  <wp:docPr id="30" name="image19"/>
                  <wp:cNvGraphicFramePr/>
                  <a:graphic xmlns:a="http://schemas.openxmlformats.org/drawingml/2006/main">
                    <a:graphicData uri="http://schemas.openxmlformats.org/drawingml/2006/picture">
                      <pic:pic xmlns:pic="http://schemas.openxmlformats.org/drawingml/2006/picture">
                        <pic:nvPicPr>
                          <pic:cNvPr id="30" name="image19"/>
                          <pic:cNvPicPr/>
                        </pic:nvPicPr>
                        <pic:blipFill>
                          <a:blip r:embed="rId38"/>
                          <a:stretch>
                            <a:fillRect/>
                          </a:stretch>
                        </pic:blipFill>
                        <pic:spPr>
                          <a:xfrm>
                            <a:off x="0" y="0"/>
                            <a:ext cx="1066800" cy="1075055"/>
                          </a:xfrm>
                          <a:prstGeom prst="rect">
                            <a:avLst/>
                          </a:prstGeom>
                          <a:noFill/>
                          <a:ln>
                            <a:noFill/>
                          </a:ln>
                        </pic:spPr>
                      </pic:pic>
                    </a:graphicData>
                  </a:graphic>
                </wp:inline>
              </w:drawing>
            </w:r>
          </w:p>
        </w:tc>
        <w:tc>
          <w:tcPr>
            <w:tcW w:w="1169" w:type="dxa"/>
            <w:shd w:val="clear" w:color="auto" w:fill="auto"/>
            <w:vAlign w:val="center"/>
          </w:tcPr>
          <w:p w14:paraId="165EF4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公斤</w:t>
            </w:r>
          </w:p>
        </w:tc>
        <w:tc>
          <w:tcPr>
            <w:tcW w:w="1193" w:type="dxa"/>
            <w:shd w:val="clear" w:color="auto" w:fill="auto"/>
            <w:vAlign w:val="center"/>
          </w:tcPr>
          <w:p w14:paraId="3DECFA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675</w:t>
            </w:r>
          </w:p>
        </w:tc>
      </w:tr>
      <w:tr w14:paraId="052B8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4" w:hRule="atLeast"/>
          <w:jc w:val="center"/>
        </w:trPr>
        <w:tc>
          <w:tcPr>
            <w:tcW w:w="1439" w:type="dxa"/>
            <w:shd w:val="clear" w:color="auto" w:fill="auto"/>
            <w:vAlign w:val="center"/>
          </w:tcPr>
          <w:p w14:paraId="44AE36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X-8200A</w:t>
            </w:r>
          </w:p>
        </w:tc>
        <w:tc>
          <w:tcPr>
            <w:tcW w:w="1894" w:type="dxa"/>
            <w:shd w:val="clear" w:color="auto" w:fill="auto"/>
            <w:vAlign w:val="center"/>
          </w:tcPr>
          <w:p w14:paraId="66BF1A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跑步机</w:t>
            </w:r>
          </w:p>
        </w:tc>
        <w:tc>
          <w:tcPr>
            <w:tcW w:w="3803" w:type="dxa"/>
            <w:shd w:val="clear" w:color="auto" w:fill="auto"/>
            <w:vAlign w:val="center"/>
          </w:tcPr>
          <w:p w14:paraId="13E13CDD">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inline distT="0" distB="0" distL="114300" distR="114300">
                  <wp:extent cx="1510030" cy="1430020"/>
                  <wp:effectExtent l="0" t="0" r="13970" b="17780"/>
                  <wp:docPr id="31" name="image4"/>
                  <wp:cNvGraphicFramePr/>
                  <a:graphic xmlns:a="http://schemas.openxmlformats.org/drawingml/2006/main">
                    <a:graphicData uri="http://schemas.openxmlformats.org/drawingml/2006/picture">
                      <pic:pic xmlns:pic="http://schemas.openxmlformats.org/drawingml/2006/picture">
                        <pic:nvPicPr>
                          <pic:cNvPr id="31" name="image4"/>
                          <pic:cNvPicPr/>
                        </pic:nvPicPr>
                        <pic:blipFill>
                          <a:blip r:embed="rId39"/>
                          <a:stretch>
                            <a:fillRect/>
                          </a:stretch>
                        </pic:blipFill>
                        <pic:spPr>
                          <a:xfrm>
                            <a:off x="0" y="0"/>
                            <a:ext cx="1510030" cy="1430020"/>
                          </a:xfrm>
                          <a:prstGeom prst="rect">
                            <a:avLst/>
                          </a:prstGeom>
                          <a:noFill/>
                          <a:ln>
                            <a:noFill/>
                          </a:ln>
                        </pic:spPr>
                      </pic:pic>
                    </a:graphicData>
                  </a:graphic>
                </wp:inline>
              </w:drawing>
            </w:r>
          </w:p>
        </w:tc>
        <w:tc>
          <w:tcPr>
            <w:tcW w:w="1169" w:type="dxa"/>
            <w:shd w:val="clear" w:color="auto" w:fill="auto"/>
            <w:vAlign w:val="center"/>
          </w:tcPr>
          <w:p w14:paraId="4B768E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193" w:type="dxa"/>
            <w:shd w:val="clear" w:color="auto" w:fill="auto"/>
            <w:vAlign w:val="center"/>
          </w:tcPr>
          <w:p w14:paraId="04DABD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r>
      <w:tr w14:paraId="09412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439" w:type="dxa"/>
            <w:shd w:val="clear" w:color="auto" w:fill="auto"/>
            <w:vAlign w:val="center"/>
          </w:tcPr>
          <w:p w14:paraId="51414C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X9300</w:t>
            </w:r>
          </w:p>
        </w:tc>
        <w:tc>
          <w:tcPr>
            <w:tcW w:w="1894" w:type="dxa"/>
            <w:shd w:val="clear" w:color="auto" w:fill="auto"/>
            <w:vAlign w:val="center"/>
          </w:tcPr>
          <w:p w14:paraId="417BCD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椭圆机</w:t>
            </w:r>
          </w:p>
        </w:tc>
        <w:tc>
          <w:tcPr>
            <w:tcW w:w="3803" w:type="dxa"/>
            <w:shd w:val="clear" w:color="auto" w:fill="auto"/>
            <w:vAlign w:val="center"/>
          </w:tcPr>
          <w:p w14:paraId="794AFE1B">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inline distT="0" distB="0" distL="114300" distR="114300">
                  <wp:extent cx="1390650" cy="1625600"/>
                  <wp:effectExtent l="0" t="0" r="0" b="12700"/>
                  <wp:docPr id="32" name="image3"/>
                  <wp:cNvGraphicFramePr/>
                  <a:graphic xmlns:a="http://schemas.openxmlformats.org/drawingml/2006/main">
                    <a:graphicData uri="http://schemas.openxmlformats.org/drawingml/2006/picture">
                      <pic:pic xmlns:pic="http://schemas.openxmlformats.org/drawingml/2006/picture">
                        <pic:nvPicPr>
                          <pic:cNvPr id="32" name="image3"/>
                          <pic:cNvPicPr/>
                        </pic:nvPicPr>
                        <pic:blipFill>
                          <a:blip r:embed="rId40"/>
                          <a:stretch>
                            <a:fillRect/>
                          </a:stretch>
                        </pic:blipFill>
                        <pic:spPr>
                          <a:xfrm>
                            <a:off x="0" y="0"/>
                            <a:ext cx="1390650" cy="1625600"/>
                          </a:xfrm>
                          <a:prstGeom prst="rect">
                            <a:avLst/>
                          </a:prstGeom>
                          <a:noFill/>
                          <a:ln>
                            <a:noFill/>
                          </a:ln>
                        </pic:spPr>
                      </pic:pic>
                    </a:graphicData>
                  </a:graphic>
                </wp:inline>
              </w:drawing>
            </w:r>
          </w:p>
        </w:tc>
        <w:tc>
          <w:tcPr>
            <w:tcW w:w="1169" w:type="dxa"/>
            <w:shd w:val="clear" w:color="auto" w:fill="auto"/>
            <w:vAlign w:val="center"/>
          </w:tcPr>
          <w:p w14:paraId="189E6F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193" w:type="dxa"/>
            <w:shd w:val="clear" w:color="auto" w:fill="auto"/>
            <w:vAlign w:val="center"/>
          </w:tcPr>
          <w:p w14:paraId="085736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14:paraId="2C31F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8" w:hRule="atLeast"/>
          <w:jc w:val="center"/>
        </w:trPr>
        <w:tc>
          <w:tcPr>
            <w:tcW w:w="1439" w:type="dxa"/>
            <w:shd w:val="clear" w:color="auto" w:fill="auto"/>
            <w:vAlign w:val="center"/>
          </w:tcPr>
          <w:p w14:paraId="53C36C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D04</w:t>
            </w:r>
          </w:p>
        </w:tc>
        <w:tc>
          <w:tcPr>
            <w:tcW w:w="1894" w:type="dxa"/>
            <w:shd w:val="clear" w:color="auto" w:fill="auto"/>
            <w:vAlign w:val="center"/>
          </w:tcPr>
          <w:p w14:paraId="18523B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变形金刚单车</w:t>
            </w:r>
          </w:p>
        </w:tc>
        <w:tc>
          <w:tcPr>
            <w:tcW w:w="3803" w:type="dxa"/>
            <w:shd w:val="clear" w:color="auto" w:fill="FFFFFF"/>
            <w:vAlign w:val="center"/>
          </w:tcPr>
          <w:p w14:paraId="4D048F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shd w:val="clear" w:fill="FFFFFF"/>
                <w:lang w:val="en-US" w:eastAsia="zh-CN" w:bidi="ar"/>
              </w:rPr>
              <w:drawing>
                <wp:inline distT="0" distB="0" distL="114300" distR="114300">
                  <wp:extent cx="867410" cy="714375"/>
                  <wp:effectExtent l="0" t="0" r="8890" b="9525"/>
                  <wp:docPr id="33" name="Picture_1"/>
                  <wp:cNvGraphicFramePr/>
                  <a:graphic xmlns:a="http://schemas.openxmlformats.org/drawingml/2006/main">
                    <a:graphicData uri="http://schemas.openxmlformats.org/drawingml/2006/picture">
                      <pic:pic xmlns:pic="http://schemas.openxmlformats.org/drawingml/2006/picture">
                        <pic:nvPicPr>
                          <pic:cNvPr id="33" name="Picture_1"/>
                          <pic:cNvPicPr/>
                        </pic:nvPicPr>
                        <pic:blipFill>
                          <a:blip r:embed="rId41"/>
                          <a:stretch>
                            <a:fillRect/>
                          </a:stretch>
                        </pic:blipFill>
                        <pic:spPr>
                          <a:xfrm>
                            <a:off x="0" y="0"/>
                            <a:ext cx="867410" cy="714375"/>
                          </a:xfrm>
                          <a:prstGeom prst="rect">
                            <a:avLst/>
                          </a:prstGeom>
                          <a:noFill/>
                          <a:ln>
                            <a:noFill/>
                          </a:ln>
                        </pic:spPr>
                      </pic:pic>
                    </a:graphicData>
                  </a:graphic>
                </wp:inline>
              </w:drawing>
            </w:r>
          </w:p>
        </w:tc>
        <w:tc>
          <w:tcPr>
            <w:tcW w:w="1169" w:type="dxa"/>
            <w:shd w:val="clear" w:color="auto" w:fill="auto"/>
            <w:vAlign w:val="center"/>
          </w:tcPr>
          <w:p w14:paraId="609DCE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193" w:type="dxa"/>
            <w:shd w:val="clear" w:color="auto" w:fill="auto"/>
            <w:vAlign w:val="center"/>
          </w:tcPr>
          <w:p w14:paraId="6103C0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r>
    </w:tbl>
    <w:p w14:paraId="7F42D4E6">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注：成交供应商所提供器械须为全新器械。</w:t>
      </w:r>
    </w:p>
    <w:p w14:paraId="178751BE">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四、</w:t>
      </w:r>
      <w:r>
        <w:rPr>
          <w:rFonts w:hint="eastAsia" w:ascii="宋体" w:hAnsi="宋体" w:eastAsia="宋体" w:cs="宋体"/>
          <w:b/>
          <w:bCs/>
          <w:color w:val="auto"/>
          <w:spacing w:val="-1"/>
          <w:sz w:val="24"/>
          <w:szCs w:val="24"/>
          <w:highlight w:val="none"/>
        </w:rPr>
        <w:t>委托运营服务相关要求</w:t>
      </w:r>
    </w:p>
    <w:p w14:paraId="3C48FADD">
      <w:pPr>
        <w:pStyle w:val="977"/>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在委托运营服务期限内对</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实行年度绩效考评制</w:t>
      </w:r>
      <w:r>
        <w:rPr>
          <w:rFonts w:hint="eastAsia" w:ascii="宋体" w:hAnsi="宋体" w:eastAsia="宋体" w:cs="宋体"/>
          <w:color w:val="auto"/>
          <w:sz w:val="24"/>
          <w:szCs w:val="24"/>
          <w:highlight w:val="none"/>
          <w:lang w:val="en-US" w:eastAsia="zh-CN"/>
        </w:rPr>
        <w:t>度</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每月对委托运营服务方</w:t>
      </w:r>
      <w:r>
        <w:rPr>
          <w:rFonts w:hint="eastAsia" w:ascii="宋体" w:hAnsi="宋体" w:eastAsia="宋体" w:cs="宋体"/>
          <w:color w:val="auto"/>
          <w:sz w:val="24"/>
          <w:szCs w:val="24"/>
          <w:highlight w:val="none"/>
          <w:lang w:val="en-US" w:eastAsia="zh-CN"/>
        </w:rPr>
        <w:t>就</w:t>
      </w:r>
      <w:r>
        <w:rPr>
          <w:rFonts w:hint="eastAsia" w:ascii="宋体" w:hAnsi="宋体" w:eastAsia="宋体" w:cs="宋体"/>
          <w:color w:val="auto"/>
          <w:sz w:val="24"/>
          <w:szCs w:val="24"/>
          <w:highlight w:val="none"/>
        </w:rPr>
        <w:t>场馆运营、管理和维护</w:t>
      </w:r>
      <w:r>
        <w:rPr>
          <w:rFonts w:hint="eastAsia" w:ascii="宋体" w:hAnsi="宋体" w:eastAsia="宋体" w:cs="宋体"/>
          <w:color w:val="auto"/>
          <w:sz w:val="24"/>
          <w:szCs w:val="24"/>
          <w:highlight w:val="none"/>
          <w:lang w:val="en-US" w:eastAsia="zh-CN"/>
        </w:rPr>
        <w:t>情况</w:t>
      </w:r>
      <w:r>
        <w:rPr>
          <w:rFonts w:hint="eastAsia" w:ascii="宋体" w:hAnsi="宋体" w:eastAsia="宋体" w:cs="宋体"/>
          <w:color w:val="auto"/>
          <w:sz w:val="24"/>
          <w:szCs w:val="24"/>
          <w:highlight w:val="none"/>
        </w:rPr>
        <w:t>进行年度绩效考核评分。考核为百分制，不足80分，</w:t>
      </w: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有权提前终止本委托运营服务合同或减少委托运营年限（考核内容及标准由</w:t>
      </w: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根据国家、省、市关于体育场馆有关管理办法、标准及规范共同制定）</w:t>
      </w:r>
      <w:r>
        <w:rPr>
          <w:rFonts w:hint="eastAsia" w:ascii="宋体" w:hAnsi="宋体" w:eastAsia="宋体" w:cs="宋体"/>
          <w:color w:val="auto"/>
          <w:sz w:val="24"/>
          <w:szCs w:val="24"/>
          <w:highlight w:val="none"/>
          <w:lang w:eastAsia="zh-CN"/>
        </w:rPr>
        <w:t>。</w:t>
      </w:r>
    </w:p>
    <w:p w14:paraId="59D563B2">
      <w:pPr>
        <w:pStyle w:val="977"/>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应当结合运营需要，配备专业运营团队并制定服务规范，明确服务标准和流程，提供专业化、标准化、规范化服务，应当开展顾客服务满意度评价，及时改进和提高服务水平（若在运营期间更换人员，必须提前30天与</w:t>
      </w: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协商，经</w:t>
      </w: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书面同意后方可更换人员）。</w:t>
      </w:r>
    </w:p>
    <w:p w14:paraId="2E1AF402">
      <w:pPr>
        <w:pStyle w:val="977"/>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主管管理团队成员要由中标单位公司直派，釆购人不接受临时招聘的管理人员。服务期内</w:t>
      </w: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有权对</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的项目管理人员提出更换，</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需三个工作日内满足</w:t>
      </w: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的更换要求。</w:t>
      </w:r>
    </w:p>
    <w:p w14:paraId="0D782A9C">
      <w:pPr>
        <w:pStyle w:val="977"/>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要合法用工，并派用与</w:t>
      </w: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lang w:val="en-US" w:eastAsia="zh-CN"/>
        </w:rPr>
        <w:t>需求</w:t>
      </w:r>
      <w:r>
        <w:rPr>
          <w:rFonts w:hint="eastAsia" w:ascii="宋体" w:hAnsi="宋体" w:eastAsia="宋体" w:cs="宋体"/>
          <w:color w:val="auto"/>
          <w:sz w:val="24"/>
          <w:szCs w:val="24"/>
          <w:highlight w:val="none"/>
        </w:rPr>
        <w:t>相适应的人员。所有人员必须遵守国家法律、法规及招标方的各项规章制度，具有良好素养和上岗资质，具有与工作相适应的文化程度，无不良记录及嗜好，爱岗敬业、工作勤快，礼貌待人、和蔼</w:t>
      </w:r>
      <w:r>
        <w:rPr>
          <w:rFonts w:hint="eastAsia" w:ascii="宋体" w:hAnsi="宋体" w:eastAsia="宋体" w:cs="宋体"/>
          <w:color w:val="auto"/>
          <w:sz w:val="24"/>
          <w:szCs w:val="24"/>
          <w:highlight w:val="none"/>
          <w:lang w:val="en-US" w:eastAsia="zh-CN"/>
        </w:rPr>
        <w:t>待人</w:t>
      </w:r>
      <w:r>
        <w:rPr>
          <w:rFonts w:hint="eastAsia" w:ascii="宋体" w:hAnsi="宋体" w:eastAsia="宋体" w:cs="宋体"/>
          <w:color w:val="auto"/>
          <w:sz w:val="24"/>
          <w:szCs w:val="24"/>
          <w:highlight w:val="none"/>
        </w:rPr>
        <w:t>，相貌端正、身体健康（无传染性疾病）。</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须缴纳员工必要的社会保险</w:t>
      </w:r>
      <w:r>
        <w:rPr>
          <w:rFonts w:hint="eastAsia" w:ascii="宋体" w:hAnsi="宋体" w:eastAsia="宋体" w:cs="宋体"/>
          <w:color w:val="auto"/>
          <w:sz w:val="24"/>
          <w:szCs w:val="24"/>
          <w:highlight w:val="none"/>
          <w:lang w:eastAsia="zh-CN"/>
        </w:rPr>
        <w:t>。</w:t>
      </w:r>
    </w:p>
    <w:p w14:paraId="46797C98">
      <w:pPr>
        <w:pStyle w:val="977"/>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及其员工必须遵守</w:t>
      </w: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的一切行政管理、消防安全等规定和制度。</w:t>
      </w:r>
    </w:p>
    <w:p w14:paraId="66990938">
      <w:pPr>
        <w:pStyle w:val="977"/>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）服务工作时间必须符合及满足</w:t>
      </w: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的要求，必须保持人员在岗。</w:t>
      </w:r>
    </w:p>
    <w:p w14:paraId="6FD44782">
      <w:pPr>
        <w:pStyle w:val="977"/>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）在委托运营服务期限内,</w:t>
      </w: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有权监督</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在安全、卫生、管理等方面的到位情况进行检查，若发现违反相关规定的，</w:t>
      </w: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有权要求</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整改直至终止委托服务关系</w:t>
      </w:r>
      <w:r>
        <w:rPr>
          <w:rFonts w:hint="eastAsia" w:ascii="宋体" w:hAnsi="宋体" w:eastAsia="宋体" w:cs="宋体"/>
          <w:color w:val="auto"/>
          <w:sz w:val="24"/>
          <w:szCs w:val="24"/>
          <w:highlight w:val="none"/>
          <w:lang w:eastAsia="zh-CN"/>
        </w:rPr>
        <w:t>。</w:t>
      </w:r>
    </w:p>
    <w:p w14:paraId="442C2FB0">
      <w:pPr>
        <w:pStyle w:val="977"/>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）在委托运营服务期限内,应提供如下服务：</w:t>
      </w:r>
    </w:p>
    <w:p w14:paraId="6144EB3E">
      <w:pPr>
        <w:pStyle w:val="977"/>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①场馆开放等日常工作：根据</w:t>
      </w: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 xml:space="preserve">需要提供日常运营的服务保障工作、安全管理、附属设施保管、检查、维修、保养、运营工作； </w:t>
      </w:r>
    </w:p>
    <w:p w14:paraId="1929C654">
      <w:pPr>
        <w:pStyle w:val="977"/>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②健身活动安排：每年不少于十二</w:t>
      </w:r>
      <w:r>
        <w:rPr>
          <w:rFonts w:hint="eastAsia" w:ascii="宋体" w:hAnsi="宋体" w:eastAsia="宋体" w:cs="宋体"/>
          <w:color w:val="auto"/>
          <w:sz w:val="24"/>
          <w:szCs w:val="24"/>
          <w:highlight w:val="none"/>
          <w:lang w:val="en-US" w:eastAsia="zh-CN"/>
        </w:rPr>
        <w:t>次（场）</w:t>
      </w:r>
      <w:r>
        <w:rPr>
          <w:rFonts w:hint="eastAsia" w:ascii="宋体" w:hAnsi="宋体" w:eastAsia="宋体" w:cs="宋体"/>
          <w:color w:val="auto"/>
          <w:sz w:val="24"/>
          <w:szCs w:val="24"/>
          <w:highlight w:val="none"/>
          <w:lang w:eastAsia="zh-CN"/>
        </w:rPr>
        <w:t>；</w:t>
      </w:r>
    </w:p>
    <w:p w14:paraId="4A563A35">
      <w:pPr>
        <w:pStyle w:val="977"/>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③其他：根据</w:t>
      </w: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需要做好其他服务保障工作及积极配合</w:t>
      </w: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应对突发性活动的开展。</w:t>
      </w:r>
    </w:p>
    <w:p w14:paraId="1120BF1B">
      <w:pPr>
        <w:keepNext w:val="0"/>
        <w:keepLines w:val="0"/>
        <w:pageBreakBefore w:val="0"/>
        <w:kinsoku/>
        <w:wordWrap/>
        <w:overflowPunct/>
        <w:topLinePunct w:val="0"/>
        <w:autoSpaceDE/>
        <w:autoSpaceDN/>
        <w:bidi w:val="0"/>
        <w:adjustRightInd/>
        <w:snapToGrid/>
        <w:spacing w:line="360" w:lineRule="auto"/>
        <w:ind w:left="50" w:firstLine="478" w:firstLineChars="200"/>
        <w:rPr>
          <w:rFonts w:hint="eastAsia" w:ascii="宋体" w:hAnsi="宋体" w:eastAsia="宋体" w:cs="宋体"/>
          <w:b/>
          <w:bCs/>
          <w:color w:val="auto"/>
          <w:spacing w:val="-10"/>
          <w:sz w:val="24"/>
          <w:szCs w:val="24"/>
          <w:highlight w:val="none"/>
        </w:rPr>
      </w:pPr>
      <w:r>
        <w:rPr>
          <w:rFonts w:hint="eastAsia" w:ascii="宋体" w:hAnsi="宋体" w:eastAsia="宋体" w:cs="宋体"/>
          <w:b/>
          <w:bCs/>
          <w:color w:val="auto"/>
          <w:spacing w:val="-1"/>
          <w:sz w:val="24"/>
          <w:szCs w:val="24"/>
          <w:highlight w:val="none"/>
        </w:rPr>
        <w:t>五、合作模式</w:t>
      </w:r>
    </w:p>
    <w:p w14:paraId="321A587A">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项目运营期间，成交人向交易发起人支付运营管理费。</w:t>
      </w:r>
    </w:p>
    <w:bookmarkEnd w:id="16"/>
    <w:bookmarkEnd w:id="17"/>
    <w:bookmarkEnd w:id="18"/>
    <w:p w14:paraId="30881505">
      <w:pPr>
        <w:keepNext w:val="0"/>
        <w:keepLines w:val="0"/>
        <w:pageBreakBefore w:val="0"/>
        <w:kinsoku/>
        <w:wordWrap/>
        <w:overflowPunct/>
        <w:topLinePunct w:val="0"/>
        <w:autoSpaceDE/>
        <w:autoSpaceDN/>
        <w:bidi w:val="0"/>
        <w:adjustRightInd/>
        <w:snapToGrid/>
        <w:spacing w:line="360" w:lineRule="auto"/>
        <w:ind w:left="50" w:firstLine="442" w:firstLineChars="200"/>
        <w:rPr>
          <w:rFonts w:hint="eastAsia" w:ascii="宋体" w:hAnsi="宋体" w:eastAsia="宋体" w:cs="宋体"/>
          <w:b/>
          <w:bCs/>
          <w:color w:val="auto"/>
          <w:spacing w:val="-10"/>
          <w:sz w:val="24"/>
          <w:szCs w:val="24"/>
          <w:highlight w:val="none"/>
        </w:rPr>
      </w:pPr>
      <w:r>
        <w:rPr>
          <w:rFonts w:hint="eastAsia" w:ascii="宋体" w:hAnsi="宋体" w:eastAsia="宋体" w:cs="宋体"/>
          <w:b/>
          <w:bCs/>
          <w:color w:val="auto"/>
          <w:spacing w:val="-10"/>
          <w:sz w:val="24"/>
          <w:szCs w:val="24"/>
          <w:highlight w:val="none"/>
        </w:rPr>
        <w:t>六、商务要求表</w:t>
      </w:r>
    </w:p>
    <w:tbl>
      <w:tblPr>
        <w:tblStyle w:val="6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3"/>
        <w:gridCol w:w="7496"/>
      </w:tblGrid>
      <w:tr w14:paraId="1AB86B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523" w:type="dxa"/>
            <w:tcBorders>
              <w:top w:val="single" w:color="auto" w:sz="4" w:space="0"/>
              <w:left w:val="single" w:color="auto" w:sz="4" w:space="0"/>
              <w:right w:val="single" w:color="auto" w:sz="4" w:space="0"/>
            </w:tcBorders>
            <w:noWrap w:val="0"/>
            <w:vAlign w:val="center"/>
          </w:tcPr>
          <w:p w14:paraId="53F78AA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服务期限</w:t>
            </w:r>
          </w:p>
        </w:tc>
        <w:tc>
          <w:tcPr>
            <w:tcW w:w="7496" w:type="dxa"/>
            <w:tcBorders>
              <w:top w:val="single" w:color="auto" w:sz="4" w:space="0"/>
              <w:left w:val="single" w:color="auto" w:sz="4" w:space="0"/>
              <w:bottom w:val="single" w:color="auto" w:sz="4" w:space="0"/>
              <w:right w:val="single" w:color="auto" w:sz="4" w:space="0"/>
            </w:tcBorders>
            <w:noWrap w:val="0"/>
            <w:vAlign w:val="center"/>
          </w:tcPr>
          <w:p w14:paraId="0C15B8C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rPr>
              <w:t>本项目服务期</w:t>
            </w:r>
            <w:r>
              <w:rPr>
                <w:rFonts w:hint="eastAsia" w:ascii="宋体" w:hAnsi="宋体" w:eastAsia="宋体" w:cs="宋体"/>
                <w:color w:val="auto"/>
                <w:spacing w:val="-10"/>
                <w:sz w:val="24"/>
                <w:szCs w:val="24"/>
                <w:highlight w:val="none"/>
                <w:lang w:val="en-US" w:eastAsia="zh-CN"/>
              </w:rPr>
              <w:t>5</w:t>
            </w:r>
            <w:r>
              <w:rPr>
                <w:rFonts w:hint="eastAsia" w:ascii="宋体" w:hAnsi="宋体" w:eastAsia="宋体" w:cs="宋体"/>
                <w:color w:val="auto"/>
                <w:spacing w:val="-10"/>
                <w:sz w:val="24"/>
                <w:szCs w:val="24"/>
                <w:highlight w:val="none"/>
              </w:rPr>
              <w:t>年，合同一年一签订</w:t>
            </w:r>
            <w:r>
              <w:rPr>
                <w:rFonts w:hint="eastAsia" w:ascii="宋体" w:hAnsi="宋体" w:eastAsia="宋体" w:cs="宋体"/>
                <w:color w:val="auto"/>
                <w:spacing w:val="-10"/>
                <w:sz w:val="24"/>
                <w:szCs w:val="24"/>
                <w:highlight w:val="none"/>
                <w:lang w:eastAsia="zh-CN"/>
              </w:rPr>
              <w:t>，</w:t>
            </w:r>
            <w:r>
              <w:rPr>
                <w:rFonts w:hint="eastAsia" w:ascii="宋体" w:hAnsi="宋体" w:eastAsia="宋体" w:cs="宋体"/>
                <w:color w:val="auto"/>
                <w:spacing w:val="-10"/>
                <w:sz w:val="24"/>
                <w:szCs w:val="24"/>
                <w:highlight w:val="none"/>
                <w:lang w:val="en-US" w:eastAsia="zh-CN"/>
              </w:rPr>
              <w:t>费用</w:t>
            </w:r>
            <w:r>
              <w:rPr>
                <w:rFonts w:hint="eastAsia" w:ascii="宋体" w:hAnsi="宋体" w:eastAsia="宋体" w:cs="宋体"/>
                <w:color w:val="auto"/>
                <w:spacing w:val="-10"/>
                <w:sz w:val="24"/>
                <w:szCs w:val="24"/>
                <w:highlight w:val="none"/>
                <w:lang w:eastAsia="zh-CN"/>
              </w:rPr>
              <w:t>按年度先付后用</w:t>
            </w:r>
            <w:r>
              <w:rPr>
                <w:rFonts w:hint="eastAsia" w:ascii="宋体" w:hAnsi="宋体" w:cs="宋体"/>
                <w:color w:val="auto"/>
                <w:spacing w:val="-10"/>
                <w:sz w:val="24"/>
                <w:szCs w:val="24"/>
                <w:highlight w:val="none"/>
                <w:lang w:eastAsia="zh-CN"/>
              </w:rPr>
              <w:t>。</w:t>
            </w:r>
          </w:p>
        </w:tc>
      </w:tr>
      <w:tr w14:paraId="09B3C8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6" w:hRule="atLeast"/>
          <w:jc w:val="center"/>
        </w:trPr>
        <w:tc>
          <w:tcPr>
            <w:tcW w:w="1523" w:type="dxa"/>
            <w:tcBorders>
              <w:top w:val="single" w:color="auto" w:sz="4" w:space="0"/>
              <w:left w:val="single" w:color="auto" w:sz="4" w:space="0"/>
              <w:bottom w:val="single" w:color="auto" w:sz="4" w:space="0"/>
              <w:right w:val="single" w:color="auto" w:sz="4" w:space="0"/>
            </w:tcBorders>
            <w:noWrap w:val="0"/>
            <w:vAlign w:val="center"/>
          </w:tcPr>
          <w:p w14:paraId="6DC49F6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装修方案</w:t>
            </w:r>
          </w:p>
        </w:tc>
        <w:tc>
          <w:tcPr>
            <w:tcW w:w="7496" w:type="dxa"/>
            <w:tcBorders>
              <w:top w:val="single" w:color="auto" w:sz="4" w:space="0"/>
              <w:left w:val="single" w:color="auto" w:sz="4" w:space="0"/>
              <w:bottom w:val="single" w:color="auto" w:sz="4" w:space="0"/>
              <w:right w:val="single" w:color="auto" w:sz="4" w:space="0"/>
            </w:tcBorders>
            <w:noWrap w:val="0"/>
            <w:vAlign w:val="center"/>
          </w:tcPr>
          <w:p w14:paraId="405AF44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lang w:eastAsia="zh-CN"/>
              </w:rPr>
              <w:t>响应人</w:t>
            </w:r>
            <w:r>
              <w:rPr>
                <w:rFonts w:hint="eastAsia" w:ascii="宋体" w:hAnsi="宋体" w:eastAsia="宋体" w:cs="宋体"/>
                <w:color w:val="auto"/>
                <w:spacing w:val="-10"/>
                <w:sz w:val="24"/>
                <w:szCs w:val="24"/>
                <w:highlight w:val="none"/>
              </w:rPr>
              <w:t>投标时应编制详细可行的</w:t>
            </w:r>
            <w:r>
              <w:rPr>
                <w:rFonts w:hint="eastAsia" w:ascii="宋体" w:hAnsi="宋体" w:eastAsia="宋体" w:cs="宋体"/>
                <w:color w:val="auto"/>
                <w:spacing w:val="-10"/>
                <w:sz w:val="24"/>
                <w:szCs w:val="24"/>
                <w:highlight w:val="none"/>
                <w:lang w:eastAsia="zh-CN"/>
              </w:rPr>
              <w:t>装修</w:t>
            </w:r>
            <w:r>
              <w:rPr>
                <w:rFonts w:hint="eastAsia" w:ascii="宋体" w:hAnsi="宋体" w:eastAsia="宋体" w:cs="宋体"/>
                <w:color w:val="auto"/>
                <w:spacing w:val="-10"/>
                <w:sz w:val="24"/>
                <w:szCs w:val="24"/>
                <w:highlight w:val="none"/>
              </w:rPr>
              <w:t>方案。</w:t>
            </w:r>
          </w:p>
        </w:tc>
      </w:tr>
      <w:tr w14:paraId="6441F8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6" w:hRule="atLeast"/>
          <w:jc w:val="center"/>
        </w:trPr>
        <w:tc>
          <w:tcPr>
            <w:tcW w:w="1523" w:type="dxa"/>
            <w:tcBorders>
              <w:top w:val="single" w:color="auto" w:sz="4" w:space="0"/>
              <w:left w:val="single" w:color="auto" w:sz="4" w:space="0"/>
              <w:bottom w:val="single" w:color="auto" w:sz="4" w:space="0"/>
              <w:right w:val="single" w:color="auto" w:sz="4" w:space="0"/>
            </w:tcBorders>
            <w:noWrap w:val="0"/>
            <w:vAlign w:val="center"/>
          </w:tcPr>
          <w:p w14:paraId="0D8F515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运营方案</w:t>
            </w:r>
          </w:p>
        </w:tc>
        <w:tc>
          <w:tcPr>
            <w:tcW w:w="7496" w:type="dxa"/>
            <w:tcBorders>
              <w:top w:val="single" w:color="auto" w:sz="4" w:space="0"/>
              <w:left w:val="single" w:color="auto" w:sz="4" w:space="0"/>
              <w:bottom w:val="single" w:color="auto" w:sz="4" w:space="0"/>
              <w:right w:val="single" w:color="auto" w:sz="4" w:space="0"/>
            </w:tcBorders>
            <w:noWrap w:val="0"/>
            <w:vAlign w:val="center"/>
          </w:tcPr>
          <w:p w14:paraId="7DD6705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lang w:eastAsia="zh-CN"/>
              </w:rPr>
              <w:t>响应人</w:t>
            </w:r>
            <w:r>
              <w:rPr>
                <w:rFonts w:hint="eastAsia" w:ascii="宋体" w:hAnsi="宋体" w:eastAsia="宋体" w:cs="宋体"/>
                <w:color w:val="auto"/>
                <w:spacing w:val="-10"/>
                <w:sz w:val="24"/>
                <w:szCs w:val="24"/>
                <w:highlight w:val="none"/>
              </w:rPr>
              <w:t>投标时应编制详细可行的运营方案。</w:t>
            </w:r>
          </w:p>
        </w:tc>
      </w:tr>
      <w:tr w14:paraId="011365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23" w:type="dxa"/>
            <w:tcBorders>
              <w:top w:val="single" w:color="auto" w:sz="4" w:space="0"/>
              <w:left w:val="single" w:color="auto" w:sz="4" w:space="0"/>
              <w:bottom w:val="single" w:color="auto" w:sz="4" w:space="0"/>
              <w:right w:val="single" w:color="auto" w:sz="4" w:space="0"/>
            </w:tcBorders>
            <w:noWrap w:val="0"/>
            <w:vAlign w:val="center"/>
          </w:tcPr>
          <w:p w14:paraId="5445F90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器械保养维修等要求</w:t>
            </w:r>
          </w:p>
        </w:tc>
        <w:tc>
          <w:tcPr>
            <w:tcW w:w="7496" w:type="dxa"/>
            <w:tcBorders>
              <w:top w:val="single" w:color="auto" w:sz="4" w:space="0"/>
              <w:left w:val="single" w:color="auto" w:sz="4" w:space="0"/>
              <w:bottom w:val="single" w:color="auto" w:sz="4" w:space="0"/>
              <w:right w:val="single" w:color="auto" w:sz="4" w:space="0"/>
            </w:tcBorders>
            <w:noWrap w:val="0"/>
            <w:vAlign w:val="center"/>
          </w:tcPr>
          <w:p w14:paraId="12894CC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lang w:val="en-US" w:eastAsia="zh-CN"/>
              </w:rPr>
              <w:t>响应人</w:t>
            </w:r>
            <w:r>
              <w:rPr>
                <w:rFonts w:hint="eastAsia" w:ascii="宋体" w:hAnsi="宋体" w:eastAsia="宋体" w:cs="宋体"/>
                <w:color w:val="auto"/>
                <w:spacing w:val="-10"/>
                <w:sz w:val="24"/>
                <w:szCs w:val="24"/>
                <w:highlight w:val="none"/>
              </w:rPr>
              <w:t>出资购置健身房所有健身器材，并负责健身房运动器械的保养和维修。</w:t>
            </w:r>
            <w:r>
              <w:rPr>
                <w:rFonts w:hint="eastAsia" w:ascii="宋体" w:hAnsi="宋体" w:eastAsia="宋体" w:cs="宋体"/>
                <w:color w:val="auto"/>
                <w:spacing w:val="-10"/>
                <w:sz w:val="24"/>
                <w:szCs w:val="24"/>
                <w:highlight w:val="none"/>
                <w:lang w:eastAsia="zh-CN"/>
              </w:rPr>
              <w:t>响应人</w:t>
            </w:r>
            <w:r>
              <w:rPr>
                <w:rFonts w:hint="eastAsia" w:ascii="宋体" w:hAnsi="宋体" w:eastAsia="宋体" w:cs="宋体"/>
                <w:color w:val="auto"/>
                <w:spacing w:val="-10"/>
                <w:sz w:val="24"/>
                <w:szCs w:val="24"/>
                <w:highlight w:val="none"/>
              </w:rPr>
              <w:t>不得拒绝或拖延器械采购要求。</w:t>
            </w:r>
          </w:p>
        </w:tc>
      </w:tr>
      <w:tr w14:paraId="2C7342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 w:hRule="atLeast"/>
          <w:jc w:val="center"/>
        </w:trPr>
        <w:tc>
          <w:tcPr>
            <w:tcW w:w="1523" w:type="dxa"/>
            <w:tcBorders>
              <w:top w:val="single" w:color="auto" w:sz="4" w:space="0"/>
              <w:left w:val="single" w:color="auto" w:sz="4" w:space="0"/>
              <w:bottom w:val="single" w:color="auto" w:sz="4" w:space="0"/>
              <w:right w:val="single" w:color="auto" w:sz="4" w:space="0"/>
            </w:tcBorders>
            <w:noWrap w:val="0"/>
            <w:vAlign w:val="center"/>
          </w:tcPr>
          <w:p w14:paraId="31399E4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履约保证金</w:t>
            </w:r>
          </w:p>
        </w:tc>
        <w:tc>
          <w:tcPr>
            <w:tcW w:w="7496" w:type="dxa"/>
            <w:tcBorders>
              <w:top w:val="single" w:color="auto" w:sz="4" w:space="0"/>
              <w:left w:val="single" w:color="auto" w:sz="4" w:space="0"/>
              <w:bottom w:val="single" w:color="auto" w:sz="4" w:space="0"/>
              <w:right w:val="single" w:color="auto" w:sz="4" w:space="0"/>
            </w:tcBorders>
            <w:noWrap w:val="0"/>
            <w:vAlign w:val="center"/>
          </w:tcPr>
          <w:p w14:paraId="3D7A31D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lang w:val="en-US" w:eastAsia="zh-CN"/>
              </w:rPr>
              <w:t>50000.00元</w:t>
            </w:r>
            <w:r>
              <w:rPr>
                <w:rFonts w:hint="eastAsia" w:ascii="宋体" w:hAnsi="宋体" w:eastAsia="宋体" w:cs="宋体"/>
                <w:color w:val="auto"/>
                <w:spacing w:val="-10"/>
                <w:sz w:val="24"/>
                <w:szCs w:val="24"/>
                <w:highlight w:val="none"/>
              </w:rPr>
              <w:t>，合同到期后，如无违约情况一次性退回。</w:t>
            </w:r>
          </w:p>
        </w:tc>
      </w:tr>
    </w:tbl>
    <w:p w14:paraId="0B5CA216">
      <w:pPr>
        <w:keepNext w:val="0"/>
        <w:keepLines w:val="0"/>
        <w:pageBreakBefore w:val="0"/>
        <w:kinsoku/>
        <w:wordWrap/>
        <w:overflowPunct/>
        <w:topLinePunct w:val="0"/>
        <w:autoSpaceDE/>
        <w:autoSpaceDN/>
        <w:bidi w:val="0"/>
        <w:adjustRightInd/>
        <w:snapToGrid/>
        <w:spacing w:line="360" w:lineRule="auto"/>
        <w:ind w:left="50" w:firstLine="442" w:firstLineChars="200"/>
        <w:rPr>
          <w:rFonts w:hint="eastAsia" w:ascii="宋体" w:hAnsi="宋体" w:eastAsia="宋体" w:cs="宋体"/>
          <w:b/>
          <w:bCs/>
          <w:color w:val="auto"/>
          <w:spacing w:val="-10"/>
          <w:sz w:val="24"/>
          <w:szCs w:val="24"/>
          <w:highlight w:val="none"/>
        </w:rPr>
      </w:pPr>
      <w:r>
        <w:rPr>
          <w:rFonts w:hint="eastAsia" w:ascii="宋体" w:hAnsi="宋体" w:eastAsia="宋体" w:cs="宋体"/>
          <w:b/>
          <w:bCs/>
          <w:color w:val="auto"/>
          <w:spacing w:val="-10"/>
          <w:sz w:val="24"/>
          <w:szCs w:val="24"/>
          <w:highlight w:val="none"/>
        </w:rPr>
        <w:t>七、验收</w:t>
      </w:r>
    </w:p>
    <w:p w14:paraId="4B0AB54A">
      <w:pPr>
        <w:keepNext w:val="0"/>
        <w:keepLines w:val="0"/>
        <w:pageBreakBefore w:val="0"/>
        <w:kinsoku/>
        <w:wordWrap/>
        <w:overflowPunct/>
        <w:topLinePunct w:val="0"/>
        <w:autoSpaceDE/>
        <w:autoSpaceDN/>
        <w:bidi w:val="0"/>
        <w:adjustRightInd/>
        <w:snapToGrid/>
        <w:spacing w:line="360" w:lineRule="auto"/>
        <w:ind w:left="50" w:firstLine="440" w:firstLineChars="20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rPr>
        <w:t>1.验收主体：</w:t>
      </w:r>
      <w:r>
        <w:rPr>
          <w:rFonts w:hint="eastAsia" w:ascii="宋体" w:hAnsi="宋体" w:eastAsia="宋体" w:cs="宋体"/>
          <w:color w:val="auto"/>
          <w:spacing w:val="-10"/>
          <w:sz w:val="24"/>
          <w:szCs w:val="24"/>
          <w:highlight w:val="none"/>
          <w:lang w:eastAsia="zh-CN"/>
        </w:rPr>
        <w:t>交易发起人。</w:t>
      </w:r>
    </w:p>
    <w:p w14:paraId="498415CE">
      <w:pPr>
        <w:keepNext w:val="0"/>
        <w:keepLines w:val="0"/>
        <w:pageBreakBefore w:val="0"/>
        <w:kinsoku/>
        <w:wordWrap/>
        <w:overflowPunct/>
        <w:topLinePunct w:val="0"/>
        <w:autoSpaceDE/>
        <w:autoSpaceDN/>
        <w:bidi w:val="0"/>
        <w:adjustRightInd/>
        <w:snapToGrid/>
        <w:spacing w:line="360" w:lineRule="auto"/>
        <w:ind w:left="50" w:firstLine="440" w:firstLineChars="20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2.</w:t>
      </w:r>
      <w:r>
        <w:rPr>
          <w:rFonts w:hint="eastAsia" w:ascii="宋体" w:hAnsi="宋体" w:eastAsia="宋体" w:cs="宋体"/>
          <w:color w:val="auto"/>
          <w:spacing w:val="-10"/>
          <w:sz w:val="24"/>
          <w:szCs w:val="24"/>
          <w:highlight w:val="none"/>
          <w:lang w:eastAsia="zh-CN"/>
        </w:rPr>
        <w:t>交易发起人</w:t>
      </w:r>
      <w:r>
        <w:rPr>
          <w:rFonts w:hint="eastAsia" w:ascii="宋体" w:hAnsi="宋体" w:eastAsia="宋体" w:cs="宋体"/>
          <w:color w:val="auto"/>
          <w:spacing w:val="-10"/>
          <w:sz w:val="24"/>
          <w:szCs w:val="24"/>
          <w:highlight w:val="none"/>
        </w:rPr>
        <w:t>在</w:t>
      </w:r>
      <w:r>
        <w:rPr>
          <w:rFonts w:hint="eastAsia" w:ascii="宋体" w:hAnsi="宋体" w:eastAsia="宋体" w:cs="宋体"/>
          <w:color w:val="auto"/>
          <w:spacing w:val="-10"/>
          <w:sz w:val="24"/>
          <w:szCs w:val="24"/>
          <w:highlight w:val="none"/>
          <w:lang w:eastAsia="zh-CN"/>
        </w:rPr>
        <w:t>成交供应商</w:t>
      </w:r>
      <w:r>
        <w:rPr>
          <w:rFonts w:hint="eastAsia" w:ascii="宋体" w:hAnsi="宋体" w:eastAsia="宋体" w:cs="宋体"/>
          <w:color w:val="auto"/>
          <w:spacing w:val="-10"/>
          <w:sz w:val="24"/>
          <w:szCs w:val="24"/>
          <w:highlight w:val="none"/>
        </w:rPr>
        <w:t>提供服务的过程中，有权不定期对服务内容和质量进行考核</w:t>
      </w:r>
      <w:r>
        <w:rPr>
          <w:rFonts w:hint="eastAsia" w:ascii="宋体" w:hAnsi="宋体" w:eastAsia="宋体" w:cs="宋体"/>
          <w:color w:val="auto"/>
          <w:spacing w:val="-10"/>
          <w:sz w:val="24"/>
          <w:szCs w:val="24"/>
          <w:highlight w:val="none"/>
          <w:lang w:eastAsia="zh-CN"/>
        </w:rPr>
        <w:t>，成交供应商</w:t>
      </w:r>
      <w:r>
        <w:rPr>
          <w:rFonts w:hint="eastAsia" w:ascii="宋体" w:hAnsi="宋体" w:eastAsia="宋体" w:cs="宋体"/>
          <w:color w:val="auto"/>
          <w:spacing w:val="-10"/>
          <w:sz w:val="24"/>
          <w:szCs w:val="24"/>
          <w:highlight w:val="none"/>
        </w:rPr>
        <w:t>应当配合进行。</w:t>
      </w:r>
    </w:p>
    <w:p w14:paraId="6773C223">
      <w:pPr>
        <w:keepNext w:val="0"/>
        <w:keepLines w:val="0"/>
        <w:pageBreakBefore w:val="0"/>
        <w:kinsoku/>
        <w:wordWrap/>
        <w:overflowPunct/>
        <w:topLinePunct w:val="0"/>
        <w:autoSpaceDE/>
        <w:autoSpaceDN/>
        <w:bidi w:val="0"/>
        <w:adjustRightInd/>
        <w:snapToGrid/>
        <w:spacing w:line="360" w:lineRule="auto"/>
        <w:ind w:left="50" w:firstLine="440" w:firstLineChars="20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3.最终验收时间：服务内容执行完毕、服务期截止后。</w:t>
      </w:r>
    </w:p>
    <w:p w14:paraId="37061929">
      <w:pPr>
        <w:keepNext w:val="0"/>
        <w:keepLines w:val="0"/>
        <w:pageBreakBefore w:val="0"/>
        <w:kinsoku/>
        <w:wordWrap/>
        <w:overflowPunct/>
        <w:topLinePunct w:val="0"/>
        <w:autoSpaceDE/>
        <w:autoSpaceDN/>
        <w:bidi w:val="0"/>
        <w:adjustRightInd/>
        <w:snapToGrid/>
        <w:spacing w:line="360" w:lineRule="auto"/>
        <w:ind w:left="50" w:firstLine="440" w:firstLineChars="20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4.验收程序：</w:t>
      </w:r>
      <w:r>
        <w:rPr>
          <w:rFonts w:hint="eastAsia" w:ascii="宋体" w:hAnsi="宋体" w:eastAsia="宋体" w:cs="宋体"/>
          <w:color w:val="auto"/>
          <w:spacing w:val="-10"/>
          <w:sz w:val="24"/>
          <w:szCs w:val="24"/>
          <w:highlight w:val="none"/>
          <w:lang w:eastAsia="zh-CN"/>
        </w:rPr>
        <w:t>成交供应商</w:t>
      </w:r>
      <w:r>
        <w:rPr>
          <w:rFonts w:hint="eastAsia" w:ascii="宋体" w:hAnsi="宋体" w:eastAsia="宋体" w:cs="宋体"/>
          <w:color w:val="auto"/>
          <w:spacing w:val="-10"/>
          <w:sz w:val="24"/>
          <w:szCs w:val="24"/>
          <w:highlight w:val="none"/>
        </w:rPr>
        <w:t>向</w:t>
      </w:r>
      <w:r>
        <w:rPr>
          <w:rFonts w:hint="eastAsia" w:ascii="宋体" w:hAnsi="宋体" w:eastAsia="宋体" w:cs="宋体"/>
          <w:color w:val="auto"/>
          <w:spacing w:val="-10"/>
          <w:sz w:val="24"/>
          <w:szCs w:val="24"/>
          <w:highlight w:val="none"/>
          <w:lang w:eastAsia="zh-CN"/>
        </w:rPr>
        <w:t>交易发起人</w:t>
      </w:r>
      <w:r>
        <w:rPr>
          <w:rFonts w:hint="eastAsia" w:ascii="宋体" w:hAnsi="宋体" w:eastAsia="宋体" w:cs="宋体"/>
          <w:color w:val="auto"/>
          <w:spacing w:val="-10"/>
          <w:sz w:val="24"/>
          <w:szCs w:val="24"/>
          <w:highlight w:val="none"/>
        </w:rPr>
        <w:t>提出申请验收书面申请，</w:t>
      </w:r>
      <w:r>
        <w:rPr>
          <w:rFonts w:hint="eastAsia" w:ascii="宋体" w:hAnsi="宋体" w:eastAsia="宋体" w:cs="宋体"/>
          <w:color w:val="auto"/>
          <w:spacing w:val="-10"/>
          <w:sz w:val="24"/>
          <w:szCs w:val="24"/>
          <w:highlight w:val="none"/>
          <w:lang w:eastAsia="zh-CN"/>
        </w:rPr>
        <w:t>交易发起人</w:t>
      </w:r>
      <w:r>
        <w:rPr>
          <w:rFonts w:hint="eastAsia" w:ascii="宋体" w:hAnsi="宋体" w:eastAsia="宋体" w:cs="宋体"/>
          <w:color w:val="auto"/>
          <w:spacing w:val="-10"/>
          <w:sz w:val="24"/>
          <w:szCs w:val="24"/>
          <w:highlight w:val="none"/>
        </w:rPr>
        <w:t>按验收方案组织履约验收。</w:t>
      </w:r>
      <w:r>
        <w:rPr>
          <w:rFonts w:hint="eastAsia" w:ascii="宋体" w:hAnsi="宋体" w:eastAsia="宋体" w:cs="宋体"/>
          <w:color w:val="auto"/>
          <w:spacing w:val="-10"/>
          <w:sz w:val="24"/>
          <w:szCs w:val="24"/>
          <w:highlight w:val="none"/>
          <w:lang w:eastAsia="zh-CN"/>
        </w:rPr>
        <w:t>成交供应商</w:t>
      </w:r>
      <w:r>
        <w:rPr>
          <w:rFonts w:hint="eastAsia" w:ascii="宋体" w:hAnsi="宋体" w:eastAsia="宋体" w:cs="宋体"/>
          <w:color w:val="auto"/>
          <w:spacing w:val="-10"/>
          <w:sz w:val="24"/>
          <w:szCs w:val="24"/>
          <w:highlight w:val="none"/>
        </w:rPr>
        <w:t>应将项目执行过程及时记录、收集、整理，向</w:t>
      </w:r>
      <w:r>
        <w:rPr>
          <w:rFonts w:hint="eastAsia" w:ascii="宋体" w:hAnsi="宋体" w:eastAsia="宋体" w:cs="宋体"/>
          <w:color w:val="auto"/>
          <w:spacing w:val="-10"/>
          <w:sz w:val="24"/>
          <w:szCs w:val="24"/>
          <w:highlight w:val="none"/>
          <w:lang w:eastAsia="zh-CN"/>
        </w:rPr>
        <w:t>交易发起人</w:t>
      </w:r>
      <w:r>
        <w:rPr>
          <w:rFonts w:hint="eastAsia" w:ascii="宋体" w:hAnsi="宋体" w:eastAsia="宋体" w:cs="宋体"/>
          <w:color w:val="auto"/>
          <w:spacing w:val="-10"/>
          <w:sz w:val="24"/>
          <w:szCs w:val="24"/>
          <w:highlight w:val="none"/>
        </w:rPr>
        <w:t>递交验收申请资料。</w:t>
      </w:r>
    </w:p>
    <w:p w14:paraId="203491E3">
      <w:pPr>
        <w:keepNext w:val="0"/>
        <w:keepLines w:val="0"/>
        <w:pageBreakBefore w:val="0"/>
        <w:kinsoku/>
        <w:wordWrap/>
        <w:overflowPunct/>
        <w:topLinePunct w:val="0"/>
        <w:autoSpaceDE/>
        <w:autoSpaceDN/>
        <w:bidi w:val="0"/>
        <w:adjustRightInd/>
        <w:snapToGrid/>
        <w:spacing w:line="360" w:lineRule="auto"/>
        <w:ind w:left="50" w:firstLine="440" w:firstLineChars="20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5.验收内容：</w:t>
      </w:r>
      <w:r>
        <w:rPr>
          <w:rFonts w:hint="eastAsia" w:ascii="宋体" w:hAnsi="宋体" w:eastAsia="宋体" w:cs="宋体"/>
          <w:color w:val="auto"/>
          <w:spacing w:val="-10"/>
          <w:sz w:val="24"/>
          <w:szCs w:val="24"/>
          <w:highlight w:val="none"/>
          <w:lang w:eastAsia="zh-CN"/>
        </w:rPr>
        <w:t>成交供应商</w:t>
      </w:r>
      <w:r>
        <w:rPr>
          <w:rFonts w:hint="eastAsia" w:ascii="宋体" w:hAnsi="宋体" w:eastAsia="宋体" w:cs="宋体"/>
          <w:color w:val="auto"/>
          <w:spacing w:val="-10"/>
          <w:sz w:val="24"/>
          <w:szCs w:val="24"/>
          <w:highlight w:val="none"/>
        </w:rPr>
        <w:t>实际完成的情况是否符合采购文件要求和</w:t>
      </w:r>
      <w:r>
        <w:rPr>
          <w:rFonts w:hint="eastAsia" w:ascii="宋体" w:hAnsi="宋体" w:eastAsia="宋体" w:cs="宋体"/>
          <w:color w:val="auto"/>
          <w:spacing w:val="-10"/>
          <w:sz w:val="24"/>
          <w:szCs w:val="24"/>
          <w:highlight w:val="none"/>
          <w:lang w:eastAsia="zh-CN"/>
        </w:rPr>
        <w:t>成交供应商</w:t>
      </w:r>
      <w:r>
        <w:rPr>
          <w:rFonts w:hint="eastAsia" w:ascii="宋体" w:hAnsi="宋体" w:eastAsia="宋体" w:cs="宋体"/>
          <w:color w:val="auto"/>
          <w:spacing w:val="-10"/>
          <w:sz w:val="24"/>
          <w:szCs w:val="24"/>
          <w:highlight w:val="none"/>
        </w:rPr>
        <w:t>在投标响应文件中的商务、技术承诺。</w:t>
      </w:r>
    </w:p>
    <w:p w14:paraId="2DCA1D92">
      <w:pPr>
        <w:keepNext w:val="0"/>
        <w:keepLines w:val="0"/>
        <w:pageBreakBefore w:val="0"/>
        <w:kinsoku/>
        <w:wordWrap/>
        <w:overflowPunct/>
        <w:topLinePunct w:val="0"/>
        <w:autoSpaceDE/>
        <w:autoSpaceDN/>
        <w:bidi w:val="0"/>
        <w:adjustRightInd/>
        <w:snapToGrid/>
        <w:spacing w:line="360" w:lineRule="auto"/>
        <w:ind w:left="50" w:firstLine="440" w:firstLineChars="20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6.验收标准：</w:t>
      </w:r>
      <w:r>
        <w:rPr>
          <w:rFonts w:hint="eastAsia" w:ascii="宋体" w:hAnsi="宋体" w:eastAsia="宋体" w:cs="宋体"/>
          <w:color w:val="auto"/>
          <w:spacing w:val="-10"/>
          <w:sz w:val="24"/>
          <w:szCs w:val="24"/>
          <w:highlight w:val="none"/>
          <w:lang w:eastAsia="zh-CN"/>
        </w:rPr>
        <w:t>成交供应商</w:t>
      </w:r>
      <w:r>
        <w:rPr>
          <w:rFonts w:hint="eastAsia" w:ascii="宋体" w:hAnsi="宋体" w:eastAsia="宋体" w:cs="宋体"/>
          <w:color w:val="auto"/>
          <w:spacing w:val="-10"/>
          <w:sz w:val="24"/>
          <w:szCs w:val="24"/>
          <w:highlight w:val="none"/>
        </w:rPr>
        <w:t>已经按</w:t>
      </w:r>
      <w:r>
        <w:rPr>
          <w:rFonts w:hint="eastAsia" w:ascii="宋体" w:hAnsi="宋体" w:eastAsia="宋体" w:cs="宋体"/>
          <w:color w:val="auto"/>
          <w:spacing w:val="-10"/>
          <w:sz w:val="24"/>
          <w:szCs w:val="24"/>
          <w:highlight w:val="none"/>
          <w:lang w:val="en-US" w:eastAsia="zh-CN"/>
        </w:rPr>
        <w:t>公开竞争</w:t>
      </w:r>
      <w:r>
        <w:rPr>
          <w:rFonts w:hint="eastAsia" w:ascii="宋体" w:hAnsi="宋体" w:eastAsia="宋体" w:cs="宋体"/>
          <w:color w:val="auto"/>
          <w:spacing w:val="-10"/>
          <w:sz w:val="24"/>
          <w:szCs w:val="24"/>
          <w:highlight w:val="none"/>
        </w:rPr>
        <w:t>文件要求和</w:t>
      </w:r>
      <w:r>
        <w:rPr>
          <w:rFonts w:hint="eastAsia" w:ascii="宋体" w:hAnsi="宋体" w:eastAsia="宋体" w:cs="宋体"/>
          <w:color w:val="auto"/>
          <w:spacing w:val="-10"/>
          <w:sz w:val="24"/>
          <w:szCs w:val="24"/>
          <w:highlight w:val="none"/>
          <w:lang w:eastAsia="zh-CN"/>
        </w:rPr>
        <w:t>成交供应商</w:t>
      </w:r>
      <w:r>
        <w:rPr>
          <w:rFonts w:hint="eastAsia" w:ascii="宋体" w:hAnsi="宋体" w:eastAsia="宋体" w:cs="宋体"/>
          <w:color w:val="auto"/>
          <w:spacing w:val="-10"/>
          <w:sz w:val="24"/>
          <w:szCs w:val="24"/>
          <w:highlight w:val="none"/>
        </w:rPr>
        <w:t>在响应文件中的商务、技术承诺完成项目执行。</w:t>
      </w:r>
    </w:p>
    <w:p w14:paraId="6DD7C383">
      <w:pPr>
        <w:spacing w:line="360" w:lineRule="auto"/>
        <w:ind w:firstLine="480" w:firstLineChars="200"/>
        <w:rPr>
          <w:rFonts w:hint="eastAsia" w:ascii="宋体" w:hAnsi="宋体" w:eastAsia="宋体" w:cs="宋体"/>
          <w:color w:val="auto"/>
          <w:sz w:val="24"/>
          <w:szCs w:val="24"/>
          <w:highlight w:val="none"/>
        </w:rPr>
      </w:pPr>
    </w:p>
    <w:p w14:paraId="6F14A960">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szCs w:val="24"/>
          <w:highlight w:val="none"/>
        </w:rPr>
        <w:t>注：交易文件中打▲内容为实质性要求，不允许有负偏离，否则将以涉及无效响应条款作无效响应。</w:t>
      </w:r>
    </w:p>
    <w:p w14:paraId="5941E5E1">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0620B8B2">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19" w:name="_Toc184312093"/>
      <w:bookmarkEnd w:id="19"/>
      <w:bookmarkStart w:id="20" w:name="_Toc184310311"/>
      <w:bookmarkEnd w:id="20"/>
      <w:bookmarkStart w:id="21" w:name="_Toc184313308"/>
      <w:bookmarkEnd w:id="21"/>
      <w:bookmarkStart w:id="22" w:name="_Toc184308061"/>
      <w:bookmarkEnd w:id="22"/>
      <w:bookmarkStart w:id="23" w:name="_Toc184314448"/>
      <w:bookmarkEnd w:id="23"/>
      <w:bookmarkStart w:id="24" w:name="_Toc184310283"/>
      <w:bookmarkEnd w:id="24"/>
      <w:bookmarkStart w:id="25" w:name="_Toc184312091"/>
      <w:bookmarkEnd w:id="25"/>
      <w:bookmarkStart w:id="26" w:name="_Toc184312096"/>
      <w:bookmarkEnd w:id="26"/>
      <w:bookmarkStart w:id="27" w:name="_Toc184310289"/>
      <w:bookmarkEnd w:id="27"/>
      <w:bookmarkStart w:id="28" w:name="_Toc184312132"/>
      <w:bookmarkEnd w:id="28"/>
      <w:bookmarkStart w:id="29" w:name="_Toc184314425"/>
      <w:bookmarkEnd w:id="29"/>
      <w:bookmarkStart w:id="30" w:name="_Toc184308045"/>
      <w:bookmarkEnd w:id="30"/>
      <w:bookmarkStart w:id="31" w:name="_Toc184312080"/>
      <w:bookmarkEnd w:id="31"/>
      <w:bookmarkStart w:id="32" w:name="_Toc184310273"/>
      <w:bookmarkEnd w:id="32"/>
      <w:bookmarkStart w:id="33" w:name="_Toc184312089"/>
      <w:bookmarkEnd w:id="33"/>
      <w:bookmarkStart w:id="34" w:name="_Toc184314465"/>
      <w:bookmarkEnd w:id="34"/>
      <w:bookmarkStart w:id="35" w:name="_Toc184313279"/>
      <w:bookmarkEnd w:id="35"/>
      <w:bookmarkStart w:id="36" w:name="_Toc184313301"/>
      <w:bookmarkEnd w:id="36"/>
      <w:bookmarkStart w:id="37" w:name="_Toc184310288"/>
      <w:bookmarkEnd w:id="37"/>
      <w:bookmarkStart w:id="38" w:name="_Toc184308094"/>
      <w:bookmarkEnd w:id="38"/>
      <w:bookmarkStart w:id="39" w:name="_Toc184314469"/>
      <w:bookmarkEnd w:id="39"/>
      <w:bookmarkStart w:id="40" w:name="_Toc184313246"/>
      <w:bookmarkEnd w:id="40"/>
      <w:bookmarkStart w:id="41" w:name="_Toc184313239"/>
      <w:bookmarkEnd w:id="41"/>
      <w:bookmarkStart w:id="42" w:name="_Toc184308062"/>
      <w:bookmarkEnd w:id="42"/>
      <w:bookmarkStart w:id="43" w:name="_Toc184313268"/>
      <w:bookmarkEnd w:id="43"/>
      <w:bookmarkStart w:id="44" w:name="_Toc184310334"/>
      <w:bookmarkEnd w:id="44"/>
      <w:bookmarkStart w:id="45" w:name="_Toc184308053"/>
      <w:bookmarkEnd w:id="45"/>
      <w:bookmarkStart w:id="46" w:name="_Toc184312081"/>
      <w:bookmarkEnd w:id="46"/>
      <w:bookmarkStart w:id="47" w:name="_Toc184312127"/>
      <w:bookmarkEnd w:id="47"/>
      <w:bookmarkStart w:id="48" w:name="_Toc184310344"/>
      <w:bookmarkEnd w:id="48"/>
      <w:bookmarkStart w:id="49" w:name="_Toc184314474"/>
      <w:bookmarkEnd w:id="49"/>
      <w:bookmarkStart w:id="50" w:name="_Toc184313292"/>
      <w:bookmarkEnd w:id="50"/>
      <w:bookmarkStart w:id="51" w:name="_Toc184314432"/>
      <w:bookmarkEnd w:id="51"/>
      <w:bookmarkStart w:id="52" w:name="_Toc184312134"/>
      <w:bookmarkEnd w:id="52"/>
      <w:bookmarkStart w:id="53" w:name="_Toc184310279"/>
      <w:bookmarkEnd w:id="53"/>
      <w:bookmarkStart w:id="54" w:name="_Toc184310332"/>
      <w:bookmarkEnd w:id="54"/>
      <w:bookmarkStart w:id="55" w:name="_Toc184314479"/>
      <w:bookmarkEnd w:id="55"/>
      <w:bookmarkStart w:id="56" w:name="_Toc184310293"/>
      <w:bookmarkEnd w:id="56"/>
      <w:bookmarkStart w:id="57" w:name="_Toc184312073"/>
      <w:bookmarkEnd w:id="57"/>
      <w:bookmarkStart w:id="58" w:name="_Toc184313238"/>
      <w:bookmarkEnd w:id="58"/>
      <w:bookmarkStart w:id="59" w:name="_Toc184312135"/>
      <w:bookmarkEnd w:id="59"/>
      <w:bookmarkStart w:id="60" w:name="_Toc184310303"/>
      <w:bookmarkEnd w:id="60"/>
      <w:bookmarkStart w:id="61" w:name="_Toc184313272"/>
      <w:bookmarkEnd w:id="61"/>
      <w:bookmarkStart w:id="62" w:name="_Toc184313281"/>
      <w:bookmarkEnd w:id="62"/>
      <w:bookmarkStart w:id="63" w:name="_Toc184310287"/>
      <w:bookmarkEnd w:id="63"/>
      <w:bookmarkStart w:id="64" w:name="_Toc184308064"/>
      <w:bookmarkEnd w:id="64"/>
      <w:bookmarkStart w:id="65" w:name="_Toc184313263"/>
      <w:bookmarkEnd w:id="65"/>
      <w:bookmarkStart w:id="66" w:name="_Toc184308081"/>
      <w:bookmarkEnd w:id="66"/>
      <w:bookmarkStart w:id="67" w:name="_Toc184313255"/>
      <w:bookmarkEnd w:id="67"/>
      <w:bookmarkStart w:id="68" w:name="_Toc184308104"/>
      <w:bookmarkEnd w:id="68"/>
      <w:bookmarkStart w:id="69" w:name="_Toc184308108"/>
      <w:bookmarkEnd w:id="69"/>
      <w:bookmarkStart w:id="70" w:name="_Toc184312076"/>
      <w:bookmarkEnd w:id="70"/>
      <w:bookmarkStart w:id="71" w:name="_Toc184313280"/>
      <w:bookmarkEnd w:id="71"/>
      <w:bookmarkStart w:id="72" w:name="_Toc184313294"/>
      <w:bookmarkEnd w:id="72"/>
      <w:bookmarkStart w:id="73" w:name="_Toc184313298"/>
      <w:bookmarkEnd w:id="73"/>
      <w:bookmarkStart w:id="74" w:name="_Toc184312136"/>
      <w:bookmarkEnd w:id="74"/>
      <w:bookmarkStart w:id="75" w:name="_Toc184312086"/>
      <w:bookmarkEnd w:id="75"/>
      <w:bookmarkStart w:id="76" w:name="_Toc184312115"/>
      <w:bookmarkEnd w:id="76"/>
      <w:bookmarkStart w:id="77" w:name="_Toc184310302"/>
      <w:bookmarkEnd w:id="77"/>
      <w:bookmarkStart w:id="78" w:name="_Toc184308078"/>
      <w:bookmarkEnd w:id="78"/>
      <w:bookmarkStart w:id="79" w:name="_Toc184310323"/>
      <w:bookmarkEnd w:id="79"/>
      <w:bookmarkStart w:id="80" w:name="_Toc184312131"/>
      <w:bookmarkEnd w:id="80"/>
      <w:bookmarkStart w:id="81" w:name="_Toc184313250"/>
      <w:bookmarkEnd w:id="81"/>
      <w:bookmarkStart w:id="82" w:name="_Toc184314420"/>
      <w:bookmarkEnd w:id="82"/>
      <w:bookmarkStart w:id="83" w:name="_Toc184313303"/>
      <w:bookmarkEnd w:id="83"/>
      <w:bookmarkStart w:id="84" w:name="_Toc184314449"/>
      <w:bookmarkEnd w:id="84"/>
      <w:bookmarkStart w:id="85" w:name="_Toc184313285"/>
      <w:bookmarkEnd w:id="85"/>
      <w:bookmarkStart w:id="86" w:name="_Toc184308038"/>
      <w:bookmarkEnd w:id="86"/>
      <w:bookmarkStart w:id="87" w:name="_Toc184313273"/>
      <w:bookmarkEnd w:id="87"/>
      <w:bookmarkStart w:id="88" w:name="_Toc184313243"/>
      <w:bookmarkEnd w:id="88"/>
      <w:bookmarkStart w:id="89" w:name="_Toc184314467"/>
      <w:bookmarkEnd w:id="89"/>
      <w:bookmarkStart w:id="90" w:name="_Toc184308070"/>
      <w:bookmarkEnd w:id="90"/>
      <w:bookmarkStart w:id="91" w:name="_Toc184308076"/>
      <w:bookmarkEnd w:id="91"/>
      <w:bookmarkStart w:id="92" w:name="_Toc184308046"/>
      <w:bookmarkEnd w:id="92"/>
      <w:bookmarkStart w:id="93" w:name="_Toc184308051"/>
      <w:bookmarkEnd w:id="93"/>
      <w:bookmarkStart w:id="94" w:name="_Toc184310328"/>
      <w:bookmarkEnd w:id="94"/>
      <w:bookmarkStart w:id="95" w:name="_Toc184314440"/>
      <w:bookmarkEnd w:id="95"/>
      <w:bookmarkStart w:id="96" w:name="_Toc184308103"/>
      <w:bookmarkEnd w:id="96"/>
      <w:bookmarkStart w:id="97" w:name="_Toc184310324"/>
      <w:bookmarkEnd w:id="97"/>
      <w:bookmarkStart w:id="98" w:name="_Toc184310278"/>
      <w:bookmarkEnd w:id="98"/>
      <w:bookmarkStart w:id="99" w:name="_Toc184308079"/>
      <w:bookmarkEnd w:id="99"/>
      <w:bookmarkStart w:id="100" w:name="_Toc184310313"/>
      <w:bookmarkEnd w:id="100"/>
      <w:bookmarkStart w:id="101" w:name="_Toc184308093"/>
      <w:bookmarkEnd w:id="101"/>
      <w:bookmarkStart w:id="102" w:name="_Toc184314442"/>
      <w:bookmarkEnd w:id="102"/>
      <w:bookmarkStart w:id="103" w:name="_Toc184314433"/>
      <w:bookmarkEnd w:id="103"/>
      <w:bookmarkStart w:id="104" w:name="_Toc184313264"/>
      <w:bookmarkEnd w:id="104"/>
      <w:bookmarkStart w:id="105" w:name="_Toc184313299"/>
      <w:bookmarkEnd w:id="105"/>
      <w:bookmarkStart w:id="106" w:name="_Toc184313257"/>
      <w:bookmarkEnd w:id="106"/>
      <w:bookmarkStart w:id="107" w:name="_Toc184308059"/>
      <w:bookmarkEnd w:id="107"/>
      <w:bookmarkStart w:id="108" w:name="_Toc184310286"/>
      <w:bookmarkEnd w:id="108"/>
      <w:bookmarkStart w:id="109" w:name="_Toc184310339"/>
      <w:bookmarkEnd w:id="109"/>
      <w:bookmarkStart w:id="110" w:name="_Toc184308039"/>
      <w:bookmarkEnd w:id="110"/>
      <w:bookmarkStart w:id="111" w:name="_Toc184314436"/>
      <w:bookmarkEnd w:id="111"/>
      <w:bookmarkStart w:id="112" w:name="_Toc184308106"/>
      <w:bookmarkEnd w:id="112"/>
      <w:bookmarkStart w:id="113" w:name="_Toc184314481"/>
      <w:bookmarkEnd w:id="113"/>
      <w:bookmarkStart w:id="114" w:name="_Toc184314438"/>
      <w:bookmarkEnd w:id="114"/>
      <w:bookmarkStart w:id="115" w:name="_Toc184312102"/>
      <w:bookmarkEnd w:id="115"/>
      <w:bookmarkStart w:id="116" w:name="_Toc184308036"/>
      <w:bookmarkEnd w:id="116"/>
      <w:bookmarkStart w:id="117" w:name="_Toc184308087"/>
      <w:bookmarkEnd w:id="117"/>
      <w:bookmarkStart w:id="118" w:name="_Toc184314421"/>
      <w:bookmarkEnd w:id="118"/>
      <w:bookmarkStart w:id="119" w:name="_Toc184310326"/>
      <w:bookmarkEnd w:id="119"/>
      <w:bookmarkStart w:id="120" w:name="_Toc184310299"/>
      <w:bookmarkEnd w:id="120"/>
      <w:bookmarkStart w:id="121" w:name="_Toc184313266"/>
      <w:bookmarkEnd w:id="121"/>
      <w:bookmarkStart w:id="122" w:name="_Toc184312122"/>
      <w:bookmarkEnd w:id="122"/>
      <w:bookmarkStart w:id="123" w:name="_Toc184310317"/>
      <w:bookmarkEnd w:id="123"/>
      <w:bookmarkStart w:id="124" w:name="_Toc184314466"/>
      <w:bookmarkEnd w:id="124"/>
      <w:bookmarkStart w:id="125" w:name="_Toc184314439"/>
      <w:bookmarkEnd w:id="125"/>
      <w:bookmarkStart w:id="126" w:name="_Toc184308080"/>
      <w:bookmarkEnd w:id="126"/>
      <w:bookmarkStart w:id="127" w:name="_Toc184314457"/>
      <w:bookmarkEnd w:id="127"/>
      <w:bookmarkStart w:id="128" w:name="_Toc184310335"/>
      <w:bookmarkEnd w:id="128"/>
      <w:bookmarkStart w:id="129" w:name="_Toc184313300"/>
      <w:bookmarkEnd w:id="129"/>
      <w:bookmarkStart w:id="130" w:name="_Toc184308060"/>
      <w:bookmarkEnd w:id="130"/>
      <w:bookmarkStart w:id="131" w:name="_Toc184312119"/>
      <w:bookmarkEnd w:id="131"/>
      <w:bookmarkStart w:id="132" w:name="_Toc184314415"/>
      <w:bookmarkEnd w:id="132"/>
      <w:bookmarkStart w:id="133" w:name="_Toc184312105"/>
      <w:bookmarkEnd w:id="133"/>
      <w:bookmarkStart w:id="134" w:name="_Toc184310281"/>
      <w:bookmarkEnd w:id="134"/>
      <w:bookmarkStart w:id="135" w:name="_Toc184313254"/>
      <w:bookmarkEnd w:id="135"/>
      <w:bookmarkStart w:id="136" w:name="_Toc184312088"/>
      <w:bookmarkEnd w:id="136"/>
      <w:bookmarkStart w:id="137" w:name="_Toc184310304"/>
      <w:bookmarkEnd w:id="137"/>
      <w:bookmarkStart w:id="138" w:name="_Toc184310280"/>
      <w:bookmarkEnd w:id="138"/>
      <w:bookmarkStart w:id="139" w:name="_Toc184313307"/>
      <w:bookmarkEnd w:id="139"/>
      <w:bookmarkStart w:id="140" w:name="_Toc184312085"/>
      <w:bookmarkEnd w:id="140"/>
      <w:bookmarkStart w:id="141" w:name="_Toc184313245"/>
      <w:bookmarkEnd w:id="141"/>
      <w:bookmarkStart w:id="142" w:name="_Toc184310312"/>
      <w:bookmarkEnd w:id="142"/>
      <w:bookmarkStart w:id="143" w:name="_Toc184308071"/>
      <w:bookmarkEnd w:id="143"/>
      <w:bookmarkStart w:id="144" w:name="_Toc184314471"/>
      <w:bookmarkEnd w:id="144"/>
      <w:bookmarkStart w:id="145" w:name="_Toc184314416"/>
      <w:bookmarkEnd w:id="145"/>
      <w:bookmarkStart w:id="146" w:name="_Toc184310301"/>
      <w:bookmarkEnd w:id="146"/>
      <w:bookmarkStart w:id="147" w:name="_Toc184308047"/>
      <w:bookmarkEnd w:id="147"/>
      <w:bookmarkStart w:id="148" w:name="_Toc184312100"/>
      <w:bookmarkEnd w:id="148"/>
      <w:bookmarkStart w:id="149" w:name="_Toc184310342"/>
      <w:bookmarkEnd w:id="149"/>
      <w:bookmarkStart w:id="150" w:name="_Toc184314460"/>
      <w:bookmarkEnd w:id="150"/>
      <w:bookmarkStart w:id="151" w:name="_Toc184308101"/>
      <w:bookmarkEnd w:id="151"/>
      <w:bookmarkStart w:id="152" w:name="_Toc184308049"/>
      <w:bookmarkEnd w:id="152"/>
      <w:bookmarkStart w:id="153" w:name="_Toc184310295"/>
      <w:bookmarkEnd w:id="153"/>
      <w:bookmarkStart w:id="154" w:name="_Toc184313290"/>
      <w:bookmarkEnd w:id="154"/>
      <w:bookmarkStart w:id="155" w:name="_Toc184308096"/>
      <w:bookmarkEnd w:id="155"/>
      <w:bookmarkStart w:id="156" w:name="_Toc184310290"/>
      <w:bookmarkEnd w:id="156"/>
      <w:bookmarkStart w:id="157" w:name="_Toc184314452"/>
      <w:bookmarkEnd w:id="157"/>
      <w:bookmarkStart w:id="158" w:name="_Toc184312108"/>
      <w:bookmarkEnd w:id="158"/>
      <w:bookmarkStart w:id="159" w:name="_Toc184312106"/>
      <w:bookmarkEnd w:id="159"/>
      <w:bookmarkStart w:id="160" w:name="_Toc184313309"/>
      <w:bookmarkEnd w:id="160"/>
      <w:bookmarkStart w:id="161" w:name="_Toc184312077"/>
      <w:bookmarkEnd w:id="161"/>
      <w:bookmarkStart w:id="162" w:name="_Toc184312074"/>
      <w:bookmarkEnd w:id="162"/>
      <w:bookmarkStart w:id="163" w:name="_Toc184314458"/>
      <w:bookmarkEnd w:id="163"/>
      <w:bookmarkStart w:id="164" w:name="_Toc184313241"/>
      <w:bookmarkEnd w:id="164"/>
      <w:bookmarkStart w:id="165" w:name="_Toc184314480"/>
      <w:bookmarkEnd w:id="165"/>
      <w:bookmarkStart w:id="166" w:name="_Toc184313287"/>
      <w:bookmarkEnd w:id="166"/>
      <w:bookmarkStart w:id="167" w:name="_Toc184314412"/>
      <w:bookmarkEnd w:id="167"/>
      <w:bookmarkStart w:id="168" w:name="_Toc184310329"/>
      <w:bookmarkEnd w:id="168"/>
      <w:bookmarkStart w:id="169" w:name="_Toc184308037"/>
      <w:bookmarkEnd w:id="169"/>
      <w:bookmarkStart w:id="170" w:name="_Toc184308089"/>
      <w:bookmarkEnd w:id="170"/>
      <w:bookmarkStart w:id="171" w:name="_Toc184313277"/>
      <w:bookmarkEnd w:id="171"/>
      <w:bookmarkStart w:id="172" w:name="_Toc184308083"/>
      <w:bookmarkEnd w:id="172"/>
      <w:bookmarkStart w:id="173" w:name="_Toc184308054"/>
      <w:bookmarkEnd w:id="173"/>
      <w:bookmarkStart w:id="174" w:name="_Toc184310340"/>
      <w:bookmarkEnd w:id="174"/>
      <w:bookmarkStart w:id="175" w:name="_Toc184312111"/>
      <w:bookmarkEnd w:id="175"/>
      <w:bookmarkStart w:id="176" w:name="_Toc184314478"/>
      <w:bookmarkEnd w:id="176"/>
      <w:bookmarkStart w:id="177" w:name="_Toc184308088"/>
      <w:bookmarkEnd w:id="177"/>
      <w:bookmarkStart w:id="178" w:name="_Toc184312138"/>
      <w:bookmarkEnd w:id="178"/>
      <w:bookmarkStart w:id="179" w:name="_Toc184308097"/>
      <w:bookmarkEnd w:id="179"/>
      <w:bookmarkStart w:id="180" w:name="_Toc184313270"/>
      <w:bookmarkEnd w:id="180"/>
      <w:bookmarkStart w:id="181" w:name="_Toc184312095"/>
      <w:bookmarkEnd w:id="181"/>
      <w:bookmarkStart w:id="182" w:name="_Toc184314454"/>
      <w:bookmarkEnd w:id="182"/>
      <w:bookmarkStart w:id="183" w:name="_Toc184313253"/>
      <w:bookmarkEnd w:id="183"/>
      <w:bookmarkStart w:id="184" w:name="_Toc184308075"/>
      <w:bookmarkEnd w:id="184"/>
      <w:bookmarkStart w:id="185" w:name="_Toc184308058"/>
      <w:bookmarkEnd w:id="185"/>
      <w:bookmarkStart w:id="186" w:name="_Toc184313261"/>
      <w:bookmarkEnd w:id="186"/>
      <w:bookmarkStart w:id="187" w:name="_Toc184313283"/>
      <w:bookmarkEnd w:id="187"/>
      <w:bookmarkStart w:id="188" w:name="_Toc184308102"/>
      <w:bookmarkEnd w:id="188"/>
      <w:bookmarkStart w:id="189" w:name="_Toc184313242"/>
      <w:bookmarkEnd w:id="189"/>
      <w:bookmarkStart w:id="190" w:name="_Toc184312090"/>
      <w:bookmarkEnd w:id="190"/>
      <w:bookmarkStart w:id="191" w:name="_Toc184310291"/>
      <w:bookmarkEnd w:id="191"/>
      <w:bookmarkStart w:id="192" w:name="_Toc184310343"/>
      <w:bookmarkEnd w:id="192"/>
      <w:bookmarkStart w:id="193" w:name="_Toc184308050"/>
      <w:bookmarkEnd w:id="193"/>
      <w:bookmarkStart w:id="194" w:name="_Toc184313297"/>
      <w:bookmarkEnd w:id="194"/>
      <w:bookmarkStart w:id="195" w:name="_Toc184312113"/>
      <w:bookmarkEnd w:id="195"/>
      <w:bookmarkStart w:id="196" w:name="_Toc184308100"/>
      <w:bookmarkEnd w:id="196"/>
      <w:bookmarkStart w:id="197" w:name="_Toc184312071"/>
      <w:bookmarkEnd w:id="197"/>
      <w:bookmarkStart w:id="198" w:name="_Toc184308091"/>
      <w:bookmarkEnd w:id="198"/>
      <w:bookmarkStart w:id="199" w:name="_Toc184314447"/>
      <w:bookmarkEnd w:id="199"/>
      <w:bookmarkStart w:id="200" w:name="_Toc184312078"/>
      <w:bookmarkEnd w:id="200"/>
      <w:bookmarkStart w:id="201" w:name="_Toc184314429"/>
      <w:bookmarkEnd w:id="201"/>
      <w:bookmarkStart w:id="202" w:name="_Toc184312120"/>
      <w:bookmarkEnd w:id="202"/>
      <w:bookmarkStart w:id="203" w:name="_Toc184308065"/>
      <w:bookmarkEnd w:id="203"/>
      <w:bookmarkStart w:id="204" w:name="_Toc184314462"/>
      <w:bookmarkEnd w:id="204"/>
      <w:bookmarkStart w:id="205" w:name="_Toc184310272"/>
      <w:bookmarkEnd w:id="205"/>
      <w:bookmarkStart w:id="206" w:name="_Toc184308098"/>
      <w:bookmarkEnd w:id="206"/>
      <w:bookmarkStart w:id="207" w:name="_Toc184313293"/>
      <w:bookmarkEnd w:id="207"/>
      <w:bookmarkStart w:id="208" w:name="_Toc184308063"/>
      <w:bookmarkEnd w:id="208"/>
      <w:bookmarkStart w:id="209" w:name="_Toc184310319"/>
      <w:bookmarkEnd w:id="209"/>
      <w:bookmarkStart w:id="210" w:name="_Toc184314413"/>
      <w:bookmarkEnd w:id="210"/>
      <w:bookmarkStart w:id="211" w:name="_Toc184312104"/>
      <w:bookmarkEnd w:id="211"/>
      <w:bookmarkStart w:id="212" w:name="_Toc184313249"/>
      <w:bookmarkEnd w:id="212"/>
      <w:bookmarkStart w:id="213" w:name="_Toc184312084"/>
      <w:bookmarkEnd w:id="213"/>
      <w:bookmarkStart w:id="214" w:name="_Toc184313274"/>
      <w:bookmarkEnd w:id="214"/>
      <w:bookmarkStart w:id="215" w:name="_Toc184314423"/>
      <w:bookmarkEnd w:id="215"/>
      <w:bookmarkStart w:id="216" w:name="_Toc184313282"/>
      <w:bookmarkEnd w:id="216"/>
      <w:bookmarkStart w:id="217" w:name="_Toc184313305"/>
      <w:bookmarkEnd w:id="217"/>
      <w:bookmarkStart w:id="218" w:name="_Toc184312118"/>
      <w:bookmarkEnd w:id="218"/>
      <w:bookmarkStart w:id="219" w:name="_Toc184312067"/>
      <w:bookmarkEnd w:id="219"/>
      <w:bookmarkStart w:id="220" w:name="_Toc184310298"/>
      <w:bookmarkEnd w:id="220"/>
      <w:bookmarkStart w:id="221" w:name="_Toc184314426"/>
      <w:bookmarkEnd w:id="221"/>
      <w:bookmarkStart w:id="222" w:name="_Toc184313302"/>
      <w:bookmarkEnd w:id="222"/>
      <w:bookmarkStart w:id="223" w:name="_Toc184313248"/>
      <w:bookmarkEnd w:id="223"/>
      <w:bookmarkStart w:id="224" w:name="_Toc184312123"/>
      <w:bookmarkEnd w:id="224"/>
      <w:bookmarkStart w:id="225" w:name="_Toc184310321"/>
      <w:bookmarkEnd w:id="225"/>
      <w:bookmarkStart w:id="226" w:name="_Toc184314410"/>
      <w:bookmarkEnd w:id="226"/>
      <w:bookmarkStart w:id="227" w:name="_Toc184314446"/>
      <w:bookmarkEnd w:id="227"/>
      <w:bookmarkStart w:id="228" w:name="_Toc184310277"/>
      <w:bookmarkEnd w:id="228"/>
      <w:bookmarkStart w:id="229" w:name="_Toc184312139"/>
      <w:bookmarkEnd w:id="229"/>
      <w:bookmarkStart w:id="230" w:name="_Toc184312137"/>
      <w:bookmarkEnd w:id="230"/>
      <w:bookmarkStart w:id="231" w:name="_Toc184313247"/>
      <w:bookmarkEnd w:id="231"/>
      <w:bookmarkStart w:id="232" w:name="_Toc184312117"/>
      <w:bookmarkEnd w:id="232"/>
      <w:bookmarkStart w:id="233" w:name="_Toc184308069"/>
      <w:bookmarkEnd w:id="233"/>
      <w:bookmarkStart w:id="234" w:name="_Toc184308044"/>
      <w:bookmarkEnd w:id="234"/>
      <w:bookmarkStart w:id="235" w:name="_Toc184310275"/>
      <w:bookmarkEnd w:id="235"/>
      <w:bookmarkStart w:id="236" w:name="_Toc184314427"/>
      <w:bookmarkEnd w:id="236"/>
      <w:bookmarkStart w:id="237" w:name="_Toc184314418"/>
      <w:bookmarkEnd w:id="237"/>
      <w:bookmarkStart w:id="238" w:name="_Toc184308057"/>
      <w:bookmarkEnd w:id="238"/>
      <w:bookmarkStart w:id="239" w:name="_Toc184310315"/>
      <w:bookmarkEnd w:id="239"/>
      <w:bookmarkStart w:id="240" w:name="_Toc184314419"/>
      <w:bookmarkEnd w:id="240"/>
      <w:bookmarkStart w:id="241" w:name="_Toc184314453"/>
      <w:bookmarkEnd w:id="241"/>
      <w:bookmarkStart w:id="242" w:name="_Toc184314451"/>
      <w:bookmarkEnd w:id="242"/>
      <w:bookmarkStart w:id="243" w:name="_Toc184314435"/>
      <w:bookmarkEnd w:id="243"/>
      <w:bookmarkStart w:id="244" w:name="_Toc184308099"/>
      <w:bookmarkEnd w:id="244"/>
      <w:bookmarkStart w:id="245" w:name="_Toc184310296"/>
      <w:bookmarkEnd w:id="245"/>
      <w:bookmarkStart w:id="246" w:name="_Toc184314468"/>
      <w:bookmarkEnd w:id="246"/>
      <w:bookmarkStart w:id="247" w:name="_Toc184312103"/>
      <w:bookmarkEnd w:id="247"/>
      <w:bookmarkStart w:id="248" w:name="_Toc184312114"/>
      <w:bookmarkEnd w:id="248"/>
      <w:bookmarkStart w:id="249" w:name="_Toc184310322"/>
      <w:bookmarkEnd w:id="249"/>
      <w:bookmarkStart w:id="250" w:name="_Toc184313304"/>
      <w:bookmarkEnd w:id="250"/>
      <w:bookmarkStart w:id="251" w:name="_Toc184308085"/>
      <w:bookmarkEnd w:id="251"/>
      <w:bookmarkStart w:id="252" w:name="_Toc184312098"/>
      <w:bookmarkEnd w:id="252"/>
      <w:bookmarkStart w:id="253" w:name="_Toc184313259"/>
      <w:bookmarkEnd w:id="253"/>
      <w:bookmarkStart w:id="254" w:name="_Toc184310309"/>
      <w:bookmarkEnd w:id="254"/>
      <w:bookmarkStart w:id="255" w:name="_Toc184312133"/>
      <w:bookmarkEnd w:id="255"/>
      <w:bookmarkStart w:id="256" w:name="_Toc184308056"/>
      <w:bookmarkEnd w:id="256"/>
      <w:bookmarkStart w:id="257" w:name="_Toc184310320"/>
      <w:bookmarkEnd w:id="257"/>
      <w:bookmarkStart w:id="258" w:name="_Toc184313291"/>
      <w:bookmarkEnd w:id="258"/>
      <w:bookmarkStart w:id="259" w:name="_Toc184314459"/>
      <w:bookmarkEnd w:id="259"/>
      <w:bookmarkStart w:id="260" w:name="_Toc184313310"/>
      <w:bookmarkEnd w:id="260"/>
      <w:bookmarkStart w:id="261" w:name="_Toc184308067"/>
      <w:bookmarkEnd w:id="261"/>
      <w:bookmarkStart w:id="262" w:name="_Toc184313267"/>
      <w:bookmarkEnd w:id="262"/>
      <w:bookmarkStart w:id="263" w:name="_Toc184314476"/>
      <w:bookmarkEnd w:id="263"/>
      <w:bookmarkStart w:id="264" w:name="_Toc184314443"/>
      <w:bookmarkEnd w:id="264"/>
      <w:bookmarkStart w:id="265" w:name="_Toc184314472"/>
      <w:bookmarkEnd w:id="265"/>
      <w:bookmarkStart w:id="266" w:name="_Toc184310325"/>
      <w:bookmarkEnd w:id="266"/>
      <w:bookmarkStart w:id="267" w:name="_Toc184313278"/>
      <w:bookmarkEnd w:id="267"/>
      <w:bookmarkStart w:id="268" w:name="_Toc184312112"/>
      <w:bookmarkEnd w:id="268"/>
      <w:bookmarkStart w:id="269" w:name="_Toc184313276"/>
      <w:bookmarkEnd w:id="269"/>
      <w:bookmarkStart w:id="270" w:name="_Toc184308086"/>
      <w:bookmarkEnd w:id="270"/>
      <w:bookmarkStart w:id="271" w:name="_Toc184308042"/>
      <w:bookmarkEnd w:id="271"/>
      <w:bookmarkStart w:id="272" w:name="_Toc184310314"/>
      <w:bookmarkEnd w:id="272"/>
      <w:bookmarkStart w:id="273" w:name="_Toc184314475"/>
      <w:bookmarkEnd w:id="273"/>
      <w:bookmarkStart w:id="274" w:name="_Toc184310284"/>
      <w:bookmarkEnd w:id="274"/>
      <w:bookmarkStart w:id="275" w:name="_Toc184310308"/>
      <w:bookmarkEnd w:id="275"/>
      <w:bookmarkStart w:id="276" w:name="_Toc184308084"/>
      <w:bookmarkEnd w:id="276"/>
      <w:bookmarkStart w:id="277" w:name="_Toc184308052"/>
      <w:bookmarkEnd w:id="277"/>
      <w:bookmarkStart w:id="278" w:name="_Toc184312082"/>
      <w:bookmarkEnd w:id="278"/>
      <w:bookmarkStart w:id="279" w:name="_Toc184310337"/>
      <w:bookmarkEnd w:id="279"/>
      <w:bookmarkStart w:id="280" w:name="_Toc184314411"/>
      <w:bookmarkEnd w:id="280"/>
      <w:bookmarkStart w:id="281" w:name="_Toc184312126"/>
      <w:bookmarkEnd w:id="281"/>
      <w:bookmarkStart w:id="282" w:name="_Toc184314450"/>
      <w:bookmarkEnd w:id="282"/>
      <w:bookmarkStart w:id="283" w:name="_Toc184313251"/>
      <w:bookmarkEnd w:id="283"/>
      <w:bookmarkStart w:id="284" w:name="_Toc184314422"/>
      <w:bookmarkEnd w:id="284"/>
      <w:bookmarkStart w:id="285" w:name="_Toc184313265"/>
      <w:bookmarkEnd w:id="285"/>
      <w:bookmarkStart w:id="286" w:name="_Toc184313269"/>
      <w:bookmarkEnd w:id="286"/>
      <w:bookmarkStart w:id="287" w:name="_Toc184312072"/>
      <w:bookmarkEnd w:id="287"/>
      <w:bookmarkStart w:id="288" w:name="_Toc184314473"/>
      <w:bookmarkEnd w:id="288"/>
      <w:bookmarkStart w:id="289" w:name="_Toc184310282"/>
      <w:bookmarkEnd w:id="289"/>
      <w:bookmarkStart w:id="290" w:name="_Toc184312083"/>
      <w:bookmarkEnd w:id="290"/>
      <w:bookmarkStart w:id="291" w:name="_Toc184312099"/>
      <w:bookmarkEnd w:id="291"/>
      <w:bookmarkStart w:id="292" w:name="_Toc184314470"/>
      <w:bookmarkEnd w:id="292"/>
      <w:bookmarkStart w:id="293" w:name="_Toc184310331"/>
      <w:bookmarkEnd w:id="293"/>
      <w:bookmarkStart w:id="294" w:name="_Toc184308092"/>
      <w:bookmarkEnd w:id="294"/>
      <w:bookmarkStart w:id="295" w:name="_Toc184310274"/>
      <w:bookmarkEnd w:id="295"/>
      <w:bookmarkStart w:id="296" w:name="_Toc184314463"/>
      <w:bookmarkEnd w:id="296"/>
      <w:bookmarkStart w:id="297" w:name="_Toc184308068"/>
      <w:bookmarkEnd w:id="297"/>
      <w:bookmarkStart w:id="298" w:name="_Toc184310294"/>
      <w:bookmarkEnd w:id="298"/>
      <w:bookmarkStart w:id="299" w:name="_Toc184308040"/>
      <w:bookmarkEnd w:id="299"/>
      <w:bookmarkStart w:id="300" w:name="_Toc184314431"/>
      <w:bookmarkEnd w:id="300"/>
      <w:bookmarkStart w:id="301" w:name="_Toc184310276"/>
      <w:bookmarkEnd w:id="301"/>
      <w:bookmarkStart w:id="302" w:name="_Toc184312125"/>
      <w:bookmarkEnd w:id="302"/>
      <w:bookmarkStart w:id="303" w:name="_Toc184314437"/>
      <w:bookmarkEnd w:id="303"/>
      <w:bookmarkStart w:id="304" w:name="_Toc184308074"/>
      <w:bookmarkEnd w:id="304"/>
      <w:bookmarkStart w:id="305" w:name="_Toc184313260"/>
      <w:bookmarkEnd w:id="305"/>
      <w:bookmarkStart w:id="306" w:name="_Toc184308082"/>
      <w:bookmarkEnd w:id="306"/>
      <w:bookmarkStart w:id="307" w:name="_Toc184310310"/>
      <w:bookmarkEnd w:id="307"/>
      <w:bookmarkStart w:id="308" w:name="_Toc184308107"/>
      <w:bookmarkEnd w:id="308"/>
      <w:bookmarkStart w:id="309" w:name="_Toc184314424"/>
      <w:bookmarkEnd w:id="309"/>
      <w:bookmarkStart w:id="310" w:name="_Toc184312107"/>
      <w:bookmarkEnd w:id="310"/>
      <w:bookmarkStart w:id="311" w:name="_Toc184308041"/>
      <w:bookmarkEnd w:id="311"/>
      <w:bookmarkStart w:id="312" w:name="_Toc184314464"/>
      <w:bookmarkEnd w:id="312"/>
      <w:bookmarkStart w:id="313" w:name="_Toc184312075"/>
      <w:bookmarkEnd w:id="313"/>
      <w:bookmarkStart w:id="314" w:name="_Toc184314444"/>
      <w:bookmarkEnd w:id="314"/>
      <w:bookmarkStart w:id="315" w:name="_Toc184314430"/>
      <w:bookmarkEnd w:id="315"/>
      <w:bookmarkStart w:id="316" w:name="_Toc184313288"/>
      <w:bookmarkEnd w:id="316"/>
      <w:bookmarkStart w:id="317" w:name="_Toc184312129"/>
      <w:bookmarkEnd w:id="317"/>
      <w:bookmarkStart w:id="318" w:name="_Toc184313252"/>
      <w:bookmarkEnd w:id="318"/>
      <w:bookmarkStart w:id="319" w:name="_Toc184312079"/>
      <w:bookmarkEnd w:id="319"/>
      <w:bookmarkStart w:id="320" w:name="_Toc184310305"/>
      <w:bookmarkEnd w:id="320"/>
      <w:bookmarkStart w:id="321" w:name="_Toc184314434"/>
      <w:bookmarkEnd w:id="321"/>
      <w:bookmarkStart w:id="322" w:name="_Toc184312109"/>
      <w:bookmarkEnd w:id="322"/>
      <w:bookmarkStart w:id="323" w:name="_Toc184312097"/>
      <w:bookmarkEnd w:id="323"/>
      <w:bookmarkStart w:id="324" w:name="_Toc184308055"/>
      <w:bookmarkEnd w:id="324"/>
      <w:bookmarkStart w:id="325" w:name="_Toc184312094"/>
      <w:bookmarkEnd w:id="325"/>
      <w:bookmarkStart w:id="326" w:name="_Toc184310318"/>
      <w:bookmarkEnd w:id="326"/>
      <w:bookmarkStart w:id="327" w:name="_Toc184310330"/>
      <w:bookmarkEnd w:id="327"/>
      <w:bookmarkStart w:id="328" w:name="_Toc184313286"/>
      <w:bookmarkEnd w:id="328"/>
      <w:bookmarkStart w:id="329" w:name="_Toc184310306"/>
      <w:bookmarkEnd w:id="329"/>
      <w:bookmarkStart w:id="330" w:name="_Toc184308066"/>
      <w:bookmarkEnd w:id="330"/>
      <w:bookmarkStart w:id="331" w:name="_Toc184308105"/>
      <w:bookmarkEnd w:id="331"/>
      <w:bookmarkStart w:id="332" w:name="_Toc184308043"/>
      <w:bookmarkEnd w:id="332"/>
      <w:bookmarkStart w:id="333" w:name="_Toc184313240"/>
      <w:bookmarkEnd w:id="333"/>
      <w:bookmarkStart w:id="334" w:name="_Toc184312130"/>
      <w:bookmarkEnd w:id="334"/>
      <w:bookmarkStart w:id="335" w:name="_Toc184308090"/>
      <w:bookmarkEnd w:id="335"/>
      <w:bookmarkStart w:id="336" w:name="_Toc184314455"/>
      <w:bookmarkEnd w:id="336"/>
      <w:bookmarkStart w:id="337" w:name="_Toc184308048"/>
      <w:bookmarkEnd w:id="337"/>
      <w:bookmarkStart w:id="338" w:name="_Toc184308077"/>
      <w:bookmarkEnd w:id="338"/>
      <w:bookmarkStart w:id="339" w:name="_Toc184310316"/>
      <w:bookmarkEnd w:id="339"/>
      <w:bookmarkStart w:id="340" w:name="_Toc184313262"/>
      <w:bookmarkEnd w:id="340"/>
      <w:bookmarkStart w:id="341" w:name="_Toc184313256"/>
      <w:bookmarkEnd w:id="341"/>
      <w:bookmarkStart w:id="342" w:name="_Toc184313271"/>
      <w:bookmarkEnd w:id="342"/>
      <w:bookmarkStart w:id="343" w:name="_Toc184312101"/>
      <w:bookmarkEnd w:id="343"/>
      <w:bookmarkStart w:id="344" w:name="_Toc184313284"/>
      <w:bookmarkEnd w:id="344"/>
      <w:bookmarkStart w:id="345" w:name="_Toc184310327"/>
      <w:bookmarkEnd w:id="345"/>
      <w:bookmarkStart w:id="346" w:name="_Toc184312068"/>
      <w:bookmarkEnd w:id="346"/>
      <w:bookmarkStart w:id="347" w:name="_Toc184312110"/>
      <w:bookmarkEnd w:id="347"/>
      <w:bookmarkStart w:id="348" w:name="_Toc184312087"/>
      <w:bookmarkEnd w:id="348"/>
      <w:bookmarkStart w:id="349" w:name="_Toc184308073"/>
      <w:bookmarkEnd w:id="349"/>
      <w:bookmarkStart w:id="350" w:name="_Toc184314456"/>
      <w:bookmarkEnd w:id="350"/>
      <w:bookmarkStart w:id="351" w:name="_Toc184313295"/>
      <w:bookmarkEnd w:id="351"/>
      <w:bookmarkStart w:id="352" w:name="_Toc184312128"/>
      <w:bookmarkEnd w:id="352"/>
      <w:bookmarkStart w:id="353" w:name="_Toc184314477"/>
      <w:bookmarkEnd w:id="353"/>
      <w:bookmarkStart w:id="354" w:name="_Toc184312070"/>
      <w:bookmarkEnd w:id="354"/>
      <w:bookmarkStart w:id="355" w:name="_Toc184312121"/>
      <w:bookmarkEnd w:id="355"/>
      <w:bookmarkStart w:id="356" w:name="_Toc184310336"/>
      <w:bookmarkEnd w:id="356"/>
      <w:bookmarkStart w:id="357" w:name="_Toc184310307"/>
      <w:bookmarkEnd w:id="357"/>
      <w:bookmarkStart w:id="358" w:name="_Toc184310292"/>
      <w:bookmarkEnd w:id="358"/>
      <w:bookmarkStart w:id="359" w:name="_Toc184314414"/>
      <w:bookmarkEnd w:id="359"/>
      <w:bookmarkStart w:id="360" w:name="_Toc184313289"/>
      <w:bookmarkEnd w:id="360"/>
      <w:bookmarkStart w:id="361" w:name="_Toc184314445"/>
      <w:bookmarkEnd w:id="361"/>
      <w:bookmarkStart w:id="362" w:name="_Toc184314461"/>
      <w:bookmarkEnd w:id="362"/>
      <w:bookmarkStart w:id="363" w:name="_Toc184310297"/>
      <w:bookmarkEnd w:id="363"/>
      <w:bookmarkStart w:id="364" w:name="_Toc184310333"/>
      <w:bookmarkEnd w:id="364"/>
      <w:bookmarkStart w:id="365" w:name="_Toc184314441"/>
      <w:bookmarkEnd w:id="365"/>
      <w:bookmarkStart w:id="366" w:name="_Toc184314417"/>
      <w:bookmarkEnd w:id="366"/>
      <w:bookmarkStart w:id="367" w:name="_Toc184313258"/>
      <w:bookmarkEnd w:id="367"/>
      <w:bookmarkStart w:id="368" w:name="_Toc184313275"/>
      <w:bookmarkEnd w:id="368"/>
      <w:bookmarkStart w:id="369" w:name="_Toc184310285"/>
      <w:bookmarkEnd w:id="369"/>
      <w:bookmarkStart w:id="370" w:name="_Toc184312069"/>
      <w:bookmarkEnd w:id="370"/>
      <w:bookmarkStart w:id="371" w:name="_Toc184310300"/>
      <w:bookmarkEnd w:id="371"/>
      <w:bookmarkStart w:id="372" w:name="_Toc184314482"/>
      <w:bookmarkEnd w:id="372"/>
      <w:bookmarkStart w:id="373" w:name="_Toc184308072"/>
      <w:bookmarkEnd w:id="373"/>
      <w:bookmarkStart w:id="374" w:name="_Toc184313306"/>
      <w:bookmarkEnd w:id="374"/>
      <w:bookmarkStart w:id="375" w:name="_Toc184313244"/>
      <w:bookmarkEnd w:id="375"/>
      <w:bookmarkStart w:id="376" w:name="_Toc184310341"/>
      <w:bookmarkEnd w:id="376"/>
      <w:bookmarkStart w:id="377" w:name="_Toc184312124"/>
      <w:bookmarkEnd w:id="377"/>
      <w:bookmarkStart w:id="378" w:name="_Toc184312092"/>
      <w:bookmarkEnd w:id="378"/>
      <w:bookmarkStart w:id="379" w:name="_Toc184312116"/>
      <w:bookmarkEnd w:id="379"/>
      <w:bookmarkStart w:id="380" w:name="_Toc184314428"/>
      <w:bookmarkEnd w:id="380"/>
      <w:bookmarkStart w:id="381" w:name="_Toc184308095"/>
      <w:bookmarkEnd w:id="381"/>
      <w:bookmarkStart w:id="382" w:name="_Toc184313296"/>
      <w:bookmarkEnd w:id="382"/>
      <w:bookmarkStart w:id="383" w:name="_Toc184310338"/>
      <w:bookmarkEnd w:id="383"/>
      <w:r>
        <w:rPr>
          <w:rFonts w:hint="eastAsia" w:ascii="宋体" w:hAnsi="宋体" w:eastAsia="宋体" w:cs="宋体"/>
          <w:b/>
          <w:color w:val="auto"/>
          <w:sz w:val="36"/>
          <w:szCs w:val="36"/>
          <w:highlight w:val="none"/>
        </w:rPr>
        <w:t>交易办法</w:t>
      </w:r>
    </w:p>
    <w:p w14:paraId="3980F219">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交易办法前附表</w:t>
      </w:r>
    </w:p>
    <w:p w14:paraId="1045B9AC">
      <w:pPr>
        <w:widowControl/>
        <w:spacing w:line="360" w:lineRule="auto"/>
        <w:rPr>
          <w:rFonts w:hint="eastAsia" w:ascii="宋体" w:hAnsi="宋体" w:eastAsia="宋体" w:cs="宋体"/>
          <w:color w:val="auto"/>
          <w:highlight w:val="none"/>
        </w:rPr>
      </w:pPr>
      <w:r>
        <w:rPr>
          <w:rFonts w:hint="eastAsia" w:ascii="宋体" w:hAnsi="宋体" w:eastAsia="宋体" w:cs="宋体"/>
          <w:b/>
          <w:bCs/>
          <w:color w:val="auto"/>
          <w:sz w:val="24"/>
          <w:highlight w:val="none"/>
        </w:rPr>
        <w:t>1、商务技术部分（</w:t>
      </w:r>
      <w:r>
        <w:rPr>
          <w:rFonts w:hint="eastAsia" w:ascii="宋体" w:hAnsi="宋体" w:eastAsia="宋体" w:cs="宋体"/>
          <w:b/>
          <w:bCs/>
          <w:color w:val="auto"/>
          <w:sz w:val="24"/>
          <w:highlight w:val="none"/>
          <w:lang w:val="en-US" w:eastAsia="zh-CN"/>
        </w:rPr>
        <w:t>85</w:t>
      </w:r>
      <w:r>
        <w:rPr>
          <w:rFonts w:hint="eastAsia" w:ascii="宋体" w:hAnsi="宋体" w:eastAsia="宋体" w:cs="宋体"/>
          <w:b/>
          <w:bCs/>
          <w:color w:val="auto"/>
          <w:sz w:val="24"/>
          <w:highlight w:val="none"/>
        </w:rPr>
        <w:t>分）：</w:t>
      </w:r>
    </w:p>
    <w:tbl>
      <w:tblPr>
        <w:tblStyle w:val="65"/>
        <w:tblW w:w="9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729"/>
        <w:gridCol w:w="6552"/>
        <w:gridCol w:w="772"/>
        <w:gridCol w:w="1147"/>
      </w:tblGrid>
      <w:tr w14:paraId="404FC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2" w:type="dxa"/>
            <w:noWrap w:val="0"/>
            <w:vAlign w:val="center"/>
          </w:tcPr>
          <w:p w14:paraId="09889724">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729" w:type="dxa"/>
            <w:noWrap w:val="0"/>
            <w:vAlign w:val="center"/>
          </w:tcPr>
          <w:p w14:paraId="12367D1A">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序号</w:t>
            </w:r>
          </w:p>
        </w:tc>
        <w:tc>
          <w:tcPr>
            <w:tcW w:w="6552" w:type="dxa"/>
            <w:noWrap w:val="0"/>
            <w:vAlign w:val="center"/>
          </w:tcPr>
          <w:p w14:paraId="776E21B7">
            <w:pPr>
              <w:keepNext w:val="0"/>
              <w:keepLines w:val="0"/>
              <w:pageBreakBefore w:val="0"/>
              <w:widowControl/>
              <w:kinsoku/>
              <w:wordWrap/>
              <w:overflowPunct/>
              <w:topLinePunct w:val="0"/>
              <w:autoSpaceDE/>
              <w:autoSpaceDN/>
              <w:bidi w:val="0"/>
              <w:spacing w:line="360" w:lineRule="exact"/>
              <w:ind w:firstLine="2160" w:firstLineChars="90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分内容和标准</w:t>
            </w:r>
          </w:p>
        </w:tc>
        <w:tc>
          <w:tcPr>
            <w:tcW w:w="772" w:type="dxa"/>
            <w:noWrap w:val="0"/>
            <w:vAlign w:val="center"/>
          </w:tcPr>
          <w:p w14:paraId="163C133B">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分值</w:t>
            </w:r>
          </w:p>
          <w:p w14:paraId="764AD68C">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权重</w:t>
            </w:r>
          </w:p>
        </w:tc>
        <w:tc>
          <w:tcPr>
            <w:tcW w:w="1147" w:type="dxa"/>
            <w:noWrap w:val="0"/>
            <w:vAlign w:val="center"/>
          </w:tcPr>
          <w:p w14:paraId="14D29585">
            <w:pPr>
              <w:keepNext w:val="0"/>
              <w:keepLines w:val="0"/>
              <w:pageBreakBefore w:val="0"/>
              <w:widowControl/>
              <w:kinsoku/>
              <w:wordWrap/>
              <w:overflowPunct/>
              <w:topLinePunct w:val="0"/>
              <w:autoSpaceDE/>
              <w:autoSpaceDN/>
              <w:bidi w:val="0"/>
              <w:spacing w:line="36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主/客观分</w:t>
            </w:r>
          </w:p>
        </w:tc>
      </w:tr>
      <w:tr w14:paraId="7AEF5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52" w:type="dxa"/>
            <w:vMerge w:val="restart"/>
            <w:shd w:val="clear" w:color="auto" w:fill="auto"/>
            <w:noWrap w:val="0"/>
            <w:vAlign w:val="center"/>
          </w:tcPr>
          <w:p w14:paraId="1B947D5D">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商务资信分</w:t>
            </w:r>
          </w:p>
        </w:tc>
        <w:tc>
          <w:tcPr>
            <w:tcW w:w="729" w:type="dxa"/>
            <w:shd w:val="clear" w:color="auto" w:fill="auto"/>
            <w:noWrap w:val="0"/>
            <w:vAlign w:val="center"/>
          </w:tcPr>
          <w:p w14:paraId="7E1F5A50">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6552" w:type="dxa"/>
            <w:shd w:val="clear" w:color="000000" w:fill="FFFFFF"/>
            <w:noWrap w:val="0"/>
            <w:vAlign w:val="center"/>
          </w:tcPr>
          <w:p w14:paraId="3B9B10C6">
            <w:pPr>
              <w:keepNext w:val="0"/>
              <w:keepLines w:val="0"/>
              <w:pageBreakBefore w:val="0"/>
              <w:kinsoku/>
              <w:wordWrap/>
              <w:overflowPunct/>
              <w:topLinePunct w:val="0"/>
              <w:autoSpaceDE/>
              <w:autoSpaceDN/>
              <w:bidi w:val="0"/>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近3年（20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1日</w:t>
            </w:r>
            <w:r>
              <w:rPr>
                <w:rFonts w:hint="eastAsia" w:ascii="宋体" w:hAnsi="宋体" w:eastAsia="宋体" w:cs="宋体"/>
                <w:color w:val="auto"/>
                <w:sz w:val="24"/>
                <w:szCs w:val="24"/>
                <w:highlight w:val="none"/>
                <w:lang w:val="en-US" w:eastAsia="zh-CN"/>
              </w:rPr>
              <w:t>以来</w:t>
            </w:r>
            <w:r>
              <w:rPr>
                <w:rFonts w:hint="eastAsia" w:ascii="宋体" w:hAnsi="宋体" w:eastAsia="宋体" w:cs="宋体"/>
                <w:color w:val="auto"/>
                <w:sz w:val="24"/>
                <w:szCs w:val="24"/>
                <w:highlight w:val="none"/>
              </w:rPr>
              <w:t>，以合同签订时间为准）以来，</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具有同类</w:t>
            </w:r>
            <w:r>
              <w:rPr>
                <w:rFonts w:hint="eastAsia" w:ascii="宋体" w:hAnsi="宋体" w:eastAsia="宋体" w:cs="宋体"/>
                <w:color w:val="auto"/>
                <w:sz w:val="24"/>
                <w:szCs w:val="24"/>
                <w:highlight w:val="none"/>
                <w:lang w:val="en-US" w:eastAsia="zh-CN"/>
              </w:rPr>
              <w:t>社区健身房运营</w:t>
            </w:r>
            <w:r>
              <w:rPr>
                <w:rFonts w:hint="eastAsia" w:ascii="宋体" w:hAnsi="宋体" w:eastAsia="宋体" w:cs="宋体"/>
                <w:color w:val="auto"/>
                <w:sz w:val="24"/>
                <w:szCs w:val="24"/>
                <w:highlight w:val="none"/>
              </w:rPr>
              <w:t>项目业绩的，每提供一个得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（证明材料：提供相关</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rPr>
              <w:t>。）</w:t>
            </w:r>
          </w:p>
        </w:tc>
        <w:tc>
          <w:tcPr>
            <w:tcW w:w="772" w:type="dxa"/>
            <w:shd w:val="clear" w:color="000000" w:fill="FFFFFF"/>
            <w:noWrap w:val="0"/>
            <w:vAlign w:val="center"/>
          </w:tcPr>
          <w:p w14:paraId="3624BAEC">
            <w:pPr>
              <w:keepNext w:val="0"/>
              <w:keepLines w:val="0"/>
              <w:pageBreakBefore w:val="0"/>
              <w:kinsoku/>
              <w:wordWrap/>
              <w:overflowPunct/>
              <w:topLinePunct w:val="0"/>
              <w:autoSpaceDE/>
              <w:autoSpaceDN/>
              <w:bidi w:val="0"/>
              <w:spacing w:line="360" w:lineRule="exact"/>
              <w:jc w:val="center"/>
              <w:rPr>
                <w:rFonts w:hint="default" w:ascii="宋体" w:hAnsi="宋体" w:eastAsia="宋体" w:cs="宋体"/>
                <w:color w:val="auto"/>
                <w:kern w:val="0"/>
                <w:sz w:val="24"/>
                <w:szCs w:val="24"/>
                <w:highlight w:val="none"/>
                <w:lang w:val="en-US"/>
              </w:rPr>
            </w:pPr>
            <w:r>
              <w:rPr>
                <w:rFonts w:hint="eastAsia" w:ascii="宋体" w:hAnsi="宋体" w:eastAsia="宋体" w:cs="宋体"/>
                <w:color w:val="auto"/>
                <w:sz w:val="24"/>
                <w:szCs w:val="24"/>
                <w:highlight w:val="none"/>
                <w:lang w:val="en-US" w:eastAsia="zh-CN"/>
              </w:rPr>
              <w:t>6</w:t>
            </w:r>
            <w:r>
              <w:rPr>
                <w:rFonts w:hint="eastAsia" w:ascii="宋体" w:hAnsi="宋体" w:cs="宋体"/>
                <w:color w:val="auto"/>
                <w:sz w:val="24"/>
                <w:szCs w:val="24"/>
                <w:highlight w:val="none"/>
                <w:lang w:val="en-US" w:eastAsia="zh-CN"/>
              </w:rPr>
              <w:t>分</w:t>
            </w:r>
          </w:p>
        </w:tc>
        <w:tc>
          <w:tcPr>
            <w:tcW w:w="1147" w:type="dxa"/>
            <w:shd w:val="clear" w:color="000000" w:fill="FFFFFF"/>
            <w:noWrap w:val="0"/>
            <w:vAlign w:val="center"/>
          </w:tcPr>
          <w:p w14:paraId="2F082F86">
            <w:pPr>
              <w:keepNext w:val="0"/>
              <w:keepLines w:val="0"/>
              <w:pageBreakBefore w:val="0"/>
              <w:kinsoku/>
              <w:wordWrap/>
              <w:overflowPunct/>
              <w:topLinePunct w:val="0"/>
              <w:autoSpaceDE/>
              <w:autoSpaceDN/>
              <w:bidi w:val="0"/>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r>
      <w:tr w14:paraId="20E81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52" w:type="dxa"/>
            <w:vMerge w:val="continue"/>
            <w:shd w:val="clear" w:color="auto" w:fill="auto"/>
            <w:noWrap w:val="0"/>
            <w:vAlign w:val="center"/>
          </w:tcPr>
          <w:p w14:paraId="261D9517">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auto"/>
                <w:sz w:val="24"/>
                <w:szCs w:val="24"/>
                <w:highlight w:val="none"/>
              </w:rPr>
            </w:pPr>
          </w:p>
        </w:tc>
        <w:tc>
          <w:tcPr>
            <w:tcW w:w="729" w:type="dxa"/>
            <w:shd w:val="clear" w:color="auto" w:fill="auto"/>
            <w:noWrap w:val="0"/>
            <w:vAlign w:val="center"/>
          </w:tcPr>
          <w:p w14:paraId="0959BA2F">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6552" w:type="dxa"/>
            <w:shd w:val="clear" w:color="000000" w:fill="FFFFFF"/>
            <w:noWrap w:val="0"/>
            <w:vAlign w:val="center"/>
          </w:tcPr>
          <w:p w14:paraId="0873976D">
            <w:pPr>
              <w:keepNext w:val="0"/>
              <w:keepLines w:val="0"/>
              <w:pageBreakBefore w:val="0"/>
              <w:numPr>
                <w:ilvl w:val="0"/>
                <w:numId w:val="0"/>
              </w:numPr>
              <w:kinsoku/>
              <w:wordWrap/>
              <w:overflowPunct/>
              <w:topLinePunct w:val="0"/>
              <w:autoSpaceDE/>
              <w:autoSpaceDN/>
              <w:bidi w:val="0"/>
              <w:adjustRightInd w:val="0"/>
              <w:spacing w:line="360" w:lineRule="exact"/>
              <w:ind w:lef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拟派的健身教练</w:t>
            </w:r>
            <w:r>
              <w:rPr>
                <w:rFonts w:hint="eastAsia" w:ascii="宋体" w:hAnsi="宋体" w:eastAsia="宋体" w:cs="宋体"/>
                <w:color w:val="auto"/>
                <w:sz w:val="24"/>
                <w:szCs w:val="24"/>
                <w:highlight w:val="none"/>
                <w:lang w:val="en-US" w:eastAsia="zh-CN"/>
              </w:rPr>
              <w:t>中</w:t>
            </w:r>
            <w:r>
              <w:rPr>
                <w:rFonts w:hint="eastAsia" w:ascii="宋体" w:hAnsi="宋体" w:eastAsia="宋体" w:cs="宋体"/>
                <w:color w:val="auto"/>
                <w:sz w:val="24"/>
                <w:szCs w:val="24"/>
                <w:highlight w:val="none"/>
              </w:rPr>
              <w:t>具有国际认证证书的得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分，获得过健身比赛名次得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最高得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分。（证明材料：提供相关证书扫描件及人员身份证明。）</w:t>
            </w:r>
          </w:p>
        </w:tc>
        <w:tc>
          <w:tcPr>
            <w:tcW w:w="772" w:type="dxa"/>
            <w:shd w:val="clear" w:color="000000" w:fill="FFFFFF"/>
            <w:noWrap w:val="0"/>
            <w:vAlign w:val="center"/>
          </w:tcPr>
          <w:p w14:paraId="01A993AF">
            <w:pPr>
              <w:keepNext w:val="0"/>
              <w:keepLines w:val="0"/>
              <w:pageBreakBefore w:val="0"/>
              <w:kinsoku/>
              <w:wordWrap/>
              <w:overflowPunct/>
              <w:topLinePunct w:val="0"/>
              <w:autoSpaceDE/>
              <w:autoSpaceDN/>
              <w:bidi w:val="0"/>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分</w:t>
            </w:r>
          </w:p>
        </w:tc>
        <w:tc>
          <w:tcPr>
            <w:tcW w:w="1147" w:type="dxa"/>
            <w:shd w:val="clear" w:color="000000" w:fill="FFFFFF"/>
            <w:noWrap w:val="0"/>
            <w:vAlign w:val="center"/>
          </w:tcPr>
          <w:p w14:paraId="320BAC22">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r>
      <w:tr w14:paraId="43E88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52" w:type="dxa"/>
            <w:vMerge w:val="continue"/>
            <w:shd w:val="clear" w:color="auto" w:fill="auto"/>
            <w:noWrap w:val="0"/>
            <w:vAlign w:val="center"/>
          </w:tcPr>
          <w:p w14:paraId="4925BCD7">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auto"/>
                <w:sz w:val="24"/>
                <w:szCs w:val="24"/>
                <w:highlight w:val="none"/>
              </w:rPr>
            </w:pPr>
          </w:p>
        </w:tc>
        <w:tc>
          <w:tcPr>
            <w:tcW w:w="729" w:type="dxa"/>
            <w:shd w:val="clear" w:color="auto" w:fill="auto"/>
            <w:noWrap w:val="0"/>
            <w:vAlign w:val="center"/>
          </w:tcPr>
          <w:p w14:paraId="0860E63A">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6552" w:type="dxa"/>
            <w:shd w:val="clear" w:color="000000" w:fill="FFFFFF"/>
            <w:noWrap w:val="0"/>
            <w:vAlign w:val="center"/>
          </w:tcPr>
          <w:p w14:paraId="4A4CA9D2">
            <w:pPr>
              <w:keepNext w:val="0"/>
              <w:keepLines w:val="0"/>
              <w:pageBreakBefore w:val="0"/>
              <w:numPr>
                <w:ilvl w:val="0"/>
                <w:numId w:val="0"/>
              </w:numPr>
              <w:kinsoku/>
              <w:wordWrap/>
              <w:overflowPunct/>
              <w:topLinePunct w:val="0"/>
              <w:autoSpaceDE/>
              <w:autoSpaceDN/>
              <w:bidi w:val="0"/>
              <w:adjustRightInd w:val="0"/>
              <w:spacing w:line="360" w:lineRule="exact"/>
              <w:ind w:lef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拟派的健身教练</w:t>
            </w:r>
            <w:r>
              <w:rPr>
                <w:rFonts w:hint="eastAsia" w:ascii="宋体" w:hAnsi="宋体" w:eastAsia="宋体" w:cs="宋体"/>
                <w:color w:val="auto"/>
                <w:sz w:val="24"/>
                <w:szCs w:val="24"/>
                <w:highlight w:val="none"/>
                <w:lang w:val="en-US" w:eastAsia="zh-CN"/>
              </w:rPr>
              <w:t>中</w:t>
            </w:r>
            <w:r>
              <w:rPr>
                <w:rFonts w:hint="eastAsia" w:ascii="宋体" w:hAnsi="宋体" w:eastAsia="宋体" w:cs="宋体"/>
                <w:color w:val="auto"/>
                <w:sz w:val="24"/>
                <w:szCs w:val="24"/>
                <w:highlight w:val="none"/>
              </w:rPr>
              <w:t>具有国际红十字救护员证的</w:t>
            </w:r>
            <w:r>
              <w:rPr>
                <w:rFonts w:hint="eastAsia" w:ascii="宋体" w:hAnsi="宋体" w:eastAsia="宋体" w:cs="宋体"/>
                <w:color w:val="auto"/>
                <w:sz w:val="24"/>
                <w:szCs w:val="24"/>
                <w:highlight w:val="none"/>
                <w:lang w:val="en-US" w:eastAsia="zh-CN"/>
              </w:rPr>
              <w:t>得2分。</w:t>
            </w:r>
            <w:r>
              <w:rPr>
                <w:rFonts w:hint="eastAsia" w:ascii="宋体" w:hAnsi="宋体" w:eastAsia="宋体" w:cs="宋体"/>
                <w:color w:val="auto"/>
                <w:sz w:val="24"/>
                <w:szCs w:val="24"/>
                <w:highlight w:val="none"/>
              </w:rPr>
              <w:t>（证明材料：提供相关证书扫描件及人员身份证明。）</w:t>
            </w:r>
          </w:p>
        </w:tc>
        <w:tc>
          <w:tcPr>
            <w:tcW w:w="772" w:type="dxa"/>
            <w:shd w:val="clear" w:color="000000" w:fill="FFFFFF"/>
            <w:noWrap w:val="0"/>
            <w:vAlign w:val="center"/>
          </w:tcPr>
          <w:p w14:paraId="46E620D3">
            <w:pPr>
              <w:keepNext w:val="0"/>
              <w:keepLines w:val="0"/>
              <w:pageBreakBefore w:val="0"/>
              <w:kinsoku/>
              <w:wordWrap/>
              <w:overflowPunct/>
              <w:topLinePunct w:val="0"/>
              <w:autoSpaceDE/>
              <w:autoSpaceDN/>
              <w:bidi w:val="0"/>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分</w:t>
            </w:r>
          </w:p>
        </w:tc>
        <w:tc>
          <w:tcPr>
            <w:tcW w:w="1147" w:type="dxa"/>
            <w:shd w:val="clear" w:color="000000" w:fill="FFFFFF"/>
            <w:noWrap w:val="0"/>
            <w:vAlign w:val="center"/>
          </w:tcPr>
          <w:p w14:paraId="61B12409">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r>
      <w:tr w14:paraId="610FB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2" w:type="dxa"/>
            <w:vMerge w:val="restart"/>
            <w:shd w:val="clear" w:color="auto" w:fill="auto"/>
            <w:noWrap w:val="0"/>
            <w:vAlign w:val="center"/>
          </w:tcPr>
          <w:p w14:paraId="4B8A74CF">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技术分</w:t>
            </w:r>
          </w:p>
        </w:tc>
        <w:tc>
          <w:tcPr>
            <w:tcW w:w="729" w:type="dxa"/>
            <w:shd w:val="clear" w:color="auto" w:fill="auto"/>
            <w:noWrap w:val="0"/>
            <w:vAlign w:val="center"/>
          </w:tcPr>
          <w:p w14:paraId="7A1B91F3">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6552" w:type="dxa"/>
            <w:shd w:val="clear" w:color="000000" w:fill="FFFFFF"/>
            <w:noWrap w:val="0"/>
            <w:vAlign w:val="center"/>
          </w:tcPr>
          <w:p w14:paraId="5688AC8E">
            <w:pPr>
              <w:pStyle w:val="51"/>
              <w:keepNext w:val="0"/>
              <w:keepLines w:val="0"/>
              <w:pageBreakBefore w:val="0"/>
              <w:numPr>
                <w:ilvl w:val="0"/>
                <w:numId w:val="0"/>
              </w:numPr>
              <w:kinsoku/>
              <w:wordWrap/>
              <w:overflowPunct/>
              <w:topLinePunct w:val="0"/>
              <w:autoSpaceDE/>
              <w:autoSpaceDN/>
              <w:bidi w:val="0"/>
              <w:spacing w:line="360" w:lineRule="exact"/>
              <w:ind w:leftChars="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响应人对本项目的运营方案。</w:t>
            </w:r>
          </w:p>
          <w:p w14:paraId="77684501">
            <w:pPr>
              <w:keepNext w:val="0"/>
              <w:keepLines w:val="0"/>
              <w:pageBreakBefore w:val="0"/>
              <w:widowControl/>
              <w:kinsoku/>
              <w:wordWrap/>
              <w:overflowPunct/>
              <w:topLinePunct w:val="0"/>
              <w:autoSpaceDE/>
              <w:autoSpaceDN/>
              <w:bidi w:val="0"/>
              <w:spacing w:line="360" w:lineRule="exact"/>
              <w:jc w:val="left"/>
              <w:textAlignment w:val="center"/>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zh-CN" w:eastAsia="zh-CN"/>
              </w:rPr>
              <w:t>方案可行条理清晰、内容丰富、安排合理</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lang w:val="zh-CN" w:eastAsia="zh-CN"/>
              </w:rPr>
              <w:t>-</w:t>
            </w: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lang w:val="zh-CN" w:eastAsia="zh-CN"/>
              </w:rPr>
              <w:t>分，基本满足方案可行条理清晰、内容丰富、安排合理</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val="zh-CN" w:eastAsia="zh-CN"/>
              </w:rPr>
              <w:t>-</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lang w:val="zh-CN" w:eastAsia="zh-CN"/>
              </w:rPr>
              <w:t>分，不符合方案可行条理清晰、内容丰富、安排合理的</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zh-CN"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val="zh-CN" w:eastAsia="zh-CN"/>
              </w:rPr>
              <w:t>分，</w:t>
            </w:r>
            <w:r>
              <w:rPr>
                <w:rFonts w:hint="eastAsia" w:asciiTheme="minorEastAsia" w:hAnsiTheme="minorEastAsia" w:eastAsiaTheme="minorEastAsia" w:cstheme="minorEastAsia"/>
                <w:color w:val="auto"/>
                <w:sz w:val="24"/>
                <w:szCs w:val="24"/>
                <w:highlight w:val="none"/>
                <w:lang w:val="en-US" w:eastAsia="zh-CN"/>
              </w:rPr>
              <w:t>不提供不得分。</w:t>
            </w:r>
          </w:p>
        </w:tc>
        <w:tc>
          <w:tcPr>
            <w:tcW w:w="772" w:type="dxa"/>
            <w:noWrap w:val="0"/>
            <w:vAlign w:val="center"/>
          </w:tcPr>
          <w:p w14:paraId="420080F2">
            <w:pPr>
              <w:keepNext w:val="0"/>
              <w:keepLines w:val="0"/>
              <w:pageBreakBefore w:val="0"/>
              <w:kinsoku/>
              <w:wordWrap/>
              <w:overflowPunct/>
              <w:topLinePunct w:val="0"/>
              <w:autoSpaceDE/>
              <w:autoSpaceDN/>
              <w:bidi w:val="0"/>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9分</w:t>
            </w:r>
          </w:p>
        </w:tc>
        <w:tc>
          <w:tcPr>
            <w:tcW w:w="1147" w:type="dxa"/>
            <w:noWrap w:val="0"/>
            <w:vAlign w:val="center"/>
          </w:tcPr>
          <w:p w14:paraId="0445D016">
            <w:pPr>
              <w:keepNext w:val="0"/>
              <w:keepLines w:val="0"/>
              <w:pageBreakBefore w:val="0"/>
              <w:kinsoku/>
              <w:wordWrap/>
              <w:overflowPunct/>
              <w:topLinePunct w:val="0"/>
              <w:autoSpaceDE/>
              <w:autoSpaceDN/>
              <w:bidi w:val="0"/>
              <w:spacing w:line="36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14:paraId="443FD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752" w:type="dxa"/>
            <w:vMerge w:val="continue"/>
            <w:shd w:val="clear" w:color="auto" w:fill="auto"/>
            <w:noWrap w:val="0"/>
            <w:vAlign w:val="center"/>
          </w:tcPr>
          <w:p w14:paraId="2B7261F5">
            <w:pPr>
              <w:pStyle w:val="26"/>
              <w:keepNext w:val="0"/>
              <w:keepLines w:val="0"/>
              <w:pageBreakBefore w:val="0"/>
              <w:kinsoku/>
              <w:wordWrap/>
              <w:overflowPunct/>
              <w:topLinePunct w:val="0"/>
              <w:autoSpaceDE/>
              <w:autoSpaceDN/>
              <w:bidi w:val="0"/>
              <w:snapToGrid w:val="0"/>
              <w:spacing w:line="360" w:lineRule="exact"/>
              <w:ind w:left="0" w:leftChars="0"/>
              <w:jc w:val="center"/>
              <w:rPr>
                <w:rFonts w:hint="eastAsia" w:ascii="宋体" w:hAnsi="宋体" w:eastAsia="宋体" w:cs="宋体"/>
                <w:color w:val="auto"/>
                <w:sz w:val="24"/>
                <w:szCs w:val="24"/>
                <w:highlight w:val="none"/>
              </w:rPr>
            </w:pPr>
          </w:p>
        </w:tc>
        <w:tc>
          <w:tcPr>
            <w:tcW w:w="729" w:type="dxa"/>
            <w:shd w:val="clear" w:color="auto" w:fill="auto"/>
            <w:noWrap w:val="0"/>
            <w:vAlign w:val="center"/>
          </w:tcPr>
          <w:p w14:paraId="3F6625BB">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6552" w:type="dxa"/>
            <w:shd w:val="clear" w:color="000000" w:fill="FFFFFF"/>
            <w:noWrap w:val="0"/>
            <w:vAlign w:val="center"/>
          </w:tcPr>
          <w:p w14:paraId="7E7CBEE0">
            <w:pPr>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exact"/>
              <w:jc w:val="left"/>
              <w:textAlignment w:val="baseline"/>
              <w:rPr>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响应人</w:t>
            </w:r>
            <w:r>
              <w:rPr>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rPr>
              <w:t>提供人员技能及服务</w:t>
            </w:r>
            <w:r>
              <w:rPr>
                <w:rFonts w:hint="eastAsia" w:asciiTheme="minorEastAsia" w:hAnsiTheme="minorEastAsia" w:eastAsiaTheme="minorEastAsia" w:cstheme="minorEastAsia"/>
                <w:b w:val="0"/>
                <w:i w:val="0"/>
                <w:caps w:val="0"/>
                <w:color w:val="auto"/>
                <w:spacing w:val="0"/>
                <w:w w:val="100"/>
                <w:kern w:val="0"/>
                <w:sz w:val="24"/>
                <w:szCs w:val="24"/>
                <w:highlight w:val="none"/>
              </w:rPr>
              <w:t>培训</w:t>
            </w:r>
            <w:r>
              <w:rPr>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rPr>
              <w:t>方案。</w:t>
            </w:r>
          </w:p>
          <w:p w14:paraId="612C9989">
            <w:pPr>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exact"/>
              <w:jc w:val="left"/>
              <w:textAlignment w:val="baseline"/>
              <w:rPr>
                <w:rFonts w:hint="eastAsia" w:asciiTheme="minorEastAsia" w:hAnsiTheme="minorEastAsia" w:eastAsiaTheme="minorEastAsia" w:cstheme="minorEastAsia"/>
                <w:color w:val="auto"/>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eastAsia="zh-CN" w:bidi="ar-SA"/>
              </w:rPr>
              <w:t>对标项目需求或服务完成度对方案评价，完成度高，全面详细、科学完整，针对性强的，得6-8分，基本完整、可行的，能较好完成服务的，得3-6分，方案存在一定欠缺的，得1-3分，未提供方案的不得分。</w:t>
            </w:r>
          </w:p>
        </w:tc>
        <w:tc>
          <w:tcPr>
            <w:tcW w:w="772" w:type="dxa"/>
            <w:noWrap w:val="0"/>
            <w:vAlign w:val="center"/>
          </w:tcPr>
          <w:p w14:paraId="0DC2D232">
            <w:pPr>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8分</w:t>
            </w:r>
          </w:p>
        </w:tc>
        <w:tc>
          <w:tcPr>
            <w:tcW w:w="1147" w:type="dxa"/>
            <w:noWrap w:val="0"/>
            <w:vAlign w:val="center"/>
          </w:tcPr>
          <w:p w14:paraId="5DAB6229">
            <w:pPr>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exact"/>
              <w:jc w:val="center"/>
              <w:textAlignment w:val="baseline"/>
              <w:rPr>
                <w:rFonts w:hint="eastAsia" w:ascii="宋体" w:hAnsi="宋体" w:eastAsia="宋体" w:cs="宋体"/>
                <w:b w:val="0"/>
                <w:i w:val="0"/>
                <w:caps w:val="0"/>
                <w:color w:val="auto"/>
                <w:spacing w:val="0"/>
                <w:w w:val="100"/>
                <w:kern w:val="0"/>
                <w:sz w:val="24"/>
                <w:szCs w:val="24"/>
                <w:highlight w:val="none"/>
                <w:lang w:val="en-US" w:eastAsia="zh-CN"/>
              </w:rPr>
            </w:pPr>
            <w:r>
              <w:rPr>
                <w:rFonts w:hint="eastAsia" w:ascii="宋体" w:hAnsi="宋体" w:cs="宋体"/>
                <w:color w:val="auto"/>
                <w:sz w:val="24"/>
                <w:szCs w:val="24"/>
                <w:highlight w:val="none"/>
                <w:lang w:val="en-US" w:eastAsia="zh-CN"/>
              </w:rPr>
              <w:t>主观分</w:t>
            </w:r>
          </w:p>
        </w:tc>
      </w:tr>
      <w:tr w14:paraId="17EE2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752" w:type="dxa"/>
            <w:vMerge w:val="continue"/>
            <w:shd w:val="clear" w:color="auto" w:fill="auto"/>
            <w:noWrap w:val="0"/>
            <w:vAlign w:val="center"/>
          </w:tcPr>
          <w:p w14:paraId="69ECD774">
            <w:pPr>
              <w:pStyle w:val="26"/>
              <w:keepNext w:val="0"/>
              <w:keepLines w:val="0"/>
              <w:pageBreakBefore w:val="0"/>
              <w:kinsoku/>
              <w:wordWrap/>
              <w:overflowPunct/>
              <w:topLinePunct w:val="0"/>
              <w:autoSpaceDE/>
              <w:autoSpaceDN/>
              <w:bidi w:val="0"/>
              <w:snapToGrid w:val="0"/>
              <w:spacing w:line="360" w:lineRule="exact"/>
              <w:ind w:left="0" w:leftChars="0"/>
              <w:jc w:val="center"/>
              <w:rPr>
                <w:rFonts w:hint="eastAsia" w:ascii="宋体" w:hAnsi="宋体" w:eastAsia="宋体" w:cs="宋体"/>
                <w:color w:val="auto"/>
                <w:sz w:val="24"/>
                <w:szCs w:val="24"/>
                <w:highlight w:val="none"/>
              </w:rPr>
            </w:pPr>
          </w:p>
        </w:tc>
        <w:tc>
          <w:tcPr>
            <w:tcW w:w="729" w:type="dxa"/>
            <w:shd w:val="clear" w:color="auto" w:fill="auto"/>
            <w:noWrap w:val="0"/>
            <w:vAlign w:val="center"/>
          </w:tcPr>
          <w:p w14:paraId="102EE0CD">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p>
        </w:tc>
        <w:tc>
          <w:tcPr>
            <w:tcW w:w="6552" w:type="dxa"/>
            <w:shd w:val="clear" w:color="000000" w:fill="FFFFFF"/>
            <w:noWrap w:val="0"/>
            <w:vAlign w:val="center"/>
          </w:tcPr>
          <w:p w14:paraId="450138B1">
            <w:pPr>
              <w:pStyle w:val="51"/>
              <w:keepNext w:val="0"/>
              <w:keepLines w:val="0"/>
              <w:pageBreakBefore w:val="0"/>
              <w:numPr>
                <w:ilvl w:val="0"/>
                <w:numId w:val="0"/>
              </w:numPr>
              <w:kinsoku/>
              <w:wordWrap/>
              <w:overflowPunct/>
              <w:topLinePunct w:val="0"/>
              <w:autoSpaceDE/>
              <w:autoSpaceDN/>
              <w:bidi w:val="0"/>
              <w:spacing w:line="360" w:lineRule="exact"/>
              <w:ind w:left="0" w:leftChars="0" w:firstLine="0" w:firstLineChars="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响应人提供本项目的公益服务方案。</w:t>
            </w:r>
          </w:p>
          <w:p w14:paraId="12EF63E5">
            <w:pPr>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exact"/>
              <w:jc w:val="left"/>
              <w:textAlignment w:val="baseline"/>
              <w:rPr>
                <w:rFonts w:hint="eastAsia" w:asciiTheme="minorEastAsia" w:hAnsiTheme="minorEastAsia" w:eastAsiaTheme="minorEastAsia" w:cstheme="minorEastAsia"/>
                <w:color w:val="auto"/>
                <w:sz w:val="24"/>
                <w:szCs w:val="24"/>
                <w:highlight w:val="none"/>
                <w:lang w:val="en-US" w:bidi="ar-SA"/>
              </w:rPr>
            </w:pPr>
            <w:r>
              <w:rPr>
                <w:rFonts w:hint="eastAsia" w:asciiTheme="minorEastAsia" w:hAnsiTheme="minorEastAsia" w:eastAsiaTheme="minorEastAsia" w:cstheme="minorEastAsia"/>
                <w:color w:val="auto"/>
                <w:sz w:val="24"/>
                <w:szCs w:val="24"/>
                <w:highlight w:val="none"/>
                <w:lang w:val="zh-CN" w:eastAsia="zh-CN"/>
              </w:rPr>
              <w:t>方案可行条理清晰、内容丰富、安排合理</w:t>
            </w:r>
            <w:r>
              <w:rPr>
                <w:rFonts w:hint="eastAsia" w:asciiTheme="minorEastAsia" w:hAnsiTheme="minorEastAsia" w:eastAsiaTheme="minorEastAsia" w:cstheme="minorEastAsia"/>
                <w:color w:val="auto"/>
                <w:sz w:val="24"/>
                <w:szCs w:val="24"/>
                <w:highlight w:val="none"/>
                <w:lang w:val="en-US" w:eastAsia="zh-CN"/>
              </w:rPr>
              <w:t>6-8</w:t>
            </w:r>
            <w:r>
              <w:rPr>
                <w:rFonts w:hint="eastAsia" w:asciiTheme="minorEastAsia" w:hAnsiTheme="minorEastAsia" w:eastAsiaTheme="minorEastAsia" w:cstheme="minorEastAsia"/>
                <w:color w:val="auto"/>
                <w:sz w:val="24"/>
                <w:szCs w:val="24"/>
                <w:highlight w:val="none"/>
                <w:lang w:val="zh-CN" w:eastAsia="zh-CN"/>
              </w:rPr>
              <w:t>分，基本满足方案可行条理清晰、内容丰富、安排合理</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val="zh-CN" w:eastAsia="zh-CN"/>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val="zh-CN" w:eastAsia="zh-CN"/>
              </w:rPr>
              <w:t>分，不符合方案可行条理清晰、内容丰富、安排合理的</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zh-CN"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val="zh-CN" w:eastAsia="zh-CN"/>
              </w:rPr>
              <w:t>分，</w:t>
            </w:r>
            <w:r>
              <w:rPr>
                <w:rFonts w:hint="eastAsia" w:asciiTheme="minorEastAsia" w:hAnsiTheme="minorEastAsia" w:eastAsiaTheme="minorEastAsia" w:cstheme="minorEastAsia"/>
                <w:color w:val="auto"/>
                <w:sz w:val="24"/>
                <w:szCs w:val="24"/>
                <w:highlight w:val="none"/>
                <w:lang w:val="en-US" w:eastAsia="zh-CN"/>
              </w:rPr>
              <w:t>不提供不得分。</w:t>
            </w:r>
          </w:p>
        </w:tc>
        <w:tc>
          <w:tcPr>
            <w:tcW w:w="772" w:type="dxa"/>
            <w:noWrap w:val="0"/>
            <w:vAlign w:val="center"/>
          </w:tcPr>
          <w:p w14:paraId="1E11FCEC">
            <w:pPr>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exact"/>
              <w:jc w:val="center"/>
              <w:textAlignment w:val="baseline"/>
              <w:rPr>
                <w:rFonts w:hint="eastAsia"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8分</w:t>
            </w:r>
          </w:p>
        </w:tc>
        <w:tc>
          <w:tcPr>
            <w:tcW w:w="1147" w:type="dxa"/>
            <w:noWrap w:val="0"/>
            <w:vAlign w:val="center"/>
          </w:tcPr>
          <w:p w14:paraId="540C99C8">
            <w:pPr>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exact"/>
              <w:jc w:val="center"/>
              <w:textAlignment w:val="baseline"/>
              <w:rPr>
                <w:rFonts w:hint="eastAsia" w:ascii="宋体" w:hAnsi="宋体" w:eastAsia="宋体" w:cs="宋体"/>
                <w:b w:val="0"/>
                <w:i w:val="0"/>
                <w:caps w:val="0"/>
                <w:color w:val="auto"/>
                <w:spacing w:val="0"/>
                <w:w w:val="100"/>
                <w:kern w:val="0"/>
                <w:sz w:val="24"/>
                <w:szCs w:val="24"/>
                <w:highlight w:val="none"/>
                <w:lang w:val="en-US" w:eastAsia="zh-CN"/>
              </w:rPr>
            </w:pPr>
            <w:r>
              <w:rPr>
                <w:rFonts w:hint="eastAsia" w:ascii="宋体" w:hAnsi="宋体" w:cs="宋体"/>
                <w:color w:val="auto"/>
                <w:sz w:val="24"/>
                <w:szCs w:val="24"/>
                <w:highlight w:val="none"/>
                <w:lang w:val="en-US" w:eastAsia="zh-CN"/>
              </w:rPr>
              <w:t>主观分</w:t>
            </w:r>
          </w:p>
        </w:tc>
      </w:tr>
      <w:tr w14:paraId="34AEA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52" w:type="dxa"/>
            <w:vMerge w:val="continue"/>
            <w:shd w:val="clear" w:color="auto" w:fill="auto"/>
            <w:noWrap w:val="0"/>
            <w:vAlign w:val="center"/>
          </w:tcPr>
          <w:p w14:paraId="358B9992">
            <w:pPr>
              <w:pStyle w:val="26"/>
              <w:keepNext w:val="0"/>
              <w:keepLines w:val="0"/>
              <w:pageBreakBefore w:val="0"/>
              <w:kinsoku/>
              <w:wordWrap/>
              <w:overflowPunct/>
              <w:topLinePunct w:val="0"/>
              <w:autoSpaceDE/>
              <w:autoSpaceDN/>
              <w:bidi w:val="0"/>
              <w:snapToGrid w:val="0"/>
              <w:spacing w:line="360" w:lineRule="exact"/>
              <w:ind w:left="0" w:leftChars="0"/>
              <w:jc w:val="center"/>
              <w:rPr>
                <w:rFonts w:hint="eastAsia" w:ascii="宋体" w:hAnsi="宋体" w:eastAsia="宋体" w:cs="宋体"/>
                <w:color w:val="auto"/>
                <w:sz w:val="24"/>
                <w:szCs w:val="24"/>
                <w:highlight w:val="none"/>
              </w:rPr>
            </w:pPr>
          </w:p>
        </w:tc>
        <w:tc>
          <w:tcPr>
            <w:tcW w:w="729" w:type="dxa"/>
            <w:shd w:val="clear" w:color="auto" w:fill="auto"/>
            <w:noWrap w:val="0"/>
            <w:vAlign w:val="center"/>
          </w:tcPr>
          <w:p w14:paraId="6001FE5C">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w:t>
            </w:r>
          </w:p>
        </w:tc>
        <w:tc>
          <w:tcPr>
            <w:tcW w:w="6552" w:type="dxa"/>
            <w:shd w:val="clear" w:color="000000" w:fill="FFFFFF"/>
            <w:noWrap w:val="0"/>
            <w:vAlign w:val="center"/>
          </w:tcPr>
          <w:p w14:paraId="3ECA6B14">
            <w:pPr>
              <w:pStyle w:val="51"/>
              <w:keepNext w:val="0"/>
              <w:keepLines w:val="0"/>
              <w:pageBreakBefore w:val="0"/>
              <w:numPr>
                <w:ilvl w:val="0"/>
                <w:numId w:val="0"/>
              </w:numPr>
              <w:kinsoku/>
              <w:wordWrap/>
              <w:overflowPunct/>
              <w:topLinePunct w:val="0"/>
              <w:autoSpaceDE/>
              <w:autoSpaceDN/>
              <w:bidi w:val="0"/>
              <w:spacing w:line="360" w:lineRule="exact"/>
              <w:ind w:left="0" w:leftChars="0" w:firstLine="0" w:firstLineChars="0"/>
              <w:rPr>
                <w:rFonts w:hint="eastAsia" w:asciiTheme="minorEastAsia" w:hAnsiTheme="minorEastAsia" w:eastAsiaTheme="minorEastAsia" w:cstheme="minorEastAsia"/>
                <w:b w:val="0"/>
                <w:i w:val="0"/>
                <w:caps w:val="0"/>
                <w:color w:val="auto"/>
                <w:spacing w:val="0"/>
                <w:w w:val="100"/>
                <w:kern w:val="0"/>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响应人提供本项目场馆设施设备维护方案。</w:t>
            </w:r>
          </w:p>
          <w:p w14:paraId="2F590815">
            <w:pPr>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exact"/>
              <w:jc w:val="left"/>
              <w:textAlignment w:val="baseline"/>
              <w:rPr>
                <w:rFonts w:hint="eastAsia" w:asciiTheme="minorEastAsia" w:hAnsiTheme="minorEastAsia" w:eastAsiaTheme="minorEastAsia" w:cstheme="minorEastAsia"/>
                <w:color w:val="auto"/>
                <w:sz w:val="24"/>
                <w:szCs w:val="24"/>
                <w:highlight w:val="none"/>
                <w:lang w:val="en-US" w:bidi="ar-SA"/>
              </w:rPr>
            </w:pPr>
            <w:r>
              <w:rPr>
                <w:rFonts w:hint="eastAsia" w:asciiTheme="minorEastAsia" w:hAnsiTheme="minorEastAsia" w:eastAsiaTheme="minorEastAsia" w:cstheme="minorEastAsia"/>
                <w:color w:val="auto"/>
                <w:sz w:val="24"/>
                <w:szCs w:val="24"/>
                <w:highlight w:val="none"/>
                <w:lang w:val="zh-CN" w:eastAsia="zh-CN"/>
              </w:rPr>
              <w:t>方案可行条理清晰、内容丰富、安排合理</w:t>
            </w:r>
            <w:r>
              <w:rPr>
                <w:rFonts w:hint="eastAsia" w:asciiTheme="minorEastAsia" w:hAnsiTheme="minorEastAsia" w:eastAsiaTheme="minorEastAsia" w:cstheme="minorEastAsia"/>
                <w:color w:val="auto"/>
                <w:sz w:val="24"/>
                <w:szCs w:val="24"/>
                <w:highlight w:val="none"/>
                <w:lang w:val="en-US" w:eastAsia="zh-CN"/>
              </w:rPr>
              <w:t>4-6</w:t>
            </w:r>
            <w:r>
              <w:rPr>
                <w:rFonts w:hint="eastAsia" w:asciiTheme="minorEastAsia" w:hAnsiTheme="minorEastAsia" w:eastAsiaTheme="minorEastAsia" w:cstheme="minorEastAsia"/>
                <w:color w:val="auto"/>
                <w:sz w:val="24"/>
                <w:szCs w:val="24"/>
                <w:highlight w:val="none"/>
                <w:lang w:val="zh-CN" w:eastAsia="zh-CN"/>
              </w:rPr>
              <w:t>分，基本满足方案可行条理清晰、内容丰富、安排合理</w:t>
            </w:r>
            <w:r>
              <w:rPr>
                <w:rFonts w:hint="eastAsia" w:asciiTheme="minorEastAsia" w:hAnsiTheme="minorEastAsia" w:eastAsiaTheme="minorEastAsia" w:cstheme="minorEastAsia"/>
                <w:color w:val="auto"/>
                <w:sz w:val="24"/>
                <w:szCs w:val="24"/>
                <w:highlight w:val="none"/>
                <w:lang w:val="en-US" w:eastAsia="zh-CN"/>
              </w:rPr>
              <w:t>2-4</w:t>
            </w:r>
            <w:r>
              <w:rPr>
                <w:rFonts w:hint="eastAsia" w:asciiTheme="minorEastAsia" w:hAnsiTheme="minorEastAsia" w:eastAsiaTheme="minorEastAsia" w:cstheme="minorEastAsia"/>
                <w:color w:val="auto"/>
                <w:sz w:val="24"/>
                <w:szCs w:val="24"/>
                <w:highlight w:val="none"/>
                <w:lang w:val="zh-CN" w:eastAsia="zh-CN"/>
              </w:rPr>
              <w:t>分，不符合方案可行条理清晰、内容丰富、安排合理的</w:t>
            </w: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lang w:val="zh-CN" w:eastAsia="zh-CN"/>
              </w:rPr>
              <w:t>分</w:t>
            </w:r>
            <w:r>
              <w:rPr>
                <w:rFonts w:hint="eastAsia" w:asciiTheme="minorEastAsia" w:hAnsiTheme="minorEastAsia" w:eastAsiaTheme="minorEastAsia" w:cstheme="minorEastAsia"/>
                <w:color w:val="auto"/>
                <w:kern w:val="2"/>
                <w:sz w:val="24"/>
                <w:szCs w:val="24"/>
                <w:highlight w:val="none"/>
                <w:lang w:val="en-US" w:eastAsia="zh-CN" w:bidi="ar-SA"/>
              </w:rPr>
              <w:t>，未提供方案的不得分。</w:t>
            </w:r>
          </w:p>
        </w:tc>
        <w:tc>
          <w:tcPr>
            <w:tcW w:w="772" w:type="dxa"/>
            <w:noWrap w:val="0"/>
            <w:vAlign w:val="center"/>
          </w:tcPr>
          <w:p w14:paraId="4F2595FB">
            <w:pPr>
              <w:keepNext w:val="0"/>
              <w:keepLines w:val="0"/>
              <w:pageBreakBefore w:val="0"/>
              <w:kinsoku/>
              <w:wordWrap/>
              <w:overflowPunct/>
              <w:topLinePunct w:val="0"/>
              <w:autoSpaceDE/>
              <w:autoSpaceDN/>
              <w:bidi w:val="0"/>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6分</w:t>
            </w:r>
          </w:p>
        </w:tc>
        <w:tc>
          <w:tcPr>
            <w:tcW w:w="1147" w:type="dxa"/>
            <w:noWrap w:val="0"/>
            <w:vAlign w:val="center"/>
          </w:tcPr>
          <w:p w14:paraId="4FA6A748">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14:paraId="5444D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52" w:type="dxa"/>
            <w:vMerge w:val="continue"/>
            <w:shd w:val="clear" w:color="auto" w:fill="auto"/>
            <w:noWrap w:val="0"/>
            <w:vAlign w:val="center"/>
          </w:tcPr>
          <w:p w14:paraId="76C5D346">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 w:val="24"/>
                <w:szCs w:val="24"/>
                <w:highlight w:val="none"/>
              </w:rPr>
            </w:pPr>
          </w:p>
        </w:tc>
        <w:tc>
          <w:tcPr>
            <w:tcW w:w="729" w:type="dxa"/>
            <w:shd w:val="clear" w:color="auto" w:fill="auto"/>
            <w:noWrap w:val="0"/>
            <w:vAlign w:val="center"/>
          </w:tcPr>
          <w:p w14:paraId="7BD9B36D">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p>
        </w:tc>
        <w:tc>
          <w:tcPr>
            <w:tcW w:w="6552" w:type="dxa"/>
            <w:shd w:val="clear" w:color="000000" w:fill="FFFFFF"/>
            <w:noWrap w:val="0"/>
            <w:vAlign w:val="center"/>
          </w:tcPr>
          <w:p w14:paraId="19A2E2D3">
            <w:pPr>
              <w:pStyle w:val="51"/>
              <w:numPr>
                <w:ilvl w:val="0"/>
                <w:numId w:val="0"/>
              </w:numPr>
              <w:spacing w:line="240" w:lineRule="auto"/>
              <w:ind w:left="0" w:leftChars="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响应人提供本项目</w:t>
            </w:r>
            <w:r>
              <w:rPr>
                <w:rFonts w:hint="eastAsia" w:ascii="宋体" w:hAnsi="宋体" w:eastAsia="宋体" w:cs="宋体"/>
                <w:color w:val="auto"/>
                <w:kern w:val="2"/>
                <w:sz w:val="24"/>
                <w:szCs w:val="24"/>
                <w:highlight w:val="none"/>
                <w:lang w:val="en-US" w:eastAsia="zh-CN" w:bidi="ar-SA"/>
              </w:rPr>
              <w:t>社区的体育活动方案</w:t>
            </w:r>
            <w:r>
              <w:rPr>
                <w:rFonts w:hint="eastAsia" w:ascii="宋体" w:hAnsi="宋体" w:cs="宋体"/>
                <w:color w:val="auto"/>
                <w:kern w:val="2"/>
                <w:sz w:val="24"/>
                <w:szCs w:val="24"/>
                <w:highlight w:val="none"/>
                <w:lang w:val="en-US" w:eastAsia="zh-CN" w:bidi="ar-SA"/>
              </w:rPr>
              <w:t>。</w:t>
            </w:r>
          </w:p>
          <w:p w14:paraId="43A7FF6A">
            <w:pPr>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exact"/>
              <w:jc w:val="left"/>
              <w:textAlignment w:val="baseline"/>
              <w:rPr>
                <w:rFonts w:hint="eastAsia" w:asciiTheme="minorEastAsia" w:hAnsiTheme="minorEastAsia" w:eastAsiaTheme="minorEastAsia" w:cstheme="minorEastAsia"/>
                <w:color w:val="auto"/>
                <w:sz w:val="24"/>
                <w:szCs w:val="24"/>
                <w:highlight w:val="none"/>
                <w:lang w:val="en-US" w:bidi="ar-SA"/>
              </w:rPr>
            </w:pPr>
            <w:r>
              <w:rPr>
                <w:rFonts w:hint="eastAsia" w:asciiTheme="minorEastAsia" w:hAnsiTheme="minorEastAsia" w:eastAsiaTheme="minorEastAsia" w:cstheme="minorEastAsia"/>
                <w:color w:val="auto"/>
                <w:sz w:val="24"/>
                <w:szCs w:val="24"/>
                <w:highlight w:val="none"/>
                <w:lang w:val="zh-CN" w:eastAsia="zh-CN"/>
              </w:rPr>
              <w:t>方案可行条理清晰、内容丰富、安排合理</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val="zh-CN" w:eastAsia="zh-CN"/>
              </w:rPr>
              <w:t>-</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lang w:val="zh-CN" w:eastAsia="zh-CN"/>
              </w:rPr>
              <w:t>分，基本满足方案可行条理清晰、内容丰富、安排合理</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val="zh-CN" w:eastAsia="zh-CN"/>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val="zh-CN" w:eastAsia="zh-CN"/>
              </w:rPr>
              <w:t>分，不符合方案可行条理清晰、内容丰富、安排合理的</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zh-CN"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val="zh-CN" w:eastAsia="zh-CN"/>
              </w:rPr>
              <w:t>分，</w:t>
            </w:r>
            <w:r>
              <w:rPr>
                <w:rFonts w:hint="eastAsia" w:asciiTheme="minorEastAsia" w:hAnsiTheme="minorEastAsia" w:eastAsiaTheme="minorEastAsia" w:cstheme="minorEastAsia"/>
                <w:color w:val="auto"/>
                <w:sz w:val="24"/>
                <w:szCs w:val="24"/>
                <w:highlight w:val="none"/>
                <w:lang w:val="en-US" w:eastAsia="zh-CN"/>
              </w:rPr>
              <w:t>不提供不得分。</w:t>
            </w:r>
          </w:p>
        </w:tc>
        <w:tc>
          <w:tcPr>
            <w:tcW w:w="772" w:type="dxa"/>
            <w:noWrap w:val="0"/>
            <w:vAlign w:val="center"/>
          </w:tcPr>
          <w:p w14:paraId="42A5AAB2">
            <w:pPr>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8分</w:t>
            </w:r>
          </w:p>
        </w:tc>
        <w:tc>
          <w:tcPr>
            <w:tcW w:w="1147" w:type="dxa"/>
            <w:noWrap w:val="0"/>
            <w:vAlign w:val="center"/>
          </w:tcPr>
          <w:p w14:paraId="78580B8F">
            <w:pPr>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exact"/>
              <w:jc w:val="center"/>
              <w:textAlignment w:val="baseline"/>
              <w:rPr>
                <w:rFonts w:hint="eastAsia" w:ascii="宋体" w:hAnsi="宋体" w:eastAsia="宋体" w:cs="宋体"/>
                <w:b w:val="0"/>
                <w:i w:val="0"/>
                <w:caps w:val="0"/>
                <w:color w:val="auto"/>
                <w:spacing w:val="0"/>
                <w:w w:val="100"/>
                <w:kern w:val="0"/>
                <w:sz w:val="24"/>
                <w:szCs w:val="24"/>
                <w:highlight w:val="none"/>
                <w:lang w:val="en-US" w:eastAsia="zh-CN"/>
              </w:rPr>
            </w:pPr>
            <w:r>
              <w:rPr>
                <w:rFonts w:hint="eastAsia" w:ascii="宋体" w:hAnsi="宋体" w:cs="宋体"/>
                <w:color w:val="auto"/>
                <w:sz w:val="24"/>
                <w:szCs w:val="24"/>
                <w:highlight w:val="none"/>
                <w:lang w:val="en-US" w:eastAsia="zh-CN"/>
              </w:rPr>
              <w:t>主观分</w:t>
            </w:r>
          </w:p>
        </w:tc>
      </w:tr>
      <w:tr w14:paraId="4DB1E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52" w:type="dxa"/>
            <w:vMerge w:val="continue"/>
            <w:shd w:val="clear" w:color="auto" w:fill="auto"/>
            <w:noWrap w:val="0"/>
            <w:vAlign w:val="center"/>
          </w:tcPr>
          <w:p w14:paraId="6900A3B8">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 w:val="24"/>
                <w:szCs w:val="24"/>
                <w:highlight w:val="none"/>
              </w:rPr>
            </w:pPr>
          </w:p>
        </w:tc>
        <w:tc>
          <w:tcPr>
            <w:tcW w:w="729" w:type="dxa"/>
            <w:shd w:val="clear" w:color="auto" w:fill="auto"/>
            <w:noWrap w:val="0"/>
            <w:vAlign w:val="center"/>
          </w:tcPr>
          <w:p w14:paraId="618A46E5">
            <w:pPr>
              <w:keepNext w:val="0"/>
              <w:keepLines w:val="0"/>
              <w:pageBreakBefore w:val="0"/>
              <w:widowControl/>
              <w:kinsoku/>
              <w:wordWrap/>
              <w:overflowPunct/>
              <w:topLinePunct w:val="0"/>
              <w:autoSpaceDE/>
              <w:autoSpaceDN/>
              <w:bidi w:val="0"/>
              <w:spacing w:line="36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9</w:t>
            </w:r>
          </w:p>
        </w:tc>
        <w:tc>
          <w:tcPr>
            <w:tcW w:w="6552" w:type="dxa"/>
            <w:shd w:val="clear" w:color="000000" w:fill="FFFFFF"/>
            <w:noWrap w:val="0"/>
            <w:vAlign w:val="center"/>
          </w:tcPr>
          <w:p w14:paraId="6D136891">
            <w:pPr>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exact"/>
              <w:jc w:val="left"/>
              <w:textAlignment w:val="baseline"/>
              <w:rPr>
                <w:rFonts w:hint="eastAsia" w:ascii="宋体" w:hAnsi="宋体" w:cs="宋体"/>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响应人提供本项目</w:t>
            </w:r>
            <w:r>
              <w:rPr>
                <w:rFonts w:hint="eastAsia" w:ascii="宋体" w:hAnsi="宋体" w:eastAsia="宋体" w:cs="宋体"/>
                <w:color w:val="auto"/>
                <w:kern w:val="2"/>
                <w:sz w:val="24"/>
                <w:szCs w:val="24"/>
                <w:highlight w:val="none"/>
                <w:lang w:val="en-US" w:eastAsia="zh-CN" w:bidi="ar-SA"/>
              </w:rPr>
              <w:t>场馆开放等日常工作服务方案</w:t>
            </w:r>
            <w:r>
              <w:rPr>
                <w:rFonts w:hint="eastAsia" w:ascii="宋体" w:hAnsi="宋体" w:cs="宋体"/>
                <w:color w:val="auto"/>
                <w:kern w:val="2"/>
                <w:sz w:val="24"/>
                <w:szCs w:val="24"/>
                <w:highlight w:val="none"/>
                <w:lang w:val="en-US" w:eastAsia="zh-CN" w:bidi="ar-SA"/>
              </w:rPr>
              <w:t>。</w:t>
            </w:r>
          </w:p>
          <w:p w14:paraId="1E44BF62">
            <w:pPr>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exact"/>
              <w:jc w:val="left"/>
              <w:textAlignment w:val="baseline"/>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zh-CN" w:eastAsia="zh-CN"/>
              </w:rPr>
              <w:t>方案可行条理清晰、内容丰富、安排合理</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val="zh-CN" w:eastAsia="zh-CN"/>
              </w:rPr>
              <w:t>-</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lang w:val="zh-CN" w:eastAsia="zh-CN"/>
              </w:rPr>
              <w:t>分，基本满足方案可行条理清晰、内容丰富、安排合理</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val="zh-CN" w:eastAsia="zh-CN"/>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val="zh-CN" w:eastAsia="zh-CN"/>
              </w:rPr>
              <w:t>分，不符合方案可行条理清晰、内容丰富、安排合理的</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zh-CN"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val="zh-CN" w:eastAsia="zh-CN"/>
              </w:rPr>
              <w:t>分，</w:t>
            </w:r>
            <w:r>
              <w:rPr>
                <w:rFonts w:hint="eastAsia" w:asciiTheme="minorEastAsia" w:hAnsiTheme="minorEastAsia" w:eastAsiaTheme="minorEastAsia" w:cstheme="minorEastAsia"/>
                <w:color w:val="auto"/>
                <w:sz w:val="24"/>
                <w:szCs w:val="24"/>
                <w:highlight w:val="none"/>
                <w:lang w:val="en-US" w:eastAsia="zh-CN"/>
              </w:rPr>
              <w:t>不提供不得分。</w:t>
            </w:r>
          </w:p>
        </w:tc>
        <w:tc>
          <w:tcPr>
            <w:tcW w:w="772" w:type="dxa"/>
            <w:noWrap w:val="0"/>
            <w:vAlign w:val="center"/>
          </w:tcPr>
          <w:p w14:paraId="260D729E">
            <w:pPr>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exact"/>
              <w:jc w:val="center"/>
              <w:textAlignment w:val="baseline"/>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8分</w:t>
            </w:r>
          </w:p>
        </w:tc>
        <w:tc>
          <w:tcPr>
            <w:tcW w:w="1147" w:type="dxa"/>
            <w:noWrap w:val="0"/>
            <w:vAlign w:val="center"/>
          </w:tcPr>
          <w:p w14:paraId="03A1F1DB">
            <w:pPr>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exact"/>
              <w:jc w:val="center"/>
              <w:textAlignment w:val="baseline"/>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14:paraId="30C28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52" w:type="dxa"/>
            <w:vMerge w:val="continue"/>
            <w:shd w:val="clear" w:color="auto" w:fill="auto"/>
            <w:noWrap w:val="0"/>
            <w:vAlign w:val="center"/>
          </w:tcPr>
          <w:p w14:paraId="1A9FD176">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 w:val="24"/>
                <w:szCs w:val="24"/>
                <w:highlight w:val="none"/>
              </w:rPr>
            </w:pPr>
          </w:p>
        </w:tc>
        <w:tc>
          <w:tcPr>
            <w:tcW w:w="729" w:type="dxa"/>
            <w:shd w:val="clear" w:color="auto" w:fill="auto"/>
            <w:noWrap w:val="0"/>
            <w:vAlign w:val="center"/>
          </w:tcPr>
          <w:p w14:paraId="537C7FE5">
            <w:pPr>
              <w:keepNext w:val="0"/>
              <w:keepLines w:val="0"/>
              <w:pageBreakBefore w:val="0"/>
              <w:widowControl/>
              <w:kinsoku/>
              <w:wordWrap/>
              <w:overflowPunct/>
              <w:topLinePunct w:val="0"/>
              <w:autoSpaceDE/>
              <w:autoSpaceDN/>
              <w:bidi w:val="0"/>
              <w:spacing w:line="36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w:t>
            </w:r>
          </w:p>
        </w:tc>
        <w:tc>
          <w:tcPr>
            <w:tcW w:w="6552" w:type="dxa"/>
            <w:shd w:val="clear" w:color="000000" w:fill="FFFFFF"/>
            <w:noWrap w:val="0"/>
            <w:vAlign w:val="center"/>
          </w:tcPr>
          <w:p w14:paraId="2942C83F">
            <w:pPr>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exact"/>
              <w:jc w:val="left"/>
              <w:textAlignment w:val="baseline"/>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对</w:t>
            </w:r>
            <w:r>
              <w:rPr>
                <w:rFonts w:hint="eastAsia" w:asciiTheme="minorEastAsia" w:hAnsiTheme="minorEastAsia" w:eastAsiaTheme="minorEastAsia" w:cstheme="minorEastAsia"/>
                <w:bCs/>
                <w:color w:val="auto"/>
                <w:sz w:val="24"/>
                <w:szCs w:val="24"/>
                <w:highlight w:val="none"/>
                <w:lang w:val="en-US" w:eastAsia="zh-CN"/>
              </w:rPr>
              <w:t>场馆</w:t>
            </w:r>
            <w:r>
              <w:rPr>
                <w:rFonts w:hint="eastAsia" w:asciiTheme="minorEastAsia" w:hAnsiTheme="minorEastAsia" w:eastAsiaTheme="minorEastAsia" w:cstheme="minorEastAsia"/>
                <w:bCs/>
                <w:color w:val="auto"/>
                <w:sz w:val="24"/>
                <w:szCs w:val="24"/>
                <w:highlight w:val="none"/>
              </w:rPr>
              <w:t>各类突发事件处置方案。</w:t>
            </w:r>
          </w:p>
          <w:p w14:paraId="370CD7C6">
            <w:pPr>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exact"/>
              <w:jc w:val="left"/>
              <w:textAlignment w:val="baseline"/>
              <w:rPr>
                <w:rFonts w:hint="eastAsia" w:asciiTheme="minorEastAsia" w:hAnsiTheme="minorEastAsia" w:eastAsiaTheme="minorEastAsia" w:cstheme="minorEastAsia"/>
                <w:color w:val="auto"/>
                <w:sz w:val="24"/>
                <w:szCs w:val="24"/>
                <w:highlight w:val="none"/>
                <w:lang w:val="en-US" w:bidi="ar-SA"/>
              </w:rPr>
            </w:pPr>
            <w:r>
              <w:rPr>
                <w:rFonts w:hint="eastAsia" w:asciiTheme="minorEastAsia" w:hAnsiTheme="minorEastAsia" w:eastAsiaTheme="minorEastAsia" w:cstheme="minorEastAsia"/>
                <w:color w:val="auto"/>
                <w:sz w:val="24"/>
                <w:szCs w:val="24"/>
                <w:highlight w:val="none"/>
                <w:lang w:val="zh-CN" w:eastAsia="zh-CN"/>
              </w:rPr>
              <w:t>方案可行条理清晰、内容丰富、安排合理</w:t>
            </w:r>
            <w:r>
              <w:rPr>
                <w:rFonts w:hint="eastAsia" w:asciiTheme="minorEastAsia" w:hAnsiTheme="minorEastAsia" w:eastAsiaTheme="minorEastAsia" w:cstheme="minorEastAsia"/>
                <w:color w:val="auto"/>
                <w:sz w:val="24"/>
                <w:szCs w:val="24"/>
                <w:highlight w:val="none"/>
                <w:lang w:val="en-US" w:eastAsia="zh-CN"/>
              </w:rPr>
              <w:t>4-6</w:t>
            </w:r>
            <w:r>
              <w:rPr>
                <w:rFonts w:hint="eastAsia" w:asciiTheme="minorEastAsia" w:hAnsiTheme="minorEastAsia" w:eastAsiaTheme="minorEastAsia" w:cstheme="minorEastAsia"/>
                <w:color w:val="auto"/>
                <w:sz w:val="24"/>
                <w:szCs w:val="24"/>
                <w:highlight w:val="none"/>
                <w:lang w:val="zh-CN" w:eastAsia="zh-CN"/>
              </w:rPr>
              <w:t>分，基本满足方案可行条理清晰、内容丰富、安排合理</w:t>
            </w:r>
            <w:r>
              <w:rPr>
                <w:rFonts w:hint="eastAsia" w:asciiTheme="minorEastAsia" w:hAnsiTheme="minorEastAsia" w:eastAsiaTheme="minorEastAsia" w:cstheme="minorEastAsia"/>
                <w:color w:val="auto"/>
                <w:sz w:val="24"/>
                <w:szCs w:val="24"/>
                <w:highlight w:val="none"/>
                <w:lang w:val="en-US" w:eastAsia="zh-CN"/>
              </w:rPr>
              <w:t>2-4</w:t>
            </w:r>
            <w:r>
              <w:rPr>
                <w:rFonts w:hint="eastAsia" w:asciiTheme="minorEastAsia" w:hAnsiTheme="minorEastAsia" w:eastAsiaTheme="minorEastAsia" w:cstheme="minorEastAsia"/>
                <w:color w:val="auto"/>
                <w:sz w:val="24"/>
                <w:szCs w:val="24"/>
                <w:highlight w:val="none"/>
                <w:lang w:val="zh-CN" w:eastAsia="zh-CN"/>
              </w:rPr>
              <w:t>分，不符合方案可行条理清晰、内容丰富、安排合理的</w:t>
            </w: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lang w:val="zh-CN" w:eastAsia="zh-CN"/>
              </w:rPr>
              <w:t>分</w:t>
            </w:r>
            <w:r>
              <w:rPr>
                <w:rFonts w:hint="eastAsia" w:asciiTheme="minorEastAsia" w:hAnsiTheme="minorEastAsia" w:eastAsiaTheme="minorEastAsia" w:cstheme="minorEastAsia"/>
                <w:color w:val="auto"/>
                <w:kern w:val="2"/>
                <w:sz w:val="24"/>
                <w:szCs w:val="24"/>
                <w:highlight w:val="none"/>
                <w:lang w:val="en-US" w:eastAsia="zh-CN" w:bidi="ar-SA"/>
              </w:rPr>
              <w:t>，未提供方案的不得分。</w:t>
            </w:r>
          </w:p>
        </w:tc>
        <w:tc>
          <w:tcPr>
            <w:tcW w:w="772" w:type="dxa"/>
            <w:noWrap w:val="0"/>
            <w:vAlign w:val="center"/>
          </w:tcPr>
          <w:p w14:paraId="4A02841D">
            <w:pPr>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6分</w:t>
            </w:r>
          </w:p>
        </w:tc>
        <w:tc>
          <w:tcPr>
            <w:tcW w:w="1147" w:type="dxa"/>
            <w:noWrap w:val="0"/>
            <w:vAlign w:val="center"/>
          </w:tcPr>
          <w:p w14:paraId="7C197B93">
            <w:pPr>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exact"/>
              <w:jc w:val="center"/>
              <w:textAlignment w:val="baseline"/>
              <w:rPr>
                <w:rFonts w:hint="eastAsia" w:ascii="宋体" w:hAnsi="宋体" w:eastAsia="宋体" w:cs="宋体"/>
                <w:b w:val="0"/>
                <w:i w:val="0"/>
                <w:caps w:val="0"/>
                <w:color w:val="auto"/>
                <w:spacing w:val="0"/>
                <w:w w:val="100"/>
                <w:kern w:val="0"/>
                <w:sz w:val="24"/>
                <w:szCs w:val="24"/>
                <w:highlight w:val="none"/>
                <w:lang w:val="en-US" w:eastAsia="zh-CN"/>
              </w:rPr>
            </w:pPr>
            <w:r>
              <w:rPr>
                <w:rFonts w:hint="eastAsia" w:ascii="宋体" w:hAnsi="宋体" w:cs="宋体"/>
                <w:color w:val="auto"/>
                <w:sz w:val="24"/>
                <w:szCs w:val="24"/>
                <w:highlight w:val="none"/>
                <w:lang w:val="en-US" w:eastAsia="zh-CN"/>
              </w:rPr>
              <w:t>主观分</w:t>
            </w:r>
          </w:p>
        </w:tc>
      </w:tr>
      <w:tr w14:paraId="32149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52" w:type="dxa"/>
            <w:vMerge w:val="continue"/>
            <w:shd w:val="clear" w:color="auto" w:fill="auto"/>
            <w:noWrap w:val="0"/>
            <w:vAlign w:val="center"/>
          </w:tcPr>
          <w:p w14:paraId="763837C7">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 w:val="24"/>
                <w:szCs w:val="24"/>
                <w:highlight w:val="none"/>
              </w:rPr>
            </w:pPr>
          </w:p>
        </w:tc>
        <w:tc>
          <w:tcPr>
            <w:tcW w:w="729" w:type="dxa"/>
            <w:shd w:val="clear" w:color="auto" w:fill="auto"/>
            <w:noWrap w:val="0"/>
            <w:vAlign w:val="center"/>
          </w:tcPr>
          <w:p w14:paraId="2D8DC49E">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1</w:t>
            </w:r>
          </w:p>
        </w:tc>
        <w:tc>
          <w:tcPr>
            <w:tcW w:w="6552" w:type="dxa"/>
            <w:shd w:val="clear" w:color="000000" w:fill="FFFFFF"/>
            <w:noWrap w:val="0"/>
            <w:vAlign w:val="center"/>
          </w:tcPr>
          <w:p w14:paraId="5B40E084">
            <w:pPr>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exact"/>
              <w:jc w:val="left"/>
              <w:textAlignment w:val="baseline"/>
              <w:rPr>
                <w:rFonts w:hint="eastAsia" w:asciiTheme="minorEastAsia" w:hAnsiTheme="minorEastAsia" w:eastAsiaTheme="minorEastAsia" w:cstheme="minorEastAsia"/>
                <w:color w:val="auto"/>
                <w:kern w:val="0"/>
                <w:sz w:val="24"/>
                <w:szCs w:val="21"/>
                <w:highlight w:val="none"/>
                <w:lang w:val="en-US" w:eastAsia="zh-CN" w:bidi="ar-SA"/>
              </w:rPr>
            </w:pPr>
            <w:r>
              <w:rPr>
                <w:rFonts w:hint="eastAsia" w:asciiTheme="minorEastAsia" w:hAnsiTheme="minorEastAsia" w:eastAsiaTheme="minorEastAsia" w:cstheme="minorEastAsia"/>
                <w:color w:val="auto"/>
                <w:kern w:val="0"/>
                <w:sz w:val="24"/>
                <w:szCs w:val="21"/>
                <w:highlight w:val="none"/>
                <w:lang w:val="en-US" w:eastAsia="zh-CN" w:bidi="ar-SA"/>
              </w:rPr>
              <w:t>根据响应人对组织实施方案的合理性、完整性、可操作性进行评定</w:t>
            </w:r>
          </w:p>
          <w:p w14:paraId="63A037D7">
            <w:pPr>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exact"/>
              <w:jc w:val="left"/>
              <w:textAlignment w:val="baseline"/>
              <w:rPr>
                <w:rFonts w:hint="eastAsia" w:asciiTheme="minorEastAsia" w:hAnsiTheme="minorEastAsia" w:eastAsiaTheme="minorEastAsia" w:cstheme="minorEastAsia"/>
                <w:color w:val="auto"/>
                <w:sz w:val="24"/>
                <w:szCs w:val="24"/>
                <w:highlight w:val="none"/>
                <w:lang w:val="en-US" w:bidi="ar-SA"/>
              </w:rPr>
            </w:pPr>
            <w:r>
              <w:rPr>
                <w:rFonts w:hint="eastAsia" w:asciiTheme="minorEastAsia" w:hAnsiTheme="minorEastAsia" w:eastAsiaTheme="minorEastAsia" w:cstheme="minorEastAsia"/>
                <w:color w:val="auto"/>
                <w:sz w:val="24"/>
                <w:szCs w:val="24"/>
                <w:highlight w:val="none"/>
                <w:lang w:val="zh-CN" w:eastAsia="zh-CN"/>
              </w:rPr>
              <w:t>方案可行条理清晰、内容丰富、安排合理</w:t>
            </w:r>
            <w:r>
              <w:rPr>
                <w:rFonts w:hint="eastAsia" w:asciiTheme="minorEastAsia" w:hAnsiTheme="minorEastAsia" w:eastAsiaTheme="minorEastAsia" w:cstheme="minorEastAsia"/>
                <w:color w:val="auto"/>
                <w:sz w:val="24"/>
                <w:szCs w:val="24"/>
                <w:highlight w:val="none"/>
                <w:lang w:val="en-US" w:eastAsia="zh-CN"/>
              </w:rPr>
              <w:t>6-8</w:t>
            </w:r>
            <w:r>
              <w:rPr>
                <w:rFonts w:hint="eastAsia" w:asciiTheme="minorEastAsia" w:hAnsiTheme="minorEastAsia" w:eastAsiaTheme="minorEastAsia" w:cstheme="minorEastAsia"/>
                <w:color w:val="auto"/>
                <w:sz w:val="24"/>
                <w:szCs w:val="24"/>
                <w:highlight w:val="none"/>
                <w:lang w:val="zh-CN" w:eastAsia="zh-CN"/>
              </w:rPr>
              <w:t>分，基本满足方案可行条理清晰、内容丰富、安排合理</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val="zh-CN" w:eastAsia="zh-CN"/>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val="zh-CN" w:eastAsia="zh-CN"/>
              </w:rPr>
              <w:t>分，不符合方案可行条理清晰、内容丰富、安排合理的</w:t>
            </w:r>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lang w:val="zh-CN" w:eastAsia="zh-CN"/>
              </w:rPr>
              <w:t>分</w:t>
            </w:r>
            <w:r>
              <w:rPr>
                <w:rFonts w:hint="eastAsia" w:asciiTheme="minorEastAsia" w:hAnsiTheme="minorEastAsia" w:eastAsiaTheme="minorEastAsia" w:cstheme="minorEastAsia"/>
                <w:color w:val="auto"/>
                <w:kern w:val="2"/>
                <w:sz w:val="24"/>
                <w:szCs w:val="24"/>
                <w:highlight w:val="none"/>
                <w:lang w:val="en-US" w:eastAsia="zh-CN" w:bidi="ar-SA"/>
              </w:rPr>
              <w:t>，未提供方案的不得分。</w:t>
            </w:r>
          </w:p>
        </w:tc>
        <w:tc>
          <w:tcPr>
            <w:tcW w:w="772" w:type="dxa"/>
            <w:noWrap w:val="0"/>
            <w:vAlign w:val="center"/>
          </w:tcPr>
          <w:p w14:paraId="55AC35BC">
            <w:pPr>
              <w:keepNext w:val="0"/>
              <w:keepLines w:val="0"/>
              <w:pageBreakBefore w:val="0"/>
              <w:kinsoku/>
              <w:wordWrap/>
              <w:overflowPunct/>
              <w:topLinePunct w:val="0"/>
              <w:autoSpaceDE/>
              <w:autoSpaceDN/>
              <w:bidi w:val="0"/>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8分</w:t>
            </w:r>
          </w:p>
        </w:tc>
        <w:tc>
          <w:tcPr>
            <w:tcW w:w="1147" w:type="dxa"/>
            <w:noWrap w:val="0"/>
            <w:vAlign w:val="center"/>
          </w:tcPr>
          <w:p w14:paraId="6D793BAA">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14:paraId="39126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52" w:type="dxa"/>
            <w:vMerge w:val="continue"/>
            <w:shd w:val="clear" w:color="auto" w:fill="auto"/>
            <w:noWrap w:val="0"/>
            <w:vAlign w:val="center"/>
          </w:tcPr>
          <w:p w14:paraId="0AD30E0B">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 w:val="24"/>
                <w:szCs w:val="24"/>
                <w:highlight w:val="none"/>
              </w:rPr>
            </w:pPr>
          </w:p>
        </w:tc>
        <w:tc>
          <w:tcPr>
            <w:tcW w:w="729" w:type="dxa"/>
            <w:shd w:val="clear" w:color="auto" w:fill="auto"/>
            <w:noWrap w:val="0"/>
            <w:vAlign w:val="center"/>
          </w:tcPr>
          <w:p w14:paraId="4DB6298D">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2</w:t>
            </w:r>
          </w:p>
        </w:tc>
        <w:tc>
          <w:tcPr>
            <w:tcW w:w="6552" w:type="dxa"/>
            <w:shd w:val="clear" w:color="000000" w:fill="FFFFFF"/>
            <w:noWrap w:val="0"/>
            <w:vAlign w:val="center"/>
          </w:tcPr>
          <w:p w14:paraId="47CB5D88">
            <w:pPr>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exact"/>
              <w:jc w:val="left"/>
              <w:textAlignment w:val="baseline"/>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en-US" w:eastAsia="zh-CN"/>
              </w:rPr>
              <w:t>响应人</w:t>
            </w:r>
            <w:r>
              <w:rPr>
                <w:rFonts w:hint="eastAsia" w:asciiTheme="minorEastAsia" w:hAnsiTheme="minorEastAsia" w:eastAsiaTheme="minorEastAsia" w:cstheme="minorEastAsia"/>
                <w:color w:val="auto"/>
                <w:sz w:val="24"/>
                <w:szCs w:val="24"/>
                <w:highlight w:val="none"/>
                <w:lang w:val="zh-CN" w:eastAsia="zh-CN"/>
              </w:rPr>
              <w:t>近3年内，未发生过安全事故造成人员伤亡的，未发生过劳动纠纷的，未发生过有关员工薪酬及权益保障方面的投诉、群众性事件、被劳动部门处罚或被环卫主管部门通报批评的</w:t>
            </w:r>
            <w:r>
              <w:rPr>
                <w:rFonts w:hint="eastAsia" w:asciiTheme="minorEastAsia" w:hAnsiTheme="minorEastAsia" w:eastAsiaTheme="minorEastAsia" w:cstheme="minorEastAsia"/>
                <w:color w:val="auto"/>
                <w:sz w:val="24"/>
                <w:szCs w:val="24"/>
                <w:highlight w:val="none"/>
                <w:lang w:val="en-US" w:eastAsia="zh-CN"/>
              </w:rPr>
              <w:t>得5分。</w:t>
            </w:r>
            <w:r>
              <w:rPr>
                <w:rFonts w:hint="eastAsia" w:asciiTheme="minorEastAsia" w:hAnsiTheme="minorEastAsia" w:eastAsiaTheme="minorEastAsia" w:cstheme="minorEastAsia"/>
                <w:color w:val="auto"/>
                <w:sz w:val="24"/>
                <w:szCs w:val="24"/>
                <w:highlight w:val="none"/>
                <w:lang w:val="zh-CN" w:eastAsia="zh-CN"/>
              </w:rPr>
              <w:t>（需提供相应承诺书，格式由</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lang w:val="zh-CN" w:eastAsia="zh-CN"/>
              </w:rPr>
              <w:t>单位自拟）</w:t>
            </w:r>
          </w:p>
        </w:tc>
        <w:tc>
          <w:tcPr>
            <w:tcW w:w="772" w:type="dxa"/>
            <w:noWrap w:val="0"/>
            <w:vAlign w:val="center"/>
          </w:tcPr>
          <w:p w14:paraId="03872A35">
            <w:pPr>
              <w:keepNext w:val="0"/>
              <w:keepLines w:val="0"/>
              <w:pageBreakBefore w:val="0"/>
              <w:kinsoku/>
              <w:wordWrap/>
              <w:overflowPunct/>
              <w:topLinePunct w:val="0"/>
              <w:autoSpaceDE/>
              <w:autoSpaceDN/>
              <w:bidi w:val="0"/>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5分</w:t>
            </w:r>
          </w:p>
        </w:tc>
        <w:tc>
          <w:tcPr>
            <w:tcW w:w="1147" w:type="dxa"/>
            <w:noWrap w:val="0"/>
            <w:vAlign w:val="center"/>
          </w:tcPr>
          <w:p w14:paraId="679B0FCA">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r>
      <w:tr w14:paraId="43DDB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52" w:type="dxa"/>
            <w:vMerge w:val="continue"/>
            <w:shd w:val="clear" w:color="auto" w:fill="auto"/>
            <w:noWrap w:val="0"/>
            <w:vAlign w:val="center"/>
          </w:tcPr>
          <w:p w14:paraId="069AEDEE">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 w:val="24"/>
                <w:szCs w:val="24"/>
                <w:highlight w:val="none"/>
              </w:rPr>
            </w:pPr>
          </w:p>
        </w:tc>
        <w:tc>
          <w:tcPr>
            <w:tcW w:w="729" w:type="dxa"/>
            <w:shd w:val="clear" w:color="auto" w:fill="auto"/>
            <w:noWrap w:val="0"/>
            <w:vAlign w:val="center"/>
          </w:tcPr>
          <w:p w14:paraId="04A34BB7">
            <w:pPr>
              <w:keepNext w:val="0"/>
              <w:keepLines w:val="0"/>
              <w:pageBreakBefore w:val="0"/>
              <w:widowControl/>
              <w:kinsoku/>
              <w:wordWrap/>
              <w:overflowPunct/>
              <w:topLinePunct w:val="0"/>
              <w:autoSpaceDE/>
              <w:autoSpaceDN/>
              <w:bidi w:val="0"/>
              <w:spacing w:line="36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13</w:t>
            </w:r>
          </w:p>
        </w:tc>
        <w:tc>
          <w:tcPr>
            <w:tcW w:w="6552" w:type="dxa"/>
            <w:shd w:val="clear" w:color="000000" w:fill="FFFFFF"/>
            <w:noWrap w:val="0"/>
            <w:vAlign w:val="center"/>
          </w:tcPr>
          <w:p w14:paraId="34A1E61D">
            <w:pPr>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exact"/>
              <w:jc w:val="left"/>
              <w:textAlignment w:val="baseline"/>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器械品牌</w:t>
            </w:r>
            <w:r>
              <w:rPr>
                <w:rFonts w:hint="eastAsia" w:asciiTheme="minorEastAsia" w:hAnsiTheme="minorEastAsia" w:eastAsiaTheme="minorEastAsia" w:cstheme="minorEastAsia"/>
                <w:color w:val="auto"/>
                <w:sz w:val="24"/>
                <w:szCs w:val="24"/>
                <w:highlight w:val="none"/>
                <w:lang w:val="en-US" w:eastAsia="zh-CN"/>
              </w:rPr>
              <w:t>达到大胡子</w:t>
            </w:r>
            <w:r>
              <w:rPr>
                <w:rFonts w:hint="eastAsia" w:asciiTheme="minorEastAsia" w:hAnsiTheme="minorEastAsia" w:eastAsiaTheme="minorEastAsia" w:cstheme="minorEastAsia"/>
                <w:color w:val="auto"/>
                <w:sz w:val="24"/>
                <w:szCs w:val="24"/>
                <w:highlight w:val="none"/>
                <w:lang w:val="zh-CN" w:eastAsia="zh-CN"/>
              </w:rPr>
              <w:t>、</w:t>
            </w:r>
            <w:r>
              <w:rPr>
                <w:rFonts w:hint="eastAsia" w:asciiTheme="minorEastAsia" w:hAnsiTheme="minorEastAsia" w:eastAsiaTheme="minorEastAsia" w:cstheme="minorEastAsia"/>
                <w:color w:val="auto"/>
                <w:sz w:val="24"/>
                <w:szCs w:val="24"/>
                <w:highlight w:val="none"/>
                <w:lang w:val="en-US" w:eastAsia="zh-CN"/>
              </w:rPr>
              <w:t>瑞丽达及以上品牌要求的且</w:t>
            </w:r>
            <w:r>
              <w:rPr>
                <w:rFonts w:hint="eastAsia" w:asciiTheme="minorEastAsia" w:hAnsiTheme="minorEastAsia" w:eastAsiaTheme="minorEastAsia" w:cstheme="minorEastAsia"/>
                <w:color w:val="auto"/>
                <w:sz w:val="24"/>
                <w:szCs w:val="24"/>
                <w:highlight w:val="none"/>
                <w:lang w:val="zh-CN" w:eastAsia="zh-CN"/>
              </w:rPr>
              <w:t>有氧设备</w:t>
            </w:r>
            <w:r>
              <w:rPr>
                <w:rFonts w:hint="eastAsia" w:asciiTheme="minorEastAsia" w:hAnsiTheme="minorEastAsia" w:eastAsiaTheme="minorEastAsia" w:cstheme="minorEastAsia"/>
                <w:color w:val="auto"/>
                <w:sz w:val="24"/>
                <w:szCs w:val="24"/>
                <w:highlight w:val="none"/>
                <w:lang w:val="en-US" w:eastAsia="zh-CN"/>
              </w:rPr>
              <w:t>不低于</w:t>
            </w:r>
            <w:r>
              <w:rPr>
                <w:rFonts w:hint="eastAsia" w:asciiTheme="minorEastAsia" w:hAnsiTheme="minorEastAsia" w:eastAsiaTheme="minorEastAsia" w:cstheme="minorEastAsia"/>
                <w:color w:val="auto"/>
                <w:sz w:val="24"/>
                <w:szCs w:val="24"/>
                <w:highlight w:val="none"/>
                <w:lang w:val="zh-CN" w:eastAsia="zh-CN"/>
              </w:rPr>
              <w:t>十二台，其中品牌跑步机不低于八台</w:t>
            </w:r>
            <w:r>
              <w:rPr>
                <w:rFonts w:hint="eastAsia" w:asciiTheme="minorEastAsia" w:hAnsiTheme="minorEastAsia" w:eastAsiaTheme="minorEastAsia" w:cstheme="minorEastAsia"/>
                <w:color w:val="auto"/>
                <w:sz w:val="24"/>
                <w:szCs w:val="24"/>
                <w:highlight w:val="none"/>
                <w:lang w:val="en-US" w:eastAsia="zh-CN"/>
              </w:rPr>
              <w:t>的得7分。</w:t>
            </w:r>
            <w:r>
              <w:rPr>
                <w:rFonts w:hint="eastAsia" w:asciiTheme="minorEastAsia" w:hAnsiTheme="minorEastAsia" w:eastAsiaTheme="minorEastAsia" w:cstheme="minorEastAsia"/>
                <w:color w:val="auto"/>
                <w:sz w:val="24"/>
                <w:szCs w:val="24"/>
                <w:highlight w:val="none"/>
                <w:lang w:val="zh-CN" w:eastAsia="zh-CN"/>
              </w:rPr>
              <w:t>需提供具体器械清单。</w:t>
            </w:r>
          </w:p>
        </w:tc>
        <w:tc>
          <w:tcPr>
            <w:tcW w:w="772" w:type="dxa"/>
            <w:noWrap w:val="0"/>
            <w:vAlign w:val="center"/>
          </w:tcPr>
          <w:p w14:paraId="7B43CF33">
            <w:pPr>
              <w:keepNext w:val="0"/>
              <w:keepLines w:val="0"/>
              <w:pageBreakBefore w:val="0"/>
              <w:kinsoku/>
              <w:wordWrap/>
              <w:overflowPunct/>
              <w:topLinePunct w:val="0"/>
              <w:autoSpaceDE/>
              <w:autoSpaceDN/>
              <w:bidi w:val="0"/>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7分</w:t>
            </w:r>
          </w:p>
        </w:tc>
        <w:tc>
          <w:tcPr>
            <w:tcW w:w="1147" w:type="dxa"/>
            <w:noWrap w:val="0"/>
            <w:vAlign w:val="center"/>
          </w:tcPr>
          <w:p w14:paraId="75E2AA20">
            <w:pPr>
              <w:keepNext w:val="0"/>
              <w:keepLines w:val="0"/>
              <w:pageBreakBefore w:val="0"/>
              <w:kinsoku/>
              <w:wordWrap/>
              <w:overflowPunct/>
              <w:topLinePunct w:val="0"/>
              <w:autoSpaceDE/>
              <w:autoSpaceDN/>
              <w:bidi w:val="0"/>
              <w:spacing w:line="36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r>
    </w:tbl>
    <w:p w14:paraId="00E4AA9D">
      <w:pPr>
        <w:widowControl/>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1、评分条款中涉及的业绩、荣誉、人员、社保等分公司均有效。</w:t>
      </w:r>
    </w:p>
    <w:p w14:paraId="262F72FE">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响应文件中如附有外文资料，必须逐一对应翻译成中文并加盖响应人公章后附在相关外文资料后面，否则外文资料不予认可。翻译的中文资料与外文资料不符的，均不予认可。翻译严重错误的，将视同提供虚假资料。</w:t>
      </w:r>
    </w:p>
    <w:p w14:paraId="6196C316">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3、响应人编制响应文件（商务技术文件部分）时，建议按此目录（序号和内容）提供评审标准相应的商务技术资料。</w:t>
      </w:r>
    </w:p>
    <w:p w14:paraId="1E3D2D4D">
      <w:pPr>
        <w:widowControl/>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2、价格分（1</w:t>
      </w:r>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rPr>
        <w:t>分）：</w:t>
      </w:r>
    </w:p>
    <w:tbl>
      <w:tblPr>
        <w:tblStyle w:val="65"/>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905"/>
      </w:tblGrid>
      <w:tr w14:paraId="01208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69" w:type="dxa"/>
            <w:vAlign w:val="center"/>
          </w:tcPr>
          <w:p w14:paraId="70BA41E8">
            <w:pPr>
              <w:adjustRightInd/>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价格权值</w:t>
            </w:r>
          </w:p>
        </w:tc>
        <w:tc>
          <w:tcPr>
            <w:tcW w:w="6905" w:type="dxa"/>
            <w:vAlign w:val="center"/>
          </w:tcPr>
          <w:p w14:paraId="001E7514">
            <w:pPr>
              <w:adjustRightInd/>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计    算    方    法</w:t>
            </w:r>
          </w:p>
        </w:tc>
      </w:tr>
      <w:tr w14:paraId="4768A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169" w:type="dxa"/>
            <w:vAlign w:val="center"/>
          </w:tcPr>
          <w:p w14:paraId="29F491F7">
            <w:pPr>
              <w:adjustRightInd/>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价格权值=0.</w:t>
            </w:r>
            <w:r>
              <w:rPr>
                <w:rFonts w:hint="eastAsia" w:ascii="宋体" w:hAnsi="宋体" w:eastAsia="宋体" w:cs="宋体"/>
                <w:color w:val="auto"/>
                <w:sz w:val="24"/>
                <w:highlight w:val="none"/>
                <w:lang w:val="en-US" w:eastAsia="zh-CN"/>
              </w:rPr>
              <w:t>15</w:t>
            </w:r>
          </w:p>
        </w:tc>
        <w:tc>
          <w:tcPr>
            <w:tcW w:w="6905" w:type="dxa"/>
            <w:vAlign w:val="center"/>
          </w:tcPr>
          <w:p w14:paraId="17182527">
            <w:pPr>
              <w:adjustRightInd/>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最</w:t>
            </w:r>
            <w:r>
              <w:rPr>
                <w:rFonts w:hint="eastAsia" w:ascii="宋体" w:hAnsi="宋体" w:eastAsia="宋体" w:cs="宋体"/>
                <w:color w:val="auto"/>
                <w:sz w:val="24"/>
                <w:highlight w:val="none"/>
                <w:lang w:val="en-US" w:eastAsia="zh-CN"/>
              </w:rPr>
              <w:t>高</w:t>
            </w:r>
            <w:r>
              <w:rPr>
                <w:rFonts w:hint="eastAsia" w:ascii="宋体" w:hAnsi="宋体" w:eastAsia="宋体" w:cs="宋体"/>
                <w:color w:val="auto"/>
                <w:sz w:val="24"/>
                <w:highlight w:val="none"/>
              </w:rPr>
              <w:t>有效响应价格为评标基准价</w:t>
            </w:r>
          </w:p>
          <w:p w14:paraId="35107A95">
            <w:pPr>
              <w:adjustRightInd/>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响应报价得分=(响应报价／评标基准价)×价格权值×100</w:t>
            </w:r>
          </w:p>
          <w:p w14:paraId="6F0EED91">
            <w:pPr>
              <w:adjustRightInd/>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（计算得分保留小数点后2位）</w:t>
            </w:r>
          </w:p>
          <w:p w14:paraId="228E0913">
            <w:pPr>
              <w:widowControl/>
              <w:shd w:val="clear" w:color="auto" w:fill="FFFFFF"/>
              <w:adjustRightInd/>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评标过程中，不得去掉报价中的最高报价和最低报价。</w:t>
            </w:r>
          </w:p>
        </w:tc>
      </w:tr>
    </w:tbl>
    <w:p w14:paraId="5E78E247">
      <w:pP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14:paraId="682F1B8B">
      <w:pPr>
        <w:snapToGrid w:val="0"/>
        <w:spacing w:line="57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一、交易方法</w:t>
      </w:r>
    </w:p>
    <w:p w14:paraId="0A440CC2">
      <w:pPr>
        <w:adjustRightInd/>
        <w:spacing w:line="570" w:lineRule="exact"/>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1.本项目采用综合评估法。</w:t>
      </w:r>
      <w:r>
        <w:rPr>
          <w:rFonts w:hint="eastAsia" w:ascii="宋体" w:hAnsi="宋体" w:eastAsia="宋体" w:cs="宋体"/>
          <w:color w:val="auto"/>
          <w:kern w:val="0"/>
          <w:sz w:val="24"/>
          <w:highlight w:val="none"/>
        </w:rPr>
        <w:t>综合评估法，是指响应文件满足公开竞争文件全部实质性要求，且按照评审因素的量化指标评审得分最高的响应人为成交候选人的评标方法。</w:t>
      </w:r>
    </w:p>
    <w:p w14:paraId="263D8D39">
      <w:pPr>
        <w:snapToGrid w:val="0"/>
        <w:spacing w:line="57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二、交易标准</w:t>
      </w:r>
    </w:p>
    <w:p w14:paraId="53AA80FA">
      <w:pPr>
        <w:spacing w:line="570" w:lineRule="exact"/>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2.评标标准：</w:t>
      </w:r>
      <w:r>
        <w:rPr>
          <w:rFonts w:hint="eastAsia" w:ascii="宋体" w:hAnsi="宋体" w:eastAsia="宋体" w:cs="宋体"/>
          <w:color w:val="auto"/>
          <w:kern w:val="0"/>
          <w:sz w:val="24"/>
          <w:highlight w:val="none"/>
        </w:rPr>
        <w:t>见交易办法前附表。</w:t>
      </w:r>
    </w:p>
    <w:p w14:paraId="434D18ED">
      <w:pPr>
        <w:snapToGrid w:val="0"/>
        <w:spacing w:line="57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三、交易程序</w:t>
      </w:r>
    </w:p>
    <w:bookmarkEnd w:id="15"/>
    <w:p w14:paraId="2F99357D">
      <w:pPr>
        <w:spacing w:line="570" w:lineRule="exact"/>
        <w:ind w:firstLine="472" w:firstLineChars="196"/>
        <w:rPr>
          <w:rFonts w:hint="eastAsia" w:ascii="宋体" w:hAnsi="宋体" w:eastAsia="宋体" w:cs="宋体"/>
          <w:color w:val="auto"/>
          <w:kern w:val="0"/>
          <w:sz w:val="24"/>
          <w:highlight w:val="none"/>
        </w:rPr>
      </w:pPr>
      <w:bookmarkStart w:id="384" w:name="_Toc86217003"/>
      <w:bookmarkStart w:id="385" w:name="第五部分"/>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评审委员会应当对符合资格的响应人的响应文件进行符合性审查，以确定其是否满足公开竞争文件的实质性要求。不满足公开竞争文件的实质性要求的，交易无效。</w:t>
      </w:r>
    </w:p>
    <w:p w14:paraId="19F7F5ED">
      <w:pPr>
        <w:spacing w:line="570" w:lineRule="exact"/>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3.2比较与评价。</w:t>
      </w:r>
      <w:r>
        <w:rPr>
          <w:rFonts w:hint="eastAsia" w:ascii="宋体" w:hAnsi="宋体" w:eastAsia="宋体" w:cs="宋体"/>
          <w:color w:val="auto"/>
          <w:kern w:val="0"/>
          <w:sz w:val="24"/>
          <w:highlight w:val="none"/>
        </w:rPr>
        <w:t>评审委员会应当按照公开竞争文件中规定的评标方法和标准，对符合性审查合格的响应文件进行商务和技术评估，综合比较与评价。</w:t>
      </w:r>
    </w:p>
    <w:p w14:paraId="61EA119D">
      <w:pPr>
        <w:spacing w:line="570" w:lineRule="exact"/>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评审委员会各成员应当独立对每个响应人的商务和技术文件进行评价，并汇总商务技术得分情况。</w:t>
      </w:r>
    </w:p>
    <w:p w14:paraId="22F9EAA3">
      <w:pPr>
        <w:spacing w:line="570" w:lineRule="exact"/>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13E76EAF">
      <w:pPr>
        <w:pStyle w:val="137"/>
        <w:spacing w:before="0" w:line="570" w:lineRule="exact"/>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3.4.1响应文件报价出现前后不一致的，按照下列规定修正：</w:t>
      </w:r>
    </w:p>
    <w:p w14:paraId="391DDCF3">
      <w:pPr>
        <w:pStyle w:val="137"/>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3.4.1.1响应文件中交易一览表(报价表)内容与响应文件中相应内容不一致的，以交易一览表(报价表)为准；</w:t>
      </w:r>
    </w:p>
    <w:p w14:paraId="57EAC9E4">
      <w:pPr>
        <w:pStyle w:val="137"/>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6A13EC59">
      <w:pPr>
        <w:pStyle w:val="137"/>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3.4.1.3单价金额小数点或者百分比有明显错位的，以交易一览表的总价为准，并修改单价；</w:t>
      </w:r>
    </w:p>
    <w:p w14:paraId="3292BC06">
      <w:pPr>
        <w:pStyle w:val="137"/>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7F5A6F4E">
      <w:pPr>
        <w:pStyle w:val="137"/>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w:t>
      </w:r>
    </w:p>
    <w:p w14:paraId="33281F65">
      <w:pPr>
        <w:snapToGrid w:val="0"/>
        <w:spacing w:line="57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3.4.2响应文件出现不是唯一的、有选择性交易报价的，交易无效。</w:t>
      </w:r>
    </w:p>
    <w:p w14:paraId="6003C78A">
      <w:pPr>
        <w:snapToGrid w:val="0"/>
        <w:spacing w:line="57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3.4.3交易报价</w:t>
      </w:r>
      <w:r>
        <w:rPr>
          <w:rFonts w:hint="eastAsia" w:ascii="宋体" w:hAnsi="宋体" w:eastAsia="宋体" w:cs="宋体"/>
          <w:color w:val="auto"/>
          <w:kern w:val="0"/>
          <w:sz w:val="24"/>
          <w:highlight w:val="none"/>
          <w:lang w:val="en-US" w:eastAsia="zh-CN"/>
        </w:rPr>
        <w:t>低于</w:t>
      </w:r>
      <w:r>
        <w:rPr>
          <w:rFonts w:hint="eastAsia" w:ascii="宋体" w:hAnsi="宋体" w:eastAsia="宋体" w:cs="宋体"/>
          <w:color w:val="auto"/>
          <w:kern w:val="0"/>
          <w:sz w:val="24"/>
          <w:highlight w:val="none"/>
        </w:rPr>
        <w:t>公开竞争文件中规定的预算金额或者最</w:t>
      </w:r>
      <w:r>
        <w:rPr>
          <w:rFonts w:hint="eastAsia" w:ascii="宋体" w:hAnsi="宋体" w:eastAsia="宋体" w:cs="宋体"/>
          <w:color w:val="auto"/>
          <w:kern w:val="0"/>
          <w:sz w:val="24"/>
          <w:highlight w:val="none"/>
          <w:lang w:val="en-US" w:eastAsia="zh-CN"/>
        </w:rPr>
        <w:t>低</w:t>
      </w:r>
      <w:r>
        <w:rPr>
          <w:rFonts w:hint="eastAsia" w:ascii="宋体" w:hAnsi="宋体" w:eastAsia="宋体" w:cs="宋体"/>
          <w:color w:val="auto"/>
          <w:kern w:val="0"/>
          <w:sz w:val="24"/>
          <w:highlight w:val="none"/>
        </w:rPr>
        <w:t>限价的，交易无效。</w:t>
      </w:r>
    </w:p>
    <w:p w14:paraId="074BF9B0">
      <w:pPr>
        <w:pStyle w:val="137"/>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投标处理。</w:t>
      </w:r>
    </w:p>
    <w:p w14:paraId="0224561F">
      <w:pPr>
        <w:spacing w:line="570" w:lineRule="exact"/>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估法的，评标结果按评审后得分由高到低顺序排列。得分相同的，按交易报价由低到高顺序排列。得分且交易报价相同的并列。响应文件满足公开竞争文件全部实质性要求，且按照评审因素的量化指标评审得分最高的响应人为排名第一的成交候选人。</w:t>
      </w:r>
    </w:p>
    <w:p w14:paraId="557C4149">
      <w:pPr>
        <w:spacing w:line="570" w:lineRule="exact"/>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3.6编写评审报告。</w:t>
      </w:r>
      <w:r>
        <w:rPr>
          <w:rFonts w:hint="eastAsia" w:ascii="宋体" w:hAnsi="宋体" w:eastAsia="宋体" w:cs="宋体"/>
          <w:color w:val="auto"/>
          <w:kern w:val="0"/>
          <w:sz w:val="24"/>
          <w:highlight w:val="none"/>
        </w:rPr>
        <w:t>评审委员会根据全体评标成员签字的原始评标记录和评标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67512E8C">
      <w:pPr>
        <w:snapToGrid w:val="0"/>
        <w:spacing w:line="57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四、评标中的其他事项</w:t>
      </w:r>
    </w:p>
    <w:p w14:paraId="79E91F49">
      <w:pPr>
        <w:pStyle w:val="137"/>
        <w:spacing w:before="0" w:line="570" w:lineRule="exact"/>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4.1响应人澄清、说明或者补正。</w:t>
      </w:r>
      <w:r>
        <w:rPr>
          <w:rFonts w:hint="eastAsia" w:ascii="宋体" w:hAnsi="宋体" w:eastAsia="宋体" w:cs="宋体"/>
          <w:color w:val="auto"/>
          <w:kern w:val="0"/>
          <w:szCs w:val="24"/>
          <w:highlight w:val="none"/>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14:paraId="7BB07C8A">
      <w:pPr>
        <w:pStyle w:val="26"/>
        <w:spacing w:line="570" w:lineRule="exact"/>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4.2交易无效。</w:t>
      </w:r>
      <w:r>
        <w:rPr>
          <w:rFonts w:hint="eastAsia" w:ascii="宋体" w:hAnsi="宋体" w:eastAsia="宋体" w:cs="宋体"/>
          <w:color w:val="auto"/>
          <w:szCs w:val="21"/>
          <w:highlight w:val="none"/>
        </w:rPr>
        <w:t>有下列情形之一的，交易无效：</w:t>
      </w:r>
    </w:p>
    <w:p w14:paraId="5E82BD58">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4.2.1响应人不具备公开竞争文件中规定的资格要求的（响应人未提供有效的资格文件的，视为响应人不具备公开竞争文件中规定的资格要求）；</w:t>
      </w:r>
    </w:p>
    <w:p w14:paraId="65C1F308">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4.2.2响应文件未按照公开竞争文件要求签署、盖章的；</w:t>
      </w:r>
    </w:p>
    <w:p w14:paraId="101ECA37">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4.2.3响应文件含有交易发起人不能接受的附加条件的；</w:t>
      </w:r>
    </w:p>
    <w:p w14:paraId="5A795C5A">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4.2.4响应文件中承诺的交易有效期少于公开竞争文件中载明的交易有效期的；</w:t>
      </w:r>
    </w:p>
    <w:p w14:paraId="6F3312E3">
      <w:pPr>
        <w:snapToGrid w:val="0"/>
        <w:spacing w:line="570" w:lineRule="exact"/>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4.2.5响应文件出现不是唯一的、有选择性交易报价的；</w:t>
      </w:r>
    </w:p>
    <w:p w14:paraId="29F8E916">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4.2.6交易报价</w:t>
      </w:r>
      <w:r>
        <w:rPr>
          <w:rFonts w:hint="eastAsia" w:ascii="宋体" w:hAnsi="宋体" w:eastAsia="宋体" w:cs="宋体"/>
          <w:color w:val="auto"/>
          <w:kern w:val="0"/>
          <w:sz w:val="24"/>
          <w:highlight w:val="none"/>
          <w:lang w:val="en-US" w:eastAsia="zh-CN"/>
        </w:rPr>
        <w:t>低于</w:t>
      </w:r>
      <w:r>
        <w:rPr>
          <w:rFonts w:hint="eastAsia" w:ascii="宋体" w:hAnsi="宋体" w:eastAsia="宋体" w:cs="宋体"/>
          <w:color w:val="auto"/>
          <w:kern w:val="0"/>
          <w:sz w:val="24"/>
          <w:highlight w:val="none"/>
        </w:rPr>
        <w:t>公开竞争文件中规定的预算金额或者最</w:t>
      </w:r>
      <w:r>
        <w:rPr>
          <w:rFonts w:hint="eastAsia" w:ascii="宋体" w:hAnsi="宋体" w:eastAsia="宋体" w:cs="宋体"/>
          <w:color w:val="auto"/>
          <w:kern w:val="0"/>
          <w:sz w:val="24"/>
          <w:highlight w:val="none"/>
          <w:lang w:val="en-US" w:eastAsia="zh-CN"/>
        </w:rPr>
        <w:t>低</w:t>
      </w:r>
      <w:r>
        <w:rPr>
          <w:rFonts w:hint="eastAsia" w:ascii="宋体" w:hAnsi="宋体" w:eastAsia="宋体" w:cs="宋体"/>
          <w:color w:val="auto"/>
          <w:kern w:val="0"/>
          <w:sz w:val="24"/>
          <w:highlight w:val="none"/>
        </w:rPr>
        <w:t>限价的；</w:t>
      </w:r>
    </w:p>
    <w:p w14:paraId="0989E5F9">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4.2.7报价明显低于其他通过符合性审查响应人的报价，有可能影响产品质量或者不能诚信履约的，未能按要求提供书面说明或者提交相关证明材料，不能证明其报价合理性的；</w:t>
      </w:r>
    </w:p>
    <w:p w14:paraId="7DBF48F3">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4.2.8响应人对根据修正原则修正后的报价不确认的；</w:t>
      </w:r>
    </w:p>
    <w:p w14:paraId="452B44E9">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4.2.9响应人提供虚假材料投标的；</w:t>
      </w:r>
    </w:p>
    <w:p w14:paraId="2889E4C2">
      <w:pPr>
        <w:spacing w:line="570" w:lineRule="exact"/>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4.2.10响应人有恶意串通、妨碍其他响应人的竞争行为、损害交易发起人或者其他响应人的合法权益情形的；</w:t>
      </w:r>
    </w:p>
    <w:p w14:paraId="29CF1D13">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4.2.11响应人未在电子交易平台传输递交响应文件的，交易无效；</w:t>
      </w:r>
    </w:p>
    <w:p w14:paraId="2427D0E2">
      <w:pPr>
        <w:pStyle w:val="3"/>
        <w:spacing w:line="570" w:lineRule="exact"/>
        <w:ind w:left="862" w:leftChars="205"/>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rPr>
        <w:t>4.2.12响应文件不满足公开竞争文件的其它实质性要求的；</w:t>
      </w:r>
    </w:p>
    <w:p w14:paraId="432DEB91">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4.2.13法律、法规、规章（适用本市的）及省级以上规范性文件（适用本市的）规定的其他无效情形。</w:t>
      </w:r>
    </w:p>
    <w:p w14:paraId="03DC0915">
      <w:pPr>
        <w:pStyle w:val="26"/>
        <w:snapToGrid w:val="0"/>
        <w:spacing w:line="570" w:lineRule="exact"/>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根据《中华人民共和国政府采购法》第三十六条之规定，在交易过程中，出现下列情形之一的，应予废标：</w:t>
      </w:r>
    </w:p>
    <w:p w14:paraId="155F2709">
      <w:pPr>
        <w:pStyle w:val="26"/>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5.1符合专业条件的响应人或者对公开竞争文件作实质响应的响应人不足3家的；</w:t>
      </w:r>
    </w:p>
    <w:p w14:paraId="65C8AC6A">
      <w:pPr>
        <w:pStyle w:val="26"/>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24492EA1">
      <w:pPr>
        <w:pStyle w:val="26"/>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5.3响应人的报价均超过了采购预算，交易发起人不能支付的；</w:t>
      </w:r>
    </w:p>
    <w:p w14:paraId="6FB1D119">
      <w:pPr>
        <w:pStyle w:val="26"/>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0D2E16AE">
      <w:pPr>
        <w:pStyle w:val="26"/>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废标后，代理机构应当将废标理由通知所有响应人。</w:t>
      </w:r>
    </w:p>
    <w:p w14:paraId="57E52C03">
      <w:pPr>
        <w:pStyle w:val="26"/>
        <w:snapToGrid w:val="0"/>
        <w:spacing w:line="570" w:lineRule="exact"/>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6.修改公开竞争文件，重新组织交易活动。</w:t>
      </w:r>
      <w:r>
        <w:rPr>
          <w:rFonts w:hint="eastAsia" w:ascii="宋体" w:hAnsi="宋体" w:eastAsia="宋体" w:cs="宋体"/>
          <w:color w:val="auto"/>
          <w:highlight w:val="none"/>
        </w:rPr>
        <w:t>评审委员会发现公开竞争文件存在歧义、重大缺陷导致评标工作无法进行，或者公开竞争文件内容违反国家有关强制性规定的，将停止评审工作，并与交易发起人、代理机构沟通并作书面记录。交易发起人、代理机构确认后，将修改公开竞争文件，重新组织交易活动。</w:t>
      </w:r>
    </w:p>
    <w:p w14:paraId="0BE0A4D7">
      <w:pPr>
        <w:pStyle w:val="26"/>
        <w:snapToGrid w:val="0"/>
        <w:spacing w:line="570" w:lineRule="exact"/>
        <w:ind w:firstLine="590" w:firstLineChars="245"/>
        <w:rPr>
          <w:rFonts w:hint="eastAsia" w:ascii="宋体" w:hAnsi="宋体" w:eastAsia="宋体" w:cs="宋体"/>
          <w:color w:val="auto"/>
          <w:highlight w:val="none"/>
        </w:rPr>
      </w:pPr>
      <w:r>
        <w:rPr>
          <w:rFonts w:hint="eastAsia" w:ascii="宋体" w:hAnsi="宋体" w:eastAsia="宋体" w:cs="宋体"/>
          <w:b/>
          <w:color w:val="auto"/>
          <w:kern w:val="0"/>
          <w:highlight w:val="none"/>
        </w:rPr>
        <w:t>7.重新开展交易。</w:t>
      </w:r>
      <w:r>
        <w:rPr>
          <w:rFonts w:hint="eastAsia" w:ascii="宋体" w:hAnsi="宋体" w:eastAsia="宋体" w:cs="宋体"/>
          <w:color w:val="auto"/>
          <w:highlight w:val="none"/>
        </w:rPr>
        <w:t>影响或者可能影响</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、成交结果的，依照下列规定处理：</w:t>
      </w:r>
    </w:p>
    <w:p w14:paraId="41917F63">
      <w:pPr>
        <w:pStyle w:val="26"/>
        <w:snapToGrid w:val="0"/>
        <w:spacing w:line="570" w:lineRule="exact"/>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7.1未确定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或者成交人的，终止本次交易活动，重新开展交易活动。</w:t>
      </w:r>
    </w:p>
    <w:p w14:paraId="47F944F7">
      <w:pPr>
        <w:pStyle w:val="26"/>
        <w:snapToGrid w:val="0"/>
        <w:spacing w:line="570" w:lineRule="exact"/>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7.2已确定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或者成交人但尚未签订合同的，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或者成交结果无效，从合格的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或者成交人；没有合格的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或者成交候选人的，重新开展交易活动。</w:t>
      </w:r>
    </w:p>
    <w:p w14:paraId="78746076">
      <w:pPr>
        <w:pStyle w:val="26"/>
        <w:snapToGrid w:val="0"/>
        <w:spacing w:line="570" w:lineRule="exact"/>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7.3书面合同已签订但尚未履行的，撤销合同，从合格的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或者成交人；没有合格的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或者成交候选人的，重新开展交易活动。</w:t>
      </w:r>
    </w:p>
    <w:p w14:paraId="553461C9">
      <w:pPr>
        <w:pStyle w:val="26"/>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7.4书面合同已经履行，给交易发起人、响应人造成损失的，由责任人承担赔偿责任。</w:t>
      </w:r>
    </w:p>
    <w:p w14:paraId="108E806E">
      <w:pPr>
        <w:pStyle w:val="26"/>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7.5交易当事人有其他违反政府采购法</w:t>
      </w:r>
      <w:r>
        <w:rPr>
          <w:rFonts w:hint="eastAsia" w:ascii="宋体" w:hAnsi="宋体" w:eastAsia="宋体" w:cs="宋体"/>
          <w:color w:val="auto"/>
          <w:kern w:val="0"/>
          <w:highlight w:val="none"/>
        </w:rPr>
        <w:t>或者政府采购法实施条例等法律法规规定</w:t>
      </w:r>
      <w:r>
        <w:rPr>
          <w:rFonts w:hint="eastAsia" w:ascii="宋体" w:hAnsi="宋体" w:eastAsia="宋体" w:cs="宋体"/>
          <w:color w:val="auto"/>
          <w:highlight w:val="none"/>
        </w:rPr>
        <w:t>的行为，经改正后仍然影响或者可能影响</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、成交结果或者依法被认定为</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、成交无效的，依照7.1-7.4规定处理。</w:t>
      </w:r>
    </w:p>
    <w:p w14:paraId="5124CB74">
      <w:pPr>
        <w:pStyle w:val="26"/>
        <w:snapToGrid w:val="0"/>
        <w:spacing w:line="360" w:lineRule="auto"/>
        <w:rPr>
          <w:rFonts w:hint="eastAsia" w:ascii="宋体" w:hAnsi="宋体" w:eastAsia="宋体" w:cs="宋体"/>
          <w:color w:val="auto"/>
          <w:highlight w:val="none"/>
        </w:rPr>
      </w:pPr>
    </w:p>
    <w:p w14:paraId="541810E2">
      <w:pPr>
        <w:pStyle w:val="16"/>
        <w:rPr>
          <w:rFonts w:hint="eastAsia" w:ascii="宋体" w:hAnsi="宋体" w:eastAsia="宋体" w:cs="宋体"/>
          <w:color w:val="auto"/>
          <w:highlight w:val="none"/>
        </w:rPr>
      </w:pPr>
    </w:p>
    <w:p w14:paraId="6E3AB699">
      <w:pPr>
        <w:rPr>
          <w:rFonts w:hint="eastAsia" w:ascii="宋体" w:hAnsi="宋体" w:eastAsia="宋体" w:cs="宋体"/>
          <w:color w:val="auto"/>
          <w:highlight w:val="none"/>
        </w:rPr>
      </w:pPr>
    </w:p>
    <w:p w14:paraId="320141C2">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3F098401">
      <w:pPr>
        <w:numPr>
          <w:ilvl w:val="0"/>
          <w:numId w:val="3"/>
        </w:numPr>
        <w:spacing w:line="360" w:lineRule="auto"/>
        <w:ind w:left="718" w:leftChars="342" w:firstLine="119" w:firstLineChars="33"/>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拟签订的合同文本</w:t>
      </w:r>
    </w:p>
    <w:p w14:paraId="3325C1D9">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合同编号：</w:t>
      </w:r>
    </w:p>
    <w:p w14:paraId="41E91900">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签订地点：                                 签订时间：202</w:t>
      </w:r>
      <w:r>
        <w:rPr>
          <w:rFonts w:hint="eastAsia" w:cs="宋体"/>
          <w:color w:val="auto"/>
          <w:highlight w:val="none"/>
          <w:lang w:val="en-US" w:eastAsia="zh-CN"/>
        </w:rPr>
        <w:t>5</w:t>
      </w:r>
      <w:r>
        <w:rPr>
          <w:rFonts w:hint="eastAsia" w:ascii="宋体" w:hAnsi="宋体" w:eastAsia="宋体" w:cs="宋体"/>
          <w:color w:val="auto"/>
          <w:highlight w:val="none"/>
        </w:rPr>
        <w:t>年  月  日</w:t>
      </w:r>
    </w:p>
    <w:p w14:paraId="5FCC116D">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项目名称：</w:t>
      </w:r>
    </w:p>
    <w:p w14:paraId="5C8D0FA1">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甲方（需方）：                                     </w:t>
      </w:r>
    </w:p>
    <w:p w14:paraId="7EDAE951">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乙方（供方）：                                     </w:t>
      </w:r>
    </w:p>
    <w:p w14:paraId="2446607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供、需双方根据项目（交易编号  -  -   ）成交结果和公开竞争文件的要求，并经双方协调一致，订立本合同。</w:t>
      </w:r>
    </w:p>
    <w:p w14:paraId="0EC0C014">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一、合同文件：</w:t>
      </w:r>
    </w:p>
    <w:p w14:paraId="55C8B49A">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1、合同条款。</w:t>
      </w:r>
    </w:p>
    <w:p w14:paraId="6FCA2CBE">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2、成交通知书。</w:t>
      </w:r>
    </w:p>
    <w:p w14:paraId="36220E9F">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3、公开竞争文件。</w:t>
      </w:r>
    </w:p>
    <w:p w14:paraId="25F4CF00">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4、更正公告。</w:t>
      </w:r>
    </w:p>
    <w:p w14:paraId="62475610">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5、成交单位响应文件。</w:t>
      </w:r>
    </w:p>
    <w:p w14:paraId="777636C2">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6、其他。</w:t>
      </w:r>
    </w:p>
    <w:p w14:paraId="467D3EE9">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二、合同金额: 本合同金额为（大写）</w:t>
      </w:r>
      <w:r>
        <w:rPr>
          <w:rFonts w:hint="eastAsia" w:ascii="宋体" w:hAnsi="宋体" w:eastAsia="宋体" w:cs="宋体"/>
          <w:color w:val="auto"/>
          <w:highlight w:val="none"/>
          <w:u w:val="single"/>
        </w:rPr>
        <w:t>　　　　</w:t>
      </w:r>
      <w:r>
        <w:rPr>
          <w:rFonts w:hint="eastAsia" w:ascii="宋体" w:hAnsi="宋体" w:eastAsia="宋体" w:cs="宋体"/>
          <w:color w:val="auto"/>
          <w:highlight w:val="none"/>
        </w:rPr>
        <w:t>元（￥</w:t>
      </w:r>
      <w:r>
        <w:rPr>
          <w:rFonts w:hint="eastAsia" w:ascii="宋体" w:hAnsi="宋体" w:eastAsia="宋体" w:cs="宋体"/>
          <w:color w:val="auto"/>
          <w:highlight w:val="none"/>
          <w:u w:val="single"/>
        </w:rPr>
        <w:t>　　　　</w:t>
      </w:r>
      <w:r>
        <w:rPr>
          <w:rFonts w:hint="eastAsia" w:ascii="宋体" w:hAnsi="宋体" w:eastAsia="宋体" w:cs="宋体"/>
          <w:color w:val="auto"/>
          <w:highlight w:val="none"/>
        </w:rPr>
        <w:t>元）人民币。</w:t>
      </w:r>
    </w:p>
    <w:p w14:paraId="7AA7B214">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附：</w:t>
      </w:r>
    </w:p>
    <w:p w14:paraId="49E5FB3B">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《项目清单内容》</w:t>
      </w:r>
    </w:p>
    <w:tbl>
      <w:tblPr>
        <w:tblStyle w:val="65"/>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637"/>
        <w:gridCol w:w="1972"/>
        <w:gridCol w:w="961"/>
        <w:gridCol w:w="2356"/>
      </w:tblGrid>
      <w:tr w14:paraId="0C764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2C5290A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637" w:type="dxa"/>
            <w:tcBorders>
              <w:top w:val="single" w:color="auto" w:sz="4" w:space="0"/>
              <w:left w:val="single" w:color="auto" w:sz="4" w:space="0"/>
              <w:bottom w:val="single" w:color="auto" w:sz="4" w:space="0"/>
              <w:right w:val="single" w:color="auto" w:sz="4" w:space="0"/>
            </w:tcBorders>
            <w:vAlign w:val="center"/>
          </w:tcPr>
          <w:p w14:paraId="130FC1F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tc>
        <w:tc>
          <w:tcPr>
            <w:tcW w:w="1972" w:type="dxa"/>
            <w:tcBorders>
              <w:top w:val="single" w:color="auto" w:sz="4" w:space="0"/>
              <w:left w:val="single" w:color="auto" w:sz="4" w:space="0"/>
              <w:bottom w:val="single" w:color="auto" w:sz="4" w:space="0"/>
              <w:right w:val="single" w:color="auto" w:sz="4" w:space="0"/>
            </w:tcBorders>
            <w:vAlign w:val="center"/>
          </w:tcPr>
          <w:p w14:paraId="250C0DA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成交内容</w:t>
            </w:r>
          </w:p>
        </w:tc>
        <w:tc>
          <w:tcPr>
            <w:tcW w:w="961" w:type="dxa"/>
            <w:tcBorders>
              <w:top w:val="single" w:color="auto" w:sz="4" w:space="0"/>
              <w:left w:val="single" w:color="auto" w:sz="4" w:space="0"/>
              <w:bottom w:val="single" w:color="auto" w:sz="4" w:space="0"/>
              <w:right w:val="single" w:color="auto" w:sz="4" w:space="0"/>
            </w:tcBorders>
            <w:vAlign w:val="center"/>
          </w:tcPr>
          <w:p w14:paraId="504FA3A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2356" w:type="dxa"/>
            <w:tcBorders>
              <w:top w:val="single" w:color="auto" w:sz="4" w:space="0"/>
              <w:left w:val="single" w:color="auto" w:sz="4" w:space="0"/>
              <w:bottom w:val="single" w:color="auto" w:sz="4" w:space="0"/>
              <w:right w:val="single" w:color="auto" w:sz="4" w:space="0"/>
            </w:tcBorders>
            <w:vAlign w:val="center"/>
          </w:tcPr>
          <w:p w14:paraId="37D7B48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成交总价（元）</w:t>
            </w:r>
          </w:p>
        </w:tc>
      </w:tr>
      <w:tr w14:paraId="77FCD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2E6756E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637" w:type="dxa"/>
            <w:tcBorders>
              <w:top w:val="single" w:color="auto" w:sz="4" w:space="0"/>
              <w:left w:val="single" w:color="auto" w:sz="4" w:space="0"/>
              <w:bottom w:val="single" w:color="auto" w:sz="4" w:space="0"/>
              <w:right w:val="single" w:color="auto" w:sz="4" w:space="0"/>
            </w:tcBorders>
            <w:vAlign w:val="center"/>
          </w:tcPr>
          <w:p w14:paraId="778D188F">
            <w:pPr>
              <w:spacing w:line="360" w:lineRule="auto"/>
              <w:jc w:val="center"/>
              <w:rPr>
                <w:rFonts w:hint="eastAsia" w:ascii="宋体" w:hAnsi="宋体" w:eastAsia="宋体" w:cs="宋体"/>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7A00C33D">
            <w:pPr>
              <w:spacing w:line="360" w:lineRule="auto"/>
              <w:jc w:val="center"/>
              <w:rPr>
                <w:rFonts w:hint="eastAsia" w:ascii="宋体" w:hAnsi="宋体" w:eastAsia="宋体" w:cs="宋体"/>
                <w:color w:val="auto"/>
                <w:sz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6ECFFED2">
            <w:pPr>
              <w:spacing w:line="360" w:lineRule="auto"/>
              <w:jc w:val="center"/>
              <w:rPr>
                <w:rFonts w:hint="eastAsia" w:ascii="宋体" w:hAnsi="宋体" w:eastAsia="宋体" w:cs="宋体"/>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1AAB667F">
            <w:pPr>
              <w:spacing w:line="360" w:lineRule="auto"/>
              <w:jc w:val="center"/>
              <w:rPr>
                <w:rFonts w:hint="eastAsia" w:ascii="宋体" w:hAnsi="宋体" w:eastAsia="宋体" w:cs="宋体"/>
                <w:color w:val="auto"/>
                <w:sz w:val="24"/>
                <w:highlight w:val="none"/>
              </w:rPr>
            </w:pPr>
          </w:p>
        </w:tc>
      </w:tr>
      <w:tr w14:paraId="52A16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425EF01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637" w:type="dxa"/>
            <w:tcBorders>
              <w:top w:val="single" w:color="auto" w:sz="4" w:space="0"/>
              <w:left w:val="single" w:color="auto" w:sz="4" w:space="0"/>
              <w:bottom w:val="single" w:color="auto" w:sz="4" w:space="0"/>
              <w:right w:val="single" w:color="auto" w:sz="4" w:space="0"/>
            </w:tcBorders>
            <w:vAlign w:val="center"/>
          </w:tcPr>
          <w:p w14:paraId="583CE70B">
            <w:pPr>
              <w:spacing w:line="360" w:lineRule="auto"/>
              <w:jc w:val="center"/>
              <w:rPr>
                <w:rFonts w:hint="eastAsia" w:ascii="宋体" w:hAnsi="宋体" w:eastAsia="宋体" w:cs="宋体"/>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33BF988F">
            <w:pPr>
              <w:spacing w:line="360" w:lineRule="auto"/>
              <w:jc w:val="center"/>
              <w:rPr>
                <w:rFonts w:hint="eastAsia" w:ascii="宋体" w:hAnsi="宋体" w:eastAsia="宋体" w:cs="宋体"/>
                <w:color w:val="auto"/>
                <w:sz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7DD9C138">
            <w:pPr>
              <w:spacing w:line="360" w:lineRule="auto"/>
              <w:jc w:val="center"/>
              <w:rPr>
                <w:rFonts w:hint="eastAsia" w:ascii="宋体" w:hAnsi="宋体" w:eastAsia="宋体" w:cs="宋体"/>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10A2FFCC">
            <w:pPr>
              <w:spacing w:line="360" w:lineRule="auto"/>
              <w:jc w:val="center"/>
              <w:rPr>
                <w:rFonts w:hint="eastAsia" w:ascii="宋体" w:hAnsi="宋体" w:eastAsia="宋体" w:cs="宋体"/>
                <w:color w:val="auto"/>
                <w:sz w:val="24"/>
                <w:highlight w:val="none"/>
              </w:rPr>
            </w:pPr>
          </w:p>
        </w:tc>
      </w:tr>
    </w:tbl>
    <w:p w14:paraId="031DE5FE">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三、技术资料</w:t>
      </w:r>
    </w:p>
    <w:p w14:paraId="11844A23">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1.乙方应按公开竞争文件规定的时间向甲方提供有关技术资料。</w:t>
      </w:r>
    </w:p>
    <w:p w14:paraId="500B4424">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783DDBF2">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四、转包或分包</w:t>
      </w:r>
    </w:p>
    <w:p w14:paraId="248039C6">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1.本合同范围的服务，应由乙方直接提供，乙方不得将本合同范围的服务全部或部分分包给他人供应；</w:t>
      </w:r>
    </w:p>
    <w:p w14:paraId="0820FF4F">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2.如有转让和未经甲方同意的分包行为，甲方有权解除合同，追究乙方的违约责任。</w:t>
      </w:r>
    </w:p>
    <w:p w14:paraId="0D6E1396">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五、服务质量保证期</w:t>
      </w:r>
    </w:p>
    <w:p w14:paraId="5F2FD146">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 服务时间：</w:t>
      </w:r>
    </w:p>
    <w:p w14:paraId="342F1153">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六、合同履行时间、履行方式及履行地点</w:t>
      </w:r>
    </w:p>
    <w:p w14:paraId="2E5DD0F3">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 履行时间：</w:t>
      </w:r>
    </w:p>
    <w:p w14:paraId="1CC6CD75">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 履行方式：按合同履行。</w:t>
      </w:r>
    </w:p>
    <w:p w14:paraId="4E5D997A">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 履行地点：甲方指定地点内。</w:t>
      </w:r>
    </w:p>
    <w:p w14:paraId="13FE7292">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七、款项支付</w:t>
      </w:r>
    </w:p>
    <w:p w14:paraId="077BB9A7">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参照交易需求。</w:t>
      </w:r>
    </w:p>
    <w:p w14:paraId="5D188160">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十、税费</w:t>
      </w:r>
    </w:p>
    <w:p w14:paraId="5C8AA52E">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本合同执行中相关的一切税费均由乙方负担。</w:t>
      </w:r>
    </w:p>
    <w:p w14:paraId="3A65B680">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十一、质量保证及后续服务</w:t>
      </w:r>
    </w:p>
    <w:p w14:paraId="0DEFC1CE">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 乙方应按公开竞争文件规定向甲方提供服务。</w:t>
      </w:r>
    </w:p>
    <w:p w14:paraId="17254D30">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 乙方提供的服务发生问题或产出重大不良影响的，除按公开竞争文件扣除结算金额外，乙方应负责免费提供后续善后服务，同时承担相应责任。</w:t>
      </w:r>
    </w:p>
    <w:p w14:paraId="5F3B981C">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十二、违约责任</w:t>
      </w:r>
    </w:p>
    <w:p w14:paraId="729317EE">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1.甲方无正当理由拒绝接收服务的，甲方向乙方偿付合同款项百分之五作为违约金。</w:t>
      </w:r>
    </w:p>
    <w:p w14:paraId="459A34A9">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乙方未能如期提供服务的，每日向甲方支付合同款项的千分之六作为违约金。乙方超过约定日期3个工作日仍不能提供服务的，甲方可解除本合同，追究乙赔偿责任。4.如发现乙方违反公开竞争文件、响应文件和合同的有关规定，甲方有权根据约定和《杭州市政府采购响应人合同履行和售后服务考核暂行办法》，对乙方进行处罚，并有权提前终止合同。</w:t>
      </w:r>
    </w:p>
    <w:p w14:paraId="2F52762B">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十三、争议的解决</w:t>
      </w:r>
    </w:p>
    <w:p w14:paraId="2ADFFCB6">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因本合同引起的或与本合同有关的任何争议，合同双方应首先通过协商解决，达成书面协议，如协商不成，可选择下列方式解决。</w:t>
      </w:r>
    </w:p>
    <w:p w14:paraId="763E13E0">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（1）提请杭州仲裁委员会按照该会仲裁规则进行仲裁，仲裁裁决是终局的，对合同双方均有约束力。</w:t>
      </w:r>
    </w:p>
    <w:p w14:paraId="68D94E17">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（2）向有管辖权的人民法院提起诉讼。</w:t>
      </w:r>
    </w:p>
    <w:p w14:paraId="435F665C">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十四、合同生效</w:t>
      </w:r>
    </w:p>
    <w:p w14:paraId="3F228992">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1.成交方持成交通知书作为与需方签订合同的凭证。</w:t>
      </w:r>
    </w:p>
    <w:p w14:paraId="2FEF11A5">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2.本合同经需、供双方法定代表人或其授权委托人签字并加盖单位公章或合同章后生效。</w:t>
      </w:r>
    </w:p>
    <w:p w14:paraId="7A0D0AAB">
      <w:pPr>
        <w:pStyle w:val="26"/>
        <w:snapToGrid w:val="0"/>
        <w:spacing w:line="360" w:lineRule="auto"/>
        <w:rPr>
          <w:rFonts w:hint="eastAsia" w:ascii="宋体" w:hAnsi="宋体" w:eastAsia="宋体" w:cs="宋体"/>
          <w:color w:val="auto"/>
          <w:highlight w:val="none"/>
        </w:rPr>
      </w:pPr>
    </w:p>
    <w:p w14:paraId="34C48778">
      <w:pPr>
        <w:pStyle w:val="26"/>
        <w:snapToGrid w:val="0"/>
        <w:spacing w:line="360" w:lineRule="auto"/>
        <w:rPr>
          <w:rFonts w:hint="eastAsia" w:ascii="宋体" w:hAnsi="宋体" w:eastAsia="宋体" w:cs="宋体"/>
          <w:color w:val="auto"/>
          <w:highlight w:val="none"/>
        </w:rPr>
      </w:pPr>
    </w:p>
    <w:p w14:paraId="6502AA4D">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需方（盖章）：                     供方（盖章）：</w:t>
      </w:r>
    </w:p>
    <w:p w14:paraId="4C2194C9">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地址：                             地址：</w:t>
      </w:r>
    </w:p>
    <w:p w14:paraId="6AE0A904">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法定代表人（或委托代理人）签名：   法定代表人（或委托代理人）签名：</w:t>
      </w:r>
    </w:p>
    <w:p w14:paraId="4461488D">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联系电话：                         联系电话：</w:t>
      </w:r>
    </w:p>
    <w:p w14:paraId="796ED63D">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邮政编码：                         邮政编码：</w:t>
      </w:r>
    </w:p>
    <w:p w14:paraId="52641936">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开户银行：                         开户银行：      </w:t>
      </w:r>
    </w:p>
    <w:p w14:paraId="4B97409F">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帐号：                             帐号：</w:t>
      </w:r>
      <w:r>
        <w:rPr>
          <w:rFonts w:hint="eastAsia" w:ascii="宋体" w:hAnsi="宋体" w:eastAsia="宋体" w:cs="宋体"/>
          <w:color w:val="auto"/>
          <w:highlight w:val="none"/>
        </w:rPr>
        <w:br w:type="page"/>
      </w:r>
    </w:p>
    <w:p w14:paraId="461D0882">
      <w:pPr>
        <w:rPr>
          <w:rFonts w:hint="eastAsia" w:ascii="宋体" w:hAnsi="宋体" w:eastAsia="宋体" w:cs="宋体"/>
          <w:color w:val="auto"/>
          <w:highlight w:val="none"/>
        </w:rPr>
      </w:pPr>
    </w:p>
    <w:p w14:paraId="116D5F1D">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84"/>
      <w:bookmarkEnd w:id="385"/>
      <w:r>
        <w:rPr>
          <w:rFonts w:hint="eastAsia" w:ascii="宋体" w:hAnsi="宋体" w:eastAsia="宋体" w:cs="宋体"/>
          <w:b/>
          <w:color w:val="auto"/>
          <w:sz w:val="36"/>
          <w:szCs w:val="20"/>
          <w:highlight w:val="none"/>
        </w:rPr>
        <w:t>应提交的有关格式范例</w:t>
      </w:r>
    </w:p>
    <w:p w14:paraId="0F46EF78">
      <w:pPr>
        <w:spacing w:line="360" w:lineRule="auto"/>
        <w:jc w:val="center"/>
        <w:outlineLvl w:val="0"/>
        <w:rPr>
          <w:rFonts w:hint="eastAsia" w:ascii="宋体" w:hAnsi="宋体" w:eastAsia="宋体" w:cs="宋体"/>
          <w:b/>
          <w:color w:val="auto"/>
          <w:kern w:val="0"/>
          <w:sz w:val="36"/>
          <w:szCs w:val="36"/>
          <w:highlight w:val="none"/>
        </w:rPr>
      </w:pPr>
    </w:p>
    <w:p w14:paraId="7E6A12B5">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1C5D2321">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4101B4BE">
      <w:pPr>
        <w:spacing w:line="360" w:lineRule="auto"/>
        <w:jc w:val="center"/>
        <w:outlineLvl w:val="0"/>
        <w:rPr>
          <w:rFonts w:hint="eastAsia" w:ascii="宋体" w:hAnsi="宋体" w:eastAsia="宋体" w:cs="宋体"/>
          <w:b/>
          <w:color w:val="auto"/>
          <w:kern w:val="0"/>
          <w:sz w:val="36"/>
          <w:szCs w:val="36"/>
          <w:highlight w:val="none"/>
        </w:rPr>
      </w:pPr>
    </w:p>
    <w:p w14:paraId="030CF27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（1）符合参加交易活动应当具备的一般条件的承诺函…………………（页码）</w:t>
      </w:r>
    </w:p>
    <w:p w14:paraId="6043EFB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（2）本项目的特定资格要求………………………………………………（页码）</w:t>
      </w:r>
    </w:p>
    <w:p w14:paraId="20EC4860">
      <w:pPr>
        <w:snapToGrid w:val="0"/>
        <w:spacing w:line="360" w:lineRule="auto"/>
        <w:ind w:firstLine="480" w:firstLineChars="200"/>
        <w:rPr>
          <w:rFonts w:hint="eastAsia" w:ascii="宋体" w:hAnsi="宋体" w:eastAsia="宋体" w:cs="宋体"/>
          <w:color w:val="auto"/>
          <w:sz w:val="24"/>
          <w:highlight w:val="none"/>
        </w:rPr>
      </w:pPr>
    </w:p>
    <w:p w14:paraId="45CF33E0">
      <w:pPr>
        <w:spacing w:line="360" w:lineRule="auto"/>
        <w:ind w:firstLine="480" w:firstLineChars="200"/>
        <w:rPr>
          <w:rFonts w:hint="eastAsia" w:ascii="宋体" w:hAnsi="宋体" w:eastAsia="宋体" w:cs="宋体"/>
          <w:color w:val="auto"/>
          <w:sz w:val="24"/>
          <w:highlight w:val="none"/>
        </w:rPr>
      </w:pPr>
    </w:p>
    <w:p w14:paraId="56F79984">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符合参加交易活动应当具备的一般条件的承诺函</w:t>
      </w:r>
    </w:p>
    <w:p w14:paraId="0C5D54CD">
      <w:pPr>
        <w:snapToGrid w:val="0"/>
        <w:spacing w:line="360" w:lineRule="auto"/>
        <w:rPr>
          <w:rFonts w:hint="eastAsia" w:ascii="宋体" w:hAnsi="宋体" w:eastAsia="宋体" w:cs="宋体"/>
          <w:color w:val="auto"/>
          <w:sz w:val="24"/>
          <w:highlight w:val="none"/>
        </w:rPr>
      </w:pPr>
    </w:p>
    <w:p w14:paraId="5E6766AB">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（交易发起人）、（代理机构）：</w:t>
      </w:r>
    </w:p>
    <w:p w14:paraId="5245FD8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u w:val="single"/>
        </w:rPr>
        <w:t>（项目名称）【交易编号：】</w:t>
      </w:r>
      <w:r>
        <w:rPr>
          <w:rFonts w:hint="eastAsia" w:ascii="宋体" w:hAnsi="宋体" w:eastAsia="宋体" w:cs="宋体"/>
          <w:color w:val="auto"/>
          <w:sz w:val="24"/>
          <w:highlight w:val="none"/>
        </w:rPr>
        <w:t>交易活动，郑重承诺：</w:t>
      </w:r>
    </w:p>
    <w:p w14:paraId="79F18A79">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（一）具备以下条件：</w:t>
      </w:r>
    </w:p>
    <w:p w14:paraId="2A6A553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2FCADB8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2C97A75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6EB1C11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6044CA1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5、参加交易活动前三年内，在经营活动中没有重大违法记录；</w:t>
      </w:r>
    </w:p>
    <w:p w14:paraId="7EECBAF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0F0AD97A">
      <w:pPr>
        <w:snapToGrid w:val="0"/>
        <w:spacing w:line="360" w:lineRule="auto"/>
        <w:ind w:firstLine="5520" w:firstLineChars="2300"/>
        <w:rPr>
          <w:rFonts w:hint="eastAsia" w:ascii="宋体" w:hAnsi="宋体" w:eastAsia="宋体" w:cs="宋体"/>
          <w:color w:val="auto"/>
          <w:kern w:val="0"/>
          <w:sz w:val="24"/>
          <w:highlight w:val="none"/>
          <w:lang w:val="zh-CN"/>
        </w:rPr>
      </w:pPr>
    </w:p>
    <w:p w14:paraId="4D6AA16D">
      <w:pPr>
        <w:snapToGrid w:val="0"/>
        <w:spacing w:line="360" w:lineRule="auto"/>
        <w:ind w:firstLine="5520" w:firstLineChars="2300"/>
        <w:rPr>
          <w:rFonts w:hint="eastAsia" w:ascii="宋体" w:hAnsi="宋体" w:eastAsia="宋体" w:cs="宋体"/>
          <w:color w:val="auto"/>
          <w:kern w:val="0"/>
          <w:sz w:val="24"/>
          <w:highlight w:val="none"/>
          <w:lang w:val="zh-CN"/>
        </w:rPr>
      </w:pPr>
    </w:p>
    <w:p w14:paraId="77A64B9C">
      <w:pPr>
        <w:snapToGrid w:val="0"/>
        <w:spacing w:line="360" w:lineRule="auto"/>
        <w:ind w:firstLine="5520" w:firstLineChars="2300"/>
        <w:rPr>
          <w:rFonts w:hint="eastAsia" w:ascii="宋体" w:hAnsi="宋体" w:eastAsia="宋体" w:cs="宋体"/>
          <w:color w:val="auto"/>
          <w:kern w:val="0"/>
          <w:sz w:val="24"/>
          <w:highlight w:val="none"/>
          <w:lang w:val="zh-CN"/>
        </w:rPr>
      </w:pPr>
    </w:p>
    <w:p w14:paraId="41E30974">
      <w:pPr>
        <w:snapToGrid w:val="0"/>
        <w:spacing w:line="360" w:lineRule="auto"/>
        <w:ind w:firstLine="5520" w:firstLineChars="23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响应人名称(电子签名)：</w:t>
      </w:r>
    </w:p>
    <w:p w14:paraId="364372E8">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月日</w:t>
      </w:r>
    </w:p>
    <w:p w14:paraId="14ADA43E">
      <w:pPr>
        <w:snapToGrid w:val="0"/>
        <w:spacing w:line="360" w:lineRule="auto"/>
        <w:ind w:right="480"/>
        <w:jc w:val="center"/>
        <w:rPr>
          <w:rFonts w:hint="eastAsia" w:ascii="宋体" w:hAnsi="宋体" w:eastAsia="宋体" w:cs="宋体"/>
          <w:b/>
          <w:color w:val="auto"/>
          <w:kern w:val="0"/>
          <w:sz w:val="32"/>
          <w:szCs w:val="32"/>
          <w:highlight w:val="none"/>
        </w:rPr>
      </w:pPr>
    </w:p>
    <w:p w14:paraId="056697A7">
      <w:pPr>
        <w:snapToGrid w:val="0"/>
        <w:spacing w:line="360" w:lineRule="auto"/>
        <w:ind w:right="480"/>
        <w:jc w:val="center"/>
        <w:rPr>
          <w:rFonts w:hint="eastAsia" w:ascii="宋体" w:hAnsi="宋体" w:eastAsia="宋体" w:cs="宋体"/>
          <w:b/>
          <w:color w:val="auto"/>
          <w:kern w:val="0"/>
          <w:sz w:val="32"/>
          <w:szCs w:val="32"/>
          <w:highlight w:val="none"/>
        </w:rPr>
      </w:pPr>
    </w:p>
    <w:p w14:paraId="5E9468DE">
      <w:pPr>
        <w:snapToGrid w:val="0"/>
        <w:spacing w:line="360" w:lineRule="auto"/>
        <w:ind w:right="480"/>
        <w:jc w:val="center"/>
        <w:rPr>
          <w:rFonts w:hint="eastAsia" w:ascii="宋体" w:hAnsi="宋体" w:eastAsia="宋体" w:cs="宋体"/>
          <w:b/>
          <w:color w:val="auto"/>
          <w:kern w:val="0"/>
          <w:sz w:val="32"/>
          <w:szCs w:val="32"/>
          <w:highlight w:val="none"/>
        </w:rPr>
      </w:pPr>
    </w:p>
    <w:p w14:paraId="75127744">
      <w:pPr>
        <w:rPr>
          <w:rFonts w:hint="eastAsia" w:ascii="宋体" w:hAnsi="宋体" w:eastAsia="宋体" w:cs="宋体"/>
          <w:color w:val="auto"/>
          <w:highlight w:val="none"/>
        </w:rPr>
      </w:pPr>
    </w:p>
    <w:p w14:paraId="531607D8">
      <w:pPr>
        <w:widowControl/>
        <w:spacing w:line="360" w:lineRule="auto"/>
        <w:ind w:left="150"/>
        <w:jc w:val="center"/>
        <w:rPr>
          <w:rFonts w:hint="eastAsia" w:ascii="宋体" w:hAnsi="宋体" w:eastAsia="宋体" w:cs="宋体"/>
          <w:b/>
          <w:color w:val="auto"/>
          <w:kern w:val="0"/>
          <w:sz w:val="32"/>
          <w:szCs w:val="32"/>
          <w:highlight w:val="none"/>
        </w:rPr>
      </w:pPr>
    </w:p>
    <w:p w14:paraId="2E08186A">
      <w:pPr>
        <w:widowControl/>
        <w:spacing w:line="360" w:lineRule="auto"/>
        <w:ind w:left="150"/>
        <w:jc w:val="center"/>
        <w:rPr>
          <w:rFonts w:hint="eastAsia" w:ascii="宋体" w:hAnsi="宋体" w:eastAsia="宋体" w:cs="宋体"/>
          <w:b/>
          <w:color w:val="auto"/>
          <w:kern w:val="0"/>
          <w:sz w:val="32"/>
          <w:szCs w:val="32"/>
          <w:highlight w:val="none"/>
        </w:rPr>
      </w:pPr>
    </w:p>
    <w:p w14:paraId="63A49304">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二、本项目的特定资格要求</w:t>
      </w:r>
    </w:p>
    <w:p w14:paraId="5BB0D30A">
      <w:pPr>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color w:val="auto"/>
          <w:sz w:val="24"/>
          <w:highlight w:val="none"/>
        </w:rPr>
        <w:t>（根据交易公告本项目的特定资格要求提供相应的材料；未要求的，无需提供）</w:t>
      </w:r>
    </w:p>
    <w:p w14:paraId="3BAE9CE5">
      <w:pPr>
        <w:snapToGrid w:val="0"/>
        <w:spacing w:line="360" w:lineRule="auto"/>
        <w:ind w:right="480"/>
        <w:jc w:val="center"/>
        <w:rPr>
          <w:rFonts w:hint="eastAsia" w:ascii="宋体" w:hAnsi="宋体" w:eastAsia="宋体" w:cs="宋体"/>
          <w:b/>
          <w:color w:val="auto"/>
          <w:kern w:val="0"/>
          <w:sz w:val="32"/>
          <w:szCs w:val="32"/>
          <w:highlight w:val="none"/>
        </w:rPr>
      </w:pPr>
    </w:p>
    <w:p w14:paraId="6FBDA634">
      <w:pPr>
        <w:spacing w:line="360" w:lineRule="auto"/>
        <w:jc w:val="center"/>
        <w:outlineLvl w:val="0"/>
        <w:rPr>
          <w:rFonts w:hint="eastAsia" w:ascii="宋体" w:hAnsi="宋体" w:eastAsia="宋体" w:cs="宋体"/>
          <w:b/>
          <w:color w:val="auto"/>
          <w:kern w:val="0"/>
          <w:sz w:val="36"/>
          <w:szCs w:val="36"/>
          <w:highlight w:val="none"/>
        </w:rPr>
      </w:pPr>
    </w:p>
    <w:p w14:paraId="0F4552AE">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247ECFFC">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1C151566">
      <w:pPr>
        <w:spacing w:line="360" w:lineRule="auto"/>
        <w:jc w:val="center"/>
        <w:outlineLvl w:val="0"/>
        <w:rPr>
          <w:rFonts w:hint="eastAsia" w:ascii="宋体" w:hAnsi="宋体" w:eastAsia="宋体" w:cs="宋体"/>
          <w:b/>
          <w:color w:val="auto"/>
          <w:kern w:val="0"/>
          <w:sz w:val="24"/>
          <w:highlight w:val="none"/>
        </w:rPr>
      </w:pPr>
    </w:p>
    <w:p w14:paraId="77EA1590">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5C4B39E0">
      <w:pPr>
        <w:snapToGrid w:val="0"/>
        <w:spacing w:line="360" w:lineRule="auto"/>
        <w:ind w:left="479" w:leftChars="228"/>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（1）交易函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03A59B1A">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（3）营业执照</w:t>
      </w:r>
      <w:r>
        <w:rPr>
          <w:rFonts w:hint="eastAsia" w:ascii="宋体" w:hAnsi="宋体" w:eastAsia="宋体" w:cs="宋体"/>
          <w:color w:val="auto"/>
          <w:highlight w:val="none"/>
        </w:rPr>
        <w:t>………………………………………………………………………………（页码）</w:t>
      </w:r>
    </w:p>
    <w:p w14:paraId="5CF1E3E4">
      <w:pPr>
        <w:snapToGrid w:val="0"/>
        <w:spacing w:line="360" w:lineRule="auto"/>
        <w:ind w:firstLine="480" w:firstLineChars="200"/>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504D4632">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（5）评审标准相应的商务技术资料</w:t>
      </w:r>
      <w:r>
        <w:rPr>
          <w:rFonts w:hint="eastAsia" w:ascii="宋体" w:hAnsi="宋体" w:eastAsia="宋体" w:cs="宋体"/>
          <w:color w:val="auto"/>
          <w:highlight w:val="none"/>
        </w:rPr>
        <w:t>……………………………………………………（页码）</w:t>
      </w:r>
    </w:p>
    <w:p w14:paraId="195B1789">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（6）商务技术偏离表</w:t>
      </w:r>
      <w:r>
        <w:rPr>
          <w:rFonts w:hint="eastAsia" w:ascii="宋体" w:hAnsi="宋体" w:eastAsia="宋体" w:cs="宋体"/>
          <w:color w:val="auto"/>
          <w:highlight w:val="none"/>
        </w:rPr>
        <w:t>………………………………………………………………………（页码）</w:t>
      </w:r>
    </w:p>
    <w:p w14:paraId="107D62E0">
      <w:pPr>
        <w:snapToGrid w:val="0"/>
        <w:spacing w:line="360" w:lineRule="auto"/>
        <w:ind w:left="479" w:leftChars="228"/>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zh-CN"/>
        </w:rPr>
        <w:t>响应人廉洁自律承诺书</w:t>
      </w:r>
      <w:r>
        <w:rPr>
          <w:rFonts w:hint="eastAsia" w:ascii="宋体" w:hAnsi="宋体" w:eastAsia="宋体" w:cs="宋体"/>
          <w:color w:val="auto"/>
          <w:highlight w:val="none"/>
        </w:rPr>
        <w:t>……………………………………………………………（页码）</w:t>
      </w:r>
    </w:p>
    <w:p w14:paraId="5FA86475">
      <w:pPr>
        <w:snapToGrid w:val="0"/>
        <w:spacing w:line="360" w:lineRule="auto"/>
        <w:jc w:val="center"/>
        <w:rPr>
          <w:rFonts w:hint="eastAsia" w:ascii="宋体" w:hAnsi="宋体" w:eastAsia="宋体" w:cs="宋体"/>
          <w:b/>
          <w:color w:val="auto"/>
          <w:kern w:val="0"/>
          <w:sz w:val="32"/>
          <w:szCs w:val="32"/>
          <w:highlight w:val="none"/>
          <w:lang w:val="zh-CN"/>
        </w:rPr>
      </w:pPr>
    </w:p>
    <w:p w14:paraId="22364302">
      <w:pPr>
        <w:snapToGrid w:val="0"/>
        <w:spacing w:line="360" w:lineRule="auto"/>
        <w:jc w:val="center"/>
        <w:rPr>
          <w:rFonts w:hint="eastAsia" w:ascii="宋体" w:hAnsi="宋体" w:eastAsia="宋体" w:cs="宋体"/>
          <w:b/>
          <w:color w:val="auto"/>
          <w:kern w:val="0"/>
          <w:sz w:val="32"/>
          <w:szCs w:val="32"/>
          <w:highlight w:val="none"/>
          <w:lang w:val="zh-CN"/>
        </w:rPr>
      </w:pPr>
    </w:p>
    <w:p w14:paraId="34084B68">
      <w:pPr>
        <w:snapToGrid w:val="0"/>
        <w:spacing w:line="360" w:lineRule="auto"/>
        <w:jc w:val="center"/>
        <w:rPr>
          <w:rFonts w:hint="eastAsia" w:ascii="宋体" w:hAnsi="宋体" w:eastAsia="宋体" w:cs="宋体"/>
          <w:b/>
          <w:color w:val="auto"/>
          <w:kern w:val="0"/>
          <w:sz w:val="32"/>
          <w:szCs w:val="32"/>
          <w:highlight w:val="none"/>
          <w:lang w:val="zh-CN"/>
        </w:rPr>
      </w:pPr>
    </w:p>
    <w:p w14:paraId="2B5A52C8">
      <w:pPr>
        <w:snapToGrid w:val="0"/>
        <w:spacing w:line="360" w:lineRule="auto"/>
        <w:jc w:val="center"/>
        <w:rPr>
          <w:rFonts w:hint="eastAsia" w:ascii="宋体" w:hAnsi="宋体" w:eastAsia="宋体" w:cs="宋体"/>
          <w:b/>
          <w:color w:val="auto"/>
          <w:kern w:val="0"/>
          <w:sz w:val="32"/>
          <w:szCs w:val="32"/>
          <w:highlight w:val="none"/>
          <w:lang w:val="zh-CN"/>
        </w:rPr>
      </w:pPr>
    </w:p>
    <w:p w14:paraId="792DE034">
      <w:pPr>
        <w:snapToGrid w:val="0"/>
        <w:spacing w:line="360" w:lineRule="auto"/>
        <w:jc w:val="center"/>
        <w:rPr>
          <w:rFonts w:hint="eastAsia" w:ascii="宋体" w:hAnsi="宋体" w:eastAsia="宋体" w:cs="宋体"/>
          <w:b/>
          <w:color w:val="auto"/>
          <w:kern w:val="0"/>
          <w:sz w:val="32"/>
          <w:szCs w:val="32"/>
          <w:highlight w:val="none"/>
          <w:lang w:val="zh-CN"/>
        </w:rPr>
      </w:pPr>
    </w:p>
    <w:p w14:paraId="409182DF">
      <w:pPr>
        <w:snapToGrid w:val="0"/>
        <w:spacing w:line="360" w:lineRule="auto"/>
        <w:jc w:val="center"/>
        <w:outlineLvl w:val="0"/>
        <w:rPr>
          <w:rFonts w:hint="eastAsia" w:ascii="宋体" w:hAnsi="宋体" w:eastAsia="宋体" w:cs="宋体"/>
          <w:b/>
          <w:color w:val="auto"/>
          <w:kern w:val="0"/>
          <w:sz w:val="32"/>
          <w:szCs w:val="32"/>
          <w:highlight w:val="none"/>
        </w:rPr>
      </w:pPr>
    </w:p>
    <w:p w14:paraId="66415DDC">
      <w:pPr>
        <w:snapToGrid w:val="0"/>
        <w:spacing w:line="360" w:lineRule="auto"/>
        <w:jc w:val="center"/>
        <w:outlineLvl w:val="0"/>
        <w:rPr>
          <w:rFonts w:hint="eastAsia" w:ascii="宋体" w:hAnsi="宋体" w:eastAsia="宋体" w:cs="宋体"/>
          <w:b/>
          <w:color w:val="auto"/>
          <w:kern w:val="0"/>
          <w:sz w:val="32"/>
          <w:szCs w:val="32"/>
          <w:highlight w:val="none"/>
        </w:rPr>
      </w:pPr>
    </w:p>
    <w:p w14:paraId="01E9B25B">
      <w:pPr>
        <w:rPr>
          <w:rFonts w:hint="eastAsia" w:ascii="宋体" w:hAnsi="宋体" w:eastAsia="宋体" w:cs="宋体"/>
          <w:color w:val="auto"/>
          <w:highlight w:val="none"/>
        </w:rPr>
      </w:pPr>
    </w:p>
    <w:p w14:paraId="7CF0488E">
      <w:pPr>
        <w:snapToGrid w:val="0"/>
        <w:spacing w:line="360" w:lineRule="auto"/>
        <w:jc w:val="center"/>
        <w:outlineLvl w:val="0"/>
        <w:rPr>
          <w:rFonts w:hint="eastAsia" w:ascii="宋体" w:hAnsi="宋体" w:eastAsia="宋体" w:cs="宋体"/>
          <w:b/>
          <w:color w:val="auto"/>
          <w:kern w:val="0"/>
          <w:sz w:val="32"/>
          <w:szCs w:val="32"/>
          <w:highlight w:val="none"/>
        </w:rPr>
      </w:pPr>
    </w:p>
    <w:p w14:paraId="157D648B">
      <w:pPr>
        <w:snapToGrid w:val="0"/>
        <w:spacing w:line="360" w:lineRule="auto"/>
        <w:jc w:val="center"/>
        <w:outlineLvl w:val="0"/>
        <w:rPr>
          <w:rFonts w:hint="eastAsia" w:ascii="宋体" w:hAnsi="宋体" w:eastAsia="宋体" w:cs="宋体"/>
          <w:b/>
          <w:color w:val="auto"/>
          <w:kern w:val="0"/>
          <w:sz w:val="32"/>
          <w:szCs w:val="32"/>
          <w:highlight w:val="none"/>
        </w:rPr>
      </w:pPr>
    </w:p>
    <w:p w14:paraId="4296699A">
      <w:pPr>
        <w:snapToGrid w:val="0"/>
        <w:spacing w:line="360" w:lineRule="auto"/>
        <w:jc w:val="center"/>
        <w:outlineLvl w:val="0"/>
        <w:rPr>
          <w:rFonts w:hint="eastAsia" w:ascii="宋体" w:hAnsi="宋体" w:eastAsia="宋体" w:cs="宋体"/>
          <w:b/>
          <w:color w:val="auto"/>
          <w:kern w:val="0"/>
          <w:sz w:val="32"/>
          <w:szCs w:val="32"/>
          <w:highlight w:val="none"/>
        </w:rPr>
      </w:pPr>
    </w:p>
    <w:p w14:paraId="3C6A6E17">
      <w:pPr>
        <w:snapToGrid w:val="0"/>
        <w:spacing w:line="360" w:lineRule="auto"/>
        <w:jc w:val="center"/>
        <w:outlineLvl w:val="0"/>
        <w:rPr>
          <w:rFonts w:hint="eastAsia" w:ascii="宋体" w:hAnsi="宋体" w:eastAsia="宋体" w:cs="宋体"/>
          <w:b/>
          <w:color w:val="auto"/>
          <w:kern w:val="0"/>
          <w:sz w:val="32"/>
          <w:szCs w:val="32"/>
          <w:highlight w:val="none"/>
        </w:rPr>
      </w:pPr>
    </w:p>
    <w:p w14:paraId="08CC61B2">
      <w:pPr>
        <w:snapToGrid w:val="0"/>
        <w:spacing w:line="360" w:lineRule="auto"/>
        <w:jc w:val="center"/>
        <w:outlineLvl w:val="0"/>
        <w:rPr>
          <w:rFonts w:hint="eastAsia" w:ascii="宋体" w:hAnsi="宋体" w:eastAsia="宋体" w:cs="宋体"/>
          <w:b/>
          <w:color w:val="auto"/>
          <w:kern w:val="0"/>
          <w:sz w:val="32"/>
          <w:szCs w:val="32"/>
          <w:highlight w:val="none"/>
        </w:rPr>
      </w:pPr>
    </w:p>
    <w:p w14:paraId="3DE4A444">
      <w:pPr>
        <w:snapToGrid w:val="0"/>
        <w:spacing w:line="360" w:lineRule="auto"/>
        <w:jc w:val="center"/>
        <w:outlineLvl w:val="0"/>
        <w:rPr>
          <w:rFonts w:hint="eastAsia" w:ascii="宋体" w:hAnsi="宋体" w:eastAsia="宋体" w:cs="宋体"/>
          <w:b/>
          <w:color w:val="auto"/>
          <w:kern w:val="0"/>
          <w:sz w:val="32"/>
          <w:szCs w:val="32"/>
          <w:highlight w:val="none"/>
        </w:rPr>
      </w:pPr>
    </w:p>
    <w:p w14:paraId="1C1D6D4B">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280EA1B">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一、交易函</w:t>
      </w:r>
    </w:p>
    <w:p w14:paraId="50E848AA">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（交易发起人）、（代理机构）：</w:t>
      </w:r>
    </w:p>
    <w:p w14:paraId="269C1911">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rPr>
        <w:t>（项目名称）【交易编号：】</w:t>
      </w:r>
      <w:r>
        <w:rPr>
          <w:rFonts w:hint="eastAsia" w:ascii="宋体" w:hAnsi="宋体" w:eastAsia="宋体" w:cs="宋体"/>
          <w:color w:val="auto"/>
          <w:sz w:val="24"/>
          <w:highlight w:val="none"/>
        </w:rPr>
        <w:t>招标的有关活动，并对此项目进行投标。为此：</w:t>
      </w:r>
    </w:p>
    <w:p w14:paraId="7E239B1A">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1、我方承诺交易有效期从提交响应文件的截止之日起天（不少于90天）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本响应文件在交易有效期满之前均具有约束力。</w:t>
      </w:r>
    </w:p>
    <w:p w14:paraId="56E0E9F8">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2、我方的响应文件包括以下内容：</w:t>
      </w:r>
    </w:p>
    <w:p w14:paraId="27D3D9B4">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2F3207EE">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4976ED07">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2.1.2本项目的特定资格要求（如果有）。</w:t>
      </w:r>
    </w:p>
    <w:p w14:paraId="0C003489">
      <w:pPr>
        <w:snapToGrid w:val="0"/>
        <w:spacing w:line="440" w:lineRule="exact"/>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2商务技术</w:t>
      </w:r>
      <w:r>
        <w:rPr>
          <w:rFonts w:hint="eastAsia" w:ascii="宋体" w:hAnsi="宋体" w:eastAsia="宋体" w:cs="宋体"/>
          <w:color w:val="auto"/>
          <w:sz w:val="24"/>
          <w:highlight w:val="none"/>
          <w:lang w:val="zh-CN"/>
        </w:rPr>
        <w:t>文件：</w:t>
      </w:r>
    </w:p>
    <w:p w14:paraId="2C6A7C8E">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2.2.1交易函；</w:t>
      </w:r>
    </w:p>
    <w:p w14:paraId="15A76F65">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51FDE83F">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2.2.3营业执照；</w:t>
      </w:r>
    </w:p>
    <w:p w14:paraId="43E402CA">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60EA6F64">
      <w:pPr>
        <w:snapToGrid w:val="0"/>
        <w:spacing w:line="440" w:lineRule="exact"/>
        <w:ind w:left="420" w:lef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2.2.5评审标准相应的商务技术资料；</w:t>
      </w:r>
    </w:p>
    <w:p w14:paraId="6C2C447B">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2.2.6商务技术偏离表；</w:t>
      </w:r>
    </w:p>
    <w:p w14:paraId="0DF084EB">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w:t>
      </w:r>
      <w:r>
        <w:rPr>
          <w:rFonts w:hint="eastAsia" w:ascii="宋体" w:hAnsi="宋体" w:eastAsia="宋体" w:cs="宋体"/>
          <w:color w:val="auto"/>
          <w:sz w:val="24"/>
          <w:highlight w:val="none"/>
          <w:lang w:val="zh-CN"/>
        </w:rPr>
        <w:t>响应人廉洁自律承诺书。</w:t>
      </w:r>
    </w:p>
    <w:p w14:paraId="23E9407F">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548C6E06">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2.3.1交易一览表（报价表）。</w:t>
      </w:r>
    </w:p>
    <w:p w14:paraId="13CB920E">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3、我方承诺除商务技术偏离表列出的偏离外，我方响应公开竞争文件的全部要求。</w:t>
      </w:r>
    </w:p>
    <w:p w14:paraId="70E2BAEB">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4、如我方成交，我方承诺：</w:t>
      </w:r>
    </w:p>
    <w:p w14:paraId="3F5935DA">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4.1在收到成交通知书后，在成交通知书规定的期限内与你方签订合同； </w:t>
      </w:r>
    </w:p>
    <w:p w14:paraId="7DFE32D5">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7AE8F231">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4.3按照公开竞争文件要求提交履约保证金； </w:t>
      </w:r>
    </w:p>
    <w:p w14:paraId="76E04F54">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2A291B28">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p>
    <w:p w14:paraId="512F35FA">
      <w:pPr>
        <w:spacing w:line="440" w:lineRule="exact"/>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响应人名称（电子签名）：                          </w:t>
      </w:r>
    </w:p>
    <w:p w14:paraId="1E8141D2">
      <w:pPr>
        <w:spacing w:line="440" w:lineRule="exact"/>
        <w:jc w:val="center"/>
        <w:rPr>
          <w:rFonts w:hint="eastAsia" w:ascii="宋体" w:hAnsi="宋体" w:eastAsia="宋体" w:cs="宋体"/>
          <w:color w:val="auto"/>
          <w:kern w:val="0"/>
          <w:sz w:val="24"/>
          <w:highlight w:val="none"/>
          <w:u w:val="single"/>
        </w:rPr>
      </w:pPr>
      <w:r>
        <w:rPr>
          <w:rFonts w:hint="eastAsia" w:ascii="宋体" w:hAnsi="宋体" w:eastAsia="宋体" w:cs="宋体"/>
          <w:color w:val="auto"/>
          <w:sz w:val="24"/>
          <w:highlight w:val="none"/>
        </w:rPr>
        <w:t xml:space="preserve">     日期：  年   月   日</w:t>
      </w:r>
    </w:p>
    <w:p w14:paraId="1C61FB93">
      <w:pPr>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FDA7B62">
      <w:pPr>
        <w:pStyle w:val="24"/>
        <w:rPr>
          <w:rFonts w:hint="eastAsia" w:ascii="宋体" w:hAnsi="宋体" w:eastAsia="宋体" w:cs="宋体"/>
          <w:color w:val="auto"/>
          <w:highlight w:val="none"/>
          <w:lang w:val="en-US"/>
        </w:rPr>
      </w:pPr>
    </w:p>
    <w:p w14:paraId="3C3C4906">
      <w:pPr>
        <w:jc w:val="center"/>
        <w:rPr>
          <w:rFonts w:hint="eastAsia" w:ascii="宋体" w:hAnsi="宋体" w:eastAsia="宋体" w:cs="宋体"/>
          <w:b/>
          <w:color w:val="auto"/>
          <w:kern w:val="0"/>
          <w:sz w:val="32"/>
          <w:szCs w:val="32"/>
          <w:highlight w:val="none"/>
        </w:rPr>
      </w:pPr>
    </w:p>
    <w:p w14:paraId="63C4780B">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56FAB32B">
      <w:pPr>
        <w:snapToGrid w:val="0"/>
        <w:spacing w:line="360" w:lineRule="auto"/>
        <w:rPr>
          <w:rFonts w:hint="eastAsia" w:ascii="宋体" w:hAnsi="宋体" w:eastAsia="宋体" w:cs="宋体"/>
          <w:color w:val="auto"/>
          <w:sz w:val="24"/>
          <w:highlight w:val="none"/>
        </w:rPr>
      </w:pPr>
    </w:p>
    <w:p w14:paraId="00903DAC">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w:t>
      </w:r>
    </w:p>
    <w:p w14:paraId="6DC9DD3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（交易发起人）、（代理机构）</w:t>
      </w:r>
      <w:r>
        <w:rPr>
          <w:rFonts w:hint="eastAsia" w:ascii="宋体" w:hAnsi="宋体" w:eastAsia="宋体" w:cs="宋体"/>
          <w:color w:val="auto"/>
          <w:kern w:val="0"/>
          <w:sz w:val="24"/>
          <w:highlight w:val="none"/>
          <w:lang w:val="zh-CN"/>
        </w:rPr>
        <w:t>：</w:t>
      </w:r>
    </w:p>
    <w:p w14:paraId="0EFEC0E2">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委托（姓名）为我方代理人（身份证号码：，手机：），以我方名义处理</w:t>
      </w:r>
      <w:r>
        <w:rPr>
          <w:rFonts w:hint="eastAsia" w:ascii="宋体" w:hAnsi="宋体" w:eastAsia="宋体" w:cs="宋体"/>
          <w:color w:val="auto"/>
          <w:sz w:val="24"/>
          <w:highlight w:val="none"/>
          <w:u w:val="single"/>
        </w:rPr>
        <w:t>（项目名称）【交易编号：】</w:t>
      </w:r>
      <w:r>
        <w:rPr>
          <w:rFonts w:hint="eastAsia" w:ascii="宋体" w:hAnsi="宋体" w:eastAsia="宋体" w:cs="宋体"/>
          <w:color w:val="auto"/>
          <w:kern w:val="0"/>
          <w:sz w:val="24"/>
          <w:highlight w:val="none"/>
          <w:lang w:val="zh-CN"/>
        </w:rPr>
        <w:t>交易项目的一切事项，其法律后果由我方承担。</w:t>
      </w:r>
    </w:p>
    <w:p w14:paraId="4F0C190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自年月日起至年月日止。</w:t>
      </w:r>
    </w:p>
    <w:p w14:paraId="30A8600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特此告知。</w:t>
      </w:r>
    </w:p>
    <w:p w14:paraId="014341B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响应人名称(电子签名)：</w:t>
      </w:r>
    </w:p>
    <w:p w14:paraId="035D957A">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74D3FBB1">
      <w:pPr>
        <w:snapToGrid w:val="0"/>
        <w:spacing w:line="360" w:lineRule="auto"/>
        <w:rPr>
          <w:rFonts w:hint="eastAsia" w:ascii="宋体" w:hAnsi="宋体" w:eastAsia="宋体" w:cs="宋体"/>
          <w:color w:val="auto"/>
          <w:sz w:val="24"/>
          <w:highlight w:val="none"/>
        </w:rPr>
      </w:pPr>
    </w:p>
    <w:p w14:paraId="138A63F4">
      <w:pPr>
        <w:snapToGrid w:val="0"/>
        <w:spacing w:line="360" w:lineRule="auto"/>
        <w:rPr>
          <w:rFonts w:hint="eastAsia" w:ascii="宋体" w:hAnsi="宋体" w:eastAsia="宋体" w:cs="宋体"/>
          <w:color w:val="auto"/>
          <w:kern w:val="0"/>
          <w:sz w:val="24"/>
          <w:highlight w:val="none"/>
          <w:lang w:val="zh-CN"/>
        </w:rPr>
      </w:pPr>
    </w:p>
    <w:p w14:paraId="19FEE0B6">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的身份证明（适用于法定代表人、单位负责人或者自然人本人代表响应人参加投标）</w:t>
      </w:r>
    </w:p>
    <w:p w14:paraId="04628A7C">
      <w:pPr>
        <w:pStyle w:val="155"/>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51DE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03C50E87">
            <w:pPr>
              <w:pStyle w:val="155"/>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2625383A">
            <w:pPr>
              <w:pStyle w:val="155"/>
              <w:adjustRightInd w:val="0"/>
              <w:spacing w:line="360" w:lineRule="auto"/>
              <w:rPr>
                <w:rFonts w:hint="eastAsia" w:ascii="宋体" w:hAnsi="宋体" w:eastAsia="宋体" w:cs="宋体"/>
                <w:bCs/>
                <w:color w:val="auto"/>
                <w:sz w:val="24"/>
                <w:highlight w:val="none"/>
              </w:rPr>
            </w:pPr>
          </w:p>
        </w:tc>
      </w:tr>
    </w:tbl>
    <w:p w14:paraId="3D1B2CA0">
      <w:pPr>
        <w:snapToGrid w:val="0"/>
        <w:spacing w:line="360" w:lineRule="auto"/>
        <w:ind w:firstLine="576"/>
        <w:jc w:val="center"/>
        <w:rPr>
          <w:rFonts w:hint="eastAsia" w:ascii="宋体" w:hAnsi="宋体" w:eastAsia="宋体" w:cs="宋体"/>
          <w:color w:val="auto"/>
          <w:kern w:val="0"/>
          <w:sz w:val="24"/>
          <w:highlight w:val="none"/>
          <w:lang w:val="zh-CN"/>
        </w:rPr>
      </w:pPr>
    </w:p>
    <w:p w14:paraId="2B0B5262">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响应人名称(电子签名)：                              </w:t>
      </w:r>
    </w:p>
    <w:p w14:paraId="037EB416">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79E6E84B">
      <w:pPr>
        <w:jc w:val="center"/>
        <w:rPr>
          <w:rFonts w:hint="eastAsia" w:ascii="宋体" w:hAnsi="宋体" w:eastAsia="宋体" w:cs="宋体"/>
          <w:b/>
          <w:color w:val="auto"/>
          <w:kern w:val="0"/>
          <w:sz w:val="32"/>
          <w:szCs w:val="32"/>
          <w:highlight w:val="none"/>
        </w:rPr>
      </w:pPr>
    </w:p>
    <w:p w14:paraId="14356E1B">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85B0054">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三、营业执照</w:t>
      </w:r>
    </w:p>
    <w:p w14:paraId="139A5170">
      <w:pPr>
        <w:jc w:val="center"/>
        <w:rPr>
          <w:rFonts w:hint="eastAsia" w:ascii="宋体" w:hAnsi="宋体" w:eastAsia="宋体" w:cs="宋体"/>
          <w:b/>
          <w:color w:val="auto"/>
          <w:kern w:val="0"/>
          <w:sz w:val="32"/>
          <w:szCs w:val="32"/>
          <w:highlight w:val="none"/>
        </w:rPr>
      </w:pP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C20E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2F54ACE8">
            <w:pPr>
              <w:pStyle w:val="155"/>
              <w:adjustRightInd w:val="0"/>
              <w:spacing w:line="360" w:lineRule="auto"/>
              <w:rPr>
                <w:rFonts w:hint="eastAsia" w:ascii="宋体" w:hAnsi="宋体" w:eastAsia="宋体" w:cs="宋体"/>
                <w:bCs/>
                <w:color w:val="auto"/>
                <w:sz w:val="24"/>
                <w:highlight w:val="none"/>
              </w:rPr>
            </w:pPr>
          </w:p>
        </w:tc>
      </w:tr>
    </w:tbl>
    <w:p w14:paraId="3F6C6CF9">
      <w:pPr>
        <w:snapToGrid w:val="0"/>
        <w:spacing w:line="360" w:lineRule="auto"/>
        <w:ind w:firstLine="576"/>
        <w:jc w:val="center"/>
        <w:rPr>
          <w:rFonts w:hint="eastAsia" w:ascii="宋体" w:hAnsi="宋体" w:eastAsia="宋体" w:cs="宋体"/>
          <w:color w:val="auto"/>
          <w:kern w:val="0"/>
          <w:sz w:val="24"/>
          <w:highlight w:val="none"/>
          <w:lang w:val="zh-CN"/>
        </w:rPr>
      </w:pPr>
    </w:p>
    <w:p w14:paraId="4DF841A1">
      <w:pPr>
        <w:snapToGrid w:val="0"/>
        <w:spacing w:line="360" w:lineRule="auto"/>
        <w:ind w:firstLine="576"/>
        <w:jc w:val="center"/>
        <w:rPr>
          <w:rFonts w:hint="eastAsia" w:ascii="宋体" w:hAnsi="宋体" w:eastAsia="宋体" w:cs="宋体"/>
          <w:color w:val="auto"/>
          <w:kern w:val="0"/>
          <w:sz w:val="24"/>
          <w:highlight w:val="none"/>
          <w:lang w:val="zh-CN"/>
        </w:rPr>
      </w:pPr>
    </w:p>
    <w:p w14:paraId="48C3369A">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响应人名称(电子签名)：                              </w:t>
      </w:r>
    </w:p>
    <w:p w14:paraId="05D5B5CC">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1C72CE2D">
      <w:pPr>
        <w:jc w:val="center"/>
        <w:rPr>
          <w:rFonts w:hint="eastAsia" w:ascii="宋体" w:hAnsi="宋体" w:eastAsia="宋体" w:cs="宋体"/>
          <w:b/>
          <w:color w:val="auto"/>
          <w:kern w:val="0"/>
          <w:sz w:val="32"/>
          <w:szCs w:val="32"/>
          <w:highlight w:val="none"/>
        </w:rPr>
      </w:pPr>
    </w:p>
    <w:p w14:paraId="18FDABE9">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1C103F09">
      <w:pPr>
        <w:jc w:val="center"/>
        <w:rPr>
          <w:rFonts w:hint="eastAsia" w:ascii="宋体" w:hAnsi="宋体" w:eastAsia="宋体" w:cs="宋体"/>
          <w:b/>
          <w:color w:val="auto"/>
          <w:kern w:val="0"/>
          <w:sz w:val="32"/>
          <w:szCs w:val="32"/>
          <w:highlight w:val="none"/>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3051B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162BE0A">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976" w:type="dxa"/>
            <w:vAlign w:val="center"/>
          </w:tcPr>
          <w:p w14:paraId="076B7CAC">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3566" w:type="dxa"/>
            <w:vAlign w:val="center"/>
          </w:tcPr>
          <w:p w14:paraId="7423DFCB">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07FBDA3C">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响应文件中的</w:t>
            </w:r>
          </w:p>
          <w:p w14:paraId="1F1DC4DE">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50AE6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0E361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976" w:type="dxa"/>
            <w:vAlign w:val="center"/>
          </w:tcPr>
          <w:p w14:paraId="452143B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响应文件按照公开竞争文件要求签署、盖章。</w:t>
            </w:r>
          </w:p>
        </w:tc>
        <w:tc>
          <w:tcPr>
            <w:tcW w:w="3566" w:type="dxa"/>
            <w:vAlign w:val="center"/>
          </w:tcPr>
          <w:p w14:paraId="50339C6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需要使用电子签名或者签字盖章的响应文件的组成部分</w:t>
            </w:r>
          </w:p>
        </w:tc>
        <w:tc>
          <w:tcPr>
            <w:tcW w:w="1418" w:type="dxa"/>
            <w:vAlign w:val="center"/>
          </w:tcPr>
          <w:p w14:paraId="56DCF581">
            <w:pPr>
              <w:jc w:val="center"/>
              <w:rPr>
                <w:rFonts w:hint="eastAsia" w:ascii="宋体" w:hAnsi="宋体" w:eastAsia="宋体" w:cs="宋体"/>
                <w:color w:val="auto"/>
                <w:sz w:val="24"/>
                <w:highlight w:val="none"/>
              </w:rPr>
            </w:pPr>
          </w:p>
          <w:p w14:paraId="3F92E05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w:t>
            </w:r>
          </w:p>
          <w:p w14:paraId="2D45387C">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第页</w:t>
            </w:r>
          </w:p>
        </w:tc>
      </w:tr>
      <w:tr w14:paraId="72614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A81571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976" w:type="dxa"/>
            <w:vAlign w:val="center"/>
          </w:tcPr>
          <w:p w14:paraId="213DA32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响应文件中承诺的交易有效期不少于公开竞争文件中载明的交易有效期。</w:t>
            </w:r>
          </w:p>
        </w:tc>
        <w:tc>
          <w:tcPr>
            <w:tcW w:w="3566" w:type="dxa"/>
            <w:vAlign w:val="center"/>
          </w:tcPr>
          <w:p w14:paraId="017E5FB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交易函</w:t>
            </w:r>
          </w:p>
        </w:tc>
        <w:tc>
          <w:tcPr>
            <w:tcW w:w="1418" w:type="dxa"/>
            <w:vAlign w:val="center"/>
          </w:tcPr>
          <w:p w14:paraId="65981667">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见响应文件第页</w:t>
            </w:r>
          </w:p>
        </w:tc>
      </w:tr>
      <w:tr w14:paraId="30C3A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D97E4C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976" w:type="dxa"/>
            <w:vAlign w:val="center"/>
          </w:tcPr>
          <w:p w14:paraId="276A287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响应文件满足公开竞争文件的其它实质性要求。</w:t>
            </w:r>
          </w:p>
        </w:tc>
        <w:tc>
          <w:tcPr>
            <w:tcW w:w="3566" w:type="dxa"/>
            <w:vAlign w:val="center"/>
          </w:tcPr>
          <w:p w14:paraId="20D4E751">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公开竞争文件其它实质性要求相应的材料（“▲” 系指实质性要求条款，公开竞争文件无其它实质性要求的，无需提供）</w:t>
            </w:r>
          </w:p>
        </w:tc>
        <w:tc>
          <w:tcPr>
            <w:tcW w:w="1418" w:type="dxa"/>
            <w:vAlign w:val="center"/>
          </w:tcPr>
          <w:p w14:paraId="25605D19">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见响应文件第页</w:t>
            </w:r>
          </w:p>
        </w:tc>
      </w:tr>
    </w:tbl>
    <w:p w14:paraId="0011D4BA">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6334D4B">
      <w:pPr>
        <w:jc w:val="center"/>
        <w:rPr>
          <w:rFonts w:hint="eastAsia" w:ascii="宋体" w:hAnsi="宋体" w:eastAsia="宋体" w:cs="宋体"/>
          <w:b/>
          <w:color w:val="auto"/>
          <w:kern w:val="0"/>
          <w:sz w:val="32"/>
          <w:szCs w:val="32"/>
          <w:highlight w:val="none"/>
        </w:rPr>
      </w:pPr>
    </w:p>
    <w:p w14:paraId="3F490417">
      <w:pPr>
        <w:jc w:val="center"/>
        <w:rPr>
          <w:rFonts w:hint="eastAsia" w:ascii="宋体" w:hAnsi="宋体" w:eastAsia="宋体" w:cs="宋体"/>
          <w:b/>
          <w:color w:val="auto"/>
          <w:kern w:val="0"/>
          <w:sz w:val="32"/>
          <w:szCs w:val="32"/>
          <w:highlight w:val="none"/>
        </w:rPr>
      </w:pPr>
    </w:p>
    <w:p w14:paraId="0EE04E5A">
      <w:pPr>
        <w:rPr>
          <w:rFonts w:hint="eastAsia" w:ascii="宋体" w:hAnsi="宋体" w:eastAsia="宋体" w:cs="宋体"/>
          <w:b/>
          <w:color w:val="auto"/>
          <w:kern w:val="0"/>
          <w:sz w:val="32"/>
          <w:szCs w:val="32"/>
          <w:highlight w:val="none"/>
        </w:rPr>
      </w:pPr>
    </w:p>
    <w:p w14:paraId="74133F4E">
      <w:pPr>
        <w:jc w:val="center"/>
        <w:rPr>
          <w:rFonts w:hint="eastAsia" w:ascii="宋体" w:hAnsi="宋体" w:eastAsia="宋体" w:cs="宋体"/>
          <w:b/>
          <w:color w:val="auto"/>
          <w:kern w:val="0"/>
          <w:sz w:val="32"/>
          <w:szCs w:val="32"/>
          <w:highlight w:val="none"/>
        </w:rPr>
      </w:pPr>
    </w:p>
    <w:p w14:paraId="29693BF9">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五、评审标准相应的商务技术资料</w:t>
      </w:r>
    </w:p>
    <w:p w14:paraId="2FCC44E6">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（按公开竞争文件第四部分交易办法前附表中“响应文件中评审标准相应的商务技术资料目录”提供资料。）</w:t>
      </w:r>
    </w:p>
    <w:p w14:paraId="740DD724">
      <w:pPr>
        <w:jc w:val="center"/>
        <w:rPr>
          <w:rFonts w:hint="eastAsia" w:ascii="宋体" w:hAnsi="宋体" w:eastAsia="宋体" w:cs="宋体"/>
          <w:b/>
          <w:color w:val="auto"/>
          <w:kern w:val="0"/>
          <w:sz w:val="32"/>
          <w:szCs w:val="32"/>
          <w:highlight w:val="none"/>
        </w:rPr>
      </w:pPr>
    </w:p>
    <w:p w14:paraId="381D575C">
      <w:pPr>
        <w:jc w:val="center"/>
        <w:rPr>
          <w:rFonts w:hint="eastAsia" w:ascii="宋体" w:hAnsi="宋体" w:eastAsia="宋体" w:cs="宋体"/>
          <w:b/>
          <w:color w:val="auto"/>
          <w:kern w:val="0"/>
          <w:sz w:val="32"/>
          <w:szCs w:val="32"/>
          <w:highlight w:val="none"/>
        </w:rPr>
      </w:pPr>
    </w:p>
    <w:p w14:paraId="63D48F7A">
      <w:pPr>
        <w:jc w:val="center"/>
        <w:rPr>
          <w:rFonts w:hint="eastAsia" w:ascii="宋体" w:hAnsi="宋体" w:eastAsia="宋体" w:cs="宋体"/>
          <w:b/>
          <w:color w:val="auto"/>
          <w:kern w:val="0"/>
          <w:sz w:val="32"/>
          <w:szCs w:val="32"/>
          <w:highlight w:val="none"/>
        </w:rPr>
      </w:pPr>
    </w:p>
    <w:p w14:paraId="768CF4E3">
      <w:pPr>
        <w:jc w:val="center"/>
        <w:rPr>
          <w:rFonts w:hint="eastAsia" w:ascii="宋体" w:hAnsi="宋体" w:eastAsia="宋体" w:cs="宋体"/>
          <w:b/>
          <w:color w:val="auto"/>
          <w:kern w:val="0"/>
          <w:sz w:val="32"/>
          <w:szCs w:val="32"/>
          <w:highlight w:val="none"/>
        </w:rPr>
      </w:pPr>
    </w:p>
    <w:p w14:paraId="55D82E9C">
      <w:pPr>
        <w:jc w:val="center"/>
        <w:rPr>
          <w:rFonts w:hint="eastAsia" w:ascii="宋体" w:hAnsi="宋体" w:eastAsia="宋体" w:cs="宋体"/>
          <w:b/>
          <w:color w:val="auto"/>
          <w:kern w:val="0"/>
          <w:sz w:val="32"/>
          <w:szCs w:val="32"/>
          <w:highlight w:val="none"/>
        </w:rPr>
      </w:pPr>
    </w:p>
    <w:p w14:paraId="0BBEA6CC">
      <w:pPr>
        <w:pStyle w:val="63"/>
        <w:rPr>
          <w:rFonts w:hint="eastAsia" w:ascii="宋体" w:hAnsi="宋体" w:eastAsia="宋体" w:cs="宋体"/>
          <w:b/>
          <w:color w:val="auto"/>
          <w:kern w:val="0"/>
          <w:sz w:val="32"/>
          <w:szCs w:val="32"/>
          <w:highlight w:val="none"/>
        </w:rPr>
      </w:pPr>
    </w:p>
    <w:p w14:paraId="416DF8BF">
      <w:pPr>
        <w:pStyle w:val="54"/>
        <w:rPr>
          <w:rFonts w:hint="eastAsia" w:ascii="宋体" w:hAnsi="宋体" w:eastAsia="宋体" w:cs="宋体"/>
          <w:color w:val="auto"/>
          <w:highlight w:val="none"/>
        </w:rPr>
      </w:pPr>
    </w:p>
    <w:p w14:paraId="736CE0B7">
      <w:pPr>
        <w:jc w:val="center"/>
        <w:rPr>
          <w:rFonts w:hint="eastAsia" w:ascii="宋体" w:hAnsi="宋体" w:eastAsia="宋体" w:cs="宋体"/>
          <w:b/>
          <w:color w:val="auto"/>
          <w:kern w:val="0"/>
          <w:sz w:val="32"/>
          <w:szCs w:val="32"/>
          <w:highlight w:val="none"/>
        </w:rPr>
      </w:pPr>
    </w:p>
    <w:p w14:paraId="178EED98">
      <w:pPr>
        <w:jc w:val="center"/>
        <w:rPr>
          <w:rFonts w:hint="eastAsia" w:ascii="宋体" w:hAnsi="宋体" w:eastAsia="宋体" w:cs="宋体"/>
          <w:b/>
          <w:color w:val="auto"/>
          <w:kern w:val="0"/>
          <w:sz w:val="32"/>
          <w:szCs w:val="32"/>
          <w:highlight w:val="none"/>
        </w:rPr>
      </w:pPr>
    </w:p>
    <w:p w14:paraId="71F8598E">
      <w:pPr>
        <w:jc w:val="center"/>
        <w:rPr>
          <w:rFonts w:hint="eastAsia" w:ascii="宋体" w:hAnsi="宋体" w:eastAsia="宋体" w:cs="宋体"/>
          <w:b/>
          <w:color w:val="auto"/>
          <w:kern w:val="0"/>
          <w:sz w:val="32"/>
          <w:szCs w:val="32"/>
          <w:highlight w:val="none"/>
        </w:rPr>
      </w:pPr>
    </w:p>
    <w:p w14:paraId="27F24C3D">
      <w:pPr>
        <w:jc w:val="center"/>
        <w:rPr>
          <w:rFonts w:hint="eastAsia" w:ascii="宋体" w:hAnsi="宋体" w:eastAsia="宋体" w:cs="宋体"/>
          <w:b/>
          <w:color w:val="auto"/>
          <w:kern w:val="0"/>
          <w:sz w:val="32"/>
          <w:szCs w:val="32"/>
          <w:highlight w:val="none"/>
        </w:rPr>
      </w:pPr>
    </w:p>
    <w:p w14:paraId="1716E7DA">
      <w:pPr>
        <w:spacing w:line="360" w:lineRule="auto"/>
        <w:ind w:right="42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AEA3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BA0F9F7">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2E5745C2">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公开竞争文件章节及具体内容</w:t>
            </w:r>
          </w:p>
        </w:tc>
        <w:tc>
          <w:tcPr>
            <w:tcW w:w="3546" w:type="dxa"/>
          </w:tcPr>
          <w:p w14:paraId="2F7D52CF">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响应文件章节及具体内容</w:t>
            </w:r>
          </w:p>
        </w:tc>
        <w:tc>
          <w:tcPr>
            <w:tcW w:w="1276" w:type="dxa"/>
          </w:tcPr>
          <w:p w14:paraId="6B919976">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5E004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6D44438">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241A53C8">
            <w:pPr>
              <w:jc w:val="center"/>
              <w:rPr>
                <w:rFonts w:hint="eastAsia" w:ascii="宋体" w:hAnsi="宋体" w:eastAsia="宋体" w:cs="宋体"/>
                <w:b/>
                <w:color w:val="auto"/>
                <w:kern w:val="0"/>
                <w:sz w:val="32"/>
                <w:szCs w:val="32"/>
                <w:highlight w:val="none"/>
              </w:rPr>
            </w:pPr>
          </w:p>
        </w:tc>
        <w:tc>
          <w:tcPr>
            <w:tcW w:w="3546" w:type="dxa"/>
          </w:tcPr>
          <w:p w14:paraId="5E8DC0D8">
            <w:pPr>
              <w:jc w:val="center"/>
              <w:rPr>
                <w:rFonts w:hint="eastAsia" w:ascii="宋体" w:hAnsi="宋体" w:eastAsia="宋体" w:cs="宋体"/>
                <w:b/>
                <w:color w:val="auto"/>
                <w:kern w:val="0"/>
                <w:sz w:val="32"/>
                <w:szCs w:val="32"/>
                <w:highlight w:val="none"/>
              </w:rPr>
            </w:pPr>
          </w:p>
        </w:tc>
        <w:tc>
          <w:tcPr>
            <w:tcW w:w="1276" w:type="dxa"/>
          </w:tcPr>
          <w:p w14:paraId="35302948">
            <w:pPr>
              <w:jc w:val="center"/>
              <w:rPr>
                <w:rFonts w:hint="eastAsia" w:ascii="宋体" w:hAnsi="宋体" w:eastAsia="宋体" w:cs="宋体"/>
                <w:b/>
                <w:color w:val="auto"/>
                <w:kern w:val="0"/>
                <w:sz w:val="32"/>
                <w:szCs w:val="32"/>
                <w:highlight w:val="none"/>
              </w:rPr>
            </w:pPr>
          </w:p>
        </w:tc>
      </w:tr>
      <w:tr w14:paraId="53B4B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A8BE353">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720C38C1">
            <w:pPr>
              <w:jc w:val="center"/>
              <w:rPr>
                <w:rFonts w:hint="eastAsia" w:ascii="宋体" w:hAnsi="宋体" w:eastAsia="宋体" w:cs="宋体"/>
                <w:b/>
                <w:color w:val="auto"/>
                <w:kern w:val="0"/>
                <w:sz w:val="32"/>
                <w:szCs w:val="32"/>
                <w:highlight w:val="none"/>
              </w:rPr>
            </w:pPr>
          </w:p>
        </w:tc>
        <w:tc>
          <w:tcPr>
            <w:tcW w:w="3546" w:type="dxa"/>
          </w:tcPr>
          <w:p w14:paraId="4F110A42">
            <w:pPr>
              <w:jc w:val="center"/>
              <w:rPr>
                <w:rFonts w:hint="eastAsia" w:ascii="宋体" w:hAnsi="宋体" w:eastAsia="宋体" w:cs="宋体"/>
                <w:b/>
                <w:color w:val="auto"/>
                <w:kern w:val="0"/>
                <w:sz w:val="32"/>
                <w:szCs w:val="32"/>
                <w:highlight w:val="none"/>
              </w:rPr>
            </w:pPr>
          </w:p>
        </w:tc>
        <w:tc>
          <w:tcPr>
            <w:tcW w:w="1276" w:type="dxa"/>
          </w:tcPr>
          <w:p w14:paraId="0E03C0DB">
            <w:pPr>
              <w:jc w:val="center"/>
              <w:rPr>
                <w:rFonts w:hint="eastAsia" w:ascii="宋体" w:hAnsi="宋体" w:eastAsia="宋体" w:cs="宋体"/>
                <w:b/>
                <w:color w:val="auto"/>
                <w:kern w:val="0"/>
                <w:sz w:val="32"/>
                <w:szCs w:val="32"/>
                <w:highlight w:val="none"/>
              </w:rPr>
            </w:pPr>
          </w:p>
        </w:tc>
      </w:tr>
      <w:tr w14:paraId="45BD0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5BA37CC">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1B32DAB1">
            <w:pPr>
              <w:jc w:val="center"/>
              <w:rPr>
                <w:rFonts w:hint="eastAsia" w:ascii="宋体" w:hAnsi="宋体" w:eastAsia="宋体" w:cs="宋体"/>
                <w:b/>
                <w:color w:val="auto"/>
                <w:kern w:val="0"/>
                <w:sz w:val="32"/>
                <w:szCs w:val="32"/>
                <w:highlight w:val="none"/>
              </w:rPr>
            </w:pPr>
          </w:p>
        </w:tc>
        <w:tc>
          <w:tcPr>
            <w:tcW w:w="3546" w:type="dxa"/>
          </w:tcPr>
          <w:p w14:paraId="5F283DC9">
            <w:pPr>
              <w:jc w:val="center"/>
              <w:rPr>
                <w:rFonts w:hint="eastAsia" w:ascii="宋体" w:hAnsi="宋体" w:eastAsia="宋体" w:cs="宋体"/>
                <w:b/>
                <w:color w:val="auto"/>
                <w:kern w:val="0"/>
                <w:sz w:val="32"/>
                <w:szCs w:val="32"/>
                <w:highlight w:val="none"/>
              </w:rPr>
            </w:pPr>
          </w:p>
        </w:tc>
        <w:tc>
          <w:tcPr>
            <w:tcW w:w="1276" w:type="dxa"/>
          </w:tcPr>
          <w:p w14:paraId="679945C2">
            <w:pPr>
              <w:jc w:val="center"/>
              <w:rPr>
                <w:rFonts w:hint="eastAsia" w:ascii="宋体" w:hAnsi="宋体" w:eastAsia="宋体" w:cs="宋体"/>
                <w:b/>
                <w:color w:val="auto"/>
                <w:kern w:val="0"/>
                <w:sz w:val="32"/>
                <w:szCs w:val="32"/>
                <w:highlight w:val="none"/>
              </w:rPr>
            </w:pPr>
          </w:p>
        </w:tc>
      </w:tr>
    </w:tbl>
    <w:p w14:paraId="60F64994">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响应人保证：除商务技术偏离表列出的偏离外，响应人响应公开竞争文件的全部要求</w:t>
      </w:r>
    </w:p>
    <w:p w14:paraId="140CD6CE">
      <w:pPr>
        <w:jc w:val="center"/>
        <w:rPr>
          <w:rFonts w:hint="eastAsia" w:ascii="宋体" w:hAnsi="宋体" w:eastAsia="宋体" w:cs="宋体"/>
          <w:b/>
          <w:color w:val="auto"/>
          <w:kern w:val="0"/>
          <w:sz w:val="32"/>
          <w:szCs w:val="32"/>
          <w:highlight w:val="none"/>
        </w:rPr>
      </w:pPr>
    </w:p>
    <w:p w14:paraId="07F62B5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480E611">
      <w:pPr>
        <w:jc w:val="center"/>
        <w:rPr>
          <w:rFonts w:hint="eastAsia" w:ascii="宋体" w:hAnsi="宋体" w:eastAsia="宋体" w:cs="宋体"/>
          <w:b/>
          <w:color w:val="auto"/>
          <w:kern w:val="0"/>
          <w:sz w:val="32"/>
          <w:szCs w:val="32"/>
          <w:highlight w:val="none"/>
        </w:rPr>
      </w:pPr>
    </w:p>
    <w:p w14:paraId="006E25E7">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3676944F">
      <w:pPr>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七</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响应人廉洁自律承诺书</w:t>
      </w:r>
    </w:p>
    <w:p w14:paraId="1E886A5E">
      <w:pPr>
        <w:snapToGrid w:val="0"/>
        <w:spacing w:line="360" w:lineRule="auto"/>
        <w:rPr>
          <w:rFonts w:hint="eastAsia" w:ascii="宋体" w:hAnsi="宋体" w:eastAsia="宋体" w:cs="宋体"/>
          <w:color w:val="auto"/>
          <w:sz w:val="24"/>
          <w:highlight w:val="none"/>
        </w:rPr>
      </w:pPr>
    </w:p>
    <w:p w14:paraId="5909E05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（交易发起人）、（代理机构）</w:t>
      </w:r>
      <w:r>
        <w:rPr>
          <w:rFonts w:hint="eastAsia" w:ascii="宋体" w:hAnsi="宋体" w:eastAsia="宋体" w:cs="宋体"/>
          <w:color w:val="auto"/>
          <w:kern w:val="0"/>
          <w:sz w:val="24"/>
          <w:highlight w:val="none"/>
          <w:lang w:val="zh-CN"/>
        </w:rPr>
        <w:t>：</w:t>
      </w:r>
    </w:p>
    <w:p w14:paraId="27FEA3C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w:t>
      </w:r>
      <w:r>
        <w:rPr>
          <w:rFonts w:hint="eastAsia" w:ascii="宋体" w:hAnsi="宋体" w:eastAsia="宋体" w:cs="宋体"/>
          <w:color w:val="auto"/>
          <w:kern w:val="0"/>
          <w:sz w:val="24"/>
          <w:highlight w:val="none"/>
        </w:rPr>
        <w:t>成交</w:t>
      </w:r>
      <w:r>
        <w:rPr>
          <w:rFonts w:hint="eastAsia" w:ascii="宋体" w:hAnsi="宋体" w:eastAsia="宋体" w:cs="宋体"/>
          <w:color w:val="auto"/>
          <w:kern w:val="0"/>
          <w:sz w:val="24"/>
          <w:highlight w:val="none"/>
          <w:lang w:val="zh-CN"/>
        </w:rPr>
        <w:t>后，我们将严格遵守国家法律法规要求，并郑重承诺：</w:t>
      </w:r>
    </w:p>
    <w:p w14:paraId="6E9CA65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0CDD988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1302A7C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28038549">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47C71E1D">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5E17C199">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155823CD">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六、严格遵守相关法律法规，诚实守信，合法经营，坚决抵制各种违法违纪行为。 </w:t>
      </w:r>
    </w:p>
    <w:p w14:paraId="14B25798">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w:t>
      </w:r>
      <w:r>
        <w:rPr>
          <w:rFonts w:hint="eastAsia" w:ascii="宋体" w:hAnsi="宋体" w:eastAsia="宋体" w:cs="宋体"/>
          <w:color w:val="auto"/>
          <w:kern w:val="0"/>
          <w:sz w:val="24"/>
          <w:highlight w:val="none"/>
        </w:rPr>
        <w:t>成交</w:t>
      </w:r>
      <w:r>
        <w:rPr>
          <w:rFonts w:hint="eastAsia" w:ascii="宋体" w:hAnsi="宋体" w:eastAsia="宋体" w:cs="宋体"/>
          <w:color w:val="auto"/>
          <w:kern w:val="0"/>
          <w:sz w:val="24"/>
          <w:highlight w:val="none"/>
          <w:lang w:val="zh-CN"/>
        </w:rPr>
        <w:t>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3F38DB39">
      <w:pPr>
        <w:autoSpaceDE w:val="0"/>
        <w:autoSpaceDN w:val="0"/>
        <w:spacing w:line="360" w:lineRule="auto"/>
        <w:ind w:left="2"/>
        <w:jc w:val="left"/>
        <w:rPr>
          <w:rFonts w:hint="eastAsia" w:ascii="宋体" w:hAnsi="宋体" w:eastAsia="宋体" w:cs="宋体"/>
          <w:color w:val="auto"/>
          <w:kern w:val="0"/>
          <w:sz w:val="24"/>
          <w:highlight w:val="none"/>
          <w:lang w:val="zh-CN"/>
        </w:rPr>
      </w:pPr>
    </w:p>
    <w:p w14:paraId="0A02DC02">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82F2203">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A622DDA">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11779E8A">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16277ED8">
      <w:pPr>
        <w:spacing w:line="360" w:lineRule="auto"/>
        <w:jc w:val="center"/>
        <w:rPr>
          <w:rFonts w:hint="eastAsia" w:ascii="宋体" w:hAnsi="宋体" w:eastAsia="宋体" w:cs="宋体"/>
          <w:b/>
          <w:bCs/>
          <w:color w:val="auto"/>
          <w:sz w:val="24"/>
          <w:highlight w:val="none"/>
        </w:rPr>
      </w:pPr>
    </w:p>
    <w:p w14:paraId="22747319">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5CAAC5D">
      <w:pPr>
        <w:spacing w:line="360" w:lineRule="auto"/>
        <w:jc w:val="center"/>
        <w:rPr>
          <w:rFonts w:hint="eastAsia" w:ascii="宋体" w:hAnsi="宋体" w:eastAsia="宋体" w:cs="宋体"/>
          <w:b/>
          <w:bCs/>
          <w:color w:val="auto"/>
          <w:sz w:val="24"/>
          <w:highlight w:val="none"/>
        </w:rPr>
        <w:sectPr>
          <w:headerReference r:id="rId4" w:type="first"/>
          <w:footerReference r:id="rId6" w:type="first"/>
          <w:headerReference r:id="rId3" w:type="default"/>
          <w:footerReference r:id="rId5" w:type="default"/>
          <w:pgSz w:w="11906" w:h="16838"/>
          <w:pgMar w:top="1247" w:right="1417" w:bottom="1247" w:left="1417" w:header="851" w:footer="992" w:gutter="0"/>
          <w:cols w:space="0" w:num="1"/>
          <w:titlePg/>
          <w:docGrid w:linePitch="312" w:charSpace="0"/>
        </w:sectPr>
      </w:pPr>
    </w:p>
    <w:p w14:paraId="72AC8C19">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277A01B9">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627EF5B8">
      <w:pPr>
        <w:spacing w:line="360" w:lineRule="auto"/>
        <w:jc w:val="center"/>
        <w:outlineLvl w:val="0"/>
        <w:rPr>
          <w:rFonts w:hint="eastAsia" w:ascii="宋体" w:hAnsi="宋体" w:eastAsia="宋体" w:cs="宋体"/>
          <w:b/>
          <w:color w:val="auto"/>
          <w:kern w:val="0"/>
          <w:sz w:val="36"/>
          <w:szCs w:val="36"/>
          <w:highlight w:val="none"/>
        </w:rPr>
      </w:pPr>
    </w:p>
    <w:p w14:paraId="4413BE4F">
      <w:pPr>
        <w:snapToGrid w:val="0"/>
        <w:spacing w:line="360" w:lineRule="auto"/>
        <w:rPr>
          <w:rFonts w:hint="eastAsia" w:ascii="宋体" w:hAnsi="宋体" w:eastAsia="宋体" w:cs="宋体"/>
          <w:color w:val="auto"/>
          <w:sz w:val="24"/>
          <w:highlight w:val="none"/>
        </w:rPr>
        <w:sectPr>
          <w:headerReference r:id="rId8" w:type="first"/>
          <w:footerReference r:id="rId10" w:type="first"/>
          <w:headerReference r:id="rId7" w:type="default"/>
          <w:footerReference r:id="rId9" w:type="default"/>
          <w:pgSz w:w="11906" w:h="16838"/>
          <w:pgMar w:top="1247" w:right="1417" w:bottom="1247" w:left="1417" w:header="851" w:footer="992" w:gutter="0"/>
          <w:cols w:space="0" w:num="1"/>
          <w:titlePg/>
          <w:docGrid w:linePitch="312" w:charSpace="0"/>
        </w:sectPr>
      </w:pPr>
      <w:r>
        <w:rPr>
          <w:rFonts w:hint="eastAsia" w:ascii="宋体" w:hAnsi="宋体" w:eastAsia="宋体" w:cs="宋体"/>
          <w:color w:val="auto"/>
          <w:sz w:val="24"/>
          <w:highlight w:val="none"/>
        </w:rPr>
        <w:t>（1）交易一览表（报价表）………………………………………………………（页码）</w:t>
      </w:r>
    </w:p>
    <w:p w14:paraId="21DB9097">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一、交易一览表（报价表）</w:t>
      </w:r>
    </w:p>
    <w:p w14:paraId="5CB83ED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（交易发起人）、（代理机构）</w:t>
      </w:r>
      <w:r>
        <w:rPr>
          <w:rFonts w:hint="eastAsia" w:ascii="宋体" w:hAnsi="宋体" w:eastAsia="宋体" w:cs="宋体"/>
          <w:color w:val="auto"/>
          <w:kern w:val="0"/>
          <w:sz w:val="24"/>
          <w:highlight w:val="none"/>
          <w:lang w:val="zh-CN"/>
        </w:rPr>
        <w:t>：</w:t>
      </w:r>
    </w:p>
    <w:p w14:paraId="442F17AD">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按你方公开竞争文件要求，我们，本响应文件签字方，谨此向你方发出要约如下：如你方接受本投标，我方承诺按照如下交易一览表（报价表）的价格完成</w:t>
      </w:r>
      <w:r>
        <w:rPr>
          <w:rFonts w:hint="eastAsia" w:ascii="宋体" w:hAnsi="宋体" w:eastAsia="宋体" w:cs="宋体"/>
          <w:color w:val="auto"/>
          <w:sz w:val="24"/>
          <w:highlight w:val="none"/>
          <w:u w:val="single"/>
        </w:rPr>
        <w:t>（项目名称）</w:t>
      </w:r>
      <w:r>
        <w:rPr>
          <w:rFonts w:hint="eastAsia" w:ascii="宋体" w:hAnsi="宋体" w:eastAsia="宋体" w:cs="宋体"/>
          <w:color w:val="auto"/>
          <w:kern w:val="0"/>
          <w:sz w:val="24"/>
          <w:highlight w:val="none"/>
          <w:u w:val="single"/>
          <w:lang w:val="zh-CN"/>
        </w:rPr>
        <w:t>【交易编号：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459B6990">
      <w:pPr>
        <w:snapToGrid w:val="0"/>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交易一览表（报价表）(单位均为人民币元)</w:t>
      </w:r>
    </w:p>
    <w:tbl>
      <w:tblPr>
        <w:tblStyle w:val="65"/>
        <w:tblW w:w="14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547"/>
        <w:gridCol w:w="3488"/>
        <w:gridCol w:w="4144"/>
        <w:gridCol w:w="2219"/>
      </w:tblGrid>
      <w:tr w14:paraId="2E2F1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14:paraId="61E549A7">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547" w:type="dxa"/>
            <w:tcBorders>
              <w:top w:val="single" w:color="auto" w:sz="4" w:space="0"/>
              <w:left w:val="single" w:color="auto" w:sz="4" w:space="0"/>
              <w:bottom w:val="single" w:color="auto" w:sz="4" w:space="0"/>
              <w:right w:val="single" w:color="auto" w:sz="4" w:space="0"/>
            </w:tcBorders>
            <w:vAlign w:val="center"/>
          </w:tcPr>
          <w:p w14:paraId="310D07D3">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3488" w:type="dxa"/>
            <w:tcBorders>
              <w:top w:val="single" w:color="auto" w:sz="4" w:space="0"/>
              <w:left w:val="single" w:color="auto" w:sz="4" w:space="0"/>
              <w:bottom w:val="single" w:color="auto" w:sz="4" w:space="0"/>
              <w:right w:val="single" w:color="auto" w:sz="4" w:space="0"/>
            </w:tcBorders>
            <w:vAlign w:val="center"/>
          </w:tcPr>
          <w:p w14:paraId="5D8E8E49">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具体服务</w:t>
            </w:r>
          </w:p>
        </w:tc>
        <w:tc>
          <w:tcPr>
            <w:tcW w:w="4144" w:type="dxa"/>
            <w:tcBorders>
              <w:top w:val="single" w:color="auto" w:sz="4" w:space="0"/>
              <w:left w:val="single" w:color="auto" w:sz="4" w:space="0"/>
              <w:bottom w:val="single" w:color="auto" w:sz="4" w:space="0"/>
              <w:right w:val="single" w:color="auto" w:sz="4" w:space="0"/>
            </w:tcBorders>
            <w:vAlign w:val="center"/>
          </w:tcPr>
          <w:p w14:paraId="6C7074DE">
            <w:pPr>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报价</w:t>
            </w:r>
          </w:p>
        </w:tc>
        <w:tc>
          <w:tcPr>
            <w:tcW w:w="2219" w:type="dxa"/>
            <w:tcBorders>
              <w:top w:val="single" w:color="auto" w:sz="4" w:space="0"/>
              <w:left w:val="single" w:color="auto" w:sz="4" w:space="0"/>
              <w:bottom w:val="single" w:color="auto" w:sz="4" w:space="0"/>
              <w:right w:val="single" w:color="auto" w:sz="4" w:space="0"/>
            </w:tcBorders>
            <w:vAlign w:val="center"/>
          </w:tcPr>
          <w:p w14:paraId="2064BDAA">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服务要求（年限）</w:t>
            </w:r>
          </w:p>
        </w:tc>
      </w:tr>
      <w:tr w14:paraId="4D4DD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14:paraId="056CF76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547" w:type="dxa"/>
            <w:tcBorders>
              <w:top w:val="single" w:color="auto" w:sz="4" w:space="0"/>
              <w:left w:val="single" w:color="auto" w:sz="4" w:space="0"/>
              <w:bottom w:val="single" w:color="auto" w:sz="4" w:space="0"/>
              <w:right w:val="single" w:color="auto" w:sz="4" w:space="0"/>
            </w:tcBorders>
            <w:vAlign w:val="center"/>
          </w:tcPr>
          <w:p w14:paraId="06BC7C35">
            <w:pPr>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第一年</w:t>
            </w:r>
          </w:p>
        </w:tc>
        <w:tc>
          <w:tcPr>
            <w:tcW w:w="3488" w:type="dxa"/>
            <w:vMerge w:val="restart"/>
            <w:tcBorders>
              <w:top w:val="single" w:color="auto" w:sz="4" w:space="0"/>
              <w:left w:val="single" w:color="auto" w:sz="4" w:space="0"/>
              <w:right w:val="single" w:color="auto" w:sz="4" w:space="0"/>
            </w:tcBorders>
            <w:vAlign w:val="center"/>
          </w:tcPr>
          <w:p w14:paraId="0CCC869F">
            <w:pPr>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宁围街道宁牧未来社区百姓健身房运营</w:t>
            </w:r>
            <w:r>
              <w:rPr>
                <w:rFonts w:hint="eastAsia" w:ascii="宋体" w:hAnsi="宋体" w:cs="宋体"/>
                <w:color w:val="auto"/>
                <w:sz w:val="24"/>
                <w:highlight w:val="none"/>
                <w:lang w:val="en-US" w:eastAsia="zh-CN"/>
              </w:rPr>
              <w:t>服务</w:t>
            </w:r>
          </w:p>
        </w:tc>
        <w:tc>
          <w:tcPr>
            <w:tcW w:w="4144" w:type="dxa"/>
            <w:tcBorders>
              <w:top w:val="single" w:color="auto" w:sz="4" w:space="0"/>
              <w:left w:val="single" w:color="auto" w:sz="4" w:space="0"/>
              <w:bottom w:val="single" w:color="auto" w:sz="4" w:space="0"/>
              <w:right w:val="single" w:color="auto" w:sz="4" w:space="0"/>
            </w:tcBorders>
            <w:vAlign w:val="center"/>
          </w:tcPr>
          <w:p w14:paraId="19B30B9B">
            <w:pPr>
              <w:jc w:val="center"/>
              <w:rPr>
                <w:rFonts w:hint="eastAsia" w:ascii="宋体" w:hAnsi="宋体" w:eastAsia="宋体" w:cs="宋体"/>
                <w:color w:val="auto"/>
                <w:sz w:val="24"/>
                <w:highlight w:val="none"/>
              </w:rPr>
            </w:pPr>
          </w:p>
        </w:tc>
        <w:tc>
          <w:tcPr>
            <w:tcW w:w="2219" w:type="dxa"/>
            <w:vMerge w:val="restart"/>
            <w:tcBorders>
              <w:top w:val="single" w:color="auto" w:sz="4" w:space="0"/>
              <w:left w:val="single" w:color="auto" w:sz="4" w:space="0"/>
              <w:right w:val="single" w:color="auto" w:sz="4" w:space="0"/>
            </w:tcBorders>
            <w:vAlign w:val="center"/>
          </w:tcPr>
          <w:p w14:paraId="4E9A1F8A">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5年</w:t>
            </w:r>
          </w:p>
        </w:tc>
      </w:tr>
      <w:tr w14:paraId="39775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14:paraId="4BCC686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547" w:type="dxa"/>
            <w:tcBorders>
              <w:top w:val="single" w:color="auto" w:sz="4" w:space="0"/>
              <w:left w:val="single" w:color="auto" w:sz="4" w:space="0"/>
              <w:bottom w:val="single" w:color="auto" w:sz="4" w:space="0"/>
              <w:right w:val="single" w:color="auto" w:sz="4" w:space="0"/>
            </w:tcBorders>
            <w:vAlign w:val="center"/>
          </w:tcPr>
          <w:p w14:paraId="006C25CE">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第二年</w:t>
            </w:r>
          </w:p>
        </w:tc>
        <w:tc>
          <w:tcPr>
            <w:tcW w:w="3488" w:type="dxa"/>
            <w:vMerge w:val="continue"/>
            <w:tcBorders>
              <w:left w:val="single" w:color="auto" w:sz="4" w:space="0"/>
              <w:right w:val="single" w:color="auto" w:sz="4" w:space="0"/>
            </w:tcBorders>
            <w:vAlign w:val="center"/>
          </w:tcPr>
          <w:p w14:paraId="523353B3">
            <w:pPr>
              <w:snapToGrid w:val="0"/>
              <w:jc w:val="center"/>
              <w:rPr>
                <w:rFonts w:hint="eastAsia" w:ascii="宋体" w:hAnsi="宋体" w:eastAsia="宋体" w:cs="宋体"/>
                <w:color w:val="auto"/>
                <w:sz w:val="24"/>
                <w:highlight w:val="none"/>
              </w:rPr>
            </w:pPr>
          </w:p>
        </w:tc>
        <w:tc>
          <w:tcPr>
            <w:tcW w:w="4144" w:type="dxa"/>
            <w:tcBorders>
              <w:top w:val="single" w:color="auto" w:sz="4" w:space="0"/>
              <w:left w:val="single" w:color="auto" w:sz="4" w:space="0"/>
              <w:bottom w:val="single" w:color="auto" w:sz="4" w:space="0"/>
              <w:right w:val="single" w:color="auto" w:sz="4" w:space="0"/>
            </w:tcBorders>
            <w:vAlign w:val="center"/>
          </w:tcPr>
          <w:p w14:paraId="3ECDF096">
            <w:pPr>
              <w:jc w:val="center"/>
              <w:rPr>
                <w:rFonts w:hint="eastAsia" w:ascii="宋体" w:hAnsi="宋体" w:eastAsia="宋体" w:cs="宋体"/>
                <w:color w:val="auto"/>
                <w:sz w:val="24"/>
                <w:highlight w:val="none"/>
              </w:rPr>
            </w:pPr>
          </w:p>
        </w:tc>
        <w:tc>
          <w:tcPr>
            <w:tcW w:w="2219" w:type="dxa"/>
            <w:vMerge w:val="continue"/>
            <w:tcBorders>
              <w:left w:val="single" w:color="auto" w:sz="4" w:space="0"/>
              <w:right w:val="single" w:color="auto" w:sz="4" w:space="0"/>
            </w:tcBorders>
            <w:vAlign w:val="center"/>
          </w:tcPr>
          <w:p w14:paraId="1F69DB89">
            <w:pPr>
              <w:jc w:val="center"/>
              <w:rPr>
                <w:rFonts w:hint="eastAsia" w:ascii="宋体" w:hAnsi="宋体" w:eastAsia="宋体" w:cs="宋体"/>
                <w:color w:val="auto"/>
                <w:sz w:val="24"/>
                <w:highlight w:val="none"/>
              </w:rPr>
            </w:pPr>
          </w:p>
        </w:tc>
      </w:tr>
      <w:tr w14:paraId="10570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14:paraId="1732C6C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547" w:type="dxa"/>
            <w:tcBorders>
              <w:top w:val="single" w:color="auto" w:sz="4" w:space="0"/>
              <w:left w:val="single" w:color="auto" w:sz="4" w:space="0"/>
              <w:bottom w:val="single" w:color="auto" w:sz="4" w:space="0"/>
              <w:right w:val="single" w:color="auto" w:sz="4" w:space="0"/>
            </w:tcBorders>
            <w:vAlign w:val="center"/>
          </w:tcPr>
          <w:p w14:paraId="691CF982">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第三年</w:t>
            </w:r>
          </w:p>
        </w:tc>
        <w:tc>
          <w:tcPr>
            <w:tcW w:w="3488" w:type="dxa"/>
            <w:vMerge w:val="continue"/>
            <w:tcBorders>
              <w:left w:val="single" w:color="auto" w:sz="4" w:space="0"/>
              <w:right w:val="single" w:color="auto" w:sz="4" w:space="0"/>
            </w:tcBorders>
            <w:vAlign w:val="center"/>
          </w:tcPr>
          <w:p w14:paraId="551288F1">
            <w:pPr>
              <w:snapToGrid w:val="0"/>
              <w:jc w:val="center"/>
              <w:rPr>
                <w:rFonts w:hint="eastAsia" w:ascii="宋体" w:hAnsi="宋体" w:eastAsia="宋体" w:cs="宋体"/>
                <w:color w:val="auto"/>
                <w:sz w:val="24"/>
                <w:highlight w:val="none"/>
              </w:rPr>
            </w:pPr>
          </w:p>
        </w:tc>
        <w:tc>
          <w:tcPr>
            <w:tcW w:w="4144" w:type="dxa"/>
            <w:tcBorders>
              <w:top w:val="single" w:color="auto" w:sz="4" w:space="0"/>
              <w:left w:val="single" w:color="auto" w:sz="4" w:space="0"/>
              <w:bottom w:val="single" w:color="auto" w:sz="4" w:space="0"/>
              <w:right w:val="single" w:color="auto" w:sz="4" w:space="0"/>
            </w:tcBorders>
            <w:vAlign w:val="center"/>
          </w:tcPr>
          <w:p w14:paraId="0A807C5A">
            <w:pPr>
              <w:jc w:val="center"/>
              <w:rPr>
                <w:rFonts w:hint="eastAsia" w:ascii="宋体" w:hAnsi="宋体" w:eastAsia="宋体" w:cs="宋体"/>
                <w:color w:val="auto"/>
                <w:sz w:val="24"/>
                <w:highlight w:val="none"/>
              </w:rPr>
            </w:pPr>
          </w:p>
        </w:tc>
        <w:tc>
          <w:tcPr>
            <w:tcW w:w="2219" w:type="dxa"/>
            <w:vMerge w:val="continue"/>
            <w:tcBorders>
              <w:left w:val="single" w:color="auto" w:sz="4" w:space="0"/>
              <w:right w:val="single" w:color="auto" w:sz="4" w:space="0"/>
            </w:tcBorders>
            <w:vAlign w:val="center"/>
          </w:tcPr>
          <w:p w14:paraId="7C44D4BD">
            <w:pPr>
              <w:jc w:val="center"/>
              <w:rPr>
                <w:rFonts w:hint="eastAsia" w:ascii="宋体" w:hAnsi="宋体" w:eastAsia="宋体" w:cs="宋体"/>
                <w:color w:val="auto"/>
                <w:sz w:val="24"/>
                <w:highlight w:val="none"/>
              </w:rPr>
            </w:pPr>
          </w:p>
        </w:tc>
      </w:tr>
      <w:tr w14:paraId="37C5D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14:paraId="41D73935">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3547" w:type="dxa"/>
            <w:tcBorders>
              <w:top w:val="single" w:color="auto" w:sz="4" w:space="0"/>
              <w:left w:val="single" w:color="auto" w:sz="4" w:space="0"/>
              <w:bottom w:val="single" w:color="auto" w:sz="4" w:space="0"/>
              <w:right w:val="single" w:color="auto" w:sz="4" w:space="0"/>
            </w:tcBorders>
            <w:vAlign w:val="center"/>
          </w:tcPr>
          <w:p w14:paraId="6239F5AF">
            <w:pPr>
              <w:snapToGrid w:val="0"/>
              <w:jc w:val="center"/>
              <w:rPr>
                <w:rFonts w:hint="eastAsia" w:ascii="宋体" w:hAnsi="宋体" w:eastAsia="宋体" w:cs="宋体"/>
                <w:color w:val="auto"/>
                <w:sz w:val="24"/>
                <w:szCs w:val="28"/>
                <w:highlight w:val="none"/>
              </w:rPr>
            </w:pPr>
            <w:r>
              <w:rPr>
                <w:rFonts w:hint="eastAsia" w:ascii="宋体" w:hAnsi="宋体" w:eastAsia="宋体" w:cs="宋体"/>
                <w:color w:val="auto"/>
                <w:sz w:val="24"/>
                <w:highlight w:val="none"/>
                <w:lang w:val="en-US" w:eastAsia="zh-CN"/>
              </w:rPr>
              <w:t>第四年</w:t>
            </w:r>
          </w:p>
        </w:tc>
        <w:tc>
          <w:tcPr>
            <w:tcW w:w="3488" w:type="dxa"/>
            <w:vMerge w:val="continue"/>
            <w:tcBorders>
              <w:left w:val="single" w:color="auto" w:sz="4" w:space="0"/>
              <w:right w:val="single" w:color="auto" w:sz="4" w:space="0"/>
            </w:tcBorders>
            <w:vAlign w:val="center"/>
          </w:tcPr>
          <w:p w14:paraId="4EE6DEDC">
            <w:pPr>
              <w:snapToGrid w:val="0"/>
              <w:jc w:val="center"/>
              <w:rPr>
                <w:rFonts w:hint="eastAsia" w:ascii="宋体" w:hAnsi="宋体" w:eastAsia="宋体" w:cs="宋体"/>
                <w:color w:val="auto"/>
                <w:sz w:val="24"/>
                <w:highlight w:val="none"/>
              </w:rPr>
            </w:pPr>
          </w:p>
        </w:tc>
        <w:tc>
          <w:tcPr>
            <w:tcW w:w="4144" w:type="dxa"/>
            <w:tcBorders>
              <w:top w:val="single" w:color="auto" w:sz="4" w:space="0"/>
              <w:left w:val="single" w:color="auto" w:sz="4" w:space="0"/>
              <w:bottom w:val="single" w:color="auto" w:sz="4" w:space="0"/>
              <w:right w:val="single" w:color="auto" w:sz="4" w:space="0"/>
            </w:tcBorders>
            <w:vAlign w:val="center"/>
          </w:tcPr>
          <w:p w14:paraId="6737CA9B">
            <w:pPr>
              <w:jc w:val="center"/>
              <w:rPr>
                <w:rFonts w:hint="eastAsia" w:ascii="宋体" w:hAnsi="宋体" w:eastAsia="宋体" w:cs="宋体"/>
                <w:color w:val="auto"/>
                <w:sz w:val="24"/>
                <w:highlight w:val="none"/>
              </w:rPr>
            </w:pPr>
          </w:p>
        </w:tc>
        <w:tc>
          <w:tcPr>
            <w:tcW w:w="2219" w:type="dxa"/>
            <w:vMerge w:val="continue"/>
            <w:tcBorders>
              <w:left w:val="single" w:color="auto" w:sz="4" w:space="0"/>
              <w:right w:val="single" w:color="auto" w:sz="4" w:space="0"/>
            </w:tcBorders>
            <w:vAlign w:val="center"/>
          </w:tcPr>
          <w:p w14:paraId="7B60C976">
            <w:pPr>
              <w:jc w:val="center"/>
              <w:rPr>
                <w:rFonts w:hint="eastAsia" w:ascii="宋体" w:hAnsi="宋体" w:eastAsia="宋体" w:cs="宋体"/>
                <w:color w:val="auto"/>
                <w:sz w:val="24"/>
                <w:highlight w:val="none"/>
              </w:rPr>
            </w:pPr>
          </w:p>
        </w:tc>
      </w:tr>
      <w:tr w14:paraId="14189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14:paraId="6B377AC2">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3547" w:type="dxa"/>
            <w:tcBorders>
              <w:top w:val="single" w:color="auto" w:sz="4" w:space="0"/>
              <w:left w:val="single" w:color="auto" w:sz="4" w:space="0"/>
              <w:bottom w:val="single" w:color="auto" w:sz="4" w:space="0"/>
              <w:right w:val="single" w:color="auto" w:sz="4" w:space="0"/>
            </w:tcBorders>
            <w:vAlign w:val="center"/>
          </w:tcPr>
          <w:p w14:paraId="4283317B">
            <w:pPr>
              <w:snapToGrid w:val="0"/>
              <w:jc w:val="center"/>
              <w:rPr>
                <w:rFonts w:hint="eastAsia" w:ascii="宋体" w:hAnsi="宋体" w:eastAsia="宋体" w:cs="宋体"/>
                <w:color w:val="auto"/>
                <w:sz w:val="24"/>
                <w:szCs w:val="28"/>
                <w:highlight w:val="none"/>
              </w:rPr>
            </w:pPr>
            <w:r>
              <w:rPr>
                <w:rFonts w:hint="eastAsia" w:ascii="宋体" w:hAnsi="宋体" w:eastAsia="宋体" w:cs="宋体"/>
                <w:color w:val="auto"/>
                <w:sz w:val="24"/>
                <w:highlight w:val="none"/>
                <w:lang w:val="en-US" w:eastAsia="zh-CN"/>
              </w:rPr>
              <w:t>第五年</w:t>
            </w:r>
          </w:p>
        </w:tc>
        <w:tc>
          <w:tcPr>
            <w:tcW w:w="3488" w:type="dxa"/>
            <w:vMerge w:val="continue"/>
            <w:tcBorders>
              <w:left w:val="single" w:color="auto" w:sz="4" w:space="0"/>
              <w:bottom w:val="single" w:color="auto" w:sz="4" w:space="0"/>
              <w:right w:val="single" w:color="auto" w:sz="4" w:space="0"/>
            </w:tcBorders>
            <w:vAlign w:val="center"/>
          </w:tcPr>
          <w:p w14:paraId="41D480A8">
            <w:pPr>
              <w:snapToGrid w:val="0"/>
              <w:jc w:val="center"/>
              <w:rPr>
                <w:rFonts w:hint="eastAsia" w:ascii="宋体" w:hAnsi="宋体" w:eastAsia="宋体" w:cs="宋体"/>
                <w:color w:val="auto"/>
                <w:sz w:val="24"/>
                <w:highlight w:val="none"/>
              </w:rPr>
            </w:pPr>
          </w:p>
        </w:tc>
        <w:tc>
          <w:tcPr>
            <w:tcW w:w="4144" w:type="dxa"/>
            <w:tcBorders>
              <w:top w:val="single" w:color="auto" w:sz="4" w:space="0"/>
              <w:left w:val="single" w:color="auto" w:sz="4" w:space="0"/>
              <w:bottom w:val="single" w:color="auto" w:sz="4" w:space="0"/>
              <w:right w:val="single" w:color="auto" w:sz="4" w:space="0"/>
            </w:tcBorders>
            <w:vAlign w:val="center"/>
          </w:tcPr>
          <w:p w14:paraId="4EE16C0E">
            <w:pPr>
              <w:jc w:val="center"/>
              <w:rPr>
                <w:rFonts w:hint="eastAsia" w:ascii="宋体" w:hAnsi="宋体" w:eastAsia="宋体" w:cs="宋体"/>
                <w:color w:val="auto"/>
                <w:sz w:val="24"/>
                <w:highlight w:val="none"/>
              </w:rPr>
            </w:pPr>
          </w:p>
        </w:tc>
        <w:tc>
          <w:tcPr>
            <w:tcW w:w="2219" w:type="dxa"/>
            <w:vMerge w:val="continue"/>
            <w:tcBorders>
              <w:left w:val="single" w:color="auto" w:sz="4" w:space="0"/>
              <w:bottom w:val="single" w:color="auto" w:sz="4" w:space="0"/>
              <w:right w:val="single" w:color="auto" w:sz="4" w:space="0"/>
            </w:tcBorders>
            <w:vAlign w:val="center"/>
          </w:tcPr>
          <w:p w14:paraId="1BFCC140">
            <w:pPr>
              <w:jc w:val="center"/>
              <w:rPr>
                <w:rFonts w:hint="eastAsia" w:ascii="宋体" w:hAnsi="宋体" w:eastAsia="宋体" w:cs="宋体"/>
                <w:color w:val="auto"/>
                <w:sz w:val="24"/>
                <w:highlight w:val="none"/>
              </w:rPr>
            </w:pPr>
          </w:p>
        </w:tc>
      </w:tr>
      <w:tr w14:paraId="57C61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506" w:type="dxa"/>
            <w:gridSpan w:val="2"/>
            <w:tcBorders>
              <w:top w:val="single" w:color="auto" w:sz="4" w:space="0"/>
              <w:left w:val="single" w:color="auto" w:sz="4" w:space="0"/>
              <w:bottom w:val="single" w:color="auto" w:sz="4" w:space="0"/>
              <w:right w:val="single" w:color="auto" w:sz="4" w:space="0"/>
            </w:tcBorders>
            <w:vAlign w:val="center"/>
          </w:tcPr>
          <w:p w14:paraId="353D8F28">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9851" w:type="dxa"/>
            <w:gridSpan w:val="3"/>
            <w:tcBorders>
              <w:top w:val="single" w:color="auto" w:sz="4" w:space="0"/>
              <w:left w:val="single" w:color="auto" w:sz="4" w:space="0"/>
              <w:bottom w:val="single" w:color="auto" w:sz="4" w:space="0"/>
              <w:right w:val="single" w:color="auto" w:sz="4" w:space="0"/>
            </w:tcBorders>
            <w:vAlign w:val="center"/>
          </w:tcPr>
          <w:p w14:paraId="12F2E993">
            <w:pPr>
              <w:jc w:val="center"/>
              <w:rPr>
                <w:rFonts w:hint="eastAsia" w:ascii="宋体" w:hAnsi="宋体" w:eastAsia="宋体" w:cs="宋体"/>
                <w:color w:val="auto"/>
                <w:sz w:val="24"/>
                <w:highlight w:val="none"/>
              </w:rPr>
            </w:pPr>
          </w:p>
        </w:tc>
      </w:tr>
      <w:tr w14:paraId="7169E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506" w:type="dxa"/>
            <w:gridSpan w:val="2"/>
            <w:tcBorders>
              <w:top w:val="single" w:color="auto" w:sz="4" w:space="0"/>
              <w:left w:val="single" w:color="auto" w:sz="4" w:space="0"/>
              <w:bottom w:val="single" w:color="auto" w:sz="4" w:space="0"/>
              <w:right w:val="single" w:color="auto" w:sz="4" w:space="0"/>
            </w:tcBorders>
            <w:vAlign w:val="center"/>
          </w:tcPr>
          <w:p w14:paraId="115EB5F7">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9851" w:type="dxa"/>
            <w:gridSpan w:val="3"/>
            <w:tcBorders>
              <w:top w:val="single" w:color="auto" w:sz="4" w:space="0"/>
              <w:left w:val="single" w:color="auto" w:sz="4" w:space="0"/>
              <w:bottom w:val="single" w:color="auto" w:sz="4" w:space="0"/>
              <w:right w:val="single" w:color="auto" w:sz="4" w:space="0"/>
            </w:tcBorders>
            <w:vAlign w:val="center"/>
          </w:tcPr>
          <w:p w14:paraId="7C90505B">
            <w:pPr>
              <w:jc w:val="center"/>
              <w:rPr>
                <w:rFonts w:hint="eastAsia" w:ascii="宋体" w:hAnsi="宋体" w:eastAsia="宋体" w:cs="宋体"/>
                <w:color w:val="auto"/>
                <w:sz w:val="24"/>
                <w:highlight w:val="none"/>
              </w:rPr>
            </w:pPr>
          </w:p>
        </w:tc>
      </w:tr>
    </w:tbl>
    <w:p w14:paraId="2D29A182">
      <w:pPr>
        <w:snapToGrid w:val="0"/>
        <w:spacing w:line="360" w:lineRule="auto"/>
        <w:ind w:left="480"/>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注：</w:t>
      </w:r>
    </w:p>
    <w:p w14:paraId="094CB61F">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1、响应人需按本表格式填写，不得自行更改。</w:t>
      </w:r>
    </w:p>
    <w:p w14:paraId="49B8281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交易发起人将以合同形式有偿取得货物或服务，不接受响应人给予的赠品、回扣或者与交易无关的其他商品、服务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响应文件含有交易发起人不能接受的附加条件的，交易无效</w:t>
      </w:r>
      <w:r>
        <w:rPr>
          <w:rFonts w:hint="eastAsia" w:ascii="宋体" w:hAnsi="宋体" w:eastAsia="宋体" w:cs="宋体"/>
          <w:b/>
          <w:color w:val="auto"/>
          <w:kern w:val="0"/>
          <w:sz w:val="24"/>
          <w:highlight w:val="none"/>
          <w:lang w:val="zh-CN"/>
        </w:rPr>
        <w:t>；交易内容未包含在《交易一览表（报价表）》名称栏中，响应人不能作出合理解释的，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响应文件含有交易发起人不能接受的附加条件的，交易无效。</w:t>
      </w:r>
    </w:p>
    <w:p w14:paraId="58CB9CE0">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3、以上表格要求细分项目及报价，在“规格型号（或具体服务）”一栏中，货物类项目填写规格型号，服务类项目填写具体服务。</w:t>
      </w:r>
    </w:p>
    <w:p w14:paraId="49085239">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4、特别提示：代理机构将对项目名称和项目编号，成交响应人名称、地址和</w:t>
      </w:r>
      <w:r>
        <w:rPr>
          <w:rFonts w:hint="eastAsia" w:ascii="宋体" w:hAnsi="宋体" w:eastAsia="宋体" w:cs="宋体"/>
          <w:color w:val="auto"/>
          <w:kern w:val="0"/>
          <w:sz w:val="24"/>
          <w:highlight w:val="none"/>
        </w:rPr>
        <w:t>成交</w:t>
      </w:r>
      <w:r>
        <w:rPr>
          <w:rFonts w:hint="eastAsia" w:ascii="宋体" w:hAnsi="宋体" w:eastAsia="宋体" w:cs="宋体"/>
          <w:color w:val="auto"/>
          <w:kern w:val="0"/>
          <w:sz w:val="24"/>
          <w:highlight w:val="none"/>
          <w:lang w:val="zh-CN"/>
        </w:rPr>
        <w:t>金额等予以公示。</w:t>
      </w:r>
    </w:p>
    <w:p w14:paraId="4D51E02E">
      <w:pPr>
        <w:spacing w:line="360" w:lineRule="auto"/>
        <w:ind w:firstLine="482" w:firstLineChars="200"/>
        <w:rPr>
          <w:rFonts w:hint="eastAsia" w:ascii="宋体" w:hAnsi="宋体" w:eastAsia="宋体" w:cs="宋体"/>
          <w:b/>
          <w:color w:val="auto"/>
          <w:kern w:val="0"/>
          <w:sz w:val="24"/>
          <w:highlight w:val="none"/>
        </w:rPr>
      </w:pPr>
    </w:p>
    <w:p w14:paraId="67DBED3D">
      <w:pPr>
        <w:autoSpaceDE w:val="0"/>
        <w:autoSpaceDN w:val="0"/>
        <w:spacing w:line="360" w:lineRule="auto"/>
        <w:ind w:left="2" w:leftChars="1" w:right="1120" w:firstLine="7680" w:firstLineChars="3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w:t>
      </w:r>
    </w:p>
    <w:p w14:paraId="3D7B782C">
      <w:pPr>
        <w:autoSpaceDE w:val="0"/>
        <w:autoSpaceDN w:val="0"/>
        <w:spacing w:line="360" w:lineRule="auto"/>
        <w:ind w:left="2" w:leftChars="1" w:right="1120" w:firstLine="7680" w:firstLineChars="3200"/>
        <w:jc w:val="left"/>
        <w:rPr>
          <w:rFonts w:hint="eastAsia" w:ascii="宋体" w:hAnsi="宋体" w:eastAsia="宋体" w:cs="宋体"/>
          <w:color w:val="auto"/>
          <w:kern w:val="0"/>
          <w:sz w:val="24"/>
          <w:highlight w:val="none"/>
          <w:lang w:val="zh-CN"/>
        </w:rPr>
        <w:sectPr>
          <w:pgSz w:w="16838" w:h="11906" w:orient="landscape"/>
          <w:pgMar w:top="1417" w:right="1247" w:bottom="1417" w:left="1247" w:header="851" w:footer="992" w:gutter="0"/>
          <w:cols w:space="0" w:num="1"/>
          <w:titlePg/>
          <w:docGrid w:linePitch="312" w:charSpace="0"/>
        </w:sect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0B57B5D7">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r>
        <w:rPr>
          <w:rFonts w:hint="eastAsia" w:ascii="宋体" w:hAnsi="宋体" w:eastAsia="宋体" w:cs="宋体"/>
          <w:b/>
          <w:color w:val="auto"/>
          <w:spacing w:val="6"/>
          <w:sz w:val="32"/>
          <w:szCs w:val="32"/>
          <w:highlight w:val="none"/>
          <w:lang w:val="zh-CN"/>
        </w:rPr>
        <w:t>异议</w:t>
      </w:r>
      <w:r>
        <w:rPr>
          <w:rFonts w:hint="eastAsia" w:ascii="宋体" w:hAnsi="宋体" w:eastAsia="宋体" w:cs="宋体"/>
          <w:b/>
          <w:color w:val="auto"/>
          <w:spacing w:val="6"/>
          <w:sz w:val="32"/>
          <w:szCs w:val="32"/>
          <w:highlight w:val="none"/>
        </w:rPr>
        <w:t>函范本及制作说明</w:t>
      </w:r>
    </w:p>
    <w:p w14:paraId="3927FAFC">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异议函范本</w:t>
      </w:r>
    </w:p>
    <w:p w14:paraId="0F576472">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一、异议响应人基本信息</w:t>
      </w:r>
    </w:p>
    <w:p w14:paraId="23BC1F2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异议响应人：</w:t>
      </w:r>
    </w:p>
    <w:p w14:paraId="5614B60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地址：邮编：</w:t>
      </w:r>
    </w:p>
    <w:p w14:paraId="2078B78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联系人：联系电话：</w:t>
      </w:r>
    </w:p>
    <w:p w14:paraId="463F48C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p>
    <w:p w14:paraId="01E7289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p w14:paraId="1599DF6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 邮编：</w:t>
      </w:r>
    </w:p>
    <w:p w14:paraId="2F67E90D">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二、异议项目基本情况</w:t>
      </w:r>
    </w:p>
    <w:p w14:paraId="3580B8A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异议项目的名称：</w:t>
      </w:r>
    </w:p>
    <w:p w14:paraId="768959F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异议项目的编号：包号：</w:t>
      </w:r>
    </w:p>
    <w:p w14:paraId="4C61A2A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交易发起人名称：</w:t>
      </w:r>
    </w:p>
    <w:p w14:paraId="763B02D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公开竞争文件获取日期：</w:t>
      </w:r>
    </w:p>
    <w:p w14:paraId="2BF734E7">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三、异议事项具体内容</w:t>
      </w:r>
    </w:p>
    <w:p w14:paraId="03F0CB6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异议事项1：</w:t>
      </w:r>
    </w:p>
    <w:p w14:paraId="474AE63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p>
    <w:p w14:paraId="5BAA0AC5">
      <w:pPr>
        <w:snapToGrid w:val="0"/>
        <w:spacing w:line="360" w:lineRule="auto"/>
        <w:rPr>
          <w:rFonts w:hint="eastAsia" w:ascii="宋体" w:hAnsi="宋体" w:eastAsia="宋体" w:cs="宋体"/>
          <w:color w:val="auto"/>
          <w:sz w:val="24"/>
          <w:highlight w:val="none"/>
        </w:rPr>
      </w:pPr>
    </w:p>
    <w:p w14:paraId="299B91C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p>
    <w:p w14:paraId="69E4911C">
      <w:pPr>
        <w:snapToGrid w:val="0"/>
        <w:spacing w:line="360" w:lineRule="auto"/>
        <w:rPr>
          <w:rFonts w:hint="eastAsia" w:ascii="宋体" w:hAnsi="宋体" w:eastAsia="宋体" w:cs="宋体"/>
          <w:color w:val="auto"/>
          <w:sz w:val="24"/>
          <w:highlight w:val="none"/>
          <w:u w:val="dotted"/>
        </w:rPr>
      </w:pPr>
    </w:p>
    <w:p w14:paraId="7454F42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异议事项2</w:t>
      </w:r>
    </w:p>
    <w:p w14:paraId="44254B0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401A8F89">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四、与异议事项相关的异议请求</w:t>
      </w:r>
    </w:p>
    <w:p w14:paraId="0CB48D9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p>
    <w:p w14:paraId="1547D76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2E59BC2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4D7A54CA">
      <w:pPr>
        <w:spacing w:line="360" w:lineRule="auto"/>
        <w:jc w:val="center"/>
        <w:rPr>
          <w:rFonts w:hint="eastAsia" w:ascii="宋体" w:hAnsi="宋体" w:eastAsia="宋体" w:cs="宋体"/>
          <w:b/>
          <w:bCs/>
          <w:color w:val="auto"/>
          <w:sz w:val="24"/>
          <w:highlight w:val="none"/>
        </w:rPr>
      </w:pPr>
    </w:p>
    <w:p w14:paraId="2A8C1CFB">
      <w:pPr>
        <w:spacing w:line="360" w:lineRule="auto"/>
        <w:rPr>
          <w:rFonts w:hint="eastAsia" w:ascii="宋体" w:hAnsi="宋体" w:eastAsia="宋体" w:cs="宋体"/>
          <w:b/>
          <w:color w:val="auto"/>
          <w:sz w:val="24"/>
          <w:highlight w:val="none"/>
        </w:rPr>
      </w:pPr>
    </w:p>
    <w:p w14:paraId="4CB050AC">
      <w:pPr>
        <w:spacing w:line="360" w:lineRule="auto"/>
        <w:rPr>
          <w:rFonts w:hint="eastAsia" w:ascii="宋体" w:hAnsi="宋体" w:eastAsia="宋体" w:cs="宋体"/>
          <w:b/>
          <w:color w:val="auto"/>
          <w:sz w:val="24"/>
          <w:highlight w:val="none"/>
        </w:rPr>
      </w:pPr>
    </w:p>
    <w:p w14:paraId="5E60D29D">
      <w:pPr>
        <w:spacing w:line="360" w:lineRule="auto"/>
        <w:rPr>
          <w:rFonts w:hint="eastAsia" w:ascii="宋体" w:hAnsi="宋体" w:eastAsia="宋体" w:cs="宋体"/>
          <w:b/>
          <w:color w:val="auto"/>
          <w:sz w:val="24"/>
          <w:highlight w:val="none"/>
        </w:rPr>
      </w:pPr>
    </w:p>
    <w:p w14:paraId="5CAC6A2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异议函制作说明：</w:t>
      </w:r>
    </w:p>
    <w:p w14:paraId="3172963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1.响应人提出异议时，应提交异议函和必要的证明材料。</w:t>
      </w:r>
    </w:p>
    <w:p w14:paraId="4ACAA47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2.异议响应人若委托代理人进行异议的，异议函应按要求列明“授权代表”的有关内容，并在附件中提交由异议</w:t>
      </w:r>
      <w:r>
        <w:rPr>
          <w:rFonts w:hint="eastAsia" w:ascii="宋体" w:hAnsi="宋体" w:eastAsia="宋体" w:cs="宋体"/>
          <w:color w:val="auto"/>
          <w:kern w:val="0"/>
          <w:sz w:val="24"/>
          <w:highlight w:val="none"/>
        </w:rPr>
        <w:t>响应人签署的授权委托书。授权委托书应载明代理人的姓名或者名称、代理事项、具体权限、期限和相关事项。</w:t>
      </w:r>
    </w:p>
    <w:p w14:paraId="586DC59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3.异议响应人若对项目的某一分包进行异议，异议函中应列明具体分包号。</w:t>
      </w:r>
    </w:p>
    <w:p w14:paraId="7C72696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4.异议函的异议事项应具体、明确，并有必要的事实依据和法律依据。</w:t>
      </w:r>
    </w:p>
    <w:p w14:paraId="753C170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5.异议函的异议请求应与异议事项相关。</w:t>
      </w:r>
    </w:p>
    <w:p w14:paraId="51177A9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6.异议响应人为自然人的，异议函应由本人签字；异议响应人为法人或者其他组织的，异议函应由法定代表人、主要负责人，或者其授权代表签字或者盖章，并加盖公章。</w:t>
      </w:r>
    </w:p>
    <w:p w14:paraId="1543E74A">
      <w:pPr>
        <w:widowControl/>
        <w:spacing w:line="360" w:lineRule="auto"/>
        <w:ind w:firstLine="600" w:firstLineChars="200"/>
        <w:jc w:val="left"/>
        <w:rPr>
          <w:rFonts w:hint="eastAsia" w:ascii="宋体" w:hAnsi="宋体" w:eastAsia="宋体" w:cs="宋体"/>
          <w:color w:val="auto"/>
          <w:sz w:val="30"/>
          <w:szCs w:val="30"/>
          <w:highlight w:val="none"/>
        </w:rPr>
      </w:pPr>
    </w:p>
    <w:p w14:paraId="0D34B2A3">
      <w:pPr>
        <w:spacing w:line="360" w:lineRule="auto"/>
        <w:jc w:val="center"/>
        <w:rPr>
          <w:rFonts w:hint="eastAsia" w:ascii="宋体" w:hAnsi="宋体" w:eastAsia="宋体" w:cs="宋体"/>
          <w:b/>
          <w:color w:val="auto"/>
          <w:spacing w:val="6"/>
          <w:sz w:val="32"/>
          <w:szCs w:val="32"/>
          <w:highlight w:val="none"/>
        </w:rPr>
      </w:pPr>
    </w:p>
    <w:p w14:paraId="55671146">
      <w:pPr>
        <w:spacing w:line="360" w:lineRule="auto"/>
        <w:jc w:val="center"/>
        <w:rPr>
          <w:rFonts w:hint="eastAsia" w:ascii="宋体" w:hAnsi="宋体" w:eastAsia="宋体" w:cs="宋体"/>
          <w:b/>
          <w:color w:val="auto"/>
          <w:spacing w:val="6"/>
          <w:sz w:val="32"/>
          <w:szCs w:val="32"/>
          <w:highlight w:val="none"/>
        </w:rPr>
      </w:pPr>
    </w:p>
    <w:p w14:paraId="2D329893">
      <w:pPr>
        <w:spacing w:line="360" w:lineRule="auto"/>
        <w:jc w:val="center"/>
        <w:rPr>
          <w:rFonts w:hint="eastAsia" w:ascii="宋体" w:hAnsi="宋体" w:eastAsia="宋体" w:cs="宋体"/>
          <w:b/>
          <w:color w:val="auto"/>
          <w:spacing w:val="6"/>
          <w:sz w:val="32"/>
          <w:szCs w:val="32"/>
          <w:highlight w:val="none"/>
        </w:rPr>
      </w:pPr>
    </w:p>
    <w:p w14:paraId="4326E4F4">
      <w:pPr>
        <w:spacing w:line="360" w:lineRule="auto"/>
        <w:jc w:val="center"/>
        <w:rPr>
          <w:rFonts w:hint="eastAsia" w:ascii="宋体" w:hAnsi="宋体" w:eastAsia="宋体" w:cs="宋体"/>
          <w:b/>
          <w:color w:val="auto"/>
          <w:spacing w:val="6"/>
          <w:sz w:val="32"/>
          <w:szCs w:val="32"/>
          <w:highlight w:val="none"/>
        </w:rPr>
      </w:pPr>
    </w:p>
    <w:p w14:paraId="72BAF36E">
      <w:pPr>
        <w:spacing w:line="360" w:lineRule="auto"/>
        <w:jc w:val="center"/>
        <w:rPr>
          <w:rFonts w:hint="eastAsia" w:ascii="宋体" w:hAnsi="宋体" w:eastAsia="宋体" w:cs="宋体"/>
          <w:b/>
          <w:color w:val="auto"/>
          <w:spacing w:val="6"/>
          <w:sz w:val="32"/>
          <w:szCs w:val="32"/>
          <w:highlight w:val="none"/>
        </w:rPr>
      </w:pPr>
    </w:p>
    <w:p w14:paraId="25EEF2CA">
      <w:pPr>
        <w:spacing w:line="360" w:lineRule="auto"/>
        <w:jc w:val="center"/>
        <w:rPr>
          <w:rFonts w:hint="eastAsia" w:ascii="宋体" w:hAnsi="宋体" w:eastAsia="宋体" w:cs="宋体"/>
          <w:b/>
          <w:color w:val="auto"/>
          <w:spacing w:val="6"/>
          <w:sz w:val="32"/>
          <w:szCs w:val="32"/>
          <w:highlight w:val="none"/>
        </w:rPr>
      </w:pPr>
    </w:p>
    <w:p w14:paraId="129004BD">
      <w:pPr>
        <w:spacing w:line="360" w:lineRule="auto"/>
        <w:jc w:val="center"/>
        <w:rPr>
          <w:rFonts w:hint="eastAsia" w:ascii="宋体" w:hAnsi="宋体" w:eastAsia="宋体" w:cs="宋体"/>
          <w:b/>
          <w:color w:val="auto"/>
          <w:spacing w:val="6"/>
          <w:sz w:val="32"/>
          <w:szCs w:val="32"/>
          <w:highlight w:val="none"/>
        </w:rPr>
      </w:pPr>
    </w:p>
    <w:p w14:paraId="1C6E39B8">
      <w:pPr>
        <w:spacing w:line="360" w:lineRule="auto"/>
        <w:jc w:val="center"/>
        <w:rPr>
          <w:rFonts w:hint="eastAsia" w:ascii="宋体" w:hAnsi="宋体" w:eastAsia="宋体" w:cs="宋体"/>
          <w:b/>
          <w:color w:val="auto"/>
          <w:spacing w:val="6"/>
          <w:sz w:val="32"/>
          <w:szCs w:val="32"/>
          <w:highlight w:val="none"/>
        </w:rPr>
      </w:pPr>
    </w:p>
    <w:p w14:paraId="74E59D3B">
      <w:pPr>
        <w:spacing w:line="360" w:lineRule="auto"/>
        <w:jc w:val="center"/>
        <w:rPr>
          <w:rFonts w:hint="eastAsia" w:ascii="宋体" w:hAnsi="宋体" w:eastAsia="宋体" w:cs="宋体"/>
          <w:b/>
          <w:color w:val="auto"/>
          <w:spacing w:val="6"/>
          <w:sz w:val="32"/>
          <w:szCs w:val="32"/>
          <w:highlight w:val="none"/>
        </w:rPr>
      </w:pPr>
    </w:p>
    <w:p w14:paraId="54933B23">
      <w:pPr>
        <w:spacing w:line="360" w:lineRule="auto"/>
        <w:jc w:val="center"/>
        <w:rPr>
          <w:rFonts w:hint="eastAsia" w:ascii="宋体" w:hAnsi="宋体" w:eastAsia="宋体" w:cs="宋体"/>
          <w:b/>
          <w:color w:val="auto"/>
          <w:spacing w:val="6"/>
          <w:sz w:val="32"/>
          <w:szCs w:val="32"/>
          <w:highlight w:val="none"/>
        </w:rPr>
      </w:pPr>
    </w:p>
    <w:p w14:paraId="78C3C61C">
      <w:pPr>
        <w:spacing w:line="360" w:lineRule="auto"/>
        <w:jc w:val="center"/>
        <w:rPr>
          <w:rFonts w:hint="eastAsia" w:ascii="宋体" w:hAnsi="宋体" w:eastAsia="宋体" w:cs="宋体"/>
          <w:b/>
          <w:color w:val="auto"/>
          <w:spacing w:val="6"/>
          <w:sz w:val="32"/>
          <w:szCs w:val="32"/>
          <w:highlight w:val="none"/>
        </w:rPr>
      </w:pPr>
    </w:p>
    <w:p w14:paraId="0E0F6DEC">
      <w:pPr>
        <w:spacing w:line="360" w:lineRule="auto"/>
        <w:jc w:val="center"/>
        <w:rPr>
          <w:rFonts w:hint="eastAsia" w:ascii="宋体" w:hAnsi="宋体" w:eastAsia="宋体" w:cs="宋体"/>
          <w:b/>
          <w:color w:val="auto"/>
          <w:spacing w:val="6"/>
          <w:sz w:val="32"/>
          <w:szCs w:val="32"/>
          <w:highlight w:val="none"/>
        </w:rPr>
      </w:pPr>
    </w:p>
    <w:p w14:paraId="2D19B9A6">
      <w:pPr>
        <w:spacing w:line="360" w:lineRule="auto"/>
        <w:jc w:val="left"/>
        <w:rPr>
          <w:rFonts w:hint="eastAsia" w:ascii="宋体" w:hAnsi="宋体" w:eastAsia="宋体" w:cs="宋体"/>
          <w:b/>
          <w:color w:val="auto"/>
          <w:spacing w:val="6"/>
          <w:sz w:val="32"/>
          <w:szCs w:val="32"/>
          <w:highlight w:val="none"/>
        </w:rPr>
      </w:pPr>
    </w:p>
    <w:p w14:paraId="5FE9348B">
      <w:pPr>
        <w:spacing w:line="360" w:lineRule="auto"/>
        <w:jc w:val="left"/>
        <w:rPr>
          <w:rFonts w:hint="eastAsia" w:ascii="宋体" w:hAnsi="宋体" w:eastAsia="宋体" w:cs="宋体"/>
          <w:b/>
          <w:color w:val="auto"/>
          <w:spacing w:val="6"/>
          <w:sz w:val="32"/>
          <w:szCs w:val="32"/>
          <w:highlight w:val="none"/>
        </w:rPr>
      </w:pPr>
    </w:p>
    <w:p w14:paraId="61F0A200">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附件2：投诉书范本及制作说明</w:t>
      </w:r>
    </w:p>
    <w:p w14:paraId="5F6CBF3E">
      <w:pPr>
        <w:spacing w:line="360" w:lineRule="auto"/>
        <w:jc w:val="center"/>
        <w:rPr>
          <w:rFonts w:hint="eastAsia" w:ascii="宋体" w:hAnsi="宋体" w:eastAsia="宋体" w:cs="宋体"/>
          <w:b/>
          <w:color w:val="auto"/>
          <w:sz w:val="24"/>
          <w:highlight w:val="none"/>
        </w:rPr>
      </w:pPr>
    </w:p>
    <w:p w14:paraId="459CDFB6">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5DA6851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5E70BB5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p>
    <w:p w14:paraId="1819486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址：邮编：</w:t>
      </w:r>
    </w:p>
    <w:p w14:paraId="5A6997B3">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p>
    <w:p w14:paraId="3DD91C28">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p>
    <w:p w14:paraId="367068F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授权代表：联系电话</w:t>
      </w:r>
      <w:r>
        <w:rPr>
          <w:rFonts w:hint="eastAsia" w:ascii="宋体" w:hAnsi="宋体" w:eastAsia="宋体" w:cs="宋体"/>
          <w:color w:val="auto"/>
          <w:sz w:val="24"/>
          <w:highlight w:val="none"/>
          <w:u w:val="dotted"/>
        </w:rPr>
        <w:t xml:space="preserve">：                  </w:t>
      </w:r>
    </w:p>
    <w:p w14:paraId="205D075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址：邮编：</w:t>
      </w:r>
    </w:p>
    <w:p w14:paraId="3D90ADE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p>
    <w:p w14:paraId="3237490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址：邮编：</w:t>
      </w:r>
    </w:p>
    <w:p w14:paraId="72AAF18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联系人：联系电话：</w:t>
      </w:r>
    </w:p>
    <w:p w14:paraId="7B28C6D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00F1396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7F5DDA2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相关响应人：</w:t>
      </w:r>
    </w:p>
    <w:p w14:paraId="68A4C44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址：邮编：</w:t>
      </w:r>
    </w:p>
    <w:p w14:paraId="28B3CD0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联系人：联系电话：</w:t>
      </w:r>
    </w:p>
    <w:p w14:paraId="0D2094E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68E9BD0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交易名称：</w:t>
      </w:r>
    </w:p>
    <w:p w14:paraId="735941A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交易编号：包号：</w:t>
      </w:r>
    </w:p>
    <w:p w14:paraId="36C1662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交易发起人名称：</w:t>
      </w:r>
    </w:p>
    <w:p w14:paraId="14B1614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p>
    <w:p w14:paraId="02A9F5D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公开竞争文件公告: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p>
    <w:p w14:paraId="54531FB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成交结果公告: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p>
    <w:p w14:paraId="08C3433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三、异议基本情况</w:t>
      </w:r>
    </w:p>
    <w:p w14:paraId="46B45AD1">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投诉人于年月日,向提出异议，异议事项为：</w:t>
      </w:r>
    </w:p>
    <w:p w14:paraId="5414CDA0">
      <w:pPr>
        <w:spacing w:line="360" w:lineRule="auto"/>
        <w:rPr>
          <w:rFonts w:hint="eastAsia" w:ascii="宋体" w:hAnsi="宋体" w:eastAsia="宋体" w:cs="宋体"/>
          <w:color w:val="auto"/>
          <w:sz w:val="24"/>
          <w:highlight w:val="none"/>
          <w:u w:val="dotted"/>
        </w:rPr>
      </w:pPr>
    </w:p>
    <w:p w14:paraId="1EC748B1">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交易发起人/代理机构</w:t>
      </w:r>
      <w:r>
        <w:rPr>
          <w:rFonts w:hint="eastAsia" w:ascii="宋体" w:hAnsi="宋体" w:eastAsia="宋体" w:cs="宋体"/>
          <w:color w:val="auto"/>
          <w:sz w:val="24"/>
          <w:highlight w:val="none"/>
        </w:rPr>
        <w:t>于年月日,就异议事项作出了答复/没有在法定期限内作出答复。</w:t>
      </w:r>
    </w:p>
    <w:p w14:paraId="3B40B9E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44B68CF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p>
    <w:p w14:paraId="3B0C519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p>
    <w:p w14:paraId="2D54963C">
      <w:pPr>
        <w:spacing w:line="360" w:lineRule="auto"/>
        <w:rPr>
          <w:rFonts w:hint="eastAsia" w:ascii="宋体" w:hAnsi="宋体" w:eastAsia="宋体" w:cs="宋体"/>
          <w:color w:val="auto"/>
          <w:sz w:val="24"/>
          <w:highlight w:val="none"/>
          <w:u w:val="dotted"/>
        </w:rPr>
      </w:pPr>
    </w:p>
    <w:p w14:paraId="72C94A8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p>
    <w:p w14:paraId="6AD2BA7F">
      <w:pPr>
        <w:spacing w:line="360" w:lineRule="auto"/>
        <w:rPr>
          <w:rFonts w:hint="eastAsia" w:ascii="宋体" w:hAnsi="宋体" w:eastAsia="宋体" w:cs="宋体"/>
          <w:color w:val="auto"/>
          <w:sz w:val="24"/>
          <w:highlight w:val="none"/>
          <w:u w:val="dotted"/>
        </w:rPr>
      </w:pPr>
    </w:p>
    <w:p w14:paraId="53EF07D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373D2B5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047590F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613CD7F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p>
    <w:p w14:paraId="6835AA55">
      <w:pPr>
        <w:spacing w:line="360" w:lineRule="auto"/>
        <w:rPr>
          <w:rFonts w:hint="eastAsia" w:ascii="宋体" w:hAnsi="宋体" w:eastAsia="宋体" w:cs="宋体"/>
          <w:color w:val="auto"/>
          <w:sz w:val="24"/>
          <w:highlight w:val="none"/>
          <w:u w:val="single"/>
        </w:rPr>
      </w:pPr>
    </w:p>
    <w:p w14:paraId="35EE0B6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03065BE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2C6D66F5">
      <w:pPr>
        <w:spacing w:line="360" w:lineRule="auto"/>
        <w:rPr>
          <w:rFonts w:hint="eastAsia" w:ascii="宋体" w:hAnsi="宋体" w:eastAsia="宋体" w:cs="宋体"/>
          <w:b/>
          <w:color w:val="auto"/>
          <w:sz w:val="24"/>
          <w:highlight w:val="none"/>
        </w:rPr>
      </w:pPr>
    </w:p>
    <w:p w14:paraId="746AC57B">
      <w:pPr>
        <w:spacing w:line="360" w:lineRule="auto"/>
        <w:rPr>
          <w:rFonts w:hint="eastAsia" w:ascii="宋体" w:hAnsi="宋体" w:eastAsia="宋体" w:cs="宋体"/>
          <w:b/>
          <w:color w:val="auto"/>
          <w:sz w:val="24"/>
          <w:highlight w:val="none"/>
        </w:rPr>
      </w:pPr>
    </w:p>
    <w:p w14:paraId="129A5A8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452EDCA1">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1.投诉人提起投诉时，应当提交投诉书和必要的证明材料，并按照被投诉人和与投诉事项有关的响应人数量提供投诉书副本。</w:t>
      </w:r>
    </w:p>
    <w:p w14:paraId="3EF61632">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3EE2DAA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2210DD8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4.投诉书应简要列明异议事项，异议函、异议答复等作为附件材料提供。</w:t>
      </w:r>
    </w:p>
    <w:p w14:paraId="0C14329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15BA9B5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6B98080D">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2AE94C3">
      <w:pPr>
        <w:spacing w:line="360" w:lineRule="auto"/>
        <w:rPr>
          <w:rFonts w:hint="eastAsia" w:ascii="宋体" w:hAnsi="宋体" w:eastAsia="宋体" w:cs="宋体"/>
          <w:b/>
          <w:color w:val="auto"/>
          <w:sz w:val="24"/>
          <w:highlight w:val="none"/>
        </w:rPr>
      </w:pPr>
    </w:p>
    <w:p w14:paraId="4AF42E92">
      <w:pPr>
        <w:autoSpaceDE w:val="0"/>
        <w:autoSpaceDN w:val="0"/>
        <w:jc w:val="center"/>
        <w:rPr>
          <w:rFonts w:hint="eastAsia" w:ascii="宋体" w:hAnsi="宋体" w:eastAsia="宋体" w:cs="宋体"/>
          <w:b/>
          <w:color w:val="auto"/>
          <w:spacing w:val="6"/>
          <w:sz w:val="32"/>
          <w:szCs w:val="32"/>
          <w:highlight w:val="none"/>
        </w:rPr>
      </w:pPr>
    </w:p>
    <w:p w14:paraId="081A1D0D">
      <w:pPr>
        <w:autoSpaceDE w:val="0"/>
        <w:autoSpaceDN w:val="0"/>
        <w:jc w:val="left"/>
        <w:rPr>
          <w:rFonts w:hint="eastAsia" w:ascii="宋体" w:hAnsi="宋体" w:eastAsia="宋体" w:cs="宋体"/>
          <w:b/>
          <w:color w:val="auto"/>
          <w:spacing w:val="6"/>
          <w:sz w:val="32"/>
          <w:szCs w:val="32"/>
          <w:highlight w:val="none"/>
        </w:rPr>
      </w:pPr>
    </w:p>
    <w:p w14:paraId="78AA486A">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70058206">
      <w:pPr>
        <w:autoSpaceDE w:val="0"/>
        <w:autoSpaceDN w:val="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w:t>
      </w:r>
    </w:p>
    <w:p w14:paraId="348B8490">
      <w:pPr>
        <w:autoSpaceDE w:val="0"/>
        <w:autoSpaceDN w:val="0"/>
        <w:jc w:val="center"/>
        <w:rPr>
          <w:rFonts w:hint="eastAsia" w:ascii="宋体" w:hAnsi="宋体" w:eastAsia="宋体" w:cs="宋体"/>
          <w:b/>
          <w:bCs/>
          <w:color w:val="auto"/>
          <w:sz w:val="32"/>
          <w:szCs w:val="32"/>
          <w:highlight w:val="none"/>
        </w:rPr>
      </w:pPr>
    </w:p>
    <w:p w14:paraId="533A0C1B">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业务专用章使用说明函</w:t>
      </w:r>
    </w:p>
    <w:p w14:paraId="0A2FC14C">
      <w:pPr>
        <w:spacing w:line="360" w:lineRule="auto"/>
        <w:rPr>
          <w:rFonts w:hint="eastAsia" w:ascii="宋体" w:hAnsi="宋体" w:eastAsia="宋体" w:cs="宋体"/>
          <w:color w:val="auto"/>
          <w:sz w:val="24"/>
          <w:highlight w:val="none"/>
          <w:u w:val="single"/>
        </w:rPr>
      </w:pPr>
    </w:p>
    <w:p w14:paraId="646B5BF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（交易发起人）、（代理机构）</w:t>
      </w:r>
    </w:p>
    <w:p w14:paraId="73B416A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sz w:val="24"/>
          <w:highlight w:val="none"/>
        </w:rPr>
        <w:t>(响应人全称)是中华人民共和国依法登记注册的合法企业，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u w:val="single"/>
        </w:rPr>
        <w:t>（项目名称）项目【交易编号：）】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6536952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1F59174E">
      <w:pPr>
        <w:spacing w:line="360" w:lineRule="auto"/>
        <w:ind w:firstLine="494"/>
        <w:rPr>
          <w:rFonts w:hint="eastAsia" w:ascii="宋体" w:hAnsi="宋体" w:eastAsia="宋体" w:cs="宋体"/>
          <w:color w:val="auto"/>
          <w:sz w:val="24"/>
          <w:highlight w:val="none"/>
        </w:rPr>
      </w:pPr>
    </w:p>
    <w:p w14:paraId="701A6910">
      <w:pPr>
        <w:spacing w:line="360" w:lineRule="auto"/>
        <w:ind w:firstLine="494"/>
        <w:rPr>
          <w:rFonts w:hint="eastAsia" w:ascii="宋体" w:hAnsi="宋体" w:eastAsia="宋体" w:cs="宋体"/>
          <w:color w:val="auto"/>
          <w:sz w:val="24"/>
          <w:highlight w:val="none"/>
        </w:rPr>
      </w:pPr>
    </w:p>
    <w:p w14:paraId="2EB3273D">
      <w:pPr>
        <w:spacing w:line="360" w:lineRule="auto"/>
        <w:ind w:firstLine="494"/>
        <w:rPr>
          <w:rFonts w:hint="eastAsia" w:ascii="宋体" w:hAnsi="宋体" w:eastAsia="宋体" w:cs="宋体"/>
          <w:color w:val="auto"/>
          <w:sz w:val="24"/>
          <w:highlight w:val="none"/>
        </w:rPr>
      </w:pPr>
    </w:p>
    <w:p w14:paraId="1E8A1E88">
      <w:pPr>
        <w:spacing w:line="360" w:lineRule="auto"/>
        <w:ind w:firstLine="494"/>
        <w:rPr>
          <w:rFonts w:hint="eastAsia" w:ascii="宋体" w:hAnsi="宋体" w:eastAsia="宋体" w:cs="宋体"/>
          <w:color w:val="auto"/>
          <w:sz w:val="24"/>
          <w:highlight w:val="none"/>
        </w:rPr>
      </w:pPr>
    </w:p>
    <w:p w14:paraId="678AE971">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5360CA2F">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3C76CEB2">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3B1F433F">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2DEFD966">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14:paraId="2DEFD966">
                      <w:pPr>
                        <w:jc w:val="center"/>
                      </w:pPr>
                    </w:p>
                  </w:txbxContent>
                </v:textbox>
              </v:rect>
            </w:pict>
          </mc:Fallback>
        </mc:AlternateContent>
      </w:r>
      <w:r>
        <w:rPr>
          <w:rFonts w:hint="eastAsia" w:ascii="宋体" w:hAnsi="宋体" w:eastAsia="宋体" w:cs="宋体"/>
          <w:color w:val="auto"/>
          <w:sz w:val="24"/>
          <w:highlight w:val="none"/>
        </w:rPr>
        <w:t>投标单位法定名称章（印模）                投标单位“XX专用章”（印模）</w:t>
      </w:r>
    </w:p>
    <w:p w14:paraId="40C8584C">
      <w:pPr>
        <w:autoSpaceDE w:val="0"/>
        <w:autoSpaceDN w:val="0"/>
        <w:jc w:val="center"/>
        <w:rPr>
          <w:rFonts w:hint="eastAsia" w:ascii="宋体" w:hAnsi="宋体" w:eastAsia="宋体" w:cs="宋体"/>
          <w:b/>
          <w:color w:val="auto"/>
          <w:spacing w:val="6"/>
          <w:sz w:val="32"/>
          <w:szCs w:val="32"/>
          <w:highlight w:val="none"/>
        </w:rPr>
      </w:pPr>
    </w:p>
    <w:p w14:paraId="35D578D8">
      <w:pPr>
        <w:autoSpaceDE w:val="0"/>
        <w:autoSpaceDN w:val="0"/>
        <w:jc w:val="center"/>
        <w:rPr>
          <w:rFonts w:hint="eastAsia" w:ascii="宋体" w:hAnsi="宋体" w:eastAsia="宋体" w:cs="宋体"/>
          <w:b/>
          <w:color w:val="auto"/>
          <w:spacing w:val="6"/>
          <w:sz w:val="32"/>
          <w:szCs w:val="32"/>
          <w:highlight w:val="none"/>
        </w:rPr>
      </w:pPr>
    </w:p>
    <w:p w14:paraId="0220D0B2">
      <w:pPr>
        <w:autoSpaceDE w:val="0"/>
        <w:autoSpaceDN w:val="0"/>
        <w:jc w:val="center"/>
        <w:rPr>
          <w:rFonts w:hint="eastAsia" w:ascii="宋体" w:hAnsi="宋体" w:eastAsia="宋体" w:cs="宋体"/>
          <w:b/>
          <w:color w:val="auto"/>
          <w:spacing w:val="6"/>
          <w:sz w:val="32"/>
          <w:szCs w:val="32"/>
          <w:highlight w:val="none"/>
        </w:rPr>
      </w:pPr>
    </w:p>
    <w:p w14:paraId="415051BF">
      <w:pPr>
        <w:autoSpaceDE w:val="0"/>
        <w:autoSpaceDN w:val="0"/>
        <w:jc w:val="center"/>
        <w:rPr>
          <w:rFonts w:hint="eastAsia" w:ascii="宋体" w:hAnsi="宋体" w:eastAsia="宋体" w:cs="宋体"/>
          <w:b/>
          <w:color w:val="auto"/>
          <w:spacing w:val="6"/>
          <w:sz w:val="32"/>
          <w:szCs w:val="32"/>
          <w:highlight w:val="none"/>
        </w:rPr>
      </w:pPr>
    </w:p>
    <w:p w14:paraId="778D36D6">
      <w:pPr>
        <w:autoSpaceDE w:val="0"/>
        <w:autoSpaceDN w:val="0"/>
        <w:jc w:val="center"/>
        <w:rPr>
          <w:rFonts w:hint="eastAsia" w:ascii="宋体" w:hAnsi="宋体" w:eastAsia="宋体" w:cs="宋体"/>
          <w:b/>
          <w:color w:val="auto"/>
          <w:spacing w:val="6"/>
          <w:sz w:val="32"/>
          <w:szCs w:val="32"/>
          <w:highlight w:val="none"/>
        </w:rPr>
      </w:pPr>
    </w:p>
    <w:p w14:paraId="7FBD6A93">
      <w:pPr>
        <w:autoSpaceDE w:val="0"/>
        <w:autoSpaceDN w:val="0"/>
        <w:jc w:val="center"/>
        <w:rPr>
          <w:rFonts w:hint="eastAsia" w:ascii="宋体" w:hAnsi="宋体" w:eastAsia="宋体" w:cs="宋体"/>
          <w:b/>
          <w:color w:val="auto"/>
          <w:spacing w:val="6"/>
          <w:sz w:val="32"/>
          <w:szCs w:val="32"/>
          <w:highlight w:val="none"/>
        </w:rPr>
      </w:pPr>
    </w:p>
    <w:p w14:paraId="688E99B1">
      <w:pPr>
        <w:autoSpaceDE w:val="0"/>
        <w:autoSpaceDN w:val="0"/>
        <w:jc w:val="center"/>
        <w:rPr>
          <w:rFonts w:hint="eastAsia" w:ascii="宋体" w:hAnsi="宋体" w:eastAsia="宋体" w:cs="宋体"/>
          <w:b/>
          <w:color w:val="auto"/>
          <w:spacing w:val="6"/>
          <w:sz w:val="32"/>
          <w:szCs w:val="32"/>
          <w:highlight w:val="none"/>
        </w:rPr>
      </w:pPr>
    </w:p>
    <w:p w14:paraId="34DE2C2D">
      <w:pPr>
        <w:autoSpaceDE w:val="0"/>
        <w:autoSpaceDN w:val="0"/>
        <w:jc w:val="center"/>
        <w:rPr>
          <w:rFonts w:hint="eastAsia" w:ascii="宋体" w:hAnsi="宋体" w:eastAsia="宋体" w:cs="宋体"/>
          <w:b/>
          <w:color w:val="auto"/>
          <w:spacing w:val="6"/>
          <w:sz w:val="32"/>
          <w:szCs w:val="32"/>
          <w:highlight w:val="none"/>
        </w:rPr>
      </w:pPr>
    </w:p>
    <w:p w14:paraId="5F34F53C">
      <w:pPr>
        <w:autoSpaceDE w:val="0"/>
        <w:autoSpaceDN w:val="0"/>
        <w:jc w:val="center"/>
        <w:rPr>
          <w:rFonts w:hint="eastAsia" w:ascii="宋体" w:hAnsi="宋体" w:eastAsia="宋体" w:cs="宋体"/>
          <w:b/>
          <w:color w:val="auto"/>
          <w:spacing w:val="6"/>
          <w:sz w:val="32"/>
          <w:szCs w:val="32"/>
          <w:highlight w:val="none"/>
        </w:rPr>
      </w:pPr>
    </w:p>
    <w:p w14:paraId="1A9137AB">
      <w:pPr>
        <w:autoSpaceDE w:val="0"/>
        <w:autoSpaceDN w:val="0"/>
        <w:jc w:val="center"/>
        <w:rPr>
          <w:rFonts w:hint="eastAsia" w:ascii="宋体" w:hAnsi="宋体" w:eastAsia="宋体" w:cs="宋体"/>
          <w:b/>
          <w:color w:val="auto"/>
          <w:spacing w:val="6"/>
          <w:sz w:val="32"/>
          <w:szCs w:val="32"/>
          <w:highlight w:val="none"/>
        </w:rPr>
      </w:pPr>
    </w:p>
    <w:p w14:paraId="0201E551">
      <w:pPr>
        <w:autoSpaceDE w:val="0"/>
        <w:autoSpaceDN w:val="0"/>
        <w:jc w:val="center"/>
        <w:rPr>
          <w:rFonts w:hint="eastAsia" w:ascii="宋体" w:hAnsi="宋体" w:eastAsia="宋体" w:cs="宋体"/>
          <w:b/>
          <w:color w:val="auto"/>
          <w:spacing w:val="6"/>
          <w:sz w:val="32"/>
          <w:szCs w:val="32"/>
          <w:highlight w:val="none"/>
        </w:rPr>
      </w:pPr>
    </w:p>
    <w:p w14:paraId="2DB23214">
      <w:pPr>
        <w:autoSpaceDE w:val="0"/>
        <w:autoSpaceDN w:val="0"/>
        <w:jc w:val="center"/>
        <w:rPr>
          <w:rFonts w:hint="eastAsia" w:ascii="宋体" w:hAnsi="宋体" w:eastAsia="宋体" w:cs="宋体"/>
          <w:b/>
          <w:color w:val="auto"/>
          <w:spacing w:val="6"/>
          <w:sz w:val="32"/>
          <w:szCs w:val="32"/>
          <w:highlight w:val="none"/>
        </w:rPr>
      </w:pPr>
    </w:p>
    <w:p w14:paraId="5DA9EFB8">
      <w:pPr>
        <w:autoSpaceDE w:val="0"/>
        <w:autoSpaceDN w:val="0"/>
        <w:jc w:val="center"/>
        <w:rPr>
          <w:rFonts w:hint="eastAsia" w:ascii="宋体" w:hAnsi="宋体" w:eastAsia="宋体" w:cs="宋体"/>
          <w:b/>
          <w:color w:val="auto"/>
          <w:spacing w:val="6"/>
          <w:sz w:val="32"/>
          <w:szCs w:val="32"/>
          <w:highlight w:val="none"/>
        </w:rPr>
      </w:pPr>
    </w:p>
    <w:p w14:paraId="14CE234C">
      <w:pPr>
        <w:autoSpaceDE w:val="0"/>
        <w:autoSpaceDN w:val="0"/>
        <w:jc w:val="center"/>
        <w:rPr>
          <w:rFonts w:hint="eastAsia" w:ascii="宋体" w:hAnsi="宋体" w:eastAsia="宋体" w:cs="宋体"/>
          <w:b/>
          <w:color w:val="auto"/>
          <w:spacing w:val="6"/>
          <w:sz w:val="32"/>
          <w:szCs w:val="32"/>
          <w:highlight w:val="none"/>
        </w:rPr>
      </w:pPr>
    </w:p>
    <w:sectPr>
      <w:headerReference r:id="rId12" w:type="first"/>
      <w:footerReference r:id="rId15" w:type="first"/>
      <w:headerReference r:id="rId11" w:type="default"/>
      <w:footerReference r:id="rId13" w:type="default"/>
      <w:footerReference r:id="rId14" w:type="even"/>
      <w:pgSz w:w="11906" w:h="16838"/>
      <w:pgMar w:top="1247" w:right="1417" w:bottom="1247"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19524">
    <w:pPr>
      <w:spacing w:before="1" w:line="184" w:lineRule="auto"/>
      <w:ind w:right="287"/>
      <w:jc w:val="right"/>
      <w:rPr>
        <w:rFonts w:ascii="宋体" w:hAnsi="宋体" w:cs="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5210CB9">
                          <w:pPr>
                            <w:pStyle w:val="42"/>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65210CB9">
                    <w:pPr>
                      <w:pStyle w:val="42"/>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74B61">
    <w:pPr>
      <w:pStyle w:val="42"/>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CDDACF6">
                          <w:pPr>
                            <w:pStyle w:val="4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FyM8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cXIzzICAABlBAAADgAAAAAAAAABACAAAAAfAQAAZHJzL2Uyb0RvYy54bWxQSwUG&#10;AAAAAAYABgBZAQAAwwUAAAAA&#10;">
              <v:fill on="f" focussize="0,0"/>
              <v:stroke on="f" weight="0.5pt"/>
              <v:imagedata o:title=""/>
              <o:lock v:ext="edit" aspectratio="f"/>
              <v:textbox inset="0mm,0mm,0mm,0mm" style="mso-fit-shape-to-text:t;">
                <w:txbxContent>
                  <w:p w14:paraId="7CDDACF6">
                    <w:pPr>
                      <w:pStyle w:val="4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6AFCF7CB">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AFDEE">
    <w:pPr>
      <w:pStyle w:val="42"/>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C8A9BF9">
                          <w:pPr>
                            <w:pStyle w:val="42"/>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fill on="f" focussize="0,0"/>
              <v:stroke on="f" weight="0.5pt"/>
              <v:imagedata o:title=""/>
              <o:lock v:ext="edit" aspectratio="f"/>
              <v:textbox inset="0mm,0mm,0mm,0mm" style="mso-fit-shape-to-text:t;">
                <w:txbxContent>
                  <w:p w14:paraId="5C8A9BF9">
                    <w:pPr>
                      <w:pStyle w:val="42"/>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p w14:paraId="0D86CF4B">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4F3B8">
    <w:pPr>
      <w:pStyle w:val="42"/>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B2A1F54">
                          <w:pPr>
                            <w:pStyle w:val="42"/>
                          </w:pPr>
                          <w:r>
                            <w:t xml:space="preserve">第 </w:t>
                          </w:r>
                          <w:r>
                            <w:fldChar w:fldCharType="begin"/>
                          </w:r>
                          <w:r>
                            <w:instrText xml:space="preserve"> PAGE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14:paraId="2B2A1F54">
                    <w:pPr>
                      <w:pStyle w:val="42"/>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mc:Fallback>
      </mc:AlternateContent>
    </w:r>
  </w:p>
  <w:p w14:paraId="174DC2E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12A6C">
    <w:pPr>
      <w:pStyle w:val="42"/>
      <w:jc w:val="center"/>
      <w:rPr>
        <w:rFonts w:ascii="仿宋_GB2312" w:eastAsia="仿宋_GB2312"/>
        <w:szCs w:val="24"/>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EF32BA8">
                          <w:pPr>
                            <w:pStyle w:val="42"/>
                          </w:pPr>
                          <w:r>
                            <w:t xml:space="preserve">第 </w:t>
                          </w:r>
                          <w:r>
                            <w:fldChar w:fldCharType="begin"/>
                          </w:r>
                          <w:r>
                            <w:instrText xml:space="preserve"> PAGE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fill on="f" focussize="0,0"/>
              <v:stroke on="f" weight="0.5pt"/>
              <v:imagedata o:title=""/>
              <o:lock v:ext="edit" aspectratio="f"/>
              <v:textbox inset="0mm,0mm,0mm,0mm" style="mso-fit-shape-to-text:t;">
                <w:txbxContent>
                  <w:p w14:paraId="5EF32BA8">
                    <w:pPr>
                      <w:pStyle w:val="42"/>
                    </w:pPr>
                    <w:r>
                      <w:t xml:space="preserve">第 </w:t>
                    </w:r>
                    <w:r>
                      <w:fldChar w:fldCharType="begin"/>
                    </w:r>
                    <w:r>
                      <w:instrText xml:space="preserve"> PAGE  \* MERGEFORMAT </w:instrText>
                    </w:r>
                    <w:r>
                      <w:fldChar w:fldCharType="separate"/>
                    </w:r>
                    <w:r>
                      <w:t>44</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1C5BE">
    <w:pPr>
      <w:pStyle w:val="42"/>
      <w:framePr w:wrap="around" w:vAnchor="text" w:hAnchor="margin" w:xAlign="right" w:y="1"/>
      <w:rPr>
        <w:rStyle w:val="75"/>
      </w:rPr>
    </w:pPr>
    <w:r>
      <w:fldChar w:fldCharType="begin"/>
    </w:r>
    <w:r>
      <w:rPr>
        <w:rStyle w:val="75"/>
      </w:rPr>
      <w:instrText xml:space="preserve">PAGE  </w:instrText>
    </w:r>
    <w:r>
      <w:fldChar w:fldCharType="end"/>
    </w:r>
  </w:p>
  <w:p w14:paraId="04CDAFAA">
    <w:pPr>
      <w:pStyle w:val="42"/>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3B0D2">
    <w:pPr>
      <w:pStyle w:val="42"/>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A8B5AA0">
                          <w:pPr>
                            <w:pStyle w:val="42"/>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liw6Yy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WLDpjICAABlBAAADgAAAAAAAAABACAAAAAfAQAAZHJzL2Uyb0RvYy54bWxQSwUG&#10;AAAAAAYABgBZAQAAwwUAAAAA&#10;">
              <v:fill on="f" focussize="0,0"/>
              <v:stroke on="f" weight="0.5pt"/>
              <v:imagedata o:title=""/>
              <o:lock v:ext="edit" aspectratio="f"/>
              <v:textbox inset="0mm,0mm,0mm,0mm" style="mso-fit-shape-to-text:t;">
                <w:txbxContent>
                  <w:p w14:paraId="6A8B5AA0">
                    <w:pPr>
                      <w:pStyle w:val="42"/>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78762">
    <w:pPr>
      <w:pStyle w:val="44"/>
      <w:jc w:val="right"/>
    </w:pPr>
    <w:r>
      <w:rPr>
        <w:rFonts w:hint="eastAsia"/>
      </w:rPr>
      <w:t>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12040">
    <w:pPr>
      <w:pStyle w:val="44"/>
    </w:pPr>
    <w:r>
      <w:rPr>
        <w:rFonts w:hint="eastAsia"/>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50CDE">
    <w:pPr>
      <w:pStyle w:val="44"/>
      <w:jc w:val="right"/>
    </w:pPr>
    <w:r>
      <w:rPr>
        <w:rFonts w:hint="eastAsia"/>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72A4F">
    <w:pPr>
      <w:pStyle w:val="44"/>
      <w:jc w:val="right"/>
    </w:pPr>
    <w:r>
      <w:rPr>
        <w:rFonts w:hint="eastAsia"/>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44D41">
    <w:pPr>
      <w:pStyle w:val="44"/>
      <w:jc w:val="right"/>
    </w:pPr>
    <w:r>
      <w:rPr>
        <w:rFonts w:hint="eastAsia"/>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27DC9">
    <w:pPr>
      <w:pStyle w:val="44"/>
    </w:pPr>
    <w:r>
      <w:t></w:t>
    </w:r>
    <w:r>
      <w:rPr>
        <w:rFonts w:hint="eastAsia"/>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068E0C"/>
    <w:multiLevelType w:val="singleLevel"/>
    <w:tmpl w:val="C9068E0C"/>
    <w:lvl w:ilvl="0" w:tentative="0">
      <w:start w:val="5"/>
      <w:numFmt w:val="chineseCounting"/>
      <w:suff w:val="space"/>
      <w:lvlText w:val="第%1部分"/>
      <w:lvlJc w:val="left"/>
      <w:rPr>
        <w:rFonts w:hint="eastAsia"/>
      </w:rPr>
    </w:lvl>
  </w:abstractNum>
  <w:abstractNum w:abstractNumId="1">
    <w:nsid w:val="434CA0FB"/>
    <w:multiLevelType w:val="singleLevel"/>
    <w:tmpl w:val="434CA0FB"/>
    <w:lvl w:ilvl="0" w:tentative="0">
      <w:start w:val="14"/>
      <w:numFmt w:val="decimal"/>
      <w:lvlText w:val="%1."/>
      <w:lvlJc w:val="left"/>
      <w:pPr>
        <w:tabs>
          <w:tab w:val="left" w:pos="312"/>
        </w:tabs>
      </w:pPr>
    </w:lvl>
  </w:abstractNum>
  <w:abstractNum w:abstractNumId="2">
    <w:nsid w:val="5559833E"/>
    <w:multiLevelType w:val="singleLevel"/>
    <w:tmpl w:val="5559833E"/>
    <w:lvl w:ilvl="0" w:tentative="0">
      <w:start w:val="1"/>
      <w:numFmt w:val="chineseCounting"/>
      <w:suff w:val="nothing"/>
      <w:lvlText w:val="%1、"/>
      <w:lvlJc w:val="left"/>
      <w:pPr>
        <w:ind w:left="0" w:firstLine="0"/>
      </w:pPr>
    </w:lvl>
  </w:abstractNum>
  <w:num w:numId="1">
    <w:abstractNumId w:val="1"/>
  </w:num>
  <w:num w:numId="2">
    <w:abstractNumId w:val="2"/>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YTAwYWNlYjBlNjIyYzM4NjRkYjlmMDIzYzNkN2EifQ=="/>
    <w:docVar w:name="KSO_WPS_MARK_KEY" w:val="bb3c683e-a90d-4dd8-9a6e-b4c6b02ee29b"/>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D29"/>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4BAD"/>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268"/>
    <w:rsid w:val="002C1AB3"/>
    <w:rsid w:val="002C1BB7"/>
    <w:rsid w:val="002C1FB3"/>
    <w:rsid w:val="002C2665"/>
    <w:rsid w:val="002C28E1"/>
    <w:rsid w:val="002C327D"/>
    <w:rsid w:val="002C3890"/>
    <w:rsid w:val="002C3985"/>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3CBC"/>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77CB8"/>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8A"/>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4DDE"/>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766"/>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136F"/>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A23"/>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4AD"/>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0D06"/>
    <w:rsid w:val="009810BE"/>
    <w:rsid w:val="009817BC"/>
    <w:rsid w:val="009819A7"/>
    <w:rsid w:val="0098220A"/>
    <w:rsid w:val="00982E75"/>
    <w:rsid w:val="00983337"/>
    <w:rsid w:val="009836AA"/>
    <w:rsid w:val="00983FF6"/>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8BB"/>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BA3"/>
    <w:rsid w:val="009E0D7D"/>
    <w:rsid w:val="009E0DAF"/>
    <w:rsid w:val="009E19BB"/>
    <w:rsid w:val="009E1C47"/>
    <w:rsid w:val="009E38D1"/>
    <w:rsid w:val="009E3DF1"/>
    <w:rsid w:val="009E514A"/>
    <w:rsid w:val="009E5177"/>
    <w:rsid w:val="009E5701"/>
    <w:rsid w:val="009E5711"/>
    <w:rsid w:val="009E6BEF"/>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268"/>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931"/>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77C"/>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A66"/>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0E79"/>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1E3A"/>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7055D0"/>
    <w:rsid w:val="0178495D"/>
    <w:rsid w:val="018F3D01"/>
    <w:rsid w:val="019F7441"/>
    <w:rsid w:val="01A06AA0"/>
    <w:rsid w:val="01B37585"/>
    <w:rsid w:val="01B5399D"/>
    <w:rsid w:val="01C064F8"/>
    <w:rsid w:val="01D55165"/>
    <w:rsid w:val="01DF6BF8"/>
    <w:rsid w:val="01EC2C57"/>
    <w:rsid w:val="02021298"/>
    <w:rsid w:val="020B640B"/>
    <w:rsid w:val="020C0EF6"/>
    <w:rsid w:val="025F0711"/>
    <w:rsid w:val="02644317"/>
    <w:rsid w:val="026B2E25"/>
    <w:rsid w:val="02824D4D"/>
    <w:rsid w:val="02BE3979"/>
    <w:rsid w:val="02DC4B10"/>
    <w:rsid w:val="02DD76CE"/>
    <w:rsid w:val="02F36323"/>
    <w:rsid w:val="02F5619C"/>
    <w:rsid w:val="03142715"/>
    <w:rsid w:val="0326446A"/>
    <w:rsid w:val="032D5555"/>
    <w:rsid w:val="036634D2"/>
    <w:rsid w:val="03756463"/>
    <w:rsid w:val="038A68D9"/>
    <w:rsid w:val="03DD35E4"/>
    <w:rsid w:val="04076900"/>
    <w:rsid w:val="041A5A3B"/>
    <w:rsid w:val="042311BA"/>
    <w:rsid w:val="042B157A"/>
    <w:rsid w:val="048F763B"/>
    <w:rsid w:val="049F330E"/>
    <w:rsid w:val="04AA775C"/>
    <w:rsid w:val="04AF1889"/>
    <w:rsid w:val="04B85F11"/>
    <w:rsid w:val="04EE3F9B"/>
    <w:rsid w:val="04F66F48"/>
    <w:rsid w:val="051E28A6"/>
    <w:rsid w:val="05251E14"/>
    <w:rsid w:val="05507636"/>
    <w:rsid w:val="05770BD6"/>
    <w:rsid w:val="058806C7"/>
    <w:rsid w:val="05A16594"/>
    <w:rsid w:val="05A7762D"/>
    <w:rsid w:val="05BF4603"/>
    <w:rsid w:val="05C04DC2"/>
    <w:rsid w:val="060E5941"/>
    <w:rsid w:val="06110FAF"/>
    <w:rsid w:val="06493CA7"/>
    <w:rsid w:val="065A6178"/>
    <w:rsid w:val="066D3597"/>
    <w:rsid w:val="066F1CF3"/>
    <w:rsid w:val="06930BB8"/>
    <w:rsid w:val="06956198"/>
    <w:rsid w:val="07245D42"/>
    <w:rsid w:val="07264C62"/>
    <w:rsid w:val="072F6604"/>
    <w:rsid w:val="074460BC"/>
    <w:rsid w:val="0779354C"/>
    <w:rsid w:val="077F0C95"/>
    <w:rsid w:val="07C300BD"/>
    <w:rsid w:val="07FE18F3"/>
    <w:rsid w:val="08061376"/>
    <w:rsid w:val="08127C83"/>
    <w:rsid w:val="081A0204"/>
    <w:rsid w:val="08400A92"/>
    <w:rsid w:val="08452D77"/>
    <w:rsid w:val="086401F8"/>
    <w:rsid w:val="08751CAA"/>
    <w:rsid w:val="0876556A"/>
    <w:rsid w:val="087E4C40"/>
    <w:rsid w:val="08A53637"/>
    <w:rsid w:val="08A871D0"/>
    <w:rsid w:val="08A93957"/>
    <w:rsid w:val="08D66AD6"/>
    <w:rsid w:val="08DA33A3"/>
    <w:rsid w:val="08E80F13"/>
    <w:rsid w:val="092612F3"/>
    <w:rsid w:val="092748F4"/>
    <w:rsid w:val="09335624"/>
    <w:rsid w:val="093E11FE"/>
    <w:rsid w:val="0944690F"/>
    <w:rsid w:val="09535675"/>
    <w:rsid w:val="095F057D"/>
    <w:rsid w:val="09642282"/>
    <w:rsid w:val="09733572"/>
    <w:rsid w:val="09772C16"/>
    <w:rsid w:val="097B2960"/>
    <w:rsid w:val="098353B5"/>
    <w:rsid w:val="098972F5"/>
    <w:rsid w:val="09A92330"/>
    <w:rsid w:val="09B06B87"/>
    <w:rsid w:val="09C13146"/>
    <w:rsid w:val="09E04166"/>
    <w:rsid w:val="09E268B9"/>
    <w:rsid w:val="09F2055E"/>
    <w:rsid w:val="09F81448"/>
    <w:rsid w:val="0A1C0718"/>
    <w:rsid w:val="0A2C10A7"/>
    <w:rsid w:val="0A3E7710"/>
    <w:rsid w:val="0A5B7E63"/>
    <w:rsid w:val="0A5E227D"/>
    <w:rsid w:val="0A7F4701"/>
    <w:rsid w:val="0AA374A5"/>
    <w:rsid w:val="0AAB7649"/>
    <w:rsid w:val="0AAF5E89"/>
    <w:rsid w:val="0AB86C5C"/>
    <w:rsid w:val="0ABC5606"/>
    <w:rsid w:val="0AC42692"/>
    <w:rsid w:val="0ADE3108"/>
    <w:rsid w:val="0ADF4EB4"/>
    <w:rsid w:val="0B0F74C5"/>
    <w:rsid w:val="0B30404E"/>
    <w:rsid w:val="0B4C6C14"/>
    <w:rsid w:val="0B524759"/>
    <w:rsid w:val="0B631A88"/>
    <w:rsid w:val="0B683D45"/>
    <w:rsid w:val="0B76461B"/>
    <w:rsid w:val="0B7F3F11"/>
    <w:rsid w:val="0B884417"/>
    <w:rsid w:val="0B93709B"/>
    <w:rsid w:val="0BA212C6"/>
    <w:rsid w:val="0BF6188C"/>
    <w:rsid w:val="0BF73C91"/>
    <w:rsid w:val="0C170175"/>
    <w:rsid w:val="0C41327A"/>
    <w:rsid w:val="0C571A41"/>
    <w:rsid w:val="0C5C1171"/>
    <w:rsid w:val="0C5E1CBC"/>
    <w:rsid w:val="0C615B50"/>
    <w:rsid w:val="0C6E0EEC"/>
    <w:rsid w:val="0C8445DA"/>
    <w:rsid w:val="0C87121B"/>
    <w:rsid w:val="0CAE0BF3"/>
    <w:rsid w:val="0CC007F7"/>
    <w:rsid w:val="0CC617AC"/>
    <w:rsid w:val="0CD73463"/>
    <w:rsid w:val="0CFE707A"/>
    <w:rsid w:val="0D063BDA"/>
    <w:rsid w:val="0D08375F"/>
    <w:rsid w:val="0D184CFB"/>
    <w:rsid w:val="0D37621D"/>
    <w:rsid w:val="0D3D3B60"/>
    <w:rsid w:val="0D400115"/>
    <w:rsid w:val="0D4A7419"/>
    <w:rsid w:val="0D827401"/>
    <w:rsid w:val="0D84094E"/>
    <w:rsid w:val="0D8A00E9"/>
    <w:rsid w:val="0D8D589E"/>
    <w:rsid w:val="0D95362E"/>
    <w:rsid w:val="0DA01C73"/>
    <w:rsid w:val="0DD63300"/>
    <w:rsid w:val="0DF50604"/>
    <w:rsid w:val="0DF702FE"/>
    <w:rsid w:val="0E060E51"/>
    <w:rsid w:val="0E22536A"/>
    <w:rsid w:val="0E24319C"/>
    <w:rsid w:val="0E373674"/>
    <w:rsid w:val="0E5604B2"/>
    <w:rsid w:val="0E6D5D79"/>
    <w:rsid w:val="0E6F14E6"/>
    <w:rsid w:val="0E9B5E39"/>
    <w:rsid w:val="0E9D0089"/>
    <w:rsid w:val="0EB803EE"/>
    <w:rsid w:val="0EF94D4B"/>
    <w:rsid w:val="0F0B13B6"/>
    <w:rsid w:val="0F182768"/>
    <w:rsid w:val="0F4958DC"/>
    <w:rsid w:val="0F515DF7"/>
    <w:rsid w:val="0F596BA8"/>
    <w:rsid w:val="0F6248D2"/>
    <w:rsid w:val="0F635421"/>
    <w:rsid w:val="0F693536"/>
    <w:rsid w:val="0F7B0511"/>
    <w:rsid w:val="0F7B76D9"/>
    <w:rsid w:val="0F816ACD"/>
    <w:rsid w:val="0F9832DB"/>
    <w:rsid w:val="0FBF3FD2"/>
    <w:rsid w:val="0FBF7FF3"/>
    <w:rsid w:val="0FCF1C32"/>
    <w:rsid w:val="0FDA406B"/>
    <w:rsid w:val="0FF02524"/>
    <w:rsid w:val="0FFC3E38"/>
    <w:rsid w:val="10156805"/>
    <w:rsid w:val="10646583"/>
    <w:rsid w:val="107D4B15"/>
    <w:rsid w:val="10841832"/>
    <w:rsid w:val="108A3C80"/>
    <w:rsid w:val="10A15184"/>
    <w:rsid w:val="10C26171"/>
    <w:rsid w:val="10DC700E"/>
    <w:rsid w:val="10F33360"/>
    <w:rsid w:val="10F4083A"/>
    <w:rsid w:val="10FC16EA"/>
    <w:rsid w:val="110F1D40"/>
    <w:rsid w:val="11266F33"/>
    <w:rsid w:val="113055C1"/>
    <w:rsid w:val="118963A1"/>
    <w:rsid w:val="11C6522A"/>
    <w:rsid w:val="11E104CC"/>
    <w:rsid w:val="11E20309"/>
    <w:rsid w:val="12255233"/>
    <w:rsid w:val="12530213"/>
    <w:rsid w:val="12620DA8"/>
    <w:rsid w:val="127723A9"/>
    <w:rsid w:val="12862074"/>
    <w:rsid w:val="12883966"/>
    <w:rsid w:val="129E45B4"/>
    <w:rsid w:val="12D14480"/>
    <w:rsid w:val="12D21374"/>
    <w:rsid w:val="12D81596"/>
    <w:rsid w:val="13072A44"/>
    <w:rsid w:val="131A1B7F"/>
    <w:rsid w:val="13474EA5"/>
    <w:rsid w:val="135F4BE2"/>
    <w:rsid w:val="13692E64"/>
    <w:rsid w:val="13913864"/>
    <w:rsid w:val="139B1A0A"/>
    <w:rsid w:val="139B5BDE"/>
    <w:rsid w:val="139D25C7"/>
    <w:rsid w:val="13BF3CE4"/>
    <w:rsid w:val="13E674F4"/>
    <w:rsid w:val="140F0A5D"/>
    <w:rsid w:val="141008D8"/>
    <w:rsid w:val="14125FE6"/>
    <w:rsid w:val="142B70E5"/>
    <w:rsid w:val="14500381"/>
    <w:rsid w:val="146D271E"/>
    <w:rsid w:val="147B24A0"/>
    <w:rsid w:val="148C420C"/>
    <w:rsid w:val="14982588"/>
    <w:rsid w:val="149A5AD9"/>
    <w:rsid w:val="14A7619D"/>
    <w:rsid w:val="14AA2978"/>
    <w:rsid w:val="14C445F3"/>
    <w:rsid w:val="14F25B02"/>
    <w:rsid w:val="150536C3"/>
    <w:rsid w:val="150C1963"/>
    <w:rsid w:val="151447A0"/>
    <w:rsid w:val="154A6454"/>
    <w:rsid w:val="15762120"/>
    <w:rsid w:val="15844A86"/>
    <w:rsid w:val="15C1630E"/>
    <w:rsid w:val="15F56AC3"/>
    <w:rsid w:val="1608540D"/>
    <w:rsid w:val="16204A74"/>
    <w:rsid w:val="166C515D"/>
    <w:rsid w:val="16A8729C"/>
    <w:rsid w:val="16B33777"/>
    <w:rsid w:val="16BC70A7"/>
    <w:rsid w:val="16C6339E"/>
    <w:rsid w:val="16C730F7"/>
    <w:rsid w:val="16D6012D"/>
    <w:rsid w:val="16FE2244"/>
    <w:rsid w:val="172F2D79"/>
    <w:rsid w:val="17557BEF"/>
    <w:rsid w:val="176D1E2A"/>
    <w:rsid w:val="17852075"/>
    <w:rsid w:val="178B06F1"/>
    <w:rsid w:val="179B74BF"/>
    <w:rsid w:val="17A05FFC"/>
    <w:rsid w:val="17D349C1"/>
    <w:rsid w:val="17E066D8"/>
    <w:rsid w:val="1830729E"/>
    <w:rsid w:val="18394486"/>
    <w:rsid w:val="185134E3"/>
    <w:rsid w:val="1870062C"/>
    <w:rsid w:val="18817102"/>
    <w:rsid w:val="18830A15"/>
    <w:rsid w:val="18852B28"/>
    <w:rsid w:val="188B5321"/>
    <w:rsid w:val="18A0112E"/>
    <w:rsid w:val="18C776A6"/>
    <w:rsid w:val="18CA21AC"/>
    <w:rsid w:val="18D64F20"/>
    <w:rsid w:val="18EE574D"/>
    <w:rsid w:val="19341F4D"/>
    <w:rsid w:val="193742F6"/>
    <w:rsid w:val="197524E7"/>
    <w:rsid w:val="19761DA4"/>
    <w:rsid w:val="19932372"/>
    <w:rsid w:val="19A07A88"/>
    <w:rsid w:val="19A20DD5"/>
    <w:rsid w:val="19AE03F1"/>
    <w:rsid w:val="19D16EBE"/>
    <w:rsid w:val="19E05098"/>
    <w:rsid w:val="1A071A03"/>
    <w:rsid w:val="1A1A5A79"/>
    <w:rsid w:val="1A1A697E"/>
    <w:rsid w:val="1A1F16AE"/>
    <w:rsid w:val="1A3B5C77"/>
    <w:rsid w:val="1A78287A"/>
    <w:rsid w:val="1A7A249A"/>
    <w:rsid w:val="1A984BAD"/>
    <w:rsid w:val="1AB8220E"/>
    <w:rsid w:val="1AE4166C"/>
    <w:rsid w:val="1AF06CFB"/>
    <w:rsid w:val="1AF11B8D"/>
    <w:rsid w:val="1B11359C"/>
    <w:rsid w:val="1B2A271F"/>
    <w:rsid w:val="1B530544"/>
    <w:rsid w:val="1B713184"/>
    <w:rsid w:val="1B825FBC"/>
    <w:rsid w:val="1B9A3283"/>
    <w:rsid w:val="1BA209CF"/>
    <w:rsid w:val="1BB4777D"/>
    <w:rsid w:val="1BD75AB8"/>
    <w:rsid w:val="1BE22A26"/>
    <w:rsid w:val="1C0459C2"/>
    <w:rsid w:val="1C1B3B4A"/>
    <w:rsid w:val="1C537570"/>
    <w:rsid w:val="1C88086E"/>
    <w:rsid w:val="1CA045EE"/>
    <w:rsid w:val="1CC47A8B"/>
    <w:rsid w:val="1D266CE1"/>
    <w:rsid w:val="1D316024"/>
    <w:rsid w:val="1D3963AF"/>
    <w:rsid w:val="1D6A673C"/>
    <w:rsid w:val="1D9247AE"/>
    <w:rsid w:val="1DB567EC"/>
    <w:rsid w:val="1DEC22C4"/>
    <w:rsid w:val="1DF51A98"/>
    <w:rsid w:val="1E3D060F"/>
    <w:rsid w:val="1E3F7D2E"/>
    <w:rsid w:val="1E4134E4"/>
    <w:rsid w:val="1E5062B3"/>
    <w:rsid w:val="1E523514"/>
    <w:rsid w:val="1E70537A"/>
    <w:rsid w:val="1E714A66"/>
    <w:rsid w:val="1E730E11"/>
    <w:rsid w:val="1E743AF2"/>
    <w:rsid w:val="1E802593"/>
    <w:rsid w:val="1E8B6156"/>
    <w:rsid w:val="1EA703CC"/>
    <w:rsid w:val="1EB7330C"/>
    <w:rsid w:val="1F0A0FF3"/>
    <w:rsid w:val="1F5771FF"/>
    <w:rsid w:val="1FE868A9"/>
    <w:rsid w:val="20034907"/>
    <w:rsid w:val="20173E4B"/>
    <w:rsid w:val="204E48BC"/>
    <w:rsid w:val="208921B3"/>
    <w:rsid w:val="2093370A"/>
    <w:rsid w:val="20973DEB"/>
    <w:rsid w:val="20B26522"/>
    <w:rsid w:val="20B34C6B"/>
    <w:rsid w:val="20B44310"/>
    <w:rsid w:val="20DF1008"/>
    <w:rsid w:val="20EE2FE4"/>
    <w:rsid w:val="211116EB"/>
    <w:rsid w:val="211E01F0"/>
    <w:rsid w:val="212D6D8F"/>
    <w:rsid w:val="216133FC"/>
    <w:rsid w:val="218944CA"/>
    <w:rsid w:val="21B3021E"/>
    <w:rsid w:val="21D56769"/>
    <w:rsid w:val="21D62C50"/>
    <w:rsid w:val="21E52EF3"/>
    <w:rsid w:val="21FB5D7B"/>
    <w:rsid w:val="220B1C3D"/>
    <w:rsid w:val="221D1D20"/>
    <w:rsid w:val="22334A87"/>
    <w:rsid w:val="22B61EBB"/>
    <w:rsid w:val="22B83BEE"/>
    <w:rsid w:val="22BE6801"/>
    <w:rsid w:val="22C04C60"/>
    <w:rsid w:val="22E03145"/>
    <w:rsid w:val="23113F1A"/>
    <w:rsid w:val="233500BF"/>
    <w:rsid w:val="23377FF7"/>
    <w:rsid w:val="236B425F"/>
    <w:rsid w:val="23836192"/>
    <w:rsid w:val="23901F29"/>
    <w:rsid w:val="239C0061"/>
    <w:rsid w:val="23B908A4"/>
    <w:rsid w:val="23E406C4"/>
    <w:rsid w:val="23E95BEF"/>
    <w:rsid w:val="23FC52F4"/>
    <w:rsid w:val="23FD0064"/>
    <w:rsid w:val="244C6C81"/>
    <w:rsid w:val="245375B0"/>
    <w:rsid w:val="24642C0A"/>
    <w:rsid w:val="24667B44"/>
    <w:rsid w:val="246A3BA8"/>
    <w:rsid w:val="248B443A"/>
    <w:rsid w:val="2492728B"/>
    <w:rsid w:val="249307DC"/>
    <w:rsid w:val="24B22173"/>
    <w:rsid w:val="24B95AD9"/>
    <w:rsid w:val="24BE24DA"/>
    <w:rsid w:val="24CF5825"/>
    <w:rsid w:val="24D663E6"/>
    <w:rsid w:val="24D77F2B"/>
    <w:rsid w:val="24E4449F"/>
    <w:rsid w:val="24E64937"/>
    <w:rsid w:val="254F52B1"/>
    <w:rsid w:val="25676348"/>
    <w:rsid w:val="258B00E2"/>
    <w:rsid w:val="25A34E23"/>
    <w:rsid w:val="25A917A6"/>
    <w:rsid w:val="25BE27CC"/>
    <w:rsid w:val="25E92F53"/>
    <w:rsid w:val="25F74A5C"/>
    <w:rsid w:val="260C23EB"/>
    <w:rsid w:val="261260D7"/>
    <w:rsid w:val="2628662C"/>
    <w:rsid w:val="262D45DE"/>
    <w:rsid w:val="266E6AE8"/>
    <w:rsid w:val="267E09C1"/>
    <w:rsid w:val="26871DC8"/>
    <w:rsid w:val="26A53EF9"/>
    <w:rsid w:val="26A6481F"/>
    <w:rsid w:val="26A94201"/>
    <w:rsid w:val="26AC274F"/>
    <w:rsid w:val="270377E9"/>
    <w:rsid w:val="27044A29"/>
    <w:rsid w:val="271D34C8"/>
    <w:rsid w:val="2729764F"/>
    <w:rsid w:val="272F6449"/>
    <w:rsid w:val="274C4FBA"/>
    <w:rsid w:val="276142BF"/>
    <w:rsid w:val="27783712"/>
    <w:rsid w:val="27907362"/>
    <w:rsid w:val="279B7084"/>
    <w:rsid w:val="27A02A0E"/>
    <w:rsid w:val="27D668AA"/>
    <w:rsid w:val="280B0A5B"/>
    <w:rsid w:val="282D0BDB"/>
    <w:rsid w:val="28333E1D"/>
    <w:rsid w:val="28454BD6"/>
    <w:rsid w:val="28455253"/>
    <w:rsid w:val="28551971"/>
    <w:rsid w:val="285B1C53"/>
    <w:rsid w:val="289B26A7"/>
    <w:rsid w:val="289F7086"/>
    <w:rsid w:val="28C32028"/>
    <w:rsid w:val="28CC490F"/>
    <w:rsid w:val="28D32671"/>
    <w:rsid w:val="28DE40AA"/>
    <w:rsid w:val="29345E77"/>
    <w:rsid w:val="29453CBE"/>
    <w:rsid w:val="294C65AD"/>
    <w:rsid w:val="294E3480"/>
    <w:rsid w:val="29806583"/>
    <w:rsid w:val="298B3C4C"/>
    <w:rsid w:val="29EB63A2"/>
    <w:rsid w:val="29F26D24"/>
    <w:rsid w:val="2A15033F"/>
    <w:rsid w:val="2A1662C1"/>
    <w:rsid w:val="2A196977"/>
    <w:rsid w:val="2A1C7367"/>
    <w:rsid w:val="2A200230"/>
    <w:rsid w:val="2A2815FA"/>
    <w:rsid w:val="2A6D6092"/>
    <w:rsid w:val="2A7A1CCA"/>
    <w:rsid w:val="2A7D76B4"/>
    <w:rsid w:val="2A830ABD"/>
    <w:rsid w:val="2AD8021A"/>
    <w:rsid w:val="2AEE1B3B"/>
    <w:rsid w:val="2AF47F2E"/>
    <w:rsid w:val="2B437463"/>
    <w:rsid w:val="2B7807EE"/>
    <w:rsid w:val="2B8C47CE"/>
    <w:rsid w:val="2BA50BF7"/>
    <w:rsid w:val="2BBF00EC"/>
    <w:rsid w:val="2BC37CFD"/>
    <w:rsid w:val="2BCB2E8E"/>
    <w:rsid w:val="2BD5237F"/>
    <w:rsid w:val="2BE536CE"/>
    <w:rsid w:val="2BE758D9"/>
    <w:rsid w:val="2BEA7DD3"/>
    <w:rsid w:val="2C09049E"/>
    <w:rsid w:val="2C0A653C"/>
    <w:rsid w:val="2C191F85"/>
    <w:rsid w:val="2C37616F"/>
    <w:rsid w:val="2C8C4873"/>
    <w:rsid w:val="2C994A93"/>
    <w:rsid w:val="2CE82D6F"/>
    <w:rsid w:val="2D2216DE"/>
    <w:rsid w:val="2D343236"/>
    <w:rsid w:val="2D956040"/>
    <w:rsid w:val="2DC53663"/>
    <w:rsid w:val="2DD15014"/>
    <w:rsid w:val="2DF72DE4"/>
    <w:rsid w:val="2DFD17EA"/>
    <w:rsid w:val="2E0220AF"/>
    <w:rsid w:val="2E2A66CA"/>
    <w:rsid w:val="2E4B082A"/>
    <w:rsid w:val="2E5D4E86"/>
    <w:rsid w:val="2E5D790B"/>
    <w:rsid w:val="2E776A61"/>
    <w:rsid w:val="2E9A143D"/>
    <w:rsid w:val="2E9A3C18"/>
    <w:rsid w:val="2EBB0FEE"/>
    <w:rsid w:val="2EC63002"/>
    <w:rsid w:val="2ECB46DA"/>
    <w:rsid w:val="2F064D1A"/>
    <w:rsid w:val="2F0A6B38"/>
    <w:rsid w:val="2F0E78D3"/>
    <w:rsid w:val="2F585F5C"/>
    <w:rsid w:val="2F923332"/>
    <w:rsid w:val="2F946CCB"/>
    <w:rsid w:val="2FD25781"/>
    <w:rsid w:val="2FDE33BA"/>
    <w:rsid w:val="2FF346DE"/>
    <w:rsid w:val="2FFB7730"/>
    <w:rsid w:val="2FFD7934"/>
    <w:rsid w:val="30201A01"/>
    <w:rsid w:val="305A2255"/>
    <w:rsid w:val="30733ACD"/>
    <w:rsid w:val="308C3862"/>
    <w:rsid w:val="309379D8"/>
    <w:rsid w:val="309B6899"/>
    <w:rsid w:val="30A270F7"/>
    <w:rsid w:val="30DF1478"/>
    <w:rsid w:val="30EA055D"/>
    <w:rsid w:val="30EC586F"/>
    <w:rsid w:val="319C6071"/>
    <w:rsid w:val="31AC537E"/>
    <w:rsid w:val="31B420C4"/>
    <w:rsid w:val="31B82C24"/>
    <w:rsid w:val="31C17BA9"/>
    <w:rsid w:val="31C549B6"/>
    <w:rsid w:val="31E3679B"/>
    <w:rsid w:val="31E732FD"/>
    <w:rsid w:val="324E33D2"/>
    <w:rsid w:val="32517576"/>
    <w:rsid w:val="3262346C"/>
    <w:rsid w:val="32A64673"/>
    <w:rsid w:val="32BE5C2C"/>
    <w:rsid w:val="32FB6478"/>
    <w:rsid w:val="331E793D"/>
    <w:rsid w:val="332637C2"/>
    <w:rsid w:val="33263B3F"/>
    <w:rsid w:val="336963EB"/>
    <w:rsid w:val="33816EEB"/>
    <w:rsid w:val="338863E7"/>
    <w:rsid w:val="33EB55CD"/>
    <w:rsid w:val="33EC4C02"/>
    <w:rsid w:val="340D2360"/>
    <w:rsid w:val="340D3EB8"/>
    <w:rsid w:val="3410665D"/>
    <w:rsid w:val="34211214"/>
    <w:rsid w:val="342E63AB"/>
    <w:rsid w:val="34433534"/>
    <w:rsid w:val="3466782F"/>
    <w:rsid w:val="347B5D1E"/>
    <w:rsid w:val="34812DB4"/>
    <w:rsid w:val="34950E68"/>
    <w:rsid w:val="34986E94"/>
    <w:rsid w:val="34AF62C9"/>
    <w:rsid w:val="34CB4388"/>
    <w:rsid w:val="34DC2C0A"/>
    <w:rsid w:val="34FA6E12"/>
    <w:rsid w:val="354D7158"/>
    <w:rsid w:val="358D5588"/>
    <w:rsid w:val="36136070"/>
    <w:rsid w:val="363924A3"/>
    <w:rsid w:val="363A3B40"/>
    <w:rsid w:val="365302AE"/>
    <w:rsid w:val="36607A0A"/>
    <w:rsid w:val="366E227C"/>
    <w:rsid w:val="366F2E0D"/>
    <w:rsid w:val="367B6A5C"/>
    <w:rsid w:val="36A74ADA"/>
    <w:rsid w:val="36AD60D5"/>
    <w:rsid w:val="36B224F9"/>
    <w:rsid w:val="36EC0CC9"/>
    <w:rsid w:val="37390A8E"/>
    <w:rsid w:val="373F410B"/>
    <w:rsid w:val="3756404C"/>
    <w:rsid w:val="376A0174"/>
    <w:rsid w:val="3786509C"/>
    <w:rsid w:val="378C13F6"/>
    <w:rsid w:val="37BD1A5A"/>
    <w:rsid w:val="37E16E9C"/>
    <w:rsid w:val="37EE7094"/>
    <w:rsid w:val="38296C89"/>
    <w:rsid w:val="383002EB"/>
    <w:rsid w:val="38586797"/>
    <w:rsid w:val="388843DC"/>
    <w:rsid w:val="38BC0149"/>
    <w:rsid w:val="38C277EB"/>
    <w:rsid w:val="38D87D1C"/>
    <w:rsid w:val="38DE6D4B"/>
    <w:rsid w:val="391F535F"/>
    <w:rsid w:val="392E73EA"/>
    <w:rsid w:val="39426EC6"/>
    <w:rsid w:val="39636459"/>
    <w:rsid w:val="396B7F6C"/>
    <w:rsid w:val="399C14F7"/>
    <w:rsid w:val="39B417A9"/>
    <w:rsid w:val="39D00F17"/>
    <w:rsid w:val="39D17336"/>
    <w:rsid w:val="39F5707E"/>
    <w:rsid w:val="39FC5695"/>
    <w:rsid w:val="3A006D8E"/>
    <w:rsid w:val="3A3651E5"/>
    <w:rsid w:val="3A4E2342"/>
    <w:rsid w:val="3A744481"/>
    <w:rsid w:val="3A8C7BEF"/>
    <w:rsid w:val="3A906246"/>
    <w:rsid w:val="3B2349B7"/>
    <w:rsid w:val="3B4677B8"/>
    <w:rsid w:val="3B4F5EBB"/>
    <w:rsid w:val="3B616CFF"/>
    <w:rsid w:val="3B6259F6"/>
    <w:rsid w:val="3B894B0B"/>
    <w:rsid w:val="3B976654"/>
    <w:rsid w:val="3B9B68EE"/>
    <w:rsid w:val="3BC01EFC"/>
    <w:rsid w:val="3BC52CC1"/>
    <w:rsid w:val="3BCA786A"/>
    <w:rsid w:val="3BD06659"/>
    <w:rsid w:val="3BD31E2F"/>
    <w:rsid w:val="3BF15831"/>
    <w:rsid w:val="3C105946"/>
    <w:rsid w:val="3C3A44D8"/>
    <w:rsid w:val="3C471448"/>
    <w:rsid w:val="3C556941"/>
    <w:rsid w:val="3C5F759A"/>
    <w:rsid w:val="3C616601"/>
    <w:rsid w:val="3C6C525A"/>
    <w:rsid w:val="3CA60D3D"/>
    <w:rsid w:val="3CCE23CB"/>
    <w:rsid w:val="3CD17D17"/>
    <w:rsid w:val="3CED249E"/>
    <w:rsid w:val="3CEE6358"/>
    <w:rsid w:val="3D3B2FFA"/>
    <w:rsid w:val="3D3C7F39"/>
    <w:rsid w:val="3D440F09"/>
    <w:rsid w:val="3D4504A0"/>
    <w:rsid w:val="3D5A1DE7"/>
    <w:rsid w:val="3D64467C"/>
    <w:rsid w:val="3D7E0A99"/>
    <w:rsid w:val="3D8734BB"/>
    <w:rsid w:val="3D9A11D4"/>
    <w:rsid w:val="3DA16D89"/>
    <w:rsid w:val="3DA364BE"/>
    <w:rsid w:val="3DA475D8"/>
    <w:rsid w:val="3DB67810"/>
    <w:rsid w:val="3DD50C8A"/>
    <w:rsid w:val="3DE041CB"/>
    <w:rsid w:val="3E0D48F6"/>
    <w:rsid w:val="3E1868B4"/>
    <w:rsid w:val="3E1D2DF9"/>
    <w:rsid w:val="3E377251"/>
    <w:rsid w:val="3E42664B"/>
    <w:rsid w:val="3E5A7334"/>
    <w:rsid w:val="3E7B5D6B"/>
    <w:rsid w:val="3E843E66"/>
    <w:rsid w:val="3E8F51FE"/>
    <w:rsid w:val="3E926F87"/>
    <w:rsid w:val="3E992734"/>
    <w:rsid w:val="3E9A59DE"/>
    <w:rsid w:val="3EA95CBD"/>
    <w:rsid w:val="3EAF4836"/>
    <w:rsid w:val="3EB24DE3"/>
    <w:rsid w:val="3EC33DFA"/>
    <w:rsid w:val="3EF66285"/>
    <w:rsid w:val="3F060E16"/>
    <w:rsid w:val="3F1D1096"/>
    <w:rsid w:val="3F2F0234"/>
    <w:rsid w:val="3F5707E4"/>
    <w:rsid w:val="3F6363FE"/>
    <w:rsid w:val="3F756B8F"/>
    <w:rsid w:val="3F8D4B70"/>
    <w:rsid w:val="3F95482B"/>
    <w:rsid w:val="3FAF4907"/>
    <w:rsid w:val="400B2468"/>
    <w:rsid w:val="4019356B"/>
    <w:rsid w:val="401E1828"/>
    <w:rsid w:val="40592157"/>
    <w:rsid w:val="406E1CAE"/>
    <w:rsid w:val="40937DD1"/>
    <w:rsid w:val="409A11A1"/>
    <w:rsid w:val="40A0133A"/>
    <w:rsid w:val="40C31A53"/>
    <w:rsid w:val="40F33AA5"/>
    <w:rsid w:val="40F92A66"/>
    <w:rsid w:val="40FF545D"/>
    <w:rsid w:val="410067C8"/>
    <w:rsid w:val="413C45E3"/>
    <w:rsid w:val="4147433B"/>
    <w:rsid w:val="418F0D2A"/>
    <w:rsid w:val="419500D6"/>
    <w:rsid w:val="41D01505"/>
    <w:rsid w:val="4238518B"/>
    <w:rsid w:val="42474939"/>
    <w:rsid w:val="424C3C57"/>
    <w:rsid w:val="42613FF3"/>
    <w:rsid w:val="42660D96"/>
    <w:rsid w:val="428667D2"/>
    <w:rsid w:val="42CD1CE0"/>
    <w:rsid w:val="42D53E10"/>
    <w:rsid w:val="42DD4DBD"/>
    <w:rsid w:val="42E1381E"/>
    <w:rsid w:val="42ED6459"/>
    <w:rsid w:val="42FE58DD"/>
    <w:rsid w:val="43174B3D"/>
    <w:rsid w:val="433F0E43"/>
    <w:rsid w:val="434B790E"/>
    <w:rsid w:val="4360274F"/>
    <w:rsid w:val="43977AB6"/>
    <w:rsid w:val="43A3342B"/>
    <w:rsid w:val="43AA2F9D"/>
    <w:rsid w:val="43C77C27"/>
    <w:rsid w:val="43DE09EE"/>
    <w:rsid w:val="44002FAD"/>
    <w:rsid w:val="4430589B"/>
    <w:rsid w:val="44356927"/>
    <w:rsid w:val="449101DD"/>
    <w:rsid w:val="449D00C3"/>
    <w:rsid w:val="44B240D5"/>
    <w:rsid w:val="44DE1391"/>
    <w:rsid w:val="44E72961"/>
    <w:rsid w:val="451B225C"/>
    <w:rsid w:val="452410C9"/>
    <w:rsid w:val="452B71EC"/>
    <w:rsid w:val="452E1696"/>
    <w:rsid w:val="45317DFB"/>
    <w:rsid w:val="456D3CE4"/>
    <w:rsid w:val="4579042C"/>
    <w:rsid w:val="457E4BFD"/>
    <w:rsid w:val="457F0571"/>
    <w:rsid w:val="45851176"/>
    <w:rsid w:val="45853C91"/>
    <w:rsid w:val="458A2D71"/>
    <w:rsid w:val="458E4BD4"/>
    <w:rsid w:val="45C63B94"/>
    <w:rsid w:val="45F134FD"/>
    <w:rsid w:val="460E7DA5"/>
    <w:rsid w:val="461B579A"/>
    <w:rsid w:val="46422483"/>
    <w:rsid w:val="4659254A"/>
    <w:rsid w:val="465B0637"/>
    <w:rsid w:val="465E3F0D"/>
    <w:rsid w:val="466A16E6"/>
    <w:rsid w:val="46791209"/>
    <w:rsid w:val="46893F2B"/>
    <w:rsid w:val="46AE472B"/>
    <w:rsid w:val="46C4686E"/>
    <w:rsid w:val="472A3E43"/>
    <w:rsid w:val="47391126"/>
    <w:rsid w:val="473D0E4D"/>
    <w:rsid w:val="477B778F"/>
    <w:rsid w:val="478203EC"/>
    <w:rsid w:val="478464A5"/>
    <w:rsid w:val="47B025FA"/>
    <w:rsid w:val="47EC7057"/>
    <w:rsid w:val="48010DED"/>
    <w:rsid w:val="4809698F"/>
    <w:rsid w:val="48097DF4"/>
    <w:rsid w:val="480C2553"/>
    <w:rsid w:val="4811697D"/>
    <w:rsid w:val="4853049A"/>
    <w:rsid w:val="487A3E25"/>
    <w:rsid w:val="487B0FC2"/>
    <w:rsid w:val="48833F78"/>
    <w:rsid w:val="488B5503"/>
    <w:rsid w:val="48937E21"/>
    <w:rsid w:val="48975AF1"/>
    <w:rsid w:val="489A0361"/>
    <w:rsid w:val="48B94FF3"/>
    <w:rsid w:val="48CD3EBF"/>
    <w:rsid w:val="48E37AAB"/>
    <w:rsid w:val="48EC362B"/>
    <w:rsid w:val="48FB2C50"/>
    <w:rsid w:val="48FD4B4C"/>
    <w:rsid w:val="490606C8"/>
    <w:rsid w:val="490A68E0"/>
    <w:rsid w:val="491055FE"/>
    <w:rsid w:val="49131B61"/>
    <w:rsid w:val="494C6EA1"/>
    <w:rsid w:val="494D4D8B"/>
    <w:rsid w:val="495F5B3E"/>
    <w:rsid w:val="496F77D7"/>
    <w:rsid w:val="497654FD"/>
    <w:rsid w:val="498F505D"/>
    <w:rsid w:val="49B64211"/>
    <w:rsid w:val="49F0243A"/>
    <w:rsid w:val="49F6167F"/>
    <w:rsid w:val="4A064FA0"/>
    <w:rsid w:val="4A16615C"/>
    <w:rsid w:val="4A4424D7"/>
    <w:rsid w:val="4A493572"/>
    <w:rsid w:val="4A6E0CA4"/>
    <w:rsid w:val="4A83134F"/>
    <w:rsid w:val="4AB82D0F"/>
    <w:rsid w:val="4AEB7664"/>
    <w:rsid w:val="4AFD7C19"/>
    <w:rsid w:val="4B0567D1"/>
    <w:rsid w:val="4B236AAE"/>
    <w:rsid w:val="4B555D27"/>
    <w:rsid w:val="4B6D6E85"/>
    <w:rsid w:val="4B707271"/>
    <w:rsid w:val="4B9739F7"/>
    <w:rsid w:val="4B974368"/>
    <w:rsid w:val="4B9A6B21"/>
    <w:rsid w:val="4B9C1FA2"/>
    <w:rsid w:val="4BE96C25"/>
    <w:rsid w:val="4BEE2503"/>
    <w:rsid w:val="4BF80D38"/>
    <w:rsid w:val="4C245A30"/>
    <w:rsid w:val="4C5D53ED"/>
    <w:rsid w:val="4C676029"/>
    <w:rsid w:val="4CAF7256"/>
    <w:rsid w:val="4CB6685F"/>
    <w:rsid w:val="4CC367FE"/>
    <w:rsid w:val="4CD54317"/>
    <w:rsid w:val="4D077F3C"/>
    <w:rsid w:val="4D123355"/>
    <w:rsid w:val="4D2A3B31"/>
    <w:rsid w:val="4D312C52"/>
    <w:rsid w:val="4D4B0F25"/>
    <w:rsid w:val="4D905305"/>
    <w:rsid w:val="4D964A72"/>
    <w:rsid w:val="4D9C1254"/>
    <w:rsid w:val="4E526455"/>
    <w:rsid w:val="4E5A0B37"/>
    <w:rsid w:val="4E793892"/>
    <w:rsid w:val="4E800872"/>
    <w:rsid w:val="4E9532A8"/>
    <w:rsid w:val="4E9A20A5"/>
    <w:rsid w:val="4EC569ED"/>
    <w:rsid w:val="4ED50EA1"/>
    <w:rsid w:val="4EEC050C"/>
    <w:rsid w:val="4EF833C6"/>
    <w:rsid w:val="4F104EC3"/>
    <w:rsid w:val="4F47354A"/>
    <w:rsid w:val="4F911C54"/>
    <w:rsid w:val="4FE625E0"/>
    <w:rsid w:val="4FED5402"/>
    <w:rsid w:val="5021480F"/>
    <w:rsid w:val="505D15FC"/>
    <w:rsid w:val="506C1562"/>
    <w:rsid w:val="50707CB0"/>
    <w:rsid w:val="50755E1B"/>
    <w:rsid w:val="50962ECB"/>
    <w:rsid w:val="50A42E38"/>
    <w:rsid w:val="50A4577F"/>
    <w:rsid w:val="50B73D1F"/>
    <w:rsid w:val="50BD5BC9"/>
    <w:rsid w:val="50C11EEE"/>
    <w:rsid w:val="50D73351"/>
    <w:rsid w:val="50E97CFC"/>
    <w:rsid w:val="50F1399D"/>
    <w:rsid w:val="50FA4028"/>
    <w:rsid w:val="50FE434C"/>
    <w:rsid w:val="510D65B7"/>
    <w:rsid w:val="511157AB"/>
    <w:rsid w:val="5142540C"/>
    <w:rsid w:val="51516C96"/>
    <w:rsid w:val="518832C8"/>
    <w:rsid w:val="51A0432A"/>
    <w:rsid w:val="51A86090"/>
    <w:rsid w:val="51B7396D"/>
    <w:rsid w:val="51F4743E"/>
    <w:rsid w:val="522E4CC3"/>
    <w:rsid w:val="5244713B"/>
    <w:rsid w:val="52615633"/>
    <w:rsid w:val="526A04DD"/>
    <w:rsid w:val="52977FD4"/>
    <w:rsid w:val="52A25790"/>
    <w:rsid w:val="52A96B6F"/>
    <w:rsid w:val="52B45975"/>
    <w:rsid w:val="52D94AA4"/>
    <w:rsid w:val="52EA3A62"/>
    <w:rsid w:val="52F50BB8"/>
    <w:rsid w:val="53097272"/>
    <w:rsid w:val="53544462"/>
    <w:rsid w:val="53676980"/>
    <w:rsid w:val="53960CB2"/>
    <w:rsid w:val="5397158E"/>
    <w:rsid w:val="53D42C20"/>
    <w:rsid w:val="53E71445"/>
    <w:rsid w:val="54013861"/>
    <w:rsid w:val="54487265"/>
    <w:rsid w:val="544D6070"/>
    <w:rsid w:val="545B4ECF"/>
    <w:rsid w:val="54605E1E"/>
    <w:rsid w:val="54B3506A"/>
    <w:rsid w:val="54CA0D16"/>
    <w:rsid w:val="54DD4057"/>
    <w:rsid w:val="54E7490F"/>
    <w:rsid w:val="54FF4546"/>
    <w:rsid w:val="55061018"/>
    <w:rsid w:val="550764A4"/>
    <w:rsid w:val="550B2BF6"/>
    <w:rsid w:val="55214EB5"/>
    <w:rsid w:val="55364EFD"/>
    <w:rsid w:val="555D4828"/>
    <w:rsid w:val="557A4C8B"/>
    <w:rsid w:val="558931E1"/>
    <w:rsid w:val="55923347"/>
    <w:rsid w:val="55925180"/>
    <w:rsid w:val="55983B1B"/>
    <w:rsid w:val="55A8376B"/>
    <w:rsid w:val="55C248FD"/>
    <w:rsid w:val="55D87B28"/>
    <w:rsid w:val="55DC29B6"/>
    <w:rsid w:val="55DD4241"/>
    <w:rsid w:val="55F16964"/>
    <w:rsid w:val="55FA20BB"/>
    <w:rsid w:val="561C1BE8"/>
    <w:rsid w:val="566B6D1E"/>
    <w:rsid w:val="567D2234"/>
    <w:rsid w:val="569E129D"/>
    <w:rsid w:val="56C76EC1"/>
    <w:rsid w:val="57032A2C"/>
    <w:rsid w:val="570F5219"/>
    <w:rsid w:val="575D12B5"/>
    <w:rsid w:val="57610A87"/>
    <w:rsid w:val="577B1140"/>
    <w:rsid w:val="577B7F21"/>
    <w:rsid w:val="577F181B"/>
    <w:rsid w:val="57921984"/>
    <w:rsid w:val="579737F0"/>
    <w:rsid w:val="57AB7B30"/>
    <w:rsid w:val="57AF5251"/>
    <w:rsid w:val="57B26373"/>
    <w:rsid w:val="57B3517E"/>
    <w:rsid w:val="57B63F04"/>
    <w:rsid w:val="57CD20C2"/>
    <w:rsid w:val="57D675AB"/>
    <w:rsid w:val="57D95FDD"/>
    <w:rsid w:val="58687038"/>
    <w:rsid w:val="58917D2F"/>
    <w:rsid w:val="5894085C"/>
    <w:rsid w:val="58AE4F0C"/>
    <w:rsid w:val="58B85899"/>
    <w:rsid w:val="58C0702C"/>
    <w:rsid w:val="58E363A9"/>
    <w:rsid w:val="59272ECB"/>
    <w:rsid w:val="59307B25"/>
    <w:rsid w:val="595E1678"/>
    <w:rsid w:val="596D5BD4"/>
    <w:rsid w:val="597E3DD8"/>
    <w:rsid w:val="59AB1AC0"/>
    <w:rsid w:val="59B31026"/>
    <w:rsid w:val="59F80043"/>
    <w:rsid w:val="5A09252F"/>
    <w:rsid w:val="5A0B2778"/>
    <w:rsid w:val="5A2A7C7B"/>
    <w:rsid w:val="5A380D61"/>
    <w:rsid w:val="5A3E2560"/>
    <w:rsid w:val="5A5D3B6E"/>
    <w:rsid w:val="5A637A76"/>
    <w:rsid w:val="5A686384"/>
    <w:rsid w:val="5A6D33BA"/>
    <w:rsid w:val="5A792B1F"/>
    <w:rsid w:val="5A874767"/>
    <w:rsid w:val="5A9A655F"/>
    <w:rsid w:val="5AA85BE2"/>
    <w:rsid w:val="5AAD6F28"/>
    <w:rsid w:val="5AD63A24"/>
    <w:rsid w:val="5AE51FB6"/>
    <w:rsid w:val="5B2E1A1D"/>
    <w:rsid w:val="5B843A1C"/>
    <w:rsid w:val="5B873E3F"/>
    <w:rsid w:val="5BBA55DA"/>
    <w:rsid w:val="5C02690E"/>
    <w:rsid w:val="5C196DA7"/>
    <w:rsid w:val="5C2A048C"/>
    <w:rsid w:val="5C35640B"/>
    <w:rsid w:val="5C641793"/>
    <w:rsid w:val="5C7422AE"/>
    <w:rsid w:val="5C80234E"/>
    <w:rsid w:val="5C8A680C"/>
    <w:rsid w:val="5C990941"/>
    <w:rsid w:val="5CE45C2B"/>
    <w:rsid w:val="5CEB387F"/>
    <w:rsid w:val="5D0C4701"/>
    <w:rsid w:val="5D0F0395"/>
    <w:rsid w:val="5D221076"/>
    <w:rsid w:val="5D307D5D"/>
    <w:rsid w:val="5D397964"/>
    <w:rsid w:val="5D551783"/>
    <w:rsid w:val="5D5A391C"/>
    <w:rsid w:val="5D5F10C0"/>
    <w:rsid w:val="5D891B7B"/>
    <w:rsid w:val="5D8A5E82"/>
    <w:rsid w:val="5D930F65"/>
    <w:rsid w:val="5D945FAA"/>
    <w:rsid w:val="5DAD38EE"/>
    <w:rsid w:val="5E006862"/>
    <w:rsid w:val="5E0207B9"/>
    <w:rsid w:val="5E093CEF"/>
    <w:rsid w:val="5E1834A1"/>
    <w:rsid w:val="5E261785"/>
    <w:rsid w:val="5E4A7017"/>
    <w:rsid w:val="5E552BBA"/>
    <w:rsid w:val="5E5A39D1"/>
    <w:rsid w:val="5E611C10"/>
    <w:rsid w:val="5E626095"/>
    <w:rsid w:val="5E74631F"/>
    <w:rsid w:val="5E765627"/>
    <w:rsid w:val="5E7A0F3F"/>
    <w:rsid w:val="5E866777"/>
    <w:rsid w:val="5EF50A1B"/>
    <w:rsid w:val="5EFC7377"/>
    <w:rsid w:val="5F012A1A"/>
    <w:rsid w:val="5F06174D"/>
    <w:rsid w:val="5F3512AC"/>
    <w:rsid w:val="5F3A3602"/>
    <w:rsid w:val="5F45733B"/>
    <w:rsid w:val="5F5B211E"/>
    <w:rsid w:val="5F6277C6"/>
    <w:rsid w:val="5F6D0B1D"/>
    <w:rsid w:val="5F8D0B82"/>
    <w:rsid w:val="5FA61B85"/>
    <w:rsid w:val="5FCC5339"/>
    <w:rsid w:val="5FE34A5B"/>
    <w:rsid w:val="5FFE1E36"/>
    <w:rsid w:val="60172C7B"/>
    <w:rsid w:val="60232584"/>
    <w:rsid w:val="60305BC5"/>
    <w:rsid w:val="605864BB"/>
    <w:rsid w:val="607330CE"/>
    <w:rsid w:val="60825176"/>
    <w:rsid w:val="60873AD9"/>
    <w:rsid w:val="609F2AC4"/>
    <w:rsid w:val="60C413D5"/>
    <w:rsid w:val="60FA2EE8"/>
    <w:rsid w:val="60FD48E7"/>
    <w:rsid w:val="61054A27"/>
    <w:rsid w:val="610A52BC"/>
    <w:rsid w:val="611D2366"/>
    <w:rsid w:val="61421856"/>
    <w:rsid w:val="615227C4"/>
    <w:rsid w:val="61654E3F"/>
    <w:rsid w:val="617514F6"/>
    <w:rsid w:val="6182292A"/>
    <w:rsid w:val="618B5F69"/>
    <w:rsid w:val="61985864"/>
    <w:rsid w:val="619F7F92"/>
    <w:rsid w:val="61BB155E"/>
    <w:rsid w:val="61BD2EFD"/>
    <w:rsid w:val="61F94C26"/>
    <w:rsid w:val="62000E56"/>
    <w:rsid w:val="62244584"/>
    <w:rsid w:val="624F3E49"/>
    <w:rsid w:val="62632286"/>
    <w:rsid w:val="62775066"/>
    <w:rsid w:val="62885958"/>
    <w:rsid w:val="628903DB"/>
    <w:rsid w:val="62BC7606"/>
    <w:rsid w:val="62C860CC"/>
    <w:rsid w:val="62F40B65"/>
    <w:rsid w:val="62FC2CFE"/>
    <w:rsid w:val="63024505"/>
    <w:rsid w:val="63540CCD"/>
    <w:rsid w:val="6355672C"/>
    <w:rsid w:val="635B1DB5"/>
    <w:rsid w:val="63711FED"/>
    <w:rsid w:val="6384682A"/>
    <w:rsid w:val="63880DDC"/>
    <w:rsid w:val="63885935"/>
    <w:rsid w:val="638D750D"/>
    <w:rsid w:val="63AC52D2"/>
    <w:rsid w:val="63AC6CC0"/>
    <w:rsid w:val="63B048E8"/>
    <w:rsid w:val="64043733"/>
    <w:rsid w:val="64055776"/>
    <w:rsid w:val="64175397"/>
    <w:rsid w:val="64240056"/>
    <w:rsid w:val="64337D05"/>
    <w:rsid w:val="643E143A"/>
    <w:rsid w:val="644A0C02"/>
    <w:rsid w:val="648B6EEF"/>
    <w:rsid w:val="64BC053E"/>
    <w:rsid w:val="64C158BF"/>
    <w:rsid w:val="64CE2EAA"/>
    <w:rsid w:val="65092215"/>
    <w:rsid w:val="653C3090"/>
    <w:rsid w:val="65854376"/>
    <w:rsid w:val="658767BE"/>
    <w:rsid w:val="65882CD5"/>
    <w:rsid w:val="65892531"/>
    <w:rsid w:val="65946F65"/>
    <w:rsid w:val="65E616BA"/>
    <w:rsid w:val="66153939"/>
    <w:rsid w:val="66195831"/>
    <w:rsid w:val="662E75B1"/>
    <w:rsid w:val="66342C2E"/>
    <w:rsid w:val="663E784C"/>
    <w:rsid w:val="66551A38"/>
    <w:rsid w:val="666D1F69"/>
    <w:rsid w:val="667133EA"/>
    <w:rsid w:val="668B6A45"/>
    <w:rsid w:val="66985919"/>
    <w:rsid w:val="66DE04FB"/>
    <w:rsid w:val="66F85C8F"/>
    <w:rsid w:val="671E7365"/>
    <w:rsid w:val="67230B7E"/>
    <w:rsid w:val="67277552"/>
    <w:rsid w:val="672F3F24"/>
    <w:rsid w:val="673E055F"/>
    <w:rsid w:val="67551CE3"/>
    <w:rsid w:val="67A22552"/>
    <w:rsid w:val="67A530AB"/>
    <w:rsid w:val="67B22DCC"/>
    <w:rsid w:val="67BE71AA"/>
    <w:rsid w:val="67C72EAC"/>
    <w:rsid w:val="67D90273"/>
    <w:rsid w:val="67DE5875"/>
    <w:rsid w:val="67E55852"/>
    <w:rsid w:val="67EB1AB4"/>
    <w:rsid w:val="67FA1285"/>
    <w:rsid w:val="68551F4F"/>
    <w:rsid w:val="68647B92"/>
    <w:rsid w:val="687C10C9"/>
    <w:rsid w:val="68840C16"/>
    <w:rsid w:val="68876EFB"/>
    <w:rsid w:val="68884654"/>
    <w:rsid w:val="689F444F"/>
    <w:rsid w:val="68B96DBB"/>
    <w:rsid w:val="68CA2805"/>
    <w:rsid w:val="68E85AE5"/>
    <w:rsid w:val="68E937A3"/>
    <w:rsid w:val="693E15D3"/>
    <w:rsid w:val="69627681"/>
    <w:rsid w:val="6977531D"/>
    <w:rsid w:val="69B51747"/>
    <w:rsid w:val="69BD5BBB"/>
    <w:rsid w:val="69C66374"/>
    <w:rsid w:val="69CC2BFF"/>
    <w:rsid w:val="69D327F2"/>
    <w:rsid w:val="69FD55B8"/>
    <w:rsid w:val="6A0B1C62"/>
    <w:rsid w:val="6A0C584D"/>
    <w:rsid w:val="6A0D3F4C"/>
    <w:rsid w:val="6A23426E"/>
    <w:rsid w:val="6A2406C8"/>
    <w:rsid w:val="6A4B328A"/>
    <w:rsid w:val="6A4B36BE"/>
    <w:rsid w:val="6A8F2B46"/>
    <w:rsid w:val="6AB20DE6"/>
    <w:rsid w:val="6ABA3454"/>
    <w:rsid w:val="6ADC5EF8"/>
    <w:rsid w:val="6ADE0BD1"/>
    <w:rsid w:val="6AE96859"/>
    <w:rsid w:val="6B147746"/>
    <w:rsid w:val="6B24787C"/>
    <w:rsid w:val="6B573233"/>
    <w:rsid w:val="6B5B6274"/>
    <w:rsid w:val="6B694FD4"/>
    <w:rsid w:val="6B710BD6"/>
    <w:rsid w:val="6B935D53"/>
    <w:rsid w:val="6C196F71"/>
    <w:rsid w:val="6C226FCB"/>
    <w:rsid w:val="6C31226F"/>
    <w:rsid w:val="6C340BCC"/>
    <w:rsid w:val="6C390C24"/>
    <w:rsid w:val="6C552F0B"/>
    <w:rsid w:val="6C8C2DF7"/>
    <w:rsid w:val="6C8C67B7"/>
    <w:rsid w:val="6C9D744C"/>
    <w:rsid w:val="6CFD6256"/>
    <w:rsid w:val="6CFE67A8"/>
    <w:rsid w:val="6D167928"/>
    <w:rsid w:val="6D261515"/>
    <w:rsid w:val="6D26299B"/>
    <w:rsid w:val="6D4772EC"/>
    <w:rsid w:val="6D6D4FC1"/>
    <w:rsid w:val="6D8007DE"/>
    <w:rsid w:val="6D9078AF"/>
    <w:rsid w:val="6DAA3FEF"/>
    <w:rsid w:val="6DC0172B"/>
    <w:rsid w:val="6DCB690C"/>
    <w:rsid w:val="6DD41A5B"/>
    <w:rsid w:val="6DF43C2E"/>
    <w:rsid w:val="6DF51CA3"/>
    <w:rsid w:val="6E8335BD"/>
    <w:rsid w:val="6E8E12EF"/>
    <w:rsid w:val="6E9045AA"/>
    <w:rsid w:val="6E972936"/>
    <w:rsid w:val="6EB74327"/>
    <w:rsid w:val="6EC91D52"/>
    <w:rsid w:val="6ED34821"/>
    <w:rsid w:val="6ED446C5"/>
    <w:rsid w:val="6EDD6C63"/>
    <w:rsid w:val="6EFA6CD6"/>
    <w:rsid w:val="6F0F7527"/>
    <w:rsid w:val="6F184A18"/>
    <w:rsid w:val="6F2A7D94"/>
    <w:rsid w:val="6F802313"/>
    <w:rsid w:val="6F8331F1"/>
    <w:rsid w:val="6FAE1A09"/>
    <w:rsid w:val="6FB31974"/>
    <w:rsid w:val="6FD75BF8"/>
    <w:rsid w:val="6FEF3B3E"/>
    <w:rsid w:val="703C638E"/>
    <w:rsid w:val="704318A8"/>
    <w:rsid w:val="707723D0"/>
    <w:rsid w:val="70DB77AC"/>
    <w:rsid w:val="70E5109A"/>
    <w:rsid w:val="70F5661B"/>
    <w:rsid w:val="70FF0D7D"/>
    <w:rsid w:val="7123737D"/>
    <w:rsid w:val="712F522C"/>
    <w:rsid w:val="71360107"/>
    <w:rsid w:val="713B688E"/>
    <w:rsid w:val="7183561A"/>
    <w:rsid w:val="71BE6408"/>
    <w:rsid w:val="71D43752"/>
    <w:rsid w:val="71D7083C"/>
    <w:rsid w:val="71DF0B1D"/>
    <w:rsid w:val="71F1796A"/>
    <w:rsid w:val="720846CC"/>
    <w:rsid w:val="72154626"/>
    <w:rsid w:val="721F290F"/>
    <w:rsid w:val="72202699"/>
    <w:rsid w:val="72262B5D"/>
    <w:rsid w:val="72283FF7"/>
    <w:rsid w:val="722E7212"/>
    <w:rsid w:val="723A0474"/>
    <w:rsid w:val="723F6D35"/>
    <w:rsid w:val="725923E4"/>
    <w:rsid w:val="72864BF7"/>
    <w:rsid w:val="729023FC"/>
    <w:rsid w:val="729B6005"/>
    <w:rsid w:val="731D61C5"/>
    <w:rsid w:val="733470C6"/>
    <w:rsid w:val="73533CC2"/>
    <w:rsid w:val="736D2DF9"/>
    <w:rsid w:val="73A169A6"/>
    <w:rsid w:val="73C0646E"/>
    <w:rsid w:val="73FC0CA7"/>
    <w:rsid w:val="742222F5"/>
    <w:rsid w:val="742348D0"/>
    <w:rsid w:val="74476126"/>
    <w:rsid w:val="74624977"/>
    <w:rsid w:val="74706664"/>
    <w:rsid w:val="7475702A"/>
    <w:rsid w:val="747F3682"/>
    <w:rsid w:val="749C4185"/>
    <w:rsid w:val="74A73931"/>
    <w:rsid w:val="74BE006A"/>
    <w:rsid w:val="74DA51BD"/>
    <w:rsid w:val="75067759"/>
    <w:rsid w:val="752E6DCD"/>
    <w:rsid w:val="7551380D"/>
    <w:rsid w:val="75600BE5"/>
    <w:rsid w:val="7564475C"/>
    <w:rsid w:val="75834A5C"/>
    <w:rsid w:val="7583797F"/>
    <w:rsid w:val="75D20F1D"/>
    <w:rsid w:val="75DA2C18"/>
    <w:rsid w:val="75F54412"/>
    <w:rsid w:val="75FF1B9F"/>
    <w:rsid w:val="761969BC"/>
    <w:rsid w:val="761D08E0"/>
    <w:rsid w:val="76400B70"/>
    <w:rsid w:val="765D347C"/>
    <w:rsid w:val="76826699"/>
    <w:rsid w:val="7688753D"/>
    <w:rsid w:val="76C87133"/>
    <w:rsid w:val="76CD08D5"/>
    <w:rsid w:val="76DB4B92"/>
    <w:rsid w:val="76FF4961"/>
    <w:rsid w:val="77052AA4"/>
    <w:rsid w:val="77136511"/>
    <w:rsid w:val="77340A39"/>
    <w:rsid w:val="77351FD0"/>
    <w:rsid w:val="77472422"/>
    <w:rsid w:val="777F31F2"/>
    <w:rsid w:val="77BC4C63"/>
    <w:rsid w:val="77C24C2D"/>
    <w:rsid w:val="77D1700D"/>
    <w:rsid w:val="77E4568D"/>
    <w:rsid w:val="77EC04CC"/>
    <w:rsid w:val="78006A23"/>
    <w:rsid w:val="78775729"/>
    <w:rsid w:val="78A42DB0"/>
    <w:rsid w:val="78A656AB"/>
    <w:rsid w:val="78B2245C"/>
    <w:rsid w:val="78E172CC"/>
    <w:rsid w:val="78EA1D1F"/>
    <w:rsid w:val="7904172F"/>
    <w:rsid w:val="79062AD2"/>
    <w:rsid w:val="790F7E27"/>
    <w:rsid w:val="792A231A"/>
    <w:rsid w:val="79316829"/>
    <w:rsid w:val="79404FE3"/>
    <w:rsid w:val="797C7409"/>
    <w:rsid w:val="797E66A9"/>
    <w:rsid w:val="79A97383"/>
    <w:rsid w:val="79E27E8B"/>
    <w:rsid w:val="79F850CE"/>
    <w:rsid w:val="79FD443C"/>
    <w:rsid w:val="7A1D1975"/>
    <w:rsid w:val="7A3902E6"/>
    <w:rsid w:val="7A3E5150"/>
    <w:rsid w:val="7A4670D6"/>
    <w:rsid w:val="7A534B63"/>
    <w:rsid w:val="7A615382"/>
    <w:rsid w:val="7A653600"/>
    <w:rsid w:val="7A67303B"/>
    <w:rsid w:val="7AAB1D04"/>
    <w:rsid w:val="7ABA4368"/>
    <w:rsid w:val="7AD05746"/>
    <w:rsid w:val="7B226FCC"/>
    <w:rsid w:val="7B257FFD"/>
    <w:rsid w:val="7B343476"/>
    <w:rsid w:val="7B5A2978"/>
    <w:rsid w:val="7B5A7E4C"/>
    <w:rsid w:val="7B667AF9"/>
    <w:rsid w:val="7B7468F8"/>
    <w:rsid w:val="7BE64CF7"/>
    <w:rsid w:val="7BEE0103"/>
    <w:rsid w:val="7C0A0FE4"/>
    <w:rsid w:val="7C254906"/>
    <w:rsid w:val="7C5022FF"/>
    <w:rsid w:val="7C590818"/>
    <w:rsid w:val="7C6E0182"/>
    <w:rsid w:val="7C7C10F6"/>
    <w:rsid w:val="7C853BEA"/>
    <w:rsid w:val="7C881368"/>
    <w:rsid w:val="7CE27788"/>
    <w:rsid w:val="7CE64D74"/>
    <w:rsid w:val="7CF548F1"/>
    <w:rsid w:val="7CFE365D"/>
    <w:rsid w:val="7D0357E5"/>
    <w:rsid w:val="7D0C32F1"/>
    <w:rsid w:val="7D0F408D"/>
    <w:rsid w:val="7D491C6C"/>
    <w:rsid w:val="7D5429C0"/>
    <w:rsid w:val="7D6E6D43"/>
    <w:rsid w:val="7D7069D2"/>
    <w:rsid w:val="7D894AA5"/>
    <w:rsid w:val="7D8E125C"/>
    <w:rsid w:val="7DAD6DD7"/>
    <w:rsid w:val="7DB57A34"/>
    <w:rsid w:val="7DDB10A1"/>
    <w:rsid w:val="7DE60973"/>
    <w:rsid w:val="7DEF0916"/>
    <w:rsid w:val="7E1E5218"/>
    <w:rsid w:val="7E7514D4"/>
    <w:rsid w:val="7E9A4E1F"/>
    <w:rsid w:val="7EA3386F"/>
    <w:rsid w:val="7EA7723A"/>
    <w:rsid w:val="7EB659FE"/>
    <w:rsid w:val="7EBC6AFC"/>
    <w:rsid w:val="7ED456CF"/>
    <w:rsid w:val="7EF56FBB"/>
    <w:rsid w:val="7EFC38CE"/>
    <w:rsid w:val="7F015C50"/>
    <w:rsid w:val="7F067E4D"/>
    <w:rsid w:val="7F0768EB"/>
    <w:rsid w:val="7F143BEC"/>
    <w:rsid w:val="7F19715A"/>
    <w:rsid w:val="7F5856D4"/>
    <w:rsid w:val="7F6137FA"/>
    <w:rsid w:val="7F715AF2"/>
    <w:rsid w:val="7F793597"/>
    <w:rsid w:val="7F886E69"/>
    <w:rsid w:val="7FBE014C"/>
    <w:rsid w:val="7FCF2D12"/>
    <w:rsid w:val="7FFA1DC8"/>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2"/>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index 8"/>
    <w:basedOn w:val="1"/>
    <w:next w:val="1"/>
    <w:qFormat/>
    <w:uiPriority w:val="0"/>
    <w:pPr>
      <w:ind w:left="2940"/>
    </w:p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
    <w:link w:val="199"/>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5"/>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8"/>
    <w:qFormat/>
    <w:uiPriority w:val="0"/>
    <w:pPr>
      <w:shd w:val="clear" w:color="auto" w:fill="000080"/>
    </w:pPr>
  </w:style>
  <w:style w:type="paragraph" w:styleId="20">
    <w:name w:val="annotation text"/>
    <w:basedOn w:val="1"/>
    <w:link w:val="349"/>
    <w:qFormat/>
    <w:uiPriority w:val="99"/>
    <w:pPr>
      <w:jc w:val="left"/>
    </w:pPr>
  </w:style>
  <w:style w:type="paragraph" w:styleId="21">
    <w:name w:val="Salutation"/>
    <w:basedOn w:val="1"/>
    <w:next w:val="1"/>
    <w:link w:val="303"/>
    <w:qFormat/>
    <w:uiPriority w:val="0"/>
    <w:rPr>
      <w:rFonts w:ascii="仿宋_GB2312" w:eastAsia="仿宋_GB2312"/>
      <w:sz w:val="28"/>
      <w:szCs w:val="20"/>
    </w:rPr>
  </w:style>
  <w:style w:type="paragraph" w:styleId="22">
    <w:name w:val="Body Text 3"/>
    <w:basedOn w:val="1"/>
    <w:link w:val="335"/>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5"/>
    <w:qFormat/>
    <w:uiPriority w:val="0"/>
    <w:pPr>
      <w:autoSpaceDE w:val="0"/>
      <w:autoSpaceDN w:val="0"/>
      <w:spacing w:line="360" w:lineRule="auto"/>
    </w:pPr>
    <w:rPr>
      <w:rFonts w:ascii="宋体" w:hAnsi="Arial" w:cs="Arial"/>
      <w:snapToGrid w:val="0"/>
      <w:sz w:val="24"/>
      <w:szCs w:val="21"/>
      <w:lang w:val="zh-CN"/>
    </w:rPr>
  </w:style>
  <w:style w:type="paragraph" w:styleId="25">
    <w:name w:val="toc 2"/>
    <w:basedOn w:val="1"/>
    <w:next w:val="1"/>
    <w:qFormat/>
    <w:uiPriority w:val="0"/>
    <w:pPr>
      <w:ind w:left="420" w:leftChars="200"/>
    </w:pPr>
  </w:style>
  <w:style w:type="paragraph" w:styleId="26">
    <w:name w:val="Body Text Indent"/>
    <w:basedOn w:val="1"/>
    <w:next w:val="27"/>
    <w:link w:val="270"/>
    <w:qFormat/>
    <w:uiPriority w:val="0"/>
    <w:pPr>
      <w:spacing w:line="480" w:lineRule="exact"/>
      <w:ind w:firstLine="480" w:firstLineChars="200"/>
    </w:pPr>
    <w:rPr>
      <w:rFonts w:ascii="宋体" w:hAnsi="宋体"/>
      <w:sz w:val="24"/>
    </w:rPr>
  </w:style>
  <w:style w:type="paragraph" w:customStyle="1" w:styleId="27">
    <w:name w:val="正文文本首行缩进 21"/>
    <w:basedOn w:val="26"/>
    <w:qFormat/>
    <w:uiPriority w:val="99"/>
    <w:pPr>
      <w:spacing w:line="200" w:lineRule="atLeast"/>
      <w:ind w:firstLine="420"/>
    </w:pPr>
    <w:rPr>
      <w:rFonts w:hAnsi="Courier New"/>
      <w:spacing w:val="-4"/>
      <w:sz w:val="18"/>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5"/>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31"/>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7"/>
    <w:qFormat/>
    <w:uiPriority w:val="0"/>
    <w:pPr>
      <w:ind w:left="100" w:leftChars="2500"/>
    </w:pPr>
    <w:rPr>
      <w:rFonts w:ascii="宋体"/>
      <w:sz w:val="24"/>
      <w:szCs w:val="21"/>
      <w:lang w:val="zh-CN"/>
    </w:rPr>
  </w:style>
  <w:style w:type="paragraph" w:styleId="39">
    <w:name w:val="Body Text Indent 2"/>
    <w:basedOn w:val="1"/>
    <w:link w:val="313"/>
    <w:qFormat/>
    <w:uiPriority w:val="0"/>
    <w:pPr>
      <w:spacing w:line="360" w:lineRule="auto"/>
      <w:ind w:firstLine="601"/>
      <w:textAlignment w:val="baseline"/>
    </w:pPr>
    <w:rPr>
      <w:rFonts w:ascii="宋体"/>
      <w:kern w:val="0"/>
      <w:sz w:val="28"/>
      <w:szCs w:val="20"/>
    </w:rPr>
  </w:style>
  <w:style w:type="paragraph" w:styleId="40">
    <w:name w:val="endnote text"/>
    <w:basedOn w:val="1"/>
    <w:link w:val="935"/>
    <w:qFormat/>
    <w:uiPriority w:val="0"/>
    <w:rPr>
      <w:lang w:val="zh-CN"/>
    </w:rPr>
  </w:style>
  <w:style w:type="paragraph" w:styleId="41">
    <w:name w:val="Balloon Text"/>
    <w:basedOn w:val="1"/>
    <w:link w:val="194"/>
    <w:qFormat/>
    <w:uiPriority w:val="0"/>
    <w:rPr>
      <w:sz w:val="18"/>
      <w:szCs w:val="18"/>
    </w:rPr>
  </w:style>
  <w:style w:type="paragraph" w:styleId="42">
    <w:name w:val="footer"/>
    <w:basedOn w:val="1"/>
    <w:link w:val="388"/>
    <w:qFormat/>
    <w:uiPriority w:val="99"/>
    <w:pPr>
      <w:tabs>
        <w:tab w:val="center" w:pos="4153"/>
        <w:tab w:val="right" w:pos="8306"/>
      </w:tabs>
      <w:snapToGrid w:val="0"/>
      <w:jc w:val="left"/>
    </w:pPr>
    <w:rPr>
      <w:sz w:val="18"/>
      <w:szCs w:val="18"/>
    </w:rPr>
  </w:style>
  <w:style w:type="paragraph" w:styleId="43">
    <w:name w:val="envelope return"/>
    <w:basedOn w:val="1"/>
    <w:qFormat/>
    <w:uiPriority w:val="0"/>
    <w:pPr>
      <w:snapToGrid w:val="0"/>
    </w:pPr>
    <w:rPr>
      <w:rFonts w:ascii="Arial" w:hAnsi="Arial"/>
    </w:rPr>
  </w:style>
  <w:style w:type="paragraph" w:styleId="44">
    <w:name w:val="header"/>
    <w:basedOn w:val="1"/>
    <w:link w:val="397"/>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50"/>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6"/>
    <w:link w:val="315"/>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80"/>
    <w:qFormat/>
    <w:uiPriority w:val="0"/>
    <w:pPr>
      <w:spacing w:line="360" w:lineRule="auto"/>
      <w:ind w:firstLine="420"/>
    </w:pPr>
    <w:rPr>
      <w:sz w:val="24"/>
      <w:szCs w:val="20"/>
    </w:rPr>
  </w:style>
  <w:style w:type="paragraph" w:styleId="57">
    <w:name w:val="toc 9"/>
    <w:basedOn w:val="1"/>
    <w:next w:val="1"/>
    <w:qFormat/>
    <w:uiPriority w:val="0"/>
    <w:pPr>
      <w:ind w:left="3360" w:leftChars="1600"/>
    </w:pPr>
  </w:style>
  <w:style w:type="paragraph" w:styleId="58">
    <w:name w:val="Body Text 2"/>
    <w:basedOn w:val="1"/>
    <w:link w:val="307"/>
    <w:qFormat/>
    <w:uiPriority w:val="0"/>
    <w:pPr>
      <w:spacing w:after="120" w:line="480" w:lineRule="auto"/>
    </w:pPr>
  </w:style>
  <w:style w:type="paragraph" w:styleId="59">
    <w:name w:val="HTML Preformatted"/>
    <w:basedOn w:val="1"/>
    <w:link w:val="3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91"/>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102"/>
    <w:qFormat/>
    <w:uiPriority w:val="0"/>
    <w:rPr>
      <w:b/>
      <w:bCs/>
    </w:rPr>
  </w:style>
  <w:style w:type="paragraph" w:styleId="63">
    <w:name w:val="Body Text First Indent"/>
    <w:basedOn w:val="24"/>
    <w:next w:val="1"/>
    <w:link w:val="326"/>
    <w:qFormat/>
    <w:uiPriority w:val="0"/>
    <w:pPr>
      <w:ind w:firstLine="420"/>
    </w:pPr>
    <w:rPr>
      <w:rFonts w:hAnsi="Calibri" w:cs="Times New Roman"/>
      <w:snapToGrid/>
      <w:szCs w:val="20"/>
    </w:rPr>
  </w:style>
  <w:style w:type="paragraph" w:styleId="64">
    <w:name w:val="Body Text First Indent 2"/>
    <w:basedOn w:val="1"/>
    <w:next w:val="1"/>
    <w:link w:val="127"/>
    <w:qFormat/>
    <w:uiPriority w:val="0"/>
    <w:pPr>
      <w:adjustRightInd/>
      <w:spacing w:after="120"/>
      <w:ind w:left="420" w:leftChars="200" w:firstLine="210"/>
    </w:p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文档正文"/>
    <w:basedOn w:val="1"/>
    <w:qFormat/>
    <w:uiPriority w:val="0"/>
    <w:pPr>
      <w:spacing w:line="480" w:lineRule="atLeast"/>
      <w:ind w:firstLine="567"/>
      <w:textAlignment w:val="baseline"/>
    </w:pPr>
    <w:rPr>
      <w:kern w:val="0"/>
      <w:sz w:val="24"/>
      <w:szCs w:val="20"/>
    </w:rPr>
  </w:style>
  <w:style w:type="paragraph" w:customStyle="1" w:styleId="83">
    <w:name w:val="正文首行缩进1"/>
    <w:basedOn w:val="24"/>
    <w:next w:val="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4">
    <w:name w:val="Default"/>
    <w:next w:val="85"/>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5">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86">
    <w:name w:val="[Normal]"/>
    <w:qFormat/>
    <w:uiPriority w:val="0"/>
    <w:rPr>
      <w:rFonts w:ascii="宋体" w:hAnsi="宋体" w:eastAsia="宋体" w:cs="Times New Roman"/>
      <w:sz w:val="24"/>
      <w:lang w:val="zh-CN" w:eastAsia="zh-CN" w:bidi="ar-SA"/>
    </w:rPr>
  </w:style>
  <w:style w:type="paragraph" w:styleId="87">
    <w:name w:val="List Paragraph"/>
    <w:basedOn w:val="1"/>
    <w:qFormat/>
    <w:uiPriority w:val="34"/>
    <w:pPr>
      <w:spacing w:line="360" w:lineRule="auto"/>
      <w:ind w:firstLine="200" w:firstLineChars="200"/>
    </w:pPr>
    <w:rPr>
      <w:rFonts w:eastAsia="楷体_GB2312" w:cs="Lucida Sans"/>
      <w:sz w:val="24"/>
    </w:rPr>
  </w:style>
  <w:style w:type="character" w:customStyle="1" w:styleId="88">
    <w:name w:val="表格非标题文字 Char"/>
    <w:link w:val="89"/>
    <w:qFormat/>
    <w:uiPriority w:val="0"/>
    <w:rPr>
      <w:rFonts w:ascii="Futura Bk" w:hAnsi="Futura Bk"/>
      <w:kern w:val="2"/>
      <w:sz w:val="18"/>
      <w:szCs w:val="21"/>
      <w:lang w:val="en-US" w:eastAsia="zh-CN" w:bidi="ar-SA"/>
    </w:rPr>
  </w:style>
  <w:style w:type="paragraph" w:customStyle="1" w:styleId="89">
    <w:name w:val="表格非标题文字"/>
    <w:link w:val="8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qFormat/>
    <w:locked/>
    <w:uiPriority w:val="0"/>
    <w:rPr>
      <w:rFonts w:ascii="宋体" w:hAnsi="宋体"/>
      <w:sz w:val="24"/>
    </w:rPr>
  </w:style>
  <w:style w:type="paragraph" w:customStyle="1" w:styleId="91">
    <w:name w:val="*正文"/>
    <w:basedOn w:val="1"/>
    <w:link w:val="90"/>
    <w:qFormat/>
    <w:uiPriority w:val="0"/>
    <w:pPr>
      <w:snapToGrid w:val="0"/>
      <w:spacing w:line="360" w:lineRule="auto"/>
      <w:ind w:firstLine="482"/>
      <w:jc w:val="left"/>
    </w:pPr>
    <w:rPr>
      <w:rFonts w:ascii="宋体" w:hAnsi="宋体"/>
      <w:kern w:val="0"/>
      <w:sz w:val="24"/>
      <w:szCs w:val="20"/>
    </w:rPr>
  </w:style>
  <w:style w:type="character" w:customStyle="1" w:styleId="92">
    <w:name w:val="Char Char71"/>
    <w:semiHidden/>
    <w:qFormat/>
    <w:uiPriority w:val="0"/>
    <w:rPr>
      <w:rFonts w:eastAsia="宋体"/>
      <w:kern w:val="2"/>
      <w:sz w:val="21"/>
      <w:szCs w:val="24"/>
      <w:lang w:val="en-US" w:eastAsia="zh-CN" w:bidi="ar-SA"/>
    </w:rPr>
  </w:style>
  <w:style w:type="character" w:customStyle="1" w:styleId="93">
    <w:name w:val="Char Char6"/>
    <w:qFormat/>
    <w:uiPriority w:val="0"/>
    <w:rPr>
      <w:rFonts w:eastAsia="宋体"/>
      <w:kern w:val="2"/>
      <w:sz w:val="21"/>
      <w:szCs w:val="24"/>
      <w:lang w:val="en-US" w:eastAsia="zh-CN" w:bidi="ar-SA"/>
    </w:rPr>
  </w:style>
  <w:style w:type="character" w:customStyle="1" w:styleId="94">
    <w:name w:val="正文缩进 Char"/>
    <w:qFormat/>
    <w:uiPriority w:val="0"/>
    <w:rPr>
      <w:rFonts w:eastAsia="宋体"/>
      <w:kern w:val="2"/>
      <w:sz w:val="21"/>
      <w:lang w:val="en-US" w:eastAsia="zh-CN"/>
    </w:rPr>
  </w:style>
  <w:style w:type="character" w:customStyle="1" w:styleId="95">
    <w:name w:val="正文首行缩进 Char1"/>
    <w:qFormat/>
    <w:uiPriority w:val="0"/>
    <w:rPr>
      <w:rFonts w:ascii="宋体" w:hAnsi="Times New Roman" w:eastAsia="宋体" w:cs="Times New Roman"/>
      <w:snapToGrid w:val="0"/>
      <w:kern w:val="2"/>
      <w:sz w:val="24"/>
      <w:szCs w:val="21"/>
      <w:lang w:val="zh-CN"/>
    </w:rPr>
  </w:style>
  <w:style w:type="character" w:customStyle="1" w:styleId="96">
    <w:name w:val="Char Char28"/>
    <w:qFormat/>
    <w:uiPriority w:val="6"/>
    <w:rPr>
      <w:rFonts w:ascii="仿宋_GB2312" w:hAnsi="仿宋_GB2312" w:eastAsia="仿宋_GB2312"/>
      <w:kern w:val="1"/>
      <w:sz w:val="28"/>
    </w:rPr>
  </w:style>
  <w:style w:type="character" w:customStyle="1" w:styleId="9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qFormat/>
    <w:uiPriority w:val="6"/>
    <w:rPr>
      <w:rFonts w:ascii="Times New Roman" w:hAnsi="Times New Roman" w:eastAsia="黑体" w:cs="Times New Roman"/>
      <w:b/>
      <w:kern w:val="0"/>
      <w:sz w:val="24"/>
      <w:szCs w:val="24"/>
    </w:rPr>
  </w:style>
  <w:style w:type="character" w:customStyle="1" w:styleId="99">
    <w:name w:val="U_正文 Char"/>
    <w:link w:val="100"/>
    <w:qFormat/>
    <w:uiPriority w:val="0"/>
    <w:rPr>
      <w:sz w:val="24"/>
      <w:szCs w:val="24"/>
    </w:rPr>
  </w:style>
  <w:style w:type="paragraph" w:customStyle="1" w:styleId="100">
    <w:name w:val="U_正文"/>
    <w:basedOn w:val="1"/>
    <w:link w:val="99"/>
    <w:qFormat/>
    <w:uiPriority w:val="0"/>
    <w:pPr>
      <w:adjustRightInd/>
      <w:spacing w:beforeLines="20" w:afterLines="20" w:line="300" w:lineRule="auto"/>
      <w:ind w:firstLine="200" w:firstLineChars="200"/>
    </w:pPr>
    <w:rPr>
      <w:kern w:val="0"/>
      <w:sz w:val="24"/>
    </w:rPr>
  </w:style>
  <w:style w:type="character" w:customStyle="1" w:styleId="101">
    <w:name w:val="HTML 地址 Char1"/>
    <w:qFormat/>
    <w:uiPriority w:val="0"/>
    <w:rPr>
      <w:rFonts w:ascii="Times New Roman" w:hAnsi="Times New Roman" w:eastAsia="宋体" w:cs="Times New Roman"/>
      <w:i/>
      <w:iCs/>
      <w:szCs w:val="24"/>
    </w:rPr>
  </w:style>
  <w:style w:type="character" w:customStyle="1" w:styleId="102">
    <w:name w:val="批注主题 字符"/>
    <w:link w:val="62"/>
    <w:qFormat/>
    <w:uiPriority w:val="0"/>
    <w:rPr>
      <w:b/>
      <w:bCs/>
      <w:kern w:val="2"/>
      <w:sz w:val="21"/>
      <w:szCs w:val="24"/>
    </w:rPr>
  </w:style>
  <w:style w:type="character" w:customStyle="1" w:styleId="103">
    <w:name w:val="Char Char51"/>
    <w:qFormat/>
    <w:uiPriority w:val="0"/>
    <w:rPr>
      <w:rFonts w:ascii="宋体" w:hAnsi="Courier New" w:eastAsia="宋体"/>
      <w:kern w:val="2"/>
      <w:sz w:val="21"/>
      <w:lang w:val="en-US" w:eastAsia="zh-CN"/>
    </w:rPr>
  </w:style>
  <w:style w:type="character" w:customStyle="1" w:styleId="104">
    <w:name w:val="表正文 Char"/>
    <w:qFormat/>
    <w:uiPriority w:val="0"/>
    <w:rPr>
      <w:rFonts w:ascii="宋体" w:eastAsia="宋体"/>
      <w:snapToGrid w:val="0"/>
      <w:color w:val="000000"/>
      <w:kern w:val="28"/>
      <w:sz w:val="28"/>
      <w:lang w:val="en-US" w:eastAsia="zh-CN" w:bidi="ar-SA"/>
    </w:rPr>
  </w:style>
  <w:style w:type="character" w:customStyle="1" w:styleId="105">
    <w:name w:val="Char Char34"/>
    <w:qFormat/>
    <w:uiPriority w:val="6"/>
    <w:rPr>
      <w:b/>
      <w:kern w:val="1"/>
      <w:sz w:val="28"/>
      <w:szCs w:val="28"/>
    </w:rPr>
  </w:style>
  <w:style w:type="character" w:customStyle="1" w:styleId="10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qFormat/>
    <w:uiPriority w:val="0"/>
    <w:rPr>
      <w:rFonts w:ascii="宋体" w:hAnsi="宋体" w:eastAsia="宋体"/>
      <w:kern w:val="2"/>
      <w:sz w:val="24"/>
      <w:lang w:bidi="ar-SA"/>
    </w:rPr>
  </w:style>
  <w:style w:type="paragraph" w:customStyle="1" w:styleId="108">
    <w:name w:val="哈哈正文"/>
    <w:basedOn w:val="1"/>
    <w:link w:val="107"/>
    <w:qFormat/>
    <w:uiPriority w:val="0"/>
    <w:pPr>
      <w:adjustRightInd/>
      <w:spacing w:line="360" w:lineRule="auto"/>
      <w:ind w:firstLine="200" w:firstLineChars="200"/>
    </w:pPr>
    <w:rPr>
      <w:rFonts w:ascii="宋体" w:hAnsi="宋体"/>
      <w:sz w:val="24"/>
      <w:szCs w:val="20"/>
    </w:rPr>
  </w:style>
  <w:style w:type="character" w:customStyle="1" w:styleId="109">
    <w:name w:val="未处理的提及1"/>
    <w:qFormat/>
    <w:uiPriority w:val="0"/>
    <w:rPr>
      <w:color w:val="808080"/>
      <w:shd w:val="clear" w:color="auto" w:fill="E6E6E6"/>
    </w:rPr>
  </w:style>
  <w:style w:type="character" w:customStyle="1" w:styleId="110">
    <w:name w:val="txt"/>
    <w:qFormat/>
    <w:uiPriority w:val="0"/>
    <w:rPr>
      <w:rFonts w:ascii="仿宋_GB2312" w:eastAsia="微软雅黑"/>
      <w:b/>
      <w:kern w:val="2"/>
      <w:sz w:val="32"/>
      <w:szCs w:val="32"/>
      <w:lang w:val="en-US" w:eastAsia="zh-CN" w:bidi="ar-SA"/>
    </w:rPr>
  </w:style>
  <w:style w:type="character" w:customStyle="1" w:styleId="111">
    <w:name w:val="二级标题 Char Char"/>
    <w:qFormat/>
    <w:uiPriority w:val="0"/>
    <w:rPr>
      <w:rFonts w:ascii="宋体" w:hAnsi="宋体" w:eastAsia="宋体"/>
      <w:b/>
      <w:snapToGrid w:val="0"/>
      <w:kern w:val="2"/>
      <w:sz w:val="24"/>
      <w:szCs w:val="24"/>
      <w:lang w:val="en-US" w:eastAsia="zh-CN" w:bidi="ar-SA"/>
    </w:rPr>
  </w:style>
  <w:style w:type="character" w:customStyle="1" w:styleId="112">
    <w:name w:val="Char Char32"/>
    <w:qFormat/>
    <w:uiPriority w:val="6"/>
    <w:rPr>
      <w:b/>
      <w:kern w:val="1"/>
      <w:sz w:val="24"/>
      <w:szCs w:val="24"/>
    </w:rPr>
  </w:style>
  <w:style w:type="character" w:customStyle="1" w:styleId="113">
    <w:name w:val="PI Char1"/>
    <w:qFormat/>
    <w:uiPriority w:val="0"/>
    <w:rPr>
      <w:rFonts w:ascii="宋体" w:hAnsi="宋体"/>
      <w:kern w:val="2"/>
      <w:sz w:val="24"/>
      <w:szCs w:val="24"/>
    </w:rPr>
  </w:style>
  <w:style w:type="character" w:customStyle="1" w:styleId="114">
    <w:name w:val="tw4winTerm"/>
    <w:qFormat/>
    <w:uiPriority w:val="0"/>
    <w:rPr>
      <w:color w:val="0000FF"/>
    </w:rPr>
  </w:style>
  <w:style w:type="character" w:customStyle="1" w:styleId="115">
    <w:name w:val="Footer Char"/>
    <w:qFormat/>
    <w:locked/>
    <w:uiPriority w:val="0"/>
    <w:rPr>
      <w:rFonts w:eastAsia="宋体"/>
      <w:kern w:val="2"/>
      <w:sz w:val="18"/>
      <w:lang w:val="en-US" w:eastAsia="zh-CN" w:bidi="ar-SA"/>
    </w:rPr>
  </w:style>
  <w:style w:type="character" w:customStyle="1" w:styleId="116">
    <w:name w:val="普通文字 Char Char1"/>
    <w:qFormat/>
    <w:uiPriority w:val="0"/>
    <w:rPr>
      <w:rFonts w:ascii="宋体" w:hAnsi="Courier New"/>
      <w:kern w:val="2"/>
      <w:sz w:val="21"/>
    </w:rPr>
  </w:style>
  <w:style w:type="character" w:customStyle="1" w:styleId="117">
    <w:name w:val="Char Char101"/>
    <w:qFormat/>
    <w:uiPriority w:val="6"/>
    <w:rPr>
      <w:rFonts w:ascii="宋体" w:hAnsi="宋体"/>
      <w:kern w:val="2"/>
      <w:sz w:val="21"/>
      <w:szCs w:val="24"/>
      <w:lang w:val="en-US" w:eastAsia="zh-CN"/>
    </w:rPr>
  </w:style>
  <w:style w:type="character" w:customStyle="1" w:styleId="118">
    <w:name w:val="标题 4 Char"/>
    <w:qFormat/>
    <w:uiPriority w:val="0"/>
    <w:rPr>
      <w:rFonts w:ascii="Arial" w:hAnsi="Arial" w:eastAsia="黑体"/>
      <w:b/>
      <w:kern w:val="2"/>
      <w:sz w:val="28"/>
    </w:rPr>
  </w:style>
  <w:style w:type="character" w:customStyle="1" w:styleId="119">
    <w:name w:val="链接"/>
    <w:qFormat/>
    <w:uiPriority w:val="0"/>
    <w:rPr>
      <w:color w:val="0000FF"/>
      <w:sz w:val="21"/>
      <w:szCs w:val="21"/>
      <w:u w:val="single"/>
    </w:rPr>
  </w:style>
  <w:style w:type="character" w:customStyle="1" w:styleId="120">
    <w:name w:val="h4 Char"/>
    <w:qFormat/>
    <w:uiPriority w:val="0"/>
    <w:rPr>
      <w:rFonts w:ascii="Arial" w:hAnsi="Arial" w:eastAsia="黑体"/>
      <w:b/>
      <w:bCs/>
      <w:kern w:val="2"/>
      <w:sz w:val="28"/>
      <w:szCs w:val="28"/>
      <w:lang w:val="zh-CN" w:eastAsia="zh-CN" w:bidi="ar-SA"/>
    </w:rPr>
  </w:style>
  <w:style w:type="character" w:customStyle="1" w:styleId="121">
    <w:name w:val="5正文 Char"/>
    <w:link w:val="122"/>
    <w:qFormat/>
    <w:uiPriority w:val="0"/>
    <w:rPr>
      <w:rFonts w:ascii="仿宋_GB2312" w:hAnsi="微软雅黑" w:eastAsia="仿宋_GB2312"/>
      <w:sz w:val="28"/>
      <w:szCs w:val="21"/>
    </w:rPr>
  </w:style>
  <w:style w:type="paragraph" w:customStyle="1" w:styleId="122">
    <w:name w:val="5正文"/>
    <w:basedOn w:val="1"/>
    <w:link w:val="121"/>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标题 3 字符"/>
    <w:qFormat/>
    <w:uiPriority w:val="9"/>
    <w:rPr>
      <w:b/>
      <w:bCs/>
      <w:kern w:val="2"/>
      <w:sz w:val="32"/>
      <w:szCs w:val="32"/>
    </w:rPr>
  </w:style>
  <w:style w:type="character" w:customStyle="1" w:styleId="124">
    <w:name w:val="样式6 Char"/>
    <w:qFormat/>
    <w:uiPriority w:val="0"/>
    <w:rPr>
      <w:rFonts w:ascii="仿宋_GB2312" w:hAnsi="宋体" w:eastAsia="仿宋_GB2312"/>
      <w:b/>
      <w:bCs/>
      <w:kern w:val="2"/>
      <w:sz w:val="24"/>
      <w:szCs w:val="24"/>
      <w:lang w:val="en-US" w:eastAsia="zh-CN" w:bidi="ar-SA"/>
    </w:rPr>
  </w:style>
  <w:style w:type="character" w:customStyle="1" w:styleId="125">
    <w:name w:val="Char Char14"/>
    <w:qFormat/>
    <w:uiPriority w:val="6"/>
    <w:rPr>
      <w:rFonts w:ascii="黑体" w:hAnsi="黑体" w:eastAsia="黑体"/>
    </w:rPr>
  </w:style>
  <w:style w:type="character" w:customStyle="1" w:styleId="126">
    <w:name w:val="Heading 2 Hidden Char"/>
    <w:qFormat/>
    <w:uiPriority w:val="0"/>
    <w:rPr>
      <w:rFonts w:ascii="仿宋_GB2312" w:eastAsia="仿宋_GB2312"/>
      <w:b/>
      <w:bCs/>
      <w:kern w:val="2"/>
      <w:sz w:val="24"/>
      <w:szCs w:val="24"/>
      <w:lang w:val="zh-CN" w:eastAsia="zh-CN" w:bidi="ar-SA"/>
    </w:rPr>
  </w:style>
  <w:style w:type="character" w:customStyle="1" w:styleId="127">
    <w:name w:val="正文文本首行缩进 2 字符"/>
    <w:link w:val="64"/>
    <w:qFormat/>
    <w:uiPriority w:val="0"/>
    <w:rPr>
      <w:rFonts w:ascii="宋体" w:hAnsi="宋体"/>
      <w:kern w:val="2"/>
      <w:sz w:val="21"/>
      <w:szCs w:val="24"/>
    </w:rPr>
  </w:style>
  <w:style w:type="character" w:customStyle="1" w:styleId="128">
    <w:name w:val="font11"/>
    <w:basedOn w:val="72"/>
    <w:qFormat/>
    <w:uiPriority w:val="0"/>
    <w:rPr>
      <w:rFonts w:hint="default" w:ascii="Times New Roman" w:hAnsi="Times New Roman" w:cs="Times New Roman"/>
      <w:color w:val="000000"/>
      <w:sz w:val="22"/>
      <w:szCs w:val="22"/>
      <w:u w:val="none"/>
    </w:rPr>
  </w:style>
  <w:style w:type="character" w:customStyle="1" w:styleId="129">
    <w:name w:val="表正文 Char1"/>
    <w:qFormat/>
    <w:uiPriority w:val="0"/>
    <w:rPr>
      <w:rFonts w:ascii="宋体" w:eastAsia="宋体"/>
      <w:snapToGrid w:val="0"/>
      <w:color w:val="000000"/>
      <w:kern w:val="28"/>
      <w:sz w:val="28"/>
    </w:rPr>
  </w:style>
  <w:style w:type="character" w:customStyle="1" w:styleId="130">
    <w:name w:val="blue1"/>
    <w:basedOn w:val="72"/>
    <w:qFormat/>
    <w:uiPriority w:val="0"/>
    <w:rPr>
      <w:rFonts w:ascii="Arial" w:hAnsi="Arial" w:eastAsia="黑体" w:cs="Arial"/>
      <w:snapToGrid w:val="0"/>
      <w:kern w:val="0"/>
      <w:szCs w:val="21"/>
    </w:rPr>
  </w:style>
  <w:style w:type="character" w:customStyle="1" w:styleId="131">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32">
    <w:name w:val="标书1 Char"/>
    <w:qFormat/>
    <w:uiPriority w:val="0"/>
    <w:rPr>
      <w:rFonts w:eastAsia="宋体"/>
      <w:b/>
      <w:bCs/>
      <w:kern w:val="44"/>
      <w:sz w:val="44"/>
      <w:szCs w:val="44"/>
      <w:lang w:val="en-US" w:eastAsia="zh-CN" w:bidi="ar-SA"/>
    </w:rPr>
  </w:style>
  <w:style w:type="character" w:customStyle="1" w:styleId="133">
    <w:name w:val="样式5 Char"/>
    <w:qFormat/>
    <w:uiPriority w:val="0"/>
    <w:rPr>
      <w:rFonts w:ascii="仿宋_GB2312" w:hAnsi="仿宋" w:eastAsia="仿宋_GB2312"/>
      <w:kern w:val="2"/>
      <w:sz w:val="24"/>
      <w:szCs w:val="24"/>
    </w:rPr>
  </w:style>
  <w:style w:type="character" w:customStyle="1" w:styleId="134">
    <w:name w:val="样式4 Char"/>
    <w:qFormat/>
    <w:uiPriority w:val="0"/>
    <w:rPr>
      <w:rFonts w:ascii="仿宋_GB2312" w:hAnsi="仿宋" w:eastAsia="仿宋_GB2312"/>
      <w:b/>
      <w:kern w:val="2"/>
      <w:sz w:val="32"/>
      <w:szCs w:val="32"/>
      <w:lang w:bidi="ar-SA"/>
    </w:rPr>
  </w:style>
  <w:style w:type="character" w:customStyle="1" w:styleId="135">
    <w:name w:val="插图说明 Char"/>
    <w:qFormat/>
    <w:uiPriority w:val="0"/>
    <w:rPr>
      <w:rFonts w:eastAsia="黑体"/>
      <w:sz w:val="24"/>
      <w:lang w:val="en-US" w:eastAsia="zh-CN"/>
    </w:rPr>
  </w:style>
  <w:style w:type="character" w:customStyle="1" w:styleId="136">
    <w:name w:val="正文2 Char Char"/>
    <w:link w:val="137"/>
    <w:qFormat/>
    <w:uiPriority w:val="0"/>
    <w:rPr>
      <w:rFonts w:eastAsia="宋体"/>
      <w:kern w:val="2"/>
      <w:sz w:val="24"/>
      <w:lang w:val="en-US" w:eastAsia="zh-CN" w:bidi="ar-SA"/>
    </w:rPr>
  </w:style>
  <w:style w:type="paragraph" w:customStyle="1" w:styleId="137">
    <w:name w:val="正文2"/>
    <w:basedOn w:val="1"/>
    <w:link w:val="136"/>
    <w:qFormat/>
    <w:uiPriority w:val="0"/>
    <w:pPr>
      <w:spacing w:before="156" w:line="360" w:lineRule="auto"/>
      <w:ind w:firstLine="510" w:firstLineChars="200"/>
    </w:pPr>
    <w:rPr>
      <w:sz w:val="24"/>
      <w:szCs w:val="20"/>
    </w:rPr>
  </w:style>
  <w:style w:type="character" w:customStyle="1" w:styleId="138">
    <w:name w:val="Char Char24"/>
    <w:qFormat/>
    <w:uiPriority w:val="6"/>
    <w:rPr>
      <w:kern w:val="1"/>
      <w:sz w:val="21"/>
    </w:rPr>
  </w:style>
  <w:style w:type="character" w:customStyle="1" w:styleId="139">
    <w:name w:val="副标题 字符"/>
    <w:link w:val="50"/>
    <w:qFormat/>
    <w:uiPriority w:val="0"/>
    <w:rPr>
      <w:rFonts w:ascii="Arial" w:hAnsi="Arial" w:eastAsia="隶书"/>
      <w:b/>
      <w:bCs/>
      <w:kern w:val="28"/>
      <w:sz w:val="44"/>
      <w:szCs w:val="32"/>
      <w:lang w:val="en-US" w:eastAsia="zh-CN" w:bidi="ar-SA"/>
    </w:rPr>
  </w:style>
  <w:style w:type="character" w:customStyle="1" w:styleId="140">
    <w:name w:val="普通文字 Char1 Char"/>
    <w:qFormat/>
    <w:uiPriority w:val="0"/>
    <w:rPr>
      <w:rFonts w:ascii="宋体" w:hAnsi="Courier New" w:eastAsia="宋体"/>
      <w:kern w:val="2"/>
      <w:sz w:val="21"/>
      <w:szCs w:val="24"/>
      <w:lang w:val="en-US" w:eastAsia="zh-CN" w:bidi="ar-SA"/>
    </w:rPr>
  </w:style>
  <w:style w:type="character" w:customStyle="1" w:styleId="141">
    <w:name w:val="h3 Char1"/>
    <w:qFormat/>
    <w:uiPriority w:val="0"/>
    <w:rPr>
      <w:rFonts w:eastAsia="宋体"/>
      <w:b/>
      <w:bCs/>
      <w:kern w:val="2"/>
      <w:sz w:val="32"/>
      <w:szCs w:val="32"/>
      <w:lang w:bidi="ar-SA"/>
    </w:rPr>
  </w:style>
  <w:style w:type="character" w:customStyle="1" w:styleId="142">
    <w:name w:val="标题 Char1"/>
    <w:qFormat/>
    <w:uiPriority w:val="0"/>
    <w:rPr>
      <w:rFonts w:ascii="Cambria" w:hAnsi="Cambria" w:eastAsia="宋体" w:cs="Times New Roman"/>
      <w:b/>
      <w:bCs/>
      <w:sz w:val="32"/>
      <w:szCs w:val="32"/>
      <w:lang w:bidi="ar-SA"/>
    </w:rPr>
  </w:style>
  <w:style w:type="character" w:customStyle="1" w:styleId="143">
    <w:name w:val="gf正文1 Char"/>
    <w:qFormat/>
    <w:uiPriority w:val="0"/>
    <w:rPr>
      <w:rFonts w:ascii="宋体" w:hAnsi="宋体" w:eastAsia="宋体" w:cs="宋体"/>
      <w:kern w:val="2"/>
      <w:sz w:val="24"/>
      <w:szCs w:val="24"/>
      <w:lang w:val="en-US" w:eastAsia="zh-CN" w:bidi="ar-SA"/>
    </w:rPr>
  </w:style>
  <w:style w:type="character" w:customStyle="1" w:styleId="144">
    <w:name w:val="正文文本缩进 Char1"/>
    <w:qFormat/>
    <w:uiPriority w:val="0"/>
    <w:rPr>
      <w:rFonts w:ascii="Calibri" w:hAnsi="Calibri"/>
      <w:sz w:val="28"/>
    </w:rPr>
  </w:style>
  <w:style w:type="character" w:customStyle="1" w:styleId="145">
    <w:name w:val="No Spacing Char"/>
    <w:link w:val="146"/>
    <w:qFormat/>
    <w:uiPriority w:val="1"/>
    <w:rPr>
      <w:sz w:val="22"/>
      <w:szCs w:val="22"/>
      <w:lang w:val="en-US" w:eastAsia="zh-CN" w:bidi="ar-SA"/>
    </w:rPr>
  </w:style>
  <w:style w:type="paragraph" w:customStyle="1" w:styleId="146">
    <w:name w:val="无间隔1"/>
    <w:link w:val="145"/>
    <w:qFormat/>
    <w:uiPriority w:val="1"/>
    <w:rPr>
      <w:rFonts w:ascii="Times New Roman" w:hAnsi="Times New Roman" w:eastAsia="宋体" w:cs="Times New Roman"/>
      <w:sz w:val="22"/>
      <w:szCs w:val="22"/>
      <w:lang w:val="en-US" w:eastAsia="zh-CN" w:bidi="ar-SA"/>
    </w:rPr>
  </w:style>
  <w:style w:type="character" w:customStyle="1" w:styleId="147">
    <w:name w:val="样式7 Char"/>
    <w:qFormat/>
    <w:uiPriority w:val="0"/>
    <w:rPr>
      <w:rFonts w:ascii="仿宋_GB2312" w:hAnsi="仿宋" w:eastAsia="仿宋_GB2312"/>
      <w:b/>
      <w:kern w:val="2"/>
      <w:sz w:val="24"/>
      <w:szCs w:val="24"/>
    </w:rPr>
  </w:style>
  <w:style w:type="character" w:customStyle="1" w:styleId="148">
    <w:name w:val="font12gray1"/>
    <w:qFormat/>
    <w:uiPriority w:val="0"/>
    <w:rPr>
      <w:rFonts w:ascii="仿宋_GB2312" w:eastAsia="微软雅黑"/>
      <w:b/>
      <w:spacing w:val="300"/>
      <w:kern w:val="2"/>
      <w:sz w:val="18"/>
      <w:szCs w:val="18"/>
      <w:lang w:val="en-US" w:eastAsia="zh-CN" w:bidi="ar-SA"/>
    </w:rPr>
  </w:style>
  <w:style w:type="character" w:customStyle="1" w:styleId="149">
    <w:name w:val="Char Char7"/>
    <w:semiHidden/>
    <w:qFormat/>
    <w:uiPriority w:val="0"/>
    <w:rPr>
      <w:rFonts w:eastAsia="宋体"/>
      <w:kern w:val="2"/>
      <w:sz w:val="21"/>
      <w:szCs w:val="24"/>
      <w:lang w:val="en-US" w:eastAsia="zh-CN" w:bidi="ar-SA"/>
    </w:rPr>
  </w:style>
  <w:style w:type="character" w:customStyle="1" w:styleId="150">
    <w:name w:val="表名 Char"/>
    <w:qFormat/>
    <w:uiPriority w:val="0"/>
    <w:rPr>
      <w:rFonts w:eastAsia="宋体"/>
      <w:b/>
      <w:bCs/>
      <w:kern w:val="2"/>
      <w:sz w:val="24"/>
      <w:szCs w:val="24"/>
      <w:lang w:val="en-US" w:eastAsia="zh-CN" w:bidi="ar-SA"/>
    </w:rPr>
  </w:style>
  <w:style w:type="character" w:customStyle="1" w:styleId="151">
    <w:name w:val="Document Map Char"/>
    <w:qFormat/>
    <w:locked/>
    <w:uiPriority w:val="0"/>
    <w:rPr>
      <w:rFonts w:eastAsia="宋体"/>
      <w:kern w:val="2"/>
      <w:sz w:val="21"/>
      <w:szCs w:val="24"/>
      <w:lang w:val="en-US" w:eastAsia="zh-CN" w:bidi="ar-SA"/>
    </w:rPr>
  </w:style>
  <w:style w:type="character" w:customStyle="1" w:styleId="152">
    <w:name w:val="font41"/>
    <w:qFormat/>
    <w:uiPriority w:val="0"/>
    <w:rPr>
      <w:rFonts w:hint="eastAsia" w:ascii="仿宋_GB2312" w:eastAsia="仿宋_GB2312" w:cs="仿宋_GB2312"/>
      <w:color w:val="000000"/>
      <w:sz w:val="22"/>
      <w:szCs w:val="22"/>
      <w:u w:val="none"/>
    </w:rPr>
  </w:style>
  <w:style w:type="character" w:customStyle="1" w:styleId="153">
    <w:name w:val="标题 6 字符"/>
    <w:link w:val="7"/>
    <w:qFormat/>
    <w:uiPriority w:val="0"/>
    <w:rPr>
      <w:rFonts w:ascii="Arial" w:hAnsi="Arial" w:eastAsia="黑体"/>
      <w:b/>
      <w:bCs/>
      <w:kern w:val="2"/>
      <w:sz w:val="24"/>
      <w:szCs w:val="24"/>
    </w:rPr>
  </w:style>
  <w:style w:type="character" w:customStyle="1" w:styleId="154">
    <w:name w:val="纯文本 Char_0"/>
    <w:link w:val="155"/>
    <w:qFormat/>
    <w:uiPriority w:val="0"/>
    <w:rPr>
      <w:rFonts w:ascii="宋体" w:hAnsi="Courier New"/>
      <w:kern w:val="2"/>
      <w:sz w:val="21"/>
      <w:szCs w:val="21"/>
      <w:lang w:val="en-US" w:eastAsia="zh-CN"/>
    </w:rPr>
  </w:style>
  <w:style w:type="paragraph" w:customStyle="1" w:styleId="155">
    <w:name w:val="纯文本_0_0"/>
    <w:basedOn w:val="156"/>
    <w:link w:val="154"/>
    <w:qFormat/>
    <w:uiPriority w:val="0"/>
    <w:rPr>
      <w:rFonts w:ascii="宋体" w:hAnsi="Courier New"/>
      <w:szCs w:val="21"/>
    </w:rPr>
  </w:style>
  <w:style w:type="paragraph" w:customStyle="1" w:styleId="15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qFormat/>
    <w:locked/>
    <w:uiPriority w:val="0"/>
    <w:rPr>
      <w:rFonts w:eastAsia="宋体"/>
      <w:kern w:val="2"/>
      <w:sz w:val="18"/>
      <w:szCs w:val="18"/>
      <w:lang w:val="en-US" w:eastAsia="zh-CN" w:bidi="ar-SA"/>
    </w:rPr>
  </w:style>
  <w:style w:type="character" w:customStyle="1" w:styleId="158">
    <w:name w:val="正文 项目2 Char"/>
    <w:basedOn w:val="159"/>
    <w:qFormat/>
    <w:uiPriority w:val="0"/>
    <w:rPr>
      <w:rFonts w:ascii="仿宋_GB2312" w:hAnsi="仿宋_GB2312" w:eastAsia="仿宋_GB2312"/>
      <w:kern w:val="2"/>
      <w:sz w:val="24"/>
      <w:lang w:bidi="ar-SA"/>
    </w:rPr>
  </w:style>
  <w:style w:type="character" w:customStyle="1" w:styleId="159">
    <w:name w:val="正文 项目 Char"/>
    <w:qFormat/>
    <w:uiPriority w:val="0"/>
    <w:rPr>
      <w:rFonts w:ascii="仿宋_GB2312" w:hAnsi="仿宋_GB2312" w:eastAsia="仿宋_GB2312"/>
      <w:kern w:val="2"/>
      <w:sz w:val="24"/>
      <w:lang w:bidi="ar-SA"/>
    </w:rPr>
  </w:style>
  <w:style w:type="character" w:customStyle="1" w:styleId="160">
    <w:name w:val="h Char Char1"/>
    <w:qFormat/>
    <w:uiPriority w:val="0"/>
    <w:rPr>
      <w:rFonts w:eastAsia="宋体"/>
      <w:kern w:val="2"/>
      <w:sz w:val="18"/>
      <w:szCs w:val="18"/>
      <w:lang w:val="en-US" w:eastAsia="zh-CN" w:bidi="ar-SA"/>
    </w:rPr>
  </w:style>
  <w:style w:type="character" w:customStyle="1" w:styleId="161">
    <w:name w:val="Char Char27"/>
    <w:qFormat/>
    <w:uiPriority w:val="6"/>
    <w:rPr>
      <w:rFonts w:ascii="宋体" w:hAnsi="宋体" w:eastAsia="宋体"/>
      <w:color w:val="000000"/>
      <w:kern w:val="1"/>
      <w:sz w:val="28"/>
      <w:lang w:val="en-US" w:eastAsia="zh-CN" w:bidi="ar-SA"/>
    </w:rPr>
  </w:style>
  <w:style w:type="character" w:customStyle="1" w:styleId="162">
    <w:name w:val="px14"/>
    <w:qFormat/>
    <w:uiPriority w:val="0"/>
    <w:rPr>
      <w:rFonts w:ascii="仿宋_GB2312" w:eastAsia="微软雅黑" w:cs="Times New Roman"/>
      <w:b/>
      <w:kern w:val="2"/>
      <w:sz w:val="32"/>
      <w:szCs w:val="32"/>
      <w:lang w:val="en-US" w:eastAsia="zh-CN" w:bidi="ar-SA"/>
    </w:rPr>
  </w:style>
  <w:style w:type="character" w:customStyle="1" w:styleId="163">
    <w:name w:val="HTML 预设格式 Char1"/>
    <w:qFormat/>
    <w:uiPriority w:val="0"/>
    <w:rPr>
      <w:rFonts w:ascii="Courier New" w:hAnsi="Courier New" w:eastAsia="宋体" w:cs="Courier New"/>
      <w:sz w:val="20"/>
      <w:szCs w:val="20"/>
    </w:rPr>
  </w:style>
  <w:style w:type="character" w:customStyle="1" w:styleId="164">
    <w:name w:val="普通文字 Char1"/>
    <w:qFormat/>
    <w:uiPriority w:val="0"/>
    <w:rPr>
      <w:rFonts w:ascii="宋体" w:hAnsi="Courier New" w:eastAsia="宋体"/>
      <w:kern w:val="2"/>
      <w:sz w:val="21"/>
      <w:lang w:val="en-US" w:eastAsia="zh-CN"/>
    </w:rPr>
  </w:style>
  <w:style w:type="character" w:customStyle="1" w:styleId="165">
    <w:name w:val="hei16b1"/>
    <w:qFormat/>
    <w:uiPriority w:val="0"/>
    <w:rPr>
      <w:rFonts w:hint="default" w:ascii="Arial" w:hAnsi="Arial" w:cs="Arial"/>
      <w:b/>
      <w:bCs/>
      <w:color w:val="000000"/>
      <w:sz w:val="24"/>
      <w:szCs w:val="24"/>
    </w:rPr>
  </w:style>
  <w:style w:type="character" w:customStyle="1" w:styleId="166">
    <w:name w:val="正文（绿盟科技） Char"/>
    <w:link w:val="167"/>
    <w:qFormat/>
    <w:uiPriority w:val="0"/>
    <w:rPr>
      <w:rFonts w:ascii="Arial" w:hAnsi="Arial"/>
      <w:sz w:val="21"/>
      <w:szCs w:val="21"/>
    </w:rPr>
  </w:style>
  <w:style w:type="paragraph" w:customStyle="1" w:styleId="167">
    <w:name w:val="正文（绿盟科技）"/>
    <w:link w:val="166"/>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qFormat/>
    <w:uiPriority w:val="6"/>
    <w:rPr>
      <w:rFonts w:ascii="宋体" w:hAnsi="宋体"/>
      <w:i/>
      <w:sz w:val="24"/>
      <w:szCs w:val="24"/>
    </w:rPr>
  </w:style>
  <w:style w:type="character" w:customStyle="1" w:styleId="169">
    <w:name w:val="页脚 Char"/>
    <w:qFormat/>
    <w:uiPriority w:val="0"/>
    <w:rPr>
      <w:rFonts w:eastAsia="仿宋_GB2312"/>
      <w:kern w:val="2"/>
      <w:sz w:val="18"/>
      <w:lang w:val="en-US" w:eastAsia="zh-CN"/>
    </w:rPr>
  </w:style>
  <w:style w:type="character" w:customStyle="1" w:styleId="170">
    <w:name w:val="批注主题 Char"/>
    <w:qFormat/>
    <w:uiPriority w:val="0"/>
    <w:rPr>
      <w:rFonts w:eastAsia="宋体"/>
      <w:b/>
      <w:bCs/>
      <w:kern w:val="2"/>
      <w:sz w:val="21"/>
      <w:szCs w:val="24"/>
      <w:lang w:val="en-US" w:eastAsia="zh-CN" w:bidi="ar-SA"/>
    </w:rPr>
  </w:style>
  <w:style w:type="character" w:customStyle="1" w:styleId="171">
    <w:name w:val="Comment Text Char"/>
    <w:qFormat/>
    <w:locked/>
    <w:uiPriority w:val="0"/>
    <w:rPr>
      <w:rFonts w:ascii="宋体" w:hAnsi="宋体" w:eastAsia="宋体"/>
      <w:kern w:val="2"/>
      <w:sz w:val="24"/>
      <w:lang w:val="en-US" w:eastAsia="zh-CN" w:bidi="ar-SA"/>
    </w:rPr>
  </w:style>
  <w:style w:type="character" w:customStyle="1" w:styleId="172">
    <w:name w:val="标题 2 字符"/>
    <w:qFormat/>
    <w:uiPriority w:val="1"/>
    <w:rPr>
      <w:rFonts w:ascii="仿宋_GB2312" w:hAnsi="Times New Roman" w:eastAsia="仿宋_GB2312" w:cs="Times New Roman"/>
      <w:b/>
      <w:kern w:val="2"/>
      <w:sz w:val="24"/>
      <w:lang w:val="zh-CN"/>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3"/>
    <w:link w:val="176"/>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字符"/>
    <w:link w:val="38"/>
    <w:qFormat/>
    <w:uiPriority w:val="0"/>
    <w:rPr>
      <w:rFonts w:ascii="宋体"/>
      <w:kern w:val="2"/>
      <w:sz w:val="24"/>
      <w:szCs w:val="21"/>
      <w:lang w:val="zh-CN"/>
    </w:rPr>
  </w:style>
  <w:style w:type="character" w:customStyle="1" w:styleId="188">
    <w:name w:val="标题 9 字符"/>
    <w:link w:val="10"/>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字符1"/>
    <w:link w:val="41"/>
    <w:qFormat/>
    <w:uiPriority w:val="0"/>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sz w:val="24"/>
    </w:rPr>
  </w:style>
  <w:style w:type="character" w:customStyle="1" w:styleId="199">
    <w:name w:val="正文缩进 字符2"/>
    <w:link w:val="16"/>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0"/>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字符"/>
    <w:link w:val="19"/>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72"/>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字符"/>
    <w:link w:val="32"/>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5"/>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字符"/>
    <w:link w:val="17"/>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84"/>
    <w:qFormat/>
    <w:uiPriority w:val="0"/>
    <w:rPr>
      <w:rFonts w:ascii="仿宋_GB2312" w:eastAsia="仿宋_GB2312" w:cs="仿宋_GB2312"/>
      <w:color w:val="000000"/>
      <w:sz w:val="24"/>
      <w:szCs w:val="24"/>
      <w:lang w:val="en-US" w:eastAsia="zh-CN" w:bidi="ar-SA"/>
    </w:rPr>
  </w:style>
  <w:style w:type="paragraph" w:customStyle="1" w:styleId="24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2">
    <w:name w:val="style91"/>
    <w:qFormat/>
    <w:uiPriority w:val="0"/>
    <w:rPr>
      <w:color w:val="333333"/>
    </w:rPr>
  </w:style>
  <w:style w:type="character" w:customStyle="1" w:styleId="243">
    <w:name w:val="列出段落 Char2"/>
    <w:qFormat/>
    <w:uiPriority w:val="34"/>
    <w:rPr>
      <w:rFonts w:ascii="Calibri" w:hAnsi="Calibri"/>
      <w:kern w:val="2"/>
      <w:sz w:val="28"/>
    </w:rPr>
  </w:style>
  <w:style w:type="character" w:customStyle="1" w:styleId="244">
    <w:name w:val="mdeck"/>
    <w:qFormat/>
    <w:uiPriority w:val="0"/>
    <w:rPr>
      <w:rFonts w:ascii="仿宋_GB2312" w:eastAsia="微软雅黑"/>
      <w:b/>
      <w:kern w:val="2"/>
      <w:sz w:val="32"/>
      <w:szCs w:val="32"/>
      <w:lang w:val="en-US" w:eastAsia="zh-CN" w:bidi="ar-SA"/>
    </w:rPr>
  </w:style>
  <w:style w:type="character" w:customStyle="1" w:styleId="245">
    <w:name w:val="unnamed11"/>
    <w:qFormat/>
    <w:uiPriority w:val="0"/>
    <w:rPr>
      <w:sz w:val="20"/>
      <w:szCs w:val="20"/>
    </w:rPr>
  </w:style>
  <w:style w:type="character" w:customStyle="1" w:styleId="246">
    <w:name w:val="正文文本 Char2"/>
    <w:semiHidden/>
    <w:qFormat/>
    <w:uiPriority w:val="99"/>
    <w:rPr>
      <w:rFonts w:ascii="Times New Roman" w:hAnsi="Times New Roman" w:eastAsia="宋体" w:cs="Times New Roman"/>
      <w:snapToGrid w:val="0"/>
      <w:kern w:val="0"/>
      <w:szCs w:val="24"/>
    </w:rPr>
  </w:style>
  <w:style w:type="character" w:customStyle="1" w:styleId="247">
    <w:name w:val="标书正文格式 Char"/>
    <w:qFormat/>
    <w:uiPriority w:val="0"/>
    <w:rPr>
      <w:rFonts w:eastAsia="楷体_GB2312"/>
      <w:kern w:val="2"/>
      <w:sz w:val="24"/>
      <w:szCs w:val="24"/>
      <w:lang w:bidi="ar-SA"/>
    </w:rPr>
  </w:style>
  <w:style w:type="character" w:customStyle="1" w:styleId="248">
    <w:name w:val="Char Char11"/>
    <w:qFormat/>
    <w:locked/>
    <w:uiPriority w:val="0"/>
    <w:rPr>
      <w:rFonts w:ascii="宋体" w:hAnsi="宋体" w:eastAsia="宋体"/>
      <w:b/>
      <w:kern w:val="2"/>
      <w:sz w:val="24"/>
      <w:szCs w:val="24"/>
      <w:lang w:val="en-US" w:eastAsia="zh-CN" w:bidi="ar-SA"/>
    </w:rPr>
  </w:style>
  <w:style w:type="character" w:customStyle="1" w:styleId="249">
    <w:name w:val="ca-131"/>
    <w:qFormat/>
    <w:uiPriority w:val="0"/>
    <w:rPr>
      <w:rFonts w:hint="eastAsia" w:ascii="仿宋_GB2312" w:eastAsia="仿宋_GB2312"/>
      <w:b/>
      <w:bCs/>
      <w:color w:val="000000"/>
      <w:spacing w:val="-20"/>
      <w:sz w:val="24"/>
      <w:szCs w:val="24"/>
    </w:rPr>
  </w:style>
  <w:style w:type="character" w:customStyle="1" w:styleId="250">
    <w:name w:val="tw4winMark"/>
    <w:qFormat/>
    <w:uiPriority w:val="0"/>
    <w:rPr>
      <w:rFonts w:ascii="Courier New" w:hAnsi="Courier New" w:cs="Courier New"/>
      <w:vanish/>
      <w:color w:val="800080"/>
      <w:sz w:val="24"/>
      <w:szCs w:val="24"/>
      <w:vertAlign w:val="subscript"/>
    </w:rPr>
  </w:style>
  <w:style w:type="character" w:customStyle="1" w:styleId="251">
    <w:name w:val="正文样式 Char"/>
    <w:link w:val="252"/>
    <w:qFormat/>
    <w:uiPriority w:val="0"/>
    <w:rPr>
      <w:rFonts w:ascii="Calibri" w:hAnsi="Calibri"/>
      <w:sz w:val="24"/>
      <w:szCs w:val="24"/>
    </w:rPr>
  </w:style>
  <w:style w:type="paragraph" w:customStyle="1" w:styleId="252">
    <w:name w:val="正文样式"/>
    <w:basedOn w:val="1"/>
    <w:link w:val="251"/>
    <w:qFormat/>
    <w:uiPriority w:val="0"/>
    <w:pPr>
      <w:adjustRightInd/>
      <w:spacing w:line="360" w:lineRule="auto"/>
      <w:ind w:firstLine="480" w:firstLineChars="200"/>
    </w:pPr>
    <w:rPr>
      <w:kern w:val="0"/>
      <w:sz w:val="24"/>
    </w:rPr>
  </w:style>
  <w:style w:type="character" w:customStyle="1" w:styleId="253">
    <w:name w:val="表正文 Char3"/>
    <w:qFormat/>
    <w:uiPriority w:val="0"/>
    <w:rPr>
      <w:rFonts w:eastAsia="宋体"/>
    </w:rPr>
  </w:style>
  <w:style w:type="character" w:customStyle="1" w:styleId="254">
    <w:name w:val="H5 Char"/>
    <w:qFormat/>
    <w:uiPriority w:val="0"/>
    <w:rPr>
      <w:b/>
      <w:bCs/>
      <w:kern w:val="2"/>
      <w:sz w:val="28"/>
      <w:szCs w:val="28"/>
    </w:rPr>
  </w:style>
  <w:style w:type="character" w:customStyle="1" w:styleId="255">
    <w:name w:val="Char Char3"/>
    <w:qFormat/>
    <w:uiPriority w:val="0"/>
    <w:rPr>
      <w:rFonts w:eastAsia="宋体"/>
      <w:kern w:val="2"/>
      <w:sz w:val="21"/>
      <w:szCs w:val="24"/>
      <w:lang w:val="en-US" w:eastAsia="zh-CN" w:bidi="ar-SA"/>
    </w:rPr>
  </w:style>
  <w:style w:type="character" w:customStyle="1" w:styleId="256">
    <w:name w:val="正文 编号 Char"/>
    <w:qFormat/>
    <w:uiPriority w:val="0"/>
    <w:rPr>
      <w:rFonts w:ascii="仿宋_GB2312" w:hAnsi="仿宋_GB2312" w:eastAsia="仿宋_GB2312"/>
      <w:kern w:val="2"/>
      <w:sz w:val="24"/>
      <w:lang w:bidi="ar-SA"/>
    </w:rPr>
  </w:style>
  <w:style w:type="character" w:customStyle="1" w:styleId="257">
    <w:name w:val="question-title2"/>
    <w:qFormat/>
    <w:uiPriority w:val="6"/>
    <w:rPr>
      <w:rFonts w:ascii="Arial" w:hAnsi="Arial" w:eastAsia="黑体" w:cs="Arial"/>
      <w:snapToGrid w:val="0"/>
      <w:kern w:val="0"/>
      <w:szCs w:val="21"/>
    </w:rPr>
  </w:style>
  <w:style w:type="character" w:customStyle="1" w:styleId="258">
    <w:name w:val="gf正文1 Char Char"/>
    <w:link w:val="259"/>
    <w:qFormat/>
    <w:uiPriority w:val="0"/>
    <w:rPr>
      <w:rFonts w:ascii="宋体" w:hAnsi="宋体" w:cs="宋体"/>
      <w:kern w:val="2"/>
      <w:sz w:val="24"/>
      <w:szCs w:val="24"/>
    </w:rPr>
  </w:style>
  <w:style w:type="paragraph" w:customStyle="1" w:styleId="259">
    <w:name w:val="gf正文1"/>
    <w:basedOn w:val="1"/>
    <w:link w:val="258"/>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qFormat/>
    <w:uiPriority w:val="6"/>
    <w:rPr>
      <w:rFonts w:ascii="宋体" w:hAnsi="宋体"/>
      <w:kern w:val="1"/>
      <w:sz w:val="21"/>
    </w:rPr>
  </w:style>
  <w:style w:type="character" w:customStyle="1" w:styleId="261">
    <w:name w:val="正文缩进 Char3"/>
    <w:qFormat/>
    <w:uiPriority w:val="0"/>
    <w:rPr>
      <w:rFonts w:ascii="宋体" w:eastAsia="宋体"/>
      <w:snapToGrid w:val="0"/>
      <w:color w:val="000000"/>
      <w:kern w:val="28"/>
      <w:sz w:val="28"/>
      <w:lang w:val="en-US" w:eastAsia="zh-CN" w:bidi="ar-SA"/>
    </w:rPr>
  </w:style>
  <w:style w:type="character" w:customStyle="1" w:styleId="262">
    <w:name w:val="列出段落 Char1"/>
    <w:link w:val="263"/>
    <w:qFormat/>
    <w:uiPriority w:val="0"/>
    <w:rPr>
      <w:rFonts w:ascii="Calibri" w:hAnsi="Calibri"/>
      <w:sz w:val="24"/>
      <w:lang w:eastAsia="en-US"/>
    </w:rPr>
  </w:style>
  <w:style w:type="paragraph" w:customStyle="1" w:styleId="263">
    <w:name w:val="列表1"/>
    <w:basedOn w:val="1"/>
    <w:next w:val="87"/>
    <w:link w:val="262"/>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字符1"/>
    <w:link w:val="26"/>
    <w:qFormat/>
    <w:uiPriority w:val="0"/>
    <w:rPr>
      <w:rFonts w:ascii="宋体" w:hAnsi="宋体"/>
      <w:kern w:val="2"/>
      <w:sz w:val="24"/>
      <w:szCs w:val="24"/>
    </w:rPr>
  </w:style>
  <w:style w:type="character" w:customStyle="1" w:styleId="271">
    <w:name w:val="font01"/>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spacing w:line="360" w:lineRule="auto"/>
      <w:ind w:firstLine="200" w:firstLineChars="200"/>
    </w:pPr>
    <w:rPr>
      <w:sz w:val="24"/>
    </w:r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标题 1 字符1"/>
    <w:link w:val="2"/>
    <w:qFormat/>
    <w:uiPriority w:val="9"/>
    <w:rPr>
      <w:b/>
      <w:bCs/>
      <w:kern w:val="44"/>
      <w:sz w:val="44"/>
      <w:szCs w:val="44"/>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字符"/>
    <w:link w:val="61"/>
    <w:qFormat/>
    <w:uiPriority w:val="10"/>
    <w:rPr>
      <w:b/>
      <w:sz w:val="24"/>
      <w:lang w:val="en-GB"/>
    </w:rPr>
  </w:style>
  <w:style w:type="character" w:customStyle="1" w:styleId="292">
    <w:name w:val="font81"/>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字符"/>
    <w:link w:val="6"/>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字符"/>
    <w:link w:val="21"/>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正文缩进 字符"/>
    <w:qFormat/>
    <w:uiPriority w:val="0"/>
    <w:rPr>
      <w:rFonts w:ascii="宋体" w:eastAsia="宋体"/>
      <w:snapToGrid w:val="0"/>
      <w:color w:val="000000"/>
      <w:kern w:val="28"/>
      <w:sz w:val="28"/>
      <w:lang w:val="en-US" w:eastAsia="zh-CN" w:bidi="ar-SA"/>
    </w:rPr>
  </w:style>
  <w:style w:type="character" w:customStyle="1" w:styleId="306">
    <w:name w:val="HTML 预设格式 字符"/>
    <w:link w:val="59"/>
    <w:qFormat/>
    <w:uiPriority w:val="0"/>
    <w:rPr>
      <w:rFonts w:ascii="黑体" w:hAnsi="Courier New" w:eastAsia="黑体"/>
    </w:rPr>
  </w:style>
  <w:style w:type="character" w:customStyle="1" w:styleId="307">
    <w:name w:val="正文文本 2 字符1"/>
    <w:link w:val="58"/>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5"/>
    <w:link w:val="4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标题 7 字符"/>
    <w:link w:val="8"/>
    <w:qFormat/>
    <w:uiPriority w:val="0"/>
    <w:rPr>
      <w:b/>
      <w:bCs/>
      <w:kern w:val="2"/>
      <w:sz w:val="24"/>
      <w:szCs w:val="24"/>
    </w:rPr>
  </w:style>
  <w:style w:type="character" w:customStyle="1" w:styleId="313">
    <w:name w:val="正文文本缩进 2 字符"/>
    <w:link w:val="39"/>
    <w:qFormat/>
    <w:uiPriority w:val="0"/>
    <w:rPr>
      <w:rFonts w:ascii="宋体"/>
      <w:sz w:val="28"/>
    </w:rPr>
  </w:style>
  <w:style w:type="character" w:customStyle="1" w:styleId="314">
    <w:name w:val="Char Char5"/>
    <w:qFormat/>
    <w:uiPriority w:val="0"/>
    <w:rPr>
      <w:rFonts w:ascii="宋体" w:hAnsi="Courier New" w:eastAsia="宋体"/>
      <w:kern w:val="2"/>
      <w:sz w:val="21"/>
      <w:lang w:val="en-US" w:eastAsia="zh-CN"/>
    </w:rPr>
  </w:style>
  <w:style w:type="character" w:customStyle="1" w:styleId="315">
    <w:name w:val="脚注文本 字符"/>
    <w:link w:val="53"/>
    <w:qFormat/>
    <w:uiPriority w:val="0"/>
    <w:rPr>
      <w:color w:val="0000FF"/>
      <w:sz w:val="21"/>
    </w:rPr>
  </w:style>
  <w:style w:type="character" w:customStyle="1" w:styleId="316">
    <w:name w:val="称呼 Char1"/>
    <w:qFormat/>
    <w:uiPriority w:val="0"/>
    <w:rPr>
      <w:rFonts w:ascii="Times New Roman" w:hAnsi="Times New Roman" w:eastAsia="宋体" w:cs="Times New Roman"/>
      <w:szCs w:val="24"/>
    </w:rPr>
  </w:style>
  <w:style w:type="character" w:customStyle="1" w:styleId="317">
    <w:name w:val="正文1 Char"/>
    <w:qFormat/>
    <w:uiPriority w:val="0"/>
    <w:rPr>
      <w:rFonts w:ascii="宋体" w:eastAsia="宋体"/>
      <w:snapToGrid w:val="0"/>
      <w:color w:val="000000"/>
      <w:kern w:val="28"/>
      <w:sz w:val="28"/>
      <w:lang w:val="en-US" w:eastAsia="zh-CN" w:bidi="ar-SA"/>
    </w:rPr>
  </w:style>
  <w:style w:type="character" w:customStyle="1" w:styleId="318">
    <w:name w:val="正文缩进 Char1"/>
    <w:qFormat/>
    <w:uiPriority w:val="0"/>
    <w:rPr>
      <w:rFonts w:ascii="宋体" w:eastAsia="宋体"/>
      <w:snapToGrid w:val="0"/>
      <w:color w:val="000000"/>
      <w:kern w:val="28"/>
      <w:sz w:val="28"/>
      <w:lang w:val="en-US" w:eastAsia="zh-CN" w:bidi="ar-SA"/>
    </w:rPr>
  </w:style>
  <w:style w:type="character" w:customStyle="1" w:styleId="319">
    <w:name w:val="font21"/>
    <w:qFormat/>
    <w:uiPriority w:val="0"/>
    <w:rPr>
      <w:rFonts w:hint="eastAsia" w:ascii="宋体" w:hAnsi="宋体" w:eastAsia="宋体"/>
      <w:kern w:val="2"/>
      <w:sz w:val="28"/>
      <w:szCs w:val="28"/>
      <w:lang w:val="en-US" w:eastAsia="zh-CN" w:bidi="ar-SA"/>
    </w:rPr>
  </w:style>
  <w:style w:type="character" w:customStyle="1" w:styleId="320">
    <w:name w:val="Char Char26"/>
    <w:qFormat/>
    <w:uiPriority w:val="6"/>
    <w:rPr>
      <w:kern w:val="1"/>
      <w:sz w:val="21"/>
      <w:szCs w:val="24"/>
    </w:rPr>
  </w:style>
  <w:style w:type="character" w:customStyle="1" w:styleId="321">
    <w:name w:val="Item List Char"/>
    <w:link w:val="322"/>
    <w:qFormat/>
    <w:uiPriority w:val="0"/>
    <w:rPr>
      <w:rFonts w:ascii="Arial"/>
      <w:bCs/>
      <w:sz w:val="21"/>
      <w:szCs w:val="21"/>
      <w:lang w:val="en-US" w:eastAsia="zh-CN" w:bidi="ar-SA"/>
    </w:rPr>
  </w:style>
  <w:style w:type="paragraph" w:customStyle="1" w:styleId="322">
    <w:name w:val="Item List"/>
    <w:link w:val="32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qFormat/>
    <w:uiPriority w:val="0"/>
    <w:pPr>
      <w:adjustRightInd/>
    </w:pPr>
    <w:rPr>
      <w:rFonts w:ascii="宋体" w:hAnsi="Courier New"/>
      <w:kern w:val="0"/>
      <w:sz w:val="20"/>
      <w:szCs w:val="20"/>
    </w:rPr>
  </w:style>
  <w:style w:type="character" w:customStyle="1" w:styleId="326">
    <w:name w:val="正文文本首行缩进 字符"/>
    <w:link w:val="63"/>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字符1"/>
    <w:link w:val="5"/>
    <w:qFormat/>
    <w:uiPriority w:val="9"/>
    <w:rPr>
      <w:rFonts w:ascii="Arial" w:hAnsi="Arial" w:eastAsia="黑体"/>
      <w:b/>
      <w:bCs/>
      <w:kern w:val="2"/>
      <w:sz w:val="28"/>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字符"/>
    <w:link w:val="22"/>
    <w:qFormat/>
    <w:uiPriority w:val="0"/>
    <w:rPr>
      <w:kern w:val="2"/>
      <w:sz w:val="21"/>
    </w:rPr>
  </w:style>
  <w:style w:type="character" w:customStyle="1" w:styleId="336">
    <w:name w:val="font31"/>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spacing w:line="360" w:lineRule="auto"/>
    </w:pPr>
    <w:rPr>
      <w:kern w:val="0"/>
      <w:sz w:val="24"/>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sz w:val="24"/>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字符1"/>
    <w:link w:val="20"/>
    <w:qFormat/>
    <w:uiPriority w:val="0"/>
    <w:rPr>
      <w:kern w:val="2"/>
      <w:sz w:val="21"/>
      <w:szCs w:val="24"/>
    </w:rPr>
  </w:style>
  <w:style w:type="character" w:customStyle="1" w:styleId="350">
    <w:name w:val="签名 字符"/>
    <w:link w:val="45"/>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标题 4 字符"/>
    <w:qFormat/>
    <w:uiPriority w:val="9"/>
    <w:rPr>
      <w:rFonts w:ascii="等线 Light" w:hAnsi="等线 Light" w:eastAsia="等线 Light" w:cs="Times New Roman"/>
      <w:b/>
      <w:bCs/>
      <w:snapToGrid w:val="0"/>
      <w:kern w:val="0"/>
      <w:sz w:val="28"/>
      <w:szCs w:val="28"/>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字符"/>
    <w:link w:val="9"/>
    <w:qFormat/>
    <w:uiPriority w:val="0"/>
    <w:rPr>
      <w:rFonts w:ascii="Arial" w:hAnsi="Arial" w:eastAsia="黑体"/>
      <w:kern w:val="2"/>
      <w:sz w:val="24"/>
      <w:szCs w:val="24"/>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正文文本缩进 3 字符"/>
    <w:link w:val="56"/>
    <w:qFormat/>
    <w:uiPriority w:val="0"/>
    <w:rPr>
      <w:kern w:val="2"/>
      <w:sz w:val="24"/>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页脚 字符2"/>
    <w:link w:val="42"/>
    <w:qFormat/>
    <w:locked/>
    <w:uiPriority w:val="99"/>
    <w:rPr>
      <w:kern w:val="2"/>
      <w:sz w:val="18"/>
      <w:szCs w:val="18"/>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页眉 字符2"/>
    <w:link w:val="44"/>
    <w:qFormat/>
    <w:uiPriority w:val="99"/>
    <w:rPr>
      <w:kern w:val="2"/>
      <w:sz w:val="18"/>
      <w:szCs w:val="18"/>
    </w:rPr>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napToGrid w:val="0"/>
      <w:spacing w:afterLines="50"/>
      <w:ind w:firstLine="200" w:firstLineChars="200"/>
    </w:pPr>
    <w:rPr>
      <w:kern w:val="0"/>
      <w:sz w:val="24"/>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spacing w:line="360" w:lineRule="auto"/>
      <w:ind w:firstLine="480" w:firstLineChars="200"/>
    </w:pPr>
    <w:rPr>
      <w:rFonts w:ascii="宋体" w:hAnsi="宋体"/>
      <w:sz w:val="24"/>
      <w:szCs w:val="22"/>
    </w:rPr>
  </w:style>
  <w:style w:type="character" w:customStyle="1" w:styleId="407">
    <w:name w:val="批注文字 字符"/>
    <w:qFormat/>
    <w:uiPriority w:val="0"/>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72"/>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16"/>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6">
    <w:name w:val="gray6"/>
    <w:basedOn w:val="72"/>
    <w:qFormat/>
    <w:uiPriority w:val="0"/>
    <w:rPr>
      <w:rFonts w:ascii="Arial" w:hAnsi="Arial" w:eastAsia="黑体" w:cs="Arial"/>
      <w:snapToGrid w:val="0"/>
      <w:kern w:val="0"/>
      <w:szCs w:val="21"/>
    </w:rPr>
  </w:style>
  <w:style w:type="character" w:customStyle="1" w:styleId="437">
    <w:name w:val="hui"/>
    <w:basedOn w:val="72"/>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5"/>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line="360" w:lineRule="auto"/>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firstLineChars="200"/>
    </w:pPr>
    <w:rPr>
      <w:rFonts w:ascii="Tahoma" w:hAnsi="Tahoma"/>
      <w:sz w:val="24"/>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qFormat/>
    <w:uiPriority w:val="0"/>
    <w:pPr>
      <w:tabs>
        <w:tab w:val="left" w:pos="360"/>
      </w:tabs>
    </w:pPr>
    <w:rPr>
      <w:sz w:val="24"/>
      <w:szCs w:val="20"/>
    </w:rPr>
  </w:style>
  <w:style w:type="paragraph" w:customStyle="1" w:styleId="461">
    <w:name w:val="Char Char11 Char Char Char"/>
    <w:basedOn w:val="1"/>
    <w:qFormat/>
    <w:uiPriority w:val="0"/>
    <w:pPr>
      <w:spacing w:line="360" w:lineRule="auto"/>
    </w:pPr>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qFormat/>
    <w:uiPriority w:val="0"/>
    <w:pPr>
      <w:tabs>
        <w:tab w:val="left" w:pos="2790"/>
        <w:tab w:val="left" w:pos="4230"/>
      </w:tabs>
      <w:spacing w:beforeLines="100"/>
      <w:jc w:val="left"/>
    </w:pPr>
  </w:style>
  <w:style w:type="paragraph" w:customStyle="1" w:styleId="46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0"/>
    <w:pPr>
      <w:tabs>
        <w:tab w:val="left" w:pos="840"/>
      </w:tabs>
      <w:ind w:left="840" w:hanging="420"/>
    </w:pPr>
    <w:rPr>
      <w:rFonts w:ascii="Tahoma" w:hAnsi="Tahoma"/>
      <w:sz w:val="24"/>
    </w:rPr>
  </w:style>
  <w:style w:type="paragraph" w:customStyle="1" w:styleId="46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line="360" w:lineRule="auto"/>
      <w:ind w:firstLine="510" w:firstLineChars="200"/>
    </w:pPr>
    <w:rPr>
      <w:sz w:val="24"/>
      <w:szCs w:val="20"/>
    </w:rPr>
  </w:style>
  <w:style w:type="paragraph" w:customStyle="1" w:styleId="47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outlineLvl w:val="5"/>
    </w:pPr>
  </w:style>
  <w:style w:type="paragraph" w:customStyle="1" w:styleId="479">
    <w:name w:val="5级标题"/>
    <w:basedOn w:val="480"/>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0">
    <w:name w:val="4级标题"/>
    <w:basedOn w:val="8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qFormat/>
    <w:uiPriority w:val="0"/>
    <w:pPr>
      <w:adjustRightInd/>
      <w:ind w:left="420" w:leftChars="200"/>
      <w:jc w:val="left"/>
    </w:pPr>
    <w:rPr>
      <w:sz w:val="28"/>
      <w:szCs w:val="20"/>
      <w:lang w:eastAsia="zh-TW"/>
    </w:rPr>
  </w:style>
  <w:style w:type="paragraph" w:customStyle="1" w:styleId="482">
    <w:name w:val="Char2 Char Char"/>
    <w:basedOn w:val="1"/>
    <w:qFormat/>
    <w:uiPriority w:val="0"/>
    <w:pPr>
      <w:adjustRightInd/>
    </w:pPr>
    <w:rPr>
      <w:rFonts w:ascii="Tahoma" w:hAnsi="Tahoma"/>
      <w:sz w:val="24"/>
      <w:szCs w:val="20"/>
    </w:rPr>
  </w:style>
  <w:style w:type="paragraph" w:customStyle="1" w:styleId="483">
    <w:name w:val="_Style 11"/>
    <w:basedOn w:val="1"/>
    <w:qFormat/>
    <w:uiPriority w:val="34"/>
    <w:pPr>
      <w:adjustRightInd/>
      <w:ind w:firstLine="420" w:firstLineChars="200"/>
    </w:pPr>
    <w:rPr>
      <w:rFonts w:eastAsia="仿宋_GB2312"/>
      <w:sz w:val="28"/>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qFormat/>
    <w:uiPriority w:val="0"/>
    <w:rPr>
      <w:rFonts w:ascii="Tahoma" w:hAnsi="Tahoma"/>
      <w:sz w:val="24"/>
      <w:szCs w:val="20"/>
    </w:rPr>
  </w:style>
  <w:style w:type="paragraph" w:customStyle="1" w:styleId="486">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936"/>
    <w:qFormat/>
    <w:uiPriority w:val="99"/>
    <w:rPr>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3"/>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4"/>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6"/>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37"/>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4"/>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next w:val="1"/>
    <w:qFormat/>
    <w:uiPriority w:val="0"/>
    <w:pPr>
      <w:adjustRightInd/>
      <w:ind w:firstLine="420" w:firstLineChars="200"/>
    </w:pPr>
    <w:rPr>
      <w:rFonts w:eastAsia="仿宋_GB2312"/>
      <w:sz w:val="28"/>
    </w:rPr>
  </w:style>
  <w:style w:type="paragraph" w:customStyle="1" w:styleId="52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 w:val="24"/>
      <w:szCs w:val="20"/>
    </w:rPr>
  </w:style>
  <w:style w:type="paragraph" w:customStyle="1" w:styleId="53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5"/>
    <w:qFormat/>
    <w:uiPriority w:val="0"/>
    <w:pPr>
      <w:widowControl/>
      <w:jc w:val="left"/>
    </w:pPr>
    <w:rPr>
      <w:rFonts w:cs="宋体"/>
      <w:sz w:val="24"/>
      <w:szCs w:val="20"/>
    </w:rPr>
  </w:style>
  <w:style w:type="paragraph" w:customStyle="1" w:styleId="540">
    <w:name w:val="彩色列表 - 强调文字颜色 11"/>
    <w:basedOn w:val="1"/>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Lines="50"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84"/>
    <w:next w:val="84"/>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84"/>
    <w:next w:val="84"/>
    <w:qFormat/>
    <w:uiPriority w:val="0"/>
    <w:rPr>
      <w:rFonts w:ascii="宋体" w:eastAsia="宋体" w:cs="Times New Roman"/>
      <w:color w:val="auto"/>
    </w:rPr>
  </w:style>
  <w:style w:type="paragraph" w:customStyle="1" w:styleId="55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Char"/>
    <w:basedOn w:val="1"/>
    <w:qFormat/>
    <w:uiPriority w:val="0"/>
    <w:rPr>
      <w:rFonts w:ascii="仿宋_GB2312" w:eastAsia="仿宋_GB2312"/>
      <w:b/>
      <w:sz w:val="32"/>
      <w:szCs w:val="32"/>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9">
    <w:name w:val="_正文段落"/>
    <w:basedOn w:val="1"/>
    <w:qFormat/>
    <w:uiPriority w:val="0"/>
    <w:pPr>
      <w:adjustRightInd/>
      <w:ind w:firstLine="560"/>
    </w:pPr>
    <w:rPr>
      <w:rFonts w:ascii="仿宋_GB2312" w:hAnsi="仿宋" w:eastAsia="仿宋_GB2312"/>
      <w:kern w:val="0"/>
      <w:sz w:val="28"/>
      <w:szCs w:val="28"/>
    </w:rPr>
  </w:style>
  <w:style w:type="paragraph" w:customStyle="1" w:styleId="58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qFormat/>
    <w:uiPriority w:val="0"/>
    <w:rPr>
      <w:szCs w:val="20"/>
    </w:rPr>
  </w:style>
  <w:style w:type="paragraph" w:customStyle="1" w:styleId="58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qFormat/>
    <w:uiPriority w:val="0"/>
    <w:rPr>
      <w:rFonts w:ascii="Tahoma" w:hAnsi="Tahoma"/>
      <w:sz w:val="24"/>
      <w:szCs w:val="20"/>
    </w:rPr>
  </w:style>
  <w:style w:type="paragraph" w:customStyle="1" w:styleId="589">
    <w:name w:val="标题五"/>
    <w:basedOn w:val="1"/>
    <w:qFormat/>
    <w:uiPriority w:val="0"/>
    <w:pPr>
      <w:adjustRightInd/>
      <w:spacing w:beforeLines="50" w:line="360" w:lineRule="auto"/>
    </w:pPr>
    <w:rPr>
      <w:b/>
      <w:sz w:val="24"/>
    </w:rPr>
  </w:style>
  <w:style w:type="paragraph" w:customStyle="1" w:styleId="590">
    <w:name w:val="Char Char1101"/>
    <w:basedOn w:val="1"/>
    <w:qFormat/>
    <w:uiPriority w:val="0"/>
    <w:pPr>
      <w:spacing w:line="360" w:lineRule="auto"/>
    </w:pPr>
    <w:rPr>
      <w:rFonts w:ascii="Tahoma" w:hAnsi="Tahoma"/>
      <w:sz w:val="24"/>
      <w:szCs w:val="20"/>
    </w:rPr>
  </w:style>
  <w:style w:type="paragraph" w:customStyle="1" w:styleId="591">
    <w:name w:val="Char Char Char Char Char Char Char Char1"/>
    <w:basedOn w:val="1"/>
    <w:qFormat/>
    <w:uiPriority w:val="0"/>
    <w:pPr>
      <w:tabs>
        <w:tab w:val="left" w:pos="360"/>
      </w:tabs>
    </w:pPr>
    <w:rPr>
      <w:sz w:val="24"/>
      <w:szCs w:val="20"/>
    </w:rPr>
  </w:style>
  <w:style w:type="paragraph" w:customStyle="1" w:styleId="592">
    <w:name w:val="Char Char Char 字元 字元"/>
    <w:basedOn w:val="1"/>
    <w:qFormat/>
    <w:uiPriority w:val="0"/>
    <w:pPr>
      <w:adjustRightInd/>
      <w:spacing w:line="360" w:lineRule="auto"/>
      <w:ind w:firstLine="200" w:firstLineChars="200"/>
    </w:pPr>
    <w:rPr>
      <w:szCs w:val="20"/>
    </w:rPr>
  </w:style>
  <w:style w:type="paragraph" w:customStyle="1" w:styleId="59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qFormat/>
    <w:uiPriority w:val="0"/>
    <w:rPr>
      <w:rFonts w:ascii="仿宋_GB2312" w:eastAsia="仿宋_GB2312"/>
      <w:b/>
      <w:sz w:val="32"/>
      <w:szCs w:val="32"/>
    </w:rPr>
  </w:style>
  <w:style w:type="paragraph" w:customStyle="1" w:styleId="59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qFormat/>
    <w:uiPriority w:val="0"/>
    <w:pPr>
      <w:adjustRightInd/>
    </w:pPr>
    <w:rPr>
      <w:sz w:val="18"/>
      <w:szCs w:val="20"/>
    </w:rPr>
  </w:style>
  <w:style w:type="paragraph" w:customStyle="1" w:styleId="60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qFormat/>
    <w:uiPriority w:val="99"/>
    <w:pPr>
      <w:adjustRightInd/>
      <w:spacing w:line="360" w:lineRule="auto"/>
    </w:pPr>
    <w:rPr>
      <w:rFonts w:ascii="仿宋_GB2312" w:eastAsia="仿宋_GB2312"/>
      <w:sz w:val="24"/>
      <w:szCs w:val="20"/>
    </w:rPr>
  </w:style>
  <w:style w:type="paragraph" w:customStyle="1" w:styleId="60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正文文字表格居中"/>
    <w:basedOn w:val="1"/>
    <w:next w:val="58"/>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0">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3"/>
    <w:next w:val="1"/>
    <w:qFormat/>
    <w:uiPriority w:val="0"/>
    <w:pPr>
      <w:tabs>
        <w:tab w:val="left" w:pos="578"/>
        <w:tab w:val="left" w:pos="900"/>
        <w:tab w:val="left" w:pos="1440"/>
      </w:tabs>
      <w:ind w:left="1440" w:hanging="360"/>
    </w:pPr>
    <w:rPr>
      <w:rFonts w:ascii="仿宋" w:eastAsia="仿宋" w:cs="宋体"/>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2"/>
    <w:qFormat/>
    <w:uiPriority w:val="0"/>
    <w:pPr>
      <w:tabs>
        <w:tab w:val="left" w:pos="840"/>
      </w:tabs>
      <w:adjustRightInd/>
      <w:ind w:left="840" w:hanging="420"/>
    </w:pPr>
  </w:style>
  <w:style w:type="paragraph" w:customStyle="1" w:styleId="63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Lines="0" w:afterLines="0"/>
      <w:ind w:left="1680"/>
      <w:outlineLvl w:val="2"/>
    </w:pPr>
  </w:style>
  <w:style w:type="paragraph" w:customStyle="1" w:styleId="662">
    <w:name w:val="章标题"/>
    <w:next w:val="644"/>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5"/>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Lines="50" w:afterLines="50"/>
      <w:ind w:left="432" w:hanging="432" w:firstLineChars="200"/>
    </w:pPr>
    <w:rPr>
      <w:sz w:val="24"/>
    </w:r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6"/>
    <w:pPr>
      <w:spacing w:line="360" w:lineRule="auto"/>
    </w:pPr>
    <w:rPr>
      <w:szCs w:val="20"/>
    </w:rPr>
  </w:style>
  <w:style w:type="paragraph" w:customStyle="1" w:styleId="69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0"/>
    <w:pPr>
      <w:adjustRightInd/>
      <w:spacing w:line="360" w:lineRule="auto"/>
      <w:jc w:val="center"/>
    </w:pPr>
    <w:rPr>
      <w:sz w:val="24"/>
    </w:rPr>
  </w:style>
  <w:style w:type="paragraph" w:customStyle="1" w:styleId="704">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9"/>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4"/>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 w:val="24"/>
      <w:szCs w:val="20"/>
    </w:rPr>
  </w:style>
  <w:style w:type="paragraph" w:customStyle="1" w:styleId="74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qFormat/>
    <w:uiPriority w:val="0"/>
    <w:pPr>
      <w:spacing w:line="360" w:lineRule="auto"/>
      <w:ind w:firstLine="200" w:firstLineChars="200"/>
    </w:pPr>
    <w:rPr>
      <w:sz w:val="24"/>
    </w:rPr>
  </w:style>
  <w:style w:type="paragraph" w:customStyle="1" w:styleId="7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0"/>
    <w:pPr>
      <w:adjustRightInd/>
      <w:ind w:firstLine="200" w:firstLineChars="200"/>
    </w:pPr>
    <w:rPr>
      <w:rFonts w:ascii="Tahoma" w:hAnsi="Tahoma"/>
      <w:sz w:val="24"/>
      <w:szCs w:val="20"/>
    </w:rPr>
  </w:style>
  <w:style w:type="paragraph" w:customStyle="1" w:styleId="750">
    <w:name w:val="_标题2"/>
    <w:basedOn w:val="717"/>
    <w:next w:val="717"/>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0"/>
    <w:pPr>
      <w:adjustRightInd/>
      <w:spacing w:line="360" w:lineRule="auto"/>
    </w:pPr>
    <w:rPr>
      <w:rFonts w:ascii="宋体" w:hAnsi="宋体"/>
      <w:szCs w:val="20"/>
    </w:rPr>
  </w:style>
  <w:style w:type="paragraph" w:customStyle="1" w:styleId="7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0"/>
    <w:pPr>
      <w:adjustRightInd/>
    </w:pPr>
    <w:rPr>
      <w:rFonts w:ascii="Tahoma" w:hAnsi="Tahoma"/>
      <w:sz w:val="24"/>
    </w:rPr>
  </w:style>
  <w:style w:type="paragraph" w:customStyle="1" w:styleId="758">
    <w:name w:val="Char Char Char Char11"/>
    <w:basedOn w:val="1"/>
    <w:qFormat/>
    <w:uiPriority w:val="0"/>
    <w:rPr>
      <w:rFonts w:ascii="Tahoma" w:hAnsi="Tahoma"/>
      <w:sz w:val="24"/>
      <w:szCs w:val="20"/>
    </w:rPr>
  </w:style>
  <w:style w:type="paragraph" w:customStyle="1" w:styleId="75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 w:val="24"/>
      <w:szCs w:val="20"/>
    </w:rPr>
  </w:style>
  <w:style w:type="paragraph" w:customStyle="1" w:styleId="761">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34"/>
    <w:pPr>
      <w:adjustRightInd/>
      <w:ind w:firstLine="420" w:firstLineChars="20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 w:val="24"/>
      <w:szCs w:val="20"/>
    </w:rPr>
  </w:style>
  <w:style w:type="paragraph" w:customStyle="1" w:styleId="78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4"/>
    <w:next w:val="56"/>
    <w:qFormat/>
    <w:uiPriority w:val="0"/>
    <w:pPr>
      <w:tabs>
        <w:tab w:val="clear" w:pos="900"/>
      </w:tabs>
      <w:spacing w:after="0" w:line="360" w:lineRule="auto"/>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firstLineChars="200"/>
    </w:pPr>
    <w:rPr>
      <w:rFonts w:ascii="Tahoma" w:hAnsi="Tahoma"/>
      <w:sz w:val="24"/>
      <w:szCs w:val="20"/>
    </w:rPr>
  </w:style>
  <w:style w:type="paragraph" w:customStyle="1" w:styleId="79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4"/>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59"/>
    <w:next w:val="644"/>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28"/>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qFormat/>
    <w:uiPriority w:val="0"/>
    <w:rPr>
      <w:rFonts w:ascii="仿宋_GB2312" w:eastAsia="仿宋_GB2312"/>
      <w:b/>
      <w:sz w:val="32"/>
      <w:szCs w:val="20"/>
    </w:rPr>
  </w:style>
  <w:style w:type="paragraph" w:customStyle="1" w:styleId="8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qFormat/>
    <w:uiPriority w:val="0"/>
    <w:rPr>
      <w:rFonts w:ascii="仿宋_GB2312" w:eastAsia="仿宋_GB2312"/>
      <w:b/>
      <w:sz w:val="32"/>
      <w:szCs w:val="20"/>
    </w:rPr>
  </w:style>
  <w:style w:type="paragraph" w:customStyle="1" w:styleId="8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qFormat/>
    <w:uiPriority w:val="0"/>
    <w:pPr>
      <w:widowControl/>
      <w:spacing w:after="160" w:line="240" w:lineRule="exact"/>
      <w:jc w:val="left"/>
    </w:pPr>
    <w:rPr>
      <w:rFonts w:eastAsia="仿宋_GB2312"/>
      <w:sz w:val="28"/>
    </w:rPr>
  </w:style>
  <w:style w:type="paragraph" w:customStyle="1" w:styleId="865">
    <w:name w:val="Char21"/>
    <w:basedOn w:val="1"/>
    <w:qFormat/>
    <w:uiPriority w:val="0"/>
    <w:pPr>
      <w:adjustRightInd/>
      <w:ind w:firstLine="200" w:firstLineChars="200"/>
    </w:pPr>
    <w:rPr>
      <w:rFonts w:ascii="仿宋_GB2312" w:eastAsia="仿宋_GB2312"/>
      <w:b/>
      <w:sz w:val="32"/>
      <w:szCs w:val="32"/>
    </w:rPr>
  </w:style>
  <w:style w:type="paragraph" w:customStyle="1" w:styleId="866">
    <w:name w:val="列表段落1"/>
    <w:basedOn w:val="1"/>
    <w:qFormat/>
    <w:uiPriority w:val="34"/>
    <w:pPr>
      <w:adjustRightInd/>
      <w:ind w:right="238" w:firstLine="420"/>
    </w:pPr>
    <w:rPr>
      <w:rFonts w:ascii="Calibri" w:hAnsi="Calibri"/>
      <w:sz w:val="24"/>
    </w:rPr>
  </w:style>
  <w:style w:type="paragraph" w:customStyle="1" w:styleId="867">
    <w:name w:val="Char Char110"/>
    <w:basedOn w:val="1"/>
    <w:qFormat/>
    <w:uiPriority w:val="6"/>
    <w:pPr>
      <w:spacing w:line="360" w:lineRule="auto"/>
    </w:pPr>
    <w:rPr>
      <w:rFonts w:ascii="Tahoma" w:hAnsi="Tahoma"/>
      <w:sz w:val="24"/>
      <w:szCs w:val="20"/>
    </w:rPr>
  </w:style>
  <w:style w:type="paragraph" w:customStyle="1" w:styleId="86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qFormat/>
    <w:uiPriority w:val="0"/>
    <w:rPr>
      <w:rFonts w:ascii="Tahoma" w:hAnsi="Tahoma" w:cs="仿宋_GB2312"/>
      <w:sz w:val="24"/>
      <w:szCs w:val="20"/>
    </w:rPr>
  </w:style>
  <w:style w:type="paragraph" w:customStyle="1" w:styleId="87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7">
    <w:name w:val="_Style 12"/>
    <w:basedOn w:val="19"/>
    <w:qFormat/>
    <w:uiPriority w:val="0"/>
    <w:pPr>
      <w:snapToGrid w:val="0"/>
      <w:spacing w:line="360" w:lineRule="auto"/>
    </w:pPr>
  </w:style>
  <w:style w:type="paragraph" w:customStyle="1" w:styleId="87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87"/>
    <w:qFormat/>
    <w:uiPriority w:val="34"/>
    <w:pPr>
      <w:adjustRightInd/>
      <w:spacing w:line="360" w:lineRule="auto"/>
      <w:ind w:firstLine="200" w:firstLineChars="200"/>
    </w:pPr>
    <w:rPr>
      <w:rFonts w:ascii="Calibri" w:hAnsi="Calibri"/>
      <w:sz w:val="28"/>
      <w:szCs w:val="20"/>
    </w:rPr>
  </w:style>
  <w:style w:type="paragraph" w:customStyle="1" w:styleId="88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6"/>
    <w:qFormat/>
    <w:uiPriority w:val="0"/>
    <w:pPr>
      <w:outlineLvl w:val="2"/>
    </w:pPr>
  </w:style>
  <w:style w:type="paragraph" w:customStyle="1" w:styleId="88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qFormat/>
    <w:uiPriority w:val="0"/>
    <w:pPr>
      <w:adjustRightInd/>
      <w:ind w:firstLine="200" w:firstLineChars="200"/>
    </w:pPr>
    <w:rPr>
      <w:rFonts w:ascii="Tahoma" w:hAnsi="Tahoma"/>
      <w:sz w:val="24"/>
      <w:szCs w:val="20"/>
    </w:rPr>
  </w:style>
  <w:style w:type="paragraph" w:customStyle="1" w:styleId="88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8">
    <w:name w:val="MM Empty"/>
    <w:basedOn w:val="1"/>
    <w:qFormat/>
    <w:uiPriority w:val="0"/>
    <w:pPr>
      <w:adjustRightInd/>
    </w:pPr>
  </w:style>
  <w:style w:type="paragraph" w:customStyle="1" w:styleId="889">
    <w:name w:val="Char24"/>
    <w:basedOn w:val="1"/>
    <w:qFormat/>
    <w:uiPriority w:val="0"/>
    <w:rPr>
      <w:rFonts w:ascii="仿宋_GB2312" w:eastAsia="仿宋_GB2312"/>
      <w:b/>
      <w:sz w:val="32"/>
      <w:szCs w:val="32"/>
    </w:rPr>
  </w:style>
  <w:style w:type="paragraph" w:customStyle="1" w:styleId="890">
    <w:name w:val="正文箭头"/>
    <w:basedOn w:val="543"/>
    <w:qFormat/>
    <w:uiPriority w:val="0"/>
  </w:style>
  <w:style w:type="paragraph" w:customStyle="1" w:styleId="891">
    <w:name w:val="U_编号2"/>
    <w:basedOn w:val="1"/>
    <w:qFormat/>
    <w:uiPriority w:val="0"/>
    <w:pPr>
      <w:tabs>
        <w:tab w:val="left" w:pos="785"/>
      </w:tabs>
      <w:adjustRightInd/>
      <w:spacing w:beforeLines="10" w:afterLines="10" w:line="300" w:lineRule="auto"/>
    </w:pPr>
    <w:rPr>
      <w:sz w:val="24"/>
    </w:rPr>
  </w:style>
  <w:style w:type="paragraph" w:customStyle="1" w:styleId="89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5">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1"/>
    <w:qFormat/>
    <w:uiPriority w:val="34"/>
    <w:pPr>
      <w:adjustRightInd/>
      <w:ind w:firstLine="420" w:firstLineChars="200"/>
    </w:pPr>
    <w:rPr>
      <w:rFonts w:eastAsia="仿宋_GB2312"/>
      <w:sz w:val="28"/>
    </w:rPr>
  </w:style>
  <w:style w:type="paragraph" w:customStyle="1" w:styleId="897">
    <w:name w:val="表格 内容"/>
    <w:basedOn w:val="733"/>
    <w:qFormat/>
    <w:uiPriority w:val="0"/>
    <w:rPr>
      <w:b w:val="0"/>
      <w:sz w:val="20"/>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6"/>
    <w:next w:val="1"/>
    <w:qFormat/>
    <w:uiPriority w:val="0"/>
    <w:pPr>
      <w:tabs>
        <w:tab w:val="left" w:pos="1080"/>
      </w:tabs>
      <w:ind w:left="1080" w:hanging="1080"/>
    </w:pPr>
  </w:style>
  <w:style w:type="paragraph" w:customStyle="1" w:styleId="900">
    <w:name w:val="数字标题1"/>
    <w:basedOn w:val="2"/>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8"/>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7"/>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字符"/>
    <w:link w:val="40"/>
    <w:qFormat/>
    <w:uiPriority w:val="0"/>
    <w:rPr>
      <w:kern w:val="2"/>
      <w:sz w:val="21"/>
      <w:szCs w:val="24"/>
      <w:lang w:val="zh-CN"/>
    </w:rPr>
  </w:style>
  <w:style w:type="character" w:customStyle="1" w:styleId="936">
    <w:name w:val="无间隔 字符"/>
    <w:link w:val="488"/>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87"/>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3"/>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2"/>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Body text|1"/>
    <w:basedOn w:val="1"/>
    <w:qFormat/>
    <w:uiPriority w:val="0"/>
    <w:pPr>
      <w:spacing w:line="391" w:lineRule="auto"/>
      <w:ind w:firstLine="400"/>
    </w:pPr>
    <w:rPr>
      <w:rFonts w:ascii="宋体" w:hAnsi="宋体" w:cs="宋体"/>
      <w:lang w:val="zh-TW" w:eastAsia="zh-TW" w:bidi="zh-TW"/>
    </w:rPr>
  </w:style>
  <w:style w:type="character" w:customStyle="1" w:styleId="968">
    <w:name w:val="font101"/>
    <w:basedOn w:val="72"/>
    <w:qFormat/>
    <w:uiPriority w:val="0"/>
    <w:rPr>
      <w:rFonts w:hint="eastAsia" w:ascii="宋体" w:hAnsi="宋体" w:eastAsia="宋体" w:cs="宋体"/>
      <w:color w:val="FF0000"/>
      <w:sz w:val="20"/>
      <w:szCs w:val="20"/>
      <w:u w:val="none"/>
    </w:rPr>
  </w:style>
  <w:style w:type="paragraph" w:customStyle="1" w:styleId="969">
    <w:name w:val="封面编号"/>
    <w:basedOn w:val="1"/>
    <w:qFormat/>
    <w:uiPriority w:val="0"/>
    <w:pPr>
      <w:spacing w:line="360" w:lineRule="auto"/>
      <w:jc w:val="center"/>
    </w:pPr>
    <w:rPr>
      <w:rFonts w:ascii="黑体" w:hAnsi="宋体" w:eastAsia="黑体" w:cs="宋体"/>
      <w:b/>
      <w:bCs/>
      <w:sz w:val="38"/>
      <w:szCs w:val="20"/>
    </w:rPr>
  </w:style>
  <w:style w:type="table" w:customStyle="1" w:styleId="970">
    <w:name w:val="Table Normal"/>
    <w:semiHidden/>
    <w:unhideWhenUsed/>
    <w:qFormat/>
    <w:uiPriority w:val="0"/>
    <w:tblPr>
      <w:tblCellMar>
        <w:top w:w="0" w:type="dxa"/>
        <w:left w:w="0" w:type="dxa"/>
        <w:bottom w:w="0" w:type="dxa"/>
        <w:right w:w="0" w:type="dxa"/>
      </w:tblCellMar>
    </w:tblPr>
  </w:style>
  <w:style w:type="character" w:customStyle="1" w:styleId="971">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972">
    <w:name w:val="null3"/>
    <w:qFormat/>
    <w:uiPriority w:val="0"/>
    <w:rPr>
      <w:rFonts w:hint="eastAsia" w:ascii="Calibri" w:hAnsi="Calibri" w:eastAsia="宋体" w:cs="Times New Roman"/>
      <w:lang w:val="en-US" w:eastAsia="zh-Hans" w:bidi="ar-SA"/>
    </w:rPr>
  </w:style>
  <w:style w:type="paragraph" w:customStyle="1" w:styleId="973">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974">
    <w:name w:val="font181"/>
    <w:basedOn w:val="72"/>
    <w:qFormat/>
    <w:uiPriority w:val="0"/>
    <w:rPr>
      <w:rFonts w:hint="default" w:ascii="PingFang SC" w:hAnsi="PingFang SC" w:eastAsia="PingFang SC" w:cs="PingFang SC"/>
      <w:b/>
      <w:bCs/>
      <w:color w:val="000000"/>
      <w:sz w:val="26"/>
      <w:szCs w:val="26"/>
      <w:u w:val="none"/>
    </w:rPr>
  </w:style>
  <w:style w:type="character" w:customStyle="1" w:styleId="975">
    <w:name w:val="font141"/>
    <w:basedOn w:val="72"/>
    <w:qFormat/>
    <w:uiPriority w:val="0"/>
    <w:rPr>
      <w:rFonts w:hint="default" w:ascii="PingFang SC" w:hAnsi="PingFang SC" w:eastAsia="PingFang SC" w:cs="PingFang SC"/>
      <w:color w:val="FF0000"/>
      <w:sz w:val="26"/>
      <w:szCs w:val="26"/>
      <w:u w:val="none"/>
    </w:rPr>
  </w:style>
  <w:style w:type="character" w:customStyle="1" w:styleId="976">
    <w:name w:val="font191"/>
    <w:basedOn w:val="72"/>
    <w:qFormat/>
    <w:uiPriority w:val="0"/>
    <w:rPr>
      <w:rFonts w:hint="default" w:ascii="PingFang SC" w:hAnsi="PingFang SC" w:eastAsia="PingFang SC" w:cs="PingFang SC"/>
      <w:color w:val="FF0000"/>
      <w:sz w:val="18"/>
      <w:szCs w:val="18"/>
      <w:u w:val="none"/>
    </w:rPr>
  </w:style>
  <w:style w:type="paragraph" w:customStyle="1" w:styleId="977">
    <w:name w:val="正文 + 宋体"/>
    <w:basedOn w:val="1"/>
    <w:qFormat/>
    <w:uiPriority w:val="99"/>
    <w:pPr>
      <w:adjustRightInd/>
      <w:spacing w:line="360" w:lineRule="auto"/>
      <w:ind w:firstLine="560" w:firstLineChars="200"/>
    </w:pPr>
    <w:rPr>
      <w:rFonts w:ascii="宋体" w:hAnsi="宋体" w:cs="Arial"/>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5" Type="http://schemas.openxmlformats.org/officeDocument/2006/relationships/fontTable" Target="fontTable.xml"/><Relationship Id="rId44" Type="http://schemas.openxmlformats.org/officeDocument/2006/relationships/customXml" Target="../customXml/item2.xml"/><Relationship Id="rId43"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image" Target="media/image25.png"/><Relationship Id="rId40" Type="http://schemas.openxmlformats.org/officeDocument/2006/relationships/image" Target="media/image24.png"/><Relationship Id="rId4" Type="http://schemas.openxmlformats.org/officeDocument/2006/relationships/header" Target="header2.xml"/><Relationship Id="rId39" Type="http://schemas.openxmlformats.org/officeDocument/2006/relationships/image" Target="media/image23.png"/><Relationship Id="rId38" Type="http://schemas.openxmlformats.org/officeDocument/2006/relationships/image" Target="media/image22.png"/><Relationship Id="rId37" Type="http://schemas.openxmlformats.org/officeDocument/2006/relationships/image" Target="media/image21.png"/><Relationship Id="rId36" Type="http://schemas.openxmlformats.org/officeDocument/2006/relationships/image" Target="media/image20.png"/><Relationship Id="rId35" Type="http://schemas.openxmlformats.org/officeDocument/2006/relationships/image" Target="media/image19.png"/><Relationship Id="rId34" Type="http://schemas.openxmlformats.org/officeDocument/2006/relationships/image" Target="media/image18.png"/><Relationship Id="rId33" Type="http://schemas.openxmlformats.org/officeDocument/2006/relationships/image" Target="media/image17.png"/><Relationship Id="rId32" Type="http://schemas.openxmlformats.org/officeDocument/2006/relationships/image" Target="media/image16.png"/><Relationship Id="rId31" Type="http://schemas.openxmlformats.org/officeDocument/2006/relationships/image" Target="media/image15.png"/><Relationship Id="rId30" Type="http://schemas.openxmlformats.org/officeDocument/2006/relationships/image" Target="media/image14.png"/><Relationship Id="rId3" Type="http://schemas.openxmlformats.org/officeDocument/2006/relationships/header" Target="header1.xml"/><Relationship Id="rId29" Type="http://schemas.openxmlformats.org/officeDocument/2006/relationships/image" Target="media/image13.png"/><Relationship Id="rId28" Type="http://schemas.openxmlformats.org/officeDocument/2006/relationships/image" Target="media/image12.png"/><Relationship Id="rId27" Type="http://schemas.openxmlformats.org/officeDocument/2006/relationships/image" Target="media/image11.png"/><Relationship Id="rId26" Type="http://schemas.openxmlformats.org/officeDocument/2006/relationships/image" Target="media/image10.png"/><Relationship Id="rId25" Type="http://schemas.openxmlformats.org/officeDocument/2006/relationships/image" Target="media/image9.png"/><Relationship Id="rId24" Type="http://schemas.openxmlformats.org/officeDocument/2006/relationships/image" Target="media/image8.png"/><Relationship Id="rId23" Type="http://schemas.openxmlformats.org/officeDocument/2006/relationships/image" Target="media/image7.png"/><Relationship Id="rId22" Type="http://schemas.openxmlformats.org/officeDocument/2006/relationships/image" Target="media/image6.png"/><Relationship Id="rId21" Type="http://schemas.openxmlformats.org/officeDocument/2006/relationships/image" Target="media/image5.png"/><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46</Pages>
  <Words>7822</Words>
  <Characters>8652</Characters>
  <Lines>180</Lines>
  <Paragraphs>50</Paragraphs>
  <TotalTime>4</TotalTime>
  <ScaleCrop>false</ScaleCrop>
  <LinksUpToDate>false</LinksUpToDate>
  <CharactersWithSpaces>8717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2023-11-09T15:59:00Z</dcterms:created>
  <dc:creator>玥</dc:creator>
  <cp:lastModifiedBy>admin</cp:lastModifiedBy>
  <cp:lastPrinted>2025-03-17T08:36:00Z</cp:lastPrinted>
  <dcterms:modified xsi:type="dcterms:W3CDTF">2025-03-21T00:22:22Z</dcterms:modified>
  <dc:title>杭州市市民卡扩大发卡工程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5D281E1879834B688F064AA138454D92_13</vt:lpwstr>
  </property>
  <property fmtid="{D5CDD505-2E9C-101B-9397-08002B2CF9AE}" pid="5" name="commondata">
    <vt:lpwstr>eyJoZGlkIjoiMzdkYTNjODAzOWEyZTBjZWI2OWE0Y2U2MTNhOGNiNmUifQ==</vt:lpwstr>
  </property>
  <property fmtid="{D5CDD505-2E9C-101B-9397-08002B2CF9AE}" pid="6" name="KSOTemplateDocerSaveRecord">
    <vt:lpwstr>eyJoZGlkIjoiMTA1MWMxZmY0MTVkNzVlZGRmNTcxNGM1NmNkZjhjYzQiLCJ1c2VySWQiOiIzNjMyMzU2MzYifQ==</vt:lpwstr>
  </property>
</Properties>
</file>