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07AA">
      <w:pPr>
        <w:bidi w:val="0"/>
        <w:rPr>
          <w:color w:val="auto"/>
          <w:highlight w:val="none"/>
        </w:rPr>
      </w:pPr>
    </w:p>
    <w:p w14:paraId="12C5D4A3">
      <w:pPr>
        <w:jc w:val="center"/>
        <w:rPr>
          <w:rFonts w:hint="eastAsia" w:ascii="宋体" w:hAnsi="宋体" w:eastAsia="宋体" w:cs="宋体"/>
          <w:b/>
          <w:color w:val="auto"/>
          <w:sz w:val="60"/>
          <w:szCs w:val="60"/>
          <w:highlight w:val="none"/>
          <w:lang w:eastAsia="zh-CN"/>
        </w:rPr>
      </w:pPr>
      <w:r>
        <w:rPr>
          <w:rFonts w:hint="eastAsia" w:ascii="宋体" w:hAnsi="宋体" w:eastAsia="宋体" w:cs="宋体"/>
          <w:b/>
          <w:color w:val="auto"/>
          <w:sz w:val="60"/>
          <w:szCs w:val="60"/>
          <w:highlight w:val="none"/>
          <w:lang w:eastAsia="zh-CN"/>
        </w:rPr>
        <w:t>萧山经济</w:t>
      </w:r>
      <w:r>
        <w:rPr>
          <w:rFonts w:hint="eastAsia" w:ascii="宋体" w:hAnsi="宋体" w:eastAsia="宋体" w:cs="宋体"/>
          <w:b/>
          <w:color w:val="auto"/>
          <w:sz w:val="60"/>
          <w:szCs w:val="60"/>
          <w:highlight w:val="none"/>
          <w:lang w:val="en-US" w:eastAsia="zh-CN"/>
        </w:rPr>
        <w:t>技术</w:t>
      </w:r>
      <w:r>
        <w:rPr>
          <w:rFonts w:hint="eastAsia" w:ascii="宋体" w:hAnsi="宋体" w:eastAsia="宋体" w:cs="宋体"/>
          <w:b/>
          <w:color w:val="auto"/>
          <w:sz w:val="60"/>
          <w:szCs w:val="60"/>
          <w:highlight w:val="none"/>
          <w:lang w:eastAsia="zh-CN"/>
        </w:rPr>
        <w:t>开发区食堂货物供应采购项目</w:t>
      </w:r>
    </w:p>
    <w:p w14:paraId="5D5AC243">
      <w:pPr>
        <w:rPr>
          <w:rFonts w:ascii="宋体" w:hAnsi="宋体" w:eastAsia="宋体" w:cs="宋体"/>
          <w:b/>
          <w:color w:val="auto"/>
          <w:highlight w:val="none"/>
        </w:rPr>
      </w:pPr>
    </w:p>
    <w:p w14:paraId="45BBCA16">
      <w:pPr>
        <w:jc w:val="center"/>
        <w:rPr>
          <w:rFonts w:ascii="宋体" w:hAnsi="宋体" w:eastAsia="宋体" w:cs="宋体"/>
          <w:b/>
          <w:color w:val="auto"/>
          <w:sz w:val="72"/>
          <w:szCs w:val="72"/>
          <w:highlight w:val="none"/>
        </w:rPr>
      </w:pPr>
    </w:p>
    <w:p w14:paraId="72E35714">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招标文件</w:t>
      </w:r>
    </w:p>
    <w:p w14:paraId="00E863C1">
      <w:pPr>
        <w:jc w:val="center"/>
        <w:rPr>
          <w:rFonts w:ascii="宋体" w:hAnsi="宋体" w:eastAsia="宋体" w:cs="宋体"/>
          <w:b/>
          <w:color w:val="auto"/>
          <w:sz w:val="40"/>
          <w:highlight w:val="none"/>
        </w:rPr>
      </w:pPr>
      <w:r>
        <w:rPr>
          <w:rFonts w:hint="eastAsia" w:ascii="宋体" w:hAnsi="宋体" w:eastAsia="宋体" w:cs="宋体"/>
          <w:b/>
          <w:color w:val="auto"/>
          <w:sz w:val="40"/>
          <w:highlight w:val="none"/>
        </w:rPr>
        <w:t>（电子招投标）</w:t>
      </w:r>
    </w:p>
    <w:p w14:paraId="0DAF2F9B">
      <w:pPr>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项目</w:t>
      </w:r>
      <w:r>
        <w:rPr>
          <w:rFonts w:hint="eastAsia" w:ascii="宋体" w:hAnsi="宋体" w:eastAsia="宋体" w:cs="宋体"/>
          <w:b/>
          <w:color w:val="auto"/>
          <w:sz w:val="32"/>
          <w:szCs w:val="32"/>
          <w:highlight w:val="none"/>
        </w:rPr>
        <w:t>编号：</w:t>
      </w:r>
      <w:r>
        <w:rPr>
          <w:rFonts w:hint="eastAsia" w:ascii="宋体" w:hAnsi="宋体" w:eastAsia="宋体" w:cs="宋体"/>
          <w:b/>
          <w:color w:val="auto"/>
          <w:sz w:val="32"/>
          <w:szCs w:val="32"/>
          <w:highlight w:val="none"/>
          <w:lang w:eastAsia="zh-CN"/>
        </w:rPr>
        <w:t>萧开采(2024)29号</w:t>
      </w:r>
    </w:p>
    <w:p w14:paraId="706CE1F0">
      <w:pPr>
        <w:jc w:val="center"/>
        <w:rPr>
          <w:rFonts w:ascii="宋体" w:hAnsi="宋体" w:eastAsia="宋体" w:cs="宋体"/>
          <w:b/>
          <w:color w:val="auto"/>
          <w:sz w:val="36"/>
          <w:highlight w:val="none"/>
        </w:rPr>
      </w:pPr>
    </w:p>
    <w:p w14:paraId="2BF0D508">
      <w:pPr>
        <w:jc w:val="center"/>
        <w:rPr>
          <w:rFonts w:ascii="宋体" w:hAnsi="宋体" w:eastAsia="宋体" w:cs="宋体"/>
          <w:b/>
          <w:color w:val="auto"/>
          <w:sz w:val="36"/>
          <w:highlight w:val="none"/>
        </w:rPr>
      </w:pPr>
    </w:p>
    <w:p w14:paraId="4A555ECF">
      <w:pPr>
        <w:pStyle w:val="104"/>
        <w:rPr>
          <w:color w:val="auto"/>
          <w:highlight w:val="none"/>
        </w:rPr>
      </w:pPr>
    </w:p>
    <w:p w14:paraId="06873A0B">
      <w:pPr>
        <w:bidi w:val="0"/>
        <w:rPr>
          <w:color w:val="auto"/>
          <w:highlight w:val="none"/>
        </w:rPr>
      </w:pPr>
    </w:p>
    <w:p w14:paraId="54D1ED65">
      <w:pPr>
        <w:spacing w:line="500" w:lineRule="exact"/>
        <w:jc w:val="center"/>
        <w:rPr>
          <w:rFonts w:hint="eastAsia" w:ascii="宋体" w:hAnsi="宋体" w:eastAsia="宋体" w:cs="宋体"/>
          <w:b/>
          <w:color w:val="auto"/>
          <w:spacing w:val="-17"/>
          <w:sz w:val="32"/>
          <w:szCs w:val="30"/>
          <w:highlight w:val="none"/>
        </w:rPr>
      </w:pPr>
    </w:p>
    <w:p w14:paraId="2AE27525">
      <w:pPr>
        <w:spacing w:line="500" w:lineRule="exact"/>
        <w:jc w:val="center"/>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lang w:eastAsia="zh-CN"/>
        </w:rPr>
        <w:t>萧山经济技术开发区管理委员会</w:t>
      </w:r>
    </w:p>
    <w:p w14:paraId="33C7A38F">
      <w:pPr>
        <w:spacing w:line="5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0"/>
          <w:highlight w:val="none"/>
        </w:rPr>
        <w:t>杭州博望建设工程招标投标代理有限公司</w:t>
      </w:r>
    </w:p>
    <w:p w14:paraId="17764153">
      <w:pPr>
        <w:spacing w:line="500" w:lineRule="exact"/>
        <w:jc w:val="center"/>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2025年01月</w:t>
      </w:r>
      <w:r>
        <w:rPr>
          <w:rFonts w:hint="eastAsia" w:ascii="宋体" w:hAnsi="宋体" w:eastAsia="宋体" w:cs="宋体"/>
          <w:b/>
          <w:color w:val="auto"/>
          <w:sz w:val="32"/>
          <w:szCs w:val="30"/>
          <w:highlight w:val="none"/>
          <w:lang w:val="en-US" w:eastAsia="zh-CN"/>
        </w:rPr>
        <w:t>22</w:t>
      </w:r>
      <w:r>
        <w:rPr>
          <w:rFonts w:hint="eastAsia" w:ascii="宋体" w:hAnsi="宋体" w:eastAsia="宋体" w:cs="宋体"/>
          <w:b/>
          <w:color w:val="auto"/>
          <w:sz w:val="32"/>
          <w:szCs w:val="30"/>
          <w:highlight w:val="none"/>
        </w:rPr>
        <w:t>日</w:t>
      </w:r>
    </w:p>
    <w:p w14:paraId="2E9B1374">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3F3BA6EB">
      <w:pPr>
        <w:pStyle w:val="2"/>
        <w:jc w:val="center"/>
        <w:rPr>
          <w:rFonts w:ascii="宋体" w:hAnsi="宋体" w:eastAsia="宋体" w:cs="宋体"/>
          <w:color w:val="auto"/>
          <w:highlight w:val="none"/>
        </w:rPr>
      </w:pPr>
      <w:r>
        <w:rPr>
          <w:rFonts w:hint="eastAsia" w:ascii="宋体" w:hAnsi="宋体" w:eastAsia="宋体" w:cs="宋体"/>
          <w:color w:val="auto"/>
          <w:highlight w:val="none"/>
        </w:rPr>
        <w:t>目  录</w:t>
      </w:r>
    </w:p>
    <w:p w14:paraId="4A9F29F3">
      <w:pPr>
        <w:rPr>
          <w:rFonts w:ascii="宋体" w:hAnsi="宋体" w:eastAsia="宋体" w:cs="宋体"/>
          <w:color w:val="auto"/>
          <w:highlight w:val="none"/>
        </w:rPr>
      </w:pPr>
    </w:p>
    <w:p w14:paraId="516D21A0">
      <w:pPr>
        <w:rPr>
          <w:rFonts w:ascii="宋体" w:hAnsi="宋体" w:eastAsia="宋体" w:cs="宋体"/>
          <w:color w:val="auto"/>
          <w:highlight w:val="none"/>
        </w:rPr>
      </w:pPr>
    </w:p>
    <w:p w14:paraId="08B96BFF">
      <w:pPr>
        <w:rPr>
          <w:rFonts w:ascii="宋体" w:hAnsi="宋体" w:eastAsia="宋体" w:cs="宋体"/>
          <w:color w:val="auto"/>
          <w:sz w:val="32"/>
          <w:highlight w:val="none"/>
        </w:rPr>
      </w:pPr>
      <w:r>
        <w:rPr>
          <w:rFonts w:hint="eastAsia" w:ascii="宋体" w:hAnsi="宋体" w:eastAsia="宋体" w:cs="宋体"/>
          <w:color w:val="auto"/>
          <w:sz w:val="32"/>
          <w:highlight w:val="none"/>
        </w:rPr>
        <w:t>第一部分      招标公告</w:t>
      </w:r>
    </w:p>
    <w:p w14:paraId="33CBDFE2">
      <w:pPr>
        <w:rPr>
          <w:rFonts w:ascii="宋体" w:hAnsi="宋体" w:eastAsia="宋体" w:cs="宋体"/>
          <w:color w:val="auto"/>
          <w:sz w:val="32"/>
          <w:highlight w:val="none"/>
        </w:rPr>
      </w:pPr>
      <w:r>
        <w:rPr>
          <w:rFonts w:hint="eastAsia" w:ascii="宋体" w:hAnsi="宋体" w:eastAsia="宋体" w:cs="宋体"/>
          <w:color w:val="auto"/>
          <w:sz w:val="32"/>
          <w:highlight w:val="none"/>
        </w:rPr>
        <w:t>第二部分      投标人须知</w:t>
      </w:r>
    </w:p>
    <w:p w14:paraId="01E27FFC">
      <w:pPr>
        <w:rPr>
          <w:rFonts w:ascii="宋体" w:hAnsi="宋体" w:eastAsia="宋体" w:cs="宋体"/>
          <w:color w:val="auto"/>
          <w:sz w:val="32"/>
          <w:highlight w:val="none"/>
        </w:rPr>
      </w:pPr>
      <w:r>
        <w:rPr>
          <w:rFonts w:hint="eastAsia" w:ascii="宋体" w:hAnsi="宋体" w:eastAsia="宋体" w:cs="宋体"/>
          <w:color w:val="auto"/>
          <w:sz w:val="32"/>
          <w:highlight w:val="none"/>
        </w:rPr>
        <w:t>第三部分      采购需求</w:t>
      </w:r>
    </w:p>
    <w:p w14:paraId="29533342">
      <w:pPr>
        <w:rPr>
          <w:rFonts w:ascii="宋体" w:hAnsi="宋体" w:eastAsia="宋体" w:cs="宋体"/>
          <w:color w:val="auto"/>
          <w:sz w:val="32"/>
          <w:highlight w:val="none"/>
        </w:rPr>
      </w:pPr>
      <w:r>
        <w:rPr>
          <w:rFonts w:hint="eastAsia" w:ascii="宋体" w:hAnsi="宋体" w:eastAsia="宋体" w:cs="宋体"/>
          <w:color w:val="auto"/>
          <w:sz w:val="32"/>
          <w:highlight w:val="none"/>
        </w:rPr>
        <w:t>第四部分      评标办法</w:t>
      </w:r>
    </w:p>
    <w:p w14:paraId="3D1F6AAB">
      <w:pPr>
        <w:rPr>
          <w:rFonts w:ascii="宋体" w:hAnsi="宋体" w:eastAsia="宋体" w:cs="宋体"/>
          <w:color w:val="auto"/>
          <w:sz w:val="32"/>
          <w:highlight w:val="none"/>
        </w:rPr>
      </w:pPr>
      <w:r>
        <w:rPr>
          <w:rFonts w:hint="eastAsia" w:ascii="宋体" w:hAnsi="宋体" w:eastAsia="宋体" w:cs="宋体"/>
          <w:color w:val="auto"/>
          <w:sz w:val="32"/>
          <w:highlight w:val="none"/>
        </w:rPr>
        <w:t>第五部分      拟签订的合同文本</w:t>
      </w:r>
    </w:p>
    <w:p w14:paraId="2BE61CE2">
      <w:pPr>
        <w:rPr>
          <w:rFonts w:ascii="宋体" w:hAnsi="宋体" w:eastAsia="宋体" w:cs="宋体"/>
          <w:color w:val="auto"/>
          <w:sz w:val="32"/>
          <w:highlight w:val="none"/>
        </w:rPr>
      </w:pPr>
      <w:r>
        <w:rPr>
          <w:rFonts w:hint="eastAsia" w:ascii="宋体" w:hAnsi="宋体" w:eastAsia="宋体" w:cs="宋体"/>
          <w:color w:val="auto"/>
          <w:sz w:val="32"/>
          <w:highlight w:val="none"/>
        </w:rPr>
        <w:t>第六部分      应提交的有关格式范例</w:t>
      </w:r>
    </w:p>
    <w:p w14:paraId="373E1631">
      <w:pPr>
        <w:spacing w:line="276" w:lineRule="auto"/>
        <w:rPr>
          <w:rFonts w:ascii="宋体" w:hAnsi="宋体" w:eastAsia="宋体" w:cs="宋体"/>
          <w:color w:val="auto"/>
          <w:sz w:val="32"/>
          <w:highlight w:val="none"/>
        </w:rPr>
      </w:pPr>
    </w:p>
    <w:p w14:paraId="14B22A22">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4FAF3C98">
      <w:pPr>
        <w:pStyle w:val="2"/>
        <w:jc w:val="center"/>
        <w:rPr>
          <w:rFonts w:ascii="宋体" w:hAnsi="宋体" w:eastAsia="宋体" w:cs="宋体"/>
          <w:color w:val="auto"/>
          <w:highlight w:val="none"/>
        </w:rPr>
      </w:pPr>
      <w:r>
        <w:rPr>
          <w:rFonts w:hint="eastAsia" w:ascii="宋体" w:hAnsi="宋体" w:eastAsia="宋体" w:cs="宋体"/>
          <w:color w:val="auto"/>
          <w:highlight w:val="none"/>
        </w:rPr>
        <w:t>第一部分  招标公告</w:t>
      </w:r>
    </w:p>
    <w:p w14:paraId="590BF5CD">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一、项目基本情况</w:t>
      </w:r>
    </w:p>
    <w:p w14:paraId="62BCFEB0">
      <w:pPr>
        <w:widowControl w:val="0"/>
        <w:adjustRightInd w:val="0"/>
        <w:spacing w:after="0" w:line="360" w:lineRule="auto"/>
        <w:ind w:firstLine="480" w:firstLineChars="200"/>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项目编号：</w:t>
      </w:r>
      <w:r>
        <w:rPr>
          <w:rFonts w:hint="eastAsia" w:ascii="宋体" w:hAnsi="宋体" w:eastAsia="宋体" w:cs="宋体"/>
          <w:color w:val="auto"/>
          <w:kern w:val="2"/>
          <w:highlight w:val="none"/>
          <w:lang w:eastAsia="zh-CN"/>
        </w:rPr>
        <w:t>萧开采(2024)29号</w:t>
      </w:r>
    </w:p>
    <w:p w14:paraId="5C0785FF">
      <w:pPr>
        <w:widowControl w:val="0"/>
        <w:adjustRightInd w:val="0"/>
        <w:spacing w:after="0" w:line="360" w:lineRule="auto"/>
        <w:ind w:firstLine="480" w:firstLineChars="200"/>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项目名称：</w:t>
      </w:r>
      <w:r>
        <w:rPr>
          <w:rFonts w:hint="eastAsia" w:ascii="宋体" w:hAnsi="宋体" w:eastAsia="宋体" w:cs="宋体"/>
          <w:color w:val="auto"/>
          <w:kern w:val="2"/>
          <w:highlight w:val="none"/>
          <w:lang w:eastAsia="zh-CN"/>
        </w:rPr>
        <w:t>萧山经济</w:t>
      </w:r>
      <w:r>
        <w:rPr>
          <w:rFonts w:hint="eastAsia" w:ascii="宋体" w:hAnsi="宋体" w:eastAsia="宋体" w:cs="宋体"/>
          <w:color w:val="auto"/>
          <w:kern w:val="2"/>
          <w:highlight w:val="none"/>
          <w:lang w:val="en-US" w:eastAsia="zh-CN"/>
        </w:rPr>
        <w:t>技术</w:t>
      </w:r>
      <w:r>
        <w:rPr>
          <w:rFonts w:hint="eastAsia" w:ascii="宋体" w:hAnsi="宋体" w:eastAsia="宋体" w:cs="宋体"/>
          <w:color w:val="auto"/>
          <w:kern w:val="2"/>
          <w:highlight w:val="none"/>
          <w:lang w:eastAsia="zh-CN"/>
        </w:rPr>
        <w:t>开发区食堂货物供应采购项目</w:t>
      </w:r>
    </w:p>
    <w:p w14:paraId="2A20C3CB">
      <w:pPr>
        <w:widowControl w:val="0"/>
        <w:adjustRightInd w:val="0"/>
        <w:spacing w:after="0" w:line="360" w:lineRule="auto"/>
        <w:ind w:firstLine="480" w:firstLineChars="200"/>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 xml:space="preserve">预算金额：标项1：800000.00元、标项2：800000.00元    </w:t>
      </w:r>
    </w:p>
    <w:p w14:paraId="3ADF55E0">
      <w:pPr>
        <w:widowControl w:val="0"/>
        <w:adjustRightInd w:val="0"/>
        <w:spacing w:after="0"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最高限价：标项1：800000.00元、标项2：800000.00元    </w:t>
      </w:r>
    </w:p>
    <w:p w14:paraId="656FF488">
      <w:pPr>
        <w:widowControl w:val="0"/>
        <w:adjustRightInd w:val="0"/>
        <w:spacing w:after="0"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招标需求：</w:t>
      </w:r>
      <w:r>
        <w:rPr>
          <w:rFonts w:hint="eastAsia" w:ascii="宋体" w:hAnsi="宋体" w:eastAsia="宋体" w:cs="宋体"/>
          <w:color w:val="auto"/>
          <w:kern w:val="2"/>
          <w:highlight w:val="none"/>
          <w:lang w:eastAsia="zh-CN"/>
        </w:rPr>
        <w:t>萧山经济技术开发区食堂货物供应采购项目</w:t>
      </w:r>
      <w:r>
        <w:rPr>
          <w:rFonts w:hint="eastAsia" w:ascii="宋体" w:hAnsi="宋体" w:eastAsia="宋体" w:cs="宋体"/>
          <w:color w:val="auto"/>
          <w:kern w:val="2"/>
          <w:highlight w:val="none"/>
        </w:rPr>
        <w:t>。详见招标文件第三部分采购需求。</w:t>
      </w:r>
    </w:p>
    <w:p w14:paraId="0DC3F60D">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合同履约期限：详见招标文件第三部分采购需求</w:t>
      </w:r>
    </w:p>
    <w:p w14:paraId="1681E661">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本项目接受联合体投标：（ ）是；（√）否 。</w:t>
      </w:r>
    </w:p>
    <w:p w14:paraId="35DC7F78">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二、资格要求：</w:t>
      </w:r>
    </w:p>
    <w:p w14:paraId="6005308A">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1、具有独立承担民事责任的能力；</w:t>
      </w:r>
    </w:p>
    <w:p w14:paraId="5E5ED807">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2、具有良好的商业信誉和健全的财务会计制度；</w:t>
      </w:r>
    </w:p>
    <w:p w14:paraId="2740DDC3">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3、具有履行合同所必需的设备和专业技术能力；</w:t>
      </w:r>
    </w:p>
    <w:p w14:paraId="16300AB8">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4、有依法缴纳税收和社会保障资金的良好记录；</w:t>
      </w:r>
    </w:p>
    <w:p w14:paraId="05C865AE">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5、参加交易活动前三年内，在经营活动中没有重大违法记录；</w:t>
      </w:r>
    </w:p>
    <w:p w14:paraId="63DFC46B">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6、法律、行政法规规定的其他条件；</w:t>
      </w:r>
    </w:p>
    <w:p w14:paraId="5DF1D09A">
      <w:pPr>
        <w:widowControl w:val="0"/>
        <w:adjustRightInd w:val="0"/>
        <w:spacing w:after="0" w:line="360" w:lineRule="auto"/>
        <w:ind w:firstLine="420" w:firstLineChars="175"/>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7、本项目的特定资格要求：无</w:t>
      </w:r>
      <w:r>
        <w:rPr>
          <w:rFonts w:hint="eastAsia" w:ascii="宋体" w:hAnsi="宋体" w:eastAsia="宋体" w:cs="宋体"/>
          <w:color w:val="auto"/>
          <w:kern w:val="2"/>
          <w:highlight w:val="none"/>
          <w:lang w:eastAsia="zh-CN"/>
        </w:rPr>
        <w:t>。</w:t>
      </w:r>
    </w:p>
    <w:p w14:paraId="5001FED0">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 xml:space="preserve">三、获取招标文件 </w:t>
      </w:r>
    </w:p>
    <w:p w14:paraId="3AEF2E6F">
      <w:pPr>
        <w:widowControl w:val="0"/>
        <w:adjustRightInd w:val="0"/>
        <w:spacing w:after="0"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时间：/至2025年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14</w:t>
      </w:r>
      <w:r>
        <w:rPr>
          <w:rFonts w:hint="eastAsia" w:ascii="宋体" w:hAnsi="宋体" w:eastAsia="宋体" w:cs="宋体"/>
          <w:color w:val="auto"/>
          <w:kern w:val="2"/>
          <w:highlight w:val="none"/>
        </w:rPr>
        <w:t>日，每天上午00:00至12:00 ，下午12:00至23:59（北京时间，线上获取法定节假日均可）</w:t>
      </w:r>
    </w:p>
    <w:p w14:paraId="5C642958">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地点（网址）：乐采云平台（www.lecaiyun.com） </w:t>
      </w:r>
    </w:p>
    <w:p w14:paraId="495FF00B">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方式：供应商</w:t>
      </w:r>
      <w:r>
        <w:rPr>
          <w:rFonts w:hint="eastAsia" w:ascii="宋体" w:hAnsi="宋体" w:eastAsia="宋体" w:cs="宋体"/>
          <w:color w:val="auto"/>
          <w:highlight w:val="none"/>
        </w:rPr>
        <w:t>登录乐采云平台（www.lecaiyun.com）</w:t>
      </w:r>
      <w:r>
        <w:rPr>
          <w:rFonts w:hint="eastAsia" w:ascii="宋体" w:hAnsi="宋体" w:eastAsia="宋体" w:cs="宋体"/>
          <w:color w:val="auto"/>
          <w:kern w:val="2"/>
          <w:highlight w:val="none"/>
        </w:rPr>
        <w:t xml:space="preserve">在线申请获取采购文件（进入“项目采购”应用，在获取采购文件菜单中选择项目，申请获取采购文件）。 </w:t>
      </w:r>
    </w:p>
    <w:p w14:paraId="2A36C5BC">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售价（元）：0</w:t>
      </w:r>
    </w:p>
    <w:p w14:paraId="68454038">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四、提交投标文件截止时间、开标时间和地点</w:t>
      </w:r>
    </w:p>
    <w:p w14:paraId="6E150E3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ascii="宋体" w:hAnsi="宋体" w:eastAsia="宋体" w:cs="宋体"/>
          <w:color w:val="auto"/>
          <w:kern w:val="2"/>
          <w:highlight w:val="none"/>
        </w:rPr>
      </w:pPr>
      <w:r>
        <w:rPr>
          <w:rFonts w:hint="eastAsia" w:ascii="宋体" w:hAnsi="宋体" w:eastAsia="宋体" w:cs="宋体"/>
          <w:color w:val="auto"/>
          <w:kern w:val="2"/>
          <w:highlight w:val="none"/>
        </w:rPr>
        <w:t>提交投标文件截止时间：2025年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14</w:t>
      </w:r>
      <w:r>
        <w:rPr>
          <w:rFonts w:hint="eastAsia" w:ascii="宋体" w:hAnsi="宋体" w:eastAsia="宋体" w:cs="宋体"/>
          <w:color w:val="auto"/>
          <w:kern w:val="2"/>
          <w:highlight w:val="none"/>
        </w:rPr>
        <w:t>日</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9点</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0分（北京时间）</w:t>
      </w:r>
    </w:p>
    <w:p w14:paraId="1E07AE2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eastAsia="宋体" w:cs="宋体"/>
          <w:color w:val="auto"/>
          <w:kern w:val="2"/>
          <w:highlight w:val="none"/>
        </w:rPr>
      </w:pPr>
      <w:r>
        <w:rPr>
          <w:rFonts w:hint="eastAsia" w:ascii="宋体" w:hAnsi="宋体" w:eastAsia="宋体" w:cs="宋体"/>
          <w:color w:val="auto"/>
          <w:kern w:val="2"/>
          <w:highlight w:val="none"/>
        </w:rPr>
        <w:t>投标地点（网址）：</w:t>
      </w:r>
      <w:r>
        <w:rPr>
          <w:rFonts w:hint="eastAsia" w:ascii="宋体" w:hAnsi="宋体" w:eastAsia="宋体" w:cs="宋体"/>
          <w:color w:val="auto"/>
          <w:highlight w:val="none"/>
        </w:rPr>
        <w:t xml:space="preserve">乐采云平台（www.lecaiyun.com） </w:t>
      </w:r>
      <w:r>
        <w:rPr>
          <w:rFonts w:hint="eastAsia" w:ascii="宋体" w:hAnsi="宋体" w:eastAsia="宋体" w:cs="宋体"/>
          <w:color w:val="auto"/>
          <w:kern w:val="2"/>
          <w:highlight w:val="none"/>
        </w:rPr>
        <w:t xml:space="preserve"> </w:t>
      </w:r>
    </w:p>
    <w:p w14:paraId="290B5BA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ascii="宋体" w:hAnsi="宋体" w:eastAsia="宋体" w:cs="宋体"/>
          <w:color w:val="auto"/>
          <w:kern w:val="2"/>
          <w:highlight w:val="none"/>
        </w:rPr>
      </w:pPr>
      <w:r>
        <w:rPr>
          <w:rFonts w:hint="eastAsia" w:ascii="宋体" w:hAnsi="宋体" w:eastAsia="宋体" w:cs="宋体"/>
          <w:color w:val="auto"/>
          <w:kern w:val="2"/>
          <w:highlight w:val="none"/>
        </w:rPr>
        <w:t>开标时间：2025年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14</w:t>
      </w:r>
      <w:r>
        <w:rPr>
          <w:rFonts w:hint="eastAsia" w:ascii="宋体" w:hAnsi="宋体" w:eastAsia="宋体" w:cs="宋体"/>
          <w:color w:val="auto"/>
          <w:kern w:val="2"/>
          <w:highlight w:val="none"/>
        </w:rPr>
        <w:t>日</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9点</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 xml:space="preserve">0分 </w:t>
      </w:r>
    </w:p>
    <w:p w14:paraId="29D5E0E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eastAsia="宋体" w:cs="宋体"/>
          <w:color w:val="auto"/>
          <w:kern w:val="2"/>
          <w:highlight w:val="none"/>
        </w:rPr>
      </w:pPr>
      <w:r>
        <w:rPr>
          <w:rFonts w:hint="eastAsia" w:ascii="宋体" w:hAnsi="宋体" w:eastAsia="宋体" w:cs="宋体"/>
          <w:color w:val="auto"/>
          <w:kern w:val="2"/>
          <w:highlight w:val="none"/>
        </w:rPr>
        <w:t>开标地点（网址）：</w:t>
      </w:r>
      <w:r>
        <w:rPr>
          <w:rFonts w:hint="eastAsia" w:ascii="宋体" w:hAnsi="宋体" w:eastAsia="宋体" w:cs="宋体"/>
          <w:color w:val="auto"/>
          <w:highlight w:val="none"/>
        </w:rPr>
        <w:t>乐采云平台（www.lecaiyun.com）</w:t>
      </w:r>
      <w:r>
        <w:rPr>
          <w:rFonts w:hint="eastAsia" w:ascii="宋体" w:hAnsi="宋体" w:eastAsia="宋体" w:cs="宋体"/>
          <w:color w:val="auto"/>
          <w:kern w:val="2"/>
          <w:highlight w:val="none"/>
        </w:rPr>
        <w:t>。</w:t>
      </w:r>
    </w:p>
    <w:p w14:paraId="0F273075">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 xml:space="preserve">五、公告期限 </w:t>
      </w:r>
    </w:p>
    <w:p w14:paraId="0936ACB0">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自本公告发布之日起5个工作日。</w:t>
      </w:r>
    </w:p>
    <w:p w14:paraId="384FDE8A">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六、其他补充事宜</w:t>
      </w:r>
    </w:p>
    <w:p w14:paraId="682EC655">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w:t>
      </w:r>
    </w:p>
    <w:p w14:paraId="7235DC8C">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2.其他事项：（1）电子招投标的说明：①电子招投标：本项目以数据电文形式，依托“</w:t>
      </w:r>
      <w:r>
        <w:rPr>
          <w:rFonts w:hint="eastAsia" w:ascii="宋体" w:hAnsi="宋体" w:eastAsia="宋体" w:cs="宋体"/>
          <w:color w:val="auto"/>
          <w:highlight w:val="none"/>
        </w:rPr>
        <w:t>乐采云平台（www.lecaiyun.com）</w:t>
      </w:r>
      <w:r>
        <w:rPr>
          <w:rFonts w:hint="eastAsia" w:ascii="宋体" w:hAnsi="宋体" w:eastAsia="宋体" w:cs="宋体"/>
          <w:color w:val="auto"/>
          <w:kern w:val="2"/>
          <w:highlight w:val="none"/>
        </w:rPr>
        <w:t>”进行招投标活动，不接受纸质投标文件；②投标准备：注册账号－－点击“商家入驻”，进行采购供应商资料填写；申领CA数字证书－－申领流程详见“浙江企业采购信息服务网－－在线下载－－电子交易客户端-CA驱动和申领流程”；安装“</w:t>
      </w:r>
      <w:r>
        <w:rPr>
          <w:rFonts w:hint="eastAsia" w:ascii="宋体" w:hAnsi="宋体" w:eastAsia="宋体" w:cs="宋体"/>
          <w:color w:val="auto"/>
          <w:highlight w:val="none"/>
        </w:rPr>
        <w:t>乐采云电子交易客户端</w:t>
      </w:r>
      <w:r>
        <w:rPr>
          <w:rFonts w:hint="eastAsia" w:ascii="宋体" w:hAnsi="宋体" w:eastAsia="宋体" w:cs="宋体"/>
          <w:color w:val="auto"/>
          <w:kern w:val="2"/>
          <w:highlight w:val="none"/>
        </w:rPr>
        <w:t>”----前往“浙江企业采购信息服务网－－在线下载－－电子交易客户端”进行下载并安装；③招标文件的获取：使用账号登录或者使用CA登录</w:t>
      </w:r>
      <w:r>
        <w:rPr>
          <w:rFonts w:hint="eastAsia" w:ascii="宋体" w:hAnsi="宋体" w:eastAsia="宋体" w:cs="宋体"/>
          <w:color w:val="auto"/>
          <w:highlight w:val="none"/>
        </w:rPr>
        <w:t>乐采云平台</w:t>
      </w:r>
      <w:r>
        <w:rPr>
          <w:rFonts w:hint="eastAsia" w:ascii="宋体" w:hAnsi="宋体" w:eastAsia="宋体" w:cs="宋体"/>
          <w:color w:val="auto"/>
          <w:kern w:val="2"/>
          <w:highlight w:val="none"/>
        </w:rPr>
        <w:t>；进入“项目采购”应用，在获取采购文件菜单中选择项目，获取招标文件；④投标文件的制作：在“乐采云电子交易客户端”中完成“填写基本信息”、“导入投标文件”、“标书关联”、“标书检查”、“电子签名”、“生成电子标书”等操作；⑤采购人、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购云平台；⑨投标文件的解密：投标人按照平台提示和招标文件的规定在半小时内完成在线解密。通过“</w:t>
      </w:r>
      <w:r>
        <w:rPr>
          <w:rFonts w:hint="eastAsia" w:ascii="宋体" w:hAnsi="宋体" w:eastAsia="宋体" w:cs="宋体"/>
          <w:color w:val="auto"/>
          <w:highlight w:val="none"/>
        </w:rPr>
        <w:t>乐采云平台</w:t>
      </w:r>
      <w:r>
        <w:rPr>
          <w:rFonts w:hint="eastAsia" w:ascii="宋体" w:hAnsi="宋体" w:eastAsia="宋体" w:cs="宋体"/>
          <w:color w:val="auto"/>
          <w:kern w:val="2"/>
          <w:highlight w:val="none"/>
        </w:rPr>
        <w:t>”上传递交的投标文件无法按时解密，视为投标文件撤回。⑩具体操作指南：详见乐采云平台“服务中心-帮助文档-项目采购-操作流程-电子招投标-采购项目电子交易管理操作指南-供应商”。</w:t>
      </w:r>
    </w:p>
    <w:p w14:paraId="344C3ECC">
      <w:pPr>
        <w:widowControl w:val="0"/>
        <w:adjustRightInd w:val="0"/>
        <w:spacing w:after="0" w:line="360" w:lineRule="auto"/>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七、对本次采购提出询问、质疑、投诉，请按以下方式联系</w:t>
      </w:r>
    </w:p>
    <w:p w14:paraId="3643FEDE">
      <w:pPr>
        <w:widowControl w:val="0"/>
        <w:adjustRightInd w:val="0"/>
        <w:spacing w:after="0" w:line="360" w:lineRule="auto"/>
        <w:ind w:firstLine="420" w:firstLineChars="175"/>
        <w:jc w:val="both"/>
        <w:rPr>
          <w:rFonts w:ascii="宋体" w:hAnsi="宋体" w:eastAsia="宋体" w:cs="宋体"/>
          <w:color w:val="auto"/>
          <w:kern w:val="2"/>
          <w:highlight w:val="none"/>
        </w:rPr>
      </w:pPr>
      <w:bookmarkStart w:id="0" w:name="_Toc28359086"/>
      <w:bookmarkStart w:id="1" w:name="_Toc28359009"/>
      <w:r>
        <w:rPr>
          <w:rFonts w:hint="eastAsia" w:ascii="宋体" w:hAnsi="宋体" w:eastAsia="宋体" w:cs="宋体"/>
          <w:color w:val="auto"/>
          <w:kern w:val="2"/>
          <w:highlight w:val="none"/>
        </w:rPr>
        <w:t>1.采购人信息</w:t>
      </w:r>
    </w:p>
    <w:p w14:paraId="784E61BD">
      <w:pPr>
        <w:widowControl w:val="0"/>
        <w:adjustRightInd w:val="0"/>
        <w:spacing w:after="0" w:line="360" w:lineRule="auto"/>
        <w:ind w:firstLine="420" w:firstLineChars="175"/>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名称：</w:t>
      </w:r>
      <w:r>
        <w:rPr>
          <w:rFonts w:hint="eastAsia" w:ascii="宋体" w:hAnsi="宋体" w:eastAsia="宋体" w:cs="宋体"/>
          <w:color w:val="auto"/>
          <w:kern w:val="2"/>
          <w:highlight w:val="none"/>
          <w:lang w:eastAsia="zh-CN"/>
        </w:rPr>
        <w:t>萧山经济技术开发区管理委员会</w:t>
      </w:r>
    </w:p>
    <w:p w14:paraId="3BCB99FB">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地址：杭州市萧山区市心北路99号</w:t>
      </w:r>
    </w:p>
    <w:p w14:paraId="6661B5F4">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项目联系人（询问）：姜哲炜</w:t>
      </w:r>
    </w:p>
    <w:p w14:paraId="3EE07191">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项目联系方式（询问）：</w:t>
      </w:r>
      <w:r>
        <w:rPr>
          <w:rFonts w:hint="eastAsia" w:ascii="宋体" w:hAnsi="宋体" w:eastAsia="宋体" w:cs="宋体"/>
          <w:color w:val="auto"/>
          <w:kern w:val="2"/>
          <w:highlight w:val="none"/>
          <w:lang w:val="en-US" w:eastAsia="zh-CN"/>
        </w:rPr>
        <w:t>0571-82836661</w:t>
      </w:r>
      <w:r>
        <w:rPr>
          <w:rFonts w:hint="eastAsia" w:ascii="宋体" w:hAnsi="宋体" w:eastAsia="宋体" w:cs="宋体"/>
          <w:color w:val="auto"/>
          <w:kern w:val="2"/>
          <w:highlight w:val="none"/>
        </w:rPr>
        <w:t xml:space="preserve"> </w:t>
      </w:r>
    </w:p>
    <w:p w14:paraId="0FC8DB61">
      <w:pPr>
        <w:widowControl w:val="0"/>
        <w:adjustRightInd w:val="0"/>
        <w:spacing w:after="0" w:line="360" w:lineRule="auto"/>
        <w:ind w:firstLine="420" w:firstLineChars="175"/>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质疑联系人：</w:t>
      </w:r>
      <w:r>
        <w:rPr>
          <w:rFonts w:hint="eastAsia" w:ascii="宋体" w:hAnsi="宋体" w:eastAsia="宋体" w:cs="宋体"/>
          <w:color w:val="auto"/>
          <w:kern w:val="2"/>
          <w:highlight w:val="none"/>
          <w:lang w:val="en-US" w:eastAsia="zh-CN"/>
        </w:rPr>
        <w:t>柴佳佳</w:t>
      </w:r>
      <w:r>
        <w:rPr>
          <w:rFonts w:hint="eastAsia" w:ascii="宋体" w:hAnsi="宋体" w:eastAsia="宋体" w:cs="宋体"/>
          <w:color w:val="auto"/>
          <w:kern w:val="2"/>
          <w:highlight w:val="none"/>
        </w:rPr>
        <w:t xml:space="preserve"> </w:t>
      </w:r>
    </w:p>
    <w:p w14:paraId="00158EAE">
      <w:pPr>
        <w:widowControl w:val="0"/>
        <w:adjustRightInd w:val="0"/>
        <w:spacing w:after="0" w:line="360" w:lineRule="auto"/>
        <w:ind w:firstLine="420" w:firstLineChars="175"/>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质疑联系方式：</w:t>
      </w:r>
      <w:r>
        <w:rPr>
          <w:rFonts w:hint="eastAsia" w:ascii="宋体" w:hAnsi="宋体" w:eastAsia="宋体" w:cs="宋体"/>
          <w:color w:val="auto"/>
          <w:kern w:val="2"/>
          <w:highlight w:val="none"/>
          <w:lang w:val="en-US" w:eastAsia="zh-CN"/>
        </w:rPr>
        <w:t>0571-82836661</w:t>
      </w:r>
      <w:r>
        <w:rPr>
          <w:rFonts w:hint="eastAsia" w:ascii="宋体" w:hAnsi="宋体" w:eastAsia="宋体" w:cs="宋体"/>
          <w:color w:val="auto"/>
          <w:kern w:val="2"/>
          <w:highlight w:val="none"/>
        </w:rPr>
        <w:t xml:space="preserve"> </w:t>
      </w:r>
    </w:p>
    <w:p w14:paraId="4D82057D">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2.代理机构信息</w:t>
      </w:r>
      <w:bookmarkEnd w:id="0"/>
      <w:bookmarkEnd w:id="1"/>
    </w:p>
    <w:p w14:paraId="5F24F09F">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名称：杭州博望建设工程招标投标代理有限公司</w:t>
      </w:r>
    </w:p>
    <w:p w14:paraId="1581034D">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地址：杭州市萧山区金城路433号天汇园一幢A座5楼</w:t>
      </w:r>
    </w:p>
    <w:p w14:paraId="1AFE6058">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传真：0571-83881208</w:t>
      </w:r>
    </w:p>
    <w:p w14:paraId="45B2BB7E">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项目联系人（询问）：范梦迪</w:t>
      </w:r>
    </w:p>
    <w:p w14:paraId="24428379">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项目联系方式（询问）：0571-83881208</w:t>
      </w:r>
    </w:p>
    <w:p w14:paraId="02ED0E1B">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质疑联系人：高华萍</w:t>
      </w:r>
    </w:p>
    <w:p w14:paraId="7B324BDF">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质疑联系方式：0571-83881218</w:t>
      </w:r>
    </w:p>
    <w:p w14:paraId="41271BF0">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3.监督管理部门</w:t>
      </w:r>
    </w:p>
    <w:p w14:paraId="26F83C65">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名称：开发区财政局</w:t>
      </w:r>
    </w:p>
    <w:p w14:paraId="3BB05EF9">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地址：杭州市萧山区市心北路99号</w:t>
      </w:r>
    </w:p>
    <w:p w14:paraId="3B852BD2">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联系人：</w:t>
      </w:r>
      <w:r>
        <w:rPr>
          <w:rFonts w:hint="eastAsia" w:ascii="宋体" w:hAnsi="宋体" w:eastAsia="宋体" w:cs="宋体"/>
          <w:color w:val="auto"/>
          <w:highlight w:val="none"/>
        </w:rPr>
        <w:t>王先生</w:t>
      </w:r>
    </w:p>
    <w:p w14:paraId="73D1B147">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监督投诉电话：0571-82866806</w:t>
      </w:r>
    </w:p>
    <w:p w14:paraId="48651A33">
      <w:pPr>
        <w:widowControl w:val="0"/>
        <w:adjustRightInd w:val="0"/>
        <w:spacing w:after="0" w:line="360" w:lineRule="auto"/>
        <w:ind w:firstLine="420" w:firstLineChars="175"/>
        <w:jc w:val="both"/>
        <w:rPr>
          <w:rFonts w:ascii="宋体" w:hAnsi="宋体" w:eastAsia="宋体" w:cs="宋体"/>
          <w:color w:val="auto"/>
          <w:kern w:val="2"/>
          <w:highlight w:val="none"/>
        </w:rPr>
      </w:pPr>
    </w:p>
    <w:p w14:paraId="17082FFC">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若对项目采购电子交易系统操作有疑问，</w:t>
      </w:r>
      <w:r>
        <w:rPr>
          <w:rFonts w:hint="eastAsia" w:ascii="宋体" w:hAnsi="宋体" w:eastAsia="宋体" w:cs="宋体"/>
          <w:color w:val="auto"/>
          <w:highlight w:val="none"/>
        </w:rPr>
        <w:t>可登录乐采云平台（www.lecaiyun.com）</w:t>
      </w:r>
      <w:r>
        <w:rPr>
          <w:rFonts w:hint="eastAsia" w:ascii="宋体" w:hAnsi="宋体" w:eastAsia="宋体" w:cs="宋体"/>
          <w:color w:val="auto"/>
          <w:kern w:val="2"/>
          <w:highlight w:val="none"/>
        </w:rPr>
        <w:t>，点击右侧咨询小采，获取采小蜜智能服务管家帮助，或拨打乐采云服务热线95763获取热线服务帮助。</w:t>
      </w:r>
    </w:p>
    <w:p w14:paraId="5C3BAA05">
      <w:pPr>
        <w:widowControl w:val="0"/>
        <w:adjustRightInd w:val="0"/>
        <w:spacing w:after="0" w:line="360" w:lineRule="auto"/>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CA问题联系电话（人工）：汇信CA 400-888-4636；天谷CA 400-087-8198。</w:t>
      </w:r>
    </w:p>
    <w:p w14:paraId="39B6EDD3">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0D3819B4">
      <w:pPr>
        <w:pStyle w:val="2"/>
        <w:jc w:val="center"/>
        <w:rPr>
          <w:rFonts w:ascii="宋体" w:hAnsi="宋体" w:eastAsia="宋体" w:cs="宋体"/>
          <w:color w:val="auto"/>
          <w:highlight w:val="none"/>
        </w:rPr>
      </w:pPr>
      <w:r>
        <w:rPr>
          <w:rFonts w:hint="eastAsia" w:ascii="宋体" w:hAnsi="宋体" w:eastAsia="宋体" w:cs="宋体"/>
          <w:color w:val="auto"/>
          <w:highlight w:val="none"/>
        </w:rPr>
        <w:t>第二部分 投标人须知</w:t>
      </w:r>
    </w:p>
    <w:p w14:paraId="0532645C">
      <w:pPr>
        <w:pStyle w:val="3"/>
        <w:rPr>
          <w:rFonts w:ascii="宋体" w:hAnsi="宋体" w:eastAsia="宋体" w:cs="宋体"/>
          <w:color w:val="auto"/>
          <w:highlight w:val="none"/>
        </w:rPr>
      </w:pPr>
      <w:r>
        <w:rPr>
          <w:rFonts w:hint="eastAsia" w:ascii="宋体" w:hAnsi="宋体" w:eastAsia="宋体" w:cs="宋体"/>
          <w:color w:val="auto"/>
          <w:highlight w:val="none"/>
        </w:rPr>
        <w:t>前附表</w:t>
      </w:r>
    </w:p>
    <w:tbl>
      <w:tblPr>
        <w:tblStyle w:val="31"/>
        <w:tblW w:w="5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59"/>
        <w:gridCol w:w="6680"/>
      </w:tblGrid>
      <w:tr w14:paraId="506F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tcBorders>
              <w:bottom w:val="single" w:color="auto" w:sz="4" w:space="0"/>
            </w:tcBorders>
            <w:vAlign w:val="center"/>
          </w:tcPr>
          <w:p w14:paraId="11C5B00D">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865" w:type="pct"/>
            <w:tcBorders>
              <w:bottom w:val="single" w:color="auto" w:sz="4" w:space="0"/>
            </w:tcBorders>
            <w:vAlign w:val="center"/>
          </w:tcPr>
          <w:p w14:paraId="06BAE643">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事项</w:t>
            </w:r>
          </w:p>
        </w:tc>
        <w:tc>
          <w:tcPr>
            <w:tcW w:w="3708" w:type="pct"/>
            <w:tcBorders>
              <w:bottom w:val="single" w:color="auto" w:sz="4" w:space="0"/>
            </w:tcBorders>
            <w:vAlign w:val="center"/>
          </w:tcPr>
          <w:p w14:paraId="1A9064DD">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本项目特别规定</w:t>
            </w:r>
          </w:p>
        </w:tc>
      </w:tr>
      <w:tr w14:paraId="4233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64B22529">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1</w:t>
            </w:r>
          </w:p>
        </w:tc>
        <w:tc>
          <w:tcPr>
            <w:tcW w:w="865" w:type="pct"/>
            <w:tcBorders>
              <w:top w:val="single" w:color="auto" w:sz="4" w:space="0"/>
              <w:left w:val="single" w:color="auto" w:sz="4" w:space="0"/>
              <w:bottom w:val="single" w:color="auto" w:sz="4" w:space="0"/>
              <w:right w:val="single" w:color="auto" w:sz="4" w:space="0"/>
            </w:tcBorders>
            <w:vAlign w:val="center"/>
          </w:tcPr>
          <w:p w14:paraId="5E075DBE">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项目属性</w:t>
            </w:r>
          </w:p>
        </w:tc>
        <w:tc>
          <w:tcPr>
            <w:tcW w:w="3708" w:type="pct"/>
            <w:tcBorders>
              <w:top w:val="single" w:color="auto" w:sz="4" w:space="0"/>
              <w:left w:val="single" w:color="auto" w:sz="4" w:space="0"/>
              <w:bottom w:val="single" w:color="auto" w:sz="4" w:space="0"/>
              <w:right w:val="single" w:color="auto" w:sz="4" w:space="0"/>
            </w:tcBorders>
            <w:vAlign w:val="center"/>
          </w:tcPr>
          <w:p w14:paraId="15A8C994">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类。</w:t>
            </w:r>
          </w:p>
        </w:tc>
      </w:tr>
      <w:tr w14:paraId="2FD4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38FBFB0C">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2</w:t>
            </w:r>
          </w:p>
        </w:tc>
        <w:tc>
          <w:tcPr>
            <w:tcW w:w="865" w:type="pct"/>
            <w:tcBorders>
              <w:top w:val="single" w:color="auto" w:sz="4" w:space="0"/>
              <w:left w:val="single" w:color="auto" w:sz="4" w:space="0"/>
              <w:bottom w:val="single" w:color="auto" w:sz="4" w:space="0"/>
              <w:right w:val="single" w:color="auto" w:sz="4" w:space="0"/>
            </w:tcBorders>
            <w:vAlign w:val="center"/>
          </w:tcPr>
          <w:p w14:paraId="1CFDBA53">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分包</w:t>
            </w:r>
          </w:p>
        </w:tc>
        <w:tc>
          <w:tcPr>
            <w:tcW w:w="3708" w:type="pct"/>
            <w:tcBorders>
              <w:top w:val="single" w:color="auto" w:sz="4" w:space="0"/>
              <w:left w:val="single" w:color="auto" w:sz="4" w:space="0"/>
              <w:bottom w:val="single" w:color="auto" w:sz="4" w:space="0"/>
              <w:right w:val="single" w:color="auto" w:sz="4" w:space="0"/>
            </w:tcBorders>
            <w:vAlign w:val="center"/>
          </w:tcPr>
          <w:p w14:paraId="35898A9B">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（√）不同意分包。</w:t>
            </w:r>
          </w:p>
        </w:tc>
      </w:tr>
      <w:tr w14:paraId="6C0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26" w:type="pct"/>
            <w:tcBorders>
              <w:top w:val="single" w:color="auto" w:sz="4" w:space="0"/>
            </w:tcBorders>
            <w:vAlign w:val="center"/>
          </w:tcPr>
          <w:p w14:paraId="2497BD97">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3</w:t>
            </w:r>
          </w:p>
        </w:tc>
        <w:tc>
          <w:tcPr>
            <w:tcW w:w="865" w:type="pct"/>
            <w:tcBorders>
              <w:top w:val="single" w:color="auto" w:sz="4" w:space="0"/>
            </w:tcBorders>
            <w:vAlign w:val="center"/>
          </w:tcPr>
          <w:p w14:paraId="6A7FB993">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sz w:val="22"/>
                <w:szCs w:val="22"/>
                <w:highlight w:val="none"/>
              </w:rPr>
              <w:t>开标前答疑会或现场考察</w:t>
            </w:r>
          </w:p>
        </w:tc>
        <w:tc>
          <w:tcPr>
            <w:tcW w:w="3708" w:type="pct"/>
            <w:tcBorders>
              <w:top w:val="single" w:color="auto" w:sz="4" w:space="0"/>
            </w:tcBorders>
            <w:vAlign w:val="center"/>
          </w:tcPr>
          <w:p w14:paraId="58D7D768">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（√）不组织。</w:t>
            </w:r>
          </w:p>
        </w:tc>
      </w:tr>
      <w:tr w14:paraId="2140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26" w:type="pct"/>
            <w:vAlign w:val="center"/>
          </w:tcPr>
          <w:p w14:paraId="12C9462A">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4</w:t>
            </w:r>
          </w:p>
        </w:tc>
        <w:tc>
          <w:tcPr>
            <w:tcW w:w="865" w:type="pct"/>
            <w:vAlign w:val="center"/>
          </w:tcPr>
          <w:p w14:paraId="436BFC83">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样品提供</w:t>
            </w:r>
          </w:p>
        </w:tc>
        <w:tc>
          <w:tcPr>
            <w:tcW w:w="3708" w:type="pct"/>
            <w:vAlign w:val="center"/>
          </w:tcPr>
          <w:p w14:paraId="6EE090E1">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val="0"/>
                <w:bCs w:val="0"/>
                <w:color w:val="auto"/>
                <w:highlight w:val="none"/>
              </w:rPr>
            </w:pPr>
            <w:r>
              <w:rPr>
                <w:rFonts w:hint="eastAsia" w:ascii="宋体" w:hAnsi="宋体" w:eastAsia="宋体" w:cs="宋体"/>
                <w:b w:val="0"/>
                <w:bCs w:val="0"/>
                <w:color w:val="auto"/>
                <w:highlight w:val="none"/>
              </w:rPr>
              <w:t>（√）A不要求提供。</w:t>
            </w:r>
          </w:p>
          <w:p w14:paraId="753DB113">
            <w:pPr>
              <w:pStyle w:val="5"/>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）B要求提供</w:t>
            </w:r>
            <w:r>
              <w:rPr>
                <w:rFonts w:hint="eastAsia" w:ascii="宋体" w:hAnsi="宋体" w:eastAsia="宋体" w:cs="宋体"/>
                <w:b w:val="0"/>
                <w:bCs w:val="0"/>
                <w:color w:val="auto"/>
                <w:highlight w:val="none"/>
                <w:lang w:eastAsia="zh-CN"/>
              </w:rPr>
              <w:t>。</w:t>
            </w:r>
          </w:p>
        </w:tc>
      </w:tr>
      <w:tr w14:paraId="04E3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2821852F">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5</w:t>
            </w:r>
          </w:p>
        </w:tc>
        <w:tc>
          <w:tcPr>
            <w:tcW w:w="865" w:type="pct"/>
            <w:vAlign w:val="center"/>
          </w:tcPr>
          <w:p w14:paraId="5AB0AB15">
            <w:pPr>
              <w:keepNext w:val="0"/>
              <w:keepLines w:val="0"/>
              <w:pageBreakBefore w:val="0"/>
              <w:kinsoku/>
              <w:wordWrap/>
              <w:overflowPunct/>
              <w:topLinePunct w:val="0"/>
              <w:autoSpaceDE/>
              <w:autoSpaceDN/>
              <w:bidi w:val="0"/>
              <w:spacing w:after="0" w:line="44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方案讲解</w:t>
            </w:r>
          </w:p>
          <w:p w14:paraId="1F77393F">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演示</w:t>
            </w:r>
          </w:p>
        </w:tc>
        <w:tc>
          <w:tcPr>
            <w:tcW w:w="3708" w:type="pct"/>
            <w:vAlign w:val="center"/>
          </w:tcPr>
          <w:p w14:paraId="331E565D">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（√）不要求。</w:t>
            </w:r>
          </w:p>
        </w:tc>
      </w:tr>
      <w:tr w14:paraId="5D6C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426" w:type="pct"/>
            <w:vAlign w:val="center"/>
          </w:tcPr>
          <w:p w14:paraId="2EBC524B">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6</w:t>
            </w:r>
          </w:p>
        </w:tc>
        <w:tc>
          <w:tcPr>
            <w:tcW w:w="865" w:type="pct"/>
            <w:vAlign w:val="center"/>
          </w:tcPr>
          <w:p w14:paraId="364B3CCC">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报价要求</w:t>
            </w:r>
          </w:p>
        </w:tc>
        <w:tc>
          <w:tcPr>
            <w:tcW w:w="3708" w:type="pct"/>
            <w:vAlign w:val="center"/>
          </w:tcPr>
          <w:p w14:paraId="2BFFA6F3">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有关本项目实施所需的所有费用（含税费）均计入报价。</w:t>
            </w:r>
            <w:r>
              <w:rPr>
                <w:rFonts w:hint="eastAsia" w:ascii="宋体" w:hAnsi="宋体" w:eastAsia="宋体" w:cs="宋体"/>
                <w:color w:val="auto"/>
                <w:highlight w:val="none"/>
              </w:rPr>
              <w:t>开标一览表（报价表）是报价的唯一载体</w:t>
            </w:r>
            <w:r>
              <w:rPr>
                <w:rFonts w:hint="eastAsia" w:ascii="宋体" w:hAnsi="宋体" w:eastAsia="宋体" w:cs="宋体"/>
                <w:color w:val="auto"/>
                <w:highlight w:val="none"/>
                <w:lang w:val="zh-CN"/>
              </w:rPr>
              <w:t>。投标文件中价格全部采用人民币报价。招标文件未列明，而投标人认为必需的费用也需列入报价。提醒：验收时检测费用由采购人承担，不包含在投标总价中。</w:t>
            </w:r>
          </w:p>
          <w:p w14:paraId="2850B074">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投标报价出现下列情形的，投标无效：</w:t>
            </w:r>
          </w:p>
          <w:p w14:paraId="1D89FF0B">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投标文件出现不是唯一的、有选择性投标报价的；</w:t>
            </w:r>
          </w:p>
          <w:p w14:paraId="163BEF44">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投标报价超过招标文件中规定的预算金额或者最高限价的；</w:t>
            </w:r>
          </w:p>
          <w:p w14:paraId="69899E6A">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报价明显低于其他通过符合性审查投标人的报价，有可能影响产品质量或者不能诚信履约的，未能按要求提供书面说明或者提交相关证明材料证明其报价合理性的；</w:t>
            </w:r>
          </w:p>
          <w:p w14:paraId="2C0177B6">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投标人对根据修正原则修正后的报价不确认的。</w:t>
            </w:r>
          </w:p>
          <w:p w14:paraId="4BC07B95">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资格文件、商务技术文件与报价文件未分开制作。</w:t>
            </w:r>
          </w:p>
        </w:tc>
      </w:tr>
      <w:tr w14:paraId="1088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231EBD15">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7</w:t>
            </w:r>
          </w:p>
        </w:tc>
        <w:tc>
          <w:tcPr>
            <w:tcW w:w="865" w:type="pct"/>
            <w:vAlign w:val="center"/>
          </w:tcPr>
          <w:p w14:paraId="17870B3E">
            <w:pPr>
              <w:keepNext w:val="0"/>
              <w:keepLines w:val="0"/>
              <w:pageBreakBefore w:val="0"/>
              <w:kinsoku/>
              <w:wordWrap/>
              <w:overflowPunct/>
              <w:topLinePunct w:val="0"/>
              <w:autoSpaceDE/>
              <w:autoSpaceDN/>
              <w:bidi w:val="0"/>
              <w:spacing w:after="0" w:line="44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备份投标</w:t>
            </w:r>
          </w:p>
          <w:p w14:paraId="33E3FBC4">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文件</w:t>
            </w:r>
          </w:p>
        </w:tc>
        <w:tc>
          <w:tcPr>
            <w:tcW w:w="3708" w:type="pct"/>
            <w:vAlign w:val="center"/>
          </w:tcPr>
          <w:p w14:paraId="13E7EE79">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b/>
                <w:bCs/>
                <w:snapToGrid w:val="0"/>
                <w:color w:val="auto"/>
                <w:kern w:val="28"/>
                <w:highlight w:val="none"/>
                <w:lang w:val="zh-CN"/>
              </w:rPr>
              <w:t>备份文件是否收取：</w:t>
            </w:r>
            <w:r>
              <w:rPr>
                <w:rFonts w:hint="eastAsia" w:ascii="宋体" w:hAnsi="宋体" w:eastAsia="宋体" w:cs="宋体"/>
                <w:snapToGrid w:val="0"/>
                <w:color w:val="auto"/>
                <w:kern w:val="28"/>
                <w:highlight w:val="none"/>
                <w:u w:val="single"/>
              </w:rPr>
              <w:t>不收取</w:t>
            </w:r>
            <w:r>
              <w:rPr>
                <w:rFonts w:hint="eastAsia" w:ascii="宋体" w:hAnsi="宋体" w:eastAsia="宋体" w:cs="宋体"/>
                <w:snapToGrid w:val="0"/>
                <w:color w:val="auto"/>
                <w:kern w:val="28"/>
                <w:highlight w:val="none"/>
              </w:rPr>
              <w:t>。</w:t>
            </w:r>
          </w:p>
        </w:tc>
      </w:tr>
      <w:tr w14:paraId="697C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6" w:type="pct"/>
            <w:vAlign w:val="center"/>
          </w:tcPr>
          <w:p w14:paraId="6EDF0569">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8</w:t>
            </w:r>
          </w:p>
        </w:tc>
        <w:tc>
          <w:tcPr>
            <w:tcW w:w="865" w:type="pct"/>
            <w:vAlign w:val="center"/>
          </w:tcPr>
          <w:p w14:paraId="519C34E9">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代理机构代理费用</w:t>
            </w:r>
          </w:p>
        </w:tc>
        <w:tc>
          <w:tcPr>
            <w:tcW w:w="3708" w:type="pct"/>
            <w:vAlign w:val="center"/>
          </w:tcPr>
          <w:p w14:paraId="5BED4CDB">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snapToGrid w:val="0"/>
                <w:color w:val="auto"/>
                <w:kern w:val="28"/>
                <w:highlight w:val="none"/>
                <w:lang w:val="zh-CN"/>
              </w:rPr>
              <w:t>本项目采购代理费由</w:t>
            </w:r>
            <w:r>
              <w:rPr>
                <w:rFonts w:hint="eastAsia" w:ascii="宋体" w:hAnsi="宋体" w:eastAsia="宋体" w:cs="宋体"/>
                <w:snapToGrid w:val="0"/>
                <w:color w:val="auto"/>
                <w:kern w:val="28"/>
                <w:highlight w:val="none"/>
              </w:rPr>
              <w:t>采购</w:t>
            </w:r>
            <w:r>
              <w:rPr>
                <w:rFonts w:hint="eastAsia" w:ascii="宋体" w:hAnsi="宋体" w:eastAsia="宋体" w:cs="宋体"/>
                <w:snapToGrid w:val="0"/>
                <w:color w:val="auto"/>
                <w:kern w:val="28"/>
                <w:highlight w:val="none"/>
                <w:lang w:val="zh-CN"/>
              </w:rPr>
              <w:t>人支付。</w:t>
            </w:r>
          </w:p>
        </w:tc>
      </w:tr>
      <w:tr w14:paraId="06F6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26" w:type="pct"/>
            <w:vAlign w:val="center"/>
          </w:tcPr>
          <w:p w14:paraId="3641AEB9">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9</w:t>
            </w:r>
          </w:p>
        </w:tc>
        <w:tc>
          <w:tcPr>
            <w:tcW w:w="865" w:type="pct"/>
            <w:vAlign w:val="center"/>
          </w:tcPr>
          <w:p w14:paraId="581A4D18">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履约保证金</w:t>
            </w:r>
          </w:p>
        </w:tc>
        <w:tc>
          <w:tcPr>
            <w:tcW w:w="3708" w:type="pct"/>
            <w:vAlign w:val="center"/>
          </w:tcPr>
          <w:p w14:paraId="2DAA528F">
            <w:pPr>
              <w:pStyle w:val="19"/>
              <w:keepNext w:val="0"/>
              <w:keepLines w:val="0"/>
              <w:pageBreakBefore w:val="0"/>
              <w:kinsoku/>
              <w:wordWrap/>
              <w:overflowPunct/>
              <w:topLinePunct w:val="0"/>
              <w:autoSpaceDE/>
              <w:autoSpaceDN/>
              <w:bidi w:val="0"/>
              <w:spacing w:line="440" w:lineRule="exact"/>
              <w:ind w:hanging="4"/>
              <w:textAlignment w:val="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履约保证金：</w:t>
            </w:r>
            <w:r>
              <w:rPr>
                <w:rFonts w:hint="eastAsia" w:hAnsi="宋体" w:cs="宋体"/>
                <w:color w:val="auto"/>
                <w:sz w:val="24"/>
                <w:szCs w:val="24"/>
                <w:highlight w:val="none"/>
                <w:u w:val="single"/>
                <w:lang w:val="en-US" w:eastAsia="zh-CN"/>
              </w:rPr>
              <w:t>不收取</w:t>
            </w:r>
          </w:p>
          <w:p w14:paraId="3C8AFE8A">
            <w:pPr>
              <w:pStyle w:val="19"/>
              <w:keepNext w:val="0"/>
              <w:keepLines w:val="0"/>
              <w:pageBreakBefore w:val="0"/>
              <w:kinsoku/>
              <w:wordWrap/>
              <w:overflowPunct/>
              <w:topLinePunct w:val="0"/>
              <w:autoSpaceDE/>
              <w:autoSpaceDN/>
              <w:bidi w:val="0"/>
              <w:spacing w:line="440" w:lineRule="exact"/>
              <w:ind w:hanging="4"/>
              <w:textAlignment w:val="auto"/>
              <w:rPr>
                <w:rFonts w:hAnsi="宋体" w:cs="宋体"/>
                <w:color w:val="auto"/>
                <w:sz w:val="24"/>
                <w:szCs w:val="24"/>
                <w:highlight w:val="none"/>
              </w:rPr>
            </w:pPr>
            <w:r>
              <w:rPr>
                <w:rFonts w:hint="eastAsia" w:hAnsi="宋体" w:cs="宋体"/>
                <w:color w:val="auto"/>
                <w:sz w:val="24"/>
                <w:szCs w:val="24"/>
                <w:highlight w:val="none"/>
              </w:rPr>
              <w:t>供应商应当以支票、汇票、本票或者金融机构、担保机构出具的保函等非现金形式提交。</w:t>
            </w:r>
          </w:p>
        </w:tc>
      </w:tr>
      <w:tr w14:paraId="0FFD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6" w:type="pct"/>
            <w:vAlign w:val="center"/>
          </w:tcPr>
          <w:p w14:paraId="6E3F518F">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10</w:t>
            </w:r>
          </w:p>
        </w:tc>
        <w:tc>
          <w:tcPr>
            <w:tcW w:w="865" w:type="pct"/>
            <w:vAlign w:val="center"/>
          </w:tcPr>
          <w:p w14:paraId="458EA049">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资格审查和信用信息审查</w:t>
            </w:r>
          </w:p>
        </w:tc>
        <w:tc>
          <w:tcPr>
            <w:tcW w:w="3708" w:type="pct"/>
            <w:vAlign w:val="center"/>
          </w:tcPr>
          <w:p w14:paraId="5AD7709E">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本项目由采购人进行资格文件及信用信息查询。</w:t>
            </w:r>
          </w:p>
        </w:tc>
      </w:tr>
      <w:tr w14:paraId="0E5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Align w:val="center"/>
          </w:tcPr>
          <w:p w14:paraId="1F04BFB5">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11</w:t>
            </w:r>
          </w:p>
        </w:tc>
        <w:tc>
          <w:tcPr>
            <w:tcW w:w="865" w:type="pct"/>
            <w:vAlign w:val="center"/>
          </w:tcPr>
          <w:p w14:paraId="44CF6D1A">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质疑接收人及答复</w:t>
            </w:r>
          </w:p>
        </w:tc>
        <w:tc>
          <w:tcPr>
            <w:tcW w:w="3708" w:type="pct"/>
            <w:vAlign w:val="center"/>
          </w:tcPr>
          <w:p w14:paraId="53E0DCC6">
            <w:pPr>
              <w:keepNext w:val="0"/>
              <w:keepLines w:val="0"/>
              <w:pageBreakBefore w:val="0"/>
              <w:kinsoku/>
              <w:wordWrap/>
              <w:overflowPunct/>
              <w:topLinePunct w:val="0"/>
              <w:autoSpaceDE/>
              <w:autoSpaceDN/>
              <w:bidi w:val="0"/>
              <w:snapToGrid w:val="0"/>
              <w:spacing w:after="0" w:line="440" w:lineRule="exact"/>
              <w:textAlignment w:val="auto"/>
              <w:rPr>
                <w:rFonts w:ascii="宋体" w:hAnsi="宋体" w:eastAsia="宋体" w:cs="宋体"/>
                <w:color w:val="auto"/>
                <w:highlight w:val="none"/>
                <w:u w:val="single"/>
              </w:rPr>
            </w:pPr>
            <w:r>
              <w:rPr>
                <w:rFonts w:hint="eastAsia" w:ascii="宋体" w:hAnsi="宋体" w:eastAsia="宋体" w:cs="宋体"/>
                <w:color w:val="auto"/>
                <w:highlight w:val="none"/>
              </w:rPr>
              <w:t>采购人、代理机构质疑接收人、联系方式：详见公告</w:t>
            </w:r>
          </w:p>
          <w:p w14:paraId="05DBA075">
            <w:pPr>
              <w:keepNext w:val="0"/>
              <w:keepLines w:val="0"/>
              <w:pageBreakBefore w:val="0"/>
              <w:kinsoku/>
              <w:wordWrap/>
              <w:overflowPunct/>
              <w:topLinePunct w:val="0"/>
              <w:autoSpaceDE/>
              <w:autoSpaceDN/>
              <w:bidi w:val="0"/>
              <w:snapToGrid w:val="0"/>
              <w:spacing w:after="0" w:line="440" w:lineRule="exact"/>
              <w:textAlignment w:val="auto"/>
              <w:rPr>
                <w:rFonts w:ascii="宋体" w:hAnsi="宋体" w:eastAsia="宋体" w:cs="宋体"/>
                <w:b/>
                <w:color w:val="auto"/>
                <w:highlight w:val="none"/>
              </w:rPr>
            </w:pPr>
            <w:r>
              <w:rPr>
                <w:rFonts w:hint="eastAsia" w:ascii="宋体" w:hAnsi="宋体" w:eastAsia="宋体" w:cs="宋体"/>
                <w:b/>
                <w:color w:val="auto"/>
                <w:highlight w:val="none"/>
              </w:rPr>
              <w:t>线上提交质疑方式：乐采云线上质疑路径：项目采购－询问质疑投诉－质疑列表。请使用ca签章在每一页质疑文件中加盖电子公章，上传完整附件。</w:t>
            </w:r>
          </w:p>
          <w:p w14:paraId="50A1FFB5">
            <w:pPr>
              <w:keepNext w:val="0"/>
              <w:keepLines w:val="0"/>
              <w:pageBreakBefore w:val="0"/>
              <w:kinsoku/>
              <w:wordWrap/>
              <w:overflowPunct/>
              <w:topLinePunct w:val="0"/>
              <w:autoSpaceDE/>
              <w:autoSpaceDN/>
              <w:bidi w:val="0"/>
              <w:snapToGrid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本项目涉及资格条件、采购需求、评分办法及采购过程中有关现场考察或开标前答疑会等事项由采购人进行答复。</w:t>
            </w:r>
          </w:p>
          <w:p w14:paraId="300E2E7C">
            <w:pPr>
              <w:keepNext w:val="0"/>
              <w:keepLines w:val="0"/>
              <w:pageBreakBefore w:val="0"/>
              <w:kinsoku/>
              <w:wordWrap/>
              <w:overflowPunct/>
              <w:topLinePunct w:val="0"/>
              <w:autoSpaceDE/>
              <w:autoSpaceDN/>
              <w:bidi w:val="0"/>
              <w:spacing w:after="0" w:line="440" w:lineRule="exact"/>
              <w:textAlignment w:val="auto"/>
              <w:rPr>
                <w:rFonts w:ascii="宋体" w:hAnsi="宋体" w:eastAsia="宋体" w:cs="宋体"/>
                <w:color w:val="auto"/>
                <w:highlight w:val="none"/>
              </w:rPr>
            </w:pPr>
            <w:r>
              <w:rPr>
                <w:rFonts w:hint="eastAsia" w:ascii="宋体" w:hAnsi="宋体" w:eastAsia="宋体" w:cs="宋体"/>
                <w:color w:val="auto"/>
                <w:highlight w:val="none"/>
              </w:rPr>
              <w:t>涉及流程规范性、组织程序等相关事项，由代理机构进行答复。</w:t>
            </w:r>
          </w:p>
        </w:tc>
      </w:tr>
      <w:tr w14:paraId="366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3CF0408B">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12</w:t>
            </w:r>
          </w:p>
        </w:tc>
        <w:tc>
          <w:tcPr>
            <w:tcW w:w="865" w:type="pct"/>
            <w:vAlign w:val="center"/>
          </w:tcPr>
          <w:p w14:paraId="7FCC4338">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b/>
                <w:color w:val="auto"/>
                <w:highlight w:val="none"/>
              </w:rPr>
              <w:t>特别说明</w:t>
            </w:r>
          </w:p>
        </w:tc>
        <w:tc>
          <w:tcPr>
            <w:tcW w:w="3708" w:type="pct"/>
            <w:vAlign w:val="center"/>
          </w:tcPr>
          <w:p w14:paraId="1497CDE8">
            <w:pPr>
              <w:keepNext w:val="0"/>
              <w:keepLines w:val="0"/>
              <w:pageBreakBefore w:val="0"/>
              <w:kinsoku/>
              <w:wordWrap/>
              <w:overflowPunct/>
              <w:topLinePunct w:val="0"/>
              <w:autoSpaceDE/>
              <w:autoSpaceDN/>
              <w:bidi w:val="0"/>
              <w:spacing w:after="0" w:line="440" w:lineRule="exact"/>
              <w:textAlignment w:val="auto"/>
              <w:rPr>
                <w:rFonts w:hint="eastAsia" w:ascii="宋体" w:hAnsi="宋体" w:eastAsia="宋体" w:cs="宋体"/>
                <w:color w:val="auto"/>
                <w:highlight w:val="none"/>
                <w:lang w:eastAsia="zh-CN"/>
              </w:rPr>
            </w:pPr>
            <w:r>
              <w:rPr>
                <w:rFonts w:hint="eastAsia" w:ascii="宋体" w:hAnsi="宋体" w:eastAsia="宋体" w:cs="宋体"/>
                <w:b/>
                <w:color w:val="auto"/>
                <w:highlight w:val="none"/>
              </w:rPr>
              <w:t>本项目通用总则条款与前附表等专用特别规定有冲突之处，以专用条款（特别规定）为准</w:t>
            </w:r>
            <w:r>
              <w:rPr>
                <w:rFonts w:hint="eastAsia" w:ascii="宋体" w:hAnsi="宋体" w:eastAsia="宋体" w:cs="宋体"/>
                <w:b/>
                <w:color w:val="auto"/>
                <w:highlight w:val="none"/>
                <w:lang w:eastAsia="zh-CN"/>
              </w:rPr>
              <w:t>。</w:t>
            </w:r>
          </w:p>
        </w:tc>
      </w:tr>
      <w:tr w14:paraId="5D02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6" w:type="pct"/>
            <w:vAlign w:val="center"/>
          </w:tcPr>
          <w:p w14:paraId="4CFE23B6">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13</w:t>
            </w:r>
          </w:p>
        </w:tc>
        <w:tc>
          <w:tcPr>
            <w:tcW w:w="865" w:type="pct"/>
            <w:vAlign w:val="center"/>
          </w:tcPr>
          <w:p w14:paraId="5DA21BEB">
            <w:pPr>
              <w:keepNext w:val="0"/>
              <w:keepLines w:val="0"/>
              <w:pageBreakBefore w:val="0"/>
              <w:kinsoku/>
              <w:wordWrap/>
              <w:overflowPunct/>
              <w:topLinePunct w:val="0"/>
              <w:autoSpaceDE/>
              <w:autoSpaceDN/>
              <w:bidi w:val="0"/>
              <w:spacing w:after="0" w:line="440" w:lineRule="exact"/>
              <w:jc w:val="center"/>
              <w:textAlignment w:val="auto"/>
              <w:rPr>
                <w:rFonts w:ascii="宋体" w:hAnsi="宋体" w:eastAsia="宋体" w:cs="宋体"/>
                <w:b/>
                <w:color w:val="auto"/>
                <w:highlight w:val="none"/>
              </w:rPr>
            </w:pPr>
            <w:r>
              <w:rPr>
                <w:rFonts w:hint="eastAsia" w:ascii="宋体" w:hAnsi="宋体" w:eastAsia="宋体" w:cs="宋体"/>
                <w:b/>
                <w:color w:val="auto"/>
                <w:highlight w:val="none"/>
              </w:rPr>
              <w:t>其他</w:t>
            </w:r>
          </w:p>
        </w:tc>
        <w:tc>
          <w:tcPr>
            <w:tcW w:w="3708" w:type="pct"/>
            <w:vAlign w:val="center"/>
          </w:tcPr>
          <w:p w14:paraId="25B982B5">
            <w:pPr>
              <w:keepNext w:val="0"/>
              <w:keepLines w:val="0"/>
              <w:pageBreakBefore w:val="0"/>
              <w:kinsoku/>
              <w:wordWrap/>
              <w:overflowPunct/>
              <w:topLinePunct w:val="0"/>
              <w:autoSpaceDE/>
              <w:autoSpaceDN/>
              <w:bidi w:val="0"/>
              <w:spacing w:after="0" w:line="440" w:lineRule="exac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中标单位在中标后提供纸质投标文件一正二副（需加盖公章）</w:t>
            </w:r>
            <w:r>
              <w:rPr>
                <w:rFonts w:hint="eastAsia" w:ascii="宋体" w:hAnsi="宋体" w:eastAsia="宋体" w:cs="宋体"/>
                <w:b/>
                <w:color w:val="auto"/>
                <w:highlight w:val="none"/>
                <w:lang w:eastAsia="zh-CN"/>
              </w:rPr>
              <w:t>。</w:t>
            </w:r>
          </w:p>
        </w:tc>
      </w:tr>
    </w:tbl>
    <w:p w14:paraId="07DA944F">
      <w:pPr>
        <w:rPr>
          <w:rFonts w:ascii="宋体" w:hAnsi="宋体" w:eastAsia="宋体" w:cs="宋体"/>
          <w:color w:val="auto"/>
          <w:highlight w:val="none"/>
        </w:rPr>
      </w:pPr>
    </w:p>
    <w:p w14:paraId="0294E958">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2DD6F7F7">
      <w:pPr>
        <w:pStyle w:val="3"/>
        <w:rPr>
          <w:rFonts w:ascii="宋体" w:hAnsi="宋体" w:eastAsia="宋体" w:cs="宋体"/>
          <w:color w:val="auto"/>
          <w:highlight w:val="none"/>
        </w:rPr>
      </w:pPr>
      <w:r>
        <w:rPr>
          <w:rFonts w:hint="eastAsia" w:ascii="宋体" w:hAnsi="宋体" w:eastAsia="宋体" w:cs="宋体"/>
          <w:color w:val="auto"/>
          <w:highlight w:val="none"/>
        </w:rPr>
        <w:t>一、总则</w:t>
      </w:r>
    </w:p>
    <w:p w14:paraId="50E8A58E">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1.适用范围</w:t>
      </w:r>
    </w:p>
    <w:p w14:paraId="0A7BF99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本招标文件适用于该项目的招标、投标、开标、资格审查及信用信息查询、评标、定标、合同、验收等行为（法律、法规另有规定的，从其规定）。</w:t>
      </w:r>
    </w:p>
    <w:p w14:paraId="0D405280">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2.定义</w:t>
      </w:r>
    </w:p>
    <w:p w14:paraId="62CD48A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2.1“采购人”系指招标公告中载明的本项目的采购人。</w:t>
      </w:r>
    </w:p>
    <w:p w14:paraId="30CB8DD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2.2“代理机构”系指招标公告中载明的本项目的代理机构。</w:t>
      </w:r>
    </w:p>
    <w:p w14:paraId="777657E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2.3“投标人”系指是指响应招标、参加投标竞争的法人、其他组织或者自然人。</w:t>
      </w:r>
    </w:p>
    <w:p w14:paraId="650573C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2.4“负责人”系指法人企业的法定负责人，或其他组织为法律、行政法规规定代表单位行使职权的主要负责人，或自然人本人。</w:t>
      </w:r>
    </w:p>
    <w:p w14:paraId="6134E9C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2.5“电子签名”系指数据电文中以电子形式所含、所附用于识别签名人身份并表明签名人认可其中内容的数据，投标人电子签名指投标人电子公章；“公章”系指单位法定名称章。</w:t>
      </w:r>
    </w:p>
    <w:p w14:paraId="1B7C3EA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2.6“电子交易平台”是指本项目交易活动所依托的乐采云平台（www.lecaiyun.com）。</w:t>
      </w:r>
    </w:p>
    <w:p w14:paraId="300EA56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2.7 “▲” 系指实质性要求条款，“（√）” 系指适用本项目的要求，“（  ）”系指不适用本项目的要求。</w:t>
      </w:r>
    </w:p>
    <w:p w14:paraId="2B6319F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3.询问、质疑、投诉</w:t>
      </w:r>
    </w:p>
    <w:p w14:paraId="09ADB90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3.1供应商询问</w:t>
      </w:r>
    </w:p>
    <w:p w14:paraId="15761057">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A8FDD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3.2供应商质疑</w:t>
      </w:r>
    </w:p>
    <w:p w14:paraId="1FE808C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3.2.1提出质疑的供应商应当是参与所质疑项目采购活动的供应商。潜在供应商已依法获取其可质疑的招标文件的，可以对该文件提出质疑。</w:t>
      </w:r>
    </w:p>
    <w:p w14:paraId="598ACC48">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3.2.2供应商认为招标文件、采购过程和中标结果使自己的权益受到损害的，可以在知道或者应知其权益受到损害之日起七个工作日内，以书面形式向采购人或者代理机构提出质疑，否则，采购人或者代理机构不予受理：</w:t>
      </w:r>
    </w:p>
    <w:p w14:paraId="0341F1F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3.2.2.1对招标文件提出质疑的，质疑期限为供应商获得招标文件之日或者招标文件公告期限届满之日起计算。</w:t>
      </w:r>
    </w:p>
    <w:p w14:paraId="1433C10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3.2.2.2对采购过程提出质疑的，质疑期限为各采购程序环节结束之日起计算。对同一采购程序环节的质疑，供应商须一次性提出。</w:t>
      </w:r>
    </w:p>
    <w:p w14:paraId="7B5B91B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3.2.2.3对采购结果提出质疑的，质疑期限自采购结果公告期限届满之日起计算。</w:t>
      </w:r>
    </w:p>
    <w:p w14:paraId="4102F54B">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3.2.3供应商提出质疑应当提交质疑函和必要的证明材料。质疑函应当包括下列内容：</w:t>
      </w:r>
    </w:p>
    <w:p w14:paraId="6D72E50C">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3.2.3.1供应商的姓名或者名称、地址、邮编、联系人及联系电话；</w:t>
      </w:r>
    </w:p>
    <w:p w14:paraId="4F37CCB1">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3.2.3.2质疑项目的名称、编号；</w:t>
      </w:r>
    </w:p>
    <w:p w14:paraId="7209B8C7">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3.2.3.3具体、明确的质疑事项和与质疑事项相关的请求；</w:t>
      </w:r>
    </w:p>
    <w:p w14:paraId="011D3335">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3.2.3.4事实依据；</w:t>
      </w:r>
    </w:p>
    <w:p w14:paraId="60AFA390">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3.2.3.5必要的法律依据；</w:t>
      </w:r>
    </w:p>
    <w:p w14:paraId="77A81BB4">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3.2.3.6提出质疑的日期。</w:t>
      </w:r>
    </w:p>
    <w:p w14:paraId="79FBFE13">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供应商提交的质疑函需一式三份。供应商为自然人的，应当由本人签字；供应商为法人或者其他组织的，应当由法定代表人、主要负责人，或者其授权代表签字或者盖章，并加盖公章。</w:t>
      </w:r>
    </w:p>
    <w:p w14:paraId="2BD2B2AE">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质疑函范本及制作说明详见附件1。</w:t>
      </w:r>
    </w:p>
    <w:p w14:paraId="7D15AE4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3.2.4采购人或者代理机构应当在收到供应商的书面质疑后七个工作日内作出答复，并以书面形式通知质疑供应商和其他与质疑处理结果有利害关系的采购当事人，但答复的内容不得涉及商业秘密。</w:t>
      </w:r>
    </w:p>
    <w:p w14:paraId="3151EE2E">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3.2.5询问或者质疑事项可能影响采购结果的，采购人应当暂停签订合同，已经签订合同的，应当中止履行合同。</w:t>
      </w:r>
    </w:p>
    <w:p w14:paraId="4AC4378E">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3.3供应商投诉</w:t>
      </w:r>
    </w:p>
    <w:p w14:paraId="1C9C363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3.3.1质疑供应商对采购人、代理机构的答复不满意或者采购人、代理机构未在规定的时间内作出答复的，可以在答复期满后十五个工作日内向有关部门提出投诉。</w:t>
      </w:r>
    </w:p>
    <w:p w14:paraId="4C517F6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3.3.2供应商投诉的事项不得超出已质疑事项的范围，基于质疑答复内容提出的投诉事项除外。</w:t>
      </w:r>
    </w:p>
    <w:p w14:paraId="28EA5B8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3.3.3供应商投诉应当有明确的请求和必要的证明材料。</w:t>
      </w:r>
    </w:p>
    <w:p w14:paraId="6B98F3A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投诉书范本及制作说明详见附件2。</w:t>
      </w:r>
    </w:p>
    <w:p w14:paraId="5AE41DD4">
      <w:pPr>
        <w:pStyle w:val="3"/>
        <w:rPr>
          <w:rFonts w:ascii="宋体" w:hAnsi="宋体" w:eastAsia="宋体" w:cs="宋体"/>
          <w:color w:val="auto"/>
          <w:highlight w:val="none"/>
        </w:rPr>
      </w:pPr>
      <w:r>
        <w:rPr>
          <w:rFonts w:hint="eastAsia" w:ascii="宋体" w:hAnsi="宋体" w:eastAsia="宋体" w:cs="宋体"/>
          <w:color w:val="auto"/>
          <w:highlight w:val="none"/>
        </w:rPr>
        <w:t>二、招标文件的构成、澄清、修改</w:t>
      </w:r>
    </w:p>
    <w:p w14:paraId="3A4AFF8C">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4．招标文件的构成</w:t>
      </w:r>
    </w:p>
    <w:p w14:paraId="1CD2FFE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4.1招标文件包括下列文件及附件：</w:t>
      </w:r>
    </w:p>
    <w:p w14:paraId="2ED2E0CA">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4.1.1招标公告；</w:t>
      </w:r>
    </w:p>
    <w:p w14:paraId="3334CF64">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4.1.2投标人须知；</w:t>
      </w:r>
    </w:p>
    <w:p w14:paraId="66BD98FA">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4.1.3采购需求；</w:t>
      </w:r>
    </w:p>
    <w:p w14:paraId="5E19D865">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4.1.4评标办法；</w:t>
      </w:r>
    </w:p>
    <w:p w14:paraId="431DB201">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4.1.5拟签订的合同文本；</w:t>
      </w:r>
    </w:p>
    <w:p w14:paraId="6ED8A68D">
      <w:pPr>
        <w:widowControl w:val="0"/>
        <w:adjustRightInd w:val="0"/>
        <w:spacing w:after="0" w:line="48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4.1.6应提交的有关格式范例。</w:t>
      </w:r>
    </w:p>
    <w:p w14:paraId="5BA6572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4.2与本项目有关的澄清或者修改的内容为招标文件的组成部分。</w:t>
      </w:r>
    </w:p>
    <w:p w14:paraId="56628A37">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5.招标文件的澄清、修改</w:t>
      </w:r>
    </w:p>
    <w:p w14:paraId="16DDB807">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5.1已获取招标文件的潜在投标人，若有问题需要澄清，应于投标截止时间前，以书面形式向代理机构提出。</w:t>
      </w:r>
    </w:p>
    <w:p w14:paraId="5B367FE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5.2 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B76556">
      <w:pPr>
        <w:pStyle w:val="3"/>
        <w:rPr>
          <w:rFonts w:ascii="宋体" w:hAnsi="宋体" w:eastAsia="宋体" w:cs="宋体"/>
          <w:color w:val="auto"/>
          <w:highlight w:val="none"/>
        </w:rPr>
      </w:pPr>
      <w:r>
        <w:rPr>
          <w:rFonts w:hint="eastAsia" w:ascii="宋体" w:hAnsi="宋体" w:eastAsia="宋体" w:cs="宋体"/>
          <w:color w:val="auto"/>
          <w:highlight w:val="none"/>
        </w:rPr>
        <w:t>三、投标</w:t>
      </w:r>
    </w:p>
    <w:p w14:paraId="2715107D">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6.招标文件的获取</w:t>
      </w:r>
    </w:p>
    <w:p w14:paraId="6B8D1A4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详见招标公告中获取招标文件的时间期限、地点、方式及招标文件售价。</w:t>
      </w:r>
    </w:p>
    <w:p w14:paraId="5E7E7B58">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7.开标前答疑会或现场考察</w:t>
      </w:r>
    </w:p>
    <w:p w14:paraId="138D2A8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采购人组织潜在投标人现场考察或者召开开标前答疑会的，潜在投标人按第二部分投标人须知前附表的规定参加现场考察或者开标前答疑会。</w:t>
      </w:r>
    </w:p>
    <w:p w14:paraId="22318C0F">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8.投标保证金</w:t>
      </w:r>
    </w:p>
    <w:p w14:paraId="6C42BD6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本项目不需缴纳投标保证金。</w:t>
      </w:r>
    </w:p>
    <w:p w14:paraId="3E20E4F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9.投标文件的语言</w:t>
      </w:r>
    </w:p>
    <w:p w14:paraId="5D111E57">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投标文件及投标人与采购有关的来往通知、函件和文件均应使用中文。</w:t>
      </w:r>
    </w:p>
    <w:p w14:paraId="5297452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10.投标文件的组成</w:t>
      </w:r>
    </w:p>
    <w:p w14:paraId="016B59C2">
      <w:pPr>
        <w:widowControl w:val="0"/>
        <w:adjustRightInd w:val="0"/>
        <w:spacing w:after="0" w:line="480" w:lineRule="exact"/>
        <w:ind w:firstLine="422" w:firstLineChars="175"/>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10.1资格文件：</w:t>
      </w:r>
    </w:p>
    <w:p w14:paraId="46AAB24B">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10.1.1符合参加采购活动应当具备的一般条件的承诺函；</w:t>
      </w:r>
    </w:p>
    <w:p w14:paraId="6FF5824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10.1.2本项目的特定资格要求。</w:t>
      </w:r>
    </w:p>
    <w:p w14:paraId="2921C3F5">
      <w:pPr>
        <w:widowControl w:val="0"/>
        <w:adjustRightInd w:val="0"/>
        <w:spacing w:after="0" w:line="480" w:lineRule="exact"/>
        <w:ind w:firstLine="422" w:firstLineChars="175"/>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10.2商务技术文件：</w:t>
      </w:r>
    </w:p>
    <w:p w14:paraId="2584CF2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10.2.1投标函； </w:t>
      </w:r>
    </w:p>
    <w:p w14:paraId="62A3F26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10.2.2授权委托书或法定代表人（单位负责人、自然人本人）身份证明；</w:t>
      </w:r>
    </w:p>
    <w:p w14:paraId="3F5DE12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10.2.3符合性审查资料；</w:t>
      </w:r>
    </w:p>
    <w:p w14:paraId="354B4AA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10.2.4评标标准相应的商务技术资料；</w:t>
      </w:r>
    </w:p>
    <w:p w14:paraId="2F262BD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10.2.5投标标的清单；</w:t>
      </w:r>
    </w:p>
    <w:p w14:paraId="367BC59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10.2.6商务技术偏离表；</w:t>
      </w:r>
    </w:p>
    <w:p w14:paraId="2272377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10.2.7采购供应商廉洁自律承诺书。</w:t>
      </w:r>
    </w:p>
    <w:p w14:paraId="1C087372">
      <w:pPr>
        <w:widowControl w:val="0"/>
        <w:adjustRightInd w:val="0"/>
        <w:spacing w:after="0" w:line="480" w:lineRule="exact"/>
        <w:ind w:firstLine="422" w:firstLineChars="175"/>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10.3报价文件：</w:t>
      </w:r>
    </w:p>
    <w:p w14:paraId="293B555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10.3.1开标一览表（报价表）。</w:t>
      </w:r>
    </w:p>
    <w:p w14:paraId="22F40C95">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投标文件含有采购人不能接受的附加条件的，投标无效；</w:t>
      </w:r>
    </w:p>
    <w:p w14:paraId="45A38A40">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投标人提供虚假材料投标的，投标无效。</w:t>
      </w:r>
    </w:p>
    <w:p w14:paraId="31B275B5">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11.投标文件的编制</w:t>
      </w:r>
    </w:p>
    <w:p w14:paraId="2963984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11.1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0ADBA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11.2投标人进行电子投标应安装客户端软件—“乐采云电子交易客户端”，并按照招标文件和电子交易平台的要求编制并加密投标文件。投标人未按规定加密的投标文件，电子交易平台将拒收并提示。</w:t>
      </w:r>
    </w:p>
    <w:p w14:paraId="3B64800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11.3使用“乐采云电子交易客户端”需要提前申领CA数字证书，申领流程请自行前往“</w:t>
      </w:r>
      <w:r>
        <w:rPr>
          <w:rFonts w:hint="eastAsia" w:ascii="宋体" w:hAnsi="宋体" w:eastAsia="宋体" w:cs="宋体"/>
          <w:color w:val="auto"/>
          <w:kern w:val="2"/>
          <w:highlight w:val="none"/>
          <w:lang w:eastAsia="zh-CN"/>
        </w:rPr>
        <w:t>浙江企业采购信息服务网</w:t>
      </w:r>
      <w:r>
        <w:rPr>
          <w:rFonts w:hint="eastAsia" w:ascii="宋体" w:hAnsi="宋体" w:eastAsia="宋体" w:cs="宋体"/>
          <w:color w:val="auto"/>
          <w:kern w:val="2"/>
          <w:highlight w:val="none"/>
        </w:rPr>
        <w:t>－下载专区－电子交易客户端-CA驱动和申领流程”进行查阅。</w:t>
      </w:r>
    </w:p>
    <w:p w14:paraId="588AFAAC">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12.投标文件的签署、盖章</w:t>
      </w:r>
    </w:p>
    <w:p w14:paraId="34100181">
      <w:pPr>
        <w:widowControl w:val="0"/>
        <w:adjustRightInd w:val="0"/>
        <w:spacing w:after="0" w:line="480" w:lineRule="exact"/>
        <w:ind w:firstLine="420" w:firstLineChars="175"/>
        <w:jc w:val="both"/>
        <w:rPr>
          <w:rFonts w:ascii="宋体" w:hAnsi="宋体" w:eastAsia="宋体" w:cs="宋体"/>
          <w:b/>
          <w:bCs/>
          <w:color w:val="auto"/>
          <w:kern w:val="2"/>
          <w:highlight w:val="none"/>
        </w:rPr>
      </w:pPr>
      <w:r>
        <w:rPr>
          <w:rFonts w:hint="eastAsia" w:ascii="宋体" w:hAnsi="宋体" w:eastAsia="宋体" w:cs="宋体"/>
          <w:color w:val="auto"/>
          <w:kern w:val="2"/>
          <w:highlight w:val="none"/>
        </w:rPr>
        <w:t>12.1投标文件按照招标文件第六部分格式要求进行签署、盖章。</w:t>
      </w:r>
      <w:r>
        <w:rPr>
          <w:rFonts w:hint="eastAsia" w:ascii="宋体" w:hAnsi="宋体" w:eastAsia="宋体" w:cs="宋体"/>
          <w:b/>
          <w:bCs/>
          <w:color w:val="auto"/>
          <w:kern w:val="2"/>
          <w:highlight w:val="none"/>
        </w:rPr>
        <w:t>▲投标人的投标文件未按照招标文件要求签署、盖章的，其投标无效。</w:t>
      </w:r>
    </w:p>
    <w:p w14:paraId="13F7134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12.2招标文件对投标文件签署、盖章的要求适用于电子签名。</w:t>
      </w:r>
    </w:p>
    <w:p w14:paraId="6EC0F675">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13.投标文件的提交、补充、修改、撤回</w:t>
      </w:r>
    </w:p>
    <w:p w14:paraId="1224B6F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13.1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95CFA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13.2电子交易平台收到投标文件，将妥善保存并即时向供应商发出确认回执通知。在投标截止时间前，除供应商补充、修改或者撤回投标文件外，任何单位和个人不得解密或提取投标文件。</w:t>
      </w:r>
    </w:p>
    <w:p w14:paraId="4508C03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13.3采购人、代理机构可以视情况延长投标文件提交的截止时间。在上述情况下，代理机构与投标人以前在投标截止期方面的全部权利、责任和义务，将适用于延长至新的投标截止期。</w:t>
      </w:r>
    </w:p>
    <w:p w14:paraId="2AECCC2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14.备份投标文件</w:t>
      </w:r>
    </w:p>
    <w:p w14:paraId="1D4EF6B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不收取。</w:t>
      </w:r>
    </w:p>
    <w:p w14:paraId="7645C77A">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15.投标文件的无效处理</w:t>
      </w:r>
    </w:p>
    <w:p w14:paraId="07D3DA3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有招标文件第四部分4.2规定的情形之一的，投标无效。</w:t>
      </w:r>
    </w:p>
    <w:p w14:paraId="6A8A788F">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16.投标有效期</w:t>
      </w:r>
    </w:p>
    <w:p w14:paraId="2674691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16.1投标有效期为从提交投标文件的截止之日起90天。</w:t>
      </w:r>
      <w:r>
        <w:rPr>
          <w:rFonts w:hint="eastAsia" w:ascii="宋体" w:hAnsi="宋体" w:eastAsia="宋体" w:cs="宋体"/>
          <w:b/>
          <w:bCs/>
          <w:color w:val="auto"/>
          <w:kern w:val="2"/>
          <w:highlight w:val="none"/>
        </w:rPr>
        <w:t>▲投标人的投标文件中承诺的投标有效期少于招标文件中载明的投标有效期的，投标无效。</w:t>
      </w:r>
    </w:p>
    <w:p w14:paraId="1855AEFE">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16.2投标文件合格投递后，自投标截止日期起，在投标有效期内有效。</w:t>
      </w:r>
    </w:p>
    <w:p w14:paraId="316C5EA6">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16.3在原定投标有效期满之前，如果出现特殊情况，代理机构可以以书面形式通知投标人延长投标有效期。投标人同意延长的，不得要求或被允许修改其投标文件，投标人拒绝延长的，其投标无效。</w:t>
      </w:r>
    </w:p>
    <w:p w14:paraId="2E68572D">
      <w:pPr>
        <w:pStyle w:val="3"/>
        <w:rPr>
          <w:rFonts w:ascii="宋体" w:hAnsi="宋体" w:eastAsia="宋体" w:cs="宋体"/>
          <w:color w:val="auto"/>
          <w:highlight w:val="none"/>
        </w:rPr>
      </w:pPr>
      <w:r>
        <w:rPr>
          <w:rFonts w:hint="eastAsia" w:ascii="宋体" w:hAnsi="宋体" w:eastAsia="宋体" w:cs="宋体"/>
          <w:color w:val="auto"/>
          <w:highlight w:val="none"/>
        </w:rPr>
        <w:t>四、开标、资格审查与信用信息查询</w:t>
      </w:r>
    </w:p>
    <w:p w14:paraId="0BDA4E10">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17.开标</w:t>
      </w:r>
      <w:r>
        <w:rPr>
          <w:rFonts w:hint="eastAsia" w:ascii="宋体" w:hAnsi="宋体" w:eastAsia="宋体" w:cs="宋体"/>
          <w:color w:val="auto"/>
          <w:kern w:val="2"/>
          <w:highlight w:val="none"/>
        </w:rPr>
        <w:t xml:space="preserve"> </w:t>
      </w:r>
    </w:p>
    <w:p w14:paraId="12B3EDC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17.1代理机构按照招标文件规定的时间通过电子交易平台组织开标，所有投标人均应当准时在线参加。投标人不足3家的，不得开标。</w:t>
      </w:r>
    </w:p>
    <w:p w14:paraId="611E79A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17.2开标时，电子交易平台按开标时间自动提取所有投标文件。代理机构依托电子交易平台发起开始解密指令，投标人按照平台提示和招标文件的规定在半小时内完成在线解密。</w:t>
      </w:r>
    </w:p>
    <w:p w14:paraId="3978E62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17.3投标文件未按时解密，视为投标文件撤回。</w:t>
      </w:r>
    </w:p>
    <w:p w14:paraId="4716D3D7">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18.资格审查</w:t>
      </w:r>
    </w:p>
    <w:p w14:paraId="57CD4E7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18.1开标后，采购人或代理机构将依法对投标人的资格进行审查。</w:t>
      </w:r>
    </w:p>
    <w:p w14:paraId="694DCA0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18.2采购人或代理机构依据法律法规和招标文件的规定，对投标人的基本资格条件、特定资格条件进行审查。</w:t>
      </w:r>
    </w:p>
    <w:p w14:paraId="68919F0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18.3投标人未按照招标文件要求提供与基本资格条件、特定资格条件相应的有效资格证明材料的，视为投标人不具备招标文件中规定的资格要求，其投标无效。</w:t>
      </w:r>
    </w:p>
    <w:p w14:paraId="58D6D67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18.4对未通过资格审查的投标人，采购人或代理机构告知其未通过的原因。</w:t>
      </w:r>
    </w:p>
    <w:p w14:paraId="2FE95D0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18.5合格投标人不足3家的，不再评标。</w:t>
      </w:r>
    </w:p>
    <w:p w14:paraId="4C28E10E">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19.信用信息查询</w:t>
      </w:r>
    </w:p>
    <w:p w14:paraId="1597B5D5">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19.1信用信息查询渠道及截止时间：代理机构将通过“信用中国”网站（www.creditchina.gov.cn)、中国政府采购网（www.ccgp.gov.cn）渠道查询投标人投标截止时间当天的信用记录。</w:t>
      </w:r>
    </w:p>
    <w:p w14:paraId="707CE56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19.2信用信息查询记录和证据留存的具体方式：现场查询的投标人的信用记录、查询结果经确认后将与采购文件一起存档。</w:t>
      </w:r>
    </w:p>
    <w:p w14:paraId="78E4AAC2">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19.3信用信息的使用规则：经查询列入失信被执行人名单、重大税收违法案件当事人名单（税收违法黑名单）、政府采购严重违法失信行为记录名单的投标人将被拒绝参与采购活动。</w:t>
      </w:r>
    </w:p>
    <w:p w14:paraId="590B6EF1">
      <w:pPr>
        <w:pStyle w:val="3"/>
        <w:rPr>
          <w:rFonts w:ascii="宋体" w:hAnsi="宋体" w:eastAsia="宋体" w:cs="宋体"/>
          <w:color w:val="auto"/>
          <w:highlight w:val="none"/>
        </w:rPr>
      </w:pPr>
      <w:r>
        <w:rPr>
          <w:rFonts w:hint="eastAsia" w:ascii="宋体" w:hAnsi="宋体" w:eastAsia="宋体" w:cs="宋体"/>
          <w:color w:val="auto"/>
          <w:highlight w:val="none"/>
        </w:rPr>
        <w:t>五、评标</w:t>
      </w:r>
    </w:p>
    <w:p w14:paraId="3CD68843">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20.评标</w:t>
      </w:r>
    </w:p>
    <w:p w14:paraId="6A7C297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5F5C35AC">
      <w:pPr>
        <w:pStyle w:val="3"/>
        <w:rPr>
          <w:rFonts w:ascii="宋体" w:hAnsi="宋体" w:eastAsia="宋体" w:cs="宋体"/>
          <w:color w:val="auto"/>
          <w:highlight w:val="none"/>
        </w:rPr>
      </w:pPr>
      <w:r>
        <w:rPr>
          <w:rFonts w:hint="eastAsia" w:ascii="宋体" w:hAnsi="宋体" w:eastAsia="宋体" w:cs="宋体"/>
          <w:color w:val="auto"/>
          <w:highlight w:val="none"/>
        </w:rPr>
        <w:t>六、定 标</w:t>
      </w:r>
    </w:p>
    <w:p w14:paraId="5F041A7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21.确定中标供应商</w:t>
      </w:r>
    </w:p>
    <w:p w14:paraId="29D6FB0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采购人将自收到评审报告之日起5个工作日内通过电子交易平台在评审报告推荐的中标候选人中按顺序确定中标供应商。</w:t>
      </w:r>
    </w:p>
    <w:p w14:paraId="3539D3BE">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22.中标通知与中标结果公告</w:t>
      </w:r>
    </w:p>
    <w:p w14:paraId="4C7072B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22.1自中标人确定之日起2个工作日内，代理机构通过电子交易平台向中标人发出中标通知书，同时编制发布采购结果公告。代理机构也可以以纸质形式进行中标通知。</w:t>
      </w:r>
    </w:p>
    <w:p w14:paraId="3416201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22.2中标结果公告内容包括采购人及其委托的代理机构的名称、地址、联系方式，项目名称和项目编号，中标人名称、地址和中标金额。</w:t>
      </w:r>
    </w:p>
    <w:p w14:paraId="60E281BD">
      <w:pPr>
        <w:widowControl w:val="0"/>
        <w:adjustRightInd w:val="0"/>
        <w:spacing w:after="0" w:line="480" w:lineRule="exact"/>
        <w:ind w:firstLine="420" w:firstLineChars="175"/>
        <w:jc w:val="both"/>
        <w:rPr>
          <w:rFonts w:ascii="宋体" w:hAnsi="宋体" w:eastAsia="宋体" w:cs="宋体"/>
          <w:color w:val="auto"/>
          <w:highlight w:val="none"/>
        </w:rPr>
      </w:pPr>
      <w:r>
        <w:rPr>
          <w:rFonts w:hint="eastAsia" w:ascii="宋体" w:hAnsi="宋体" w:eastAsia="宋体" w:cs="宋体"/>
          <w:color w:val="auto"/>
          <w:kern w:val="2"/>
          <w:highlight w:val="none"/>
        </w:rPr>
        <w:t>22.3公告期限为1个工作日。</w:t>
      </w:r>
    </w:p>
    <w:p w14:paraId="6048E281">
      <w:pPr>
        <w:pStyle w:val="3"/>
        <w:rPr>
          <w:rFonts w:ascii="宋体" w:hAnsi="宋体" w:eastAsia="宋体" w:cs="宋体"/>
          <w:color w:val="auto"/>
          <w:highlight w:val="none"/>
        </w:rPr>
      </w:pPr>
      <w:r>
        <w:rPr>
          <w:rFonts w:hint="eastAsia" w:ascii="宋体" w:hAnsi="宋体" w:eastAsia="宋体" w:cs="宋体"/>
          <w:color w:val="auto"/>
          <w:highlight w:val="none"/>
        </w:rPr>
        <w:t>七、合同授予</w:t>
      </w:r>
    </w:p>
    <w:p w14:paraId="472B9C14">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23.合同主要条款详见第五部分拟签订的合同文本。</w:t>
      </w:r>
    </w:p>
    <w:p w14:paraId="0738A926">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24.合同的签订</w:t>
      </w:r>
    </w:p>
    <w:p w14:paraId="19FA462D">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24.1采购人与中标人应当通过电子交易平台在中标通知书发出之日起三十日内，按照招标文件确定的事项签订采购合同，并在合同签订之日起2个工作日内依法发布合同公告。</w:t>
      </w:r>
    </w:p>
    <w:p w14:paraId="4E80730F">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24.2中标人按规定的日期、时间、地点，由法定代表人或其授权代表与采购人代表签订合同。</w:t>
      </w:r>
    </w:p>
    <w:p w14:paraId="6A8065C9">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24.3如签订合同并生效后，供应商无故拒绝或延期，除按照合同条款处理外，列入不良行为记录一次，并给予通报。</w:t>
      </w:r>
    </w:p>
    <w:p w14:paraId="708E3626">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24.4中标供应商拒绝与采购人签订合同的，采购人可以按照评审报告推荐的中标或者成交候选人名单排序，确定下一候选人为中标供应商，也可以重新开展政府采购活动。</w:t>
      </w:r>
    </w:p>
    <w:p w14:paraId="2D4DC74C">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24.5采购合同由采购人与中标供应商根据招标文件、投标文件等内容签订。</w:t>
      </w:r>
    </w:p>
    <w:p w14:paraId="254B2012">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25.履约保证金：</w:t>
      </w:r>
      <w:r>
        <w:rPr>
          <w:rFonts w:hint="eastAsia" w:ascii="宋体" w:hAnsi="宋体" w:eastAsia="宋体" w:cs="宋体"/>
          <w:color w:val="auto"/>
          <w:kern w:val="2"/>
          <w:highlight w:val="none"/>
        </w:rPr>
        <w:t>详见前附表。</w:t>
      </w:r>
    </w:p>
    <w:p w14:paraId="55D00949">
      <w:pPr>
        <w:pStyle w:val="3"/>
        <w:rPr>
          <w:rFonts w:ascii="宋体" w:hAnsi="宋体" w:eastAsia="宋体" w:cs="宋体"/>
          <w:color w:val="auto"/>
          <w:highlight w:val="none"/>
        </w:rPr>
      </w:pPr>
      <w:r>
        <w:rPr>
          <w:rFonts w:hint="eastAsia" w:ascii="宋体" w:hAnsi="宋体" w:eastAsia="宋体" w:cs="宋体"/>
          <w:color w:val="auto"/>
          <w:highlight w:val="none"/>
        </w:rPr>
        <w:t>八、电子交易活动的中止</w:t>
      </w:r>
    </w:p>
    <w:p w14:paraId="5E879EE1">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26.电子交易活动的中止。</w:t>
      </w:r>
    </w:p>
    <w:p w14:paraId="5983E4D9">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采购过程中出现以下情形，导致电子交易平台无法正常运行，或者无法保证电子交易的公平、公正和安全时，代理机构可中止电子交易活动：</w:t>
      </w:r>
    </w:p>
    <w:p w14:paraId="694E2A1A">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26.1电子交易平台发生故障而无法登录访问的； </w:t>
      </w:r>
    </w:p>
    <w:p w14:paraId="779DADDD">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26.2电子交易平台应用或数据库出现错误，不能进行正常操作的；</w:t>
      </w:r>
    </w:p>
    <w:p w14:paraId="0B98E3CB">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26.3电子交易平台发现严重安全漏洞，有潜在泄密危险的；</w:t>
      </w:r>
    </w:p>
    <w:p w14:paraId="25ED1CF6">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26.4病毒发作导致不能进行正常操作的； </w:t>
      </w:r>
    </w:p>
    <w:p w14:paraId="3EB6476A">
      <w:pPr>
        <w:widowControl w:val="0"/>
        <w:adjustRightInd w:val="0"/>
        <w:spacing w:after="0" w:line="480" w:lineRule="exact"/>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rPr>
        <w:t>26.5其他无法保证电子交易的公平、公正和安全的情况。</w:t>
      </w:r>
    </w:p>
    <w:p w14:paraId="18BF2D51">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color w:val="auto"/>
          <w:kern w:val="2"/>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3175FAF4">
      <w:pPr>
        <w:pStyle w:val="3"/>
        <w:rPr>
          <w:rFonts w:ascii="宋体" w:hAnsi="宋体" w:eastAsia="宋体" w:cs="宋体"/>
          <w:color w:val="auto"/>
          <w:highlight w:val="none"/>
        </w:rPr>
      </w:pPr>
      <w:r>
        <w:rPr>
          <w:rFonts w:hint="eastAsia" w:ascii="宋体" w:hAnsi="宋体" w:eastAsia="宋体" w:cs="宋体"/>
          <w:color w:val="auto"/>
          <w:highlight w:val="none"/>
        </w:rPr>
        <w:t>九、验收</w:t>
      </w:r>
    </w:p>
    <w:p w14:paraId="47CCCF4C">
      <w:pPr>
        <w:widowControl w:val="0"/>
        <w:adjustRightInd w:val="0"/>
        <w:spacing w:after="0" w:line="480" w:lineRule="exact"/>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28.验收</w:t>
      </w:r>
    </w:p>
    <w:p w14:paraId="51E71E16">
      <w:pPr>
        <w:spacing w:line="276" w:lineRule="auto"/>
        <w:ind w:firstLine="480" w:firstLineChars="200"/>
        <w:rPr>
          <w:rFonts w:ascii="宋体" w:hAnsi="宋体" w:eastAsia="宋体" w:cs="宋体"/>
          <w:color w:val="auto"/>
          <w:highlight w:val="none"/>
        </w:rPr>
      </w:pPr>
      <w:r>
        <w:rPr>
          <w:rFonts w:hint="eastAsia" w:ascii="宋体" w:hAnsi="宋体" w:eastAsia="宋体" w:cs="宋体"/>
          <w:color w:val="auto"/>
          <w:kern w:val="2"/>
          <w:highlight w:val="none"/>
        </w:rPr>
        <w:t>28.1采购人应当组织对供应商履约的验收。</w:t>
      </w:r>
    </w:p>
    <w:p w14:paraId="7550B2D0">
      <w:pPr>
        <w:rPr>
          <w:rFonts w:ascii="宋体" w:hAnsi="宋体" w:eastAsia="宋体" w:cs="宋体"/>
          <w:color w:val="auto"/>
          <w:highlight w:val="none"/>
        </w:rPr>
      </w:pPr>
      <w:r>
        <w:rPr>
          <w:rFonts w:hint="eastAsia" w:ascii="宋体" w:hAnsi="宋体" w:eastAsia="宋体" w:cs="宋体"/>
          <w:color w:val="auto"/>
          <w:highlight w:val="none"/>
        </w:rPr>
        <w:br w:type="page"/>
      </w:r>
    </w:p>
    <w:p w14:paraId="48C785DD">
      <w:pPr>
        <w:pStyle w:val="2"/>
        <w:jc w:val="center"/>
        <w:rPr>
          <w:rFonts w:ascii="宋体" w:hAnsi="宋体" w:eastAsia="宋体" w:cs="宋体"/>
          <w:color w:val="auto"/>
          <w:highlight w:val="none"/>
        </w:rPr>
      </w:pPr>
      <w:r>
        <w:rPr>
          <w:rFonts w:hint="eastAsia" w:ascii="宋体" w:hAnsi="宋体" w:eastAsia="宋体" w:cs="宋体"/>
          <w:color w:val="auto"/>
          <w:highlight w:val="none"/>
        </w:rPr>
        <w:t>第三部分   采购需求</w:t>
      </w:r>
    </w:p>
    <w:p w14:paraId="10849710">
      <w:pPr>
        <w:snapToGrid w:val="0"/>
        <w:jc w:val="center"/>
        <w:rPr>
          <w:rStyle w:val="58"/>
          <w:rFonts w:ascii="宋体" w:hAnsi="宋体" w:eastAsia="宋体" w:cs="宋体"/>
          <w:color w:val="auto"/>
          <w:highlight w:val="none"/>
        </w:rPr>
      </w:pPr>
      <w:r>
        <w:rPr>
          <w:rStyle w:val="58"/>
          <w:rFonts w:hint="eastAsia" w:ascii="宋体" w:hAnsi="宋体" w:eastAsia="宋体" w:cs="宋体"/>
          <w:i w:val="0"/>
          <w:iCs w:val="0"/>
          <w:color w:val="auto"/>
          <w:highlight w:val="none"/>
        </w:rPr>
        <w:t>属于实质性要求条款的，请用符号“▲”标明，否则属于非实质性要求</w:t>
      </w:r>
      <w:r>
        <w:rPr>
          <w:rStyle w:val="58"/>
          <w:rFonts w:hint="eastAsia" w:ascii="宋体" w:hAnsi="宋体" w:eastAsia="宋体" w:cs="宋体"/>
          <w:color w:val="auto"/>
          <w:highlight w:val="none"/>
        </w:rPr>
        <w:t>。</w:t>
      </w:r>
    </w:p>
    <w:p w14:paraId="484E14D8">
      <w:pPr>
        <w:snapToGri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一、招标一览表</w:t>
      </w:r>
    </w:p>
    <w:tbl>
      <w:tblPr>
        <w:tblStyle w:val="3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629"/>
        <w:gridCol w:w="2231"/>
        <w:gridCol w:w="870"/>
        <w:gridCol w:w="855"/>
        <w:gridCol w:w="806"/>
      </w:tblGrid>
      <w:tr w14:paraId="3B48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1" w:type="dxa"/>
            <w:noWrap w:val="0"/>
            <w:vAlign w:val="center"/>
          </w:tcPr>
          <w:p w14:paraId="39C1092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zh-CN"/>
              </w:rPr>
              <w:t>标项</w:t>
            </w:r>
          </w:p>
        </w:tc>
        <w:tc>
          <w:tcPr>
            <w:tcW w:w="3629" w:type="dxa"/>
            <w:noWrap w:val="0"/>
            <w:vAlign w:val="center"/>
          </w:tcPr>
          <w:p w14:paraId="72B3CE8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rPr>
              <w:t>名称</w:t>
            </w:r>
          </w:p>
        </w:tc>
        <w:tc>
          <w:tcPr>
            <w:tcW w:w="2231" w:type="dxa"/>
            <w:noWrap w:val="0"/>
            <w:vAlign w:val="center"/>
          </w:tcPr>
          <w:p w14:paraId="6BE100A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rPr>
              <w:t>规格及技术要求</w:t>
            </w:r>
          </w:p>
        </w:tc>
        <w:tc>
          <w:tcPr>
            <w:tcW w:w="870" w:type="dxa"/>
            <w:noWrap w:val="0"/>
            <w:vAlign w:val="center"/>
          </w:tcPr>
          <w:p w14:paraId="2799405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rPr>
              <w:t>数量</w:t>
            </w:r>
          </w:p>
        </w:tc>
        <w:tc>
          <w:tcPr>
            <w:tcW w:w="855" w:type="dxa"/>
            <w:noWrap w:val="0"/>
            <w:vAlign w:val="center"/>
          </w:tcPr>
          <w:p w14:paraId="1042A44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rPr>
              <w:t>单位</w:t>
            </w:r>
          </w:p>
        </w:tc>
        <w:tc>
          <w:tcPr>
            <w:tcW w:w="806" w:type="dxa"/>
            <w:noWrap w:val="0"/>
            <w:vAlign w:val="center"/>
          </w:tcPr>
          <w:p w14:paraId="6C7D70D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rPr>
              <w:t>备注</w:t>
            </w:r>
          </w:p>
        </w:tc>
      </w:tr>
      <w:tr w14:paraId="7BD6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91" w:type="dxa"/>
            <w:noWrap w:val="0"/>
            <w:vAlign w:val="center"/>
          </w:tcPr>
          <w:p w14:paraId="36B6AA8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3629" w:type="dxa"/>
            <w:noWrap w:val="0"/>
            <w:vAlign w:val="center"/>
          </w:tcPr>
          <w:p w14:paraId="4E055F9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食堂原材料配送（第1、3、5、7、9、11月份）</w:t>
            </w:r>
          </w:p>
        </w:tc>
        <w:tc>
          <w:tcPr>
            <w:tcW w:w="2231" w:type="dxa"/>
            <w:vMerge w:val="restart"/>
            <w:noWrap w:val="0"/>
            <w:vAlign w:val="center"/>
          </w:tcPr>
          <w:p w14:paraId="4675CB4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详见招标需求</w:t>
            </w:r>
          </w:p>
          <w:p w14:paraId="689780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870" w:type="dxa"/>
            <w:noWrap w:val="0"/>
            <w:vAlign w:val="center"/>
          </w:tcPr>
          <w:p w14:paraId="2D43CAE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855" w:type="dxa"/>
            <w:noWrap w:val="0"/>
            <w:vAlign w:val="center"/>
          </w:tcPr>
          <w:p w14:paraId="327D62C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家</w:t>
            </w:r>
          </w:p>
        </w:tc>
        <w:tc>
          <w:tcPr>
            <w:tcW w:w="806" w:type="dxa"/>
            <w:noWrap w:val="0"/>
            <w:vAlign w:val="center"/>
          </w:tcPr>
          <w:p w14:paraId="67417FA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41A3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91" w:type="dxa"/>
            <w:noWrap w:val="0"/>
            <w:vAlign w:val="center"/>
          </w:tcPr>
          <w:p w14:paraId="178C07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p>
        </w:tc>
        <w:tc>
          <w:tcPr>
            <w:tcW w:w="3629" w:type="dxa"/>
            <w:noWrap w:val="0"/>
            <w:vAlign w:val="center"/>
          </w:tcPr>
          <w:p w14:paraId="63FAB45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食堂原材料配送（第2、4、6、8、10、12月份）</w:t>
            </w:r>
          </w:p>
        </w:tc>
        <w:tc>
          <w:tcPr>
            <w:tcW w:w="2231" w:type="dxa"/>
            <w:vMerge w:val="continue"/>
            <w:noWrap w:val="0"/>
            <w:vAlign w:val="center"/>
          </w:tcPr>
          <w:p w14:paraId="014F709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870" w:type="dxa"/>
            <w:noWrap w:val="0"/>
            <w:vAlign w:val="center"/>
          </w:tcPr>
          <w:p w14:paraId="1F10574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855" w:type="dxa"/>
            <w:noWrap w:val="0"/>
            <w:vAlign w:val="center"/>
          </w:tcPr>
          <w:p w14:paraId="2AC6AC9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家</w:t>
            </w:r>
          </w:p>
        </w:tc>
        <w:tc>
          <w:tcPr>
            <w:tcW w:w="806" w:type="dxa"/>
            <w:noWrap w:val="0"/>
            <w:vAlign w:val="center"/>
          </w:tcPr>
          <w:p w14:paraId="415C85D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bl>
    <w:p w14:paraId="3DAE411F">
      <w:pPr>
        <w:widowControl w:val="0"/>
        <w:spacing w:after="0"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注：1、同一家投标单位可以就上述2个标项全部进行投标，但为保证服务质量，只允许中1个标项，如有先行评审的标项中标，则该单位所投标项2的投标文件将不予评审。</w:t>
      </w:r>
    </w:p>
    <w:p w14:paraId="373935A5">
      <w:pPr>
        <w:widowControl w:val="0"/>
        <w:spacing w:after="0"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2、本项目将按照标项1至2的顺序进行评审。</w:t>
      </w:r>
    </w:p>
    <w:p w14:paraId="6347BA8F">
      <w:pPr>
        <w:pStyle w:val="4"/>
        <w:numPr>
          <w:ilvl w:val="2"/>
          <w:numId w:val="0"/>
        </w:num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二、招标需求</w:t>
      </w:r>
    </w:p>
    <w:p w14:paraId="1F7F9FE4">
      <w:pPr>
        <w:spacing w:after="0"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（一）技术需求</w:t>
      </w:r>
    </w:p>
    <w:p w14:paraId="26B0DD3D">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1、</w:t>
      </w:r>
      <w:r>
        <w:rPr>
          <w:rFonts w:hint="eastAsia" w:asciiTheme="minorEastAsia" w:hAnsiTheme="minorEastAsia" w:eastAsiaTheme="minorEastAsia" w:cstheme="minorEastAsia"/>
          <w:b/>
          <w:bCs w:val="0"/>
          <w:color w:val="auto"/>
          <w:kern w:val="2"/>
          <w:sz w:val="24"/>
          <w:szCs w:val="24"/>
          <w:highlight w:val="none"/>
        </w:rPr>
        <w:t>项目概况：</w:t>
      </w:r>
    </w:p>
    <w:p w14:paraId="0DD8409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本项</w:t>
      </w:r>
      <w:r>
        <w:rPr>
          <w:rFonts w:hint="eastAsia" w:asciiTheme="minorEastAsia" w:hAnsiTheme="minorEastAsia" w:eastAsiaTheme="minorEastAsia" w:cstheme="minorEastAsia"/>
          <w:b w:val="0"/>
          <w:bCs/>
          <w:color w:val="auto"/>
          <w:kern w:val="2"/>
          <w:sz w:val="24"/>
          <w:szCs w:val="24"/>
          <w:highlight w:val="none"/>
          <w:lang w:val="zh-CN"/>
        </w:rPr>
        <w:t>目为萧山经济技术开发区食堂货物供应采购项目，</w:t>
      </w:r>
      <w:r>
        <w:rPr>
          <w:rFonts w:hint="eastAsia" w:asciiTheme="minorEastAsia" w:hAnsiTheme="minorEastAsia" w:eastAsiaTheme="minorEastAsia" w:cstheme="minorEastAsia"/>
          <w:b w:val="0"/>
          <w:bCs/>
          <w:color w:val="auto"/>
          <w:kern w:val="2"/>
          <w:sz w:val="24"/>
          <w:szCs w:val="24"/>
          <w:highlight w:val="none"/>
        </w:rPr>
        <w:t>本项目为2个标项：标项1：食堂原材料配送（第1、3、5、7、9、11月份）、标项2：食堂原材料配送（第2、4、6、8、10、12月份）。</w:t>
      </w:r>
      <w:r>
        <w:rPr>
          <w:rFonts w:hint="eastAsia" w:asciiTheme="minorEastAsia" w:hAnsiTheme="minorEastAsia" w:eastAsiaTheme="minorEastAsia" w:cstheme="minorEastAsia"/>
          <w:b w:val="0"/>
          <w:bCs/>
          <w:color w:val="auto"/>
          <w:kern w:val="2"/>
          <w:sz w:val="24"/>
          <w:szCs w:val="24"/>
          <w:highlight w:val="none"/>
          <w:lang w:val="zh-CN"/>
        </w:rPr>
        <w:t>萧山经济技术开发区管理委员会就餐</w:t>
      </w:r>
      <w:r>
        <w:rPr>
          <w:rFonts w:hint="eastAsia" w:asciiTheme="minorEastAsia" w:hAnsiTheme="minorEastAsia" w:eastAsiaTheme="minorEastAsia" w:cstheme="minorEastAsia"/>
          <w:b w:val="0"/>
          <w:bCs/>
          <w:color w:val="auto"/>
          <w:kern w:val="2"/>
          <w:sz w:val="24"/>
          <w:szCs w:val="24"/>
          <w:highlight w:val="none"/>
        </w:rPr>
        <w:t>260</w:t>
      </w:r>
      <w:r>
        <w:rPr>
          <w:rFonts w:hint="eastAsia" w:asciiTheme="minorEastAsia" w:hAnsiTheme="minorEastAsia" w:eastAsiaTheme="minorEastAsia" w:cstheme="minorEastAsia"/>
          <w:b w:val="0"/>
          <w:bCs/>
          <w:color w:val="auto"/>
          <w:kern w:val="2"/>
          <w:sz w:val="24"/>
          <w:szCs w:val="24"/>
          <w:highlight w:val="none"/>
          <w:lang w:val="zh-CN"/>
        </w:rPr>
        <w:t>人/左右。早、中和晚全天候供应，双休日、节假日提供中餐。</w:t>
      </w:r>
    </w:p>
    <w:p w14:paraId="78ECB730">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en-US" w:eastAsia="zh-CN"/>
        </w:rPr>
        <w:t>2、</w:t>
      </w:r>
      <w:r>
        <w:rPr>
          <w:rFonts w:hint="eastAsia" w:asciiTheme="minorEastAsia" w:hAnsiTheme="minorEastAsia" w:eastAsiaTheme="minorEastAsia" w:cstheme="minorEastAsia"/>
          <w:b/>
          <w:bCs w:val="0"/>
          <w:color w:val="auto"/>
          <w:kern w:val="2"/>
          <w:sz w:val="24"/>
          <w:szCs w:val="24"/>
          <w:highlight w:val="none"/>
          <w:lang w:val="zh-CN"/>
        </w:rPr>
        <w:t>项目要求：</w:t>
      </w:r>
    </w:p>
    <w:p w14:paraId="6180552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w:t>
      </w: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lang w:val="zh-CN"/>
        </w:rPr>
        <w:t>）若采购人需要，</w:t>
      </w:r>
      <w:r>
        <w:rPr>
          <w:rFonts w:hint="eastAsia" w:asciiTheme="minorEastAsia" w:hAnsiTheme="minorEastAsia" w:eastAsiaTheme="minorEastAsia" w:cstheme="minorEastAsia"/>
          <w:b w:val="0"/>
          <w:bCs/>
          <w:color w:val="auto"/>
          <w:kern w:val="2"/>
          <w:sz w:val="24"/>
          <w:szCs w:val="24"/>
          <w:highlight w:val="none"/>
        </w:rPr>
        <w:t>投标人需派驻工作人员驻点采购人食堂，配合日常货品配送验收交接工作，费用包含在本项目报价中。</w:t>
      </w:r>
    </w:p>
    <w:p w14:paraId="408D6B0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每批次货物提供必要的质量证明材料，提供检疫证明或质量保证文件。</w:t>
      </w:r>
    </w:p>
    <w:p w14:paraId="5841FEE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3</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主要配送种类包含但不限于以下品种：</w:t>
      </w:r>
    </w:p>
    <w:tbl>
      <w:tblPr>
        <w:tblStyle w:val="3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528"/>
      </w:tblGrid>
      <w:tr w14:paraId="4B54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3" w:type="dxa"/>
            <w:noWrap w:val="0"/>
            <w:vAlign w:val="center"/>
          </w:tcPr>
          <w:p w14:paraId="4CF94D8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名称</w:t>
            </w:r>
          </w:p>
        </w:tc>
        <w:tc>
          <w:tcPr>
            <w:tcW w:w="7528" w:type="dxa"/>
            <w:noWrap w:val="0"/>
            <w:vAlign w:val="center"/>
          </w:tcPr>
          <w:p w14:paraId="488F0D5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食堂主要常用食品原料清单</w:t>
            </w:r>
          </w:p>
        </w:tc>
      </w:tr>
      <w:tr w14:paraId="1CE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3" w:type="dxa"/>
            <w:noWrap w:val="0"/>
            <w:vAlign w:val="center"/>
          </w:tcPr>
          <w:p w14:paraId="1C5740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禽蛋类</w:t>
            </w:r>
          </w:p>
        </w:tc>
        <w:tc>
          <w:tcPr>
            <w:tcW w:w="7528" w:type="dxa"/>
            <w:noWrap w:val="0"/>
            <w:vAlign w:val="center"/>
          </w:tcPr>
          <w:p w14:paraId="35E8C68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鸡蛋、鸭蛋、咸鸭蛋、鹌鹑蛋、皮蛋、活喜蛋等</w:t>
            </w:r>
          </w:p>
        </w:tc>
      </w:tr>
      <w:tr w14:paraId="48BA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483" w:type="dxa"/>
            <w:noWrap w:val="0"/>
            <w:vAlign w:val="center"/>
          </w:tcPr>
          <w:p w14:paraId="3AFD8B3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粮油类</w:t>
            </w:r>
          </w:p>
        </w:tc>
        <w:tc>
          <w:tcPr>
            <w:tcW w:w="7528" w:type="dxa"/>
            <w:noWrap w:val="0"/>
            <w:vAlign w:val="center"/>
          </w:tcPr>
          <w:p w14:paraId="409B941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东北盘锦米、江苏碧绿精米、华东香糯米、东北五常米、稻花香米、恒天面粉、紫兰花粉、粘米粉、澄面、福临门菜籽油、油条粉、红双圈粉、玉米淀粉、黑米、小米、西米、 九久大豆油、一级大豆油、食用油（福临门或金龙鱼）、腰果、核桃、红枣、黄豆、绿豆等</w:t>
            </w:r>
          </w:p>
        </w:tc>
      </w:tr>
      <w:tr w14:paraId="5A5B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83" w:type="dxa"/>
            <w:noWrap w:val="0"/>
            <w:vAlign w:val="center"/>
          </w:tcPr>
          <w:p w14:paraId="79FB6D9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调味品类</w:t>
            </w:r>
          </w:p>
        </w:tc>
        <w:tc>
          <w:tcPr>
            <w:tcW w:w="7528" w:type="dxa"/>
            <w:noWrap w:val="0"/>
            <w:vAlign w:val="center"/>
          </w:tcPr>
          <w:p w14:paraId="1C69BF7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榨菜丝、酱瓜、什锦菜、酵母、增稠剂、蛋糕油、预拌粉、福临门酥油、小苏打、椰丝、芝麻酱（顶好）等</w:t>
            </w:r>
          </w:p>
        </w:tc>
      </w:tr>
      <w:tr w14:paraId="2D69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83" w:type="dxa"/>
            <w:noWrap w:val="0"/>
            <w:vAlign w:val="center"/>
          </w:tcPr>
          <w:p w14:paraId="699FE06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半成品点心</w:t>
            </w:r>
          </w:p>
        </w:tc>
        <w:tc>
          <w:tcPr>
            <w:tcW w:w="7528" w:type="dxa"/>
            <w:noWrap w:val="0"/>
            <w:vAlign w:val="center"/>
          </w:tcPr>
          <w:p w14:paraId="4A109B8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水饺皮、馄饨、年糕片、面条、榴莲酥、春卷皮、蛋挞皮、白木耳、小米糕、黑米糕、红豆饼、米糕、金麦流沙包、京日红豆沙、虾饺皮、小松糕、发糕等</w:t>
            </w:r>
          </w:p>
        </w:tc>
      </w:tr>
      <w:tr w14:paraId="6569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83" w:type="dxa"/>
            <w:vMerge w:val="restart"/>
            <w:noWrap w:val="0"/>
            <w:vAlign w:val="center"/>
          </w:tcPr>
          <w:p w14:paraId="0204570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蔬菜水果类</w:t>
            </w:r>
          </w:p>
        </w:tc>
        <w:tc>
          <w:tcPr>
            <w:tcW w:w="7528" w:type="dxa"/>
            <w:noWrap w:val="0"/>
            <w:vAlign w:val="center"/>
          </w:tcPr>
          <w:p w14:paraId="6D90D6C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(1)叶类；青菜、大白菜、包心菜、豆芽菜、菠菜、芹菜、蒿菜、毛毛菜、苋菜、花菜、西兰花、韭菜、香菜、大蒜、小葱、娃娃菜、菜拱、广东菜心等</w:t>
            </w:r>
          </w:p>
        </w:tc>
      </w:tr>
      <w:tr w14:paraId="7016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noWrap w:val="0"/>
            <w:vAlign w:val="center"/>
          </w:tcPr>
          <w:p w14:paraId="58E3F3A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7528" w:type="dxa"/>
            <w:noWrap w:val="0"/>
            <w:vAlign w:val="center"/>
          </w:tcPr>
          <w:p w14:paraId="7A6DF1B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(2)果实类：老南瓜、南瓜、冬瓜、丝瓜、茄子、番茄、刀豆、豇豆、青豆、毛豆、豌豆、蚕豆、荷兰豆、黄瓜、菜瓜、蒲子、葫芦、辣椒等</w:t>
            </w:r>
          </w:p>
        </w:tc>
      </w:tr>
      <w:tr w14:paraId="763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83" w:type="dxa"/>
            <w:vMerge w:val="continue"/>
            <w:noWrap w:val="0"/>
            <w:vAlign w:val="center"/>
          </w:tcPr>
          <w:p w14:paraId="6B99657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7528" w:type="dxa"/>
            <w:noWrap w:val="0"/>
            <w:vAlign w:val="center"/>
          </w:tcPr>
          <w:p w14:paraId="6BD8667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(3)根茎类：白萝卜、蕃薯、土豆、洋葱、山药、生姜、净马蹄、藕、胡萝卜、春笋、冬笋、莴笋、榨菜、茭白、芋艿等</w:t>
            </w:r>
          </w:p>
        </w:tc>
      </w:tr>
      <w:tr w14:paraId="2E5C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83" w:type="dxa"/>
            <w:vMerge w:val="continue"/>
            <w:noWrap w:val="0"/>
            <w:vAlign w:val="center"/>
          </w:tcPr>
          <w:p w14:paraId="50ACB5C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7528" w:type="dxa"/>
            <w:noWrap w:val="0"/>
            <w:vAlign w:val="center"/>
          </w:tcPr>
          <w:p w14:paraId="1C95810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(4)水果类：西瓜、桔子、香蕉、哈密瓜、苹果、圣女果、砂糖桔、甘蔗、金桔、西梅等</w:t>
            </w:r>
          </w:p>
        </w:tc>
      </w:tr>
      <w:tr w14:paraId="2E7B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83" w:type="dxa"/>
            <w:noWrap w:val="0"/>
            <w:vAlign w:val="center"/>
          </w:tcPr>
          <w:p w14:paraId="327F7B2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家禽类</w:t>
            </w:r>
          </w:p>
          <w:p w14:paraId="37F8025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（不含内脏）</w:t>
            </w:r>
          </w:p>
        </w:tc>
        <w:tc>
          <w:tcPr>
            <w:tcW w:w="7528" w:type="dxa"/>
            <w:noWrap w:val="0"/>
            <w:vAlign w:val="center"/>
          </w:tcPr>
          <w:p w14:paraId="006F41E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（鲜）杀鲜鸡、（鲜）杀鲜鸭、鸡翅、鸡尖、腊鸡腿（冻）净膛整鸡、 鸡胸、琵琶腿、鸡边腿、鸡爪、鸽子、野鸭等</w:t>
            </w:r>
          </w:p>
        </w:tc>
      </w:tr>
      <w:tr w14:paraId="2D19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83" w:type="dxa"/>
            <w:noWrap w:val="0"/>
            <w:vAlign w:val="center"/>
          </w:tcPr>
          <w:p w14:paraId="615C0A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家畜类</w:t>
            </w:r>
          </w:p>
        </w:tc>
        <w:tc>
          <w:tcPr>
            <w:tcW w:w="7528" w:type="dxa"/>
            <w:noWrap w:val="0"/>
            <w:vAlign w:val="center"/>
          </w:tcPr>
          <w:p w14:paraId="0EA7D13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条肉、五花肉、肉末、肉丝、板油、小排、大排、杂排、猪蹄、筒骨、猪肝、猪肚、猪大肠、咸肉、咸猪蹄、火腿肉、牛肉、牛腩、牛排、牛腱子、鲜羊肉、熟羊肉、羊肉卷、羊骨头等</w:t>
            </w:r>
          </w:p>
        </w:tc>
      </w:tr>
      <w:tr w14:paraId="4D33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83" w:type="dxa"/>
            <w:noWrap w:val="0"/>
            <w:vAlign w:val="center"/>
          </w:tcPr>
          <w:p w14:paraId="69780DC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水产类</w:t>
            </w:r>
          </w:p>
        </w:tc>
        <w:tc>
          <w:tcPr>
            <w:tcW w:w="7528" w:type="dxa"/>
            <w:noWrap w:val="0"/>
            <w:vAlign w:val="center"/>
          </w:tcPr>
          <w:p w14:paraId="50FAAF8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鲢鱼、草鱼、鲫鱼、河虾、鳊鱼、桂鱼、笋壳鱼、黑鱼、鲈鱼、包头鱼、鳗鱼、黄鳝、泥鳅等</w:t>
            </w:r>
          </w:p>
        </w:tc>
      </w:tr>
      <w:tr w14:paraId="2D05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83" w:type="dxa"/>
            <w:noWrap w:val="0"/>
            <w:vAlign w:val="center"/>
          </w:tcPr>
          <w:p w14:paraId="5F534B9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豆制品类</w:t>
            </w:r>
          </w:p>
        </w:tc>
        <w:tc>
          <w:tcPr>
            <w:tcW w:w="7528" w:type="dxa"/>
            <w:noWrap w:val="0"/>
            <w:vAlign w:val="center"/>
          </w:tcPr>
          <w:p w14:paraId="7971E28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fldChar w:fldCharType="begin"/>
            </w:r>
            <w:r>
              <w:rPr>
                <w:rFonts w:hint="eastAsia" w:asciiTheme="minorEastAsia" w:hAnsiTheme="minorEastAsia" w:eastAsiaTheme="minorEastAsia" w:cstheme="minorEastAsia"/>
                <w:color w:val="auto"/>
                <w:kern w:val="2"/>
                <w:sz w:val="24"/>
                <w:szCs w:val="24"/>
                <w:highlight w:val="none"/>
              </w:rPr>
              <w:instrText xml:space="preserve"> HYPERLINK "https://baike.baidu.com/item/%E8%85%90%E4%B9%B3/813421" </w:instrText>
            </w:r>
            <w:r>
              <w:rPr>
                <w:rFonts w:hint="eastAsia" w:asciiTheme="minorEastAsia" w:hAnsiTheme="minorEastAsia" w:eastAsiaTheme="minorEastAsia" w:cstheme="minorEastAsia"/>
                <w:color w:val="auto"/>
                <w:kern w:val="2"/>
                <w:sz w:val="24"/>
                <w:szCs w:val="24"/>
                <w:highlight w:val="none"/>
              </w:rPr>
              <w:fldChar w:fldCharType="separate"/>
            </w:r>
            <w:r>
              <w:rPr>
                <w:rFonts w:hint="eastAsia" w:asciiTheme="minorEastAsia" w:hAnsiTheme="minorEastAsia" w:eastAsiaTheme="minorEastAsia" w:cstheme="minorEastAsia"/>
                <w:color w:val="auto"/>
                <w:kern w:val="2"/>
                <w:sz w:val="24"/>
                <w:szCs w:val="24"/>
                <w:highlight w:val="none"/>
              </w:rPr>
              <w:t>豆腐、豆腐皮、腐乳、油豆腐、臭豆腐、豆腐干、老豆腐、千张结等</w:t>
            </w:r>
            <w:r>
              <w:rPr>
                <w:rFonts w:hint="eastAsia" w:asciiTheme="minorEastAsia" w:hAnsiTheme="minorEastAsia" w:eastAsiaTheme="minorEastAsia" w:cstheme="minorEastAsia"/>
                <w:color w:val="auto"/>
                <w:kern w:val="2"/>
                <w:sz w:val="24"/>
                <w:szCs w:val="24"/>
                <w:highlight w:val="none"/>
              </w:rPr>
              <w:fldChar w:fldCharType="end"/>
            </w:r>
          </w:p>
        </w:tc>
      </w:tr>
    </w:tbl>
    <w:p w14:paraId="64A3DD5B">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3、</w:t>
      </w:r>
      <w:r>
        <w:rPr>
          <w:rFonts w:hint="eastAsia" w:asciiTheme="minorEastAsia" w:hAnsiTheme="minorEastAsia" w:eastAsiaTheme="minorEastAsia" w:cstheme="minorEastAsia"/>
          <w:b/>
          <w:bCs w:val="0"/>
          <w:color w:val="auto"/>
          <w:kern w:val="2"/>
          <w:sz w:val="24"/>
          <w:szCs w:val="24"/>
          <w:highlight w:val="none"/>
        </w:rPr>
        <w:t>商务要求：</w:t>
      </w:r>
    </w:p>
    <w:p w14:paraId="29B98F1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本次招标合同服务期各半年。若有以次充好或其他违反合同履行的情况，采购人将根据情况取消其配送资格。</w:t>
      </w:r>
    </w:p>
    <w:p w14:paraId="3710352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中标人应根据采购人实际需求分批送货，每日在采购人要求的时间（07:00）前必须将食材配送到指定地点，临时补送食材需在30分钟之内送到。中标人不得无故改变交货时间、数量、品种等，应确保采购人的正常需求量。采购人对送达货物进行现场验收核对，无误后开具验收单给中标人。采购人在验收食品时，只对食品品种、数量、规格和肉眼感观能够分辨的外观质量负责；中标人对食品内在质量应承担连续的追踪责任。</w:t>
      </w:r>
    </w:p>
    <w:p w14:paraId="10AB97E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3</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结算与支付：收货清单当天由采购人确认，货款以成交价格按每月结算，成交价格已包含税费、运输、保险等相关费用。中标人应先提供本公司正规税务发票，采购人在收到票据后支付货款，结算以人民币元计价。</w:t>
      </w:r>
    </w:p>
    <w:p w14:paraId="506DE88F">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4、</w:t>
      </w:r>
      <w:r>
        <w:rPr>
          <w:rFonts w:hint="eastAsia" w:asciiTheme="minorEastAsia" w:hAnsiTheme="minorEastAsia" w:eastAsiaTheme="minorEastAsia" w:cstheme="minorEastAsia"/>
          <w:b/>
          <w:bCs w:val="0"/>
          <w:color w:val="auto"/>
          <w:kern w:val="2"/>
          <w:sz w:val="24"/>
          <w:szCs w:val="24"/>
          <w:highlight w:val="none"/>
        </w:rPr>
        <w:t>订货：</w:t>
      </w:r>
    </w:p>
    <w:p w14:paraId="75FFB1D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采购人每日18点30分前向中标人提供次日需求订单。内容包括原材料名称、种类、规格、数量、运送时间、送达地点、订单联系人等具体要求。</w:t>
      </w:r>
    </w:p>
    <w:p w14:paraId="3D9624D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中标人如无法提供订单的个别品种，应在接到订单后2小时内知会采购人并协商好解决办法。</w:t>
      </w:r>
    </w:p>
    <w:p w14:paraId="74C3D578">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3</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遇特殊情况，如：采购人用餐人数临时增减，特需物品临时增减等，中标人需无条件配合采购人。采购人需要补货的，经采购人通知后，中标人应尽快配送至采购人食堂。</w:t>
      </w:r>
    </w:p>
    <w:p w14:paraId="6DEBF03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4</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因季节性及台风等自然灾害影响，部分菜品价格涨幅过大，需要临时调整价格时，中标人应先书面或电话通知采购人，经双方协调后给予调整。</w:t>
      </w:r>
    </w:p>
    <w:p w14:paraId="05C52B03">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交货：</w:t>
      </w:r>
    </w:p>
    <w:p w14:paraId="3D0BC08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（1）中标人每日在采购人要求的时间（07:00）前完成当日订单物品的配送，并提供《送货清单》一式三份（其中采购人两份，一份食堂留档，一份财务做账），双方现场过秤并验收签名，作结算凭证。</w:t>
      </w:r>
    </w:p>
    <w:p w14:paraId="10048F49">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（2）所有品种按除箱净重过磅，最终交易重量以双方确认的过磅数为准。</w:t>
      </w:r>
    </w:p>
    <w:p w14:paraId="78EE758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（3）中标人负责将货物从车上搬到</w:t>
      </w:r>
      <w:r>
        <w:rPr>
          <w:rFonts w:hint="eastAsia" w:asciiTheme="minorEastAsia" w:hAnsiTheme="minorEastAsia" w:eastAsiaTheme="minorEastAsia" w:cstheme="minorEastAsia"/>
          <w:b w:val="0"/>
          <w:bCs/>
          <w:color w:val="auto"/>
          <w:kern w:val="2"/>
          <w:sz w:val="24"/>
          <w:szCs w:val="24"/>
          <w:highlight w:val="none"/>
          <w:lang w:val="en-US" w:eastAsia="zh-CN"/>
        </w:rPr>
        <w:t>秤</w:t>
      </w:r>
      <w:r>
        <w:rPr>
          <w:rFonts w:hint="eastAsia" w:asciiTheme="minorEastAsia" w:hAnsiTheme="minorEastAsia" w:eastAsiaTheme="minorEastAsia" w:cstheme="minorEastAsia"/>
          <w:b w:val="0"/>
          <w:bCs/>
          <w:color w:val="auto"/>
          <w:kern w:val="2"/>
          <w:sz w:val="24"/>
          <w:szCs w:val="24"/>
          <w:highlight w:val="none"/>
        </w:rPr>
        <w:t>上过磅，然后放到指定地点，由采购人负责验收并签字确认。</w:t>
      </w:r>
    </w:p>
    <w:p w14:paraId="3FCDBE2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（4）</w:t>
      </w:r>
      <w:r>
        <w:rPr>
          <w:rFonts w:hint="eastAsia" w:asciiTheme="minorEastAsia" w:hAnsiTheme="minorEastAsia" w:eastAsiaTheme="minorEastAsia" w:cstheme="minorEastAsia"/>
          <w:b w:val="0"/>
          <w:bCs/>
          <w:color w:val="auto"/>
          <w:kern w:val="2"/>
          <w:sz w:val="24"/>
          <w:szCs w:val="24"/>
          <w:highlight w:val="none"/>
          <w:lang w:val="zh-CN"/>
        </w:rPr>
        <w:t>考虑到叶菜类品种的特殊性，要求中标人实际供应除叶菜类外的品种及数量与</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订单要求相差不能超过</w:t>
      </w:r>
      <w:r>
        <w:rPr>
          <w:rFonts w:hint="eastAsia" w:asciiTheme="minorEastAsia" w:hAnsiTheme="minorEastAsia" w:eastAsiaTheme="minorEastAsia" w:cstheme="minorEastAsia"/>
          <w:b w:val="0"/>
          <w:bCs/>
          <w:color w:val="auto"/>
          <w:kern w:val="2"/>
          <w:sz w:val="24"/>
          <w:szCs w:val="24"/>
          <w:highlight w:val="none"/>
        </w:rPr>
        <w:t>10</w:t>
      </w:r>
      <w:r>
        <w:rPr>
          <w:rFonts w:hint="eastAsia" w:asciiTheme="minorEastAsia" w:hAnsiTheme="minorEastAsia" w:eastAsiaTheme="minorEastAsia" w:cstheme="minorEastAsia"/>
          <w:b w:val="0"/>
          <w:bCs/>
          <w:color w:val="auto"/>
          <w:kern w:val="2"/>
          <w:sz w:val="24"/>
          <w:szCs w:val="24"/>
          <w:highlight w:val="none"/>
          <w:lang w:val="zh-CN"/>
        </w:rPr>
        <w:t>％，叶菜类的品种及数量与</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订单要求相差不能超过</w:t>
      </w:r>
      <w:r>
        <w:rPr>
          <w:rFonts w:hint="eastAsia" w:asciiTheme="minorEastAsia" w:hAnsiTheme="minorEastAsia" w:eastAsiaTheme="minorEastAsia" w:cstheme="minorEastAsia"/>
          <w:b w:val="0"/>
          <w:bCs/>
          <w:color w:val="auto"/>
          <w:kern w:val="2"/>
          <w:sz w:val="24"/>
          <w:szCs w:val="24"/>
          <w:highlight w:val="none"/>
        </w:rPr>
        <w:t>30</w:t>
      </w:r>
      <w:r>
        <w:rPr>
          <w:rFonts w:hint="eastAsia" w:asciiTheme="minorEastAsia" w:hAnsiTheme="minorEastAsia" w:eastAsiaTheme="minorEastAsia" w:cstheme="minorEastAsia"/>
          <w:b w:val="0"/>
          <w:bCs/>
          <w:color w:val="auto"/>
          <w:kern w:val="2"/>
          <w:sz w:val="24"/>
          <w:szCs w:val="24"/>
          <w:highlight w:val="none"/>
          <w:lang w:val="zh-CN"/>
        </w:rPr>
        <w:t>％。各品种数量超出规定的部分由中标人带回，不纳入结算，短缺的部份由中标人及时补足。</w:t>
      </w:r>
    </w:p>
    <w:p w14:paraId="2A4337F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5</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zh-CN"/>
        </w:rPr>
        <w:t>家禽及肉类等货品根据招</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要求加工，家禽必须是当天新鲜宰杀；带骨产品（肉骨头、仔排、大排等）需按</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要求剁小块或薄片；肉末、肉丝等原则上由</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食堂自行加工，在发生急需加工的情况时，可由中标人代为加工，但必须是</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的相关人员确定原材料数量和质量后，在</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的相关人员在场的情况下进行加工。</w:t>
      </w:r>
    </w:p>
    <w:p w14:paraId="413D384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6</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中标人提供的各类蔬菜、水果、水产、肉禽类等食料或农副产品质量必须达到配送所列的要求及验收标准，并且品质不低于采购人当天在各大蔬菜批发市场的自购标准，若发现不合格，采购人有权要求退款，并要求中标人在指定的时间内按采购人的要求重新供货，更换同类产品不再另行计价。</w:t>
      </w:r>
    </w:p>
    <w:p w14:paraId="2C590CB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7</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中标人提供的蔬菜、水果应当新鲜，若提供的食品有腐烂等情况的，必须当天12:00前完成更换。</w:t>
      </w:r>
    </w:p>
    <w:p w14:paraId="0C2E9C48">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en-US" w:eastAsia="zh-CN"/>
        </w:rPr>
        <w:t>6、</w:t>
      </w:r>
      <w:r>
        <w:rPr>
          <w:rFonts w:hint="eastAsia" w:asciiTheme="minorEastAsia" w:hAnsiTheme="minorEastAsia" w:eastAsiaTheme="minorEastAsia" w:cstheme="minorEastAsia"/>
          <w:b/>
          <w:bCs w:val="0"/>
          <w:color w:val="auto"/>
          <w:kern w:val="2"/>
          <w:sz w:val="24"/>
          <w:szCs w:val="24"/>
          <w:highlight w:val="none"/>
        </w:rPr>
        <w:t>验收标准及退货依据：</w:t>
      </w:r>
    </w:p>
    <w:p w14:paraId="670631BC">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rPr>
        <w:t>中标人应严格遵守《食品卫生法》和《动物检疫法》等相关规定，一经发现供应不合格货品，除全部退货外，将取消供货单位的供货资格，中标人并承担由此造成的一切经济责任和法律责任：</w:t>
      </w:r>
    </w:p>
    <w:p w14:paraId="1F0909D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lang w:val="en-US" w:eastAsia="zh-CN"/>
        </w:rPr>
        <w:t>1</w:t>
      </w: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rPr>
        <w:t>菜类</w:t>
      </w:r>
    </w:p>
    <w:tbl>
      <w:tblPr>
        <w:tblStyle w:val="30"/>
        <w:tblW w:w="0" w:type="auto"/>
        <w:jc w:val="center"/>
        <w:tblLayout w:type="fixed"/>
        <w:tblCellMar>
          <w:top w:w="0" w:type="dxa"/>
          <w:left w:w="108" w:type="dxa"/>
          <w:bottom w:w="0" w:type="dxa"/>
          <w:right w:w="108" w:type="dxa"/>
        </w:tblCellMar>
      </w:tblPr>
      <w:tblGrid>
        <w:gridCol w:w="1526"/>
        <w:gridCol w:w="4026"/>
        <w:gridCol w:w="3770"/>
      </w:tblGrid>
      <w:tr w14:paraId="5085D7CC">
        <w:tblPrEx>
          <w:tblCellMar>
            <w:top w:w="0" w:type="dxa"/>
            <w:left w:w="108" w:type="dxa"/>
            <w:bottom w:w="0" w:type="dxa"/>
            <w:right w:w="108" w:type="dxa"/>
          </w:tblCellMar>
        </w:tblPrEx>
        <w:trPr>
          <w:trHeight w:val="451" w:hRule="atLeast"/>
          <w:tblHeader/>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21CF0B">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种类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EF246E">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验收标准</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8D3EBA">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退货依据</w:t>
            </w:r>
          </w:p>
        </w:tc>
      </w:tr>
      <w:tr w14:paraId="29EDDBC2">
        <w:tblPrEx>
          <w:tblCellMar>
            <w:top w:w="0" w:type="dxa"/>
            <w:left w:w="108" w:type="dxa"/>
            <w:bottom w:w="0" w:type="dxa"/>
            <w:right w:w="108" w:type="dxa"/>
          </w:tblCellMar>
        </w:tblPrEx>
        <w:trPr>
          <w:trHeight w:val="1379"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84D8E6">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叶菜</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DF983B">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外形正常，叶梗光滑幼嫩，不干瘪凋萎，无过多黄叶，色泽正常。去除根须，不含土，无虫害，大白菜、卷心菜切开心不变黑，无腐烂情形，无明显浸水现象；农药残留不超标。</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B43DE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味苦，鲜度嫩度明显不佳，含黄叶须根，泥土、虫害严重，萎捏严重，浸水后仍不可恢复；农药残留超标。</w:t>
            </w:r>
          </w:p>
        </w:tc>
      </w:tr>
      <w:tr w14:paraId="38864F62">
        <w:tblPrEx>
          <w:tblCellMar>
            <w:top w:w="0" w:type="dxa"/>
            <w:left w:w="108" w:type="dxa"/>
            <w:bottom w:w="0" w:type="dxa"/>
            <w:right w:w="108" w:type="dxa"/>
          </w:tblCellMar>
        </w:tblPrEx>
        <w:trPr>
          <w:trHeight w:val="600"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F467EF">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根茎类（如香芋、土豆、莴笋等）</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A8219E">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无虫咬、发芽、发霉现象，新鲜，形态大小与招标人自购标准相当。农药残留不超标。</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5E9EB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发芽严重、发霉，新鲜度不佳，形态大小与招标人自购标准存在较大负偏差。农药残留超标。</w:t>
            </w:r>
          </w:p>
        </w:tc>
      </w:tr>
      <w:tr w14:paraId="2E5054F4">
        <w:tblPrEx>
          <w:tblCellMar>
            <w:top w:w="0" w:type="dxa"/>
            <w:left w:w="108" w:type="dxa"/>
            <w:bottom w:w="0" w:type="dxa"/>
            <w:right w:w="108" w:type="dxa"/>
          </w:tblCellMar>
        </w:tblPrEx>
        <w:trPr>
          <w:trHeight w:val="1047"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D16630">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花果类，如西兰花、白菜花</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C4E49E">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无虫害，成熟度良好，新鲜固有的色泽鲜明，无发霉发黄。农药残留不超标。</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8CBE7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不新鲜，发霉，虫害过多。农药残留超标。</w:t>
            </w:r>
          </w:p>
        </w:tc>
      </w:tr>
      <w:tr w14:paraId="4A2DCF32">
        <w:tblPrEx>
          <w:tblCellMar>
            <w:top w:w="0" w:type="dxa"/>
            <w:left w:w="108" w:type="dxa"/>
            <w:bottom w:w="0" w:type="dxa"/>
            <w:right w:w="108" w:type="dxa"/>
          </w:tblCellMar>
        </w:tblPrEx>
        <w:trPr>
          <w:trHeight w:val="918"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B0697D">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瓜果类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4F388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外表光亮无斑点，有新鲜连接的秧，形状正常、大小均匀，无软塌，成熟度适度。无腐烂，无污染，清洁、新鲜，无异味、无病虫损害。农药残留不超标。</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93C86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不新鲜、软塌、腐烂，有异味。病虫损害严重，形状不太正常，大小不适中。农药残留超标。</w:t>
            </w:r>
          </w:p>
        </w:tc>
      </w:tr>
      <w:tr w14:paraId="1562AB2D">
        <w:tblPrEx>
          <w:tblCellMar>
            <w:top w:w="0" w:type="dxa"/>
            <w:left w:w="108" w:type="dxa"/>
            <w:bottom w:w="0" w:type="dxa"/>
            <w:right w:w="108" w:type="dxa"/>
          </w:tblCellMar>
        </w:tblPrEx>
        <w:trPr>
          <w:trHeight w:val="1357"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FAD09A">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豆制品</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2DD79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品牌产品，保质期限内，包装无破损，感官上色泽正常，硬度弹性正常，无异味</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0FF3ED">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由于蛋白质的分解等原因，豆制品硬度和弹性下降，表面发粘，颜色发暗、发红、或变黄，或表面出现各种颜色的霉斑，产生酸馊气味或异味，有黄色液体流出等。</w:t>
            </w:r>
          </w:p>
        </w:tc>
      </w:tr>
      <w:tr w14:paraId="7153F9BA">
        <w:tblPrEx>
          <w:tblCellMar>
            <w:top w:w="0" w:type="dxa"/>
            <w:left w:w="108" w:type="dxa"/>
            <w:bottom w:w="0" w:type="dxa"/>
            <w:right w:w="108" w:type="dxa"/>
          </w:tblCellMar>
        </w:tblPrEx>
        <w:trPr>
          <w:trHeight w:val="1867"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D1735A">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鱼类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54866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016794">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1119A219">
        <w:tblPrEx>
          <w:tblCellMar>
            <w:top w:w="0" w:type="dxa"/>
            <w:left w:w="108" w:type="dxa"/>
            <w:bottom w:w="0" w:type="dxa"/>
            <w:right w:w="108" w:type="dxa"/>
          </w:tblCellMar>
        </w:tblPrEx>
        <w:trPr>
          <w:trHeight w:val="77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DBC1A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虾类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17242F">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体表色泽正常，甲壳无“黑变”或轻度“黑变”，无破损或脱节；虾肉组织紧密有弹性，无异味；肉质清洁完整</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8E1078">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虾体色泽及光泽褪色，甲壳“黑变”严重，外表暗淡无光泽；虾肉组织韧性差，肉质松软，甲壳与虾体分离；有异味、氨味、腥臭</w:t>
            </w:r>
          </w:p>
        </w:tc>
      </w:tr>
      <w:tr w14:paraId="4DF6EC92">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BF978D">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软体动物（章鱼、鱿鱼等）</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E7045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体表具有本品种固有新鲜色泽，色素斑清晰，黏液多而清亮；眼球饱满；肌肉柔软，有弹性；</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97B5A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体表色泽较差，黏液浑浊、有味，体表僵硬发红；眼球凹陷；肌肉弹性差；切面颜色发暗，有异味</w:t>
            </w:r>
          </w:p>
        </w:tc>
      </w:tr>
      <w:tr w14:paraId="4D67D44D">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CC083B3">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生鲜牡蛎肉</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5BD095">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牡蛎饱满或稍软，呈乳白色，体液澄清，无色或淡灰色，有牡蛎固有气味，无杂质</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E8A7DB3">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牡蛎杂质多，色泽异常，体液浑浊等</w:t>
            </w:r>
          </w:p>
        </w:tc>
      </w:tr>
      <w:tr w14:paraId="57CE36C2">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445053">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海螺肉</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C5EA13">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海螺肉呈乳黄色或浅黄色，有光泽有弹性，局部有玫瑰紫色斑点</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242E8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海螺肉呈白色或灰白色，无光泽，无弹性</w:t>
            </w:r>
          </w:p>
        </w:tc>
      </w:tr>
      <w:tr w14:paraId="6DF0C5FD">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CBC119">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海带</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EAA679">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色泽深褐色或褐绿色，叶片长而宽阔，肉厚且不带根；表面有微呈白色粉状的甘露醇，含砂量和杂质量少</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EF3140">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色泽呈黄绿色，叶片短狭而肉薄，含砂量高</w:t>
            </w:r>
          </w:p>
        </w:tc>
      </w:tr>
      <w:tr w14:paraId="57A8C1E0">
        <w:tblPrEx>
          <w:tblCellMar>
            <w:top w:w="0" w:type="dxa"/>
            <w:left w:w="108" w:type="dxa"/>
            <w:bottom w:w="0" w:type="dxa"/>
            <w:right w:w="108" w:type="dxa"/>
          </w:tblCellMar>
        </w:tblPrEx>
        <w:trPr>
          <w:trHeight w:val="166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08404F">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畜肉类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1D449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放血刀口粗糙、切而外翻、刀口周围的血液浸润；血管扣无残留或少残留血液；皮肤呈白色或淡黄色，畜肉脂肪呈白色或乳白色；畜肉有弹性、有光泽</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68606A">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1BE5E0FE">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B67ECF">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猪肉类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296C7D">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71D1C4">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与验收标准不符，病死或者死因不明的畜禽及其制品等</w:t>
            </w:r>
          </w:p>
        </w:tc>
      </w:tr>
      <w:tr w14:paraId="5D32C5C9">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0A3656">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牛肉类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44A1C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牛腩：无杂碎、不带骨、无病变、块形整齐、无注水、色泽新鲜；牛排：整块、头尾带肉不能过多，排骨带肉约一寸厚；</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77A37B">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与验收标准不符，病死或者死因不明的畜禽及其制品等</w:t>
            </w:r>
          </w:p>
        </w:tc>
      </w:tr>
      <w:tr w14:paraId="25830F86">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62845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禽畜类</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7CFAD8">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6B5940">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与验收标准不符，病死或者死因不明的畜禽及其制品等</w:t>
            </w:r>
          </w:p>
        </w:tc>
      </w:tr>
      <w:tr w14:paraId="3A824EE7">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1A2CE7">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面粉、辅料及其他</w:t>
            </w:r>
          </w:p>
        </w:tc>
        <w:tc>
          <w:tcPr>
            <w:tcW w:w="40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A8C2A0">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根据招标人要求提供各类货品，保证新鲜度，注意保质期，外包装清洁卫生，完整坚固，且包装上的商品名称、厂址、规格等与内容物相符，标示清晰，批次清楚等。</w:t>
            </w:r>
          </w:p>
        </w:tc>
        <w:tc>
          <w:tcPr>
            <w:tcW w:w="37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7296CB">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（1）不符合验收标准的、无“QS”食品质量安全认证的产品。</w:t>
            </w:r>
          </w:p>
          <w:p w14:paraId="3EB723EC">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（2）无品名、产地、厂名、生产日期、保质期及中文标识及原料说明的定型包装食品。</w:t>
            </w:r>
          </w:p>
          <w:p w14:paraId="7C20225F">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（3）超过保质期限或不符合食品标签规定的定型包装食品。</w:t>
            </w:r>
          </w:p>
          <w:p w14:paraId="06DBB6BE">
            <w:pPr>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（4）腐败变质,油脂酸败,霉变,生虫,污秽不洁,混有异物或者其他感官性状异常,含有毒,有害物质污染,可能对人体健康有害的食品。</w:t>
            </w:r>
          </w:p>
        </w:tc>
      </w:tr>
    </w:tbl>
    <w:p w14:paraId="02438AC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水果类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7048"/>
      </w:tblGrid>
      <w:tr w14:paraId="5742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111" w:type="dxa"/>
            <w:noWrap w:val="0"/>
            <w:vAlign w:val="center"/>
          </w:tcPr>
          <w:p w14:paraId="26E43ACE">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品名</w:t>
            </w:r>
          </w:p>
        </w:tc>
        <w:tc>
          <w:tcPr>
            <w:tcW w:w="7048" w:type="dxa"/>
            <w:noWrap w:val="0"/>
            <w:vAlign w:val="center"/>
          </w:tcPr>
          <w:p w14:paraId="0F2E7ED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质量验收标准</w:t>
            </w:r>
          </w:p>
        </w:tc>
      </w:tr>
      <w:tr w14:paraId="2279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2111" w:type="dxa"/>
            <w:noWrap w:val="0"/>
            <w:vAlign w:val="center"/>
          </w:tcPr>
          <w:p w14:paraId="20F5118F">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鸭梨、酥梨、沙梨、啤梨</w:t>
            </w:r>
          </w:p>
        </w:tc>
        <w:tc>
          <w:tcPr>
            <w:tcW w:w="7048" w:type="dxa"/>
            <w:noWrap w:val="0"/>
            <w:vAlign w:val="center"/>
          </w:tcPr>
          <w:p w14:paraId="4CFA203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果形端正，大小均匀，无畸形果，带果柄；果面新鲜洁净，无刺划伤，无压痕，无病虫害；重身结实，味道爽甜。</w:t>
            </w:r>
          </w:p>
        </w:tc>
      </w:tr>
      <w:tr w14:paraId="77B6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2111" w:type="dxa"/>
            <w:noWrap w:val="0"/>
            <w:vAlign w:val="center"/>
          </w:tcPr>
          <w:p w14:paraId="51E343B2">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青苹果、秦冠、加力果、红富士、新西兰、华盛顿</w:t>
            </w:r>
          </w:p>
        </w:tc>
        <w:tc>
          <w:tcPr>
            <w:tcW w:w="7048" w:type="dxa"/>
            <w:noWrap w:val="0"/>
            <w:vAlign w:val="center"/>
          </w:tcPr>
          <w:p w14:paraId="22173AE2">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本品种特有的外形，大小均匀，果面光滑有光泽,具有本品种应有的自然色泽;无斑点或极少果锈，不起皱，无裂口，无压痕及其他机械损伤和冻伤黑斑；果身重，硬朗：口感汁液饱满，无苦涩味，无木栓化组织。</w:t>
            </w:r>
          </w:p>
        </w:tc>
      </w:tr>
      <w:tr w14:paraId="6251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2111" w:type="dxa"/>
            <w:noWrap w:val="0"/>
            <w:vAlign w:val="center"/>
          </w:tcPr>
          <w:p w14:paraId="3215EAEA">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蜜柑、广柑、芦柑</w:t>
            </w:r>
          </w:p>
        </w:tc>
        <w:tc>
          <w:tcPr>
            <w:tcW w:w="7048" w:type="dxa"/>
            <w:noWrap w:val="0"/>
            <w:vAlign w:val="center"/>
          </w:tcPr>
          <w:p w14:paraId="6FCF975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果实大近似球形，无异状突起瘤、无病虫害所呈现的绿斑、黑斑，无霉烂，无机械伤，果面清新洁净，大小均匀，果实无萎蔫，色泽自然。</w:t>
            </w:r>
          </w:p>
        </w:tc>
      </w:tr>
      <w:tr w14:paraId="776F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111" w:type="dxa"/>
            <w:noWrap w:val="0"/>
            <w:vAlign w:val="center"/>
          </w:tcPr>
          <w:p w14:paraId="4427A516">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红桔、蜜桔</w:t>
            </w:r>
          </w:p>
        </w:tc>
        <w:tc>
          <w:tcPr>
            <w:tcW w:w="7048" w:type="dxa"/>
            <w:noWrap w:val="0"/>
            <w:vAlign w:val="center"/>
          </w:tcPr>
          <w:p w14:paraId="53F3495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果实小而扁，大小均匀，果面新鲜光洁无裂口，无机械伤，无病斑及腐烂 现象，果蒂完整平齐，易剥落，桔络少</w:t>
            </w:r>
          </w:p>
        </w:tc>
      </w:tr>
      <w:tr w14:paraId="07E4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2111" w:type="dxa"/>
            <w:noWrap w:val="0"/>
            <w:vAlign w:val="center"/>
          </w:tcPr>
          <w:p w14:paraId="7BFB1C59">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口橙、脐橙、锦橙</w:t>
            </w:r>
          </w:p>
        </w:tc>
        <w:tc>
          <w:tcPr>
            <w:tcW w:w="7048" w:type="dxa"/>
            <w:noWrap w:val="0"/>
            <w:vAlign w:val="center"/>
          </w:tcPr>
          <w:p w14:paraId="2B7BED2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大小均匀，皮光滑并有光泽，手感重，无机械损伤。难剥离，果汁多，味可口无萎蔫。</w:t>
            </w:r>
          </w:p>
        </w:tc>
      </w:tr>
      <w:tr w14:paraId="5EF0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2111" w:type="dxa"/>
            <w:noWrap w:val="0"/>
            <w:vAlign w:val="center"/>
          </w:tcPr>
          <w:p w14:paraId="64D91B62">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香蕉</w:t>
            </w:r>
          </w:p>
        </w:tc>
        <w:tc>
          <w:tcPr>
            <w:tcW w:w="7048" w:type="dxa"/>
            <w:noWrap w:val="0"/>
            <w:vAlign w:val="center"/>
          </w:tcPr>
          <w:p w14:paraId="2020E961">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果实丰满，果形端正，梳柄完整，不缺只口，单果均匀；色泽自然、光亮；皮色青黄，果面光滑。无病黑斑，无虫疤，无霉菌，无创伤；果肉稍硬；果皮可剥或易剥。</w:t>
            </w:r>
          </w:p>
        </w:tc>
      </w:tr>
      <w:tr w14:paraId="566F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2111" w:type="dxa"/>
            <w:noWrap w:val="0"/>
            <w:vAlign w:val="center"/>
          </w:tcPr>
          <w:p w14:paraId="6AEA0E29">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葡萄、提子</w:t>
            </w:r>
          </w:p>
        </w:tc>
        <w:tc>
          <w:tcPr>
            <w:tcW w:w="7048" w:type="dxa"/>
            <w:noWrap w:val="0"/>
            <w:vAlign w:val="center"/>
          </w:tcPr>
          <w:p w14:paraId="2B461069">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具有本品种应有的外形、色泽，大小均匀，果形端正，果粒面完好，皮上无斑痕，果珠饱满，大小均匀；轻提果穗技梗，微微抖动，果实不抖落或抖落极少。</w:t>
            </w:r>
          </w:p>
        </w:tc>
      </w:tr>
      <w:tr w14:paraId="2CC6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2111" w:type="dxa"/>
            <w:noWrap w:val="0"/>
            <w:vAlign w:val="center"/>
          </w:tcPr>
          <w:p w14:paraId="4F3A1E32">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西瓜</w:t>
            </w:r>
          </w:p>
        </w:tc>
        <w:tc>
          <w:tcPr>
            <w:tcW w:w="7048" w:type="dxa"/>
            <w:noWrap w:val="0"/>
            <w:vAlign w:val="center"/>
          </w:tcPr>
          <w:p w14:paraId="1CF4974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具有本品种应有形状，大小均匀、果色清新光亮、条纹清晰、果皮无伤痕、无水份腐烂、无干，无虫眼、无病斑、果柄茸毛脱落、脐部凹陷、水份大、甜度高、切开鲜艳光泽，无异味及黑瓤。</w:t>
            </w:r>
          </w:p>
        </w:tc>
      </w:tr>
      <w:tr w14:paraId="78C2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2111" w:type="dxa"/>
            <w:noWrap w:val="0"/>
            <w:vAlign w:val="center"/>
          </w:tcPr>
          <w:p w14:paraId="14D65BAF">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火龙果</w:t>
            </w:r>
          </w:p>
        </w:tc>
        <w:tc>
          <w:tcPr>
            <w:tcW w:w="7048" w:type="dxa"/>
            <w:noWrap w:val="0"/>
            <w:vAlign w:val="center"/>
          </w:tcPr>
          <w:p w14:paraId="7A840E6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果面火红有光泽，叶片青，果实坚实。无腐烂，无软塌，无皱 缩，大小均匀。</w:t>
            </w:r>
          </w:p>
        </w:tc>
      </w:tr>
      <w:tr w14:paraId="74DA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2111" w:type="dxa"/>
            <w:noWrap w:val="0"/>
            <w:vAlign w:val="center"/>
          </w:tcPr>
          <w:p w14:paraId="01404C8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芒果</w:t>
            </w:r>
          </w:p>
        </w:tc>
        <w:tc>
          <w:tcPr>
            <w:tcW w:w="7048" w:type="dxa"/>
            <w:noWrap w:val="0"/>
            <w:vAlign w:val="center"/>
          </w:tcPr>
          <w:p w14:paraId="3C1213C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具有本品种应有的外形，大小均匀，外表光滑，有一定硬度， 果实结实，无黑斑，无灰斑，无冻害。</w:t>
            </w:r>
          </w:p>
        </w:tc>
      </w:tr>
      <w:tr w14:paraId="12D3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jc w:val="center"/>
        </w:trPr>
        <w:tc>
          <w:tcPr>
            <w:tcW w:w="2111" w:type="dxa"/>
            <w:noWrap w:val="0"/>
            <w:vAlign w:val="center"/>
          </w:tcPr>
          <w:p w14:paraId="5D8BF32D">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杨桃、毛桃、水蜜桃、蟠桃</w:t>
            </w:r>
          </w:p>
        </w:tc>
        <w:tc>
          <w:tcPr>
            <w:tcW w:w="7048" w:type="dxa"/>
            <w:noWrap w:val="0"/>
            <w:vAlign w:val="center"/>
          </w:tcPr>
          <w:p w14:paraId="7B8CF9F5">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具有本品种应有的外形及色泽，大小均匀、果形端正、果面无不正常斑点，无裂口及其他机械损伤，无腐烂，无病虫害，无药害，无破皮</w:t>
            </w:r>
          </w:p>
        </w:tc>
      </w:tr>
      <w:tr w14:paraId="5932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2111" w:type="dxa"/>
            <w:noWrap w:val="0"/>
            <w:vAlign w:val="center"/>
          </w:tcPr>
          <w:p w14:paraId="2C3F5D9B">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荔枝</w:t>
            </w:r>
          </w:p>
        </w:tc>
        <w:tc>
          <w:tcPr>
            <w:tcW w:w="7048" w:type="dxa"/>
            <w:noWrap w:val="0"/>
            <w:vAlign w:val="center"/>
          </w:tcPr>
          <w:p w14:paraId="7895E51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果皮鲜红，稍带柴色；果肉透明、爽口、甜度适中，无裂果，无 腐烂，无病虫害，无药害及其它伤害，大小均匀。</w:t>
            </w:r>
          </w:p>
        </w:tc>
      </w:tr>
      <w:tr w14:paraId="249D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2111" w:type="dxa"/>
            <w:noWrap w:val="0"/>
            <w:vAlign w:val="center"/>
          </w:tcPr>
          <w:p w14:paraId="1879542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桂圆</w:t>
            </w:r>
          </w:p>
        </w:tc>
        <w:tc>
          <w:tcPr>
            <w:tcW w:w="7048" w:type="dxa"/>
            <w:noWrap w:val="0"/>
            <w:vAlign w:val="center"/>
          </w:tcPr>
          <w:p w14:paraId="331EA11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果色棕黄，果粒均匀，果身较为平滑有光泽，果肉不粘手，易剥落 韧性；无霉烂，无黑斑。</w:t>
            </w:r>
          </w:p>
        </w:tc>
      </w:tr>
      <w:tr w14:paraId="3D94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111" w:type="dxa"/>
            <w:noWrap w:val="0"/>
            <w:vAlign w:val="center"/>
          </w:tcPr>
          <w:p w14:paraId="64CACB0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哈密瓜</w:t>
            </w:r>
          </w:p>
        </w:tc>
        <w:tc>
          <w:tcPr>
            <w:tcW w:w="7048" w:type="dxa"/>
            <w:noWrap w:val="0"/>
            <w:vAlign w:val="center"/>
          </w:tcPr>
          <w:p w14:paraId="7D6AB4C3">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外皮呈长椭圆形，呈浅绿色至黄色，结实，果把新鲜，网纹绸密者为上品，无裂痕，无压伤。</w:t>
            </w:r>
          </w:p>
        </w:tc>
      </w:tr>
      <w:tr w14:paraId="1FC6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111" w:type="dxa"/>
            <w:noWrap w:val="0"/>
            <w:vAlign w:val="center"/>
          </w:tcPr>
          <w:p w14:paraId="6DCD55C4">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猕猴桃</w:t>
            </w:r>
          </w:p>
        </w:tc>
        <w:tc>
          <w:tcPr>
            <w:tcW w:w="7048" w:type="dxa"/>
            <w:noWrap w:val="0"/>
            <w:vAlign w:val="center"/>
          </w:tcPr>
          <w:p w14:paraId="6A7FE9C0">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颜色为黄绿色或咖啡色，表面有棕色的绒毛，形状均匀小整齐，横切面为椭圆形，果身较硬或稍有柔软。</w:t>
            </w:r>
          </w:p>
        </w:tc>
      </w:tr>
    </w:tbl>
    <w:p w14:paraId="01093E5A">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7、</w:t>
      </w:r>
      <w:r>
        <w:rPr>
          <w:rFonts w:hint="eastAsia" w:asciiTheme="minorEastAsia" w:hAnsiTheme="minorEastAsia" w:eastAsiaTheme="minorEastAsia" w:cstheme="minorEastAsia"/>
          <w:b/>
          <w:bCs w:val="0"/>
          <w:color w:val="auto"/>
          <w:kern w:val="2"/>
          <w:sz w:val="24"/>
          <w:szCs w:val="24"/>
          <w:highlight w:val="none"/>
          <w:lang w:val="zh-CN"/>
        </w:rPr>
        <w:t>试供期：</w:t>
      </w:r>
    </w:p>
    <w:p w14:paraId="5ADCAEA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r>
        <w:rPr>
          <w:rFonts w:hint="eastAsia" w:asciiTheme="minorEastAsia" w:hAnsiTheme="minorEastAsia" w:eastAsiaTheme="minorEastAsia" w:cstheme="minorEastAsia"/>
          <w:b w:val="0"/>
          <w:bCs/>
          <w:color w:val="auto"/>
          <w:kern w:val="2"/>
          <w:sz w:val="24"/>
          <w:szCs w:val="24"/>
          <w:highlight w:val="none"/>
          <w:lang w:val="zh-CN"/>
        </w:rPr>
        <w:t>试供期</w:t>
      </w:r>
      <w:r>
        <w:rPr>
          <w:rFonts w:hint="eastAsia" w:asciiTheme="minorEastAsia" w:hAnsiTheme="minorEastAsia" w:eastAsiaTheme="minorEastAsia" w:cstheme="minorEastAsia"/>
          <w:b w:val="0"/>
          <w:bCs/>
          <w:color w:val="auto"/>
          <w:kern w:val="2"/>
          <w:sz w:val="24"/>
          <w:szCs w:val="24"/>
          <w:highlight w:val="none"/>
        </w:rPr>
        <w:t>30</w:t>
      </w:r>
      <w:r>
        <w:rPr>
          <w:rFonts w:hint="eastAsia" w:asciiTheme="minorEastAsia" w:hAnsiTheme="minorEastAsia" w:eastAsiaTheme="minorEastAsia" w:cstheme="minorEastAsia"/>
          <w:b w:val="0"/>
          <w:bCs/>
          <w:color w:val="auto"/>
          <w:kern w:val="2"/>
          <w:sz w:val="24"/>
          <w:szCs w:val="24"/>
          <w:highlight w:val="none"/>
          <w:lang w:val="zh-CN"/>
        </w:rPr>
        <w:t>天，试供期内采购人主要考察供应商货物质量、服务、价格、信誉等方面情况。</w:t>
      </w:r>
    </w:p>
    <w:p w14:paraId="6506802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r>
        <w:rPr>
          <w:rFonts w:hint="eastAsia" w:asciiTheme="minorEastAsia" w:hAnsiTheme="minorEastAsia" w:eastAsiaTheme="minorEastAsia" w:cstheme="minorEastAsia"/>
          <w:b w:val="0"/>
          <w:bCs/>
          <w:color w:val="auto"/>
          <w:kern w:val="2"/>
          <w:sz w:val="24"/>
          <w:szCs w:val="24"/>
          <w:highlight w:val="none"/>
          <w:lang w:val="zh-CN"/>
        </w:rPr>
        <w:t>试供期满且经</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综合考察认为合格的，合同继续执行；若试供期间出现质量、服务等难以磨合的问题的，</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可终止合同，中标人应负由此带来的全部责任。</w:t>
      </w:r>
    </w:p>
    <w:p w14:paraId="2FCD6D61">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8、</w:t>
      </w:r>
      <w:r>
        <w:rPr>
          <w:rFonts w:hint="eastAsia" w:asciiTheme="minorEastAsia" w:hAnsiTheme="minorEastAsia" w:eastAsiaTheme="minorEastAsia" w:cstheme="minorEastAsia"/>
          <w:b/>
          <w:bCs w:val="0"/>
          <w:color w:val="auto"/>
          <w:kern w:val="2"/>
          <w:sz w:val="24"/>
          <w:szCs w:val="24"/>
          <w:highlight w:val="none"/>
        </w:rPr>
        <w:t>质量保证：</w:t>
      </w:r>
    </w:p>
    <w:p w14:paraId="233E4935">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对食品质量问题在30分钟内响应，2小时以内到现场解决问题；不能当场解决的，必须采取更换等措施，以保证采购人的正常使用，如因食品质量问题造成食用人的不良反应，中标人须负全部责任。</w:t>
      </w:r>
    </w:p>
    <w:p w14:paraId="216BCF1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中标人配送过程中有服务、质量问题的，采购人发出整改通知书，每发一张整改通知书扣除500元，在每月结款中自动扣除,当月累计3次收到整改通知书的，扣除当月1%的货款，累计两个月连续3次收到整改通知书的，采购人有权终止合同。中标人配送过程中需在当月20号之前把报价单发给需方，否则下月视为自动放弃。</w:t>
      </w:r>
    </w:p>
    <w:p w14:paraId="2F4E896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中标人配送过程中菜价超过西门</w:t>
      </w:r>
      <w:r>
        <w:rPr>
          <w:rFonts w:hint="eastAsia" w:asciiTheme="minorEastAsia" w:hAnsiTheme="minorEastAsia" w:eastAsiaTheme="minorEastAsia" w:cstheme="minorEastAsia"/>
          <w:b w:val="0"/>
          <w:bCs/>
          <w:color w:val="auto"/>
          <w:kern w:val="2"/>
          <w:sz w:val="24"/>
          <w:szCs w:val="24"/>
          <w:highlight w:val="none"/>
          <w:lang w:val="en-US" w:eastAsia="zh-CN"/>
        </w:rPr>
        <w:t>市</w:t>
      </w:r>
      <w:r>
        <w:rPr>
          <w:rFonts w:hint="eastAsia" w:asciiTheme="minorEastAsia" w:hAnsiTheme="minorEastAsia" w:eastAsiaTheme="minorEastAsia" w:cstheme="minorEastAsia"/>
          <w:b w:val="0"/>
          <w:bCs/>
          <w:color w:val="auto"/>
          <w:kern w:val="2"/>
          <w:sz w:val="24"/>
          <w:szCs w:val="24"/>
          <w:highlight w:val="none"/>
        </w:rPr>
        <w:t>场当天挂牌相应品种的平均价的，采购人发出整改通知书，每发一张整改通知书扣除200元，在每月结款中自动扣除。</w:t>
      </w:r>
    </w:p>
    <w:p w14:paraId="51C5D992">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9、</w:t>
      </w:r>
      <w:r>
        <w:rPr>
          <w:rFonts w:hint="eastAsia" w:asciiTheme="minorEastAsia" w:hAnsiTheme="minorEastAsia" w:eastAsiaTheme="minorEastAsia" w:cstheme="minorEastAsia"/>
          <w:b/>
          <w:bCs w:val="0"/>
          <w:color w:val="auto"/>
          <w:kern w:val="2"/>
          <w:sz w:val="24"/>
          <w:szCs w:val="24"/>
          <w:highlight w:val="none"/>
        </w:rPr>
        <w:t>发票：</w:t>
      </w:r>
    </w:p>
    <w:p w14:paraId="3CD5500D">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中标人须开具正式的增值税发票，应按中标人的销售额开具发票。若中标人提供假发票的，</w:t>
      </w:r>
      <w:r>
        <w:rPr>
          <w:rFonts w:hint="eastAsia" w:asciiTheme="minorEastAsia" w:hAnsiTheme="minorEastAsia" w:eastAsiaTheme="minorEastAsia" w:cstheme="minorEastAsia"/>
          <w:b w:val="0"/>
          <w:bCs/>
          <w:color w:val="auto"/>
          <w:kern w:val="2"/>
          <w:sz w:val="24"/>
          <w:szCs w:val="24"/>
          <w:highlight w:val="none"/>
        </w:rPr>
        <w:t>采购人</w:t>
      </w:r>
      <w:r>
        <w:rPr>
          <w:rFonts w:hint="eastAsia" w:asciiTheme="minorEastAsia" w:hAnsiTheme="minorEastAsia" w:eastAsiaTheme="minorEastAsia" w:cstheme="minorEastAsia"/>
          <w:b w:val="0"/>
          <w:bCs/>
          <w:color w:val="auto"/>
          <w:kern w:val="2"/>
          <w:sz w:val="24"/>
          <w:szCs w:val="24"/>
          <w:highlight w:val="none"/>
          <w:lang w:val="zh-CN"/>
        </w:rPr>
        <w:t>有权终止合同。</w:t>
      </w:r>
    </w:p>
    <w:p w14:paraId="016116C3">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val="en-US" w:eastAsia="zh-CN"/>
        </w:rPr>
        <w:t>10、</w:t>
      </w:r>
      <w:r>
        <w:rPr>
          <w:rFonts w:hint="eastAsia" w:asciiTheme="minorEastAsia" w:hAnsiTheme="minorEastAsia" w:eastAsiaTheme="minorEastAsia" w:cstheme="minorEastAsia"/>
          <w:b/>
          <w:bCs w:val="0"/>
          <w:color w:val="auto"/>
          <w:kern w:val="2"/>
          <w:sz w:val="24"/>
          <w:szCs w:val="24"/>
          <w:highlight w:val="none"/>
        </w:rPr>
        <w:t>其他要求：</w:t>
      </w:r>
    </w:p>
    <w:p w14:paraId="0437421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合同期内，若有未满足采购人需求或其他违反合同履行的情况，采购人将根据情况取消配送资格。</w:t>
      </w:r>
    </w:p>
    <w:p w14:paraId="14993E90">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rPr>
        <w:t>11、报价说明：</w:t>
      </w:r>
    </w:p>
    <w:p w14:paraId="56909D41">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基准价：</w:t>
      </w:r>
      <w:r>
        <w:rPr>
          <w:rFonts w:hint="eastAsia" w:asciiTheme="minorEastAsia" w:hAnsiTheme="minorEastAsia" w:eastAsiaTheme="minorEastAsia" w:cstheme="minorEastAsia"/>
          <w:b w:val="0"/>
          <w:bCs/>
          <w:color w:val="auto"/>
          <w:kern w:val="2"/>
          <w:sz w:val="24"/>
          <w:szCs w:val="24"/>
          <w:highlight w:val="none"/>
        </w:rPr>
        <w:t>蔬菜水果、家禽、水产、豆制品、家畜、禽蛋、粮油、调味品</w:t>
      </w:r>
      <w:r>
        <w:rPr>
          <w:rFonts w:hint="eastAsia" w:asciiTheme="minorEastAsia" w:hAnsiTheme="minorEastAsia" w:eastAsiaTheme="minorEastAsia" w:cstheme="minorEastAsia"/>
          <w:b w:val="0"/>
          <w:bCs/>
          <w:color w:val="auto"/>
          <w:kern w:val="2"/>
          <w:sz w:val="24"/>
          <w:szCs w:val="24"/>
          <w:highlight w:val="none"/>
          <w:lang w:eastAsia="zh-CN"/>
        </w:rPr>
        <w:t>、牛奶</w:t>
      </w:r>
      <w:r>
        <w:rPr>
          <w:rFonts w:hint="eastAsia" w:asciiTheme="minorEastAsia" w:hAnsiTheme="minorEastAsia" w:eastAsiaTheme="minorEastAsia" w:cstheme="minorEastAsia"/>
          <w:b w:val="0"/>
          <w:bCs/>
          <w:color w:val="auto"/>
          <w:kern w:val="2"/>
          <w:sz w:val="24"/>
          <w:szCs w:val="24"/>
          <w:highlight w:val="none"/>
        </w:rPr>
        <w:t>等食品投标报价按市场</w:t>
      </w:r>
      <w:r>
        <w:rPr>
          <w:rFonts w:hint="eastAsia" w:asciiTheme="minorEastAsia" w:hAnsiTheme="minorEastAsia" w:eastAsiaTheme="minorEastAsia" w:cstheme="minorEastAsia"/>
          <w:b w:val="0"/>
          <w:bCs/>
          <w:color w:val="auto"/>
          <w:kern w:val="2"/>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rPr>
        <w:t>杭州市菜篮子零售价格</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https://jcyj.drc.hangzhou.gov.cn:5443/jg.html</w:t>
      </w:r>
      <w:r>
        <w:rPr>
          <w:rFonts w:hint="eastAsia" w:asciiTheme="minorEastAsia" w:hAnsiTheme="minorEastAsia" w:eastAsiaTheme="minorEastAsia" w:cstheme="minorEastAsia"/>
          <w:b w:val="0"/>
          <w:bCs/>
          <w:color w:val="auto"/>
          <w:kern w:val="2"/>
          <w:sz w:val="24"/>
          <w:szCs w:val="24"/>
          <w:highlight w:val="none"/>
          <w:lang w:eastAsia="zh-CN"/>
        </w:rPr>
        <w:t>）、浙江粮油交易网（www.zjlyjy.com）</w:t>
      </w:r>
      <w:r>
        <w:rPr>
          <w:rFonts w:hint="eastAsia" w:asciiTheme="minorEastAsia" w:hAnsiTheme="minorEastAsia" w:eastAsiaTheme="minorEastAsia" w:cstheme="minorEastAsia"/>
          <w:b w:val="0"/>
          <w:bCs/>
          <w:color w:val="auto"/>
          <w:kern w:val="2"/>
          <w:sz w:val="24"/>
          <w:szCs w:val="24"/>
          <w:highlight w:val="none"/>
          <w:lang w:val="en-US" w:eastAsia="zh-CN"/>
        </w:rPr>
        <w:t>、西门市场）为</w:t>
      </w:r>
      <w:r>
        <w:rPr>
          <w:rFonts w:hint="eastAsia" w:asciiTheme="minorEastAsia" w:hAnsiTheme="minorEastAsia" w:eastAsiaTheme="minorEastAsia" w:cstheme="minorEastAsia"/>
          <w:b w:val="0"/>
          <w:bCs/>
          <w:color w:val="auto"/>
          <w:kern w:val="2"/>
          <w:sz w:val="24"/>
          <w:szCs w:val="24"/>
          <w:highlight w:val="none"/>
        </w:rPr>
        <w:t>基准价格</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报</w:t>
      </w:r>
      <w:r>
        <w:rPr>
          <w:rFonts w:hint="eastAsia" w:asciiTheme="minorEastAsia" w:hAnsiTheme="minorEastAsia" w:eastAsiaTheme="minorEastAsia" w:cstheme="minorEastAsia"/>
          <w:b w:val="0"/>
          <w:bCs/>
          <w:color w:val="auto"/>
          <w:kern w:val="2"/>
          <w:sz w:val="24"/>
          <w:szCs w:val="24"/>
          <w:highlight w:val="none"/>
          <w:lang w:val="en-US" w:eastAsia="zh-CN"/>
        </w:rPr>
        <w:t>统一</w:t>
      </w:r>
      <w:r>
        <w:rPr>
          <w:rFonts w:hint="eastAsia" w:asciiTheme="minorEastAsia" w:hAnsiTheme="minorEastAsia" w:eastAsiaTheme="minorEastAsia" w:cstheme="minorEastAsia"/>
          <w:b w:val="0"/>
          <w:bCs/>
          <w:color w:val="auto"/>
          <w:kern w:val="2"/>
          <w:sz w:val="24"/>
          <w:szCs w:val="24"/>
          <w:highlight w:val="none"/>
        </w:rPr>
        <w:t>折扣。</w:t>
      </w:r>
    </w:p>
    <w:p w14:paraId="6F0013D2">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default"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结算时，按照(</w:t>
      </w:r>
      <w:r>
        <w:rPr>
          <w:rFonts w:hint="eastAsia" w:asciiTheme="minorEastAsia" w:hAnsiTheme="minorEastAsia" w:eastAsiaTheme="minorEastAsia" w:cstheme="minorEastAsia"/>
          <w:b w:val="0"/>
          <w:bCs/>
          <w:color w:val="auto"/>
          <w:kern w:val="2"/>
          <w:sz w:val="24"/>
          <w:szCs w:val="24"/>
          <w:highlight w:val="none"/>
        </w:rPr>
        <w:t>杭州市菜篮子零售价格</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https://jcyj.drc.hangzhou.gov.cn:5443/jg.html</w:t>
      </w:r>
      <w:r>
        <w:rPr>
          <w:rFonts w:hint="eastAsia" w:asciiTheme="minorEastAsia" w:hAnsiTheme="minorEastAsia" w:eastAsiaTheme="minorEastAsia" w:cstheme="minorEastAsia"/>
          <w:b w:val="0"/>
          <w:bCs/>
          <w:color w:val="auto"/>
          <w:kern w:val="2"/>
          <w:sz w:val="24"/>
          <w:szCs w:val="24"/>
          <w:highlight w:val="none"/>
          <w:lang w:eastAsia="zh-CN"/>
        </w:rPr>
        <w:t>）、浙江粮油交易网（www.zjlyjy.com）</w:t>
      </w:r>
      <w:r>
        <w:rPr>
          <w:rFonts w:hint="eastAsia" w:asciiTheme="minorEastAsia" w:hAnsiTheme="minorEastAsia" w:eastAsiaTheme="minorEastAsia" w:cstheme="minorEastAsia"/>
          <w:b w:val="0"/>
          <w:bCs/>
          <w:color w:val="auto"/>
          <w:kern w:val="2"/>
          <w:sz w:val="24"/>
          <w:szCs w:val="24"/>
          <w:highlight w:val="none"/>
          <w:lang w:val="en-US" w:eastAsia="zh-CN"/>
        </w:rPr>
        <w:t>、西门市场）的先后次序。</w:t>
      </w:r>
    </w:p>
    <w:p w14:paraId="5EAEA45D">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default" w:asciiTheme="minorEastAsia" w:hAnsiTheme="minorEastAsia" w:eastAsiaTheme="minorEastAsia" w:cstheme="minorEastAsia"/>
          <w:b w:val="0"/>
          <w:bCs/>
          <w:color w:val="auto"/>
          <w:kern w:val="2"/>
          <w:sz w:val="24"/>
          <w:szCs w:val="24"/>
          <w:highlight w:val="none"/>
          <w:lang w:val="en-US" w:eastAsia="zh-CN"/>
        </w:rPr>
      </w:pPr>
      <w:r>
        <w:rPr>
          <w:rFonts w:hint="default" w:asciiTheme="minorEastAsia" w:hAnsiTheme="minorEastAsia" w:eastAsiaTheme="minorEastAsia" w:cstheme="minorEastAsia"/>
          <w:b w:val="0"/>
          <w:bCs/>
          <w:color w:val="auto"/>
          <w:kern w:val="2"/>
          <w:sz w:val="24"/>
          <w:szCs w:val="24"/>
          <w:highlight w:val="none"/>
          <w:lang w:val="en-US" w:eastAsia="zh-CN"/>
        </w:rPr>
        <w:t xml:space="preserve">供货价格必须包含市场调查、货物采购、包装、运输、装卸、搬运、不合格货物的退换、所有工作人员的工勤费用以及合同实施过程中的可预见及不可预见费用。 </w:t>
      </w:r>
    </w:p>
    <w:p w14:paraId="1DDC79F8">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default" w:asciiTheme="minorEastAsia" w:hAnsiTheme="minorEastAsia" w:eastAsiaTheme="minorEastAsia" w:cstheme="minorEastAsia"/>
          <w:b w:val="0"/>
          <w:bCs/>
          <w:color w:val="auto"/>
          <w:kern w:val="2"/>
          <w:sz w:val="24"/>
          <w:szCs w:val="24"/>
          <w:highlight w:val="none"/>
          <w:lang w:val="en-US" w:eastAsia="zh-CN"/>
        </w:rPr>
      </w:pPr>
    </w:p>
    <w:p w14:paraId="44014DD4">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lang w:val="en-US" w:eastAsia="zh-CN"/>
        </w:rPr>
        <w:t>二</w:t>
      </w: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rPr>
        <w:t>商务需求</w:t>
      </w:r>
    </w:p>
    <w:p w14:paraId="30CDA9D0">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rPr>
        <w:t>服务期：每个标项各半年，具体起止时间以合同签订为准。</w:t>
      </w:r>
    </w:p>
    <w:p w14:paraId="38908FE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lang w:val="zh-CN"/>
        </w:rPr>
        <w:t>结算与付款：配送货款按每月结合开发区管理委员会考核评分支付款项。</w:t>
      </w:r>
    </w:p>
    <w:p w14:paraId="1CE3E78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lang w:val="zh-CN"/>
        </w:rPr>
      </w:pPr>
      <w:r>
        <w:rPr>
          <w:rFonts w:hint="eastAsia" w:asciiTheme="minorEastAsia" w:hAnsiTheme="minorEastAsia" w:eastAsiaTheme="minorEastAsia" w:cstheme="minorEastAsia"/>
          <w:b w:val="0"/>
          <w:bCs/>
          <w:color w:val="auto"/>
          <w:kern w:val="2"/>
          <w:sz w:val="24"/>
          <w:szCs w:val="24"/>
          <w:highlight w:val="none"/>
          <w:lang w:val="zh-CN"/>
        </w:rPr>
        <w:t>收货清单</w:t>
      </w:r>
      <w:r>
        <w:rPr>
          <w:rFonts w:hint="eastAsia" w:asciiTheme="minorEastAsia" w:hAnsiTheme="minorEastAsia" w:eastAsiaTheme="minorEastAsia" w:cstheme="minorEastAsia"/>
          <w:b w:val="0"/>
          <w:bCs/>
          <w:color w:val="auto"/>
          <w:kern w:val="2"/>
          <w:sz w:val="24"/>
          <w:szCs w:val="24"/>
          <w:highlight w:val="none"/>
          <w:lang w:val="en-US" w:eastAsia="zh-CN"/>
        </w:rPr>
        <w:t>等</w:t>
      </w:r>
      <w:r>
        <w:rPr>
          <w:rFonts w:hint="eastAsia" w:asciiTheme="minorEastAsia" w:hAnsiTheme="minorEastAsia" w:eastAsiaTheme="minorEastAsia" w:cstheme="minorEastAsia"/>
          <w:b w:val="0"/>
          <w:bCs/>
          <w:color w:val="auto"/>
          <w:kern w:val="2"/>
          <w:sz w:val="24"/>
          <w:szCs w:val="24"/>
          <w:highlight w:val="none"/>
          <w:lang w:val="zh-CN"/>
        </w:rPr>
        <w:t>由采购人每天确认，最终货款以清单和平均价结合统一</w:t>
      </w:r>
      <w:r>
        <w:rPr>
          <w:rFonts w:hint="eastAsia" w:asciiTheme="minorEastAsia" w:hAnsiTheme="minorEastAsia" w:eastAsiaTheme="minorEastAsia" w:cstheme="minorEastAsia"/>
          <w:b w:val="0"/>
          <w:bCs/>
          <w:color w:val="auto"/>
          <w:kern w:val="2"/>
          <w:sz w:val="24"/>
          <w:szCs w:val="24"/>
          <w:highlight w:val="none"/>
          <w:lang w:val="en-US" w:eastAsia="zh-CN"/>
        </w:rPr>
        <w:t>折扣</w:t>
      </w:r>
      <w:r>
        <w:rPr>
          <w:rFonts w:hint="eastAsia" w:asciiTheme="minorEastAsia" w:hAnsiTheme="minorEastAsia" w:eastAsiaTheme="minorEastAsia" w:cstheme="minorEastAsia"/>
          <w:b w:val="0"/>
          <w:bCs/>
          <w:color w:val="auto"/>
          <w:kern w:val="2"/>
          <w:sz w:val="24"/>
          <w:szCs w:val="24"/>
          <w:highlight w:val="none"/>
          <w:lang w:val="zh-CN"/>
        </w:rPr>
        <w:t>按每月结算，成交价格已包含货物、送至食堂过程中产生的人工费、材料费、设备费、物料的损耗、包装费、运输费、存储费、管理费、税金、利润、风险费等一切相关费用，不因薪酬、材料运费、仓租、保险、税率、利率等波动而作出任何调整。</w:t>
      </w:r>
    </w:p>
    <w:p w14:paraId="5FF9C2B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3、</w:t>
      </w:r>
      <w:r>
        <w:rPr>
          <w:rFonts w:hint="eastAsia" w:asciiTheme="minorEastAsia" w:hAnsiTheme="minorEastAsia" w:eastAsiaTheme="minorEastAsia" w:cstheme="minorEastAsia"/>
          <w:b w:val="0"/>
          <w:bCs/>
          <w:color w:val="auto"/>
          <w:kern w:val="2"/>
          <w:sz w:val="24"/>
          <w:szCs w:val="24"/>
          <w:highlight w:val="none"/>
        </w:rPr>
        <w:t>中标人不得转包、分包或变更工作内容，如在合同履约期间发生上述情况，则没收履约保证金并赔偿相应损失。</w:t>
      </w:r>
    </w:p>
    <w:p w14:paraId="15C73FA7">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4、</w:t>
      </w:r>
      <w:r>
        <w:rPr>
          <w:rFonts w:hint="eastAsia" w:asciiTheme="minorEastAsia" w:hAnsiTheme="minorEastAsia" w:eastAsiaTheme="minorEastAsia" w:cstheme="minorEastAsia"/>
          <w:b w:val="0"/>
          <w:bCs/>
          <w:color w:val="auto"/>
          <w:kern w:val="2"/>
          <w:sz w:val="24"/>
          <w:szCs w:val="24"/>
          <w:highlight w:val="none"/>
        </w:rPr>
        <w:t>服务单位以优秀良的服务态度，提供1小时以内响应，2小时以内采购完成。</w:t>
      </w:r>
    </w:p>
    <w:p w14:paraId="7DE1BF9E">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5、</w:t>
      </w:r>
      <w:r>
        <w:rPr>
          <w:rFonts w:hint="eastAsia" w:asciiTheme="minorEastAsia" w:hAnsiTheme="minorEastAsia" w:eastAsiaTheme="minorEastAsia" w:cstheme="minorEastAsia"/>
          <w:b w:val="0"/>
          <w:bCs/>
          <w:color w:val="auto"/>
          <w:kern w:val="2"/>
          <w:sz w:val="24"/>
          <w:szCs w:val="24"/>
          <w:highlight w:val="none"/>
        </w:rPr>
        <w:t>临时突击采购等特殊要求或通知，必须在2个小时内响应并到位。</w:t>
      </w:r>
    </w:p>
    <w:p w14:paraId="04268B7B">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p>
    <w:p w14:paraId="03384164">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p>
    <w:p w14:paraId="1B141F9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注：</w:t>
      </w: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rPr>
        <w:t>、打▲内容为实质性要求，不允许有负偏离，否则将以涉及无效投标条款作无效投标。</w:t>
      </w:r>
    </w:p>
    <w:p w14:paraId="28EAA4A3">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2</w:t>
      </w:r>
      <w:r>
        <w:rPr>
          <w:rFonts w:hint="eastAsia" w:asciiTheme="minorEastAsia" w:hAnsiTheme="minorEastAsia" w:eastAsiaTheme="minorEastAsia" w:cstheme="minorEastAsia"/>
          <w:b w:val="0"/>
          <w:bCs/>
          <w:color w:val="auto"/>
          <w:kern w:val="2"/>
          <w:sz w:val="24"/>
          <w:szCs w:val="24"/>
          <w:highlight w:val="none"/>
        </w:rPr>
        <w:t>、中标单位所提供的货物、服务须与投标承诺一致，不得以次充好、偷工减料，若在项目验收中发现有上述情况，将向有关部门举报，根据相关规定进行处理。</w:t>
      </w:r>
    </w:p>
    <w:p w14:paraId="478545EE">
      <w:pPr>
        <w:widowControl w:val="0"/>
        <w:snapToGrid w:val="0"/>
        <w:spacing w:line="360" w:lineRule="exact"/>
        <w:ind w:firstLine="480" w:firstLineChars="200"/>
        <w:jc w:val="center"/>
        <w:rPr>
          <w:rFonts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 xml:space="preserve">第四部分   </w:t>
      </w:r>
      <w:bookmarkStart w:id="2" w:name="_Toc184312109"/>
      <w:bookmarkEnd w:id="2"/>
      <w:bookmarkStart w:id="3" w:name="_Toc184310306"/>
      <w:bookmarkEnd w:id="3"/>
      <w:bookmarkStart w:id="4" w:name="_Toc184314429"/>
      <w:bookmarkEnd w:id="4"/>
      <w:bookmarkStart w:id="5" w:name="_Toc184312090"/>
      <w:bookmarkEnd w:id="5"/>
      <w:bookmarkStart w:id="6" w:name="_Toc184313291"/>
      <w:bookmarkEnd w:id="6"/>
      <w:bookmarkStart w:id="7" w:name="_Toc184312087"/>
      <w:bookmarkEnd w:id="7"/>
      <w:bookmarkStart w:id="8" w:name="_Toc184308077"/>
      <w:bookmarkEnd w:id="8"/>
      <w:bookmarkStart w:id="9" w:name="_Toc184308047"/>
      <w:bookmarkEnd w:id="9"/>
      <w:bookmarkStart w:id="10" w:name="_Toc184312125"/>
      <w:bookmarkEnd w:id="10"/>
      <w:bookmarkStart w:id="11" w:name="_Toc184308065"/>
      <w:bookmarkEnd w:id="11"/>
      <w:bookmarkStart w:id="12" w:name="_Toc184314432"/>
      <w:bookmarkEnd w:id="12"/>
      <w:bookmarkStart w:id="13" w:name="_Toc184314449"/>
      <w:bookmarkEnd w:id="13"/>
      <w:bookmarkStart w:id="14" w:name="_Toc184310327"/>
      <w:bookmarkEnd w:id="14"/>
      <w:bookmarkStart w:id="15" w:name="_Toc184310322"/>
      <w:bookmarkEnd w:id="15"/>
      <w:bookmarkStart w:id="16" w:name="_Toc184310308"/>
      <w:bookmarkEnd w:id="16"/>
      <w:bookmarkStart w:id="17" w:name="_Toc184314463"/>
      <w:bookmarkEnd w:id="17"/>
      <w:bookmarkStart w:id="18" w:name="_Toc184314434"/>
      <w:bookmarkEnd w:id="18"/>
      <w:bookmarkStart w:id="19" w:name="_Toc184314411"/>
      <w:bookmarkEnd w:id="19"/>
      <w:bookmarkStart w:id="20" w:name="_Toc184310344"/>
      <w:bookmarkEnd w:id="20"/>
      <w:bookmarkStart w:id="21" w:name="_Toc184310288"/>
      <w:bookmarkEnd w:id="21"/>
      <w:bookmarkStart w:id="22" w:name="_Toc184308045"/>
      <w:bookmarkEnd w:id="22"/>
      <w:bookmarkStart w:id="23" w:name="_Toc184313257"/>
      <w:bookmarkEnd w:id="23"/>
      <w:bookmarkStart w:id="24" w:name="_Toc184310287"/>
      <w:bookmarkEnd w:id="24"/>
      <w:bookmarkStart w:id="25" w:name="_Toc184313289"/>
      <w:bookmarkEnd w:id="25"/>
      <w:bookmarkStart w:id="26" w:name="_Toc184310317"/>
      <w:bookmarkEnd w:id="26"/>
      <w:bookmarkStart w:id="27" w:name="_Toc184308050"/>
      <w:bookmarkEnd w:id="27"/>
      <w:bookmarkStart w:id="28" w:name="_Toc184312115"/>
      <w:bookmarkEnd w:id="28"/>
      <w:bookmarkStart w:id="29" w:name="_Toc184308054"/>
      <w:bookmarkEnd w:id="29"/>
      <w:bookmarkStart w:id="30" w:name="_Toc184312104"/>
      <w:bookmarkEnd w:id="30"/>
      <w:bookmarkStart w:id="31" w:name="_Toc184314462"/>
      <w:bookmarkEnd w:id="31"/>
      <w:bookmarkStart w:id="32" w:name="_Toc184308037"/>
      <w:bookmarkEnd w:id="32"/>
      <w:bookmarkStart w:id="33" w:name="_Toc184313259"/>
      <w:bookmarkEnd w:id="33"/>
      <w:bookmarkStart w:id="34" w:name="_Toc184313256"/>
      <w:bookmarkEnd w:id="34"/>
      <w:bookmarkStart w:id="35" w:name="_Toc184308094"/>
      <w:bookmarkEnd w:id="35"/>
      <w:bookmarkStart w:id="36" w:name="_Toc184314475"/>
      <w:bookmarkEnd w:id="36"/>
      <w:bookmarkStart w:id="37" w:name="_Toc184308069"/>
      <w:bookmarkEnd w:id="37"/>
      <w:bookmarkStart w:id="38" w:name="_Toc184308052"/>
      <w:bookmarkEnd w:id="38"/>
      <w:bookmarkStart w:id="39" w:name="_Toc184312068"/>
      <w:bookmarkEnd w:id="39"/>
      <w:bookmarkStart w:id="40" w:name="_Toc184310301"/>
      <w:bookmarkEnd w:id="40"/>
      <w:bookmarkStart w:id="41" w:name="_Toc184314442"/>
      <w:bookmarkEnd w:id="41"/>
      <w:bookmarkStart w:id="42" w:name="_Toc184314465"/>
      <w:bookmarkEnd w:id="42"/>
      <w:bookmarkStart w:id="43" w:name="_Toc184308061"/>
      <w:bookmarkEnd w:id="43"/>
      <w:bookmarkStart w:id="44" w:name="_Toc184312077"/>
      <w:bookmarkEnd w:id="44"/>
      <w:bookmarkStart w:id="45" w:name="_Toc184308058"/>
      <w:bookmarkEnd w:id="45"/>
      <w:bookmarkStart w:id="46" w:name="_Toc184314468"/>
      <w:bookmarkEnd w:id="46"/>
      <w:bookmarkStart w:id="47" w:name="_Toc184314437"/>
      <w:bookmarkEnd w:id="47"/>
      <w:bookmarkStart w:id="48" w:name="_Toc184312114"/>
      <w:bookmarkEnd w:id="48"/>
      <w:bookmarkStart w:id="49" w:name="_Toc184308076"/>
      <w:bookmarkEnd w:id="49"/>
      <w:bookmarkStart w:id="50" w:name="_Toc184313284"/>
      <w:bookmarkEnd w:id="50"/>
      <w:bookmarkStart w:id="51" w:name="_Toc184310305"/>
      <w:bookmarkEnd w:id="51"/>
      <w:bookmarkStart w:id="52" w:name="_Toc184308041"/>
      <w:bookmarkEnd w:id="52"/>
      <w:bookmarkStart w:id="53" w:name="_Toc184308051"/>
      <w:bookmarkEnd w:id="53"/>
      <w:bookmarkStart w:id="54" w:name="_Toc184308107"/>
      <w:bookmarkEnd w:id="54"/>
      <w:bookmarkStart w:id="55" w:name="_Toc184314454"/>
      <w:bookmarkEnd w:id="55"/>
      <w:bookmarkStart w:id="56" w:name="_Toc184314456"/>
      <w:bookmarkEnd w:id="56"/>
      <w:bookmarkStart w:id="57" w:name="_Toc184310326"/>
      <w:bookmarkEnd w:id="57"/>
      <w:bookmarkStart w:id="58" w:name="_Toc184314436"/>
      <w:bookmarkEnd w:id="58"/>
      <w:bookmarkStart w:id="59" w:name="_Toc184314412"/>
      <w:bookmarkEnd w:id="59"/>
      <w:bookmarkStart w:id="60" w:name="_Toc184314420"/>
      <w:bookmarkEnd w:id="60"/>
      <w:bookmarkStart w:id="61" w:name="_Toc184310341"/>
      <w:bookmarkEnd w:id="61"/>
      <w:bookmarkStart w:id="62" w:name="_Toc184312122"/>
      <w:bookmarkEnd w:id="62"/>
      <w:bookmarkStart w:id="63" w:name="_Toc184313250"/>
      <w:bookmarkEnd w:id="63"/>
      <w:bookmarkStart w:id="64" w:name="_Toc184312116"/>
      <w:bookmarkEnd w:id="64"/>
      <w:bookmarkStart w:id="65" w:name="_Toc184310324"/>
      <w:bookmarkEnd w:id="65"/>
      <w:bookmarkStart w:id="66" w:name="_Toc184314445"/>
      <w:bookmarkEnd w:id="66"/>
      <w:bookmarkStart w:id="67" w:name="_Toc184310312"/>
      <w:bookmarkEnd w:id="67"/>
      <w:bookmarkStart w:id="68" w:name="_Toc184313255"/>
      <w:bookmarkEnd w:id="68"/>
      <w:bookmarkStart w:id="69" w:name="_Toc184312078"/>
      <w:bookmarkEnd w:id="69"/>
      <w:bookmarkStart w:id="70" w:name="_Toc184310307"/>
      <w:bookmarkEnd w:id="70"/>
      <w:bookmarkStart w:id="71" w:name="_Toc184308057"/>
      <w:bookmarkEnd w:id="71"/>
      <w:bookmarkStart w:id="72" w:name="_Toc184310333"/>
      <w:bookmarkEnd w:id="72"/>
      <w:bookmarkStart w:id="73" w:name="_Toc184308099"/>
      <w:bookmarkEnd w:id="73"/>
      <w:bookmarkStart w:id="74" w:name="_Toc184314450"/>
      <w:bookmarkEnd w:id="74"/>
      <w:bookmarkStart w:id="75" w:name="_Toc184308075"/>
      <w:bookmarkEnd w:id="75"/>
      <w:bookmarkStart w:id="76" w:name="_Toc184312134"/>
      <w:bookmarkEnd w:id="76"/>
      <w:bookmarkStart w:id="77" w:name="_Toc184314443"/>
      <w:bookmarkEnd w:id="77"/>
      <w:bookmarkStart w:id="78" w:name="_Toc184310297"/>
      <w:bookmarkEnd w:id="78"/>
      <w:bookmarkStart w:id="79" w:name="_Toc184313303"/>
      <w:bookmarkEnd w:id="79"/>
      <w:bookmarkStart w:id="80" w:name="_Toc184313265"/>
      <w:bookmarkEnd w:id="80"/>
      <w:bookmarkStart w:id="81" w:name="_Toc184314438"/>
      <w:bookmarkEnd w:id="81"/>
      <w:bookmarkStart w:id="82" w:name="_Toc184308072"/>
      <w:bookmarkEnd w:id="82"/>
      <w:bookmarkStart w:id="83" w:name="_Toc184313302"/>
      <w:bookmarkEnd w:id="83"/>
      <w:bookmarkStart w:id="84" w:name="_Toc184312102"/>
      <w:bookmarkEnd w:id="84"/>
      <w:bookmarkStart w:id="85" w:name="_Toc184313253"/>
      <w:bookmarkEnd w:id="85"/>
      <w:bookmarkStart w:id="86" w:name="_Toc184314458"/>
      <w:bookmarkEnd w:id="86"/>
      <w:bookmarkStart w:id="87" w:name="_Toc184310332"/>
      <w:bookmarkEnd w:id="87"/>
      <w:bookmarkStart w:id="88" w:name="_Toc184314415"/>
      <w:bookmarkEnd w:id="88"/>
      <w:bookmarkStart w:id="89" w:name="_Toc184310285"/>
      <w:bookmarkEnd w:id="89"/>
      <w:bookmarkStart w:id="90" w:name="_Toc184312073"/>
      <w:bookmarkEnd w:id="90"/>
      <w:bookmarkStart w:id="91" w:name="_Toc184314410"/>
      <w:bookmarkEnd w:id="91"/>
      <w:bookmarkStart w:id="92" w:name="_Toc184310303"/>
      <w:bookmarkEnd w:id="92"/>
      <w:bookmarkStart w:id="93" w:name="_Toc184310330"/>
      <w:bookmarkEnd w:id="93"/>
      <w:bookmarkStart w:id="94" w:name="_Toc184310316"/>
      <w:bookmarkEnd w:id="94"/>
      <w:bookmarkStart w:id="95" w:name="_Toc184308083"/>
      <w:bookmarkEnd w:id="95"/>
      <w:bookmarkStart w:id="96" w:name="_Toc184310339"/>
      <w:bookmarkEnd w:id="96"/>
      <w:bookmarkStart w:id="97" w:name="_Toc184313241"/>
      <w:bookmarkEnd w:id="97"/>
      <w:bookmarkStart w:id="98" w:name="_Toc184313298"/>
      <w:bookmarkEnd w:id="98"/>
      <w:bookmarkStart w:id="99" w:name="_Toc184310292"/>
      <w:bookmarkEnd w:id="99"/>
      <w:bookmarkStart w:id="100" w:name="_Toc184312099"/>
      <w:bookmarkEnd w:id="100"/>
      <w:bookmarkStart w:id="101" w:name="_Toc184313238"/>
      <w:bookmarkEnd w:id="101"/>
      <w:bookmarkStart w:id="102" w:name="_Toc184308071"/>
      <w:bookmarkEnd w:id="102"/>
      <w:bookmarkStart w:id="103" w:name="_Toc184308066"/>
      <w:bookmarkEnd w:id="103"/>
      <w:bookmarkStart w:id="104" w:name="_Toc184314439"/>
      <w:bookmarkEnd w:id="104"/>
      <w:bookmarkStart w:id="105" w:name="_Toc184312075"/>
      <w:bookmarkEnd w:id="105"/>
      <w:bookmarkStart w:id="106" w:name="_Toc184312112"/>
      <w:bookmarkEnd w:id="106"/>
      <w:bookmarkStart w:id="107" w:name="_Toc184313244"/>
      <w:bookmarkEnd w:id="107"/>
      <w:bookmarkStart w:id="108" w:name="_Toc184310281"/>
      <w:bookmarkEnd w:id="108"/>
      <w:bookmarkStart w:id="109" w:name="_Toc184312118"/>
      <w:bookmarkEnd w:id="109"/>
      <w:bookmarkStart w:id="110" w:name="_Toc184310336"/>
      <w:bookmarkEnd w:id="110"/>
      <w:bookmarkStart w:id="111" w:name="_Toc184312072"/>
      <w:bookmarkEnd w:id="111"/>
      <w:bookmarkStart w:id="112" w:name="_Toc184314431"/>
      <w:bookmarkEnd w:id="112"/>
      <w:bookmarkStart w:id="113" w:name="_Toc184308087"/>
      <w:bookmarkEnd w:id="113"/>
      <w:bookmarkStart w:id="114" w:name="_Toc184313294"/>
      <w:bookmarkEnd w:id="114"/>
      <w:bookmarkStart w:id="115" w:name="_Toc184313258"/>
      <w:bookmarkEnd w:id="115"/>
      <w:bookmarkStart w:id="116" w:name="_Toc184312106"/>
      <w:bookmarkEnd w:id="116"/>
      <w:bookmarkStart w:id="117" w:name="_Toc184314444"/>
      <w:bookmarkEnd w:id="117"/>
      <w:bookmarkStart w:id="118" w:name="_Toc184312132"/>
      <w:bookmarkEnd w:id="118"/>
      <w:bookmarkStart w:id="119" w:name="_Toc184308049"/>
      <w:bookmarkEnd w:id="119"/>
      <w:bookmarkStart w:id="120" w:name="_Toc184308038"/>
      <w:bookmarkEnd w:id="120"/>
      <w:bookmarkStart w:id="121" w:name="_Toc184314472"/>
      <w:bookmarkEnd w:id="121"/>
      <w:bookmarkStart w:id="122" w:name="_Toc184312129"/>
      <w:bookmarkEnd w:id="122"/>
      <w:bookmarkStart w:id="123" w:name="_Toc184314425"/>
      <w:bookmarkEnd w:id="123"/>
      <w:bookmarkStart w:id="124" w:name="_Toc184312110"/>
      <w:bookmarkEnd w:id="124"/>
      <w:bookmarkStart w:id="125" w:name="_Toc184312136"/>
      <w:bookmarkEnd w:id="125"/>
      <w:bookmarkStart w:id="126" w:name="_Toc184313278"/>
      <w:bookmarkEnd w:id="126"/>
      <w:bookmarkStart w:id="127" w:name="_Toc184313267"/>
      <w:bookmarkEnd w:id="127"/>
      <w:bookmarkStart w:id="128" w:name="_Toc184313301"/>
      <w:bookmarkEnd w:id="128"/>
      <w:bookmarkStart w:id="129" w:name="_Toc184308105"/>
      <w:bookmarkEnd w:id="129"/>
      <w:bookmarkStart w:id="130" w:name="_Toc184314424"/>
      <w:bookmarkEnd w:id="130"/>
      <w:bookmarkStart w:id="131" w:name="_Toc184313248"/>
      <w:bookmarkEnd w:id="131"/>
      <w:bookmarkStart w:id="132" w:name="_Toc184313260"/>
      <w:bookmarkEnd w:id="132"/>
      <w:bookmarkStart w:id="133" w:name="_Toc184314455"/>
      <w:bookmarkEnd w:id="133"/>
      <w:bookmarkStart w:id="134" w:name="_Toc184312094"/>
      <w:bookmarkEnd w:id="134"/>
      <w:bookmarkStart w:id="135" w:name="_Toc184314474"/>
      <w:bookmarkEnd w:id="135"/>
      <w:bookmarkStart w:id="136" w:name="_Toc184308092"/>
      <w:bookmarkEnd w:id="136"/>
      <w:bookmarkStart w:id="137" w:name="_Toc184310331"/>
      <w:bookmarkEnd w:id="137"/>
      <w:bookmarkStart w:id="138" w:name="_Toc184312127"/>
      <w:bookmarkEnd w:id="138"/>
      <w:bookmarkStart w:id="139" w:name="_Toc184312121"/>
      <w:bookmarkEnd w:id="139"/>
      <w:bookmarkStart w:id="140" w:name="_Toc184314413"/>
      <w:bookmarkEnd w:id="140"/>
      <w:bookmarkStart w:id="141" w:name="_Toc184314447"/>
      <w:bookmarkEnd w:id="141"/>
      <w:bookmarkStart w:id="142" w:name="_Toc184314421"/>
      <w:bookmarkEnd w:id="142"/>
      <w:bookmarkStart w:id="143" w:name="_Toc184313285"/>
      <w:bookmarkEnd w:id="143"/>
      <w:bookmarkStart w:id="144" w:name="_Toc184313239"/>
      <w:bookmarkEnd w:id="144"/>
      <w:bookmarkStart w:id="145" w:name="_Toc184312119"/>
      <w:bookmarkEnd w:id="145"/>
      <w:bookmarkStart w:id="146" w:name="_Toc184313246"/>
      <w:bookmarkEnd w:id="146"/>
      <w:bookmarkStart w:id="147" w:name="_Toc184308042"/>
      <w:bookmarkEnd w:id="147"/>
      <w:bookmarkStart w:id="148" w:name="_Toc184310309"/>
      <w:bookmarkEnd w:id="148"/>
      <w:bookmarkStart w:id="149" w:name="_Toc184314481"/>
      <w:bookmarkEnd w:id="149"/>
      <w:bookmarkStart w:id="150" w:name="_Toc184310304"/>
      <w:bookmarkEnd w:id="150"/>
      <w:bookmarkStart w:id="151" w:name="_Toc184308085"/>
      <w:bookmarkEnd w:id="151"/>
      <w:bookmarkStart w:id="152" w:name="_Toc184308106"/>
      <w:bookmarkEnd w:id="152"/>
      <w:bookmarkStart w:id="153" w:name="_Toc184313299"/>
      <w:bookmarkEnd w:id="153"/>
      <w:bookmarkStart w:id="154" w:name="_Toc184313266"/>
      <w:bookmarkEnd w:id="154"/>
      <w:bookmarkStart w:id="155" w:name="_Toc184314422"/>
      <w:bookmarkEnd w:id="155"/>
      <w:bookmarkStart w:id="156" w:name="_Toc184313254"/>
      <w:bookmarkEnd w:id="156"/>
      <w:bookmarkStart w:id="157" w:name="_Toc184310313"/>
      <w:bookmarkEnd w:id="157"/>
      <w:bookmarkStart w:id="158" w:name="_Toc184312101"/>
      <w:bookmarkEnd w:id="158"/>
      <w:bookmarkStart w:id="159" w:name="_Toc184312137"/>
      <w:bookmarkEnd w:id="159"/>
      <w:bookmarkStart w:id="160" w:name="_Toc184310299"/>
      <w:bookmarkEnd w:id="160"/>
      <w:bookmarkStart w:id="161" w:name="_Toc184310280"/>
      <w:bookmarkEnd w:id="161"/>
      <w:bookmarkStart w:id="162" w:name="_Toc184312126"/>
      <w:bookmarkEnd w:id="162"/>
      <w:bookmarkStart w:id="163" w:name="_Toc184312079"/>
      <w:bookmarkEnd w:id="163"/>
      <w:bookmarkStart w:id="164" w:name="_Toc184313310"/>
      <w:bookmarkEnd w:id="164"/>
      <w:bookmarkStart w:id="165" w:name="_Toc184314419"/>
      <w:bookmarkEnd w:id="165"/>
      <w:bookmarkStart w:id="166" w:name="_Toc184310334"/>
      <w:bookmarkEnd w:id="166"/>
      <w:bookmarkStart w:id="167" w:name="_Toc184310291"/>
      <w:bookmarkEnd w:id="167"/>
      <w:bookmarkStart w:id="168" w:name="_Toc184310302"/>
      <w:bookmarkEnd w:id="168"/>
      <w:bookmarkStart w:id="169" w:name="_Toc184313276"/>
      <w:bookmarkEnd w:id="169"/>
      <w:bookmarkStart w:id="170" w:name="_Toc184308102"/>
      <w:bookmarkEnd w:id="170"/>
      <w:bookmarkStart w:id="171" w:name="_Toc184313272"/>
      <w:bookmarkEnd w:id="171"/>
      <w:bookmarkStart w:id="172" w:name="_Toc184308097"/>
      <w:bookmarkEnd w:id="172"/>
      <w:bookmarkStart w:id="173" w:name="_Toc184314479"/>
      <w:bookmarkEnd w:id="173"/>
      <w:bookmarkStart w:id="174" w:name="_Toc184308068"/>
      <w:bookmarkEnd w:id="174"/>
      <w:bookmarkStart w:id="175" w:name="_Toc184312095"/>
      <w:bookmarkEnd w:id="175"/>
      <w:bookmarkStart w:id="176" w:name="_Toc184312113"/>
      <w:bookmarkEnd w:id="176"/>
      <w:bookmarkStart w:id="177" w:name="_Toc184314469"/>
      <w:bookmarkEnd w:id="177"/>
      <w:bookmarkStart w:id="178" w:name="_Toc184314446"/>
      <w:bookmarkEnd w:id="178"/>
      <w:bookmarkStart w:id="179" w:name="_Toc184308088"/>
      <w:bookmarkEnd w:id="179"/>
      <w:bookmarkStart w:id="180" w:name="_Toc184314480"/>
      <w:bookmarkEnd w:id="180"/>
      <w:bookmarkStart w:id="181" w:name="_Toc184314467"/>
      <w:bookmarkEnd w:id="181"/>
      <w:bookmarkStart w:id="182" w:name="_Toc184310290"/>
      <w:bookmarkEnd w:id="182"/>
      <w:bookmarkStart w:id="183" w:name="_Toc184312139"/>
      <w:bookmarkEnd w:id="183"/>
      <w:bookmarkStart w:id="184" w:name="_Toc184310311"/>
      <w:bookmarkEnd w:id="184"/>
      <w:bookmarkStart w:id="185" w:name="_Toc184312124"/>
      <w:bookmarkEnd w:id="185"/>
      <w:bookmarkStart w:id="186" w:name="_Toc184314482"/>
      <w:bookmarkEnd w:id="186"/>
      <w:bookmarkStart w:id="187" w:name="_Toc184308039"/>
      <w:bookmarkEnd w:id="187"/>
      <w:bookmarkStart w:id="188" w:name="_Toc184313287"/>
      <w:bookmarkEnd w:id="188"/>
      <w:bookmarkStart w:id="189" w:name="_Toc184314466"/>
      <w:bookmarkEnd w:id="189"/>
      <w:bookmarkStart w:id="190" w:name="_Toc184310298"/>
      <w:bookmarkEnd w:id="190"/>
      <w:bookmarkStart w:id="191" w:name="_Toc184313263"/>
      <w:bookmarkEnd w:id="191"/>
      <w:bookmarkStart w:id="192" w:name="_Toc184310329"/>
      <w:bookmarkEnd w:id="192"/>
      <w:bookmarkStart w:id="193" w:name="_Toc184308104"/>
      <w:bookmarkEnd w:id="193"/>
      <w:bookmarkStart w:id="194" w:name="_Toc184310289"/>
      <w:bookmarkEnd w:id="194"/>
      <w:bookmarkStart w:id="195" w:name="_Toc184308055"/>
      <w:bookmarkEnd w:id="195"/>
      <w:bookmarkStart w:id="196" w:name="_Toc184308043"/>
      <w:bookmarkEnd w:id="196"/>
      <w:bookmarkStart w:id="197" w:name="_Toc184308059"/>
      <w:bookmarkEnd w:id="197"/>
      <w:bookmarkStart w:id="198" w:name="_Toc184310340"/>
      <w:bookmarkEnd w:id="198"/>
      <w:bookmarkStart w:id="199" w:name="_Toc184310315"/>
      <w:bookmarkEnd w:id="199"/>
      <w:bookmarkStart w:id="200" w:name="_Toc184310321"/>
      <w:bookmarkEnd w:id="200"/>
      <w:bookmarkStart w:id="201" w:name="_Toc184310318"/>
      <w:bookmarkEnd w:id="201"/>
      <w:bookmarkStart w:id="202" w:name="_Toc184313277"/>
      <w:bookmarkEnd w:id="202"/>
      <w:bookmarkStart w:id="203" w:name="_Toc184313305"/>
      <w:bookmarkEnd w:id="203"/>
      <w:bookmarkStart w:id="204" w:name="_Toc184313293"/>
      <w:bookmarkEnd w:id="204"/>
      <w:bookmarkStart w:id="205" w:name="_Toc184312131"/>
      <w:bookmarkEnd w:id="205"/>
      <w:bookmarkStart w:id="206" w:name="_Toc184313280"/>
      <w:bookmarkEnd w:id="206"/>
      <w:bookmarkStart w:id="207" w:name="_Toc184312092"/>
      <w:bookmarkEnd w:id="207"/>
      <w:bookmarkStart w:id="208" w:name="_Toc184313279"/>
      <w:bookmarkEnd w:id="208"/>
      <w:bookmarkStart w:id="209" w:name="_Toc184312081"/>
      <w:bookmarkEnd w:id="209"/>
      <w:bookmarkStart w:id="210" w:name="_Toc184308074"/>
      <w:bookmarkEnd w:id="210"/>
      <w:bookmarkStart w:id="211" w:name="_Toc184312084"/>
      <w:bookmarkEnd w:id="211"/>
      <w:bookmarkStart w:id="212" w:name="_Toc184312093"/>
      <w:bookmarkEnd w:id="212"/>
      <w:bookmarkStart w:id="213" w:name="_Toc184310328"/>
      <w:bookmarkEnd w:id="213"/>
      <w:bookmarkStart w:id="214" w:name="_Toc184308056"/>
      <w:bookmarkEnd w:id="214"/>
      <w:bookmarkStart w:id="215" w:name="_Toc184310320"/>
      <w:bookmarkEnd w:id="215"/>
      <w:bookmarkStart w:id="216" w:name="_Toc184310343"/>
      <w:bookmarkEnd w:id="216"/>
      <w:bookmarkStart w:id="217" w:name="_Toc184313247"/>
      <w:bookmarkEnd w:id="217"/>
      <w:bookmarkStart w:id="218" w:name="_Toc184310342"/>
      <w:bookmarkEnd w:id="218"/>
      <w:bookmarkStart w:id="219" w:name="_Toc184312103"/>
      <w:bookmarkEnd w:id="219"/>
      <w:bookmarkStart w:id="220" w:name="_Toc184312100"/>
      <w:bookmarkEnd w:id="220"/>
      <w:bookmarkStart w:id="221" w:name="_Toc184312138"/>
      <w:bookmarkEnd w:id="221"/>
      <w:bookmarkStart w:id="222" w:name="_Toc184313292"/>
      <w:bookmarkEnd w:id="222"/>
      <w:bookmarkStart w:id="223" w:name="_Toc184312080"/>
      <w:bookmarkEnd w:id="223"/>
      <w:bookmarkStart w:id="224" w:name="_Toc184308064"/>
      <w:bookmarkEnd w:id="224"/>
      <w:bookmarkStart w:id="225" w:name="_Toc184308053"/>
      <w:bookmarkEnd w:id="225"/>
      <w:bookmarkStart w:id="226" w:name="_Toc184313270"/>
      <w:bookmarkEnd w:id="226"/>
      <w:bookmarkStart w:id="227" w:name="_Toc184313282"/>
      <w:bookmarkEnd w:id="227"/>
      <w:bookmarkStart w:id="228" w:name="_Toc184308082"/>
      <w:bookmarkEnd w:id="228"/>
      <w:bookmarkStart w:id="229" w:name="_Toc184313296"/>
      <w:bookmarkEnd w:id="229"/>
      <w:bookmarkStart w:id="230" w:name="_Toc184313269"/>
      <w:bookmarkEnd w:id="230"/>
      <w:bookmarkStart w:id="231" w:name="_Toc184312088"/>
      <w:bookmarkEnd w:id="231"/>
      <w:bookmarkStart w:id="232" w:name="_Toc184312117"/>
      <w:bookmarkEnd w:id="232"/>
      <w:bookmarkStart w:id="233" w:name="_Toc184314441"/>
      <w:bookmarkEnd w:id="233"/>
      <w:bookmarkStart w:id="234" w:name="_Toc184313252"/>
      <w:bookmarkEnd w:id="234"/>
      <w:bookmarkStart w:id="235" w:name="_Toc184312076"/>
      <w:bookmarkEnd w:id="235"/>
      <w:bookmarkStart w:id="236" w:name="_Toc184312070"/>
      <w:bookmarkEnd w:id="236"/>
      <w:bookmarkStart w:id="237" w:name="_Toc184314478"/>
      <w:bookmarkEnd w:id="237"/>
      <w:bookmarkStart w:id="238" w:name="_Toc184314470"/>
      <w:bookmarkEnd w:id="238"/>
      <w:bookmarkStart w:id="239" w:name="_Toc184314433"/>
      <w:bookmarkEnd w:id="239"/>
      <w:bookmarkStart w:id="240" w:name="_Toc184310295"/>
      <w:bookmarkEnd w:id="240"/>
      <w:bookmarkStart w:id="241" w:name="_Toc184308080"/>
      <w:bookmarkEnd w:id="241"/>
      <w:bookmarkStart w:id="242" w:name="_Toc184308096"/>
      <w:bookmarkEnd w:id="242"/>
      <w:bookmarkStart w:id="243" w:name="_Toc184308048"/>
      <w:bookmarkEnd w:id="243"/>
      <w:bookmarkStart w:id="244" w:name="_Toc184313271"/>
      <w:bookmarkEnd w:id="244"/>
      <w:bookmarkStart w:id="245" w:name="_Toc184308100"/>
      <w:bookmarkEnd w:id="245"/>
      <w:bookmarkStart w:id="246" w:name="_Toc184312085"/>
      <w:bookmarkEnd w:id="246"/>
      <w:bookmarkStart w:id="247" w:name="_Toc184310310"/>
      <w:bookmarkEnd w:id="247"/>
      <w:bookmarkStart w:id="248" w:name="_Toc184312111"/>
      <w:bookmarkEnd w:id="248"/>
      <w:bookmarkStart w:id="249" w:name="_Toc184310272"/>
      <w:bookmarkEnd w:id="249"/>
      <w:bookmarkStart w:id="250" w:name="_Toc184310275"/>
      <w:bookmarkEnd w:id="250"/>
      <w:bookmarkStart w:id="251" w:name="_Toc184310325"/>
      <w:bookmarkEnd w:id="251"/>
      <w:bookmarkStart w:id="252" w:name="_Toc184313273"/>
      <w:bookmarkEnd w:id="252"/>
      <w:bookmarkStart w:id="253" w:name="_Toc184313290"/>
      <w:bookmarkEnd w:id="253"/>
      <w:bookmarkStart w:id="254" w:name="_Toc184312069"/>
      <w:bookmarkEnd w:id="254"/>
      <w:bookmarkStart w:id="255" w:name="_Toc184313283"/>
      <w:bookmarkEnd w:id="255"/>
      <w:bookmarkStart w:id="256" w:name="_Toc184308036"/>
      <w:bookmarkEnd w:id="256"/>
      <w:bookmarkStart w:id="257" w:name="_Toc184308078"/>
      <w:bookmarkEnd w:id="257"/>
      <w:bookmarkStart w:id="258" w:name="_Toc184312074"/>
      <w:bookmarkEnd w:id="258"/>
      <w:bookmarkStart w:id="259" w:name="_Toc184314461"/>
      <w:bookmarkEnd w:id="259"/>
      <w:bookmarkStart w:id="260" w:name="_Toc184314417"/>
      <w:bookmarkEnd w:id="260"/>
      <w:bookmarkStart w:id="261" w:name="_Toc184310337"/>
      <w:bookmarkEnd w:id="261"/>
      <w:bookmarkStart w:id="262" w:name="_Toc184312105"/>
      <w:bookmarkEnd w:id="262"/>
      <w:bookmarkStart w:id="263" w:name="_Toc184314473"/>
      <w:bookmarkEnd w:id="263"/>
      <w:bookmarkStart w:id="264" w:name="_Toc184314477"/>
      <w:bookmarkEnd w:id="264"/>
      <w:bookmarkStart w:id="265" w:name="_Toc184312130"/>
      <w:bookmarkEnd w:id="265"/>
      <w:bookmarkStart w:id="266" w:name="_Toc184312128"/>
      <w:bookmarkEnd w:id="266"/>
      <w:bookmarkStart w:id="267" w:name="_Toc184312098"/>
      <w:bookmarkEnd w:id="267"/>
      <w:bookmarkStart w:id="268" w:name="_Toc184312086"/>
      <w:bookmarkEnd w:id="268"/>
      <w:bookmarkStart w:id="269" w:name="_Toc184308046"/>
      <w:bookmarkEnd w:id="269"/>
      <w:bookmarkStart w:id="270" w:name="_Toc184310276"/>
      <w:bookmarkEnd w:id="270"/>
      <w:bookmarkStart w:id="271" w:name="_Toc184313242"/>
      <w:bookmarkEnd w:id="271"/>
      <w:bookmarkStart w:id="272" w:name="_Toc184308098"/>
      <w:bookmarkEnd w:id="272"/>
      <w:bookmarkStart w:id="273" w:name="_Toc184313306"/>
      <w:bookmarkEnd w:id="273"/>
      <w:bookmarkStart w:id="274" w:name="_Toc184314428"/>
      <w:bookmarkEnd w:id="274"/>
      <w:bookmarkStart w:id="275" w:name="_Toc184310314"/>
      <w:bookmarkEnd w:id="275"/>
      <w:bookmarkStart w:id="276" w:name="_Toc184314460"/>
      <w:bookmarkEnd w:id="276"/>
      <w:bookmarkStart w:id="277" w:name="_Toc184308067"/>
      <w:bookmarkEnd w:id="277"/>
      <w:bookmarkStart w:id="278" w:name="_Toc184313262"/>
      <w:bookmarkEnd w:id="278"/>
      <w:bookmarkStart w:id="279" w:name="_Toc184310283"/>
      <w:bookmarkEnd w:id="279"/>
      <w:bookmarkStart w:id="280" w:name="_Toc184312071"/>
      <w:bookmarkEnd w:id="280"/>
      <w:bookmarkStart w:id="281" w:name="_Toc184310282"/>
      <w:bookmarkEnd w:id="281"/>
      <w:bookmarkStart w:id="282" w:name="_Toc184308108"/>
      <w:bookmarkEnd w:id="282"/>
      <w:bookmarkStart w:id="283" w:name="_Toc184308086"/>
      <w:bookmarkEnd w:id="283"/>
      <w:bookmarkStart w:id="284" w:name="_Toc184312082"/>
      <w:bookmarkEnd w:id="284"/>
      <w:bookmarkStart w:id="285" w:name="_Toc184308073"/>
      <w:bookmarkEnd w:id="285"/>
      <w:bookmarkStart w:id="286" w:name="_Toc184312123"/>
      <w:bookmarkEnd w:id="286"/>
      <w:bookmarkStart w:id="287" w:name="_Toc184313300"/>
      <w:bookmarkEnd w:id="287"/>
      <w:bookmarkStart w:id="288" w:name="_Toc184308081"/>
      <w:bookmarkEnd w:id="288"/>
      <w:bookmarkStart w:id="289" w:name="_Toc184313251"/>
      <w:bookmarkEnd w:id="289"/>
      <w:bookmarkStart w:id="290" w:name="_Toc184313281"/>
      <w:bookmarkEnd w:id="290"/>
      <w:bookmarkStart w:id="291" w:name="_Toc184312089"/>
      <w:bookmarkEnd w:id="291"/>
      <w:bookmarkStart w:id="292" w:name="_Toc184310284"/>
      <w:bookmarkEnd w:id="292"/>
      <w:bookmarkStart w:id="293" w:name="_Toc184308103"/>
      <w:bookmarkEnd w:id="293"/>
      <w:bookmarkStart w:id="294" w:name="_Toc184310278"/>
      <w:bookmarkEnd w:id="294"/>
      <w:bookmarkStart w:id="295" w:name="_Toc184313274"/>
      <w:bookmarkEnd w:id="295"/>
      <w:bookmarkStart w:id="296" w:name="_Toc184312067"/>
      <w:bookmarkEnd w:id="296"/>
      <w:bookmarkStart w:id="297" w:name="_Toc184312135"/>
      <w:bookmarkEnd w:id="297"/>
      <w:bookmarkStart w:id="298" w:name="_Toc184310277"/>
      <w:bookmarkEnd w:id="298"/>
      <w:bookmarkStart w:id="299" w:name="_Toc184314459"/>
      <w:bookmarkEnd w:id="299"/>
      <w:bookmarkStart w:id="300" w:name="_Toc184313308"/>
      <w:bookmarkEnd w:id="300"/>
      <w:bookmarkStart w:id="301" w:name="_Toc184312107"/>
      <w:bookmarkEnd w:id="301"/>
      <w:bookmarkStart w:id="302" w:name="_Toc184314427"/>
      <w:bookmarkEnd w:id="302"/>
      <w:bookmarkStart w:id="303" w:name="_Toc184314448"/>
      <w:bookmarkEnd w:id="303"/>
      <w:bookmarkStart w:id="304" w:name="_Toc184313304"/>
      <w:bookmarkEnd w:id="304"/>
      <w:bookmarkStart w:id="305" w:name="_Toc184314430"/>
      <w:bookmarkEnd w:id="305"/>
      <w:bookmarkStart w:id="306" w:name="_Toc184313240"/>
      <w:bookmarkEnd w:id="306"/>
      <w:bookmarkStart w:id="307" w:name="_Toc184313268"/>
      <w:bookmarkEnd w:id="307"/>
      <w:bookmarkStart w:id="308" w:name="_Toc184310338"/>
      <w:bookmarkEnd w:id="308"/>
      <w:bookmarkStart w:id="309" w:name="_Toc184314457"/>
      <w:bookmarkEnd w:id="309"/>
      <w:bookmarkStart w:id="310" w:name="_Toc184308062"/>
      <w:bookmarkEnd w:id="310"/>
      <w:bookmarkStart w:id="311" w:name="_Toc184313243"/>
      <w:bookmarkEnd w:id="311"/>
      <w:bookmarkStart w:id="312" w:name="_Toc184313288"/>
      <w:bookmarkEnd w:id="312"/>
      <w:bookmarkStart w:id="313" w:name="_Toc184314414"/>
      <w:bookmarkEnd w:id="313"/>
      <w:bookmarkStart w:id="314" w:name="_Toc184310335"/>
      <w:bookmarkEnd w:id="314"/>
      <w:bookmarkStart w:id="315" w:name="_Toc184313307"/>
      <w:bookmarkEnd w:id="315"/>
      <w:bookmarkStart w:id="316" w:name="_Toc184313309"/>
      <w:bookmarkEnd w:id="316"/>
      <w:bookmarkStart w:id="317" w:name="_Toc184314453"/>
      <w:bookmarkEnd w:id="317"/>
      <w:bookmarkStart w:id="318" w:name="_Toc184314416"/>
      <w:bookmarkEnd w:id="318"/>
      <w:bookmarkStart w:id="319" w:name="_Toc184314423"/>
      <w:bookmarkEnd w:id="319"/>
      <w:bookmarkStart w:id="320" w:name="_Toc184310279"/>
      <w:bookmarkEnd w:id="320"/>
      <w:bookmarkStart w:id="321" w:name="_Toc184308079"/>
      <w:bookmarkEnd w:id="321"/>
      <w:bookmarkStart w:id="322" w:name="_Toc184313264"/>
      <w:bookmarkEnd w:id="322"/>
      <w:bookmarkStart w:id="323" w:name="_Toc184310273"/>
      <w:bookmarkEnd w:id="323"/>
      <w:bookmarkStart w:id="324" w:name="_Toc184312097"/>
      <w:bookmarkEnd w:id="324"/>
      <w:bookmarkStart w:id="325" w:name="_Toc184310296"/>
      <w:bookmarkEnd w:id="325"/>
      <w:bookmarkStart w:id="326" w:name="_Toc184313249"/>
      <w:bookmarkEnd w:id="326"/>
      <w:bookmarkStart w:id="327" w:name="_Toc184313295"/>
      <w:bookmarkEnd w:id="327"/>
      <w:bookmarkStart w:id="328" w:name="_Toc184310294"/>
      <w:bookmarkEnd w:id="328"/>
      <w:bookmarkStart w:id="329" w:name="_Toc184313286"/>
      <w:bookmarkEnd w:id="329"/>
      <w:bookmarkStart w:id="330" w:name="_Toc184308091"/>
      <w:bookmarkEnd w:id="330"/>
      <w:bookmarkStart w:id="331" w:name="_Toc184308089"/>
      <w:bookmarkEnd w:id="331"/>
      <w:bookmarkStart w:id="332" w:name="_Toc184314476"/>
      <w:bookmarkEnd w:id="332"/>
      <w:bookmarkStart w:id="333" w:name="_Toc184314451"/>
      <w:bookmarkEnd w:id="333"/>
      <w:bookmarkStart w:id="334" w:name="_Toc184310323"/>
      <w:bookmarkEnd w:id="334"/>
      <w:bookmarkStart w:id="335" w:name="_Toc184313245"/>
      <w:bookmarkEnd w:id="335"/>
      <w:bookmarkStart w:id="336" w:name="_Toc184308040"/>
      <w:bookmarkEnd w:id="336"/>
      <w:bookmarkStart w:id="337" w:name="_Toc184313261"/>
      <w:bookmarkEnd w:id="337"/>
      <w:bookmarkStart w:id="338" w:name="_Toc184312120"/>
      <w:bookmarkEnd w:id="338"/>
      <w:bookmarkStart w:id="339" w:name="_Toc184314426"/>
      <w:bookmarkEnd w:id="339"/>
      <w:bookmarkStart w:id="340" w:name="_Toc184310293"/>
      <w:bookmarkEnd w:id="340"/>
      <w:bookmarkStart w:id="341" w:name="_Toc184308063"/>
      <w:bookmarkEnd w:id="341"/>
      <w:bookmarkStart w:id="342" w:name="_Toc184314435"/>
      <w:bookmarkEnd w:id="342"/>
      <w:bookmarkStart w:id="343" w:name="_Toc184308084"/>
      <w:bookmarkEnd w:id="343"/>
      <w:bookmarkStart w:id="344" w:name="_Toc184313297"/>
      <w:bookmarkEnd w:id="344"/>
      <w:bookmarkStart w:id="345" w:name="_Toc184312096"/>
      <w:bookmarkEnd w:id="345"/>
      <w:bookmarkStart w:id="346" w:name="_Toc184312091"/>
      <w:bookmarkEnd w:id="346"/>
      <w:bookmarkStart w:id="347" w:name="_Toc184310319"/>
      <w:bookmarkEnd w:id="347"/>
      <w:bookmarkStart w:id="348" w:name="_Toc184310286"/>
      <w:bookmarkEnd w:id="348"/>
      <w:bookmarkStart w:id="349" w:name="_Toc184308093"/>
      <w:bookmarkEnd w:id="349"/>
      <w:bookmarkStart w:id="350" w:name="_Toc184308060"/>
      <w:bookmarkEnd w:id="350"/>
      <w:bookmarkStart w:id="351" w:name="_Toc184310274"/>
      <w:bookmarkEnd w:id="351"/>
      <w:bookmarkStart w:id="352" w:name="_Toc184314464"/>
      <w:bookmarkEnd w:id="352"/>
      <w:bookmarkStart w:id="353" w:name="_Toc184314452"/>
      <w:bookmarkEnd w:id="353"/>
      <w:bookmarkStart w:id="354" w:name="_Toc184314471"/>
      <w:bookmarkEnd w:id="354"/>
      <w:bookmarkStart w:id="355" w:name="_Toc184312108"/>
      <w:bookmarkEnd w:id="355"/>
      <w:bookmarkStart w:id="356" w:name="_Toc184308095"/>
      <w:bookmarkEnd w:id="356"/>
      <w:bookmarkStart w:id="357" w:name="_Toc184312083"/>
      <w:bookmarkEnd w:id="357"/>
      <w:bookmarkStart w:id="358" w:name="_Toc184312133"/>
      <w:bookmarkEnd w:id="358"/>
      <w:bookmarkStart w:id="359" w:name="_Toc184308090"/>
      <w:bookmarkEnd w:id="359"/>
      <w:bookmarkStart w:id="360" w:name="_Toc184310300"/>
      <w:bookmarkEnd w:id="360"/>
      <w:bookmarkStart w:id="361" w:name="_Toc184308101"/>
      <w:bookmarkEnd w:id="361"/>
      <w:bookmarkStart w:id="362" w:name="_Toc184308070"/>
      <w:bookmarkEnd w:id="362"/>
      <w:bookmarkStart w:id="363" w:name="_Toc184313275"/>
      <w:bookmarkEnd w:id="363"/>
      <w:bookmarkStart w:id="364" w:name="_Toc184314418"/>
      <w:bookmarkEnd w:id="364"/>
      <w:bookmarkStart w:id="365" w:name="_Toc184314440"/>
      <w:bookmarkEnd w:id="365"/>
      <w:bookmarkStart w:id="366" w:name="_Toc184308044"/>
      <w:bookmarkEnd w:id="366"/>
      <w:r>
        <w:rPr>
          <w:rFonts w:hint="eastAsia" w:ascii="宋体" w:hAnsi="宋体" w:eastAsia="宋体" w:cs="宋体"/>
          <w:b/>
          <w:color w:val="auto"/>
          <w:sz w:val="28"/>
          <w:szCs w:val="28"/>
          <w:highlight w:val="none"/>
        </w:rPr>
        <w:t>评标办法</w:t>
      </w:r>
    </w:p>
    <w:p w14:paraId="776031ED">
      <w:pPr>
        <w:pStyle w:val="3"/>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评标办法前附表</w:t>
      </w:r>
      <w:r>
        <w:rPr>
          <w:rFonts w:hint="eastAsia" w:ascii="宋体" w:hAnsi="宋体" w:eastAsia="宋体" w:cs="宋体"/>
          <w:color w:val="auto"/>
          <w:highlight w:val="none"/>
          <w:lang w:eastAsia="zh-CN"/>
        </w:rPr>
        <w:t>（标项</w:t>
      </w:r>
      <w:r>
        <w:rPr>
          <w:rFonts w:hint="eastAsia" w:ascii="宋体" w:hAnsi="宋体" w:eastAsia="宋体" w:cs="宋体"/>
          <w:color w:val="auto"/>
          <w:highlight w:val="none"/>
          <w:lang w:val="en-US" w:eastAsia="zh-CN"/>
        </w:rPr>
        <w:t>1、标项2）</w:t>
      </w:r>
    </w:p>
    <w:p w14:paraId="297BF182">
      <w:pPr>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rPr>
        <w:t>1、商务技术部分（</w:t>
      </w:r>
      <w:r>
        <w:rPr>
          <w:rFonts w:hint="eastAsia" w:asciiTheme="minorEastAsia" w:hAnsiTheme="minorEastAsia" w:eastAsiaTheme="minorEastAsia" w:cstheme="minorEastAsia"/>
          <w:b/>
          <w:bCs w:val="0"/>
          <w:color w:val="auto"/>
          <w:kern w:val="2"/>
          <w:sz w:val="24"/>
          <w:szCs w:val="24"/>
          <w:highlight w:val="none"/>
          <w:lang w:val="en-US" w:eastAsia="zh-CN"/>
        </w:rPr>
        <w:t>8</w:t>
      </w:r>
      <w:r>
        <w:rPr>
          <w:rFonts w:hint="eastAsia" w:asciiTheme="minorEastAsia" w:hAnsiTheme="minorEastAsia" w:eastAsiaTheme="minorEastAsia" w:cstheme="minorEastAsia"/>
          <w:b/>
          <w:bCs w:val="0"/>
          <w:color w:val="auto"/>
          <w:kern w:val="2"/>
          <w:sz w:val="24"/>
          <w:szCs w:val="24"/>
          <w:highlight w:val="none"/>
        </w:rPr>
        <w:t>0分）：</w:t>
      </w:r>
    </w:p>
    <w:p w14:paraId="7EF08026">
      <w:pPr>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lang w:val="en-US" w:eastAsia="zh-CN"/>
        </w:rPr>
        <w:t>1</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商务资信（</w:t>
      </w:r>
      <w:r>
        <w:rPr>
          <w:rFonts w:hint="eastAsia" w:asciiTheme="minorEastAsia" w:hAnsiTheme="minorEastAsia" w:eastAsiaTheme="minorEastAsia" w:cstheme="minorEastAsia"/>
          <w:b w:val="0"/>
          <w:bCs/>
          <w:color w:val="auto"/>
          <w:kern w:val="2"/>
          <w:sz w:val="24"/>
          <w:szCs w:val="24"/>
          <w:highlight w:val="none"/>
          <w:lang w:val="en-US" w:eastAsia="zh-CN"/>
        </w:rPr>
        <w:t>20</w:t>
      </w:r>
      <w:r>
        <w:rPr>
          <w:rFonts w:hint="eastAsia" w:asciiTheme="minorEastAsia" w:hAnsiTheme="minorEastAsia" w:eastAsiaTheme="minorEastAsia" w:cstheme="minorEastAsia"/>
          <w:b w:val="0"/>
          <w:bCs/>
          <w:color w:val="auto"/>
          <w:kern w:val="2"/>
          <w:sz w:val="24"/>
          <w:szCs w:val="24"/>
          <w:highlight w:val="none"/>
        </w:rPr>
        <w:t>分）</w:t>
      </w:r>
    </w:p>
    <w:tbl>
      <w:tblPr>
        <w:tblStyle w:val="30"/>
        <w:tblW w:w="9976" w:type="dxa"/>
        <w:jc w:val="center"/>
        <w:tblLayout w:type="fixed"/>
        <w:tblCellMar>
          <w:top w:w="0" w:type="dxa"/>
          <w:left w:w="108" w:type="dxa"/>
          <w:bottom w:w="0" w:type="dxa"/>
          <w:right w:w="108" w:type="dxa"/>
        </w:tblCellMar>
      </w:tblPr>
      <w:tblGrid>
        <w:gridCol w:w="1034"/>
        <w:gridCol w:w="708"/>
        <w:gridCol w:w="6291"/>
        <w:gridCol w:w="951"/>
        <w:gridCol w:w="992"/>
      </w:tblGrid>
      <w:tr w14:paraId="2EA838D8">
        <w:tblPrEx>
          <w:tblCellMar>
            <w:top w:w="0" w:type="dxa"/>
            <w:left w:w="108" w:type="dxa"/>
            <w:bottom w:w="0" w:type="dxa"/>
            <w:right w:w="108" w:type="dxa"/>
          </w:tblCellMar>
        </w:tblPrEx>
        <w:trPr>
          <w:trHeight w:val="427" w:hRule="atLeast"/>
          <w:jc w:val="center"/>
        </w:trPr>
        <w:tc>
          <w:tcPr>
            <w:tcW w:w="1034" w:type="dxa"/>
            <w:tcBorders>
              <w:top w:val="single" w:color="auto" w:sz="8" w:space="0"/>
              <w:left w:val="single" w:color="auto" w:sz="8" w:space="0"/>
              <w:bottom w:val="single" w:color="auto" w:sz="4" w:space="0"/>
              <w:right w:val="single" w:color="auto" w:sz="4" w:space="0"/>
            </w:tcBorders>
            <w:noWrap w:val="0"/>
            <w:vAlign w:val="center"/>
          </w:tcPr>
          <w:p w14:paraId="1D8D271F">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项目</w:t>
            </w:r>
          </w:p>
        </w:tc>
        <w:tc>
          <w:tcPr>
            <w:tcW w:w="708" w:type="dxa"/>
            <w:tcBorders>
              <w:top w:val="single" w:color="auto" w:sz="8" w:space="0"/>
              <w:left w:val="nil"/>
              <w:bottom w:val="single" w:color="auto" w:sz="4" w:space="0"/>
              <w:right w:val="single" w:color="auto" w:sz="4" w:space="0"/>
            </w:tcBorders>
            <w:noWrap w:val="0"/>
            <w:vAlign w:val="center"/>
          </w:tcPr>
          <w:p w14:paraId="18A3C5B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序号</w:t>
            </w:r>
          </w:p>
        </w:tc>
        <w:tc>
          <w:tcPr>
            <w:tcW w:w="6291" w:type="dxa"/>
            <w:tcBorders>
              <w:top w:val="single" w:color="auto" w:sz="8" w:space="0"/>
              <w:left w:val="nil"/>
              <w:bottom w:val="single" w:color="auto" w:sz="4" w:space="0"/>
              <w:right w:val="single" w:color="auto" w:sz="4" w:space="0"/>
            </w:tcBorders>
            <w:noWrap w:val="0"/>
            <w:vAlign w:val="center"/>
          </w:tcPr>
          <w:p w14:paraId="6A54586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评分内容和标准</w:t>
            </w:r>
          </w:p>
        </w:tc>
        <w:tc>
          <w:tcPr>
            <w:tcW w:w="951" w:type="dxa"/>
            <w:tcBorders>
              <w:top w:val="single" w:color="auto" w:sz="8" w:space="0"/>
              <w:left w:val="nil"/>
              <w:bottom w:val="single" w:color="auto" w:sz="4" w:space="0"/>
              <w:right w:val="single" w:color="auto" w:sz="8" w:space="0"/>
            </w:tcBorders>
            <w:noWrap w:val="0"/>
            <w:vAlign w:val="center"/>
          </w:tcPr>
          <w:p w14:paraId="4317C17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分值</w:t>
            </w:r>
          </w:p>
          <w:p w14:paraId="539DA12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区间</w:t>
            </w:r>
          </w:p>
        </w:tc>
        <w:tc>
          <w:tcPr>
            <w:tcW w:w="992" w:type="dxa"/>
            <w:tcBorders>
              <w:top w:val="single" w:color="auto" w:sz="8" w:space="0"/>
              <w:left w:val="nil"/>
              <w:bottom w:val="single" w:color="auto" w:sz="4" w:space="0"/>
              <w:right w:val="single" w:color="auto" w:sz="8" w:space="0"/>
            </w:tcBorders>
            <w:noWrap w:val="0"/>
            <w:vAlign w:val="center"/>
          </w:tcPr>
          <w:p w14:paraId="730F073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主/客观分</w:t>
            </w:r>
          </w:p>
        </w:tc>
      </w:tr>
      <w:tr w14:paraId="5C5795FB">
        <w:tblPrEx>
          <w:tblCellMar>
            <w:top w:w="0" w:type="dxa"/>
            <w:left w:w="108" w:type="dxa"/>
            <w:bottom w:w="0" w:type="dxa"/>
            <w:right w:w="108" w:type="dxa"/>
          </w:tblCellMar>
        </w:tblPrEx>
        <w:trPr>
          <w:trHeight w:val="1248"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33B029A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商务资信（20分）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7C95C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w:t>
            </w:r>
          </w:p>
        </w:tc>
        <w:tc>
          <w:tcPr>
            <w:tcW w:w="6291" w:type="dxa"/>
            <w:tcBorders>
              <w:top w:val="single" w:color="auto" w:sz="4" w:space="0"/>
              <w:left w:val="single" w:color="auto" w:sz="4" w:space="0"/>
              <w:bottom w:val="single" w:color="auto" w:sz="4" w:space="0"/>
              <w:right w:val="single" w:color="auto" w:sz="4" w:space="0"/>
            </w:tcBorders>
            <w:noWrap w:val="0"/>
            <w:vAlign w:val="center"/>
          </w:tcPr>
          <w:p w14:paraId="2F65AA5F">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投标人2021年1月1日起有同类项目(机关企事业单位或学校等食堂大宗物品年度供货配送成功案例)业绩的每个得1分，本项最高得5分。（以上须提供合同复印件加盖公章，未提供的不得分。）</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D47BF1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CEE11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3FACC207">
        <w:tblPrEx>
          <w:tblCellMar>
            <w:top w:w="0" w:type="dxa"/>
            <w:left w:w="108" w:type="dxa"/>
            <w:bottom w:w="0" w:type="dxa"/>
            <w:right w:w="108" w:type="dxa"/>
          </w:tblCellMar>
        </w:tblPrEx>
        <w:trPr>
          <w:trHeight w:val="1118" w:hRule="atLeast"/>
          <w:jc w:val="center"/>
        </w:trPr>
        <w:tc>
          <w:tcPr>
            <w:tcW w:w="1034" w:type="dxa"/>
            <w:vMerge w:val="continue"/>
            <w:tcBorders>
              <w:left w:val="single" w:color="auto" w:sz="4" w:space="0"/>
              <w:right w:val="single" w:color="auto" w:sz="4" w:space="0"/>
            </w:tcBorders>
            <w:noWrap w:val="0"/>
            <w:vAlign w:val="center"/>
          </w:tcPr>
          <w:p w14:paraId="39CA8BA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EDA98E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w:t>
            </w:r>
          </w:p>
        </w:tc>
        <w:tc>
          <w:tcPr>
            <w:tcW w:w="6291" w:type="dxa"/>
            <w:tcBorders>
              <w:top w:val="single" w:color="auto" w:sz="4" w:space="0"/>
              <w:left w:val="single" w:color="auto" w:sz="4" w:space="0"/>
              <w:bottom w:val="single" w:color="auto" w:sz="4" w:space="0"/>
              <w:right w:val="single" w:color="auto" w:sz="4" w:space="0"/>
            </w:tcBorders>
            <w:noWrap w:val="0"/>
            <w:vAlign w:val="center"/>
          </w:tcPr>
          <w:p w14:paraId="51DC154E">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投标人在本地区内具有符合经营配送场地或与本地区内符合经营配送场地取得直接合作的得2分。（投标文件中提供相关产权证明或合作协议等类似资料复印件加盖投标人公章，否则不得分。）</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062444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0-2分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F34493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3231EA44">
        <w:tblPrEx>
          <w:tblCellMar>
            <w:top w:w="0" w:type="dxa"/>
            <w:left w:w="108" w:type="dxa"/>
            <w:bottom w:w="0" w:type="dxa"/>
            <w:right w:w="108" w:type="dxa"/>
          </w:tblCellMar>
        </w:tblPrEx>
        <w:trPr>
          <w:trHeight w:val="660" w:hRule="atLeast"/>
          <w:jc w:val="center"/>
        </w:trPr>
        <w:tc>
          <w:tcPr>
            <w:tcW w:w="1034" w:type="dxa"/>
            <w:vMerge w:val="continue"/>
            <w:tcBorders>
              <w:left w:val="single" w:color="auto" w:sz="4" w:space="0"/>
              <w:right w:val="single" w:color="auto" w:sz="4" w:space="0"/>
            </w:tcBorders>
            <w:noWrap w:val="0"/>
            <w:vAlign w:val="center"/>
          </w:tcPr>
          <w:p w14:paraId="1F648DF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3B01B0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3</w:t>
            </w:r>
          </w:p>
        </w:tc>
        <w:tc>
          <w:tcPr>
            <w:tcW w:w="6291" w:type="dxa"/>
            <w:tcBorders>
              <w:top w:val="single" w:color="auto" w:sz="4" w:space="0"/>
              <w:left w:val="single" w:color="auto" w:sz="4" w:space="0"/>
              <w:bottom w:val="single" w:color="auto" w:sz="4" w:space="0"/>
              <w:right w:val="single" w:color="auto" w:sz="4" w:space="0"/>
            </w:tcBorders>
            <w:noWrap w:val="0"/>
            <w:vAlign w:val="center"/>
          </w:tcPr>
          <w:p w14:paraId="17F53178">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具有有效的质量管理体系认证证书的得1分；具有有效的环境管理体系认证证书的得1分；具有有效的职业健康安全管理体系认证证书的得1分；具有有效的食品安全管理体系认证证书的得1分；具有有效的食品流通许可证或食品经营许可证的得1分；具有生鲜农产品配送服务认证证书的得1分；具有危害分析与关键控制点体系认证或省、市级农业龙头企业资质的得1分；本项最高得7分。（投标文件中提供有效证书复印件并加盖投标人公章。）</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E1FC2A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0-7分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CDAE7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782AD0C2">
        <w:tblPrEx>
          <w:tblCellMar>
            <w:top w:w="0" w:type="dxa"/>
            <w:left w:w="108" w:type="dxa"/>
            <w:bottom w:w="0" w:type="dxa"/>
            <w:right w:w="108" w:type="dxa"/>
          </w:tblCellMar>
        </w:tblPrEx>
        <w:trPr>
          <w:trHeight w:val="660" w:hRule="atLeast"/>
          <w:jc w:val="center"/>
        </w:trPr>
        <w:tc>
          <w:tcPr>
            <w:tcW w:w="1034" w:type="dxa"/>
            <w:vMerge w:val="continue"/>
            <w:tcBorders>
              <w:left w:val="single" w:color="auto" w:sz="4" w:space="0"/>
              <w:right w:val="single" w:color="auto" w:sz="4" w:space="0"/>
            </w:tcBorders>
            <w:noWrap w:val="0"/>
            <w:vAlign w:val="center"/>
          </w:tcPr>
          <w:p w14:paraId="189FB6C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528360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4</w:t>
            </w:r>
          </w:p>
        </w:tc>
        <w:tc>
          <w:tcPr>
            <w:tcW w:w="6291" w:type="dxa"/>
            <w:tcBorders>
              <w:top w:val="single" w:color="auto" w:sz="4" w:space="0"/>
              <w:left w:val="single" w:color="auto" w:sz="4" w:space="0"/>
              <w:bottom w:val="single" w:color="auto" w:sz="4" w:space="0"/>
              <w:right w:val="single" w:color="auto" w:sz="4" w:space="0"/>
            </w:tcBorders>
            <w:noWrap w:val="0"/>
            <w:vAlign w:val="center"/>
          </w:tcPr>
          <w:p w14:paraId="77478F43">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投标人具有市场监督管理局颁发的AAA级守合同重信用证书的得3分，AA级守合同重信用证书的得2分，A级守合同重信用证书的得1分，没有不得分。（投标文件中提供有效证书复印件并加盖投标人公章。）</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FDB812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0-3分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B4FAC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2F6A67A2">
        <w:tblPrEx>
          <w:tblCellMar>
            <w:top w:w="0" w:type="dxa"/>
            <w:left w:w="108" w:type="dxa"/>
            <w:bottom w:w="0" w:type="dxa"/>
            <w:right w:w="108" w:type="dxa"/>
          </w:tblCellMar>
        </w:tblPrEx>
        <w:trPr>
          <w:trHeight w:val="660" w:hRule="atLeast"/>
          <w:jc w:val="center"/>
        </w:trPr>
        <w:tc>
          <w:tcPr>
            <w:tcW w:w="1034" w:type="dxa"/>
            <w:vMerge w:val="continue"/>
            <w:tcBorders>
              <w:left w:val="single" w:color="auto" w:sz="4" w:space="0"/>
              <w:bottom w:val="single" w:color="auto" w:sz="4" w:space="0"/>
              <w:right w:val="single" w:color="auto" w:sz="4" w:space="0"/>
            </w:tcBorders>
            <w:noWrap w:val="0"/>
            <w:vAlign w:val="center"/>
          </w:tcPr>
          <w:p w14:paraId="15B2502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3187BC8">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5</w:t>
            </w:r>
          </w:p>
        </w:tc>
        <w:tc>
          <w:tcPr>
            <w:tcW w:w="6291" w:type="dxa"/>
            <w:tcBorders>
              <w:top w:val="single" w:color="auto" w:sz="4" w:space="0"/>
              <w:left w:val="single" w:color="auto" w:sz="4" w:space="0"/>
              <w:bottom w:val="single" w:color="auto" w:sz="4" w:space="0"/>
              <w:right w:val="single" w:color="auto" w:sz="4" w:space="0"/>
            </w:tcBorders>
            <w:noWrap w:val="0"/>
            <w:vAlign w:val="center"/>
          </w:tcPr>
          <w:p w14:paraId="00BD9CD4">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投标人或投标人合作供应商获得无公害食品认证的得1分，获得有机食品认证的得1分，获得绿色食品认证的得1分，没有不得分。（投标文件中提供有效证书复印件并加盖投标人公章。）</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E1A4C6F">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0-3分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2400C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bl>
    <w:p w14:paraId="027C86D3">
      <w:pPr>
        <w:rPr>
          <w:rFonts w:hint="eastAsia" w:asciiTheme="minorEastAsia" w:hAnsiTheme="minorEastAsia" w:eastAsiaTheme="minorEastAsia" w:cstheme="minorEastAsia"/>
          <w:b/>
          <w:bCs w:val="0"/>
          <w:color w:val="auto"/>
          <w:kern w:val="2"/>
          <w:sz w:val="24"/>
          <w:szCs w:val="24"/>
          <w:highlight w:val="none"/>
          <w:lang w:eastAsia="zh-CN"/>
        </w:rPr>
      </w:pPr>
      <w:r>
        <w:rPr>
          <w:rFonts w:hint="eastAsia" w:asciiTheme="minorEastAsia" w:hAnsiTheme="minorEastAsia" w:eastAsiaTheme="minorEastAsia" w:cstheme="minorEastAsia"/>
          <w:b/>
          <w:bCs w:val="0"/>
          <w:color w:val="auto"/>
          <w:kern w:val="2"/>
          <w:sz w:val="24"/>
          <w:szCs w:val="24"/>
          <w:highlight w:val="none"/>
          <w:lang w:eastAsia="zh-CN"/>
        </w:rPr>
        <w:br w:type="page"/>
      </w:r>
    </w:p>
    <w:p w14:paraId="4E4B902F">
      <w:pPr>
        <w:keepNext w:val="0"/>
        <w:keepLines w:val="0"/>
        <w:pageBreakBefore w:val="0"/>
        <w:widowControl w:val="0"/>
        <w:kinsoku/>
        <w:wordWrap/>
        <w:overflowPunct/>
        <w:topLinePunct w:val="0"/>
        <w:autoSpaceDE/>
        <w:autoSpaceDN/>
        <w:bidi w:val="0"/>
        <w:adjustRightInd/>
        <w:snapToGrid/>
        <w:spacing w:after="0" w:line="480" w:lineRule="exact"/>
        <w:ind w:left="0" w:leftChars="0" w:firstLine="482" w:firstLineChars="200"/>
        <w:jc w:val="both"/>
        <w:textAlignment w:val="auto"/>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lang w:val="en-US" w:eastAsia="zh-CN"/>
        </w:rPr>
        <w:t>2</w:t>
      </w:r>
      <w:r>
        <w:rPr>
          <w:rFonts w:hint="eastAsia" w:asciiTheme="minorEastAsia" w:hAnsiTheme="minorEastAsia" w:eastAsiaTheme="minorEastAsia" w:cstheme="minorEastAsia"/>
          <w:b/>
          <w:bCs w:val="0"/>
          <w:color w:val="auto"/>
          <w:kern w:val="2"/>
          <w:sz w:val="24"/>
          <w:szCs w:val="24"/>
          <w:highlight w:val="none"/>
          <w:lang w:eastAsia="zh-CN"/>
        </w:rPr>
        <w:t>）</w:t>
      </w:r>
      <w:r>
        <w:rPr>
          <w:rFonts w:hint="eastAsia" w:asciiTheme="minorEastAsia" w:hAnsiTheme="minorEastAsia" w:eastAsiaTheme="minorEastAsia" w:cstheme="minorEastAsia"/>
          <w:b/>
          <w:bCs w:val="0"/>
          <w:color w:val="auto"/>
          <w:kern w:val="2"/>
          <w:sz w:val="24"/>
          <w:szCs w:val="24"/>
          <w:highlight w:val="none"/>
        </w:rPr>
        <w:t>技术部分（60分）</w:t>
      </w:r>
    </w:p>
    <w:tbl>
      <w:tblPr>
        <w:tblStyle w:val="30"/>
        <w:tblW w:w="9841" w:type="dxa"/>
        <w:jc w:val="center"/>
        <w:tblLayout w:type="fixed"/>
        <w:tblCellMar>
          <w:top w:w="0" w:type="dxa"/>
          <w:left w:w="108" w:type="dxa"/>
          <w:bottom w:w="0" w:type="dxa"/>
          <w:right w:w="108" w:type="dxa"/>
        </w:tblCellMar>
      </w:tblPr>
      <w:tblGrid>
        <w:gridCol w:w="1094"/>
        <w:gridCol w:w="590"/>
        <w:gridCol w:w="6187"/>
        <w:gridCol w:w="983"/>
        <w:gridCol w:w="987"/>
      </w:tblGrid>
      <w:tr w14:paraId="7B942CEE">
        <w:tblPrEx>
          <w:tblCellMar>
            <w:top w:w="0" w:type="dxa"/>
            <w:left w:w="108" w:type="dxa"/>
            <w:bottom w:w="0" w:type="dxa"/>
            <w:right w:w="108" w:type="dxa"/>
          </w:tblCellMar>
        </w:tblPrEx>
        <w:trPr>
          <w:trHeight w:val="812" w:hRule="atLeast"/>
          <w:jc w:val="center"/>
        </w:trPr>
        <w:tc>
          <w:tcPr>
            <w:tcW w:w="1094" w:type="dxa"/>
            <w:tcBorders>
              <w:top w:val="single" w:color="auto" w:sz="8" w:space="0"/>
              <w:left w:val="single" w:color="auto" w:sz="8" w:space="0"/>
              <w:bottom w:val="single" w:color="auto" w:sz="4" w:space="0"/>
              <w:right w:val="single" w:color="auto" w:sz="4" w:space="0"/>
            </w:tcBorders>
            <w:noWrap w:val="0"/>
            <w:vAlign w:val="center"/>
          </w:tcPr>
          <w:p w14:paraId="1F2E40F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序号</w:t>
            </w:r>
          </w:p>
        </w:tc>
        <w:tc>
          <w:tcPr>
            <w:tcW w:w="6777" w:type="dxa"/>
            <w:gridSpan w:val="2"/>
            <w:tcBorders>
              <w:top w:val="single" w:color="auto" w:sz="8" w:space="0"/>
              <w:left w:val="nil"/>
              <w:bottom w:val="single" w:color="auto" w:sz="4" w:space="0"/>
              <w:right w:val="single" w:color="auto" w:sz="4" w:space="0"/>
            </w:tcBorders>
            <w:noWrap w:val="0"/>
            <w:vAlign w:val="center"/>
          </w:tcPr>
          <w:p w14:paraId="0BE0FC3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评分内容和标准</w:t>
            </w:r>
          </w:p>
        </w:tc>
        <w:tc>
          <w:tcPr>
            <w:tcW w:w="983" w:type="dxa"/>
            <w:tcBorders>
              <w:top w:val="single" w:color="auto" w:sz="8" w:space="0"/>
              <w:left w:val="nil"/>
              <w:bottom w:val="single" w:color="auto" w:sz="4" w:space="0"/>
              <w:right w:val="single" w:color="auto" w:sz="4" w:space="0"/>
            </w:tcBorders>
            <w:noWrap w:val="0"/>
            <w:vAlign w:val="center"/>
          </w:tcPr>
          <w:p w14:paraId="0560127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分值</w:t>
            </w:r>
          </w:p>
          <w:p w14:paraId="3B4572B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区间</w:t>
            </w:r>
          </w:p>
        </w:tc>
        <w:tc>
          <w:tcPr>
            <w:tcW w:w="987" w:type="dxa"/>
            <w:tcBorders>
              <w:top w:val="single" w:color="auto" w:sz="8" w:space="0"/>
              <w:left w:val="single" w:color="auto" w:sz="4" w:space="0"/>
              <w:bottom w:val="single" w:color="auto" w:sz="4" w:space="0"/>
              <w:right w:val="single" w:color="auto" w:sz="8" w:space="0"/>
            </w:tcBorders>
            <w:noWrap w:val="0"/>
            <w:vAlign w:val="center"/>
          </w:tcPr>
          <w:p w14:paraId="1F2731F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主观/客观分</w:t>
            </w:r>
          </w:p>
        </w:tc>
      </w:tr>
      <w:tr w14:paraId="3809D8D5">
        <w:tblPrEx>
          <w:tblCellMar>
            <w:top w:w="0" w:type="dxa"/>
            <w:left w:w="108" w:type="dxa"/>
            <w:bottom w:w="0" w:type="dxa"/>
            <w:right w:w="108" w:type="dxa"/>
          </w:tblCellMar>
        </w:tblPrEx>
        <w:trPr>
          <w:trHeight w:val="1177"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vAlign w:val="center"/>
          </w:tcPr>
          <w:p w14:paraId="20C1A3B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技术</w:t>
            </w:r>
          </w:p>
          <w:p w14:paraId="011C58A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（60分）</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DA3BB8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6</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437E9F97">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公司管理制度及供货质量控制制度：公司管理制度及供货质量控制制度的健全及合理性。制度与公司实际相符，内容全面而简要，可操作性强等。</w:t>
            </w:r>
          </w:p>
          <w:p w14:paraId="7C42B2F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方案完善、完全满足或超出项目需求的，得3-4分；</w:t>
            </w:r>
          </w:p>
          <w:p w14:paraId="34DB310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基本满足项目需求的得，视方案优秀程度得2-3分；</w:t>
            </w:r>
          </w:p>
          <w:p w14:paraId="7B43C20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73A9A79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未提供相关服务方案的不得分。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69780C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652AB7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7E9F9CD9">
        <w:tblPrEx>
          <w:tblCellMar>
            <w:top w:w="0" w:type="dxa"/>
            <w:left w:w="108" w:type="dxa"/>
            <w:bottom w:w="0" w:type="dxa"/>
            <w:right w:w="108" w:type="dxa"/>
          </w:tblCellMar>
        </w:tblPrEx>
        <w:trPr>
          <w:trHeight w:val="1177" w:hRule="atLeast"/>
          <w:jc w:val="center"/>
        </w:trPr>
        <w:tc>
          <w:tcPr>
            <w:tcW w:w="1094" w:type="dxa"/>
            <w:vMerge w:val="continue"/>
            <w:tcBorders>
              <w:left w:val="single" w:color="auto" w:sz="4" w:space="0"/>
              <w:right w:val="single" w:color="auto" w:sz="4" w:space="0"/>
            </w:tcBorders>
            <w:noWrap w:val="0"/>
            <w:vAlign w:val="center"/>
          </w:tcPr>
          <w:p w14:paraId="633DBBA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724D0C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42BF6DA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根据供应商制定的配送方案包括食品的储存、运输、检测等方案。</w:t>
            </w:r>
          </w:p>
          <w:p w14:paraId="694639E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方案完善、完全满足或超出项目需求的，得3-4分；</w:t>
            </w:r>
          </w:p>
          <w:p w14:paraId="6C5EE50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基本满足项目需求的得，视方案优秀程度得2-3分；</w:t>
            </w:r>
          </w:p>
          <w:p w14:paraId="375F16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5E08F3D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未提供相关服务方案的不得分。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AAB0A6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49B10B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33D3D82F">
        <w:tblPrEx>
          <w:tblCellMar>
            <w:top w:w="0" w:type="dxa"/>
            <w:left w:w="108" w:type="dxa"/>
            <w:bottom w:w="0" w:type="dxa"/>
            <w:right w:w="108" w:type="dxa"/>
          </w:tblCellMar>
        </w:tblPrEx>
        <w:trPr>
          <w:trHeight w:val="72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1E2574F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1A96443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04AA716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对供货突发事件（天气、交通等因素）时的应急预案及相应的措施，内容包括邀约人需要变更配送量、配送时间、配送地点等。</w:t>
            </w:r>
          </w:p>
          <w:p w14:paraId="3135A6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方案完善、完全满足或超出项目需求的，得3-4分；</w:t>
            </w:r>
          </w:p>
          <w:p w14:paraId="308417A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基本满足项目需求的得，视方案优秀程度得2-3分；</w:t>
            </w:r>
          </w:p>
          <w:p w14:paraId="63BC540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6F23F38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未提供相关服务方案的不得分。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CEC10A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12BD1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35F19080">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1A8802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2341408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9</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0E6B762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承诺补货、退货、换货响应送到时间1小时内得4分；1个半小时内得3分；2个小时内得1分；2小时外不得分。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82461E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929A2E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31A03A3A">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5BB2C9F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1303DC2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10</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6F23C47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项目负责人、技术力量安排及项目组人员上岗证等综合评定。（根据投标人针对本项目有无专职负责人员对每日对供应的货品进行品控，配送人员安排、从业人员健康证等情况综合评定）优秀3-4分，良好2-3分，一般1分。</w:t>
            </w:r>
          </w:p>
          <w:p w14:paraId="2174D27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要求配送人员态度友善、制定微笑服务相关考核，并提供承诺书（加盖公章）的，得1分。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8B8202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0-5分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CD1828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7FDD3440">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8D2067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40BC24E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11</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3DDC5AB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1、投标人具有冷藏运输车辆，箱式货车提供1辆得1分，冷藏车提供1辆得1分，最高得4分。</w:t>
            </w:r>
          </w:p>
          <w:p w14:paraId="3E21125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（1、本项目拟投入车辆为自有车辆或租赁车辆。</w:t>
            </w:r>
          </w:p>
          <w:p w14:paraId="36DEE78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投入车辆为自有车辆的，自有车辆行驶证中所有人必须为投标人单位名称或法定代表人姓名且必须在年审有效期内（须与投标人营业执照中法定代表人姓名一致）。3、投入车辆为租赁车辆的，须提供租赁合同原件扫描件。4、车辆实景照片须体现车牌，冷藏车车牌和制冷设备须体现在一张照片上。）</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316E81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BE1BA0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0A07B730">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6B9C58B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2048DB2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12</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3CF8F90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根据投标人配备的专职配送驾驶员情况综合打分。提供身份证、驾驶证、健康证、人员社保证明原件扫描件（以近3个月内投标单位缴纳证明为准）或劳动合同扫描件。</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AB6750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0-3分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C29922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2422D5A7">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6B71D5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5A95711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13</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22818E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食品安全情况：提供有效期内的“食品安全责任险”保单，得1分；保额在500万元（含）以上的得2分；保额在1000万元（含）以上的得3分；保额在3000万元（含）以上的得4分；保额在5000万元（含）以上的得5分；</w:t>
            </w:r>
          </w:p>
          <w:p w14:paraId="15BFC91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未提供不得分。（投标文件附有效期内的保单原件扫描件）</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5426DB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0-6分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0C70B3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65D917DF">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701BFF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3E8C52D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14</w:t>
            </w:r>
          </w:p>
        </w:tc>
        <w:tc>
          <w:tcPr>
            <w:tcW w:w="6187" w:type="dxa"/>
            <w:tcBorders>
              <w:top w:val="single" w:color="auto" w:sz="4" w:space="0"/>
              <w:left w:val="single" w:color="auto" w:sz="4" w:space="0"/>
              <w:bottom w:val="single" w:color="auto" w:sz="4" w:space="0"/>
              <w:right w:val="single" w:color="auto" w:sz="4" w:space="0"/>
            </w:tcBorders>
            <w:noWrap w:val="0"/>
            <w:vAlign w:val="top"/>
          </w:tcPr>
          <w:p w14:paraId="0CBC32A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检测设备配备：有独立检测室，得1分；配备农药残留快速测试仪的，得2分；按规范开展检测工作，提供近1年检测记录的，得2分。（提供图片及购置的发票复印件，开票日期需早于公告发布日期，否则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079105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0-5分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85FD90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45C2EA07">
        <w:tblPrEx>
          <w:tblCellMar>
            <w:top w:w="0" w:type="dxa"/>
            <w:left w:w="108" w:type="dxa"/>
            <w:bottom w:w="0" w:type="dxa"/>
            <w:right w:w="108" w:type="dxa"/>
          </w:tblCellMar>
        </w:tblPrEx>
        <w:trPr>
          <w:trHeight w:val="2097"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51E7C35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5F0DEED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15</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2C5F884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对本项目的合理化建议。</w:t>
            </w:r>
          </w:p>
          <w:p w14:paraId="5C16B38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合理化建议完善、完全满足或超出项目需求的，得3分；</w:t>
            </w:r>
          </w:p>
          <w:p w14:paraId="59D30737">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基本满足项目需求的得，视方案优秀程度得2分；</w:t>
            </w:r>
          </w:p>
          <w:p w14:paraId="313D606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34DDF41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未提供相关合理化建议的不得分。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74E9EF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0-3分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CE9BEC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21D3EB11">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56C82D3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46DF36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16</w:t>
            </w:r>
          </w:p>
        </w:tc>
        <w:tc>
          <w:tcPr>
            <w:tcW w:w="6187" w:type="dxa"/>
            <w:tcBorders>
              <w:top w:val="single" w:color="auto" w:sz="4" w:space="0"/>
              <w:left w:val="single" w:color="auto" w:sz="4" w:space="0"/>
              <w:bottom w:val="single" w:color="auto" w:sz="4" w:space="0"/>
              <w:right w:val="single" w:color="auto" w:sz="4" w:space="0"/>
            </w:tcBorders>
            <w:noWrap w:val="0"/>
            <w:vAlign w:val="center"/>
          </w:tcPr>
          <w:p w14:paraId="1E64852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产品质量保证情况（根据质保期限、可实现程度、提供优惠等情况） </w:t>
            </w:r>
          </w:p>
          <w:p w14:paraId="2CCD2B7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方案完善、完全满足或超出项目需求的，得4-5分；</w:t>
            </w:r>
          </w:p>
          <w:p w14:paraId="72FF01A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基本满足项目需求的得，视方案优秀程度得2-3分；</w:t>
            </w:r>
          </w:p>
          <w:p w14:paraId="4400356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6D2F819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未提供相关质量保证方案的不得分。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7EC8C9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0-5分</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538894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1C66511C">
        <w:tblPrEx>
          <w:tblCellMar>
            <w:top w:w="0" w:type="dxa"/>
            <w:left w:w="108" w:type="dxa"/>
            <w:bottom w:w="0" w:type="dxa"/>
            <w:right w:w="108" w:type="dxa"/>
          </w:tblCellMar>
        </w:tblPrEx>
        <w:trPr>
          <w:trHeight w:val="350"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423702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094965B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17</w:t>
            </w:r>
          </w:p>
        </w:tc>
        <w:tc>
          <w:tcPr>
            <w:tcW w:w="6187" w:type="dxa"/>
            <w:tcBorders>
              <w:top w:val="single" w:color="auto" w:sz="4" w:space="0"/>
              <w:left w:val="nil"/>
              <w:bottom w:val="single" w:color="auto" w:sz="4" w:space="0"/>
              <w:right w:val="single" w:color="auto" w:sz="4" w:space="0"/>
            </w:tcBorders>
            <w:noWrap w:val="0"/>
            <w:vAlign w:val="center"/>
          </w:tcPr>
          <w:p w14:paraId="0E1F743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售后服务承诺（根据售后服务方案、措施、响应服务能力等情况）</w:t>
            </w:r>
          </w:p>
          <w:p w14:paraId="1C87B1E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方案完善、完全满足或超出项目需求的，得4分；</w:t>
            </w:r>
          </w:p>
          <w:p w14:paraId="18A4FED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基本满足项目需求的得，视方案优秀程度得2-3分；</w:t>
            </w:r>
          </w:p>
          <w:p w14:paraId="27DEB98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勉强满足项目需求的，存在部分不够完善合理的，得1分；</w:t>
            </w:r>
          </w:p>
          <w:p w14:paraId="6F9AAD6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未提供相关服务方案的不得分。</w:t>
            </w:r>
          </w:p>
        </w:tc>
        <w:tc>
          <w:tcPr>
            <w:tcW w:w="983" w:type="dxa"/>
            <w:tcBorders>
              <w:top w:val="single" w:color="auto" w:sz="4" w:space="0"/>
              <w:left w:val="nil"/>
              <w:bottom w:val="single" w:color="auto" w:sz="4" w:space="0"/>
              <w:right w:val="single" w:color="auto" w:sz="4" w:space="0"/>
            </w:tcBorders>
            <w:noWrap w:val="0"/>
            <w:vAlign w:val="center"/>
          </w:tcPr>
          <w:p w14:paraId="4E55153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8" w:space="0"/>
            </w:tcBorders>
            <w:noWrap w:val="0"/>
            <w:vAlign w:val="center"/>
          </w:tcPr>
          <w:p w14:paraId="0284C7B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主观分</w:t>
            </w:r>
          </w:p>
        </w:tc>
      </w:tr>
      <w:tr w14:paraId="69211CB4">
        <w:tblPrEx>
          <w:tblCellMar>
            <w:top w:w="0" w:type="dxa"/>
            <w:left w:w="108" w:type="dxa"/>
            <w:bottom w:w="0" w:type="dxa"/>
            <w:right w:w="108" w:type="dxa"/>
          </w:tblCellMar>
        </w:tblPrEx>
        <w:trPr>
          <w:trHeight w:val="79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61860B7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1A02558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18</w:t>
            </w:r>
          </w:p>
        </w:tc>
        <w:tc>
          <w:tcPr>
            <w:tcW w:w="6187" w:type="dxa"/>
            <w:tcBorders>
              <w:top w:val="single" w:color="auto" w:sz="4" w:space="0"/>
              <w:left w:val="nil"/>
              <w:bottom w:val="single" w:color="auto" w:sz="4" w:space="0"/>
              <w:right w:val="single" w:color="auto" w:sz="4" w:space="0"/>
            </w:tcBorders>
            <w:noWrap w:val="0"/>
            <w:vAlign w:val="center"/>
          </w:tcPr>
          <w:p w14:paraId="61E7208A">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投标人拥有可正常使用的冷藏库、冷冻库。</w:t>
            </w:r>
          </w:p>
          <w:p w14:paraId="3F745F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冷藏库在500㎡以下的得1分，500㎡以上1000㎡以下得2分，1000㎡及以上的得3分。</w:t>
            </w:r>
          </w:p>
          <w:p w14:paraId="3348BF1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冷冻库在100 m³以下的得0.5分，100 m³以上500 m³以下得1分，500m³及以上的得2分。</w:t>
            </w:r>
          </w:p>
          <w:p w14:paraId="4B87698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投标文件中自有的提供冷库建造合同及冷库建造发票复印件并加盖公章，租赁的提供租赁合同及租赁发票复印件并加盖公章，否则不得分。</w:t>
            </w:r>
          </w:p>
        </w:tc>
        <w:tc>
          <w:tcPr>
            <w:tcW w:w="983" w:type="dxa"/>
            <w:tcBorders>
              <w:top w:val="single" w:color="auto" w:sz="4" w:space="0"/>
              <w:left w:val="nil"/>
              <w:bottom w:val="single" w:color="auto" w:sz="4" w:space="0"/>
              <w:right w:val="single" w:color="auto" w:sz="4" w:space="0"/>
            </w:tcBorders>
            <w:noWrap w:val="0"/>
            <w:vAlign w:val="center"/>
          </w:tcPr>
          <w:p w14:paraId="2143203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0-5分</w:t>
            </w:r>
          </w:p>
        </w:tc>
        <w:tc>
          <w:tcPr>
            <w:tcW w:w="987" w:type="dxa"/>
            <w:tcBorders>
              <w:top w:val="single" w:color="auto" w:sz="4" w:space="0"/>
              <w:left w:val="single" w:color="auto" w:sz="4" w:space="0"/>
              <w:bottom w:val="single" w:color="auto" w:sz="4" w:space="0"/>
              <w:right w:val="single" w:color="auto" w:sz="8" w:space="0"/>
            </w:tcBorders>
            <w:noWrap w:val="0"/>
            <w:vAlign w:val="center"/>
          </w:tcPr>
          <w:p w14:paraId="7A8BDEF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r w14:paraId="769A08F8">
        <w:tblPrEx>
          <w:tblCellMar>
            <w:top w:w="0" w:type="dxa"/>
            <w:left w:w="108" w:type="dxa"/>
            <w:bottom w:w="0" w:type="dxa"/>
            <w:right w:w="108" w:type="dxa"/>
          </w:tblCellMar>
        </w:tblPrEx>
        <w:trPr>
          <w:trHeight w:val="812"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553E675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6DA288D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19</w:t>
            </w:r>
          </w:p>
        </w:tc>
        <w:tc>
          <w:tcPr>
            <w:tcW w:w="6187" w:type="dxa"/>
            <w:tcBorders>
              <w:top w:val="single" w:color="auto" w:sz="4" w:space="0"/>
              <w:left w:val="nil"/>
              <w:bottom w:val="single" w:color="auto" w:sz="4" w:space="0"/>
              <w:right w:val="single" w:color="auto" w:sz="4" w:space="0"/>
            </w:tcBorders>
            <w:noWrap w:val="0"/>
            <w:vAlign w:val="center"/>
          </w:tcPr>
          <w:p w14:paraId="091A949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bookmarkStart w:id="367" w:name="_GoBack"/>
            <w:r>
              <w:rPr>
                <w:rFonts w:hint="eastAsia" w:asciiTheme="minorEastAsia" w:hAnsiTheme="minorEastAsia" w:eastAsiaTheme="minorEastAsia" w:cstheme="minorEastAsia"/>
                <w:color w:val="auto"/>
                <w:kern w:val="2"/>
                <w:sz w:val="24"/>
                <w:szCs w:val="24"/>
                <w:highlight w:val="none"/>
                <w:lang w:val="en-US" w:eastAsia="zh-CN"/>
              </w:rPr>
              <w:t>投标人响应本地化服务能力情况。</w:t>
            </w:r>
          </w:p>
          <w:p w14:paraId="14B43D3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投标人在本地行政区内有配送场地的得2分。</w:t>
            </w:r>
          </w:p>
          <w:p w14:paraId="033E03F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投标人配送场地距离食堂直线距离20公里（含）以内的得2分；投标人配送场地距离食堂直线距离30公里（含）以内的得1分；投标人配送场地距离食堂直线距离30公里以上的不得分。</w:t>
            </w:r>
          </w:p>
          <w:p w14:paraId="40C5C60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（证明材料：提供配送场地与食堂的高德地图距离截图并加盖投标人公章，否则不得分）</w:t>
            </w:r>
            <w:bookmarkEnd w:id="367"/>
          </w:p>
        </w:tc>
        <w:tc>
          <w:tcPr>
            <w:tcW w:w="983" w:type="dxa"/>
            <w:tcBorders>
              <w:top w:val="single" w:color="auto" w:sz="4" w:space="0"/>
              <w:left w:val="nil"/>
              <w:bottom w:val="single" w:color="auto" w:sz="4" w:space="0"/>
              <w:right w:val="single" w:color="auto" w:sz="4" w:space="0"/>
            </w:tcBorders>
            <w:noWrap w:val="0"/>
            <w:vAlign w:val="center"/>
          </w:tcPr>
          <w:p w14:paraId="3295AE2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0-4分</w:t>
            </w:r>
          </w:p>
        </w:tc>
        <w:tc>
          <w:tcPr>
            <w:tcW w:w="987" w:type="dxa"/>
            <w:tcBorders>
              <w:top w:val="single" w:color="auto" w:sz="4" w:space="0"/>
              <w:left w:val="single" w:color="auto" w:sz="4" w:space="0"/>
              <w:bottom w:val="single" w:color="auto" w:sz="4" w:space="0"/>
              <w:right w:val="single" w:color="auto" w:sz="8" w:space="0"/>
            </w:tcBorders>
            <w:noWrap w:val="0"/>
            <w:vAlign w:val="center"/>
          </w:tcPr>
          <w:p w14:paraId="79C240D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客观分</w:t>
            </w:r>
          </w:p>
        </w:tc>
      </w:tr>
    </w:tbl>
    <w:p w14:paraId="77072873">
      <w:pPr>
        <w:adjustRightInd w:val="0"/>
        <w:spacing w:after="0" w:line="360" w:lineRule="auto"/>
        <w:ind w:firstLine="482" w:firstLineChars="200"/>
        <w:jc w:val="both"/>
        <w:rPr>
          <w:rFonts w:hint="eastAsia" w:ascii="宋体" w:hAnsi="宋体" w:eastAsia="宋体" w:cs="宋体"/>
          <w:b/>
          <w:bCs/>
          <w:color w:val="auto"/>
          <w:highlight w:val="none"/>
          <w:lang w:eastAsia="zh-CN"/>
        </w:rPr>
      </w:pPr>
      <w:r>
        <w:rPr>
          <w:rFonts w:hint="eastAsia" w:ascii="宋体" w:hAnsi="宋体" w:eastAsia="宋体" w:cs="宋体"/>
          <w:b/>
          <w:bCs/>
          <w:color w:val="auto"/>
          <w:kern w:val="2"/>
          <w:highlight w:val="none"/>
          <w:lang w:val="en-US" w:eastAsia="zh-CN" w:bidi="ar"/>
        </w:rPr>
        <w:t>2、</w:t>
      </w:r>
      <w:r>
        <w:rPr>
          <w:rFonts w:hint="eastAsia" w:ascii="宋体" w:hAnsi="宋体" w:eastAsia="宋体" w:cs="宋体"/>
          <w:b/>
          <w:bCs/>
          <w:color w:val="auto"/>
          <w:kern w:val="2"/>
          <w:highlight w:val="none"/>
          <w:lang w:bidi="ar"/>
        </w:rPr>
        <w:t>价格</w:t>
      </w:r>
      <w:r>
        <w:rPr>
          <w:rFonts w:hint="eastAsia" w:ascii="宋体" w:hAnsi="宋体" w:eastAsia="宋体" w:cs="宋体"/>
          <w:b/>
          <w:bCs/>
          <w:color w:val="auto"/>
          <w:kern w:val="2"/>
          <w:highlight w:val="none"/>
          <w:lang w:val="en-US" w:eastAsia="zh-CN" w:bidi="ar"/>
        </w:rPr>
        <w:t>部分</w:t>
      </w:r>
      <w:r>
        <w:rPr>
          <w:rFonts w:hint="eastAsia" w:ascii="宋体" w:hAnsi="宋体" w:eastAsia="宋体" w:cs="宋体"/>
          <w:b/>
          <w:bCs/>
          <w:color w:val="auto"/>
          <w:kern w:val="2"/>
          <w:highlight w:val="none"/>
          <w:lang w:bidi="ar"/>
        </w:rPr>
        <w:t>（</w:t>
      </w:r>
      <w:r>
        <w:rPr>
          <w:rFonts w:hint="eastAsia" w:ascii="宋体" w:hAnsi="宋体" w:eastAsia="宋体" w:cs="宋体"/>
          <w:b/>
          <w:bCs/>
          <w:color w:val="auto"/>
          <w:kern w:val="2"/>
          <w:highlight w:val="none"/>
          <w:lang w:val="en-US" w:eastAsia="zh-CN" w:bidi="ar"/>
        </w:rPr>
        <w:t>2</w:t>
      </w:r>
      <w:r>
        <w:rPr>
          <w:rFonts w:hint="eastAsia" w:ascii="宋体" w:hAnsi="宋体" w:eastAsia="宋体" w:cs="宋体"/>
          <w:b/>
          <w:bCs/>
          <w:color w:val="auto"/>
          <w:kern w:val="2"/>
          <w:highlight w:val="none"/>
          <w:lang w:bidi="ar"/>
        </w:rPr>
        <w:t>0分）</w:t>
      </w:r>
      <w:r>
        <w:rPr>
          <w:rFonts w:hint="eastAsia" w:ascii="宋体" w:hAnsi="宋体" w:eastAsia="宋体" w:cs="宋体"/>
          <w:b/>
          <w:bCs/>
          <w:color w:val="auto"/>
          <w:kern w:val="2"/>
          <w:highlight w:val="none"/>
          <w:lang w:eastAsia="zh-CN" w:bidi="ar"/>
        </w:rPr>
        <w:t>：</w:t>
      </w:r>
    </w:p>
    <w:tbl>
      <w:tblPr>
        <w:tblStyle w:val="3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880"/>
      </w:tblGrid>
      <w:tr w14:paraId="79EF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14:paraId="4325A16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eastAsia="宋体" w:cs="宋体"/>
                <w:color w:val="auto"/>
                <w:highlight w:val="none"/>
              </w:rPr>
            </w:pPr>
            <w:r>
              <w:rPr>
                <w:rFonts w:hint="eastAsia" w:ascii="宋体" w:hAnsi="宋体" w:eastAsia="宋体" w:cs="宋体"/>
                <w:color w:val="auto"/>
                <w:kern w:val="2"/>
                <w:highlight w:val="none"/>
                <w:lang w:bidi="ar"/>
              </w:rPr>
              <w:t>价格权值</w:t>
            </w:r>
          </w:p>
        </w:tc>
        <w:tc>
          <w:tcPr>
            <w:tcW w:w="6880" w:type="dxa"/>
            <w:tcBorders>
              <w:top w:val="single" w:color="auto" w:sz="4" w:space="0"/>
              <w:left w:val="single" w:color="auto" w:sz="4" w:space="0"/>
              <w:bottom w:val="single" w:color="auto" w:sz="4" w:space="0"/>
              <w:right w:val="single" w:color="auto" w:sz="4" w:space="0"/>
            </w:tcBorders>
            <w:shd w:val="clear" w:color="auto" w:fill="auto"/>
            <w:vAlign w:val="center"/>
          </w:tcPr>
          <w:p w14:paraId="44FCBA4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eastAsia="宋体" w:cs="宋体"/>
                <w:color w:val="auto"/>
                <w:highlight w:val="none"/>
              </w:rPr>
            </w:pPr>
            <w:r>
              <w:rPr>
                <w:rFonts w:hint="eastAsia" w:ascii="宋体" w:hAnsi="宋体" w:eastAsia="宋体" w:cs="宋体"/>
                <w:color w:val="auto"/>
                <w:kern w:val="2"/>
                <w:highlight w:val="none"/>
                <w:lang w:bidi="ar"/>
              </w:rPr>
              <w:t>计    算    方    法</w:t>
            </w:r>
          </w:p>
        </w:tc>
      </w:tr>
      <w:tr w14:paraId="0EE4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14:paraId="3B49257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eastAsia="宋体" w:cs="宋体"/>
                <w:color w:val="auto"/>
                <w:highlight w:val="none"/>
              </w:rPr>
            </w:pPr>
            <w:r>
              <w:rPr>
                <w:rFonts w:hint="eastAsia" w:ascii="宋体" w:hAnsi="宋体" w:eastAsia="宋体" w:cs="宋体"/>
                <w:color w:val="auto"/>
                <w:kern w:val="2"/>
                <w:highlight w:val="none"/>
                <w:lang w:bidi="ar"/>
              </w:rPr>
              <w:t>价格权值=0.</w:t>
            </w:r>
            <w:r>
              <w:rPr>
                <w:rFonts w:hint="eastAsia" w:ascii="宋体" w:hAnsi="宋体" w:eastAsia="宋体" w:cs="宋体"/>
                <w:color w:val="auto"/>
                <w:kern w:val="2"/>
                <w:highlight w:val="none"/>
                <w:lang w:val="en-US" w:eastAsia="zh-CN" w:bidi="ar"/>
              </w:rPr>
              <w:t>2</w:t>
            </w:r>
            <w:r>
              <w:rPr>
                <w:rFonts w:hint="eastAsia" w:ascii="宋体" w:hAnsi="宋体" w:eastAsia="宋体" w:cs="宋体"/>
                <w:color w:val="auto"/>
                <w:kern w:val="2"/>
                <w:highlight w:val="none"/>
                <w:lang w:bidi="ar"/>
              </w:rPr>
              <w:t>0</w:t>
            </w:r>
          </w:p>
        </w:tc>
        <w:tc>
          <w:tcPr>
            <w:tcW w:w="6880" w:type="dxa"/>
            <w:tcBorders>
              <w:top w:val="single" w:color="auto" w:sz="4" w:space="0"/>
              <w:left w:val="single" w:color="auto" w:sz="4" w:space="0"/>
              <w:bottom w:val="single" w:color="auto" w:sz="4" w:space="0"/>
              <w:right w:val="single" w:color="auto" w:sz="4" w:space="0"/>
            </w:tcBorders>
            <w:shd w:val="clear" w:color="auto" w:fill="auto"/>
            <w:vAlign w:val="center"/>
          </w:tcPr>
          <w:p w14:paraId="789DCDD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最低有效响应价格为评标基准价</w:t>
            </w:r>
          </w:p>
          <w:p w14:paraId="7047333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响应报价得分=(评标基准价／响应报价)×价格权值×100</w:t>
            </w:r>
          </w:p>
          <w:p w14:paraId="1208BD1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（计算得分保留小数点后2位）</w:t>
            </w:r>
          </w:p>
          <w:p w14:paraId="6A8CF0A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宋体" w:hAnsi="宋体" w:eastAsia="宋体" w:cs="宋体"/>
                <w:color w:val="auto"/>
                <w:highlight w:val="none"/>
              </w:rPr>
            </w:pPr>
            <w:r>
              <w:rPr>
                <w:rFonts w:hint="eastAsia" w:ascii="宋体" w:hAnsi="宋体" w:eastAsia="宋体" w:cs="宋体"/>
                <w:color w:val="auto"/>
                <w:highlight w:val="none"/>
              </w:rPr>
              <w:t>评标过程中，不得去掉报价中的最高报价和最低报价。</w:t>
            </w:r>
          </w:p>
        </w:tc>
      </w:tr>
    </w:tbl>
    <w:p w14:paraId="48995D31">
      <w:pPr>
        <w:tabs>
          <w:tab w:val="left" w:pos="851"/>
        </w:tabs>
        <w:adjustRightInd w:val="0"/>
        <w:snapToGrid w:val="0"/>
        <w:spacing w:after="0" w:line="460" w:lineRule="exact"/>
        <w:ind w:firstLine="480" w:firstLineChars="200"/>
        <w:jc w:val="both"/>
        <w:rPr>
          <w:rFonts w:hint="eastAsia" w:ascii="宋体" w:hAnsi="宋体" w:eastAsia="宋体" w:cs="宋体"/>
          <w:snapToGrid w:val="0"/>
          <w:color w:val="auto"/>
          <w:kern w:val="28"/>
          <w:highlight w:val="none"/>
        </w:rPr>
      </w:pPr>
      <w:r>
        <w:rPr>
          <w:rFonts w:hint="eastAsia" w:ascii="宋体" w:hAnsi="宋体" w:eastAsia="宋体" w:cs="宋体"/>
          <w:snapToGrid w:val="0"/>
          <w:color w:val="auto"/>
          <w:kern w:val="28"/>
          <w:highlight w:val="none"/>
        </w:rPr>
        <w:t>注：例如：各投标人投标报价为：</w:t>
      </w:r>
      <w:r>
        <w:rPr>
          <w:rFonts w:hint="eastAsia" w:ascii="宋体" w:hAnsi="宋体" w:eastAsia="宋体" w:cs="宋体"/>
          <w:snapToGrid w:val="0"/>
          <w:color w:val="auto"/>
          <w:kern w:val="28"/>
          <w:highlight w:val="none"/>
          <w:lang w:val="en-US" w:eastAsia="zh-CN"/>
        </w:rPr>
        <w:t>95</w:t>
      </w:r>
      <w:r>
        <w:rPr>
          <w:rFonts w:hint="eastAsia" w:ascii="宋体" w:hAnsi="宋体" w:eastAsia="宋体" w:cs="宋体"/>
          <w:snapToGrid w:val="0"/>
          <w:color w:val="auto"/>
          <w:kern w:val="28"/>
          <w:highlight w:val="none"/>
        </w:rPr>
        <w:t>%、</w:t>
      </w:r>
      <w:r>
        <w:rPr>
          <w:rFonts w:hint="eastAsia" w:ascii="宋体" w:hAnsi="宋体" w:eastAsia="宋体" w:cs="宋体"/>
          <w:snapToGrid w:val="0"/>
          <w:color w:val="auto"/>
          <w:kern w:val="28"/>
          <w:highlight w:val="none"/>
          <w:lang w:val="en-US" w:eastAsia="zh-CN"/>
        </w:rPr>
        <w:t>96</w:t>
      </w:r>
      <w:r>
        <w:rPr>
          <w:rFonts w:hint="eastAsia" w:ascii="宋体" w:hAnsi="宋体" w:eastAsia="宋体" w:cs="宋体"/>
          <w:snapToGrid w:val="0"/>
          <w:color w:val="auto"/>
          <w:kern w:val="28"/>
          <w:highlight w:val="none"/>
        </w:rPr>
        <w:t>%、</w:t>
      </w:r>
      <w:r>
        <w:rPr>
          <w:rFonts w:hint="eastAsia" w:ascii="宋体" w:hAnsi="宋体" w:eastAsia="宋体" w:cs="宋体"/>
          <w:snapToGrid w:val="0"/>
          <w:color w:val="auto"/>
          <w:kern w:val="28"/>
          <w:highlight w:val="none"/>
          <w:lang w:val="en-US" w:eastAsia="zh-CN"/>
        </w:rPr>
        <w:t>97</w:t>
      </w:r>
      <w:r>
        <w:rPr>
          <w:rFonts w:hint="eastAsia" w:ascii="宋体" w:hAnsi="宋体" w:eastAsia="宋体" w:cs="宋体"/>
          <w:snapToGrid w:val="0"/>
          <w:color w:val="auto"/>
          <w:kern w:val="28"/>
          <w:highlight w:val="none"/>
        </w:rPr>
        <w:t>%时，则</w:t>
      </w:r>
      <w:r>
        <w:rPr>
          <w:rFonts w:hint="eastAsia" w:ascii="宋体" w:hAnsi="宋体" w:eastAsia="宋体" w:cs="宋体"/>
          <w:snapToGrid w:val="0"/>
          <w:color w:val="auto"/>
          <w:kern w:val="28"/>
          <w:highlight w:val="none"/>
          <w:lang w:val="en-US" w:eastAsia="zh-CN"/>
        </w:rPr>
        <w:t>95</w:t>
      </w:r>
      <w:r>
        <w:rPr>
          <w:rFonts w:hint="eastAsia" w:ascii="宋体" w:hAnsi="宋体" w:eastAsia="宋体" w:cs="宋体"/>
          <w:snapToGrid w:val="0"/>
          <w:color w:val="auto"/>
          <w:kern w:val="28"/>
          <w:highlight w:val="none"/>
        </w:rPr>
        <w:t>%为评标基准价。</w:t>
      </w:r>
    </w:p>
    <w:p w14:paraId="6905AA8D">
      <w:pPr>
        <w:tabs>
          <w:tab w:val="left" w:pos="851"/>
        </w:tabs>
        <w:adjustRightInd w:val="0"/>
        <w:snapToGrid w:val="0"/>
        <w:spacing w:after="0" w:line="460" w:lineRule="exact"/>
        <w:ind w:firstLine="480" w:firstLineChars="200"/>
        <w:jc w:val="both"/>
        <w:rPr>
          <w:rFonts w:ascii="宋体" w:hAnsi="宋体" w:eastAsia="宋体" w:cs="宋体"/>
          <w:snapToGrid w:val="0"/>
          <w:color w:val="auto"/>
          <w:kern w:val="28"/>
          <w:highlight w:val="none"/>
        </w:rPr>
      </w:pPr>
      <w:r>
        <w:rPr>
          <w:rFonts w:hint="eastAsia" w:ascii="宋体" w:hAnsi="宋体" w:eastAsia="宋体" w:cs="宋体"/>
          <w:snapToGrid w:val="0"/>
          <w:color w:val="auto"/>
          <w:kern w:val="28"/>
          <w:highlight w:val="none"/>
        </w:rPr>
        <w:t>备注：1、评分条款中涉及的业绩、荣誉、人员、社保等分公司均有效。</w:t>
      </w:r>
    </w:p>
    <w:p w14:paraId="12EE4B47">
      <w:pPr>
        <w:tabs>
          <w:tab w:val="left" w:pos="851"/>
        </w:tabs>
        <w:adjustRightInd w:val="0"/>
        <w:snapToGrid w:val="0"/>
        <w:spacing w:after="0" w:line="460" w:lineRule="exact"/>
        <w:ind w:firstLine="480" w:firstLineChars="200"/>
        <w:jc w:val="both"/>
        <w:rPr>
          <w:rFonts w:ascii="宋体" w:hAnsi="宋体" w:eastAsia="宋体" w:cs="宋体"/>
          <w:snapToGrid w:val="0"/>
          <w:color w:val="auto"/>
          <w:kern w:val="28"/>
          <w:highlight w:val="none"/>
        </w:rPr>
      </w:pPr>
      <w:r>
        <w:rPr>
          <w:rFonts w:hint="eastAsia" w:ascii="宋体" w:hAnsi="宋体" w:eastAsia="宋体" w:cs="宋体"/>
          <w:snapToGrid w:val="0"/>
          <w:color w:val="auto"/>
          <w:kern w:val="28"/>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ECA994C">
      <w:pPr>
        <w:tabs>
          <w:tab w:val="left" w:pos="851"/>
        </w:tabs>
        <w:adjustRightInd w:val="0"/>
        <w:snapToGrid w:val="0"/>
        <w:spacing w:after="0" w:line="460" w:lineRule="exact"/>
        <w:ind w:firstLine="480" w:firstLineChars="200"/>
        <w:jc w:val="both"/>
        <w:rPr>
          <w:rFonts w:ascii="宋体" w:hAnsi="宋体" w:eastAsia="宋体" w:cs="宋体"/>
          <w:color w:val="auto"/>
          <w:highlight w:val="none"/>
        </w:rPr>
      </w:pPr>
      <w:r>
        <w:rPr>
          <w:rFonts w:hint="eastAsia" w:ascii="宋体" w:hAnsi="宋体" w:eastAsia="宋体" w:cs="宋体"/>
          <w:snapToGrid w:val="0"/>
          <w:color w:val="auto"/>
          <w:kern w:val="28"/>
          <w:highlight w:val="none"/>
        </w:rPr>
        <w:t>3、投标人编制投标文件（商务技术文件部分）时，建议按此目录（序号和内容）提供评标标准相应的商务技术资料。</w:t>
      </w:r>
    </w:p>
    <w:p w14:paraId="5D49C0AB">
      <w:pPr>
        <w:rPr>
          <w:rFonts w:ascii="宋体" w:hAnsi="宋体" w:eastAsia="宋体" w:cs="宋体"/>
          <w:color w:val="auto"/>
          <w:highlight w:val="none"/>
        </w:rPr>
      </w:pPr>
    </w:p>
    <w:p w14:paraId="63648709">
      <w:pPr>
        <w:rPr>
          <w:rFonts w:ascii="宋体" w:hAnsi="宋体" w:eastAsia="宋体" w:cs="宋体"/>
          <w:color w:val="auto"/>
          <w:highlight w:val="none"/>
        </w:rPr>
      </w:pPr>
      <w:r>
        <w:rPr>
          <w:rFonts w:hint="eastAsia" w:ascii="宋体" w:hAnsi="宋体" w:eastAsia="宋体" w:cs="宋体"/>
          <w:color w:val="auto"/>
          <w:highlight w:val="none"/>
        </w:rPr>
        <w:br w:type="page"/>
      </w:r>
    </w:p>
    <w:p w14:paraId="30702CA3">
      <w:pPr>
        <w:pStyle w:val="3"/>
        <w:rPr>
          <w:rFonts w:ascii="宋体" w:hAnsi="宋体" w:eastAsia="宋体" w:cs="宋体"/>
          <w:color w:val="auto"/>
          <w:highlight w:val="none"/>
        </w:rPr>
      </w:pPr>
      <w:r>
        <w:rPr>
          <w:rFonts w:hint="eastAsia" w:ascii="宋体" w:hAnsi="宋体" w:eastAsia="宋体" w:cs="宋体"/>
          <w:color w:val="auto"/>
          <w:highlight w:val="none"/>
        </w:rPr>
        <w:t>一、评标方法</w:t>
      </w:r>
    </w:p>
    <w:p w14:paraId="5CDC57D2">
      <w:pPr>
        <w:spacing w:line="360" w:lineRule="auto"/>
        <w:ind w:firstLine="472" w:firstLineChars="196"/>
        <w:rPr>
          <w:rFonts w:ascii="宋体" w:hAnsi="宋体" w:eastAsia="宋体" w:cs="宋体"/>
          <w:color w:val="auto"/>
          <w:highlight w:val="none"/>
        </w:rPr>
      </w:pPr>
      <w:r>
        <w:rPr>
          <w:rStyle w:val="43"/>
          <w:rFonts w:hint="eastAsia" w:ascii="宋体" w:hAnsi="宋体" w:eastAsia="宋体" w:cs="宋体"/>
          <w:color w:val="auto"/>
          <w:highlight w:val="none"/>
        </w:rPr>
        <w:t>1.本项目采用综合评分法。</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48C510CF">
      <w:pPr>
        <w:pStyle w:val="3"/>
        <w:rPr>
          <w:rFonts w:ascii="宋体" w:hAnsi="宋体" w:eastAsia="宋体" w:cs="宋体"/>
          <w:color w:val="auto"/>
          <w:sz w:val="24"/>
          <w:highlight w:val="none"/>
        </w:rPr>
      </w:pPr>
      <w:r>
        <w:rPr>
          <w:rFonts w:hint="eastAsia" w:ascii="宋体" w:hAnsi="宋体" w:eastAsia="宋体" w:cs="宋体"/>
          <w:color w:val="auto"/>
          <w:highlight w:val="none"/>
        </w:rPr>
        <w:t>二、评标标准</w:t>
      </w:r>
    </w:p>
    <w:p w14:paraId="70757AA5">
      <w:pPr>
        <w:spacing w:line="360" w:lineRule="auto"/>
        <w:ind w:firstLine="482" w:firstLineChars="200"/>
        <w:rPr>
          <w:rFonts w:ascii="宋体" w:hAnsi="宋体" w:eastAsia="宋体" w:cs="宋体"/>
          <w:b/>
          <w:color w:val="auto"/>
          <w:highlight w:val="none"/>
        </w:rPr>
      </w:pPr>
      <w:r>
        <w:rPr>
          <w:rStyle w:val="43"/>
          <w:rFonts w:hint="eastAsia" w:ascii="宋体" w:hAnsi="宋体" w:eastAsia="宋体" w:cs="宋体"/>
          <w:color w:val="auto"/>
          <w:highlight w:val="none"/>
        </w:rPr>
        <w:t>2. 评标标准：</w:t>
      </w:r>
      <w:r>
        <w:rPr>
          <w:rFonts w:hint="eastAsia" w:ascii="宋体" w:hAnsi="宋体" w:eastAsia="宋体" w:cs="宋体"/>
          <w:color w:val="auto"/>
          <w:highlight w:val="none"/>
        </w:rPr>
        <w:t>见评标办法前附表。</w:t>
      </w:r>
    </w:p>
    <w:p w14:paraId="07237B7A">
      <w:pPr>
        <w:pStyle w:val="3"/>
        <w:rPr>
          <w:rFonts w:ascii="宋体" w:hAnsi="宋体" w:eastAsia="宋体" w:cs="宋体"/>
          <w:color w:val="auto"/>
          <w:highlight w:val="none"/>
        </w:rPr>
      </w:pPr>
      <w:r>
        <w:rPr>
          <w:rFonts w:hint="eastAsia" w:ascii="宋体" w:hAnsi="宋体" w:eastAsia="宋体" w:cs="宋体"/>
          <w:color w:val="auto"/>
          <w:highlight w:val="none"/>
        </w:rPr>
        <w:t>三、评标程序</w:t>
      </w:r>
    </w:p>
    <w:p w14:paraId="352A60ED">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3.1符合性审查。</w:t>
      </w:r>
      <w:r>
        <w:rPr>
          <w:rFonts w:hint="eastAsia" w:ascii="宋体" w:hAnsi="宋体" w:eastAsia="宋体" w:cs="宋体"/>
          <w:color w:val="auto"/>
          <w:kern w:val="2"/>
          <w:highlight w:val="none"/>
        </w:rPr>
        <w:t>评标委员会应当对符合资格的投标人的投标文件进行符合性审查，以确定其是否满足招标文件的实质性要求。不满足招标文件的实质性要求的，投标无效。</w:t>
      </w:r>
    </w:p>
    <w:p w14:paraId="61EDFD88">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3.2 比较与评价。</w:t>
      </w:r>
      <w:r>
        <w:rPr>
          <w:rFonts w:hint="eastAsia" w:ascii="宋体" w:hAnsi="宋体" w:eastAsia="宋体" w:cs="宋体"/>
          <w:color w:val="auto"/>
          <w:kern w:val="2"/>
          <w:highlight w:val="none"/>
        </w:rPr>
        <w:t>评标委员会应当按照招标文件中规定的评标方法和标准，对符合性审查合格的投标文件进行商务和技术评估，综合比较与评价。</w:t>
      </w:r>
    </w:p>
    <w:p w14:paraId="4103CCC6">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3.3汇总商务技术得分。</w:t>
      </w:r>
      <w:r>
        <w:rPr>
          <w:rFonts w:hint="eastAsia" w:ascii="宋体" w:hAnsi="宋体" w:eastAsia="宋体" w:cs="宋体"/>
          <w:color w:val="auto"/>
          <w:kern w:val="2"/>
          <w:highlight w:val="none"/>
        </w:rPr>
        <w:t>评标委员会各成员应当独立对每个投标人的商务和技术文件进行评价，并汇总商务技术得分情况。</w:t>
      </w:r>
    </w:p>
    <w:p w14:paraId="148451D4">
      <w:pPr>
        <w:widowControl w:val="0"/>
        <w:adjustRightInd w:val="0"/>
        <w:spacing w:after="0" w:line="480" w:lineRule="exact"/>
        <w:ind w:firstLine="422" w:firstLineChars="175"/>
        <w:jc w:val="both"/>
        <w:rPr>
          <w:rFonts w:ascii="宋体" w:hAnsi="宋体" w:eastAsia="宋体" w:cs="宋体"/>
          <w:b/>
          <w:bCs/>
          <w:color w:val="auto"/>
          <w:kern w:val="2"/>
          <w:highlight w:val="none"/>
        </w:rPr>
      </w:pPr>
      <w:r>
        <w:rPr>
          <w:rFonts w:hint="eastAsia" w:ascii="宋体" w:hAnsi="宋体" w:eastAsia="宋体" w:cs="宋体"/>
          <w:b/>
          <w:bCs/>
          <w:color w:val="auto"/>
          <w:kern w:val="2"/>
          <w:highlight w:val="none"/>
        </w:rPr>
        <w:t>3.4报价评审。</w:t>
      </w:r>
    </w:p>
    <w:p w14:paraId="574B0F8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3.4.1投标文件报价出现前后不一致的，按照下列规定修正：</w:t>
      </w:r>
    </w:p>
    <w:p w14:paraId="0636B71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3.4.1.1投标文件中开标一览表（报价表）内容与投标文件中相应内容不一致的，以开标一览表（报价表）为准；</w:t>
      </w:r>
    </w:p>
    <w:p w14:paraId="579626A5">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3.4.1.2大写金额和小写金额不一致的，以大写金额为准；</w:t>
      </w:r>
    </w:p>
    <w:p w14:paraId="043166C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3.4.1.3单价金额小数点或者百分比有明显错位的，以开标一览表的总价为准，并修改单价；</w:t>
      </w:r>
    </w:p>
    <w:p w14:paraId="2BC9337B">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3.4.1.4总价金额与按单价汇总金额不一致的，以单价金额计算结果为准。</w:t>
      </w:r>
    </w:p>
    <w:p w14:paraId="489BCB1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3.4.1.5同时出现两种以上不一致的，按照3.4.1规定的顺序修正。修正后的报价参照财政部第87号令《政府采购货物和服务招标投标管理办法》第五十一条第二款的规定经投标人确认后产生约束力。</w:t>
      </w:r>
    </w:p>
    <w:p w14:paraId="57D2EA52">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3.4.2投标文件出现不是唯一的、有选择性投标报价的，投标无效。</w:t>
      </w:r>
    </w:p>
    <w:p w14:paraId="5349C8E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3.4.3投标报价超过招标文件中规定的预算金额或者最高限价的，投标无效。</w:t>
      </w:r>
    </w:p>
    <w:p w14:paraId="061AA96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7C0189">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3.5排序与推荐。</w:t>
      </w:r>
      <w:r>
        <w:rPr>
          <w:rFonts w:hint="eastAsia" w:ascii="宋体" w:hAnsi="宋体" w:eastAsia="宋体" w:cs="宋体"/>
          <w:color w:val="auto"/>
          <w:kern w:val="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0EA05C">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3.6编写评标报告。</w:t>
      </w:r>
      <w:r>
        <w:rPr>
          <w:rFonts w:hint="eastAsia" w:ascii="宋体" w:hAnsi="宋体" w:eastAsia="宋体" w:cs="宋体"/>
          <w:color w:val="auto"/>
          <w:kern w:val="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4F3C2C">
      <w:pPr>
        <w:pStyle w:val="3"/>
        <w:rPr>
          <w:rFonts w:ascii="宋体" w:hAnsi="宋体" w:eastAsia="宋体" w:cs="宋体"/>
          <w:color w:val="auto"/>
          <w:highlight w:val="none"/>
        </w:rPr>
      </w:pPr>
      <w:r>
        <w:rPr>
          <w:rFonts w:hint="eastAsia" w:ascii="宋体" w:hAnsi="宋体" w:eastAsia="宋体" w:cs="宋体"/>
          <w:color w:val="auto"/>
          <w:highlight w:val="none"/>
        </w:rPr>
        <w:t>四、评标中的其他事项</w:t>
      </w:r>
    </w:p>
    <w:p w14:paraId="5A267D54">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4.1投标人澄清、说明或者补正。</w:t>
      </w:r>
      <w:r>
        <w:rPr>
          <w:rFonts w:hint="eastAsia" w:ascii="宋体" w:hAnsi="宋体" w:eastAsia="宋体" w:cs="宋体"/>
          <w:color w:val="auto"/>
          <w:kern w:val="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0156CB">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4.2投标无效。</w:t>
      </w:r>
      <w:r>
        <w:rPr>
          <w:rFonts w:hint="eastAsia" w:ascii="宋体" w:hAnsi="宋体" w:eastAsia="宋体" w:cs="宋体"/>
          <w:color w:val="auto"/>
          <w:kern w:val="2"/>
          <w:highlight w:val="none"/>
        </w:rPr>
        <w:t>有下列情形之一的，投标无效：</w:t>
      </w:r>
    </w:p>
    <w:p w14:paraId="4A04E08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4.2.1投标人不具备招标文件中规定的资格要求的（投标人未提供有效的资格文件的，视为投标人不具备招标文件中规定的资格要求）；</w:t>
      </w:r>
    </w:p>
    <w:p w14:paraId="08600F7F">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4.2.2投标文件未按照招标文件要求签署、盖章的；</w:t>
      </w:r>
    </w:p>
    <w:p w14:paraId="01266B2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4.2.3投标文件含有采购人不能接受的附加条件的；</w:t>
      </w:r>
    </w:p>
    <w:p w14:paraId="58C38705">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4.2.4投标文件中承诺的投标有效期少于招标文件中载明的投标有效期的；</w:t>
      </w:r>
    </w:p>
    <w:p w14:paraId="056A5C7B">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4.2.5投标文件出现不是唯一的、有选择性投标报价的；</w:t>
      </w:r>
    </w:p>
    <w:p w14:paraId="30A03F5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4.2.6投标报价超过招标文件中规定的预算金额或者最高限价的；</w:t>
      </w:r>
    </w:p>
    <w:p w14:paraId="18DEB432">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4.2.7报价明显低于其他通过符合性审查投标人的报价，有可能影响产品质量或者不能诚信履约的，未能按要求提供书面说明或者提交相关证明材料，不能证明其报价合理性的；</w:t>
      </w:r>
    </w:p>
    <w:p w14:paraId="59EBCC9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4.2.8投标人对根据修正原则修正后的报价不确认的；</w:t>
      </w:r>
    </w:p>
    <w:p w14:paraId="78E0A9A8">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4.2.9投标人提供虚假材料投标的；</w:t>
      </w:r>
    </w:p>
    <w:p w14:paraId="4EC1127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4.2.10投标人有恶意串通、妨碍其他投标人的竞争行为、损害采购人或者其他投标人的合法权益情形的；</w:t>
      </w:r>
    </w:p>
    <w:p w14:paraId="721A787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4.2.11投标人未在电子交易平台传输递交投标文件的，投标无效；</w:t>
      </w:r>
    </w:p>
    <w:p w14:paraId="117DE9E8">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4.2.12投标文件不满足招标文件的其它实质性要求的；</w:t>
      </w:r>
    </w:p>
    <w:p w14:paraId="7BB26684">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4.2.13法律、法规、规章（适用本市的）及省级以上规范性文件（适用本市的）规定的其他无效情形。</w:t>
      </w:r>
    </w:p>
    <w:p w14:paraId="396979AD">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5.废标。</w:t>
      </w:r>
      <w:r>
        <w:rPr>
          <w:rFonts w:hint="eastAsia" w:ascii="宋体" w:hAnsi="宋体" w:eastAsia="宋体" w:cs="宋体"/>
          <w:color w:val="auto"/>
          <w:kern w:val="2"/>
          <w:highlight w:val="none"/>
        </w:rPr>
        <w:t>参照《中华人民共和国政府采购法》第三十六条之规定，在采购中，出现下列情形之一的，应予废标：</w:t>
      </w:r>
    </w:p>
    <w:p w14:paraId="13E28557">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5.1符合专业条件的供应商或者对招标文件作实质响应的供应商不足3家的；</w:t>
      </w:r>
    </w:p>
    <w:p w14:paraId="20662AF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5.2出现影响采购公正的违法、违规行为的；</w:t>
      </w:r>
    </w:p>
    <w:p w14:paraId="6CE90F8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5.3投标人的报价均超过了采购预算，</w:t>
      </w:r>
      <w:r>
        <w:rPr>
          <w:rFonts w:hint="eastAsia" w:ascii="宋体" w:hAnsi="宋体" w:eastAsia="宋体" w:cs="宋体"/>
          <w:color w:val="auto"/>
          <w:highlight w:val="none"/>
        </w:rPr>
        <w:t>采购人</w:t>
      </w:r>
      <w:r>
        <w:rPr>
          <w:rFonts w:hint="eastAsia" w:ascii="宋体" w:hAnsi="宋体" w:eastAsia="宋体" w:cs="宋体"/>
          <w:color w:val="auto"/>
          <w:kern w:val="2"/>
          <w:highlight w:val="none"/>
        </w:rPr>
        <w:t>不能支付的；</w:t>
      </w:r>
    </w:p>
    <w:p w14:paraId="17643CB3">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5.4因重大变故，采购任务取消的。</w:t>
      </w:r>
    </w:p>
    <w:p w14:paraId="757B0EC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废标后，代理机构应当将废标理由通知所有投标人。</w:t>
      </w:r>
    </w:p>
    <w:p w14:paraId="308D320A">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6.修改招标文件，重新组织采购活动。</w:t>
      </w:r>
      <w:r>
        <w:rPr>
          <w:rFonts w:hint="eastAsia" w:ascii="宋体" w:hAnsi="宋体" w:eastAsia="宋体" w:cs="宋体"/>
          <w:color w:val="auto"/>
          <w:kern w:val="2"/>
          <w:highlight w:val="none"/>
        </w:rPr>
        <w:t>评标委员会发现招标文件存在歧义、重大缺陷导致评标工作无法进行，或者招标文件内容违反国家有关强制性规定的，将停止评标工作，并与采购人、代理机构沟通并作书面记录。采购人、代理机构确认后，将修改招标文件，重新组织采购活动。</w:t>
      </w:r>
    </w:p>
    <w:p w14:paraId="1E4FDB18">
      <w:pPr>
        <w:widowControl w:val="0"/>
        <w:adjustRightInd w:val="0"/>
        <w:spacing w:after="0" w:line="480" w:lineRule="exact"/>
        <w:ind w:firstLine="422" w:firstLineChars="175"/>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7.重新开展采购。</w:t>
      </w:r>
      <w:r>
        <w:rPr>
          <w:rFonts w:hint="eastAsia" w:ascii="宋体" w:hAnsi="宋体" w:eastAsia="宋体" w:cs="宋体"/>
          <w:color w:val="auto"/>
          <w:kern w:val="2"/>
          <w:highlight w:val="none"/>
        </w:rPr>
        <w:t>有政府采购法第七十一条、第七十二条规定的违法行为之一，影响或者可能影响中标、成交结果的，依照下列规定处理：</w:t>
      </w:r>
    </w:p>
    <w:p w14:paraId="31E037D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7.1未确定中标或者中标人的，终止本次采购活动，重新开展采购活动。</w:t>
      </w:r>
    </w:p>
    <w:p w14:paraId="15BF3782">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62E3E2E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7.3采购合同已签订但尚未履行的，撤销合同，从合格的中标或者成交候选人中另行确定中标或者中标人；没有合格的中标或者成交候选人的，重新开展采购活动。</w:t>
      </w:r>
    </w:p>
    <w:p w14:paraId="06A9F94C">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7.4采购合同已经履行，给采购人、供应商造成损失的，由责任人承担赔偿责任。</w:t>
      </w:r>
    </w:p>
    <w:p w14:paraId="7601E959">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7.5采购当事人有其他违反政府采购法或者政府采购法实施条例等法律法规规定的行为，经改正后仍然影响或者可能影响中标、成交结果或者依法被认定为中标、成交无效的，依照7.1-7.4规定处理。</w:t>
      </w:r>
    </w:p>
    <w:p w14:paraId="3864C773">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1DA65BF5">
      <w:pPr>
        <w:pStyle w:val="2"/>
        <w:jc w:val="center"/>
        <w:rPr>
          <w:rFonts w:ascii="宋体" w:hAnsi="宋体" w:eastAsia="宋体" w:cs="宋体"/>
          <w:color w:val="auto"/>
          <w:kern w:val="2"/>
          <w:highlight w:val="none"/>
        </w:rPr>
      </w:pPr>
      <w:r>
        <w:rPr>
          <w:rFonts w:hint="eastAsia" w:ascii="宋体" w:hAnsi="宋体" w:eastAsia="宋体" w:cs="宋体"/>
          <w:color w:val="auto"/>
          <w:highlight w:val="none"/>
        </w:rPr>
        <w:t>第五部分 拟签订的合同文本</w:t>
      </w:r>
    </w:p>
    <w:p w14:paraId="098BBEA6">
      <w:pPr>
        <w:pStyle w:val="18"/>
        <w:snapToGrid w:val="0"/>
        <w:spacing w:line="360" w:lineRule="auto"/>
        <w:ind w:firstLine="0" w:firstLineChars="0"/>
        <w:jc w:val="center"/>
        <w:rPr>
          <w:rFonts w:cs="宋体"/>
          <w:color w:val="auto"/>
          <w:highlight w:val="none"/>
        </w:rPr>
      </w:pPr>
      <w:r>
        <w:rPr>
          <w:rFonts w:hint="eastAsia" w:cs="宋体"/>
          <w:color w:val="auto"/>
          <w:highlight w:val="none"/>
        </w:rPr>
        <w:t>（参考样本</w:t>
      </w:r>
      <w:r>
        <w:rPr>
          <w:rFonts w:hint="eastAsia" w:cs="宋体"/>
          <w:color w:val="auto"/>
          <w:highlight w:val="none"/>
          <w:lang w:eastAsia="zh-CN"/>
        </w:rPr>
        <w:t>，</w:t>
      </w:r>
      <w:r>
        <w:rPr>
          <w:rFonts w:hint="eastAsia" w:cs="宋体"/>
          <w:color w:val="auto"/>
          <w:highlight w:val="none"/>
          <w:lang w:val="en-US" w:eastAsia="zh-CN"/>
        </w:rPr>
        <w:t>最终以实际签订为准</w:t>
      </w:r>
      <w:r>
        <w:rPr>
          <w:rFonts w:hint="eastAsia" w:cs="宋体"/>
          <w:color w:val="auto"/>
          <w:highlight w:val="none"/>
        </w:rPr>
        <w:t>）</w:t>
      </w:r>
    </w:p>
    <w:p w14:paraId="0268033A">
      <w:pPr>
        <w:pStyle w:val="18"/>
        <w:snapToGrid w:val="0"/>
        <w:spacing w:line="360" w:lineRule="auto"/>
        <w:rPr>
          <w:rFonts w:cs="宋体"/>
          <w:color w:val="auto"/>
          <w:highlight w:val="none"/>
        </w:rPr>
      </w:pPr>
      <w:r>
        <w:rPr>
          <w:rFonts w:hint="eastAsia" w:cs="宋体"/>
          <w:color w:val="auto"/>
          <w:highlight w:val="none"/>
        </w:rPr>
        <w:t>合同编号：</w:t>
      </w:r>
    </w:p>
    <w:p w14:paraId="48BE1084">
      <w:pPr>
        <w:pStyle w:val="18"/>
        <w:snapToGrid w:val="0"/>
        <w:spacing w:line="360" w:lineRule="auto"/>
        <w:rPr>
          <w:rFonts w:cs="宋体"/>
          <w:color w:val="auto"/>
          <w:highlight w:val="none"/>
        </w:rPr>
      </w:pPr>
      <w:r>
        <w:rPr>
          <w:rFonts w:hint="eastAsia" w:cs="宋体"/>
          <w:color w:val="auto"/>
          <w:highlight w:val="none"/>
        </w:rPr>
        <w:t>签订地点：                                  签订时间：20* 年  月  日</w:t>
      </w:r>
    </w:p>
    <w:p w14:paraId="114E429D">
      <w:pPr>
        <w:pStyle w:val="18"/>
        <w:snapToGrid w:val="0"/>
        <w:spacing w:line="360" w:lineRule="auto"/>
        <w:rPr>
          <w:rFonts w:cs="宋体"/>
          <w:color w:val="auto"/>
          <w:highlight w:val="none"/>
        </w:rPr>
      </w:pPr>
      <w:r>
        <w:rPr>
          <w:rFonts w:hint="eastAsia" w:cs="宋体"/>
          <w:color w:val="auto"/>
          <w:highlight w:val="none"/>
        </w:rPr>
        <w:t>项目名称：</w:t>
      </w:r>
    </w:p>
    <w:p w14:paraId="7166197B">
      <w:pPr>
        <w:pStyle w:val="18"/>
        <w:snapToGrid w:val="0"/>
        <w:spacing w:line="360" w:lineRule="auto"/>
        <w:rPr>
          <w:rFonts w:cs="宋体"/>
          <w:color w:val="auto"/>
          <w:highlight w:val="none"/>
        </w:rPr>
      </w:pPr>
      <w:r>
        <w:rPr>
          <w:rFonts w:hint="eastAsia" w:cs="宋体"/>
          <w:color w:val="auto"/>
          <w:highlight w:val="none"/>
        </w:rPr>
        <w:t xml:space="preserve">甲方（需方）：                                     </w:t>
      </w:r>
    </w:p>
    <w:p w14:paraId="559B9D80">
      <w:pPr>
        <w:pStyle w:val="18"/>
        <w:snapToGrid w:val="0"/>
        <w:spacing w:line="360" w:lineRule="auto"/>
        <w:rPr>
          <w:rFonts w:cs="宋体"/>
          <w:color w:val="auto"/>
          <w:highlight w:val="none"/>
        </w:rPr>
      </w:pPr>
      <w:r>
        <w:rPr>
          <w:rFonts w:hint="eastAsia" w:cs="宋体"/>
          <w:color w:val="auto"/>
          <w:highlight w:val="none"/>
        </w:rPr>
        <w:t xml:space="preserve">乙方（供方）：                                     </w:t>
      </w:r>
    </w:p>
    <w:p w14:paraId="34DB6298">
      <w:pPr>
        <w:pStyle w:val="18"/>
        <w:snapToGrid w:val="0"/>
        <w:spacing w:line="360" w:lineRule="auto"/>
        <w:rPr>
          <w:rFonts w:cs="宋体"/>
          <w:color w:val="auto"/>
          <w:highlight w:val="none"/>
        </w:rPr>
      </w:pPr>
      <w:r>
        <w:rPr>
          <w:rFonts w:hint="eastAsia" w:cs="宋体"/>
          <w:color w:val="auto"/>
          <w:highlight w:val="none"/>
        </w:rPr>
        <w:t>供、需双方根据杭州市萧山区                             项目（招标编号-  -  -   ）招标结果和招标文件的要求，并经双方协调一致，订立本采购合同。</w:t>
      </w:r>
    </w:p>
    <w:p w14:paraId="293A1594">
      <w:pPr>
        <w:pStyle w:val="18"/>
        <w:snapToGrid w:val="0"/>
        <w:spacing w:line="360" w:lineRule="auto"/>
        <w:rPr>
          <w:rFonts w:cs="宋体"/>
          <w:color w:val="auto"/>
          <w:highlight w:val="none"/>
        </w:rPr>
      </w:pPr>
      <w:r>
        <w:rPr>
          <w:rFonts w:hint="eastAsia" w:cs="宋体"/>
          <w:color w:val="auto"/>
          <w:highlight w:val="none"/>
        </w:rPr>
        <w:t>一、合同文件：</w:t>
      </w:r>
    </w:p>
    <w:p w14:paraId="38CBC692">
      <w:pPr>
        <w:pStyle w:val="18"/>
        <w:snapToGrid w:val="0"/>
        <w:spacing w:line="360" w:lineRule="auto"/>
        <w:rPr>
          <w:rFonts w:cs="宋体"/>
          <w:color w:val="auto"/>
          <w:highlight w:val="none"/>
        </w:rPr>
      </w:pPr>
      <w:r>
        <w:rPr>
          <w:rFonts w:hint="eastAsia" w:cs="宋体"/>
          <w:color w:val="auto"/>
          <w:highlight w:val="none"/>
        </w:rPr>
        <w:t>1、合同条款。</w:t>
      </w:r>
    </w:p>
    <w:p w14:paraId="0F67157F">
      <w:pPr>
        <w:pStyle w:val="18"/>
        <w:snapToGrid w:val="0"/>
        <w:spacing w:line="360" w:lineRule="auto"/>
        <w:rPr>
          <w:rFonts w:cs="宋体"/>
          <w:color w:val="auto"/>
          <w:highlight w:val="none"/>
        </w:rPr>
      </w:pPr>
      <w:r>
        <w:rPr>
          <w:rFonts w:hint="eastAsia" w:cs="宋体"/>
          <w:color w:val="auto"/>
          <w:highlight w:val="none"/>
        </w:rPr>
        <w:t>2、中标通知书。</w:t>
      </w:r>
    </w:p>
    <w:p w14:paraId="5B29E4AD">
      <w:pPr>
        <w:pStyle w:val="18"/>
        <w:snapToGrid w:val="0"/>
        <w:spacing w:line="360" w:lineRule="auto"/>
        <w:rPr>
          <w:rFonts w:cs="宋体"/>
          <w:color w:val="auto"/>
          <w:highlight w:val="none"/>
        </w:rPr>
      </w:pPr>
      <w:r>
        <w:rPr>
          <w:rFonts w:hint="eastAsia" w:cs="宋体"/>
          <w:color w:val="auto"/>
          <w:highlight w:val="none"/>
        </w:rPr>
        <w:t>3、招标文件。</w:t>
      </w:r>
    </w:p>
    <w:p w14:paraId="69AF014C">
      <w:pPr>
        <w:pStyle w:val="18"/>
        <w:snapToGrid w:val="0"/>
        <w:spacing w:line="360" w:lineRule="auto"/>
        <w:rPr>
          <w:rFonts w:cs="宋体"/>
          <w:color w:val="auto"/>
          <w:highlight w:val="none"/>
        </w:rPr>
      </w:pPr>
      <w:r>
        <w:rPr>
          <w:rFonts w:hint="eastAsia" w:cs="宋体"/>
          <w:color w:val="auto"/>
          <w:highlight w:val="none"/>
        </w:rPr>
        <w:t>4、更正公告。</w:t>
      </w:r>
    </w:p>
    <w:p w14:paraId="265535FF">
      <w:pPr>
        <w:pStyle w:val="18"/>
        <w:snapToGrid w:val="0"/>
        <w:spacing w:line="360" w:lineRule="auto"/>
        <w:rPr>
          <w:rFonts w:cs="宋体"/>
          <w:color w:val="auto"/>
          <w:highlight w:val="none"/>
        </w:rPr>
      </w:pPr>
      <w:r>
        <w:rPr>
          <w:rFonts w:hint="eastAsia" w:cs="宋体"/>
          <w:color w:val="auto"/>
          <w:highlight w:val="none"/>
        </w:rPr>
        <w:t>5、中标单位投标文件。</w:t>
      </w:r>
    </w:p>
    <w:p w14:paraId="369E449D">
      <w:pPr>
        <w:pStyle w:val="18"/>
        <w:snapToGrid w:val="0"/>
        <w:spacing w:line="360" w:lineRule="auto"/>
        <w:rPr>
          <w:rFonts w:cs="宋体"/>
          <w:color w:val="auto"/>
          <w:highlight w:val="none"/>
        </w:rPr>
      </w:pPr>
      <w:r>
        <w:rPr>
          <w:rFonts w:hint="eastAsia" w:cs="宋体"/>
          <w:color w:val="auto"/>
          <w:highlight w:val="none"/>
        </w:rPr>
        <w:t>6、其他。</w:t>
      </w:r>
    </w:p>
    <w:p w14:paraId="01F12995">
      <w:pPr>
        <w:pStyle w:val="18"/>
        <w:snapToGrid w:val="0"/>
        <w:spacing w:line="360" w:lineRule="auto"/>
        <w:rPr>
          <w:rFonts w:cs="宋体"/>
          <w:color w:val="auto"/>
          <w:highlight w:val="none"/>
        </w:rPr>
      </w:pPr>
      <w:r>
        <w:rPr>
          <w:rFonts w:hint="eastAsia" w:cs="宋体"/>
          <w:color w:val="auto"/>
          <w:highlight w:val="none"/>
        </w:rPr>
        <w:t>二、合同金额:合同金额为(大写)_________________元（￥　　　　元）人民币。</w:t>
      </w:r>
    </w:p>
    <w:p w14:paraId="150352DE">
      <w:pPr>
        <w:pStyle w:val="18"/>
        <w:snapToGrid w:val="0"/>
        <w:spacing w:line="360" w:lineRule="auto"/>
        <w:rPr>
          <w:rFonts w:cs="宋体"/>
          <w:color w:val="auto"/>
          <w:highlight w:val="none"/>
        </w:rPr>
      </w:pPr>
      <w:r>
        <w:rPr>
          <w:rFonts w:hint="eastAsia" w:cs="宋体"/>
          <w:color w:val="auto"/>
          <w:highlight w:val="none"/>
        </w:rPr>
        <w:t xml:space="preserve">附《采购项目清单内容》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5C2E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vAlign w:val="center"/>
          </w:tcPr>
          <w:p w14:paraId="1A53F869">
            <w:pPr>
              <w:pStyle w:val="18"/>
              <w:snapToGrid w:val="0"/>
              <w:spacing w:line="360" w:lineRule="auto"/>
              <w:ind w:firstLine="0" w:firstLineChars="0"/>
              <w:jc w:val="center"/>
              <w:rPr>
                <w:rFonts w:cs="宋体"/>
                <w:color w:val="auto"/>
                <w:highlight w:val="none"/>
              </w:rPr>
            </w:pPr>
            <w:r>
              <w:rPr>
                <w:rFonts w:hint="eastAsia" w:cs="宋体"/>
                <w:color w:val="auto"/>
                <w:highlight w:val="none"/>
              </w:rPr>
              <w:t>序号</w:t>
            </w:r>
          </w:p>
        </w:tc>
        <w:tc>
          <w:tcPr>
            <w:tcW w:w="1692" w:type="dxa"/>
            <w:vAlign w:val="center"/>
          </w:tcPr>
          <w:p w14:paraId="5D96CF34">
            <w:pPr>
              <w:pStyle w:val="18"/>
              <w:snapToGrid w:val="0"/>
              <w:spacing w:line="360" w:lineRule="auto"/>
              <w:ind w:firstLine="0" w:firstLineChars="0"/>
              <w:jc w:val="center"/>
              <w:rPr>
                <w:rFonts w:cs="宋体"/>
                <w:color w:val="auto"/>
                <w:highlight w:val="none"/>
              </w:rPr>
            </w:pPr>
            <w:r>
              <w:rPr>
                <w:rFonts w:hint="eastAsia" w:cs="宋体"/>
                <w:color w:val="auto"/>
                <w:highlight w:val="none"/>
              </w:rPr>
              <w:t>采购项目</w:t>
            </w:r>
          </w:p>
        </w:tc>
        <w:tc>
          <w:tcPr>
            <w:tcW w:w="1800" w:type="dxa"/>
            <w:vAlign w:val="center"/>
          </w:tcPr>
          <w:p w14:paraId="6B7F82A8">
            <w:pPr>
              <w:pStyle w:val="18"/>
              <w:snapToGrid w:val="0"/>
              <w:spacing w:line="360" w:lineRule="auto"/>
              <w:ind w:firstLine="0" w:firstLineChars="0"/>
              <w:jc w:val="center"/>
              <w:rPr>
                <w:rFonts w:cs="宋体"/>
                <w:color w:val="auto"/>
                <w:highlight w:val="none"/>
              </w:rPr>
            </w:pPr>
            <w:r>
              <w:rPr>
                <w:rFonts w:hint="eastAsia" w:cs="宋体"/>
                <w:color w:val="auto"/>
                <w:highlight w:val="none"/>
              </w:rPr>
              <w:t>中标内容</w:t>
            </w:r>
          </w:p>
        </w:tc>
        <w:tc>
          <w:tcPr>
            <w:tcW w:w="1758" w:type="dxa"/>
            <w:vAlign w:val="center"/>
          </w:tcPr>
          <w:p w14:paraId="369A40D2">
            <w:pPr>
              <w:pStyle w:val="18"/>
              <w:snapToGrid w:val="0"/>
              <w:spacing w:line="360" w:lineRule="auto"/>
              <w:ind w:firstLine="0" w:firstLineChars="0"/>
              <w:jc w:val="center"/>
              <w:rPr>
                <w:rFonts w:cs="宋体"/>
                <w:color w:val="auto"/>
                <w:highlight w:val="none"/>
              </w:rPr>
            </w:pPr>
            <w:r>
              <w:rPr>
                <w:rFonts w:hint="eastAsia" w:cs="宋体"/>
                <w:color w:val="auto"/>
                <w:highlight w:val="none"/>
              </w:rPr>
              <w:t>中标单价（元）</w:t>
            </w:r>
          </w:p>
        </w:tc>
        <w:tc>
          <w:tcPr>
            <w:tcW w:w="762" w:type="dxa"/>
            <w:vAlign w:val="center"/>
          </w:tcPr>
          <w:p w14:paraId="77D2DF49">
            <w:pPr>
              <w:pStyle w:val="18"/>
              <w:snapToGrid w:val="0"/>
              <w:spacing w:line="360" w:lineRule="auto"/>
              <w:ind w:firstLine="0" w:firstLineChars="0"/>
              <w:jc w:val="center"/>
              <w:rPr>
                <w:rFonts w:cs="宋体"/>
                <w:color w:val="auto"/>
                <w:highlight w:val="none"/>
              </w:rPr>
            </w:pPr>
            <w:r>
              <w:rPr>
                <w:rFonts w:hint="eastAsia" w:cs="宋体"/>
                <w:color w:val="auto"/>
                <w:highlight w:val="none"/>
              </w:rPr>
              <w:t>数量</w:t>
            </w:r>
          </w:p>
        </w:tc>
        <w:tc>
          <w:tcPr>
            <w:tcW w:w="1532" w:type="dxa"/>
            <w:vAlign w:val="center"/>
          </w:tcPr>
          <w:p w14:paraId="6594F374">
            <w:pPr>
              <w:pStyle w:val="18"/>
              <w:snapToGrid w:val="0"/>
              <w:spacing w:line="360" w:lineRule="auto"/>
              <w:ind w:firstLine="0" w:firstLineChars="0"/>
              <w:jc w:val="center"/>
              <w:rPr>
                <w:rFonts w:cs="宋体"/>
                <w:color w:val="auto"/>
                <w:highlight w:val="none"/>
              </w:rPr>
            </w:pPr>
            <w:r>
              <w:rPr>
                <w:rFonts w:hint="eastAsia" w:cs="宋体"/>
                <w:color w:val="auto"/>
                <w:highlight w:val="none"/>
              </w:rPr>
              <w:t>中标总价（元）</w:t>
            </w:r>
          </w:p>
        </w:tc>
      </w:tr>
      <w:tr w14:paraId="7FB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5C7CA1EB">
            <w:pPr>
              <w:pStyle w:val="18"/>
              <w:snapToGrid w:val="0"/>
              <w:spacing w:line="360" w:lineRule="auto"/>
              <w:ind w:firstLine="0" w:firstLineChars="0"/>
              <w:jc w:val="center"/>
              <w:rPr>
                <w:rFonts w:cs="宋体"/>
                <w:color w:val="auto"/>
                <w:highlight w:val="none"/>
              </w:rPr>
            </w:pPr>
            <w:r>
              <w:rPr>
                <w:rFonts w:hint="eastAsia" w:cs="宋体"/>
                <w:color w:val="auto"/>
                <w:highlight w:val="none"/>
              </w:rPr>
              <w:t>1</w:t>
            </w:r>
          </w:p>
        </w:tc>
        <w:tc>
          <w:tcPr>
            <w:tcW w:w="1692" w:type="dxa"/>
            <w:vAlign w:val="center"/>
          </w:tcPr>
          <w:p w14:paraId="54268EF8">
            <w:pPr>
              <w:pStyle w:val="18"/>
              <w:snapToGrid w:val="0"/>
              <w:spacing w:line="360" w:lineRule="auto"/>
              <w:rPr>
                <w:rFonts w:cs="宋体"/>
                <w:color w:val="auto"/>
                <w:highlight w:val="none"/>
              </w:rPr>
            </w:pPr>
          </w:p>
        </w:tc>
        <w:tc>
          <w:tcPr>
            <w:tcW w:w="1800" w:type="dxa"/>
            <w:vAlign w:val="center"/>
          </w:tcPr>
          <w:p w14:paraId="76ED5A81">
            <w:pPr>
              <w:pStyle w:val="18"/>
              <w:snapToGrid w:val="0"/>
              <w:spacing w:line="360" w:lineRule="auto"/>
              <w:rPr>
                <w:rFonts w:cs="宋体"/>
                <w:color w:val="auto"/>
                <w:highlight w:val="none"/>
              </w:rPr>
            </w:pPr>
          </w:p>
        </w:tc>
        <w:tc>
          <w:tcPr>
            <w:tcW w:w="1758" w:type="dxa"/>
            <w:vAlign w:val="center"/>
          </w:tcPr>
          <w:p w14:paraId="6E40C088">
            <w:pPr>
              <w:pStyle w:val="18"/>
              <w:snapToGrid w:val="0"/>
              <w:spacing w:line="360" w:lineRule="auto"/>
              <w:rPr>
                <w:rFonts w:cs="宋体"/>
                <w:color w:val="auto"/>
                <w:highlight w:val="none"/>
              </w:rPr>
            </w:pPr>
          </w:p>
        </w:tc>
        <w:tc>
          <w:tcPr>
            <w:tcW w:w="762" w:type="dxa"/>
            <w:vAlign w:val="center"/>
          </w:tcPr>
          <w:p w14:paraId="6B732742">
            <w:pPr>
              <w:pStyle w:val="18"/>
              <w:snapToGrid w:val="0"/>
              <w:spacing w:line="360" w:lineRule="auto"/>
              <w:rPr>
                <w:rFonts w:cs="宋体"/>
                <w:color w:val="auto"/>
                <w:highlight w:val="none"/>
              </w:rPr>
            </w:pPr>
          </w:p>
        </w:tc>
        <w:tc>
          <w:tcPr>
            <w:tcW w:w="1532" w:type="dxa"/>
          </w:tcPr>
          <w:p w14:paraId="08DDF358">
            <w:pPr>
              <w:pStyle w:val="18"/>
              <w:snapToGrid w:val="0"/>
              <w:spacing w:line="360" w:lineRule="auto"/>
              <w:rPr>
                <w:rFonts w:cs="宋体"/>
                <w:color w:val="auto"/>
                <w:highlight w:val="none"/>
              </w:rPr>
            </w:pPr>
          </w:p>
        </w:tc>
      </w:tr>
      <w:tr w14:paraId="0251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vAlign w:val="center"/>
          </w:tcPr>
          <w:p w14:paraId="04F63B91">
            <w:pPr>
              <w:pStyle w:val="18"/>
              <w:snapToGrid w:val="0"/>
              <w:spacing w:line="360" w:lineRule="auto"/>
              <w:ind w:firstLine="0" w:firstLineChars="0"/>
              <w:jc w:val="center"/>
              <w:rPr>
                <w:rFonts w:cs="宋体"/>
                <w:color w:val="auto"/>
                <w:highlight w:val="none"/>
              </w:rPr>
            </w:pPr>
            <w:r>
              <w:rPr>
                <w:rFonts w:hint="eastAsia" w:cs="宋体"/>
                <w:color w:val="auto"/>
                <w:highlight w:val="none"/>
              </w:rPr>
              <w:t>2</w:t>
            </w:r>
          </w:p>
        </w:tc>
        <w:tc>
          <w:tcPr>
            <w:tcW w:w="1692" w:type="dxa"/>
            <w:vAlign w:val="center"/>
          </w:tcPr>
          <w:p w14:paraId="3F48567F">
            <w:pPr>
              <w:pStyle w:val="18"/>
              <w:snapToGrid w:val="0"/>
              <w:spacing w:line="360" w:lineRule="auto"/>
              <w:rPr>
                <w:rFonts w:cs="宋体"/>
                <w:color w:val="auto"/>
                <w:highlight w:val="none"/>
              </w:rPr>
            </w:pPr>
          </w:p>
        </w:tc>
        <w:tc>
          <w:tcPr>
            <w:tcW w:w="1800" w:type="dxa"/>
            <w:vAlign w:val="center"/>
          </w:tcPr>
          <w:p w14:paraId="66D33D2A">
            <w:pPr>
              <w:pStyle w:val="18"/>
              <w:snapToGrid w:val="0"/>
              <w:spacing w:line="360" w:lineRule="auto"/>
              <w:rPr>
                <w:rFonts w:cs="宋体"/>
                <w:color w:val="auto"/>
                <w:highlight w:val="none"/>
              </w:rPr>
            </w:pPr>
          </w:p>
        </w:tc>
        <w:tc>
          <w:tcPr>
            <w:tcW w:w="1758" w:type="dxa"/>
          </w:tcPr>
          <w:p w14:paraId="5FC6BD50">
            <w:pPr>
              <w:pStyle w:val="18"/>
              <w:snapToGrid w:val="0"/>
              <w:spacing w:line="360" w:lineRule="auto"/>
              <w:rPr>
                <w:rFonts w:cs="宋体"/>
                <w:color w:val="auto"/>
                <w:highlight w:val="none"/>
              </w:rPr>
            </w:pPr>
          </w:p>
        </w:tc>
        <w:tc>
          <w:tcPr>
            <w:tcW w:w="762" w:type="dxa"/>
            <w:vAlign w:val="center"/>
          </w:tcPr>
          <w:p w14:paraId="620B5265">
            <w:pPr>
              <w:pStyle w:val="18"/>
              <w:snapToGrid w:val="0"/>
              <w:spacing w:line="360" w:lineRule="auto"/>
              <w:rPr>
                <w:rFonts w:cs="宋体"/>
                <w:color w:val="auto"/>
                <w:highlight w:val="none"/>
              </w:rPr>
            </w:pPr>
          </w:p>
        </w:tc>
        <w:tc>
          <w:tcPr>
            <w:tcW w:w="1532" w:type="dxa"/>
          </w:tcPr>
          <w:p w14:paraId="464CA20E">
            <w:pPr>
              <w:pStyle w:val="18"/>
              <w:snapToGrid w:val="0"/>
              <w:spacing w:line="360" w:lineRule="auto"/>
              <w:rPr>
                <w:rFonts w:cs="宋体"/>
                <w:color w:val="auto"/>
                <w:highlight w:val="none"/>
              </w:rPr>
            </w:pPr>
          </w:p>
        </w:tc>
      </w:tr>
    </w:tbl>
    <w:p w14:paraId="25A6B397">
      <w:pPr>
        <w:pStyle w:val="18"/>
        <w:snapToGrid w:val="0"/>
        <w:spacing w:line="360" w:lineRule="auto"/>
        <w:rPr>
          <w:rFonts w:cs="宋体"/>
          <w:color w:val="auto"/>
          <w:highlight w:val="none"/>
        </w:rPr>
      </w:pPr>
      <w:r>
        <w:rPr>
          <w:rFonts w:hint="eastAsia" w:cs="宋体"/>
          <w:color w:val="auto"/>
          <w:highlight w:val="none"/>
        </w:rPr>
        <w:t>三、质量要求及供方对质量负责条件和期限：</w:t>
      </w:r>
    </w:p>
    <w:p w14:paraId="436B1C87">
      <w:pPr>
        <w:pStyle w:val="18"/>
        <w:snapToGrid w:val="0"/>
        <w:spacing w:line="360" w:lineRule="auto"/>
        <w:rPr>
          <w:rFonts w:cs="宋体"/>
          <w:color w:val="auto"/>
          <w:highlight w:val="none"/>
        </w:rPr>
      </w:pPr>
      <w:r>
        <w:rPr>
          <w:rFonts w:hint="eastAsia" w:cs="宋体"/>
          <w:color w:val="auto"/>
          <w:highlight w:val="none"/>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62C1DEB7">
      <w:pPr>
        <w:pStyle w:val="18"/>
        <w:snapToGrid w:val="0"/>
        <w:spacing w:line="360" w:lineRule="auto"/>
        <w:rPr>
          <w:rFonts w:cs="宋体"/>
          <w:color w:val="auto"/>
          <w:highlight w:val="none"/>
        </w:rPr>
      </w:pPr>
      <w:r>
        <w:rPr>
          <w:rFonts w:hint="eastAsia" w:cs="宋体"/>
          <w:color w:val="auto"/>
          <w:highlight w:val="none"/>
        </w:rPr>
        <w:t>2、供方在维保期内接到用户单位的电话后，在**小时内响应，**小时以内到现场，**小时以内解决问题，不能修复的，必须采取无偿提供备品、备件或备机等措施，以保证用户单位的正常使用。</w:t>
      </w:r>
    </w:p>
    <w:p w14:paraId="54A8E2AE">
      <w:pPr>
        <w:pStyle w:val="18"/>
        <w:snapToGrid w:val="0"/>
        <w:spacing w:line="360" w:lineRule="auto"/>
        <w:rPr>
          <w:rFonts w:cs="宋体"/>
          <w:color w:val="auto"/>
          <w:highlight w:val="none"/>
        </w:rPr>
      </w:pPr>
      <w:r>
        <w:rPr>
          <w:rFonts w:hint="eastAsia" w:cs="宋体"/>
          <w:color w:val="auto"/>
          <w:highlight w:val="none"/>
        </w:rPr>
        <w:t>四、工期时间__________________________</w:t>
      </w:r>
    </w:p>
    <w:p w14:paraId="29D1CAFB">
      <w:pPr>
        <w:pStyle w:val="18"/>
        <w:snapToGrid w:val="0"/>
        <w:spacing w:line="360" w:lineRule="auto"/>
        <w:rPr>
          <w:rFonts w:cs="宋体"/>
          <w:color w:val="auto"/>
          <w:highlight w:val="none"/>
        </w:rPr>
      </w:pPr>
      <w:r>
        <w:rPr>
          <w:rFonts w:hint="eastAsia" w:cs="宋体"/>
          <w:color w:val="auto"/>
          <w:highlight w:val="none"/>
        </w:rPr>
        <w:t xml:space="preserve">交货地点：                                                               </w:t>
      </w:r>
    </w:p>
    <w:p w14:paraId="42D2D0E6">
      <w:pPr>
        <w:pStyle w:val="18"/>
        <w:snapToGrid w:val="0"/>
        <w:spacing w:line="360" w:lineRule="auto"/>
        <w:rPr>
          <w:rFonts w:cs="宋体"/>
          <w:color w:val="auto"/>
          <w:highlight w:val="none"/>
        </w:rPr>
      </w:pPr>
      <w:r>
        <w:rPr>
          <w:rFonts w:hint="eastAsia" w:cs="宋体"/>
          <w:color w:val="auto"/>
          <w:highlight w:val="none"/>
        </w:rPr>
        <w:t>五、货款支付</w:t>
      </w:r>
    </w:p>
    <w:p w14:paraId="01D5FF72">
      <w:pPr>
        <w:pStyle w:val="18"/>
        <w:snapToGrid w:val="0"/>
        <w:spacing w:line="360" w:lineRule="auto"/>
        <w:rPr>
          <w:rFonts w:hint="eastAsia" w:cs="宋体"/>
          <w:color w:val="auto"/>
          <w:highlight w:val="none"/>
        </w:rPr>
      </w:pPr>
      <w:r>
        <w:rPr>
          <w:rFonts w:hint="eastAsia" w:cs="宋体"/>
          <w:color w:val="auto"/>
          <w:highlight w:val="none"/>
        </w:rPr>
        <w:t>1、付款方式：</w:t>
      </w:r>
    </w:p>
    <w:p w14:paraId="0A418BCD">
      <w:pPr>
        <w:pStyle w:val="18"/>
        <w:snapToGrid w:val="0"/>
        <w:spacing w:line="360" w:lineRule="auto"/>
        <w:rPr>
          <w:rFonts w:hint="eastAsia" w:cs="宋体"/>
          <w:color w:val="auto"/>
          <w:highlight w:val="none"/>
        </w:rPr>
      </w:pPr>
      <w:r>
        <w:rPr>
          <w:rFonts w:hint="eastAsia" w:cs="宋体"/>
          <w:color w:val="auto"/>
          <w:highlight w:val="none"/>
        </w:rPr>
        <w:t>（1）合同签订后中标人支付总价的1%作为履约保证金。</w:t>
      </w:r>
    </w:p>
    <w:p w14:paraId="2B98A217">
      <w:pPr>
        <w:pStyle w:val="18"/>
        <w:snapToGrid w:val="0"/>
        <w:spacing w:line="360" w:lineRule="auto"/>
        <w:rPr>
          <w:rFonts w:hint="eastAsia" w:cs="宋体"/>
          <w:color w:val="auto"/>
          <w:highlight w:val="none"/>
        </w:rPr>
      </w:pPr>
      <w:r>
        <w:rPr>
          <w:rFonts w:hint="eastAsia" w:cs="宋体"/>
          <w:color w:val="auto"/>
          <w:highlight w:val="none"/>
        </w:rPr>
        <w:t>（2）合同签订以及具备实施条件后，采购人向中标人支付合同总价的40%，作为预付款。在采购人通知中标人提供的采购品目全部安装调试到位后，由中标人通知采购人验收，采购人验收合格后，按各采购品类“实际数量”乘以“中标单价”计算加总，向中标人支付剩余尾款。</w:t>
      </w:r>
    </w:p>
    <w:p w14:paraId="459EB9C4">
      <w:pPr>
        <w:pStyle w:val="18"/>
        <w:snapToGrid w:val="0"/>
        <w:spacing w:line="360" w:lineRule="auto"/>
        <w:rPr>
          <w:rFonts w:cs="宋体"/>
          <w:color w:val="auto"/>
          <w:highlight w:val="none"/>
        </w:rPr>
      </w:pPr>
      <w:r>
        <w:rPr>
          <w:rFonts w:hint="eastAsia" w:cs="宋体"/>
          <w:color w:val="auto"/>
          <w:highlight w:val="none"/>
        </w:rPr>
        <w:t>（3）项目全部安装调试验收完成后采购人无息退还履约保证金。</w:t>
      </w:r>
    </w:p>
    <w:p w14:paraId="3CE55204">
      <w:pPr>
        <w:pStyle w:val="18"/>
        <w:snapToGrid w:val="0"/>
        <w:spacing w:line="360" w:lineRule="auto"/>
        <w:rPr>
          <w:rFonts w:cs="宋体"/>
          <w:color w:val="auto"/>
          <w:highlight w:val="none"/>
        </w:rPr>
      </w:pPr>
      <w:r>
        <w:rPr>
          <w:rFonts w:hint="eastAsia" w:cs="宋体"/>
          <w:color w:val="auto"/>
          <w:highlight w:val="none"/>
        </w:rPr>
        <w:t>2、合同履行完毕，需方根据合同进行验收，验收合格后供应商按财政结算要求办理货款结算手续。</w:t>
      </w:r>
    </w:p>
    <w:p w14:paraId="03F5E257">
      <w:pPr>
        <w:pStyle w:val="18"/>
        <w:snapToGrid w:val="0"/>
        <w:spacing w:line="360" w:lineRule="auto"/>
        <w:rPr>
          <w:rFonts w:cs="宋体"/>
          <w:color w:val="auto"/>
          <w:highlight w:val="none"/>
        </w:rPr>
      </w:pPr>
      <w:r>
        <w:rPr>
          <w:rFonts w:hint="eastAsia" w:cs="宋体"/>
          <w:color w:val="auto"/>
          <w:highlight w:val="none"/>
        </w:rPr>
        <w:t>六、履约保证金</w:t>
      </w:r>
    </w:p>
    <w:p w14:paraId="21E5396C">
      <w:pPr>
        <w:pStyle w:val="18"/>
        <w:snapToGrid w:val="0"/>
        <w:spacing w:line="360" w:lineRule="auto"/>
        <w:rPr>
          <w:rFonts w:cs="宋体"/>
          <w:color w:val="auto"/>
          <w:highlight w:val="none"/>
        </w:rPr>
      </w:pPr>
      <w:r>
        <w:rPr>
          <w:rFonts w:hint="eastAsia" w:cs="宋体"/>
          <w:color w:val="auto"/>
          <w:highlight w:val="none"/>
        </w:rPr>
        <w:t>1、履约保证金：为保证政府采购项目合同的顺利执行，供方在本合同签订之前，其中标价的    %作为履约保证金（银行汇票形式）交付采购人。待项目验收合格后，由采购人将履约保证金无息退还供方。</w:t>
      </w:r>
    </w:p>
    <w:p w14:paraId="2FBDE1DC">
      <w:pPr>
        <w:pStyle w:val="18"/>
        <w:snapToGrid w:val="0"/>
        <w:spacing w:line="360" w:lineRule="auto"/>
        <w:rPr>
          <w:rFonts w:cs="宋体"/>
          <w:color w:val="auto"/>
          <w:highlight w:val="none"/>
        </w:rPr>
      </w:pPr>
      <w:r>
        <w:rPr>
          <w:rFonts w:hint="eastAsia" w:cs="宋体"/>
          <w:color w:val="auto"/>
          <w:highlight w:val="none"/>
        </w:rPr>
        <w:t>七、违约责任</w:t>
      </w:r>
    </w:p>
    <w:p w14:paraId="462B4348">
      <w:pPr>
        <w:pStyle w:val="18"/>
        <w:snapToGrid w:val="0"/>
        <w:spacing w:line="360" w:lineRule="auto"/>
        <w:rPr>
          <w:rFonts w:cs="宋体"/>
          <w:color w:val="auto"/>
          <w:highlight w:val="none"/>
        </w:rPr>
      </w:pPr>
      <w:r>
        <w:rPr>
          <w:rFonts w:hint="eastAsia" w:cs="宋体"/>
          <w:color w:val="auto"/>
          <w:highlight w:val="none"/>
        </w:rPr>
        <w:t>1、乙方逾期交付货物的，乙方应按逾期交付货款总额每日千分之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2D8FE204">
      <w:pPr>
        <w:pStyle w:val="18"/>
        <w:snapToGrid w:val="0"/>
        <w:spacing w:line="360" w:lineRule="auto"/>
        <w:rPr>
          <w:rFonts w:cs="宋体"/>
          <w:color w:val="auto"/>
          <w:highlight w:val="none"/>
        </w:rPr>
      </w:pPr>
      <w:r>
        <w:rPr>
          <w:rFonts w:hint="eastAsia" w:cs="宋体"/>
          <w:color w:val="auto"/>
          <w:highlight w:val="none"/>
        </w:rPr>
        <w:t>2、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27DC0966">
      <w:pPr>
        <w:pStyle w:val="18"/>
        <w:snapToGrid w:val="0"/>
        <w:spacing w:line="360" w:lineRule="auto"/>
        <w:rPr>
          <w:rFonts w:cs="宋体"/>
          <w:color w:val="auto"/>
          <w:highlight w:val="none"/>
        </w:rPr>
      </w:pPr>
      <w:r>
        <w:rPr>
          <w:rFonts w:hint="eastAsia" w:cs="宋体"/>
          <w:color w:val="auto"/>
          <w:highlight w:val="none"/>
        </w:rPr>
        <w:t>3、因需方原因逾期支付合同款，自逾期之日起，向供方每日偿付合同总价千分之 二的滞纳金；需方无正当理由拒付货款的，应向供方偿付合同总价百分之五的违约金。</w:t>
      </w:r>
    </w:p>
    <w:p w14:paraId="0F759CD0">
      <w:pPr>
        <w:pStyle w:val="18"/>
        <w:snapToGrid w:val="0"/>
        <w:spacing w:line="360" w:lineRule="auto"/>
        <w:rPr>
          <w:rFonts w:cs="宋体"/>
          <w:color w:val="auto"/>
          <w:highlight w:val="none"/>
        </w:rPr>
      </w:pPr>
      <w:r>
        <w:rPr>
          <w:rFonts w:hint="eastAsia" w:cs="宋体"/>
          <w:color w:val="auto"/>
          <w:highlight w:val="none"/>
        </w:rPr>
        <w:t>4、如发现乙方违反招投标文件和合同的有关规定，甲方有权根据约定对乙方进行处罚，并有权提前终止合同。</w:t>
      </w:r>
    </w:p>
    <w:p w14:paraId="463BD0F6">
      <w:pPr>
        <w:pStyle w:val="18"/>
        <w:snapToGrid w:val="0"/>
        <w:spacing w:line="360" w:lineRule="auto"/>
        <w:rPr>
          <w:rFonts w:cs="宋体"/>
          <w:color w:val="auto"/>
          <w:highlight w:val="none"/>
        </w:rPr>
      </w:pPr>
      <w:r>
        <w:rPr>
          <w:rFonts w:hint="eastAsia" w:cs="宋体"/>
          <w:color w:val="auto"/>
          <w:highlight w:val="none"/>
        </w:rPr>
        <w:t>八、调试和验收</w:t>
      </w:r>
    </w:p>
    <w:p w14:paraId="3084295B">
      <w:pPr>
        <w:pStyle w:val="18"/>
        <w:snapToGrid w:val="0"/>
        <w:spacing w:line="360" w:lineRule="auto"/>
        <w:rPr>
          <w:rFonts w:cs="宋体"/>
          <w:color w:val="auto"/>
          <w:highlight w:val="none"/>
        </w:rPr>
      </w:pPr>
      <w:r>
        <w:rPr>
          <w:rFonts w:hint="eastAsia" w:cs="宋体"/>
          <w:color w:val="auto"/>
          <w:highlight w:val="none"/>
        </w:rPr>
        <w:t>九、争议的解决</w:t>
      </w:r>
    </w:p>
    <w:p w14:paraId="5F1C8EB4">
      <w:pPr>
        <w:pStyle w:val="18"/>
        <w:snapToGrid w:val="0"/>
        <w:spacing w:line="360" w:lineRule="auto"/>
        <w:rPr>
          <w:rFonts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因本合同引起的或与本合同有关的任何争议，合同双方应首先通过协商解决，达成书面协议，如协商不成，可选择下列第      种方式解决。</w:t>
      </w:r>
    </w:p>
    <w:p w14:paraId="5D9F12B0">
      <w:pPr>
        <w:pStyle w:val="18"/>
        <w:snapToGrid w:val="0"/>
        <w:spacing w:line="360" w:lineRule="auto"/>
        <w:rPr>
          <w:rFonts w:cs="宋体"/>
          <w:color w:val="auto"/>
          <w:highlight w:val="none"/>
        </w:rPr>
      </w:pPr>
      <w:r>
        <w:rPr>
          <w:rFonts w:hint="eastAsia" w:cs="宋体"/>
          <w:color w:val="auto"/>
          <w:highlight w:val="none"/>
        </w:rPr>
        <w:t>（1）提请杭州仲裁委员会按照该会仲裁规则进行仲裁，仲裁裁决是终局的，对合同双方均有约束力。</w:t>
      </w:r>
    </w:p>
    <w:p w14:paraId="0F045F0C">
      <w:pPr>
        <w:pStyle w:val="18"/>
        <w:snapToGrid w:val="0"/>
        <w:spacing w:line="360" w:lineRule="auto"/>
        <w:rPr>
          <w:rFonts w:cs="宋体"/>
          <w:color w:val="auto"/>
          <w:highlight w:val="none"/>
        </w:rPr>
      </w:pPr>
      <w:r>
        <w:rPr>
          <w:rFonts w:hint="eastAsia" w:cs="宋体"/>
          <w:color w:val="auto"/>
          <w:highlight w:val="none"/>
        </w:rPr>
        <w:t>（2）向有管辖权的人民法院提起诉讼。</w:t>
      </w:r>
    </w:p>
    <w:p w14:paraId="7B904FB7">
      <w:pPr>
        <w:pStyle w:val="18"/>
        <w:snapToGrid w:val="0"/>
        <w:spacing w:line="360" w:lineRule="auto"/>
        <w:rPr>
          <w:rFonts w:cs="宋体"/>
          <w:color w:val="auto"/>
          <w:highlight w:val="none"/>
        </w:rPr>
      </w:pPr>
      <w:r>
        <w:rPr>
          <w:rFonts w:hint="eastAsia" w:cs="宋体"/>
          <w:color w:val="auto"/>
          <w:highlight w:val="none"/>
        </w:rPr>
        <w:t>十、合同生效</w:t>
      </w:r>
    </w:p>
    <w:p w14:paraId="21EE17AB">
      <w:pPr>
        <w:pStyle w:val="18"/>
        <w:snapToGrid w:val="0"/>
        <w:spacing w:line="360" w:lineRule="auto"/>
        <w:rPr>
          <w:rFonts w:cs="宋体"/>
          <w:color w:val="auto"/>
          <w:highlight w:val="none"/>
        </w:rPr>
      </w:pPr>
      <w:r>
        <w:rPr>
          <w:rFonts w:hint="eastAsia" w:cs="宋体"/>
          <w:color w:val="auto"/>
          <w:highlight w:val="none"/>
        </w:rPr>
        <w:t>1、中标方持中标通知书作为与需方签订合同的凭证。</w:t>
      </w:r>
    </w:p>
    <w:p w14:paraId="29FA0FF2">
      <w:pPr>
        <w:pStyle w:val="18"/>
        <w:snapToGrid w:val="0"/>
        <w:spacing w:line="360" w:lineRule="auto"/>
        <w:rPr>
          <w:rFonts w:cs="宋体"/>
          <w:color w:val="auto"/>
          <w:highlight w:val="none"/>
        </w:rPr>
      </w:pPr>
      <w:r>
        <w:rPr>
          <w:rFonts w:hint="eastAsia" w:cs="宋体"/>
          <w:color w:val="auto"/>
          <w:highlight w:val="none"/>
        </w:rPr>
        <w:t>2、本合同经需、供双方法定代表人或其授权委托人签名并加盖单位公章后生效。</w:t>
      </w:r>
    </w:p>
    <w:p w14:paraId="2B7780A7">
      <w:pPr>
        <w:pStyle w:val="18"/>
        <w:snapToGrid w:val="0"/>
        <w:spacing w:line="360" w:lineRule="auto"/>
        <w:rPr>
          <w:rFonts w:cs="宋体"/>
          <w:color w:val="auto"/>
          <w:highlight w:val="none"/>
        </w:rPr>
      </w:pPr>
    </w:p>
    <w:p w14:paraId="62B010AD">
      <w:pPr>
        <w:pStyle w:val="18"/>
        <w:snapToGrid w:val="0"/>
        <w:spacing w:line="360" w:lineRule="auto"/>
        <w:rPr>
          <w:rFonts w:cs="宋体"/>
          <w:color w:val="auto"/>
          <w:highlight w:val="none"/>
        </w:rPr>
      </w:pPr>
    </w:p>
    <w:p w14:paraId="3A2B5FB8">
      <w:pPr>
        <w:pStyle w:val="18"/>
        <w:snapToGrid w:val="0"/>
        <w:spacing w:line="360" w:lineRule="auto"/>
        <w:rPr>
          <w:rFonts w:cs="宋体"/>
          <w:color w:val="auto"/>
          <w:highlight w:val="none"/>
        </w:rPr>
      </w:pPr>
      <w:r>
        <w:rPr>
          <w:rFonts w:hint="eastAsia" w:cs="宋体"/>
          <w:color w:val="auto"/>
          <w:highlight w:val="none"/>
        </w:rPr>
        <w:t>需方（加盖公章）：                 供方（加盖公章）：</w:t>
      </w:r>
    </w:p>
    <w:p w14:paraId="2C7CA274">
      <w:pPr>
        <w:pStyle w:val="18"/>
        <w:snapToGrid w:val="0"/>
        <w:spacing w:line="360" w:lineRule="auto"/>
        <w:rPr>
          <w:rFonts w:cs="宋体"/>
          <w:color w:val="auto"/>
          <w:highlight w:val="none"/>
        </w:rPr>
      </w:pPr>
      <w:r>
        <w:rPr>
          <w:rFonts w:hint="eastAsia" w:cs="宋体"/>
          <w:color w:val="auto"/>
          <w:highlight w:val="none"/>
        </w:rPr>
        <w:t>地址：                             地址：</w:t>
      </w:r>
    </w:p>
    <w:p w14:paraId="2D1302C6">
      <w:pPr>
        <w:pStyle w:val="18"/>
        <w:snapToGrid w:val="0"/>
        <w:spacing w:line="360" w:lineRule="auto"/>
        <w:rPr>
          <w:rFonts w:cs="宋体"/>
          <w:color w:val="auto"/>
          <w:highlight w:val="none"/>
        </w:rPr>
      </w:pPr>
      <w:r>
        <w:rPr>
          <w:rFonts w:hint="eastAsia" w:cs="宋体"/>
          <w:color w:val="auto"/>
          <w:highlight w:val="none"/>
        </w:rPr>
        <w:t xml:space="preserve">法定代表人（或委托代理人）签名：   法定代表人（或委托代理人）签名：                    </w:t>
      </w:r>
    </w:p>
    <w:p w14:paraId="2254ACBD">
      <w:pPr>
        <w:pStyle w:val="18"/>
        <w:snapToGrid w:val="0"/>
        <w:spacing w:line="360" w:lineRule="auto"/>
        <w:rPr>
          <w:rFonts w:cs="宋体"/>
          <w:color w:val="auto"/>
          <w:highlight w:val="none"/>
        </w:rPr>
      </w:pPr>
      <w:r>
        <w:rPr>
          <w:rFonts w:hint="eastAsia" w:cs="宋体"/>
          <w:color w:val="auto"/>
          <w:highlight w:val="none"/>
        </w:rPr>
        <w:t>联系电话：                         联系电话：</w:t>
      </w:r>
    </w:p>
    <w:p w14:paraId="60F8E8AB">
      <w:pPr>
        <w:pStyle w:val="18"/>
        <w:snapToGrid w:val="0"/>
        <w:spacing w:line="360" w:lineRule="auto"/>
        <w:rPr>
          <w:rFonts w:cs="宋体"/>
          <w:color w:val="auto"/>
          <w:highlight w:val="none"/>
        </w:rPr>
      </w:pPr>
      <w:r>
        <w:rPr>
          <w:rFonts w:hint="eastAsia" w:cs="宋体"/>
          <w:color w:val="auto"/>
          <w:highlight w:val="none"/>
        </w:rPr>
        <w:t>邮政编码：                         邮政编码：</w:t>
      </w:r>
    </w:p>
    <w:p w14:paraId="59B4250F">
      <w:pPr>
        <w:pStyle w:val="18"/>
        <w:snapToGrid w:val="0"/>
        <w:spacing w:line="360" w:lineRule="auto"/>
        <w:rPr>
          <w:rFonts w:cs="宋体"/>
          <w:color w:val="auto"/>
          <w:highlight w:val="none"/>
        </w:rPr>
      </w:pPr>
      <w:r>
        <w:rPr>
          <w:rFonts w:hint="eastAsia" w:cs="宋体"/>
          <w:color w:val="auto"/>
          <w:highlight w:val="none"/>
        </w:rPr>
        <w:t xml:space="preserve">开户银行：                         开户银行：    </w:t>
      </w:r>
    </w:p>
    <w:p w14:paraId="415A743E">
      <w:pPr>
        <w:pStyle w:val="18"/>
        <w:snapToGrid w:val="0"/>
        <w:spacing w:line="360" w:lineRule="auto"/>
        <w:rPr>
          <w:rFonts w:cs="宋体"/>
          <w:color w:val="auto"/>
          <w:kern w:val="0"/>
          <w:highlight w:val="none"/>
        </w:rPr>
      </w:pPr>
      <w:r>
        <w:rPr>
          <w:rFonts w:hint="eastAsia" w:cs="宋体"/>
          <w:color w:val="auto"/>
          <w:highlight w:val="none"/>
        </w:rPr>
        <w:t>帐号：                             帐号：</w:t>
      </w:r>
    </w:p>
    <w:p w14:paraId="7E26E833">
      <w:pPr>
        <w:spacing w:line="500" w:lineRule="exact"/>
        <w:rPr>
          <w:rFonts w:ascii="宋体" w:hAnsi="宋体" w:eastAsia="宋体" w:cs="宋体"/>
          <w:color w:val="auto"/>
          <w:highlight w:val="none"/>
        </w:rPr>
      </w:pPr>
    </w:p>
    <w:p w14:paraId="4E4F54E0">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br w:type="page"/>
      </w:r>
    </w:p>
    <w:p w14:paraId="16B4DAA7">
      <w:pPr>
        <w:pStyle w:val="2"/>
        <w:jc w:val="center"/>
        <w:rPr>
          <w:rFonts w:ascii="宋体" w:hAnsi="宋体" w:eastAsia="宋体" w:cs="宋体"/>
          <w:color w:val="auto"/>
          <w:highlight w:val="none"/>
        </w:rPr>
      </w:pPr>
      <w:r>
        <w:rPr>
          <w:rFonts w:hint="eastAsia" w:ascii="宋体" w:hAnsi="宋体" w:eastAsia="宋体" w:cs="宋体"/>
          <w:color w:val="auto"/>
          <w:highlight w:val="none"/>
        </w:rPr>
        <w:t>第六部分 应提交的有关格式范例</w:t>
      </w:r>
    </w:p>
    <w:p w14:paraId="028B3C1A">
      <w:pPr>
        <w:pStyle w:val="3"/>
        <w:rPr>
          <w:rFonts w:ascii="宋体" w:hAnsi="宋体" w:eastAsia="宋体" w:cs="宋体"/>
          <w:color w:val="auto"/>
          <w:highlight w:val="none"/>
        </w:rPr>
      </w:pPr>
      <w:r>
        <w:rPr>
          <w:rFonts w:hint="eastAsia" w:ascii="宋体" w:hAnsi="宋体" w:eastAsia="宋体" w:cs="宋体"/>
          <w:color w:val="auto"/>
          <w:highlight w:val="none"/>
        </w:rPr>
        <w:t>资格文件部分</w:t>
      </w:r>
    </w:p>
    <w:p w14:paraId="0B052247">
      <w:pPr>
        <w:jc w:val="center"/>
        <w:rPr>
          <w:rFonts w:ascii="宋体" w:hAnsi="宋体" w:eastAsia="宋体" w:cs="宋体"/>
          <w:b/>
          <w:color w:val="auto"/>
          <w:sz w:val="40"/>
          <w:highlight w:val="none"/>
        </w:rPr>
      </w:pPr>
      <w:r>
        <w:rPr>
          <w:rFonts w:hint="eastAsia" w:ascii="宋体" w:hAnsi="宋体" w:eastAsia="宋体" w:cs="宋体"/>
          <w:b/>
          <w:color w:val="auto"/>
          <w:sz w:val="40"/>
          <w:highlight w:val="none"/>
        </w:rPr>
        <w:t>目录</w:t>
      </w:r>
    </w:p>
    <w:p w14:paraId="0C535A9C">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（1）符合参加采购活动应当具备的一般条件的承诺函…………………（页码）</w:t>
      </w:r>
    </w:p>
    <w:p w14:paraId="7AA8DD62">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（2）本项目的特定资格要求………………………………………………（页码）</w:t>
      </w:r>
    </w:p>
    <w:p w14:paraId="5C109286">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6CB8DFA3">
      <w:pPr>
        <w:pStyle w:val="3"/>
        <w:rPr>
          <w:rFonts w:ascii="宋体" w:hAnsi="宋体" w:eastAsia="宋体" w:cs="宋体"/>
          <w:color w:val="auto"/>
          <w:highlight w:val="none"/>
        </w:rPr>
      </w:pPr>
      <w:r>
        <w:rPr>
          <w:rFonts w:hint="eastAsia" w:ascii="宋体" w:hAnsi="宋体" w:eastAsia="宋体" w:cs="宋体"/>
          <w:color w:val="auto"/>
          <w:highlight w:val="none"/>
        </w:rPr>
        <w:t>一、 符合参加采购活动应当具备的一般条件的承诺函</w:t>
      </w:r>
    </w:p>
    <w:p w14:paraId="3FE37823">
      <w:pPr>
        <w:snapToGrid w:val="0"/>
        <w:spacing w:line="360" w:lineRule="auto"/>
        <w:rPr>
          <w:rFonts w:ascii="宋体" w:hAnsi="宋体" w:eastAsia="宋体" w:cs="宋体"/>
          <w:color w:val="auto"/>
          <w:highlight w:val="none"/>
        </w:rPr>
      </w:pPr>
    </w:p>
    <w:p w14:paraId="4C4B2324">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u w:val="single"/>
        </w:rPr>
        <w:t>（采购人）、（采购代理机构）</w:t>
      </w:r>
      <w:r>
        <w:rPr>
          <w:rFonts w:hint="eastAsia" w:ascii="宋体" w:hAnsi="宋体" w:eastAsia="宋体" w:cs="宋体"/>
          <w:color w:val="auto"/>
          <w:highlight w:val="none"/>
        </w:rPr>
        <w:t>：</w:t>
      </w:r>
    </w:p>
    <w:p w14:paraId="42A03F2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我方参与（项目名称）【招标编号：（采购编号）】采购活动，郑重承诺：</w:t>
      </w:r>
    </w:p>
    <w:p w14:paraId="7666C59E">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142CE6C0">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14:paraId="46CC2FD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630409D6">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60A75D3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7E496BEE">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14CA23D7">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144F98B5">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（三）不存在以下情况：</w:t>
      </w:r>
    </w:p>
    <w:p w14:paraId="2A16DCEF">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1、单位负责人为同一人或者存在直接控股、管理关系的不同供应商参加同一合同项下的政府采购活动的；</w:t>
      </w:r>
    </w:p>
    <w:p w14:paraId="350CA7F8">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14:paraId="6FF83955">
      <w:pPr>
        <w:snapToGrid w:val="0"/>
        <w:spacing w:line="360" w:lineRule="auto"/>
        <w:ind w:firstLine="5520" w:firstLineChars="2300"/>
        <w:rPr>
          <w:rFonts w:ascii="宋体" w:hAnsi="宋体" w:eastAsia="宋体" w:cs="宋体"/>
          <w:color w:val="auto"/>
          <w:highlight w:val="none"/>
          <w:lang w:val="zh-CN"/>
        </w:rPr>
      </w:pPr>
    </w:p>
    <w:p w14:paraId="018D994E">
      <w:pPr>
        <w:snapToGrid w:val="0"/>
        <w:spacing w:line="360" w:lineRule="auto"/>
        <w:ind w:firstLine="5520" w:firstLineChars="2300"/>
        <w:rPr>
          <w:rFonts w:ascii="宋体" w:hAnsi="宋体" w:eastAsia="宋体" w:cs="宋体"/>
          <w:color w:val="auto"/>
          <w:highlight w:val="none"/>
        </w:rPr>
      </w:pPr>
      <w:r>
        <w:rPr>
          <w:rFonts w:hint="eastAsia" w:ascii="宋体" w:hAnsi="宋体" w:eastAsia="宋体" w:cs="宋体"/>
          <w:color w:val="auto"/>
          <w:highlight w:val="none"/>
          <w:lang w:val="zh-CN"/>
        </w:rPr>
        <w:t>投标人名称（电子签名）：</w:t>
      </w:r>
    </w:p>
    <w:p w14:paraId="4D5E3456">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5E68AB26">
      <w:pPr>
        <w:snapToGrid w:val="0"/>
        <w:spacing w:line="360" w:lineRule="auto"/>
        <w:ind w:right="480"/>
        <w:jc w:val="center"/>
        <w:rPr>
          <w:rFonts w:ascii="宋体" w:hAnsi="宋体" w:eastAsia="宋体" w:cs="宋体"/>
          <w:b/>
          <w:color w:val="auto"/>
          <w:sz w:val="32"/>
          <w:szCs w:val="32"/>
          <w:highlight w:val="none"/>
        </w:rPr>
      </w:pPr>
    </w:p>
    <w:p w14:paraId="0FF1F33B">
      <w:pPr>
        <w:pStyle w:val="3"/>
        <w:rPr>
          <w:rFonts w:ascii="宋体" w:hAnsi="宋体" w:eastAsia="宋体" w:cs="宋体"/>
          <w:color w:val="auto"/>
          <w:highlight w:val="none"/>
        </w:rPr>
      </w:pPr>
      <w:r>
        <w:rPr>
          <w:rFonts w:hint="eastAsia" w:ascii="宋体" w:hAnsi="宋体" w:eastAsia="宋体" w:cs="宋体"/>
          <w:color w:val="auto"/>
          <w:highlight w:val="none"/>
        </w:rPr>
        <w:t>二、本项目的特定资格要求</w:t>
      </w:r>
    </w:p>
    <w:p w14:paraId="1F8600A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（根据招标公告本项目的特定资格要求提供相应的材料；未要求的，无需提供）</w:t>
      </w:r>
    </w:p>
    <w:p w14:paraId="3DDF19AE">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391F3568">
      <w:pPr>
        <w:pStyle w:val="3"/>
        <w:rPr>
          <w:rFonts w:ascii="宋体" w:hAnsi="宋体" w:eastAsia="宋体" w:cs="宋体"/>
          <w:color w:val="auto"/>
          <w:highlight w:val="none"/>
        </w:rPr>
      </w:pPr>
      <w:r>
        <w:rPr>
          <w:rFonts w:hint="eastAsia" w:ascii="宋体" w:hAnsi="宋体" w:eastAsia="宋体" w:cs="宋体"/>
          <w:color w:val="auto"/>
          <w:highlight w:val="none"/>
        </w:rPr>
        <w:t>商务技术文件部分</w:t>
      </w:r>
    </w:p>
    <w:p w14:paraId="3964D0F7">
      <w:pPr>
        <w:jc w:val="center"/>
        <w:rPr>
          <w:rFonts w:ascii="宋体" w:hAnsi="宋体" w:eastAsia="宋体" w:cs="宋体"/>
          <w:color w:val="auto"/>
          <w:sz w:val="40"/>
          <w:highlight w:val="none"/>
        </w:rPr>
      </w:pPr>
      <w:r>
        <w:rPr>
          <w:rFonts w:hint="eastAsia" w:ascii="宋体" w:hAnsi="宋体" w:eastAsia="宋体" w:cs="宋体"/>
          <w:color w:val="auto"/>
          <w:sz w:val="40"/>
          <w:highlight w:val="none"/>
        </w:rPr>
        <w:t>目录</w:t>
      </w:r>
    </w:p>
    <w:p w14:paraId="3C647775">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（1）投标函……………………………………………………………………（页码）</w:t>
      </w:r>
    </w:p>
    <w:p w14:paraId="05531316">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（2）授权委托书或法定代表人（单位负责人、自然人本人）身份证明…（页码）</w:t>
      </w:r>
    </w:p>
    <w:p w14:paraId="6787AD08">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（3）符合性审查资料…………………………………………………………（页码）</w:t>
      </w:r>
    </w:p>
    <w:p w14:paraId="4F3DD61A">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4）评标标准相应的商务技术资料…………………………………………（页码）（5）投标标的清单……………………………………………………………（页码）（6）商务技术偏离表…………………………………………………………（页码）</w:t>
      </w:r>
    </w:p>
    <w:p w14:paraId="03A32A71">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7</w:t>
      </w:r>
      <w:r>
        <w:rPr>
          <w:rFonts w:hint="eastAsia" w:ascii="宋体" w:hAnsi="宋体" w:eastAsia="宋体" w:cs="宋体"/>
          <w:color w:val="auto"/>
          <w:kern w:val="2"/>
          <w:highlight w:val="none"/>
          <w:lang w:val="zh-CN"/>
        </w:rPr>
        <w:t>）采购供应商廉洁自律承诺书</w:t>
      </w:r>
      <w:r>
        <w:rPr>
          <w:rFonts w:hint="eastAsia" w:ascii="宋体" w:hAnsi="宋体" w:eastAsia="宋体" w:cs="宋体"/>
          <w:color w:val="auto"/>
          <w:kern w:val="2"/>
          <w:highlight w:val="none"/>
        </w:rPr>
        <w:t>……………………………………………（页码）</w:t>
      </w:r>
    </w:p>
    <w:p w14:paraId="31A00EE3">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73121FAE">
      <w:pPr>
        <w:pStyle w:val="3"/>
        <w:rPr>
          <w:rFonts w:ascii="宋体" w:hAnsi="宋体" w:eastAsia="宋体" w:cs="宋体"/>
          <w:color w:val="auto"/>
          <w:highlight w:val="none"/>
        </w:rPr>
      </w:pPr>
      <w:r>
        <w:rPr>
          <w:rFonts w:hint="eastAsia" w:ascii="宋体" w:hAnsi="宋体" w:eastAsia="宋体" w:cs="宋体"/>
          <w:color w:val="auto"/>
          <w:highlight w:val="none"/>
        </w:rPr>
        <w:t>一、投标函</w:t>
      </w:r>
    </w:p>
    <w:p w14:paraId="2221BFE3">
      <w:pPr>
        <w:widowControl w:val="0"/>
        <w:adjustRightInd w:val="0"/>
        <w:spacing w:after="0" w:line="44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w:t>
      </w:r>
      <w:r>
        <w:rPr>
          <w:rFonts w:hint="eastAsia" w:ascii="宋体" w:hAnsi="宋体" w:eastAsia="宋体" w:cs="宋体"/>
          <w:color w:val="auto"/>
          <w:highlight w:val="none"/>
        </w:rPr>
        <w:t>采购人</w:t>
      </w:r>
      <w:r>
        <w:rPr>
          <w:rFonts w:hint="eastAsia" w:ascii="宋体" w:hAnsi="宋体" w:eastAsia="宋体" w:cs="宋体"/>
          <w:color w:val="auto"/>
          <w:kern w:val="2"/>
          <w:highlight w:val="none"/>
        </w:rPr>
        <w:t>）、（采购代理机构）：</w:t>
      </w:r>
    </w:p>
    <w:p w14:paraId="62B5D53C">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我方参加你方组织的（项目名称）【招标编号：（采购编号）】招标的有关活动，并对此项目进行投标。为此：</w:t>
      </w:r>
    </w:p>
    <w:p w14:paraId="0C6C04B1">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1、我方承诺投标有效期从提交投标文件的截止之日起</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天（不少于90天），本投标文件在投标有效期满之前均具有约束力。</w:t>
      </w:r>
    </w:p>
    <w:p w14:paraId="57EB1DF2">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2、我方的投标文件包括以下内容：</w:t>
      </w:r>
    </w:p>
    <w:p w14:paraId="09600836">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2.1资格文件：</w:t>
      </w:r>
    </w:p>
    <w:p w14:paraId="779F1024">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2.1.1承诺函；</w:t>
      </w:r>
    </w:p>
    <w:p w14:paraId="2FFED58E">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2.1.2本项目的特定资格要求（如果有）。</w:t>
      </w:r>
    </w:p>
    <w:p w14:paraId="425DBE35">
      <w:pPr>
        <w:widowControl w:val="0"/>
        <w:adjustRightInd w:val="0"/>
        <w:spacing w:after="0" w:line="440" w:lineRule="exact"/>
        <w:ind w:firstLine="420" w:firstLineChars="175"/>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rPr>
        <w:t>商务技术</w:t>
      </w:r>
      <w:r>
        <w:rPr>
          <w:rFonts w:hint="eastAsia" w:ascii="宋体" w:hAnsi="宋体" w:eastAsia="宋体" w:cs="宋体"/>
          <w:color w:val="auto"/>
          <w:kern w:val="2"/>
          <w:highlight w:val="none"/>
          <w:lang w:val="zh-CN"/>
        </w:rPr>
        <w:t>文件：</w:t>
      </w:r>
    </w:p>
    <w:p w14:paraId="2936BCFC">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2.2.1投标函；</w:t>
      </w:r>
      <w:r>
        <w:rPr>
          <w:rFonts w:hint="eastAsia" w:ascii="宋体" w:hAnsi="宋体" w:eastAsia="宋体" w:cs="宋体"/>
          <w:color w:val="auto"/>
          <w:kern w:val="2"/>
          <w:highlight w:val="none"/>
          <w:lang w:val="zh-CN"/>
        </w:rPr>
        <w:t xml:space="preserve"> </w:t>
      </w:r>
    </w:p>
    <w:p w14:paraId="1CECAEED">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2.2.2授权委托书或法定代表人（单位负责人）身份证明；</w:t>
      </w:r>
    </w:p>
    <w:p w14:paraId="5FF13EDF">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2.2.3符合性审查资料；</w:t>
      </w:r>
    </w:p>
    <w:p w14:paraId="4A4C0002">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2.2.4评标标准相应的商务技术资料；</w:t>
      </w:r>
    </w:p>
    <w:p w14:paraId="008AEC8A">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2.2.5投标标的清单；</w:t>
      </w:r>
    </w:p>
    <w:p w14:paraId="7C71C723">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2.2.6商务技术偏离表；</w:t>
      </w:r>
    </w:p>
    <w:p w14:paraId="18DBD471">
      <w:pPr>
        <w:widowControl w:val="0"/>
        <w:adjustRightInd w:val="0"/>
        <w:spacing w:after="0" w:line="440" w:lineRule="exact"/>
        <w:ind w:firstLine="720" w:firstLineChars="3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7</w:t>
      </w:r>
      <w:r>
        <w:rPr>
          <w:rFonts w:hint="eastAsia" w:ascii="宋体" w:hAnsi="宋体" w:eastAsia="宋体" w:cs="宋体"/>
          <w:color w:val="auto"/>
          <w:kern w:val="2"/>
          <w:highlight w:val="none"/>
          <w:lang w:val="zh-CN"/>
        </w:rPr>
        <w:t>采购供应商廉洁自律承诺书；</w:t>
      </w:r>
    </w:p>
    <w:p w14:paraId="22EAB680">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3报价文件</w:t>
      </w:r>
    </w:p>
    <w:p w14:paraId="4CB425AE">
      <w:pPr>
        <w:widowControl w:val="0"/>
        <w:adjustRightInd w:val="0"/>
        <w:spacing w:after="0" w:line="440" w:lineRule="exact"/>
        <w:ind w:firstLine="660" w:firstLineChars="275"/>
        <w:jc w:val="both"/>
        <w:rPr>
          <w:rFonts w:ascii="宋体" w:hAnsi="宋体" w:eastAsia="宋体" w:cs="宋体"/>
          <w:color w:val="auto"/>
          <w:kern w:val="2"/>
          <w:highlight w:val="none"/>
        </w:rPr>
      </w:pPr>
      <w:r>
        <w:rPr>
          <w:rFonts w:hint="eastAsia" w:ascii="宋体" w:hAnsi="宋体" w:eastAsia="宋体" w:cs="宋体"/>
          <w:color w:val="auto"/>
          <w:kern w:val="2"/>
          <w:highlight w:val="none"/>
        </w:rPr>
        <w:t>2.3.1开标一览表（报价表）。</w:t>
      </w:r>
    </w:p>
    <w:p w14:paraId="79D7689F">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3、我方承诺除商务技术偏离表列出的偏离外，我方响应招标文件的全部要求。</w:t>
      </w:r>
    </w:p>
    <w:p w14:paraId="6D1D3BFB">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4、如我方中标，我方承诺：</w:t>
      </w:r>
    </w:p>
    <w:p w14:paraId="05979CD9">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4.1在收到中标通知书后，在中标通知书规定的期限内与你方签订合同； </w:t>
      </w:r>
    </w:p>
    <w:p w14:paraId="653ECF4C">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4.2在签订合同时不向你方提出附加条件； </w:t>
      </w:r>
    </w:p>
    <w:p w14:paraId="4BC78986">
      <w:pPr>
        <w:widowControl w:val="0"/>
        <w:adjustRightInd w:val="0"/>
        <w:spacing w:after="0" w:line="440" w:lineRule="exact"/>
        <w:ind w:firstLine="720" w:firstLineChars="300"/>
        <w:jc w:val="both"/>
        <w:rPr>
          <w:rFonts w:ascii="宋体" w:hAnsi="宋体" w:eastAsia="宋体" w:cs="宋体"/>
          <w:color w:val="auto"/>
          <w:kern w:val="2"/>
          <w:highlight w:val="none"/>
        </w:rPr>
      </w:pPr>
      <w:r>
        <w:rPr>
          <w:rFonts w:hint="eastAsia" w:ascii="宋体" w:hAnsi="宋体" w:eastAsia="宋体" w:cs="宋体"/>
          <w:color w:val="auto"/>
          <w:kern w:val="2"/>
          <w:highlight w:val="none"/>
        </w:rPr>
        <w:t xml:space="preserve">4.3在合同约定的期限内完成合同规定的全部义务。 </w:t>
      </w:r>
    </w:p>
    <w:p w14:paraId="72B012D8">
      <w:pPr>
        <w:widowControl w:val="0"/>
        <w:adjustRightInd w:val="0"/>
        <w:spacing w:after="0" w:line="44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5、其他补充说明：</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w:t>
      </w:r>
    </w:p>
    <w:p w14:paraId="62654819">
      <w:pPr>
        <w:widowControl w:val="0"/>
        <w:adjustRightInd w:val="0"/>
        <w:spacing w:after="0" w:line="480" w:lineRule="exact"/>
        <w:ind w:firstLine="420" w:firstLineChars="175"/>
        <w:jc w:val="right"/>
        <w:rPr>
          <w:rFonts w:ascii="宋体" w:hAnsi="宋体" w:eastAsia="宋体" w:cs="宋体"/>
          <w:color w:val="auto"/>
          <w:kern w:val="2"/>
          <w:highlight w:val="none"/>
        </w:rPr>
      </w:pPr>
      <w:r>
        <w:rPr>
          <w:rFonts w:hint="eastAsia" w:ascii="宋体" w:hAnsi="宋体" w:eastAsia="宋体" w:cs="宋体"/>
          <w:color w:val="auto"/>
          <w:kern w:val="2"/>
          <w:highlight w:val="none"/>
        </w:rPr>
        <w:t>投标人名称（电子签名）：</w:t>
      </w:r>
    </w:p>
    <w:p w14:paraId="0813C16E">
      <w:pPr>
        <w:widowControl w:val="0"/>
        <w:adjustRightInd w:val="0"/>
        <w:spacing w:after="0" w:line="480" w:lineRule="exact"/>
        <w:ind w:firstLine="420" w:firstLineChars="175"/>
        <w:jc w:val="right"/>
        <w:rPr>
          <w:rFonts w:ascii="宋体" w:hAnsi="宋体" w:eastAsia="宋体" w:cs="宋体"/>
          <w:color w:val="auto"/>
          <w:kern w:val="2"/>
          <w:highlight w:val="none"/>
        </w:rPr>
      </w:pPr>
      <w:r>
        <w:rPr>
          <w:rFonts w:hint="eastAsia" w:ascii="宋体" w:hAnsi="宋体" w:eastAsia="宋体" w:cs="宋体"/>
          <w:color w:val="auto"/>
          <w:kern w:val="2"/>
          <w:highlight w:val="none"/>
        </w:rPr>
        <w:t>日期：  年   月   日</w:t>
      </w:r>
    </w:p>
    <w:p w14:paraId="39086AD0">
      <w:pPr>
        <w:widowControl w:val="0"/>
        <w:adjustRightInd w:val="0"/>
        <w:spacing w:after="0" w:line="480" w:lineRule="exact"/>
        <w:ind w:firstLine="420" w:firstLineChars="175"/>
        <w:jc w:val="both"/>
        <w:rPr>
          <w:rFonts w:ascii="宋体" w:hAnsi="宋体" w:eastAsia="宋体" w:cs="宋体"/>
          <w:color w:val="auto"/>
          <w:kern w:val="2"/>
          <w:highlight w:val="none"/>
        </w:rPr>
      </w:pPr>
    </w:p>
    <w:p w14:paraId="0BAA9C70">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注：按本格式和要求提供。</w:t>
      </w:r>
    </w:p>
    <w:p w14:paraId="454299BF">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621D151A">
      <w:pPr>
        <w:pStyle w:val="3"/>
        <w:rPr>
          <w:rFonts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5EF28D18">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14:paraId="66A66D2E">
      <w:pPr>
        <w:snapToGrid w:val="0"/>
        <w:spacing w:line="360" w:lineRule="auto"/>
        <w:jc w:val="center"/>
        <w:rPr>
          <w:rFonts w:ascii="宋体" w:hAnsi="宋体" w:eastAsia="宋体" w:cs="宋体"/>
          <w:color w:val="auto"/>
          <w:highlight w:val="none"/>
        </w:rPr>
      </w:pPr>
      <w:r>
        <w:rPr>
          <w:rFonts w:hint="eastAsia" w:ascii="宋体" w:hAnsi="宋体" w:eastAsia="宋体" w:cs="宋体"/>
          <w:b/>
          <w:color w:val="auto"/>
          <w:sz w:val="32"/>
          <w:szCs w:val="32"/>
          <w:highlight w:val="none"/>
          <w:lang w:val="zh-CN"/>
        </w:rPr>
        <w:t>授权委托书（</w:t>
      </w:r>
      <w:r>
        <w:rPr>
          <w:rFonts w:hint="eastAsia" w:ascii="宋体" w:hAnsi="宋体" w:eastAsia="宋体" w:cs="宋体"/>
          <w:b/>
          <w:color w:val="auto"/>
          <w:sz w:val="32"/>
          <w:szCs w:val="32"/>
          <w:highlight w:val="none"/>
          <w:lang w:val="en-US" w:eastAsia="zh-CN"/>
        </w:rPr>
        <w:t>适用于授权委托人参加投标</w:t>
      </w:r>
      <w:r>
        <w:rPr>
          <w:rFonts w:hint="eastAsia" w:ascii="宋体" w:hAnsi="宋体" w:eastAsia="宋体" w:cs="宋体"/>
          <w:b/>
          <w:color w:val="auto"/>
          <w:sz w:val="32"/>
          <w:szCs w:val="32"/>
          <w:highlight w:val="none"/>
          <w:lang w:val="zh-CN"/>
        </w:rPr>
        <w:t>）</w:t>
      </w:r>
    </w:p>
    <w:p w14:paraId="07B4284E">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w:t>
      </w:r>
      <w:r>
        <w:rPr>
          <w:rFonts w:hint="eastAsia" w:ascii="宋体" w:hAnsi="宋体" w:eastAsia="宋体" w:cs="宋体"/>
          <w:color w:val="auto"/>
          <w:highlight w:val="none"/>
        </w:rPr>
        <w:t>采购人</w:t>
      </w:r>
      <w:r>
        <w:rPr>
          <w:rFonts w:hint="eastAsia" w:ascii="宋体" w:hAnsi="宋体" w:eastAsia="宋体" w:cs="宋体"/>
          <w:color w:val="auto"/>
          <w:kern w:val="2"/>
          <w:highlight w:val="none"/>
        </w:rPr>
        <w:t>）、（采购代理机构）</w:t>
      </w:r>
      <w:r>
        <w:rPr>
          <w:rFonts w:hint="eastAsia" w:ascii="宋体" w:hAnsi="宋体" w:eastAsia="宋体" w:cs="宋体"/>
          <w:color w:val="auto"/>
          <w:kern w:val="2"/>
          <w:highlight w:val="none"/>
          <w:lang w:val="zh-CN"/>
        </w:rPr>
        <w:t>：</w:t>
      </w:r>
    </w:p>
    <w:p w14:paraId="27E49D8A">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现</w:t>
      </w:r>
      <w:r>
        <w:rPr>
          <w:rFonts w:hint="eastAsia" w:ascii="宋体" w:hAnsi="宋体" w:eastAsia="宋体" w:cs="宋体"/>
          <w:color w:val="auto"/>
          <w:kern w:val="2"/>
          <w:highlight w:val="none"/>
          <w:lang w:val="zh-CN"/>
        </w:rPr>
        <w:t>委托</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（姓名）为我方代理人（身份证号码：</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，手机：</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），以我方名义处理</w:t>
      </w:r>
      <w:r>
        <w:rPr>
          <w:rFonts w:hint="eastAsia" w:ascii="宋体" w:hAnsi="宋体" w:eastAsia="宋体" w:cs="宋体"/>
          <w:color w:val="auto"/>
          <w:kern w:val="2"/>
          <w:highlight w:val="none"/>
        </w:rPr>
        <w:t>（项目名称）【招标编号：（采购编号）】</w:t>
      </w:r>
      <w:r>
        <w:rPr>
          <w:rFonts w:hint="eastAsia" w:ascii="宋体" w:hAnsi="宋体" w:eastAsia="宋体" w:cs="宋体"/>
          <w:color w:val="auto"/>
          <w:kern w:val="2"/>
          <w:highlight w:val="none"/>
          <w:lang w:val="zh-CN"/>
        </w:rPr>
        <w:t>采购投标的一切事项，其法律后果由我方承担。</w:t>
      </w:r>
    </w:p>
    <w:p w14:paraId="0DE205C3">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lang w:val="zh-CN"/>
        </w:rPr>
        <w:t>委托期限</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val="zh-CN"/>
        </w:rPr>
        <w:t>自</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年</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月</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日起至</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年</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月</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日止。</w:t>
      </w:r>
    </w:p>
    <w:p w14:paraId="2C63F3FD">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lang w:val="zh-CN"/>
        </w:rPr>
        <w:t>特此告知。</w:t>
      </w:r>
    </w:p>
    <w:p w14:paraId="7FEAF7A0">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43079CF3">
      <w:pPr>
        <w:jc w:val="right"/>
        <w:rPr>
          <w:rFonts w:ascii="宋体" w:hAnsi="宋体" w:eastAsia="宋体" w:cs="宋体"/>
          <w:color w:val="auto"/>
          <w:highlight w:val="none"/>
        </w:rPr>
      </w:pPr>
      <w:r>
        <w:rPr>
          <w:rFonts w:hint="eastAsia" w:ascii="宋体" w:hAnsi="宋体" w:eastAsia="宋体" w:cs="宋体"/>
          <w:color w:val="auto"/>
          <w:highlight w:val="none"/>
          <w:lang w:val="zh-CN"/>
        </w:rPr>
        <w:t>投标人名称（电子签名）：</w:t>
      </w:r>
    </w:p>
    <w:p w14:paraId="5831DF91">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签发日期：  年  月   日</w:t>
      </w:r>
    </w:p>
    <w:p w14:paraId="767CC140">
      <w:pPr>
        <w:spacing w:line="276" w:lineRule="auto"/>
        <w:rPr>
          <w:rFonts w:hint="eastAsia" w:ascii="宋体" w:hAnsi="宋体" w:eastAsia="宋体" w:cs="宋体"/>
          <w:color w:val="auto"/>
          <w:highlight w:val="none"/>
        </w:rPr>
      </w:pPr>
    </w:p>
    <w:p w14:paraId="20863073">
      <w:pPr>
        <w:spacing w:line="276" w:lineRule="auto"/>
        <w:rPr>
          <w:rFonts w:hint="eastAsia" w:ascii="宋体" w:hAnsi="宋体" w:eastAsia="宋体" w:cs="宋体"/>
          <w:color w:val="auto"/>
          <w:highlight w:val="none"/>
        </w:rPr>
      </w:pPr>
    </w:p>
    <w:p w14:paraId="549BF155">
      <w:pPr>
        <w:spacing w:line="276" w:lineRule="auto"/>
        <w:rPr>
          <w:rFonts w:hint="eastAsia" w:ascii="宋体" w:hAnsi="宋体" w:eastAsia="宋体" w:cs="宋体"/>
          <w:b/>
          <w:color w:val="auto"/>
          <w:sz w:val="32"/>
          <w:szCs w:val="32"/>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4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9207" w:type="dxa"/>
          </w:tcPr>
          <w:p w14:paraId="4C60810E">
            <w:pPr>
              <w:pStyle w:val="81"/>
              <w:adjustRightInd w:val="0"/>
              <w:spacing w:line="360" w:lineRule="auto"/>
              <w:rPr>
                <w:rFonts w:hAnsi="宋体" w:eastAsia="宋体" w:cs="宋体"/>
                <w:bCs/>
                <w:color w:val="auto"/>
                <w:sz w:val="24"/>
                <w:highlight w:val="none"/>
              </w:rPr>
            </w:pPr>
            <w:r>
              <w:rPr>
                <w:rFonts w:hint="eastAsia" w:hAnsi="宋体" w:eastAsia="宋体" w:cs="宋体"/>
                <w:bCs/>
                <w:color w:val="auto"/>
                <w:sz w:val="24"/>
                <w:highlight w:val="none"/>
              </w:rPr>
              <w:t>正面：                                 反面：</w:t>
            </w:r>
          </w:p>
          <w:p w14:paraId="05A51539">
            <w:pPr>
              <w:pStyle w:val="81"/>
              <w:adjustRightInd w:val="0"/>
              <w:spacing w:line="360" w:lineRule="auto"/>
              <w:rPr>
                <w:rFonts w:hAnsi="宋体" w:eastAsia="宋体" w:cs="宋体"/>
                <w:bCs/>
                <w:color w:val="auto"/>
                <w:sz w:val="24"/>
                <w:highlight w:val="none"/>
              </w:rPr>
            </w:pPr>
          </w:p>
        </w:tc>
      </w:tr>
    </w:tbl>
    <w:p w14:paraId="1E7A8B2B">
      <w:pPr>
        <w:spacing w:line="276" w:lineRule="auto"/>
        <w:rPr>
          <w:rFonts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p>
    <w:p w14:paraId="746181EF">
      <w:pPr>
        <w:autoSpaceDE w:val="0"/>
        <w:autoSpaceDN w:val="0"/>
        <w:spacing w:line="360" w:lineRule="auto"/>
        <w:jc w:val="center"/>
        <w:rPr>
          <w:rFonts w:ascii="宋体" w:hAnsi="宋体" w:eastAsia="宋体" w:cs="宋体"/>
          <w:b/>
          <w:color w:val="auto"/>
          <w:highlight w:val="none"/>
        </w:rPr>
      </w:pPr>
      <w:r>
        <w:rPr>
          <w:rFonts w:hint="eastAsia" w:ascii="宋体" w:hAnsi="宋体" w:eastAsia="宋体" w:cs="宋体"/>
          <w:b/>
          <w:color w:val="auto"/>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48E54CA">
      <w:pPr>
        <w:pStyle w:val="81"/>
        <w:spacing w:line="360" w:lineRule="auto"/>
        <w:rPr>
          <w:rFonts w:hAnsi="宋体" w:eastAsia="宋体" w:cs="宋体"/>
          <w:bCs/>
          <w:color w:val="auto"/>
          <w:sz w:val="24"/>
          <w:highlight w:val="none"/>
        </w:rPr>
      </w:pPr>
      <w:r>
        <w:rPr>
          <w:rFonts w:hint="eastAsia" w:hAnsi="宋体" w:eastAsia="宋体" w:cs="宋体"/>
          <w:bCs/>
          <w:color w:val="auto"/>
          <w:sz w:val="24"/>
          <w:highlight w:val="none"/>
        </w:rPr>
        <w:t>身份证件扫描件：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02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9207" w:type="dxa"/>
          </w:tcPr>
          <w:p w14:paraId="580EDFE3">
            <w:pPr>
              <w:pStyle w:val="81"/>
              <w:adjustRightInd w:val="0"/>
              <w:spacing w:line="360" w:lineRule="auto"/>
              <w:rPr>
                <w:rFonts w:hAnsi="宋体" w:eastAsia="宋体" w:cs="宋体"/>
                <w:bCs/>
                <w:color w:val="auto"/>
                <w:sz w:val="24"/>
                <w:highlight w:val="none"/>
              </w:rPr>
            </w:pPr>
            <w:r>
              <w:rPr>
                <w:rFonts w:hint="eastAsia" w:hAnsi="宋体" w:eastAsia="宋体" w:cs="宋体"/>
                <w:bCs/>
                <w:color w:val="auto"/>
                <w:sz w:val="24"/>
                <w:highlight w:val="none"/>
              </w:rPr>
              <w:t>正面：                                 反面：</w:t>
            </w:r>
          </w:p>
          <w:p w14:paraId="62EDD84C">
            <w:pPr>
              <w:pStyle w:val="81"/>
              <w:adjustRightInd w:val="0"/>
              <w:spacing w:line="360" w:lineRule="auto"/>
              <w:rPr>
                <w:rFonts w:hAnsi="宋体" w:eastAsia="宋体" w:cs="宋体"/>
                <w:bCs/>
                <w:color w:val="auto"/>
                <w:sz w:val="24"/>
                <w:highlight w:val="none"/>
              </w:rPr>
            </w:pPr>
          </w:p>
        </w:tc>
      </w:tr>
    </w:tbl>
    <w:p w14:paraId="3F45DA28">
      <w:pPr>
        <w:snapToGrid w:val="0"/>
        <w:spacing w:line="360" w:lineRule="auto"/>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04D5CB74">
      <w:pPr>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1C93AD5E">
      <w:pPr>
        <w:spacing w:line="276" w:lineRule="auto"/>
        <w:rPr>
          <w:rFonts w:ascii="宋体" w:hAnsi="宋体" w:eastAsia="宋体" w:cs="宋体"/>
          <w:color w:val="auto"/>
          <w:highlight w:val="none"/>
          <w:lang w:val="zh-CN"/>
        </w:rPr>
      </w:pPr>
      <w:r>
        <w:rPr>
          <w:rFonts w:hint="eastAsia" w:ascii="宋体" w:hAnsi="宋体" w:eastAsia="宋体" w:cs="宋体"/>
          <w:color w:val="auto"/>
          <w:highlight w:val="none"/>
        </w:rPr>
        <w:t>营业执照扫描件：</w:t>
      </w:r>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14:paraId="1D5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195" w:type="dxa"/>
          </w:tcPr>
          <w:p w14:paraId="2A1194C8">
            <w:pPr>
              <w:pStyle w:val="81"/>
              <w:adjustRightInd w:val="0"/>
              <w:spacing w:line="360" w:lineRule="auto"/>
              <w:rPr>
                <w:rFonts w:hAnsi="宋体" w:eastAsia="宋体" w:cs="宋体"/>
                <w:bCs/>
                <w:color w:val="auto"/>
                <w:sz w:val="24"/>
                <w:highlight w:val="none"/>
              </w:rPr>
            </w:pPr>
          </w:p>
        </w:tc>
      </w:tr>
    </w:tbl>
    <w:p w14:paraId="130DA3E2">
      <w:pPr>
        <w:snapToGrid w:val="0"/>
        <w:spacing w:line="360" w:lineRule="auto"/>
        <w:ind w:firstLine="576"/>
        <w:jc w:val="center"/>
        <w:rPr>
          <w:rFonts w:ascii="宋体" w:hAnsi="宋体" w:eastAsia="宋体" w:cs="宋体"/>
          <w:color w:val="auto"/>
          <w:highlight w:val="none"/>
          <w:lang w:val="zh-CN"/>
        </w:rPr>
      </w:pPr>
    </w:p>
    <w:p w14:paraId="69D018F9">
      <w:pPr>
        <w:snapToGrid w:val="0"/>
        <w:spacing w:line="360" w:lineRule="auto"/>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投标人名称（电子签名）：</w:t>
      </w:r>
    </w:p>
    <w:p w14:paraId="607D1EC2">
      <w:pPr>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14:paraId="034322B7">
      <w:pPr>
        <w:spacing w:line="276" w:lineRule="auto"/>
        <w:rPr>
          <w:rFonts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9B05617">
      <w:pPr>
        <w:pStyle w:val="3"/>
        <w:rPr>
          <w:rFonts w:ascii="宋体" w:hAnsi="宋体" w:eastAsia="宋体" w:cs="宋体"/>
          <w:color w:val="auto"/>
          <w:highlight w:val="none"/>
        </w:rPr>
      </w:pPr>
      <w:r>
        <w:rPr>
          <w:rFonts w:hint="eastAsia" w:ascii="宋体" w:hAnsi="宋体" w:eastAsia="宋体" w:cs="宋体"/>
          <w:color w:val="auto"/>
          <w:highlight w:val="none"/>
        </w:rPr>
        <w:t>三、符合性审查资料</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691"/>
        <w:gridCol w:w="3859"/>
        <w:gridCol w:w="1701"/>
      </w:tblGrid>
      <w:tr w14:paraId="496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4392DC">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2691" w:type="dxa"/>
            <w:vAlign w:val="center"/>
          </w:tcPr>
          <w:p w14:paraId="03C91775">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实质性要求</w:t>
            </w:r>
          </w:p>
        </w:tc>
        <w:tc>
          <w:tcPr>
            <w:tcW w:w="3859" w:type="dxa"/>
            <w:vAlign w:val="center"/>
          </w:tcPr>
          <w:p w14:paraId="41107C83">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701" w:type="dxa"/>
            <w:vAlign w:val="center"/>
          </w:tcPr>
          <w:p w14:paraId="61358D39">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投标文件中的</w:t>
            </w:r>
          </w:p>
          <w:p w14:paraId="3F234137">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页码位置</w:t>
            </w:r>
          </w:p>
        </w:tc>
      </w:tr>
      <w:tr w14:paraId="7C57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B0320E">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691" w:type="dxa"/>
            <w:vAlign w:val="center"/>
          </w:tcPr>
          <w:p w14:paraId="796BE299">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投标文件按照招标文件要求签署、盖章。</w:t>
            </w:r>
          </w:p>
        </w:tc>
        <w:tc>
          <w:tcPr>
            <w:tcW w:w="3859" w:type="dxa"/>
            <w:vAlign w:val="center"/>
          </w:tcPr>
          <w:p w14:paraId="29BD501A">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需要使用电子签名或者签字盖章的投标文件的组成部分</w:t>
            </w:r>
          </w:p>
        </w:tc>
        <w:tc>
          <w:tcPr>
            <w:tcW w:w="1701" w:type="dxa"/>
            <w:vAlign w:val="center"/>
          </w:tcPr>
          <w:p w14:paraId="0FF9E71C">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684023A9">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页</w:t>
            </w:r>
          </w:p>
        </w:tc>
      </w:tr>
      <w:tr w14:paraId="347F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99266">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691" w:type="dxa"/>
            <w:vAlign w:val="center"/>
          </w:tcPr>
          <w:p w14:paraId="082B2F0E">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投标文件中承诺的投标有效期不少于招标文件中载明的投标有效期。</w:t>
            </w:r>
          </w:p>
        </w:tc>
        <w:tc>
          <w:tcPr>
            <w:tcW w:w="3859" w:type="dxa"/>
            <w:vAlign w:val="center"/>
          </w:tcPr>
          <w:p w14:paraId="0E54F62D">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投标函</w:t>
            </w:r>
          </w:p>
        </w:tc>
        <w:tc>
          <w:tcPr>
            <w:tcW w:w="1701" w:type="dxa"/>
            <w:vAlign w:val="center"/>
          </w:tcPr>
          <w:p w14:paraId="7A1BFB3A">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3255E53D">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页</w:t>
            </w:r>
          </w:p>
        </w:tc>
      </w:tr>
      <w:tr w14:paraId="1F48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4AC21">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2691" w:type="dxa"/>
            <w:vAlign w:val="center"/>
          </w:tcPr>
          <w:p w14:paraId="39E616AD">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投标文件满足招标文件的其它实质性要求。</w:t>
            </w:r>
          </w:p>
        </w:tc>
        <w:tc>
          <w:tcPr>
            <w:tcW w:w="3859" w:type="dxa"/>
            <w:vAlign w:val="center"/>
          </w:tcPr>
          <w:p w14:paraId="014F28D8">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招标文件其它实质性要求相应的材料（“▲” 系指实质性要求条款，不允许有负偏离，否则将以涉及无效响应条款作无效响应。）</w:t>
            </w:r>
          </w:p>
        </w:tc>
        <w:tc>
          <w:tcPr>
            <w:tcW w:w="1701" w:type="dxa"/>
            <w:vAlign w:val="center"/>
          </w:tcPr>
          <w:p w14:paraId="50B7FA1B">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420C4D48">
            <w:pPr>
              <w:widowControl w:val="0"/>
              <w:adjustRightInd w:val="0"/>
              <w:spacing w:after="0" w:line="440" w:lineRule="exact"/>
              <w:jc w:val="center"/>
              <w:rPr>
                <w:rFonts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页</w:t>
            </w:r>
          </w:p>
        </w:tc>
      </w:tr>
    </w:tbl>
    <w:p w14:paraId="10530B3B">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14:paraId="05DACCA1">
      <w:pPr>
        <w:rPr>
          <w:rFonts w:ascii="宋体" w:hAnsi="宋体" w:eastAsia="宋体" w:cs="宋体"/>
          <w:color w:val="auto"/>
          <w:highlight w:val="none"/>
        </w:rPr>
      </w:pPr>
      <w:r>
        <w:rPr>
          <w:rFonts w:hint="eastAsia" w:ascii="宋体" w:hAnsi="宋体" w:eastAsia="宋体" w:cs="宋体"/>
          <w:color w:val="auto"/>
          <w:highlight w:val="none"/>
        </w:rPr>
        <w:br w:type="page"/>
      </w:r>
    </w:p>
    <w:p w14:paraId="4E2E5E4B">
      <w:pPr>
        <w:pStyle w:val="3"/>
        <w:rPr>
          <w:rFonts w:ascii="宋体" w:hAnsi="宋体" w:eastAsia="宋体" w:cs="宋体"/>
          <w:color w:val="auto"/>
          <w:highlight w:val="none"/>
        </w:rPr>
      </w:pPr>
      <w:r>
        <w:rPr>
          <w:rFonts w:hint="eastAsia" w:ascii="宋体" w:hAnsi="宋体" w:eastAsia="宋体" w:cs="宋体"/>
          <w:color w:val="auto"/>
          <w:highlight w:val="none"/>
        </w:rPr>
        <w:t>四、评标标准相应的商务技术资料</w:t>
      </w:r>
    </w:p>
    <w:p w14:paraId="26223D5C">
      <w:pPr>
        <w:snapToGrid w:val="0"/>
        <w:spacing w:line="360" w:lineRule="auto"/>
        <w:rPr>
          <w:rFonts w:ascii="宋体" w:hAnsi="宋体" w:eastAsia="宋体" w:cs="宋体"/>
          <w:b/>
          <w:color w:val="auto"/>
          <w:highlight w:val="none"/>
        </w:rPr>
      </w:pPr>
      <w:r>
        <w:rPr>
          <w:rFonts w:hint="eastAsia" w:ascii="宋体" w:hAnsi="宋体" w:eastAsia="宋体" w:cs="宋体"/>
          <w:b/>
          <w:color w:val="auto"/>
          <w:highlight w:val="none"/>
        </w:rPr>
        <w:t>（按招标文件第四部分评标办法前附表中“投标文件中评标标准相应的商务技术资料目录”提供资料。）</w:t>
      </w:r>
    </w:p>
    <w:p w14:paraId="72B08B9E">
      <w:pPr>
        <w:pStyle w:val="3"/>
        <w:rPr>
          <w:rFonts w:ascii="宋体" w:hAnsi="宋体" w:eastAsia="宋体" w:cs="宋体"/>
          <w:color w:val="auto"/>
          <w:highlight w:val="none"/>
        </w:rPr>
      </w:pPr>
    </w:p>
    <w:p w14:paraId="5B737DFD">
      <w:pPr>
        <w:pStyle w:val="3"/>
        <w:rPr>
          <w:rFonts w:ascii="宋体" w:hAnsi="宋体" w:eastAsia="宋体" w:cs="宋体"/>
          <w:color w:val="auto"/>
          <w:highlight w:val="none"/>
        </w:rPr>
      </w:pPr>
    </w:p>
    <w:p w14:paraId="56AA0042">
      <w:pPr>
        <w:pStyle w:val="3"/>
        <w:rPr>
          <w:rFonts w:ascii="宋体" w:hAnsi="宋体" w:eastAsia="宋体" w:cs="宋体"/>
          <w:color w:val="auto"/>
          <w:highlight w:val="none"/>
        </w:rPr>
      </w:pPr>
      <w:r>
        <w:rPr>
          <w:rFonts w:hint="eastAsia" w:ascii="宋体" w:hAnsi="宋体" w:eastAsia="宋体" w:cs="宋体"/>
          <w:color w:val="auto"/>
          <w:highlight w:val="none"/>
        </w:rPr>
        <w:t>五、投标标的清单</w:t>
      </w:r>
    </w:p>
    <w:tbl>
      <w:tblPr>
        <w:tblStyle w:val="3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8"/>
        <w:gridCol w:w="1373"/>
        <w:gridCol w:w="2468"/>
        <w:gridCol w:w="930"/>
        <w:gridCol w:w="1526"/>
      </w:tblGrid>
      <w:tr w14:paraId="651E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D4556">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134FD2">
            <w:pPr>
              <w:jc w:val="center"/>
              <w:rPr>
                <w:rFonts w:ascii="宋体" w:hAnsi="宋体" w:eastAsia="宋体" w:cs="宋体"/>
                <w:color w:val="auto"/>
                <w:highlight w:val="none"/>
              </w:rPr>
            </w:pPr>
            <w:r>
              <w:rPr>
                <w:rFonts w:hint="eastAsia" w:ascii="宋体" w:hAnsi="宋体" w:eastAsia="宋体" w:cs="宋体"/>
                <w:color w:val="auto"/>
                <w:highlight w:val="none"/>
              </w:rPr>
              <w:t>名称</w:t>
            </w:r>
          </w:p>
        </w:tc>
        <w:tc>
          <w:tcPr>
            <w:tcW w:w="1308" w:type="dxa"/>
            <w:tcBorders>
              <w:top w:val="single" w:color="auto" w:sz="4" w:space="0"/>
              <w:left w:val="single" w:color="auto" w:sz="4" w:space="0"/>
              <w:bottom w:val="single" w:color="auto" w:sz="4" w:space="0"/>
              <w:right w:val="single" w:color="auto" w:sz="4" w:space="0"/>
            </w:tcBorders>
            <w:vAlign w:val="center"/>
          </w:tcPr>
          <w:p w14:paraId="20A908DD">
            <w:pPr>
              <w:jc w:val="center"/>
              <w:rPr>
                <w:rFonts w:ascii="宋体" w:hAnsi="宋体" w:eastAsia="宋体" w:cs="宋体"/>
                <w:color w:val="auto"/>
                <w:highlight w:val="none"/>
              </w:rPr>
            </w:pPr>
            <w:r>
              <w:rPr>
                <w:rFonts w:hint="eastAsia" w:ascii="宋体" w:hAnsi="宋体" w:eastAsia="宋体" w:cs="宋体"/>
                <w:color w:val="auto"/>
                <w:highlight w:val="none"/>
              </w:rPr>
              <w:t>品牌</w:t>
            </w:r>
          </w:p>
        </w:tc>
        <w:tc>
          <w:tcPr>
            <w:tcW w:w="1373" w:type="dxa"/>
            <w:tcBorders>
              <w:top w:val="single" w:color="auto" w:sz="4" w:space="0"/>
              <w:left w:val="single" w:color="auto" w:sz="4" w:space="0"/>
              <w:bottom w:val="single" w:color="auto" w:sz="4" w:space="0"/>
              <w:right w:val="single" w:color="auto" w:sz="4" w:space="0"/>
            </w:tcBorders>
            <w:vAlign w:val="center"/>
          </w:tcPr>
          <w:p w14:paraId="3C058C81">
            <w:pPr>
              <w:jc w:val="center"/>
              <w:rPr>
                <w:rFonts w:ascii="宋体" w:hAnsi="宋体" w:eastAsia="宋体" w:cs="宋体"/>
                <w:color w:val="auto"/>
                <w:highlight w:val="none"/>
              </w:rPr>
            </w:pPr>
            <w:r>
              <w:rPr>
                <w:rFonts w:hint="eastAsia" w:ascii="宋体" w:hAnsi="宋体" w:eastAsia="宋体" w:cs="宋体"/>
                <w:color w:val="auto"/>
                <w:highlight w:val="none"/>
              </w:rPr>
              <w:t>型号</w:t>
            </w:r>
          </w:p>
          <w:p w14:paraId="4BE720E0">
            <w:pPr>
              <w:jc w:val="center"/>
              <w:rPr>
                <w:rFonts w:ascii="宋体" w:hAnsi="宋体" w:eastAsia="宋体" w:cs="宋体"/>
                <w:color w:val="auto"/>
                <w:highlight w:val="none"/>
              </w:rPr>
            </w:pPr>
            <w:r>
              <w:rPr>
                <w:rFonts w:hint="eastAsia" w:ascii="宋体" w:hAnsi="宋体" w:eastAsia="宋体" w:cs="宋体"/>
                <w:color w:val="auto"/>
                <w:highlight w:val="none"/>
              </w:rPr>
              <w:t>（如果有）</w:t>
            </w:r>
          </w:p>
        </w:tc>
        <w:tc>
          <w:tcPr>
            <w:tcW w:w="2468" w:type="dxa"/>
            <w:tcBorders>
              <w:top w:val="single" w:color="auto" w:sz="4" w:space="0"/>
              <w:left w:val="single" w:color="auto" w:sz="4" w:space="0"/>
              <w:bottom w:val="single" w:color="auto" w:sz="4" w:space="0"/>
              <w:right w:val="single" w:color="auto" w:sz="4" w:space="0"/>
            </w:tcBorders>
            <w:vAlign w:val="center"/>
          </w:tcPr>
          <w:p w14:paraId="757A95E4">
            <w:pPr>
              <w:jc w:val="center"/>
              <w:rPr>
                <w:rFonts w:ascii="宋体" w:hAnsi="宋体" w:eastAsia="宋体" w:cs="宋体"/>
                <w:color w:val="auto"/>
                <w:highlight w:val="none"/>
              </w:rPr>
            </w:pPr>
            <w:r>
              <w:rPr>
                <w:rFonts w:hint="eastAsia" w:ascii="宋体" w:hAnsi="宋体" w:eastAsia="宋体" w:cs="宋体"/>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A1EE3B1">
            <w:pPr>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B34E3D5">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1EE3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13D01C">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EC4CEF">
            <w:pPr>
              <w:rPr>
                <w:rFonts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742A038">
            <w:pPr>
              <w:rPr>
                <w:rFonts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39BD246B">
            <w:pPr>
              <w:rPr>
                <w:rFonts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69F17A7E">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AD70FF">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38F5EA">
            <w:pPr>
              <w:rPr>
                <w:rFonts w:ascii="宋体" w:hAnsi="宋体" w:eastAsia="宋体" w:cs="宋体"/>
                <w:color w:val="auto"/>
                <w:highlight w:val="none"/>
              </w:rPr>
            </w:pPr>
          </w:p>
        </w:tc>
      </w:tr>
      <w:tr w14:paraId="568B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F07C0A">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6433962">
            <w:pPr>
              <w:rPr>
                <w:rFonts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A53EF6C">
            <w:pPr>
              <w:rPr>
                <w:rFonts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30364EF5">
            <w:pPr>
              <w:rPr>
                <w:rFonts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5E114C9F">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A6B0EF">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12C62C">
            <w:pPr>
              <w:rPr>
                <w:rFonts w:ascii="宋体" w:hAnsi="宋体" w:eastAsia="宋体" w:cs="宋体"/>
                <w:color w:val="auto"/>
                <w:highlight w:val="none"/>
              </w:rPr>
            </w:pPr>
          </w:p>
        </w:tc>
      </w:tr>
      <w:tr w14:paraId="3219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A3151">
            <w:pPr>
              <w:rPr>
                <w:rFonts w:ascii="宋体" w:hAnsi="宋体" w:eastAsia="宋体" w:cs="宋体"/>
                <w:color w:val="auto"/>
                <w:highlight w:val="none"/>
              </w:rPr>
            </w:pPr>
            <w:r>
              <w:rPr>
                <w:rFonts w:hint="eastAsia" w:ascii="宋体" w:hAnsi="宋体" w:eastAsia="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FE8338F">
            <w:pPr>
              <w:rPr>
                <w:rFonts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3603C1EB">
            <w:pPr>
              <w:rPr>
                <w:rFonts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23E35A99">
            <w:pPr>
              <w:rPr>
                <w:rFonts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4AAF3562">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62EEA7">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B7ACD0">
            <w:pPr>
              <w:rPr>
                <w:rFonts w:ascii="宋体" w:hAnsi="宋体" w:eastAsia="宋体" w:cs="宋体"/>
                <w:color w:val="auto"/>
                <w:highlight w:val="none"/>
              </w:rPr>
            </w:pPr>
          </w:p>
        </w:tc>
      </w:tr>
    </w:tbl>
    <w:p w14:paraId="0417EE2E">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14:paraId="2817F08A">
      <w:pPr>
        <w:pStyle w:val="3"/>
        <w:rPr>
          <w:rFonts w:ascii="宋体" w:hAnsi="宋体" w:eastAsia="宋体" w:cs="宋体"/>
          <w:color w:val="auto"/>
          <w:highlight w:val="none"/>
        </w:rPr>
      </w:pPr>
    </w:p>
    <w:p w14:paraId="4A3FBD17">
      <w:pPr>
        <w:pStyle w:val="3"/>
        <w:rPr>
          <w:rFonts w:ascii="宋体" w:hAnsi="宋体" w:eastAsia="宋体" w:cs="宋体"/>
          <w:color w:val="auto"/>
          <w:highlight w:val="none"/>
        </w:rPr>
      </w:pPr>
      <w:r>
        <w:rPr>
          <w:rFonts w:hint="eastAsia" w:ascii="宋体" w:hAnsi="宋体" w:eastAsia="宋体" w:cs="宋体"/>
          <w:color w:val="auto"/>
          <w:highlight w:val="none"/>
        </w:rPr>
        <w:t>六、商务技术偏离表</w:t>
      </w:r>
    </w:p>
    <w:tbl>
      <w:tblPr>
        <w:tblStyle w:val="31"/>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B0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59" w:type="dxa"/>
            <w:vAlign w:val="center"/>
          </w:tcPr>
          <w:p w14:paraId="6337A1C4">
            <w:pPr>
              <w:spacing w:after="0"/>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vAlign w:val="center"/>
          </w:tcPr>
          <w:p w14:paraId="4182B1CF">
            <w:pPr>
              <w:spacing w:after="0"/>
              <w:jc w:val="center"/>
              <w:rPr>
                <w:rFonts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vAlign w:val="center"/>
          </w:tcPr>
          <w:p w14:paraId="4687CBEA">
            <w:pPr>
              <w:spacing w:after="0"/>
              <w:jc w:val="center"/>
              <w:rPr>
                <w:rFonts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vAlign w:val="center"/>
          </w:tcPr>
          <w:p w14:paraId="0C60785A">
            <w:pPr>
              <w:spacing w:after="0"/>
              <w:jc w:val="center"/>
              <w:rPr>
                <w:rFonts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150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363ADD">
            <w:pPr>
              <w:spacing w:after="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3683" w:type="dxa"/>
          </w:tcPr>
          <w:p w14:paraId="4BDE8555">
            <w:pPr>
              <w:spacing w:after="0"/>
              <w:jc w:val="center"/>
              <w:rPr>
                <w:rFonts w:ascii="宋体" w:hAnsi="宋体" w:eastAsia="宋体" w:cs="宋体"/>
                <w:b/>
                <w:color w:val="auto"/>
                <w:sz w:val="32"/>
                <w:szCs w:val="32"/>
                <w:highlight w:val="none"/>
              </w:rPr>
            </w:pPr>
          </w:p>
        </w:tc>
        <w:tc>
          <w:tcPr>
            <w:tcW w:w="3546" w:type="dxa"/>
          </w:tcPr>
          <w:p w14:paraId="60917049">
            <w:pPr>
              <w:spacing w:after="0"/>
              <w:jc w:val="center"/>
              <w:rPr>
                <w:rFonts w:ascii="宋体" w:hAnsi="宋体" w:eastAsia="宋体" w:cs="宋体"/>
                <w:b/>
                <w:color w:val="auto"/>
                <w:sz w:val="32"/>
                <w:szCs w:val="32"/>
                <w:highlight w:val="none"/>
              </w:rPr>
            </w:pPr>
          </w:p>
        </w:tc>
        <w:tc>
          <w:tcPr>
            <w:tcW w:w="1276" w:type="dxa"/>
          </w:tcPr>
          <w:p w14:paraId="1BF5E9D9">
            <w:pPr>
              <w:spacing w:after="0"/>
              <w:jc w:val="center"/>
              <w:rPr>
                <w:rFonts w:ascii="宋体" w:hAnsi="宋体" w:eastAsia="宋体" w:cs="宋体"/>
                <w:b/>
                <w:color w:val="auto"/>
                <w:sz w:val="32"/>
                <w:szCs w:val="32"/>
                <w:highlight w:val="none"/>
              </w:rPr>
            </w:pPr>
          </w:p>
        </w:tc>
      </w:tr>
      <w:tr w14:paraId="3348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5F02507">
            <w:pPr>
              <w:spacing w:after="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3683" w:type="dxa"/>
          </w:tcPr>
          <w:p w14:paraId="32423153">
            <w:pPr>
              <w:spacing w:after="0"/>
              <w:jc w:val="center"/>
              <w:rPr>
                <w:rFonts w:ascii="宋体" w:hAnsi="宋体" w:eastAsia="宋体" w:cs="宋体"/>
                <w:b/>
                <w:color w:val="auto"/>
                <w:sz w:val="32"/>
                <w:szCs w:val="32"/>
                <w:highlight w:val="none"/>
              </w:rPr>
            </w:pPr>
          </w:p>
        </w:tc>
        <w:tc>
          <w:tcPr>
            <w:tcW w:w="3546" w:type="dxa"/>
          </w:tcPr>
          <w:p w14:paraId="4127642E">
            <w:pPr>
              <w:spacing w:after="0"/>
              <w:jc w:val="center"/>
              <w:rPr>
                <w:rFonts w:ascii="宋体" w:hAnsi="宋体" w:eastAsia="宋体" w:cs="宋体"/>
                <w:b/>
                <w:color w:val="auto"/>
                <w:sz w:val="32"/>
                <w:szCs w:val="32"/>
                <w:highlight w:val="none"/>
              </w:rPr>
            </w:pPr>
          </w:p>
        </w:tc>
        <w:tc>
          <w:tcPr>
            <w:tcW w:w="1276" w:type="dxa"/>
          </w:tcPr>
          <w:p w14:paraId="5D5CAEC5">
            <w:pPr>
              <w:spacing w:after="0"/>
              <w:jc w:val="center"/>
              <w:rPr>
                <w:rFonts w:ascii="宋体" w:hAnsi="宋体" w:eastAsia="宋体" w:cs="宋体"/>
                <w:b/>
                <w:color w:val="auto"/>
                <w:sz w:val="32"/>
                <w:szCs w:val="32"/>
                <w:highlight w:val="none"/>
              </w:rPr>
            </w:pPr>
          </w:p>
        </w:tc>
      </w:tr>
      <w:tr w14:paraId="64D9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29ECC">
            <w:pPr>
              <w:spacing w:after="0"/>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3683" w:type="dxa"/>
          </w:tcPr>
          <w:p w14:paraId="45F44C39">
            <w:pPr>
              <w:spacing w:after="0"/>
              <w:jc w:val="center"/>
              <w:rPr>
                <w:rFonts w:ascii="宋体" w:hAnsi="宋体" w:eastAsia="宋体" w:cs="宋体"/>
                <w:b/>
                <w:color w:val="auto"/>
                <w:sz w:val="32"/>
                <w:szCs w:val="32"/>
                <w:highlight w:val="none"/>
              </w:rPr>
            </w:pPr>
          </w:p>
        </w:tc>
        <w:tc>
          <w:tcPr>
            <w:tcW w:w="3546" w:type="dxa"/>
          </w:tcPr>
          <w:p w14:paraId="75B076B9">
            <w:pPr>
              <w:spacing w:after="0"/>
              <w:jc w:val="center"/>
              <w:rPr>
                <w:rFonts w:ascii="宋体" w:hAnsi="宋体" w:eastAsia="宋体" w:cs="宋体"/>
                <w:b/>
                <w:color w:val="auto"/>
                <w:sz w:val="32"/>
                <w:szCs w:val="32"/>
                <w:highlight w:val="none"/>
              </w:rPr>
            </w:pPr>
          </w:p>
        </w:tc>
        <w:tc>
          <w:tcPr>
            <w:tcW w:w="1276" w:type="dxa"/>
          </w:tcPr>
          <w:p w14:paraId="0AED5142">
            <w:pPr>
              <w:spacing w:after="0"/>
              <w:jc w:val="center"/>
              <w:rPr>
                <w:rFonts w:ascii="宋体" w:hAnsi="宋体" w:eastAsia="宋体" w:cs="宋体"/>
                <w:b/>
                <w:color w:val="auto"/>
                <w:sz w:val="32"/>
                <w:szCs w:val="32"/>
                <w:highlight w:val="none"/>
              </w:rPr>
            </w:pPr>
          </w:p>
        </w:tc>
      </w:tr>
    </w:tbl>
    <w:p w14:paraId="05032EF7">
      <w:pPr>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投标人保证：除商务技术偏离表列出的偏离外，投标人响应招标文件的全部要求</w:t>
      </w:r>
      <w:r>
        <w:rPr>
          <w:rFonts w:hint="eastAsia" w:ascii="宋体" w:hAnsi="宋体" w:eastAsia="宋体" w:cs="宋体"/>
          <w:color w:val="auto"/>
          <w:highlight w:val="none"/>
          <w:lang w:eastAsia="zh-CN"/>
        </w:rPr>
        <w:t>。</w:t>
      </w:r>
    </w:p>
    <w:p w14:paraId="6D0449C5">
      <w:pPr>
        <w:spacing w:line="360" w:lineRule="auto"/>
        <w:ind w:right="420"/>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14:paraId="204D21E1">
      <w:pPr>
        <w:spacing w:line="276" w:lineRule="auto"/>
        <w:rPr>
          <w:rFonts w:ascii="宋体" w:hAnsi="宋体" w:eastAsia="宋体" w:cs="宋体"/>
          <w:b/>
          <w:color w:val="auto"/>
          <w:highlight w:val="none"/>
        </w:rPr>
      </w:pPr>
      <w:r>
        <w:rPr>
          <w:rFonts w:hint="eastAsia" w:ascii="宋体" w:hAnsi="宋体" w:eastAsia="宋体" w:cs="宋体"/>
          <w:b/>
          <w:color w:val="auto"/>
          <w:highlight w:val="none"/>
        </w:rPr>
        <w:br w:type="page"/>
      </w:r>
    </w:p>
    <w:p w14:paraId="6A66DF1A">
      <w:pPr>
        <w:pStyle w:val="3"/>
        <w:rPr>
          <w:rFonts w:ascii="宋体" w:hAnsi="宋体" w:eastAsia="宋体" w:cs="宋体"/>
          <w:color w:val="auto"/>
          <w:highlight w:val="none"/>
        </w:rPr>
      </w:pPr>
      <w:r>
        <w:rPr>
          <w:rFonts w:hint="eastAsia" w:ascii="宋体" w:hAnsi="宋体" w:eastAsia="宋体" w:cs="宋体"/>
          <w:bCs/>
          <w:color w:val="auto"/>
          <w:highlight w:val="none"/>
        </w:rPr>
        <w:t>七</w:t>
      </w:r>
      <w:r>
        <w:rPr>
          <w:rFonts w:hint="eastAsia" w:ascii="宋体" w:hAnsi="宋体" w:eastAsia="宋体" w:cs="宋体"/>
          <w:color w:val="auto"/>
          <w:highlight w:val="none"/>
        </w:rPr>
        <w:t>、</w:t>
      </w:r>
      <w:r>
        <w:rPr>
          <w:rFonts w:hint="eastAsia" w:ascii="宋体" w:hAnsi="宋体" w:eastAsia="宋体" w:cs="宋体"/>
          <w:color w:val="auto"/>
          <w:highlight w:val="none"/>
          <w:lang w:val="zh-CN"/>
        </w:rPr>
        <w:t>采购供应商廉洁自律承诺书</w:t>
      </w:r>
    </w:p>
    <w:p w14:paraId="34F35A1E">
      <w:pPr>
        <w:widowControl w:val="0"/>
        <w:adjustRightInd w:val="0"/>
        <w:spacing w:after="0" w:line="60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u w:val="single"/>
        </w:rPr>
        <w:t>（</w:t>
      </w:r>
      <w:r>
        <w:rPr>
          <w:rFonts w:hint="eastAsia" w:ascii="宋体" w:hAnsi="宋体" w:eastAsia="宋体" w:cs="宋体"/>
          <w:color w:val="auto"/>
          <w:highlight w:val="none"/>
          <w:u w:val="single"/>
        </w:rPr>
        <w:t>采购人</w:t>
      </w:r>
      <w:r>
        <w:rPr>
          <w:rFonts w:hint="eastAsia" w:ascii="宋体" w:hAnsi="宋体" w:eastAsia="宋体" w:cs="宋体"/>
          <w:color w:val="auto"/>
          <w:kern w:val="2"/>
          <w:highlight w:val="none"/>
          <w:u w:val="single"/>
        </w:rPr>
        <w:t>）、（采购代理机构）</w:t>
      </w:r>
      <w:r>
        <w:rPr>
          <w:rFonts w:hint="eastAsia" w:ascii="宋体" w:hAnsi="宋体" w:eastAsia="宋体" w:cs="宋体"/>
          <w:color w:val="auto"/>
          <w:kern w:val="2"/>
          <w:highlight w:val="none"/>
          <w:lang w:val="zh-CN"/>
        </w:rPr>
        <w:t>：</w:t>
      </w:r>
    </w:p>
    <w:p w14:paraId="18C1B535">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我单位响应你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项目招标要求参加投标。在这次投标过程中和中标后，我们将严格遵守国家法律法规要求，并郑重承诺：</w:t>
      </w:r>
    </w:p>
    <w:p w14:paraId="5D468DBB">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一、不向项目有关人员及部门赠送礼金礼物、有价证券、回扣以及中介费、介绍费、咨询费等好处费； </w:t>
      </w:r>
    </w:p>
    <w:p w14:paraId="2A700174">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二、不为项目有关人员及部门报销应由你方单位或个人支付的费用； </w:t>
      </w:r>
    </w:p>
    <w:p w14:paraId="0DA1714B">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三、不向项目有关人员及部门提供有可能影响公正的宴请和健身娱乐等活动； </w:t>
      </w:r>
    </w:p>
    <w:p w14:paraId="3CF8513D">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四、不为项目有关人员及部门出国（境）、旅游等提供方便；</w:t>
      </w:r>
    </w:p>
    <w:p w14:paraId="555AAF51">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五、不为项目有关人员个人装修住房、婚丧嫁娶、配偶子女工作安排等提供</w:t>
      </w:r>
    </w:p>
    <w:p w14:paraId="05160278">
      <w:pPr>
        <w:widowControl w:val="0"/>
        <w:adjustRightInd w:val="0"/>
        <w:spacing w:after="0" w:line="600" w:lineRule="exact"/>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好处；</w:t>
      </w:r>
    </w:p>
    <w:p w14:paraId="7A1DC8C1">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六、严格遵守《中华人民共和国政府采购法》《中华人民共和国招标投标法》《中华人民共和国民法典》等法律法规，诚实守信，合法经营，坚决抵制各种违法违纪行为。 </w:t>
      </w:r>
    </w:p>
    <w:p w14:paraId="1EB15C1A">
      <w:pPr>
        <w:widowControl w:val="0"/>
        <w:adjustRightInd w:val="0"/>
        <w:spacing w:after="0" w:line="60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如违反上述承诺，你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有权立即取消我单位投标、中标或在建项目的建设资格，有权拒绝我单位在一定时期内进入你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进行项目建设或其他经营活动，并通报市财政局。由此引起的相应损失均由我单位承担。</w:t>
      </w:r>
    </w:p>
    <w:p w14:paraId="377E7761">
      <w:pPr>
        <w:spacing w:line="600" w:lineRule="exact"/>
        <w:rPr>
          <w:rFonts w:ascii="宋体" w:hAnsi="宋体" w:eastAsia="宋体" w:cs="宋体"/>
          <w:color w:val="auto"/>
          <w:highlight w:val="none"/>
          <w:lang w:val="zh-CN"/>
        </w:rPr>
      </w:pPr>
    </w:p>
    <w:p w14:paraId="4C1381F9">
      <w:pPr>
        <w:spacing w:line="600" w:lineRule="exact"/>
        <w:jc w:val="right"/>
        <w:rPr>
          <w:rFonts w:ascii="宋体" w:hAnsi="宋体" w:eastAsia="宋体" w:cs="宋体"/>
          <w:color w:val="auto"/>
          <w:highlight w:val="none"/>
          <w:lang w:val="zh-CN"/>
        </w:rPr>
      </w:pPr>
      <w:r>
        <w:rPr>
          <w:rFonts w:hint="eastAsia" w:ascii="宋体" w:hAnsi="宋体" w:eastAsia="宋体" w:cs="宋体"/>
          <w:color w:val="auto"/>
          <w:highlight w:val="none"/>
          <w:lang w:val="zh-CN"/>
        </w:rPr>
        <w:t>投标人名称（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 xml:space="preserve">）： </w:t>
      </w:r>
    </w:p>
    <w:p w14:paraId="3ACE0BBF">
      <w:pPr>
        <w:spacing w:line="600" w:lineRule="exact"/>
        <w:jc w:val="right"/>
        <w:rPr>
          <w:rFonts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14:paraId="6998F5AC">
      <w:pPr>
        <w:spacing w:line="600" w:lineRule="exact"/>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14:paraId="5C88A85B">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14:paraId="022D25D6">
      <w:pPr>
        <w:pStyle w:val="3"/>
        <w:rPr>
          <w:rFonts w:ascii="宋体" w:hAnsi="宋体" w:eastAsia="宋体" w:cs="宋体"/>
          <w:color w:val="auto"/>
          <w:highlight w:val="none"/>
        </w:rPr>
      </w:pPr>
      <w:r>
        <w:rPr>
          <w:rFonts w:hint="eastAsia" w:ascii="宋体" w:hAnsi="宋体" w:eastAsia="宋体" w:cs="宋体"/>
          <w:color w:val="auto"/>
          <w:highlight w:val="none"/>
        </w:rPr>
        <w:t>报价文件部分</w:t>
      </w:r>
    </w:p>
    <w:p w14:paraId="0CA0A039">
      <w:pPr>
        <w:jc w:val="center"/>
        <w:rPr>
          <w:rFonts w:ascii="宋体" w:hAnsi="宋体" w:eastAsia="宋体" w:cs="宋体"/>
          <w:color w:val="auto"/>
          <w:sz w:val="40"/>
          <w:highlight w:val="none"/>
        </w:rPr>
      </w:pPr>
      <w:r>
        <w:rPr>
          <w:rFonts w:hint="eastAsia" w:ascii="宋体" w:hAnsi="宋体" w:eastAsia="宋体" w:cs="宋体"/>
          <w:color w:val="auto"/>
          <w:sz w:val="40"/>
          <w:highlight w:val="none"/>
        </w:rPr>
        <w:t>目录</w:t>
      </w:r>
    </w:p>
    <w:p w14:paraId="66D6D56D">
      <w:pPr>
        <w:rPr>
          <w:rFonts w:ascii="宋体" w:hAnsi="宋体" w:eastAsia="宋体" w:cs="宋体"/>
          <w:color w:val="auto"/>
          <w:highlight w:val="none"/>
        </w:rPr>
      </w:pPr>
      <w:r>
        <w:rPr>
          <w:rFonts w:hint="eastAsia" w:ascii="宋体" w:hAnsi="宋体" w:eastAsia="宋体" w:cs="宋体"/>
          <w:color w:val="auto"/>
          <w:highlight w:val="none"/>
        </w:rPr>
        <w:t>（1）开标一览表（报价表）…………………………………………………（页码）</w:t>
      </w:r>
    </w:p>
    <w:p w14:paraId="39F5CAFA">
      <w:pPr>
        <w:pStyle w:val="3"/>
        <w:rPr>
          <w:rFonts w:ascii="宋体" w:hAnsi="宋体" w:eastAsia="宋体" w:cs="宋体"/>
          <w:color w:val="auto"/>
          <w:highlight w:val="none"/>
        </w:rPr>
      </w:pPr>
    </w:p>
    <w:p w14:paraId="3F6A0067">
      <w:pPr>
        <w:pStyle w:val="2"/>
        <w:tabs>
          <w:tab w:val="left" w:pos="432"/>
        </w:tabs>
        <w:jc w:val="center"/>
        <w:rPr>
          <w:rFonts w:hint="eastAsia" w:ascii="宋体" w:hAnsi="宋体" w:eastAsia="宋体" w:cs="宋体"/>
          <w:b/>
          <w:bCs w:val="0"/>
          <w:color w:val="auto"/>
          <w:sz w:val="44"/>
          <w:szCs w:val="44"/>
          <w:highlight w:val="none"/>
          <w:lang w:eastAsia="zh-CN"/>
        </w:rPr>
        <w:sectPr>
          <w:headerReference r:id="rId4" w:type="default"/>
          <w:footerReference r:id="rId5" w:type="default"/>
          <w:pgSz w:w="11906" w:h="16838"/>
          <w:pgMar w:top="1440" w:right="1700" w:bottom="1440" w:left="1800" w:header="851" w:footer="992" w:gutter="0"/>
          <w:cols w:space="425" w:num="1"/>
          <w:docGrid w:type="lines" w:linePitch="326" w:charSpace="0"/>
        </w:sectPr>
      </w:pPr>
      <w:r>
        <w:rPr>
          <w:rFonts w:hint="eastAsia" w:ascii="宋体" w:hAnsi="宋体" w:eastAsia="宋体" w:cs="宋体"/>
          <w:b/>
          <w:bCs w:val="0"/>
          <w:color w:val="auto"/>
          <w:sz w:val="44"/>
          <w:szCs w:val="44"/>
          <w:highlight w:val="none"/>
        </w:rPr>
        <w:t>注：若多个标项响应投标时，各标项报价文件须单独制作，单独上</w:t>
      </w:r>
      <w:r>
        <w:rPr>
          <w:rFonts w:hint="eastAsia" w:ascii="宋体" w:hAnsi="宋体" w:eastAsia="宋体" w:cs="宋体"/>
          <w:b/>
          <w:bCs w:val="0"/>
          <w:color w:val="auto"/>
          <w:sz w:val="44"/>
          <w:szCs w:val="44"/>
          <w:highlight w:val="none"/>
          <w:lang w:eastAsia="zh-CN"/>
        </w:rPr>
        <w:t>传。</w:t>
      </w:r>
    </w:p>
    <w:p w14:paraId="577921CC">
      <w:pPr>
        <w:pStyle w:val="3"/>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一、开标一览表（报价表）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标项一</w:t>
      </w:r>
      <w:r>
        <w:rPr>
          <w:rFonts w:hint="eastAsia" w:ascii="宋体" w:hAnsi="宋体" w:eastAsia="宋体" w:cs="宋体"/>
          <w:color w:val="auto"/>
          <w:highlight w:val="none"/>
          <w:lang w:eastAsia="zh-CN"/>
        </w:rPr>
        <w:t>）</w:t>
      </w:r>
    </w:p>
    <w:p w14:paraId="3513C50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人）、（采购代理机构）</w:t>
      </w:r>
      <w:r>
        <w:rPr>
          <w:rFonts w:hint="eastAsia" w:asciiTheme="minorEastAsia" w:hAnsiTheme="minorEastAsia" w:eastAsiaTheme="minorEastAsia" w:cstheme="minorEastAsia"/>
          <w:color w:val="auto"/>
          <w:sz w:val="24"/>
          <w:szCs w:val="24"/>
          <w:highlight w:val="none"/>
          <w:lang w:val="zh-CN"/>
        </w:rPr>
        <w:t>：</w:t>
      </w:r>
    </w:p>
    <w:p w14:paraId="1C85E020">
      <w:pPr>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zh-CN"/>
        </w:rPr>
        <w:t>【招标编号：</w:t>
      </w:r>
      <w:r>
        <w:rPr>
          <w:rFonts w:hint="eastAsia" w:asciiTheme="minorEastAsia" w:hAnsiTheme="minorEastAsia" w:eastAsiaTheme="minorEastAsia" w:cstheme="minorEastAsia"/>
          <w:color w:val="auto"/>
          <w:sz w:val="24"/>
          <w:szCs w:val="24"/>
          <w:highlight w:val="none"/>
        </w:rPr>
        <w:t>（采购编号）】的实施</w:t>
      </w:r>
      <w:r>
        <w:rPr>
          <w:rFonts w:hint="eastAsia" w:asciiTheme="minorEastAsia" w:hAnsiTheme="minorEastAsia" w:eastAsiaTheme="minorEastAsia" w:cstheme="minorEastAsia"/>
          <w:color w:val="auto"/>
          <w:sz w:val="24"/>
          <w:szCs w:val="24"/>
          <w:highlight w:val="none"/>
          <w:lang w:val="zh-CN"/>
        </w:rPr>
        <w:t>。</w:t>
      </w:r>
    </w:p>
    <w:p w14:paraId="1538B9E1">
      <w:pPr>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开标一览表（报价表）（单位均为人民币元）</w:t>
      </w:r>
    </w:p>
    <w:tbl>
      <w:tblPr>
        <w:tblStyle w:val="3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54"/>
        <w:gridCol w:w="3434"/>
        <w:gridCol w:w="1625"/>
        <w:gridCol w:w="1381"/>
      </w:tblGrid>
      <w:tr w14:paraId="75E8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123CA78">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6AC0D1B9">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3434" w:type="dxa"/>
            <w:tcBorders>
              <w:top w:val="single" w:color="auto" w:sz="4" w:space="0"/>
              <w:left w:val="single" w:color="auto" w:sz="4" w:space="0"/>
              <w:bottom w:val="single" w:color="auto" w:sz="4" w:space="0"/>
              <w:right w:val="single" w:color="auto" w:sz="4" w:space="0"/>
            </w:tcBorders>
            <w:vAlign w:val="center"/>
          </w:tcPr>
          <w:p w14:paraId="718FC0CE">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具体服务</w:t>
            </w:r>
          </w:p>
        </w:tc>
        <w:tc>
          <w:tcPr>
            <w:tcW w:w="1625" w:type="dxa"/>
            <w:tcBorders>
              <w:top w:val="single" w:color="auto" w:sz="4" w:space="0"/>
              <w:left w:val="single" w:color="auto" w:sz="4" w:space="0"/>
              <w:bottom w:val="single" w:color="auto" w:sz="4" w:space="0"/>
              <w:right w:val="single" w:color="auto" w:sz="4" w:space="0"/>
            </w:tcBorders>
            <w:vAlign w:val="center"/>
          </w:tcPr>
          <w:p w14:paraId="159972D2">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投标报价</w:t>
            </w:r>
          </w:p>
          <w:p w14:paraId="2FE1E5F2">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（折扣%）</w:t>
            </w:r>
          </w:p>
        </w:tc>
        <w:tc>
          <w:tcPr>
            <w:tcW w:w="1381" w:type="dxa"/>
            <w:tcBorders>
              <w:top w:val="single" w:color="auto" w:sz="4" w:space="0"/>
              <w:left w:val="single" w:color="auto" w:sz="4" w:space="0"/>
              <w:bottom w:val="single" w:color="auto" w:sz="4" w:space="0"/>
              <w:right w:val="single" w:color="auto" w:sz="4" w:space="0"/>
            </w:tcBorders>
            <w:vAlign w:val="center"/>
          </w:tcPr>
          <w:p w14:paraId="480020EC">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服务要求</w:t>
            </w:r>
          </w:p>
          <w:p w14:paraId="4AF824A8">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（年限）</w:t>
            </w:r>
          </w:p>
        </w:tc>
      </w:tr>
      <w:tr w14:paraId="1CE5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637EEC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54" w:type="dxa"/>
            <w:tcBorders>
              <w:top w:val="single" w:color="auto" w:sz="4" w:space="0"/>
              <w:left w:val="single" w:color="auto" w:sz="4" w:space="0"/>
              <w:bottom w:val="single" w:color="auto" w:sz="4" w:space="0"/>
              <w:right w:val="single" w:color="auto" w:sz="4" w:space="0"/>
            </w:tcBorders>
            <w:vAlign w:val="center"/>
          </w:tcPr>
          <w:p w14:paraId="4C434232">
            <w:pPr>
              <w:snapToGrid w:val="0"/>
              <w:jc w:val="center"/>
              <w:rPr>
                <w:rFonts w:hint="eastAsia" w:asciiTheme="minorEastAsia" w:hAnsiTheme="minorEastAsia" w:eastAsiaTheme="minorEastAsia" w:cstheme="minorEastAsia"/>
                <w:color w:val="auto"/>
                <w:sz w:val="24"/>
                <w:szCs w:val="24"/>
                <w:highlight w:val="none"/>
              </w:rPr>
            </w:pPr>
          </w:p>
        </w:tc>
        <w:tc>
          <w:tcPr>
            <w:tcW w:w="3434" w:type="dxa"/>
            <w:tcBorders>
              <w:top w:val="single" w:color="auto" w:sz="4" w:space="0"/>
              <w:left w:val="single" w:color="auto" w:sz="4" w:space="0"/>
              <w:bottom w:val="single" w:color="auto" w:sz="4" w:space="0"/>
              <w:right w:val="single" w:color="auto" w:sz="4" w:space="0"/>
            </w:tcBorders>
            <w:vAlign w:val="center"/>
          </w:tcPr>
          <w:p w14:paraId="777A2FEC">
            <w:pPr>
              <w:snapToGrid w:val="0"/>
              <w:jc w:val="center"/>
              <w:rPr>
                <w:rFonts w:hint="eastAsia" w:asciiTheme="minorEastAsia" w:hAnsiTheme="minorEastAsia" w:eastAsiaTheme="minorEastAsia" w:cstheme="minorEastAsia"/>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042D3B9">
            <w:pPr>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 xml:space="preserve">      %</w:t>
            </w:r>
          </w:p>
        </w:tc>
        <w:tc>
          <w:tcPr>
            <w:tcW w:w="1381" w:type="dxa"/>
            <w:tcBorders>
              <w:top w:val="single" w:color="auto" w:sz="4" w:space="0"/>
              <w:left w:val="single" w:color="auto" w:sz="4" w:space="0"/>
              <w:bottom w:val="single" w:color="auto" w:sz="4" w:space="0"/>
              <w:right w:val="single" w:color="auto" w:sz="4" w:space="0"/>
            </w:tcBorders>
            <w:vAlign w:val="center"/>
          </w:tcPr>
          <w:p w14:paraId="4B1E3877">
            <w:pPr>
              <w:jc w:val="center"/>
              <w:rPr>
                <w:rFonts w:hint="eastAsia" w:asciiTheme="minorEastAsia" w:hAnsiTheme="minorEastAsia" w:eastAsiaTheme="minorEastAsia" w:cstheme="minorEastAsia"/>
                <w:color w:val="auto"/>
                <w:sz w:val="24"/>
                <w:szCs w:val="24"/>
                <w:highlight w:val="none"/>
              </w:rPr>
            </w:pPr>
          </w:p>
        </w:tc>
      </w:tr>
    </w:tbl>
    <w:p w14:paraId="793313CD">
      <w:pPr>
        <w:widowControl w:val="0"/>
        <w:adjustRightInd w:val="0"/>
        <w:snapToGrid w:val="0"/>
        <w:spacing w:after="0" w:line="400" w:lineRule="exact"/>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w:t>
      </w:r>
    </w:p>
    <w:p w14:paraId="0A132394">
      <w:pPr>
        <w:widowControl w:val="0"/>
        <w:adjustRightInd w:val="0"/>
        <w:snapToGrid w:val="0"/>
        <w:spacing w:after="0" w:line="400" w:lineRule="exact"/>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1、投标人需按本表格式填写，不得自行更改。</w:t>
      </w:r>
      <w:r>
        <w:rPr>
          <w:rFonts w:hint="eastAsia" w:asciiTheme="minorEastAsia" w:hAnsiTheme="minorEastAsia" w:eastAsiaTheme="minorEastAsia" w:cstheme="minorEastAsia"/>
          <w:color w:val="auto"/>
          <w:kern w:val="0"/>
          <w:sz w:val="24"/>
          <w:szCs w:val="24"/>
          <w:highlight w:val="none"/>
          <w:lang w:val="zh-CN"/>
        </w:rPr>
        <w:tab/>
      </w:r>
    </w:p>
    <w:p w14:paraId="0E65ADB9">
      <w:pPr>
        <w:widowControl w:val="0"/>
        <w:adjustRightInd w:val="0"/>
        <w:snapToGrid w:val="0"/>
        <w:spacing w:after="0" w:line="400" w:lineRule="exact"/>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szCs w:val="24"/>
          <w:highlight w:val="none"/>
          <w:lang w:val="zh-CN" w:eastAsia="zh-CN"/>
        </w:rPr>
        <w:t>招标</w:t>
      </w:r>
      <w:r>
        <w:rPr>
          <w:rFonts w:hint="eastAsia" w:asciiTheme="minorEastAsia" w:hAnsiTheme="minorEastAsia" w:eastAsiaTheme="minorEastAsia" w:cstheme="minorEastAsia"/>
          <w:b/>
          <w:bCs/>
          <w:color w:val="auto"/>
          <w:kern w:val="0"/>
          <w:sz w:val="24"/>
          <w:szCs w:val="24"/>
          <w:highlight w:val="none"/>
          <w:lang w:val="zh-CN"/>
        </w:rPr>
        <w:t>人将以合同形式有偿取得货物或服务，不接受投标人给予的赠品、回扣或者与采购无关的其他商品、服务，不得出现“0元”“免费赠送”等形式的无偿报价，否则视为投标文件含有</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b/>
          <w:bCs/>
          <w:color w:val="auto"/>
          <w:kern w:val="0"/>
          <w:sz w:val="24"/>
          <w:szCs w:val="24"/>
          <w:highlight w:val="none"/>
          <w:lang w:val="zh-CN"/>
        </w:rPr>
        <w:t>人不能接受的附加条件的，投标无效；采购内容未包含在《开标一览表（报价表）》名称栏中，投标人不能作出合理解释的，视为投标文件含有</w:t>
      </w:r>
      <w:r>
        <w:rPr>
          <w:rFonts w:hint="eastAsia" w:asciiTheme="minorEastAsia" w:hAnsiTheme="minorEastAsia" w:eastAsiaTheme="minorEastAsia" w:cstheme="minorEastAsia"/>
          <w:b/>
          <w:bCs/>
          <w:color w:val="auto"/>
          <w:sz w:val="24"/>
          <w:szCs w:val="24"/>
          <w:highlight w:val="none"/>
          <w:lang w:val="en-US" w:eastAsia="zh-CN"/>
        </w:rPr>
        <w:t>招标</w:t>
      </w:r>
      <w:r>
        <w:rPr>
          <w:rFonts w:hint="eastAsia" w:asciiTheme="minorEastAsia" w:hAnsiTheme="minorEastAsia" w:eastAsiaTheme="minorEastAsia" w:cstheme="minorEastAsia"/>
          <w:b/>
          <w:bCs/>
          <w:color w:val="auto"/>
          <w:kern w:val="0"/>
          <w:sz w:val="24"/>
          <w:szCs w:val="24"/>
          <w:highlight w:val="none"/>
          <w:lang w:val="zh-CN"/>
        </w:rPr>
        <w:t>人不能接受的附加条件的，投标无效。</w:t>
      </w:r>
    </w:p>
    <w:p w14:paraId="39E86A97">
      <w:pPr>
        <w:jc w:val="right"/>
        <w:rPr>
          <w:rFonts w:hint="eastAsia" w:asciiTheme="minorEastAsia" w:hAnsiTheme="minorEastAsia" w:eastAsiaTheme="minorEastAsia" w:cstheme="minorEastAsia"/>
          <w:color w:val="auto"/>
          <w:sz w:val="24"/>
          <w:szCs w:val="24"/>
          <w:highlight w:val="none"/>
          <w:lang w:val="zh-CN"/>
        </w:rPr>
      </w:pPr>
    </w:p>
    <w:p w14:paraId="14B770A2">
      <w:pPr>
        <w:jc w:val="righ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投标人名称（</w:t>
      </w:r>
      <w:r>
        <w:rPr>
          <w:rFonts w:hint="eastAsia" w:asciiTheme="minorEastAsia" w:hAnsiTheme="minorEastAsia" w:eastAsiaTheme="minorEastAsia" w:cstheme="minorEastAsia"/>
          <w:color w:val="auto"/>
          <w:sz w:val="24"/>
          <w:szCs w:val="24"/>
          <w:highlight w:val="none"/>
        </w:rPr>
        <w:t>电子签名</w:t>
      </w:r>
      <w:r>
        <w:rPr>
          <w:rFonts w:hint="eastAsia" w:asciiTheme="minorEastAsia" w:hAnsiTheme="minorEastAsia" w:eastAsiaTheme="minorEastAsia" w:cstheme="minorEastAsia"/>
          <w:color w:val="auto"/>
          <w:sz w:val="24"/>
          <w:szCs w:val="24"/>
          <w:highlight w:val="none"/>
          <w:lang w:val="zh-CN"/>
        </w:rPr>
        <w:t xml:space="preserve">）： </w:t>
      </w:r>
    </w:p>
    <w:p w14:paraId="288EBFB2">
      <w:pPr>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 xml:space="preserve">   年   月   日</w:t>
      </w:r>
    </w:p>
    <w:p w14:paraId="0B1D59E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2835EC0A">
      <w:pPr>
        <w:pStyle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一、开标一览表（报价表）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标项二</w:t>
      </w:r>
      <w:r>
        <w:rPr>
          <w:rFonts w:hint="eastAsia" w:ascii="宋体" w:hAnsi="宋体" w:eastAsia="宋体" w:cs="宋体"/>
          <w:color w:val="auto"/>
          <w:highlight w:val="none"/>
          <w:lang w:eastAsia="zh-CN"/>
        </w:rPr>
        <w:t>）</w:t>
      </w:r>
    </w:p>
    <w:p w14:paraId="447D57D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人）、（采购代理机构）</w:t>
      </w:r>
      <w:r>
        <w:rPr>
          <w:rFonts w:hint="eastAsia" w:asciiTheme="minorEastAsia" w:hAnsiTheme="minorEastAsia" w:eastAsiaTheme="minorEastAsia" w:cstheme="minorEastAsia"/>
          <w:color w:val="auto"/>
          <w:sz w:val="24"/>
          <w:szCs w:val="24"/>
          <w:highlight w:val="none"/>
          <w:lang w:val="zh-CN"/>
        </w:rPr>
        <w:t>：</w:t>
      </w:r>
    </w:p>
    <w:p w14:paraId="1171EA65">
      <w:pPr>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zh-CN"/>
        </w:rPr>
        <w:t>【招标编号：</w:t>
      </w:r>
      <w:r>
        <w:rPr>
          <w:rFonts w:hint="eastAsia" w:asciiTheme="minorEastAsia" w:hAnsiTheme="minorEastAsia" w:eastAsiaTheme="minorEastAsia" w:cstheme="minorEastAsia"/>
          <w:color w:val="auto"/>
          <w:sz w:val="24"/>
          <w:szCs w:val="24"/>
          <w:highlight w:val="none"/>
        </w:rPr>
        <w:t>（采购编号）】的实施</w:t>
      </w:r>
      <w:r>
        <w:rPr>
          <w:rFonts w:hint="eastAsia" w:asciiTheme="minorEastAsia" w:hAnsiTheme="minorEastAsia" w:eastAsiaTheme="minorEastAsia" w:cstheme="minorEastAsia"/>
          <w:color w:val="auto"/>
          <w:sz w:val="24"/>
          <w:szCs w:val="24"/>
          <w:highlight w:val="none"/>
          <w:lang w:val="zh-CN"/>
        </w:rPr>
        <w:t>。</w:t>
      </w:r>
    </w:p>
    <w:p w14:paraId="5656D4D1">
      <w:pPr>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开标一览表（报价表）（单位均为人民币元）</w:t>
      </w:r>
    </w:p>
    <w:tbl>
      <w:tblPr>
        <w:tblStyle w:val="3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54"/>
        <w:gridCol w:w="3434"/>
        <w:gridCol w:w="1625"/>
        <w:gridCol w:w="1381"/>
      </w:tblGrid>
      <w:tr w14:paraId="5F56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9976B1C">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49C01E8A">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3434" w:type="dxa"/>
            <w:tcBorders>
              <w:top w:val="single" w:color="auto" w:sz="4" w:space="0"/>
              <w:left w:val="single" w:color="auto" w:sz="4" w:space="0"/>
              <w:bottom w:val="single" w:color="auto" w:sz="4" w:space="0"/>
              <w:right w:val="single" w:color="auto" w:sz="4" w:space="0"/>
            </w:tcBorders>
            <w:vAlign w:val="center"/>
          </w:tcPr>
          <w:p w14:paraId="0169A91E">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具体服务</w:t>
            </w:r>
          </w:p>
        </w:tc>
        <w:tc>
          <w:tcPr>
            <w:tcW w:w="1625" w:type="dxa"/>
            <w:tcBorders>
              <w:top w:val="single" w:color="auto" w:sz="4" w:space="0"/>
              <w:left w:val="single" w:color="auto" w:sz="4" w:space="0"/>
              <w:bottom w:val="single" w:color="auto" w:sz="4" w:space="0"/>
              <w:right w:val="single" w:color="auto" w:sz="4" w:space="0"/>
            </w:tcBorders>
            <w:vAlign w:val="center"/>
          </w:tcPr>
          <w:p w14:paraId="3AEB2E49">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投标报价</w:t>
            </w:r>
          </w:p>
          <w:p w14:paraId="55787D04">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（折扣%）</w:t>
            </w:r>
          </w:p>
        </w:tc>
        <w:tc>
          <w:tcPr>
            <w:tcW w:w="1381" w:type="dxa"/>
            <w:tcBorders>
              <w:top w:val="single" w:color="auto" w:sz="4" w:space="0"/>
              <w:left w:val="single" w:color="auto" w:sz="4" w:space="0"/>
              <w:bottom w:val="single" w:color="auto" w:sz="4" w:space="0"/>
              <w:right w:val="single" w:color="auto" w:sz="4" w:space="0"/>
            </w:tcBorders>
            <w:vAlign w:val="center"/>
          </w:tcPr>
          <w:p w14:paraId="44A900D2">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服务要求</w:t>
            </w:r>
          </w:p>
          <w:p w14:paraId="28210BEE">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（年限）</w:t>
            </w:r>
          </w:p>
        </w:tc>
      </w:tr>
      <w:tr w14:paraId="17FD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FB1D34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54" w:type="dxa"/>
            <w:tcBorders>
              <w:top w:val="single" w:color="auto" w:sz="4" w:space="0"/>
              <w:left w:val="single" w:color="auto" w:sz="4" w:space="0"/>
              <w:bottom w:val="single" w:color="auto" w:sz="4" w:space="0"/>
              <w:right w:val="single" w:color="auto" w:sz="4" w:space="0"/>
            </w:tcBorders>
            <w:vAlign w:val="center"/>
          </w:tcPr>
          <w:p w14:paraId="682CC156">
            <w:pPr>
              <w:snapToGrid w:val="0"/>
              <w:jc w:val="center"/>
              <w:rPr>
                <w:rFonts w:hint="eastAsia" w:asciiTheme="minorEastAsia" w:hAnsiTheme="minorEastAsia" w:eastAsiaTheme="minorEastAsia" w:cstheme="minorEastAsia"/>
                <w:color w:val="auto"/>
                <w:sz w:val="24"/>
                <w:szCs w:val="24"/>
                <w:highlight w:val="none"/>
              </w:rPr>
            </w:pPr>
          </w:p>
        </w:tc>
        <w:tc>
          <w:tcPr>
            <w:tcW w:w="3434" w:type="dxa"/>
            <w:tcBorders>
              <w:top w:val="single" w:color="auto" w:sz="4" w:space="0"/>
              <w:left w:val="single" w:color="auto" w:sz="4" w:space="0"/>
              <w:bottom w:val="single" w:color="auto" w:sz="4" w:space="0"/>
              <w:right w:val="single" w:color="auto" w:sz="4" w:space="0"/>
            </w:tcBorders>
            <w:vAlign w:val="center"/>
          </w:tcPr>
          <w:p w14:paraId="27A12174">
            <w:pPr>
              <w:snapToGrid w:val="0"/>
              <w:jc w:val="center"/>
              <w:rPr>
                <w:rFonts w:hint="eastAsia" w:asciiTheme="minorEastAsia" w:hAnsiTheme="minorEastAsia" w:eastAsiaTheme="minorEastAsia" w:cstheme="minorEastAsia"/>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CDF6C5E">
            <w:pPr>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 xml:space="preserve">      %</w:t>
            </w:r>
          </w:p>
        </w:tc>
        <w:tc>
          <w:tcPr>
            <w:tcW w:w="1381" w:type="dxa"/>
            <w:tcBorders>
              <w:top w:val="single" w:color="auto" w:sz="4" w:space="0"/>
              <w:left w:val="single" w:color="auto" w:sz="4" w:space="0"/>
              <w:bottom w:val="single" w:color="auto" w:sz="4" w:space="0"/>
              <w:right w:val="single" w:color="auto" w:sz="4" w:space="0"/>
            </w:tcBorders>
            <w:vAlign w:val="center"/>
          </w:tcPr>
          <w:p w14:paraId="48680307">
            <w:pPr>
              <w:jc w:val="center"/>
              <w:rPr>
                <w:rFonts w:hint="eastAsia" w:asciiTheme="minorEastAsia" w:hAnsiTheme="minorEastAsia" w:eastAsiaTheme="minorEastAsia" w:cstheme="minorEastAsia"/>
                <w:color w:val="auto"/>
                <w:sz w:val="24"/>
                <w:szCs w:val="24"/>
                <w:highlight w:val="none"/>
              </w:rPr>
            </w:pPr>
          </w:p>
        </w:tc>
      </w:tr>
    </w:tbl>
    <w:p w14:paraId="05E80734">
      <w:pPr>
        <w:widowControl w:val="0"/>
        <w:adjustRightInd w:val="0"/>
        <w:snapToGrid w:val="0"/>
        <w:spacing w:after="0" w:line="400" w:lineRule="exact"/>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w:t>
      </w:r>
    </w:p>
    <w:p w14:paraId="06B90DDA">
      <w:pPr>
        <w:widowControl w:val="0"/>
        <w:adjustRightInd w:val="0"/>
        <w:snapToGrid w:val="0"/>
        <w:spacing w:after="0" w:line="400" w:lineRule="exact"/>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1、投标人需按本表格式填写，不得自行更改。</w:t>
      </w:r>
      <w:r>
        <w:rPr>
          <w:rFonts w:hint="eastAsia" w:asciiTheme="minorEastAsia" w:hAnsiTheme="minorEastAsia" w:eastAsiaTheme="minorEastAsia" w:cstheme="minorEastAsia"/>
          <w:color w:val="auto"/>
          <w:kern w:val="0"/>
          <w:sz w:val="24"/>
          <w:szCs w:val="24"/>
          <w:highlight w:val="none"/>
          <w:lang w:val="zh-CN"/>
        </w:rPr>
        <w:tab/>
      </w:r>
    </w:p>
    <w:p w14:paraId="78DBEED6">
      <w:pPr>
        <w:widowControl w:val="0"/>
        <w:adjustRightInd w:val="0"/>
        <w:snapToGrid w:val="0"/>
        <w:spacing w:after="0" w:line="400" w:lineRule="exact"/>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szCs w:val="24"/>
          <w:highlight w:val="none"/>
          <w:lang w:val="zh-CN" w:eastAsia="zh-CN"/>
        </w:rPr>
        <w:t>招标</w:t>
      </w:r>
      <w:r>
        <w:rPr>
          <w:rFonts w:hint="eastAsia" w:asciiTheme="minorEastAsia" w:hAnsiTheme="minorEastAsia" w:eastAsiaTheme="minorEastAsia" w:cstheme="minorEastAsia"/>
          <w:b/>
          <w:bCs/>
          <w:color w:val="auto"/>
          <w:kern w:val="0"/>
          <w:sz w:val="24"/>
          <w:szCs w:val="24"/>
          <w:highlight w:val="none"/>
          <w:lang w:val="zh-CN"/>
        </w:rPr>
        <w:t>人将以合同形式有偿取得货物或服务，不接受投标人给予的赠品、回扣或者与采购无关的其他商品、服务，不得出现“0元”“免费赠送”等形式的无偿报价，否则视为投标文件含有</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b/>
          <w:bCs/>
          <w:color w:val="auto"/>
          <w:kern w:val="0"/>
          <w:sz w:val="24"/>
          <w:szCs w:val="24"/>
          <w:highlight w:val="none"/>
          <w:lang w:val="zh-CN"/>
        </w:rPr>
        <w:t>人不能接受的附加条件的，投标无效；采购内容未包含在《开标一览表（报价表）》名称栏中，投标人不能作出合理解释的，视为投标文件含有</w:t>
      </w:r>
      <w:r>
        <w:rPr>
          <w:rFonts w:hint="eastAsia" w:asciiTheme="minorEastAsia" w:hAnsiTheme="minorEastAsia" w:eastAsiaTheme="minorEastAsia" w:cstheme="minorEastAsia"/>
          <w:b/>
          <w:bCs/>
          <w:color w:val="auto"/>
          <w:sz w:val="24"/>
          <w:szCs w:val="24"/>
          <w:highlight w:val="none"/>
          <w:lang w:val="en-US" w:eastAsia="zh-CN"/>
        </w:rPr>
        <w:t>招标</w:t>
      </w:r>
      <w:r>
        <w:rPr>
          <w:rFonts w:hint="eastAsia" w:asciiTheme="minorEastAsia" w:hAnsiTheme="minorEastAsia" w:eastAsiaTheme="minorEastAsia" w:cstheme="minorEastAsia"/>
          <w:b/>
          <w:bCs/>
          <w:color w:val="auto"/>
          <w:kern w:val="0"/>
          <w:sz w:val="24"/>
          <w:szCs w:val="24"/>
          <w:highlight w:val="none"/>
          <w:lang w:val="zh-CN"/>
        </w:rPr>
        <w:t>人不能接受的附加条件的，投标无效。</w:t>
      </w:r>
    </w:p>
    <w:p w14:paraId="6F2D2BA9">
      <w:pPr>
        <w:jc w:val="right"/>
        <w:rPr>
          <w:rFonts w:hint="eastAsia" w:asciiTheme="minorEastAsia" w:hAnsiTheme="minorEastAsia" w:eastAsiaTheme="minorEastAsia" w:cstheme="minorEastAsia"/>
          <w:color w:val="auto"/>
          <w:sz w:val="24"/>
          <w:szCs w:val="24"/>
          <w:highlight w:val="none"/>
          <w:lang w:val="zh-CN"/>
        </w:rPr>
      </w:pPr>
    </w:p>
    <w:p w14:paraId="750EEEBC">
      <w:pPr>
        <w:jc w:val="righ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投标人名称（</w:t>
      </w:r>
      <w:r>
        <w:rPr>
          <w:rFonts w:hint="eastAsia" w:asciiTheme="minorEastAsia" w:hAnsiTheme="minorEastAsia" w:eastAsiaTheme="minorEastAsia" w:cstheme="minorEastAsia"/>
          <w:color w:val="auto"/>
          <w:sz w:val="24"/>
          <w:szCs w:val="24"/>
          <w:highlight w:val="none"/>
        </w:rPr>
        <w:t>电子签名</w:t>
      </w:r>
      <w:r>
        <w:rPr>
          <w:rFonts w:hint="eastAsia" w:asciiTheme="minorEastAsia" w:hAnsiTheme="minorEastAsia" w:eastAsiaTheme="minorEastAsia" w:cstheme="minorEastAsia"/>
          <w:color w:val="auto"/>
          <w:sz w:val="24"/>
          <w:szCs w:val="24"/>
          <w:highlight w:val="none"/>
          <w:lang w:val="zh-CN"/>
        </w:rPr>
        <w:t xml:space="preserve">）： </w:t>
      </w:r>
    </w:p>
    <w:p w14:paraId="271DF11E">
      <w:pPr>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 xml:space="preserve">   年   月   日</w:t>
      </w:r>
    </w:p>
    <w:p w14:paraId="73E7981E">
      <w:pPr>
        <w:pStyle w:val="3"/>
        <w:rPr>
          <w:rFonts w:hint="eastAsia" w:ascii="宋体" w:hAnsi="宋体" w:eastAsia="宋体" w:cs="宋体"/>
          <w:color w:val="auto"/>
          <w:highlight w:val="none"/>
        </w:rPr>
      </w:pPr>
    </w:p>
    <w:p w14:paraId="7308FD5C">
      <w:pPr>
        <w:pStyle w:val="3"/>
        <w:rPr>
          <w:rFonts w:hint="eastAsia" w:ascii="宋体" w:hAnsi="宋体" w:eastAsia="宋体" w:cs="宋体"/>
          <w:color w:val="auto"/>
          <w:highlight w:val="none"/>
        </w:rPr>
      </w:pPr>
    </w:p>
    <w:p w14:paraId="172789F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D45E95C">
      <w:pPr>
        <w:spacing w:line="276" w:lineRule="auto"/>
        <w:rPr>
          <w:rFonts w:ascii="宋体" w:hAnsi="宋体" w:eastAsia="宋体" w:cs="宋体"/>
          <w:b/>
          <w:smallCaps/>
          <w:color w:val="auto"/>
          <w:spacing w:val="6"/>
          <w:sz w:val="28"/>
          <w:szCs w:val="28"/>
          <w:highlight w:val="none"/>
        </w:rPr>
      </w:pPr>
      <w:r>
        <w:rPr>
          <w:rFonts w:hint="eastAsia" w:ascii="宋体" w:hAnsi="宋体" w:eastAsia="宋体" w:cs="宋体"/>
          <w:b/>
          <w:smallCaps/>
          <w:color w:val="auto"/>
          <w:spacing w:val="6"/>
          <w:sz w:val="28"/>
          <w:szCs w:val="28"/>
          <w:highlight w:val="none"/>
        </w:rPr>
        <w:t>附件1：质疑函范本及制作说明</w:t>
      </w:r>
    </w:p>
    <w:p w14:paraId="181380D3">
      <w:pPr>
        <w:spacing w:line="360" w:lineRule="auto"/>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DC5B99B">
      <w:pPr>
        <w:pStyle w:val="67"/>
        <w:rPr>
          <w:rFonts w:ascii="宋体" w:hAnsi="宋体" w:eastAsia="宋体" w:cs="宋体"/>
          <w:color w:val="auto"/>
          <w:highlight w:val="none"/>
        </w:rPr>
      </w:pPr>
      <w:r>
        <w:rPr>
          <w:rFonts w:hint="eastAsia" w:ascii="宋体" w:hAnsi="宋体" w:eastAsia="宋体" w:cs="宋体"/>
          <w:color w:val="auto"/>
          <w:highlight w:val="none"/>
        </w:rPr>
        <w:t>一、质疑供应商基本信息</w:t>
      </w:r>
    </w:p>
    <w:p w14:paraId="1F89CC35">
      <w:pPr>
        <w:pStyle w:val="67"/>
        <w:rPr>
          <w:rFonts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14:paraId="0D085251">
      <w:pPr>
        <w:pStyle w:val="67"/>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6AF01389">
      <w:pPr>
        <w:pStyle w:val="67"/>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68B10A59">
      <w:pPr>
        <w:pStyle w:val="67"/>
        <w:rPr>
          <w:rFonts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14:paraId="64D7764C">
      <w:pPr>
        <w:pStyle w:val="67"/>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6C07908A">
      <w:pPr>
        <w:pStyle w:val="67"/>
        <w:rPr>
          <w:rFonts w:ascii="宋体" w:hAnsi="宋体" w:eastAsia="宋体" w:cs="宋体"/>
          <w:color w:val="auto"/>
          <w:highlight w:val="none"/>
        </w:rPr>
      </w:pPr>
      <w:r>
        <w:rPr>
          <w:rFonts w:hint="eastAsia" w:ascii="宋体" w:hAnsi="宋体" w:eastAsia="宋体" w:cs="宋体"/>
          <w:color w:val="auto"/>
          <w:highlight w:val="none"/>
        </w:rPr>
        <w:t xml:space="preserve">地址： </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2F592577">
      <w:pPr>
        <w:pStyle w:val="67"/>
        <w:rPr>
          <w:rFonts w:ascii="宋体" w:hAnsi="宋体" w:eastAsia="宋体" w:cs="宋体"/>
          <w:color w:val="auto"/>
          <w:highlight w:val="none"/>
        </w:rPr>
      </w:pPr>
      <w:r>
        <w:rPr>
          <w:rFonts w:hint="eastAsia" w:ascii="宋体" w:hAnsi="宋体" w:eastAsia="宋体" w:cs="宋体"/>
          <w:color w:val="auto"/>
          <w:highlight w:val="none"/>
        </w:rPr>
        <w:t>二、质疑项目基本情况</w:t>
      </w:r>
    </w:p>
    <w:p w14:paraId="5EC2AAB0">
      <w:pPr>
        <w:pStyle w:val="67"/>
        <w:rPr>
          <w:rFonts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14:paraId="6E686AB2">
      <w:pPr>
        <w:pStyle w:val="67"/>
        <w:rPr>
          <w:rFonts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67DA04E7">
      <w:pPr>
        <w:pStyle w:val="67"/>
        <w:rPr>
          <w:rFonts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14:paraId="7929FD92">
      <w:pPr>
        <w:pStyle w:val="67"/>
        <w:rPr>
          <w:rFonts w:ascii="宋体" w:hAnsi="宋体" w:eastAsia="宋体" w:cs="宋体"/>
          <w:color w:val="auto"/>
          <w:highlight w:val="none"/>
        </w:rPr>
      </w:pPr>
      <w:r>
        <w:rPr>
          <w:rFonts w:hint="eastAsia" w:ascii="宋体" w:hAnsi="宋体" w:eastAsia="宋体" w:cs="宋体"/>
          <w:color w:val="auto"/>
          <w:highlight w:val="none"/>
        </w:rPr>
        <w:t>招标文件获取日期：</w:t>
      </w:r>
      <w:r>
        <w:rPr>
          <w:rFonts w:hint="eastAsia" w:ascii="宋体" w:hAnsi="宋体" w:eastAsia="宋体" w:cs="宋体"/>
          <w:color w:val="auto"/>
          <w:highlight w:val="none"/>
          <w:u w:val="dotted"/>
        </w:rPr>
        <w:t xml:space="preserve">                                           </w:t>
      </w:r>
    </w:p>
    <w:p w14:paraId="0F6975EF">
      <w:pPr>
        <w:pStyle w:val="67"/>
        <w:rPr>
          <w:rFonts w:ascii="宋体" w:hAnsi="宋体" w:eastAsia="宋体" w:cs="宋体"/>
          <w:color w:val="auto"/>
          <w:highlight w:val="none"/>
        </w:rPr>
      </w:pPr>
      <w:r>
        <w:rPr>
          <w:rFonts w:hint="eastAsia" w:ascii="宋体" w:hAnsi="宋体" w:eastAsia="宋体" w:cs="宋体"/>
          <w:color w:val="auto"/>
          <w:highlight w:val="none"/>
        </w:rPr>
        <w:t>三、质疑事项具体内容</w:t>
      </w:r>
    </w:p>
    <w:p w14:paraId="0F3D95F9">
      <w:pPr>
        <w:pStyle w:val="67"/>
        <w:rPr>
          <w:rFonts w:ascii="宋体" w:hAnsi="宋体" w:eastAsia="宋体" w:cs="宋体"/>
          <w:color w:val="auto"/>
          <w:highlight w:val="none"/>
          <w:u w:val="dotted"/>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dotted"/>
        </w:rPr>
        <w:t xml:space="preserve">                                         </w:t>
      </w:r>
    </w:p>
    <w:p w14:paraId="72CE6135">
      <w:pPr>
        <w:pStyle w:val="67"/>
        <w:rPr>
          <w:rFonts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13F89F56">
      <w:pPr>
        <w:pStyle w:val="67"/>
        <w:rPr>
          <w:rFonts w:ascii="宋体" w:hAnsi="宋体" w:eastAsia="宋体" w:cs="宋体"/>
          <w:color w:val="auto"/>
          <w:highlight w:val="none"/>
        </w:rPr>
      </w:pPr>
      <w:r>
        <w:rPr>
          <w:rFonts w:hint="eastAsia" w:ascii="宋体" w:hAnsi="宋体" w:eastAsia="宋体" w:cs="宋体"/>
          <w:color w:val="auto"/>
          <w:highlight w:val="none"/>
          <w:u w:val="dotted"/>
        </w:rPr>
        <w:t xml:space="preserve">                                                       </w:t>
      </w:r>
    </w:p>
    <w:p w14:paraId="735E7BC5">
      <w:pPr>
        <w:pStyle w:val="67"/>
        <w:rPr>
          <w:rFonts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02C8B831">
      <w:pPr>
        <w:pStyle w:val="67"/>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14:paraId="7737711B">
      <w:pPr>
        <w:pStyle w:val="67"/>
        <w:rPr>
          <w:rFonts w:ascii="宋体" w:hAnsi="宋体" w:eastAsia="宋体" w:cs="宋体"/>
          <w:color w:val="auto"/>
          <w:highlight w:val="none"/>
          <w:u w:val="dotted"/>
        </w:rPr>
      </w:pPr>
      <w:r>
        <w:rPr>
          <w:rFonts w:hint="eastAsia" w:ascii="宋体" w:hAnsi="宋体" w:eastAsia="宋体" w:cs="宋体"/>
          <w:color w:val="auto"/>
          <w:highlight w:val="none"/>
        </w:rPr>
        <w:t>质疑事项2</w:t>
      </w:r>
    </w:p>
    <w:p w14:paraId="1AD5D0B6">
      <w:pPr>
        <w:pStyle w:val="67"/>
        <w:rPr>
          <w:rFonts w:ascii="宋体" w:hAnsi="宋体" w:eastAsia="宋体" w:cs="宋体"/>
          <w:color w:val="auto"/>
          <w:highlight w:val="none"/>
        </w:rPr>
      </w:pPr>
      <w:r>
        <w:rPr>
          <w:rFonts w:hint="eastAsia" w:ascii="宋体" w:hAnsi="宋体" w:eastAsia="宋体" w:cs="宋体"/>
          <w:color w:val="auto"/>
          <w:highlight w:val="none"/>
        </w:rPr>
        <w:t>……</w:t>
      </w:r>
    </w:p>
    <w:p w14:paraId="49FD61CD">
      <w:pPr>
        <w:pStyle w:val="67"/>
        <w:rPr>
          <w:rFonts w:ascii="宋体" w:hAnsi="宋体" w:eastAsia="宋体" w:cs="宋体"/>
          <w:color w:val="auto"/>
          <w:highlight w:val="none"/>
        </w:rPr>
      </w:pPr>
      <w:r>
        <w:rPr>
          <w:rFonts w:hint="eastAsia" w:ascii="宋体" w:hAnsi="宋体" w:eastAsia="宋体" w:cs="宋体"/>
          <w:color w:val="auto"/>
          <w:highlight w:val="none"/>
        </w:rPr>
        <w:t>四、与质疑事项相关的质疑请求</w:t>
      </w:r>
    </w:p>
    <w:p w14:paraId="67127D6A">
      <w:pPr>
        <w:pStyle w:val="67"/>
        <w:rPr>
          <w:rFonts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14:paraId="0BBF4F1B">
      <w:pPr>
        <w:pStyle w:val="67"/>
        <w:rPr>
          <w:rFonts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32C3BF8C">
      <w:pPr>
        <w:pStyle w:val="67"/>
        <w:rPr>
          <w:rFonts w:ascii="宋体" w:hAnsi="宋体" w:eastAsia="宋体" w:cs="宋体"/>
          <w:color w:val="auto"/>
          <w:highlight w:val="none"/>
        </w:rPr>
      </w:pPr>
      <w:r>
        <w:rPr>
          <w:rFonts w:hint="eastAsia" w:ascii="宋体" w:hAnsi="宋体" w:eastAsia="宋体" w:cs="宋体"/>
          <w:color w:val="auto"/>
          <w:highlight w:val="none"/>
        </w:rPr>
        <w:t xml:space="preserve">日期：    </w:t>
      </w:r>
    </w:p>
    <w:p w14:paraId="75592418">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质疑函制作说明：</w:t>
      </w:r>
    </w:p>
    <w:p w14:paraId="18FDBC83">
      <w:pPr>
        <w:pStyle w:val="67"/>
        <w:rPr>
          <w:rFonts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354947F7">
      <w:pPr>
        <w:pStyle w:val="67"/>
        <w:rPr>
          <w:rFonts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B0293B">
      <w:pPr>
        <w:pStyle w:val="67"/>
        <w:rPr>
          <w:rFonts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33A8F0DB">
      <w:pPr>
        <w:pStyle w:val="67"/>
        <w:rPr>
          <w:rFonts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6E611564">
      <w:pPr>
        <w:pStyle w:val="67"/>
        <w:rPr>
          <w:rFonts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1590A8A4">
      <w:pPr>
        <w:pStyle w:val="67"/>
        <w:rPr>
          <w:rFonts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4A087F38">
      <w:pPr>
        <w:spacing w:line="360" w:lineRule="auto"/>
        <w:ind w:firstLine="600" w:firstLineChars="200"/>
        <w:rPr>
          <w:rFonts w:ascii="宋体" w:hAnsi="宋体" w:eastAsia="宋体" w:cs="宋体"/>
          <w:color w:val="auto"/>
          <w:sz w:val="30"/>
          <w:szCs w:val="30"/>
          <w:highlight w:val="none"/>
        </w:rPr>
      </w:pPr>
    </w:p>
    <w:p w14:paraId="50B6EDB9">
      <w:pPr>
        <w:spacing w:line="360" w:lineRule="auto"/>
        <w:jc w:val="center"/>
        <w:rPr>
          <w:rFonts w:ascii="宋体" w:hAnsi="宋体" w:eastAsia="宋体" w:cs="宋体"/>
          <w:b/>
          <w:color w:val="auto"/>
          <w:spacing w:val="6"/>
          <w:sz w:val="32"/>
          <w:szCs w:val="32"/>
          <w:highlight w:val="none"/>
        </w:rPr>
      </w:pPr>
    </w:p>
    <w:p w14:paraId="7D6472AE">
      <w:pPr>
        <w:spacing w:line="276" w:lineRule="auto"/>
        <w:rPr>
          <w:rFonts w:ascii="宋体" w:hAnsi="宋体" w:eastAsia="宋体" w:cs="宋体"/>
          <w:b/>
          <w:smallCaps/>
          <w:color w:val="auto"/>
          <w:spacing w:val="6"/>
          <w:sz w:val="28"/>
          <w:szCs w:val="28"/>
          <w:highlight w:val="none"/>
        </w:rPr>
      </w:pPr>
      <w:r>
        <w:rPr>
          <w:rFonts w:hint="eastAsia" w:ascii="宋体" w:hAnsi="宋体" w:eastAsia="宋体" w:cs="宋体"/>
          <w:b/>
          <w:smallCaps/>
          <w:color w:val="auto"/>
          <w:spacing w:val="6"/>
          <w:sz w:val="28"/>
          <w:szCs w:val="28"/>
          <w:highlight w:val="none"/>
        </w:rPr>
        <w:t>附件2：投诉书范本及制作说明</w:t>
      </w:r>
    </w:p>
    <w:p w14:paraId="0DAC45B1">
      <w:pPr>
        <w:jc w:val="both"/>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C6EF74">
      <w:pPr>
        <w:jc w:val="both"/>
        <w:rPr>
          <w:rFonts w:ascii="宋体" w:hAnsi="宋体" w:eastAsia="宋体" w:cs="宋体"/>
          <w:color w:val="auto"/>
          <w:highlight w:val="none"/>
        </w:rPr>
      </w:pPr>
      <w:r>
        <w:rPr>
          <w:rFonts w:hint="eastAsia" w:ascii="宋体" w:hAnsi="宋体" w:eastAsia="宋体" w:cs="宋体"/>
          <w:color w:val="auto"/>
          <w:highlight w:val="none"/>
        </w:rPr>
        <w:t>一、投诉相关主体基本情况</w:t>
      </w:r>
    </w:p>
    <w:p w14:paraId="4E94272E">
      <w:pPr>
        <w:jc w:val="both"/>
        <w:rPr>
          <w:rFonts w:ascii="宋体" w:hAnsi="宋体" w:eastAsia="宋体" w:cs="宋体"/>
          <w:color w:val="auto"/>
          <w:highlight w:val="none"/>
          <w:u w:val="dotted"/>
        </w:rPr>
      </w:pPr>
      <w:r>
        <w:rPr>
          <w:rFonts w:hint="eastAsia" w:ascii="宋体" w:hAnsi="宋体" w:eastAsia="宋体" w:cs="宋体"/>
          <w:color w:val="auto"/>
          <w:highlight w:val="none"/>
        </w:rPr>
        <w:t>投诉人：</w:t>
      </w:r>
      <w:r>
        <w:rPr>
          <w:rFonts w:hint="eastAsia" w:ascii="宋体" w:hAnsi="宋体" w:eastAsia="宋体" w:cs="宋体"/>
          <w:color w:val="auto"/>
          <w:highlight w:val="none"/>
          <w:u w:val="dotted"/>
        </w:rPr>
        <w:t xml:space="preserve">                                               </w:t>
      </w:r>
    </w:p>
    <w:p w14:paraId="565DD407">
      <w:pPr>
        <w:jc w:val="both"/>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D94A45E">
      <w:pPr>
        <w:tabs>
          <w:tab w:val="left" w:pos="6510"/>
        </w:tabs>
        <w:jc w:val="both"/>
        <w:rPr>
          <w:rFonts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1ED95F4B">
      <w:pPr>
        <w:tabs>
          <w:tab w:val="left" w:pos="6510"/>
        </w:tabs>
        <w:jc w:val="both"/>
        <w:rPr>
          <w:rFonts w:ascii="宋体" w:hAnsi="宋体" w:eastAsia="宋体" w:cs="宋体"/>
          <w:color w:val="auto"/>
          <w:highlight w:val="none"/>
          <w:u w:val="dotted"/>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7CD41F9F">
      <w:pPr>
        <w:jc w:val="both"/>
        <w:rPr>
          <w:rFonts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4C3F98AB">
      <w:pPr>
        <w:jc w:val="both"/>
        <w:rPr>
          <w:rFonts w:ascii="宋体" w:hAnsi="宋体" w:eastAsia="宋体" w:cs="宋体"/>
          <w:color w:val="auto"/>
          <w:highlight w:val="none"/>
          <w:u w:val="dotted"/>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dotted"/>
        </w:rPr>
        <w:t xml:space="preserve">                   </w:t>
      </w:r>
    </w:p>
    <w:p w14:paraId="4EED9CB4">
      <w:pPr>
        <w:jc w:val="both"/>
        <w:rPr>
          <w:rFonts w:ascii="宋体" w:hAnsi="宋体" w:eastAsia="宋体" w:cs="宋体"/>
          <w:color w:val="auto"/>
          <w:highlight w:val="none"/>
          <w:u w:val="singl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09A636D0">
      <w:pPr>
        <w:jc w:val="both"/>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38E14871">
      <w:pPr>
        <w:jc w:val="both"/>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596657A9">
      <w:pPr>
        <w:jc w:val="both"/>
        <w:rPr>
          <w:rFonts w:ascii="宋体" w:hAnsi="宋体" w:eastAsia="宋体" w:cs="宋体"/>
          <w:color w:val="auto"/>
          <w:highlight w:val="none"/>
        </w:rPr>
      </w:pPr>
      <w:r>
        <w:rPr>
          <w:rFonts w:hint="eastAsia" w:ascii="宋体" w:hAnsi="宋体" w:eastAsia="宋体" w:cs="宋体"/>
          <w:color w:val="auto"/>
          <w:highlight w:val="none"/>
        </w:rPr>
        <w:t>被投诉人2：</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6E636E29">
      <w:pPr>
        <w:jc w:val="both"/>
        <w:rPr>
          <w:rFonts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5DDD3436">
      <w:pPr>
        <w:jc w:val="both"/>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F22B5E4">
      <w:pPr>
        <w:jc w:val="both"/>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1FB8F9FF">
      <w:pPr>
        <w:jc w:val="both"/>
        <w:rPr>
          <w:rFonts w:ascii="宋体" w:hAnsi="宋体" w:eastAsia="宋体" w:cs="宋体"/>
          <w:color w:val="auto"/>
          <w:highlight w:val="none"/>
        </w:rPr>
      </w:pPr>
      <w:r>
        <w:rPr>
          <w:rFonts w:hint="eastAsia" w:ascii="宋体" w:hAnsi="宋体" w:eastAsia="宋体" w:cs="宋体"/>
          <w:color w:val="auto"/>
          <w:highlight w:val="none"/>
        </w:rPr>
        <w:t>二、投诉项目基本情况</w:t>
      </w:r>
    </w:p>
    <w:p w14:paraId="4E80E436">
      <w:pPr>
        <w:jc w:val="both"/>
        <w:rPr>
          <w:rFonts w:ascii="宋体" w:hAnsi="宋体" w:eastAsia="宋体" w:cs="宋体"/>
          <w:color w:val="auto"/>
          <w:highlight w:val="none"/>
          <w:u w:val="dotted"/>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dotted"/>
        </w:rPr>
        <w:t xml:space="preserve">                                        </w:t>
      </w:r>
    </w:p>
    <w:p w14:paraId="166BC97B">
      <w:pPr>
        <w:jc w:val="both"/>
        <w:rPr>
          <w:rFonts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16BEF4BA">
      <w:pPr>
        <w:jc w:val="both"/>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CD746D0">
      <w:pPr>
        <w:jc w:val="both"/>
        <w:rPr>
          <w:rFonts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dotted"/>
        </w:rPr>
        <w:t xml:space="preserve">                                         </w:t>
      </w:r>
    </w:p>
    <w:p w14:paraId="41BB3DA7">
      <w:pPr>
        <w:jc w:val="both"/>
        <w:rPr>
          <w:rFonts w:ascii="宋体" w:hAnsi="宋体" w:eastAsia="宋体" w:cs="宋体"/>
          <w:color w:val="auto"/>
          <w:highlight w:val="none"/>
          <w:u w:val="dotted"/>
        </w:rPr>
      </w:pPr>
      <w:r>
        <w:rPr>
          <w:rFonts w:hint="eastAsia" w:ascii="宋体" w:hAnsi="宋体" w:eastAsia="宋体" w:cs="宋体"/>
          <w:color w:val="auto"/>
          <w:highlight w:val="none"/>
        </w:rPr>
        <w:t>采购文件公告：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57A95FA6">
      <w:pPr>
        <w:jc w:val="both"/>
        <w:rPr>
          <w:rFonts w:ascii="宋体" w:hAnsi="宋体" w:eastAsia="宋体" w:cs="宋体"/>
          <w:color w:val="auto"/>
          <w:highlight w:val="none"/>
          <w:u w:val="singl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6C01462D">
      <w:pPr>
        <w:jc w:val="both"/>
        <w:rPr>
          <w:rFonts w:ascii="宋体" w:hAnsi="宋体" w:eastAsia="宋体" w:cs="宋体"/>
          <w:color w:val="auto"/>
          <w:highlight w:val="none"/>
        </w:rPr>
      </w:pPr>
      <w:r>
        <w:rPr>
          <w:rFonts w:hint="eastAsia" w:ascii="宋体" w:hAnsi="宋体" w:eastAsia="宋体" w:cs="宋体"/>
          <w:color w:val="auto"/>
          <w:highlight w:val="none"/>
        </w:rPr>
        <w:t>三、质疑基本情况</w:t>
      </w:r>
    </w:p>
    <w:p w14:paraId="18A0AC48">
      <w:pPr>
        <w:ind w:firstLine="480" w:firstLineChars="200"/>
        <w:jc w:val="both"/>
        <w:rPr>
          <w:rFonts w:ascii="宋体" w:hAnsi="宋体" w:eastAsia="宋体" w:cs="宋体"/>
          <w:color w:val="auto"/>
          <w:highlight w:val="none"/>
          <w:u w:val="dotted"/>
        </w:rPr>
      </w:pPr>
      <w:r>
        <w:rPr>
          <w:rFonts w:hint="eastAsia" w:ascii="宋体" w:hAnsi="宋体" w:eastAsia="宋体" w:cs="宋体"/>
          <w:color w:val="auto"/>
          <w:highlight w:val="none"/>
        </w:rPr>
        <w:t>投诉人于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日，向</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dotted"/>
        </w:rPr>
        <w:t xml:space="preserve">                                </w:t>
      </w:r>
    </w:p>
    <w:p w14:paraId="1496D987">
      <w:pPr>
        <w:jc w:val="both"/>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0AF757FD">
      <w:pPr>
        <w:ind w:firstLine="360" w:firstLineChars="150"/>
        <w:jc w:val="both"/>
        <w:rPr>
          <w:rFonts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u w:val="dotted"/>
        </w:rPr>
        <w:t>/代理机构</w:t>
      </w:r>
      <w:r>
        <w:rPr>
          <w:rFonts w:hint="eastAsia" w:ascii="宋体" w:hAnsi="宋体" w:eastAsia="宋体" w:cs="宋体"/>
          <w:color w:val="auto"/>
          <w:highlight w:val="none"/>
        </w:rPr>
        <w:t>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日，就质疑事项作出了答复/没有在法定期限内作出答复。</w:t>
      </w:r>
    </w:p>
    <w:p w14:paraId="6E9E4988">
      <w:pPr>
        <w:jc w:val="both"/>
        <w:rPr>
          <w:rFonts w:ascii="宋体" w:hAnsi="宋体" w:eastAsia="宋体" w:cs="宋体"/>
          <w:color w:val="auto"/>
          <w:highlight w:val="none"/>
        </w:rPr>
      </w:pPr>
      <w:r>
        <w:rPr>
          <w:rFonts w:hint="eastAsia" w:ascii="宋体" w:hAnsi="宋体" w:eastAsia="宋体" w:cs="宋体"/>
          <w:color w:val="auto"/>
          <w:highlight w:val="none"/>
        </w:rPr>
        <w:t>四、投诉事项具体内容</w:t>
      </w:r>
    </w:p>
    <w:p w14:paraId="37A6DB9A">
      <w:pPr>
        <w:jc w:val="both"/>
        <w:rPr>
          <w:rFonts w:ascii="宋体" w:hAnsi="宋体" w:eastAsia="宋体" w:cs="宋体"/>
          <w:color w:val="auto"/>
          <w:highlight w:val="none"/>
          <w:u w:val="singl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dotted"/>
        </w:rPr>
        <w:t xml:space="preserve">                                       </w:t>
      </w:r>
    </w:p>
    <w:p w14:paraId="6D723FC2">
      <w:pPr>
        <w:jc w:val="both"/>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7EACE410">
      <w:pPr>
        <w:jc w:val="both"/>
        <w:rPr>
          <w:rFonts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194E842D">
      <w:pPr>
        <w:jc w:val="both"/>
        <w:rPr>
          <w:rFonts w:ascii="宋体" w:hAnsi="宋体" w:eastAsia="宋体" w:cs="宋体"/>
          <w:color w:val="auto"/>
          <w:highlight w:val="none"/>
        </w:rPr>
      </w:pPr>
      <w:r>
        <w:rPr>
          <w:rFonts w:hint="eastAsia" w:ascii="宋体" w:hAnsi="宋体" w:eastAsia="宋体" w:cs="宋体"/>
          <w:color w:val="auto"/>
          <w:highlight w:val="none"/>
        </w:rPr>
        <w:t>投诉事项2</w:t>
      </w:r>
    </w:p>
    <w:p w14:paraId="1F4C4571">
      <w:pPr>
        <w:jc w:val="both"/>
        <w:rPr>
          <w:rFonts w:ascii="宋体" w:hAnsi="宋体" w:eastAsia="宋体" w:cs="宋体"/>
          <w:color w:val="auto"/>
          <w:highlight w:val="none"/>
          <w:u w:val="dotted"/>
        </w:rPr>
      </w:pPr>
      <w:r>
        <w:rPr>
          <w:rFonts w:hint="eastAsia" w:ascii="宋体" w:hAnsi="宋体" w:eastAsia="宋体" w:cs="宋体"/>
          <w:color w:val="auto"/>
          <w:highlight w:val="none"/>
        </w:rPr>
        <w:t>……</w:t>
      </w:r>
    </w:p>
    <w:p w14:paraId="4FC6C6DD">
      <w:pPr>
        <w:jc w:val="both"/>
        <w:rPr>
          <w:rFonts w:ascii="宋体" w:hAnsi="宋体" w:eastAsia="宋体" w:cs="宋体"/>
          <w:color w:val="auto"/>
          <w:highlight w:val="none"/>
        </w:rPr>
      </w:pPr>
      <w:r>
        <w:rPr>
          <w:rFonts w:hint="eastAsia" w:ascii="宋体" w:hAnsi="宋体" w:eastAsia="宋体" w:cs="宋体"/>
          <w:color w:val="auto"/>
          <w:highlight w:val="none"/>
        </w:rPr>
        <w:t>五、与投诉事项相关的投诉请求</w:t>
      </w:r>
    </w:p>
    <w:p w14:paraId="1D159416">
      <w:pPr>
        <w:jc w:val="both"/>
        <w:rPr>
          <w:rFonts w:ascii="宋体" w:hAnsi="宋体" w:eastAsia="宋体" w:cs="宋体"/>
          <w:color w:val="auto"/>
          <w:highlight w:val="none"/>
          <w:u w:val="single"/>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579E82BC">
      <w:pPr>
        <w:jc w:val="both"/>
        <w:rPr>
          <w:rFonts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61DA91C7">
      <w:pPr>
        <w:jc w:val="both"/>
        <w:rPr>
          <w:rFonts w:ascii="宋体" w:hAnsi="宋体" w:eastAsia="宋体" w:cs="宋体"/>
          <w:color w:val="auto"/>
          <w:highlight w:val="none"/>
        </w:rPr>
      </w:pPr>
      <w:r>
        <w:rPr>
          <w:rFonts w:hint="eastAsia" w:ascii="宋体" w:hAnsi="宋体" w:eastAsia="宋体" w:cs="宋体"/>
          <w:color w:val="auto"/>
          <w:highlight w:val="none"/>
        </w:rPr>
        <w:t xml:space="preserve">日期：    </w:t>
      </w:r>
    </w:p>
    <w:p w14:paraId="4565EADC">
      <w:pPr>
        <w:jc w:val="both"/>
        <w:rPr>
          <w:rFonts w:ascii="宋体" w:hAnsi="宋体" w:eastAsia="宋体" w:cs="宋体"/>
          <w:b/>
          <w:color w:val="auto"/>
          <w:highlight w:val="none"/>
        </w:rPr>
      </w:pPr>
      <w:r>
        <w:rPr>
          <w:rFonts w:hint="eastAsia" w:ascii="宋体" w:hAnsi="宋体" w:eastAsia="宋体" w:cs="宋体"/>
          <w:b/>
          <w:color w:val="auto"/>
          <w:highlight w:val="none"/>
        </w:rPr>
        <w:t>投诉书制作说明：</w:t>
      </w:r>
    </w:p>
    <w:p w14:paraId="218C961E">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1.投诉人提起投诉时，应当提交投诉书和必要的证明材料，并按照被投诉人和与投诉事项有关的供应商数量提供投诉书副本。</w:t>
      </w:r>
    </w:p>
    <w:p w14:paraId="5A15C143">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46786E3">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3.投诉人若对项目的某一分包进行投诉，投诉书应列明具体分包号。</w:t>
      </w:r>
    </w:p>
    <w:p w14:paraId="0A221A9C">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4.投诉书应简要列明质疑事项，质疑函、质疑答复等作为附件材料提供。</w:t>
      </w:r>
    </w:p>
    <w:p w14:paraId="03A19164">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5.投诉书的投诉事项应具体、明确，并有必要的事实依据和法律依据。</w:t>
      </w:r>
    </w:p>
    <w:p w14:paraId="531DA2CE">
      <w:pPr>
        <w:widowControl w:val="0"/>
        <w:adjustRightInd w:val="0"/>
        <w:spacing w:after="0" w:line="480" w:lineRule="exact"/>
        <w:ind w:firstLine="480" w:firstLineChars="200"/>
        <w:jc w:val="both"/>
        <w:rPr>
          <w:rFonts w:ascii="宋体" w:hAnsi="宋体" w:eastAsia="宋体" w:cs="宋体"/>
          <w:color w:val="auto"/>
          <w:kern w:val="2"/>
          <w:highlight w:val="none"/>
          <w:lang w:val="zh-CN"/>
        </w:rPr>
      </w:pPr>
      <w:r>
        <w:rPr>
          <w:rFonts w:hint="eastAsia" w:ascii="宋体" w:hAnsi="宋体" w:eastAsia="宋体" w:cs="宋体"/>
          <w:color w:val="auto"/>
          <w:kern w:val="2"/>
          <w:highlight w:val="none"/>
          <w:lang w:val="zh-CN"/>
        </w:rPr>
        <w:t>6.投诉书的投诉请求应与投诉事项相关。</w:t>
      </w:r>
    </w:p>
    <w:p w14:paraId="6BDD2207">
      <w:pPr>
        <w:widowControl w:val="0"/>
        <w:adjustRightInd w:val="0"/>
        <w:spacing w:after="0" w:line="480" w:lineRule="exact"/>
        <w:ind w:firstLine="480" w:firstLineChars="200"/>
        <w:jc w:val="both"/>
        <w:rPr>
          <w:rFonts w:ascii="宋体" w:hAnsi="宋体" w:eastAsia="宋体" w:cs="宋体"/>
          <w:b/>
          <w:color w:val="auto"/>
          <w:highlight w:val="none"/>
        </w:rPr>
      </w:pPr>
      <w:r>
        <w:rPr>
          <w:rFonts w:hint="eastAsia" w:ascii="宋体" w:hAnsi="宋体" w:eastAsia="宋体" w:cs="宋体"/>
          <w:color w:val="auto"/>
          <w:kern w:val="2"/>
          <w:highlight w:val="none"/>
          <w:lang w:val="zh-CN"/>
        </w:rPr>
        <w:t>7.投诉人为自然人的，投诉书应当由本人签字；投诉人为法人或者其他组织的，投诉书应当由法定代表人、主要负责人，或者其授权代表签字或者盖章，并加盖公章。</w:t>
      </w:r>
    </w:p>
    <w:sectPr>
      <w:pgSz w:w="11906" w:h="16838"/>
      <w:pgMar w:top="1440" w:right="1701" w:bottom="1440" w:left="1803"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F815">
    <w:pPr>
      <w:pStyle w:val="2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62</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9FEC">
    <w:pPr>
      <w:pStyle w:val="23"/>
      <w:jc w:val="right"/>
    </w:pPr>
    <w: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68"/>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c52fb0f2-250b-4be8-9b1d-fe2556f084e7"/>
  </w:docVars>
  <w:rsids>
    <w:rsidRoot w:val="004A31C0"/>
    <w:rsid w:val="000227D2"/>
    <w:rsid w:val="00040E44"/>
    <w:rsid w:val="000506FE"/>
    <w:rsid w:val="00052F13"/>
    <w:rsid w:val="00062A5D"/>
    <w:rsid w:val="00083EEE"/>
    <w:rsid w:val="00096F3A"/>
    <w:rsid w:val="000B592B"/>
    <w:rsid w:val="000C67BA"/>
    <w:rsid w:val="000E75F8"/>
    <w:rsid w:val="00105884"/>
    <w:rsid w:val="00135AB8"/>
    <w:rsid w:val="001375DB"/>
    <w:rsid w:val="001448FA"/>
    <w:rsid w:val="001478DA"/>
    <w:rsid w:val="00173428"/>
    <w:rsid w:val="00192CBF"/>
    <w:rsid w:val="001A26AF"/>
    <w:rsid w:val="001A35C1"/>
    <w:rsid w:val="001A3CF6"/>
    <w:rsid w:val="001C24FB"/>
    <w:rsid w:val="001D4C2E"/>
    <w:rsid w:val="001E0464"/>
    <w:rsid w:val="0023424F"/>
    <w:rsid w:val="00236B06"/>
    <w:rsid w:val="00240685"/>
    <w:rsid w:val="0024401D"/>
    <w:rsid w:val="002534A7"/>
    <w:rsid w:val="00262183"/>
    <w:rsid w:val="00271A6F"/>
    <w:rsid w:val="002C4D36"/>
    <w:rsid w:val="002E02E0"/>
    <w:rsid w:val="002E4CD1"/>
    <w:rsid w:val="003075F7"/>
    <w:rsid w:val="003169BC"/>
    <w:rsid w:val="003317B1"/>
    <w:rsid w:val="00352D29"/>
    <w:rsid w:val="0035778E"/>
    <w:rsid w:val="003664CE"/>
    <w:rsid w:val="00380ED1"/>
    <w:rsid w:val="00381B1D"/>
    <w:rsid w:val="003A3435"/>
    <w:rsid w:val="003D0D07"/>
    <w:rsid w:val="00401C9C"/>
    <w:rsid w:val="004105E2"/>
    <w:rsid w:val="00420958"/>
    <w:rsid w:val="00422643"/>
    <w:rsid w:val="00424619"/>
    <w:rsid w:val="00424A1D"/>
    <w:rsid w:val="00462F9D"/>
    <w:rsid w:val="004A31C0"/>
    <w:rsid w:val="004C6C28"/>
    <w:rsid w:val="00501CA3"/>
    <w:rsid w:val="005126F1"/>
    <w:rsid w:val="00512F6D"/>
    <w:rsid w:val="00537E0F"/>
    <w:rsid w:val="00581054"/>
    <w:rsid w:val="005A325A"/>
    <w:rsid w:val="005A3BF2"/>
    <w:rsid w:val="005E08D1"/>
    <w:rsid w:val="0060320D"/>
    <w:rsid w:val="006511DA"/>
    <w:rsid w:val="00652051"/>
    <w:rsid w:val="0065383E"/>
    <w:rsid w:val="00661973"/>
    <w:rsid w:val="006657BD"/>
    <w:rsid w:val="0069662B"/>
    <w:rsid w:val="006F2568"/>
    <w:rsid w:val="006F282E"/>
    <w:rsid w:val="00706DC6"/>
    <w:rsid w:val="00711092"/>
    <w:rsid w:val="00716529"/>
    <w:rsid w:val="00725C59"/>
    <w:rsid w:val="00730BD0"/>
    <w:rsid w:val="00734973"/>
    <w:rsid w:val="00742C93"/>
    <w:rsid w:val="00744AB4"/>
    <w:rsid w:val="007A4DF9"/>
    <w:rsid w:val="007B07B1"/>
    <w:rsid w:val="00821F00"/>
    <w:rsid w:val="00822B59"/>
    <w:rsid w:val="00825212"/>
    <w:rsid w:val="00836EE4"/>
    <w:rsid w:val="00843A59"/>
    <w:rsid w:val="00852E70"/>
    <w:rsid w:val="00872DA1"/>
    <w:rsid w:val="00873B8A"/>
    <w:rsid w:val="008B1281"/>
    <w:rsid w:val="008B342A"/>
    <w:rsid w:val="008C3320"/>
    <w:rsid w:val="008D0585"/>
    <w:rsid w:val="008E1052"/>
    <w:rsid w:val="008F729B"/>
    <w:rsid w:val="009040D0"/>
    <w:rsid w:val="009064F4"/>
    <w:rsid w:val="009252FE"/>
    <w:rsid w:val="009823B1"/>
    <w:rsid w:val="009863A6"/>
    <w:rsid w:val="0098739B"/>
    <w:rsid w:val="00993A89"/>
    <w:rsid w:val="009B7259"/>
    <w:rsid w:val="009E6B47"/>
    <w:rsid w:val="00A265C9"/>
    <w:rsid w:val="00A5394E"/>
    <w:rsid w:val="00A955FA"/>
    <w:rsid w:val="00AB3C03"/>
    <w:rsid w:val="00AC5A89"/>
    <w:rsid w:val="00B12243"/>
    <w:rsid w:val="00B34428"/>
    <w:rsid w:val="00B50722"/>
    <w:rsid w:val="00B638D9"/>
    <w:rsid w:val="00B766C8"/>
    <w:rsid w:val="00BA4DC3"/>
    <w:rsid w:val="00BF0E5E"/>
    <w:rsid w:val="00BF6538"/>
    <w:rsid w:val="00C05067"/>
    <w:rsid w:val="00C315A8"/>
    <w:rsid w:val="00C33A7E"/>
    <w:rsid w:val="00C555C7"/>
    <w:rsid w:val="00CA5372"/>
    <w:rsid w:val="00CF35F3"/>
    <w:rsid w:val="00D03E3B"/>
    <w:rsid w:val="00D26E77"/>
    <w:rsid w:val="00D41990"/>
    <w:rsid w:val="00D55B54"/>
    <w:rsid w:val="00D61C6D"/>
    <w:rsid w:val="00D901E0"/>
    <w:rsid w:val="00DA79AF"/>
    <w:rsid w:val="00DE7F9D"/>
    <w:rsid w:val="00E01C27"/>
    <w:rsid w:val="00E06B99"/>
    <w:rsid w:val="00E2136E"/>
    <w:rsid w:val="00E226DC"/>
    <w:rsid w:val="00E26EE8"/>
    <w:rsid w:val="00E428C8"/>
    <w:rsid w:val="00E51F9B"/>
    <w:rsid w:val="00E81776"/>
    <w:rsid w:val="00E92316"/>
    <w:rsid w:val="00E94AF3"/>
    <w:rsid w:val="00EB6182"/>
    <w:rsid w:val="00ED389E"/>
    <w:rsid w:val="00EE2D23"/>
    <w:rsid w:val="00EF4A1A"/>
    <w:rsid w:val="00F3104A"/>
    <w:rsid w:val="00F577A9"/>
    <w:rsid w:val="00F57E5E"/>
    <w:rsid w:val="00F66F6C"/>
    <w:rsid w:val="00F7530A"/>
    <w:rsid w:val="00F82240"/>
    <w:rsid w:val="00F872C5"/>
    <w:rsid w:val="00F906B9"/>
    <w:rsid w:val="00FB1AFB"/>
    <w:rsid w:val="00FD5896"/>
    <w:rsid w:val="00FE3ACD"/>
    <w:rsid w:val="00FF515C"/>
    <w:rsid w:val="01893E76"/>
    <w:rsid w:val="01D553FA"/>
    <w:rsid w:val="01E842F1"/>
    <w:rsid w:val="02300183"/>
    <w:rsid w:val="023B599D"/>
    <w:rsid w:val="025427D0"/>
    <w:rsid w:val="02A95D00"/>
    <w:rsid w:val="02BF25B0"/>
    <w:rsid w:val="046B19E4"/>
    <w:rsid w:val="04C80BE4"/>
    <w:rsid w:val="04EB5695"/>
    <w:rsid w:val="052F33E8"/>
    <w:rsid w:val="05956AD0"/>
    <w:rsid w:val="065B15E4"/>
    <w:rsid w:val="06D01B2C"/>
    <w:rsid w:val="070C39C0"/>
    <w:rsid w:val="072D7E5E"/>
    <w:rsid w:val="07364BB8"/>
    <w:rsid w:val="07A01562"/>
    <w:rsid w:val="07A2707C"/>
    <w:rsid w:val="07B2792A"/>
    <w:rsid w:val="07D47A4F"/>
    <w:rsid w:val="07DF0035"/>
    <w:rsid w:val="07FF9E3D"/>
    <w:rsid w:val="089C7D08"/>
    <w:rsid w:val="08E91C86"/>
    <w:rsid w:val="08FF26FB"/>
    <w:rsid w:val="09873EF8"/>
    <w:rsid w:val="09B52227"/>
    <w:rsid w:val="09E97993"/>
    <w:rsid w:val="0A112EE1"/>
    <w:rsid w:val="0A6038C8"/>
    <w:rsid w:val="0A7D4664"/>
    <w:rsid w:val="0A9D3533"/>
    <w:rsid w:val="0AAF2BEC"/>
    <w:rsid w:val="0B643808"/>
    <w:rsid w:val="0BC1638D"/>
    <w:rsid w:val="0C760F26"/>
    <w:rsid w:val="0DA03D99"/>
    <w:rsid w:val="0F3D3826"/>
    <w:rsid w:val="10117FE2"/>
    <w:rsid w:val="10495D89"/>
    <w:rsid w:val="106A06E7"/>
    <w:rsid w:val="107A6169"/>
    <w:rsid w:val="115630D4"/>
    <w:rsid w:val="11576BB2"/>
    <w:rsid w:val="11C101AE"/>
    <w:rsid w:val="11C23DE8"/>
    <w:rsid w:val="11E4196C"/>
    <w:rsid w:val="12BB24A1"/>
    <w:rsid w:val="1350028A"/>
    <w:rsid w:val="13C869A0"/>
    <w:rsid w:val="14174080"/>
    <w:rsid w:val="14630D30"/>
    <w:rsid w:val="15094777"/>
    <w:rsid w:val="155C6610"/>
    <w:rsid w:val="15FB62DF"/>
    <w:rsid w:val="162C121D"/>
    <w:rsid w:val="165D4B98"/>
    <w:rsid w:val="17182642"/>
    <w:rsid w:val="17323F30"/>
    <w:rsid w:val="17BF5E77"/>
    <w:rsid w:val="19020978"/>
    <w:rsid w:val="190725DB"/>
    <w:rsid w:val="19931D6C"/>
    <w:rsid w:val="19CC3AF7"/>
    <w:rsid w:val="1ADB440C"/>
    <w:rsid w:val="1B842B3B"/>
    <w:rsid w:val="1BC738E5"/>
    <w:rsid w:val="1C87533E"/>
    <w:rsid w:val="1CA20BBC"/>
    <w:rsid w:val="1D033CE9"/>
    <w:rsid w:val="1D1E6628"/>
    <w:rsid w:val="1E303C45"/>
    <w:rsid w:val="1EA50806"/>
    <w:rsid w:val="1EB7054F"/>
    <w:rsid w:val="1EC21DA9"/>
    <w:rsid w:val="1F1314EC"/>
    <w:rsid w:val="1F784432"/>
    <w:rsid w:val="1F876E8D"/>
    <w:rsid w:val="201D2B69"/>
    <w:rsid w:val="206B48C0"/>
    <w:rsid w:val="209A46A9"/>
    <w:rsid w:val="20F26474"/>
    <w:rsid w:val="210E1C57"/>
    <w:rsid w:val="215C7C4C"/>
    <w:rsid w:val="218A20FB"/>
    <w:rsid w:val="22550D49"/>
    <w:rsid w:val="22E83BF8"/>
    <w:rsid w:val="22E97C40"/>
    <w:rsid w:val="238A4A63"/>
    <w:rsid w:val="23DC3FFC"/>
    <w:rsid w:val="24211E03"/>
    <w:rsid w:val="247937C4"/>
    <w:rsid w:val="24924599"/>
    <w:rsid w:val="25062C63"/>
    <w:rsid w:val="254E4396"/>
    <w:rsid w:val="25625D5F"/>
    <w:rsid w:val="25A82086"/>
    <w:rsid w:val="25D907CA"/>
    <w:rsid w:val="25E17E87"/>
    <w:rsid w:val="25FA3D08"/>
    <w:rsid w:val="265754CC"/>
    <w:rsid w:val="26814C69"/>
    <w:rsid w:val="269C4CE4"/>
    <w:rsid w:val="26D12FC0"/>
    <w:rsid w:val="275742CB"/>
    <w:rsid w:val="27680CAF"/>
    <w:rsid w:val="278361B1"/>
    <w:rsid w:val="27C34C38"/>
    <w:rsid w:val="280A3483"/>
    <w:rsid w:val="2847687F"/>
    <w:rsid w:val="289E1C4B"/>
    <w:rsid w:val="28B9054D"/>
    <w:rsid w:val="2A125B9F"/>
    <w:rsid w:val="2AB76C24"/>
    <w:rsid w:val="2B012AFC"/>
    <w:rsid w:val="2BA40843"/>
    <w:rsid w:val="2BE40338"/>
    <w:rsid w:val="2BEC7109"/>
    <w:rsid w:val="2C116858"/>
    <w:rsid w:val="2CE22062"/>
    <w:rsid w:val="2D17454B"/>
    <w:rsid w:val="2D2F4DAB"/>
    <w:rsid w:val="2E3F5791"/>
    <w:rsid w:val="2E652E08"/>
    <w:rsid w:val="2F0956DB"/>
    <w:rsid w:val="2FBB32CB"/>
    <w:rsid w:val="30432CCB"/>
    <w:rsid w:val="30A97E6F"/>
    <w:rsid w:val="30CD4981"/>
    <w:rsid w:val="30E874AD"/>
    <w:rsid w:val="3138414C"/>
    <w:rsid w:val="31800433"/>
    <w:rsid w:val="31882D19"/>
    <w:rsid w:val="328F5F4B"/>
    <w:rsid w:val="32DC1AA9"/>
    <w:rsid w:val="32DC3CF3"/>
    <w:rsid w:val="33087B48"/>
    <w:rsid w:val="33661839"/>
    <w:rsid w:val="33F4376D"/>
    <w:rsid w:val="34325184"/>
    <w:rsid w:val="349C558B"/>
    <w:rsid w:val="35280D6E"/>
    <w:rsid w:val="359721BD"/>
    <w:rsid w:val="35D1477D"/>
    <w:rsid w:val="35DE7FD8"/>
    <w:rsid w:val="36AA33F6"/>
    <w:rsid w:val="36FE7510"/>
    <w:rsid w:val="37411EE6"/>
    <w:rsid w:val="374F351B"/>
    <w:rsid w:val="37CF19EA"/>
    <w:rsid w:val="37D22C05"/>
    <w:rsid w:val="382F1DE3"/>
    <w:rsid w:val="388719F4"/>
    <w:rsid w:val="38D02912"/>
    <w:rsid w:val="38E275B3"/>
    <w:rsid w:val="393C051D"/>
    <w:rsid w:val="39621CD6"/>
    <w:rsid w:val="39E95F44"/>
    <w:rsid w:val="3A21318E"/>
    <w:rsid w:val="3A2160C5"/>
    <w:rsid w:val="3A5859DF"/>
    <w:rsid w:val="3B660234"/>
    <w:rsid w:val="3C046FBC"/>
    <w:rsid w:val="3C2746A4"/>
    <w:rsid w:val="3C526A0A"/>
    <w:rsid w:val="3C7A0139"/>
    <w:rsid w:val="3C955A60"/>
    <w:rsid w:val="3D69400B"/>
    <w:rsid w:val="3D800835"/>
    <w:rsid w:val="3DCC3342"/>
    <w:rsid w:val="3E7E7594"/>
    <w:rsid w:val="3E863653"/>
    <w:rsid w:val="3EA352FB"/>
    <w:rsid w:val="3EBB29A2"/>
    <w:rsid w:val="3F31363C"/>
    <w:rsid w:val="3F514D57"/>
    <w:rsid w:val="3FD555FE"/>
    <w:rsid w:val="40045D0F"/>
    <w:rsid w:val="401A783F"/>
    <w:rsid w:val="404F28CA"/>
    <w:rsid w:val="40A8309D"/>
    <w:rsid w:val="412207D2"/>
    <w:rsid w:val="41904F31"/>
    <w:rsid w:val="41AE3C6E"/>
    <w:rsid w:val="41AE7FF6"/>
    <w:rsid w:val="41FF1CA7"/>
    <w:rsid w:val="423C1A61"/>
    <w:rsid w:val="42741713"/>
    <w:rsid w:val="42EF1015"/>
    <w:rsid w:val="43476B9D"/>
    <w:rsid w:val="43C40B3F"/>
    <w:rsid w:val="43F565F9"/>
    <w:rsid w:val="4424384D"/>
    <w:rsid w:val="443754A3"/>
    <w:rsid w:val="445104BA"/>
    <w:rsid w:val="44755D39"/>
    <w:rsid w:val="44D501D8"/>
    <w:rsid w:val="453F2053"/>
    <w:rsid w:val="457D1534"/>
    <w:rsid w:val="45EA33F8"/>
    <w:rsid w:val="46080139"/>
    <w:rsid w:val="461B0263"/>
    <w:rsid w:val="462245EB"/>
    <w:rsid w:val="467619EE"/>
    <w:rsid w:val="46875F75"/>
    <w:rsid w:val="46C85790"/>
    <w:rsid w:val="47EC7D13"/>
    <w:rsid w:val="486E0728"/>
    <w:rsid w:val="49380D36"/>
    <w:rsid w:val="4968606E"/>
    <w:rsid w:val="4A281ED8"/>
    <w:rsid w:val="4AC83FFB"/>
    <w:rsid w:val="4B1854BE"/>
    <w:rsid w:val="4B502316"/>
    <w:rsid w:val="4BD2197B"/>
    <w:rsid w:val="4C056FA8"/>
    <w:rsid w:val="4CED2F9E"/>
    <w:rsid w:val="4D0E6BC2"/>
    <w:rsid w:val="4DC80128"/>
    <w:rsid w:val="4DD82EBF"/>
    <w:rsid w:val="4DFF5E51"/>
    <w:rsid w:val="4EB06D2B"/>
    <w:rsid w:val="4EDB4398"/>
    <w:rsid w:val="4F2E7C92"/>
    <w:rsid w:val="4FD276D7"/>
    <w:rsid w:val="502D25BD"/>
    <w:rsid w:val="509A2DA4"/>
    <w:rsid w:val="510C3561"/>
    <w:rsid w:val="516F32D3"/>
    <w:rsid w:val="51E6035F"/>
    <w:rsid w:val="51ED41AD"/>
    <w:rsid w:val="52263E21"/>
    <w:rsid w:val="525E7A5F"/>
    <w:rsid w:val="52D84C59"/>
    <w:rsid w:val="53473F34"/>
    <w:rsid w:val="53512798"/>
    <w:rsid w:val="53814D20"/>
    <w:rsid w:val="539463F2"/>
    <w:rsid w:val="53F774B4"/>
    <w:rsid w:val="554035A2"/>
    <w:rsid w:val="557E039E"/>
    <w:rsid w:val="55DB3D45"/>
    <w:rsid w:val="561C2873"/>
    <w:rsid w:val="56384123"/>
    <w:rsid w:val="56490020"/>
    <w:rsid w:val="566850E8"/>
    <w:rsid w:val="57630B4C"/>
    <w:rsid w:val="57A64ED9"/>
    <w:rsid w:val="57AD38B1"/>
    <w:rsid w:val="58B912F2"/>
    <w:rsid w:val="58F327F2"/>
    <w:rsid w:val="599E7BF0"/>
    <w:rsid w:val="59E27F9F"/>
    <w:rsid w:val="5B3A7E9F"/>
    <w:rsid w:val="5C3A2C47"/>
    <w:rsid w:val="5CA65E1F"/>
    <w:rsid w:val="5D415FB3"/>
    <w:rsid w:val="5D7E6FEF"/>
    <w:rsid w:val="5D800180"/>
    <w:rsid w:val="5DAD189A"/>
    <w:rsid w:val="5E8C0FCE"/>
    <w:rsid w:val="5FA26523"/>
    <w:rsid w:val="600B05B7"/>
    <w:rsid w:val="61202383"/>
    <w:rsid w:val="61681BD9"/>
    <w:rsid w:val="61712499"/>
    <w:rsid w:val="61DE0DFD"/>
    <w:rsid w:val="62184B91"/>
    <w:rsid w:val="62582677"/>
    <w:rsid w:val="6264652D"/>
    <w:rsid w:val="62D36345"/>
    <w:rsid w:val="62EE6C9A"/>
    <w:rsid w:val="630A239A"/>
    <w:rsid w:val="631C4409"/>
    <w:rsid w:val="63341991"/>
    <w:rsid w:val="639E720A"/>
    <w:rsid w:val="64631E35"/>
    <w:rsid w:val="650869CE"/>
    <w:rsid w:val="651571B7"/>
    <w:rsid w:val="660A6E2C"/>
    <w:rsid w:val="66947A2E"/>
    <w:rsid w:val="66CF0018"/>
    <w:rsid w:val="66E56FCD"/>
    <w:rsid w:val="671A02CA"/>
    <w:rsid w:val="679413D5"/>
    <w:rsid w:val="68475789"/>
    <w:rsid w:val="698B6B10"/>
    <w:rsid w:val="69986DE2"/>
    <w:rsid w:val="69D64555"/>
    <w:rsid w:val="6A451B01"/>
    <w:rsid w:val="6A651842"/>
    <w:rsid w:val="6A7F45BF"/>
    <w:rsid w:val="6A8A71EB"/>
    <w:rsid w:val="6A8B3381"/>
    <w:rsid w:val="6ABA4022"/>
    <w:rsid w:val="6B47587B"/>
    <w:rsid w:val="6BE071F2"/>
    <w:rsid w:val="6C0F753A"/>
    <w:rsid w:val="6C5A100C"/>
    <w:rsid w:val="6CC91181"/>
    <w:rsid w:val="6DBB2D6F"/>
    <w:rsid w:val="6DC5584F"/>
    <w:rsid w:val="6DF65E0C"/>
    <w:rsid w:val="6DF9257E"/>
    <w:rsid w:val="6E5C3F62"/>
    <w:rsid w:val="6EDA7C28"/>
    <w:rsid w:val="6F174DC6"/>
    <w:rsid w:val="6F280B35"/>
    <w:rsid w:val="6F355BA1"/>
    <w:rsid w:val="6F36202D"/>
    <w:rsid w:val="6F4972ED"/>
    <w:rsid w:val="6F4B43EE"/>
    <w:rsid w:val="6F6E6529"/>
    <w:rsid w:val="6F7342F0"/>
    <w:rsid w:val="6F944661"/>
    <w:rsid w:val="6F96218E"/>
    <w:rsid w:val="6FE81C34"/>
    <w:rsid w:val="70453BB5"/>
    <w:rsid w:val="706863E0"/>
    <w:rsid w:val="70911016"/>
    <w:rsid w:val="709674C6"/>
    <w:rsid w:val="710C0C1C"/>
    <w:rsid w:val="71567142"/>
    <w:rsid w:val="71F2730C"/>
    <w:rsid w:val="72322114"/>
    <w:rsid w:val="73222E63"/>
    <w:rsid w:val="732C6AD1"/>
    <w:rsid w:val="73D94CA8"/>
    <w:rsid w:val="742C095F"/>
    <w:rsid w:val="746D0CD7"/>
    <w:rsid w:val="749E6039"/>
    <w:rsid w:val="754F72A3"/>
    <w:rsid w:val="756F0B5C"/>
    <w:rsid w:val="75822F62"/>
    <w:rsid w:val="75A373B3"/>
    <w:rsid w:val="75A45C9D"/>
    <w:rsid w:val="76095AAA"/>
    <w:rsid w:val="76515061"/>
    <w:rsid w:val="76BB4366"/>
    <w:rsid w:val="773B2A40"/>
    <w:rsid w:val="77427D22"/>
    <w:rsid w:val="77DA8675"/>
    <w:rsid w:val="77DE6ED4"/>
    <w:rsid w:val="7A394633"/>
    <w:rsid w:val="7AF1296F"/>
    <w:rsid w:val="7B3C1F8E"/>
    <w:rsid w:val="7B767619"/>
    <w:rsid w:val="7BA901F2"/>
    <w:rsid w:val="7BAE244D"/>
    <w:rsid w:val="7C340281"/>
    <w:rsid w:val="7CCB2C8D"/>
    <w:rsid w:val="7CD82311"/>
    <w:rsid w:val="7CFB25E5"/>
    <w:rsid w:val="7D30787F"/>
    <w:rsid w:val="7D6D7FBA"/>
    <w:rsid w:val="7D86705F"/>
    <w:rsid w:val="7DE033BE"/>
    <w:rsid w:val="7E420EB3"/>
    <w:rsid w:val="7E745D9B"/>
    <w:rsid w:val="7F806886"/>
    <w:rsid w:val="7F853FCE"/>
    <w:rsid w:val="7FA50271"/>
    <w:rsid w:val="7FF81E1C"/>
    <w:rsid w:val="7FF93EC4"/>
    <w:rsid w:val="BFFFEC7E"/>
    <w:rsid w:val="EDF72E1E"/>
    <w:rsid w:val="F5BF5C57"/>
    <w:rsid w:val="F7FC3692"/>
    <w:rsid w:val="FF3D2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1"/>
    <w:qFormat/>
    <w:uiPriority w:val="9"/>
    <w:pPr>
      <w:spacing w:before="480" w:after="0"/>
      <w:outlineLvl w:val="0"/>
    </w:pPr>
    <w:rPr>
      <w:rFonts w:ascii="仿宋_GB2312" w:eastAsia="仿宋_GB2312"/>
      <w:b/>
      <w:smallCaps/>
      <w:spacing w:val="5"/>
      <w:sz w:val="36"/>
      <w:szCs w:val="36"/>
    </w:rPr>
  </w:style>
  <w:style w:type="paragraph" w:styleId="3">
    <w:name w:val="heading 2"/>
    <w:basedOn w:val="1"/>
    <w:next w:val="1"/>
    <w:link w:val="42"/>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43"/>
    <w:unhideWhenUsed/>
    <w:qFormat/>
    <w:uiPriority w:val="9"/>
    <w:pPr>
      <w:outlineLvl w:val="2"/>
    </w:pPr>
    <w:rPr>
      <w:b/>
    </w:rPr>
  </w:style>
  <w:style w:type="paragraph" w:styleId="5">
    <w:name w:val="heading 4"/>
    <w:basedOn w:val="1"/>
    <w:next w:val="1"/>
    <w:link w:val="44"/>
    <w:unhideWhenUsed/>
    <w:qFormat/>
    <w:uiPriority w:val="9"/>
    <w:pPr>
      <w:spacing w:after="0" w:line="271" w:lineRule="auto"/>
      <w:outlineLvl w:val="3"/>
    </w:pPr>
    <w:rPr>
      <w:b/>
      <w:bCs/>
      <w:spacing w:val="5"/>
    </w:rPr>
  </w:style>
  <w:style w:type="paragraph" w:styleId="6">
    <w:name w:val="heading 5"/>
    <w:basedOn w:val="1"/>
    <w:next w:val="1"/>
    <w:link w:val="45"/>
    <w:unhideWhenUsed/>
    <w:qFormat/>
    <w:uiPriority w:val="9"/>
    <w:pPr>
      <w:spacing w:after="0" w:line="271" w:lineRule="auto"/>
      <w:outlineLvl w:val="4"/>
    </w:pPr>
    <w:rPr>
      <w:i/>
      <w:iCs/>
    </w:rPr>
  </w:style>
  <w:style w:type="paragraph" w:styleId="7">
    <w:name w:val="heading 6"/>
    <w:basedOn w:val="1"/>
    <w:next w:val="1"/>
    <w:link w:val="46"/>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7"/>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8"/>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9"/>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8"/>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Document Map"/>
    <w:basedOn w:val="1"/>
    <w:qFormat/>
    <w:uiPriority w:val="0"/>
    <w:pPr>
      <w:shd w:val="clear" w:color="auto" w:fill="000080"/>
    </w:pPr>
  </w:style>
  <w:style w:type="paragraph" w:styleId="14">
    <w:name w:val="annotation text"/>
    <w:basedOn w:val="1"/>
    <w:link w:val="88"/>
    <w:qFormat/>
    <w:uiPriority w:val="99"/>
    <w:rPr>
      <w:sz w:val="28"/>
    </w:rPr>
  </w:style>
  <w:style w:type="paragraph" w:styleId="15">
    <w:name w:val="Body Text"/>
    <w:basedOn w:val="1"/>
    <w:next w:val="16"/>
    <w:qFormat/>
    <w:uiPriority w:val="0"/>
    <w:pPr>
      <w:spacing w:after="120"/>
    </w:pPr>
    <w:rPr>
      <w:sz w:val="28"/>
    </w:rPr>
  </w:style>
  <w:style w:type="paragraph" w:styleId="16">
    <w:name w:val="Body Text First Indent"/>
    <w:basedOn w:val="15"/>
    <w:next w:val="17"/>
    <w:qFormat/>
    <w:uiPriority w:val="0"/>
    <w:pPr>
      <w:ind w:firstLine="420" w:firstLineChars="100"/>
    </w:pPr>
  </w:style>
  <w:style w:type="paragraph" w:styleId="17">
    <w:name w:val="toc 6"/>
    <w:basedOn w:val="1"/>
    <w:next w:val="1"/>
    <w:semiHidden/>
    <w:qFormat/>
    <w:uiPriority w:val="0"/>
    <w:pPr>
      <w:ind w:left="2100" w:leftChars="1000"/>
    </w:pPr>
  </w:style>
  <w:style w:type="paragraph" w:styleId="18">
    <w:name w:val="Body Text Indent"/>
    <w:basedOn w:val="1"/>
    <w:next w:val="11"/>
    <w:link w:val="71"/>
    <w:qFormat/>
    <w:uiPriority w:val="99"/>
    <w:pPr>
      <w:widowControl w:val="0"/>
      <w:adjustRightInd w:val="0"/>
      <w:spacing w:after="0" w:line="480" w:lineRule="exact"/>
      <w:ind w:firstLine="480" w:firstLineChars="200"/>
      <w:jc w:val="both"/>
    </w:pPr>
    <w:rPr>
      <w:rFonts w:ascii="宋体" w:hAnsi="宋体" w:eastAsia="宋体" w:cs="Times New Roman"/>
      <w:kern w:val="2"/>
    </w:rPr>
  </w:style>
  <w:style w:type="paragraph" w:styleId="19">
    <w:name w:val="Plain Text"/>
    <w:basedOn w:val="1"/>
    <w:link w:val="69"/>
    <w:qFormat/>
    <w:uiPriority w:val="99"/>
    <w:pPr>
      <w:widowControl w:val="0"/>
      <w:adjustRightInd w:val="0"/>
      <w:spacing w:after="0"/>
      <w:jc w:val="both"/>
    </w:pPr>
    <w:rPr>
      <w:rFonts w:ascii="宋体" w:hAnsi="Courier New" w:eastAsia="宋体" w:cs="Arial"/>
      <w:snapToGrid w:val="0"/>
      <w:kern w:val="2"/>
      <w:sz w:val="21"/>
      <w:szCs w:val="21"/>
    </w:rPr>
  </w:style>
  <w:style w:type="paragraph" w:styleId="20">
    <w:name w:val="Date"/>
    <w:basedOn w:val="1"/>
    <w:next w:val="1"/>
    <w:qFormat/>
    <w:uiPriority w:val="0"/>
    <w:pPr>
      <w:ind w:left="100" w:leftChars="2500"/>
    </w:pPr>
    <w:rPr>
      <w:rFonts w:ascii="宋体"/>
      <w:szCs w:val="21"/>
      <w:lang w:val="zh-CN"/>
    </w:rPr>
  </w:style>
  <w:style w:type="paragraph" w:styleId="21">
    <w:name w:val="Balloon Text"/>
    <w:basedOn w:val="1"/>
    <w:link w:val="83"/>
    <w:semiHidden/>
    <w:unhideWhenUsed/>
    <w:qFormat/>
    <w:uiPriority w:val="99"/>
    <w:pPr>
      <w:spacing w:after="0"/>
    </w:pPr>
    <w:rPr>
      <w:sz w:val="18"/>
      <w:szCs w:val="18"/>
    </w:rPr>
  </w:style>
  <w:style w:type="paragraph" w:styleId="22">
    <w:name w:val="footer"/>
    <w:basedOn w:val="1"/>
    <w:link w:val="40"/>
    <w:unhideWhenUsed/>
    <w:qFormat/>
    <w:uiPriority w:val="99"/>
    <w:pPr>
      <w:tabs>
        <w:tab w:val="center" w:pos="4153"/>
        <w:tab w:val="right" w:pos="8306"/>
      </w:tabs>
      <w:snapToGrid w:val="0"/>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1"/>
    <w:qFormat/>
    <w:uiPriority w:val="11"/>
    <w:rPr>
      <w:i/>
      <w:iCs/>
      <w:smallCaps/>
      <w:spacing w:val="10"/>
      <w:sz w:val="28"/>
      <w:szCs w:val="28"/>
    </w:rPr>
  </w:style>
  <w:style w:type="paragraph" w:styleId="25">
    <w:name w:val="footnote text"/>
    <w:basedOn w:val="1"/>
    <w:link w:val="87"/>
    <w:semiHidden/>
    <w:unhideWhenUsed/>
    <w:qFormat/>
    <w:uiPriority w:val="99"/>
    <w:pPr>
      <w:snapToGrid w:val="0"/>
    </w:pPr>
    <w:rPr>
      <w:sz w:val="18"/>
      <w:szCs w:val="18"/>
    </w:rPr>
  </w:style>
  <w:style w:type="paragraph" w:styleId="26">
    <w:name w:val="Normal (Web)"/>
    <w:basedOn w:val="1"/>
    <w:unhideWhenUsed/>
    <w:qFormat/>
    <w:uiPriority w:val="99"/>
    <w:pPr>
      <w:spacing w:beforeAutospacing="1" w:after="0" w:afterAutospacing="1"/>
    </w:pPr>
    <w:rPr>
      <w:rFonts w:cs="Times New Roman"/>
    </w:rPr>
  </w:style>
  <w:style w:type="paragraph" w:styleId="27">
    <w:name w:val="Title"/>
    <w:basedOn w:val="1"/>
    <w:next w:val="1"/>
    <w:link w:val="50"/>
    <w:qFormat/>
    <w:uiPriority w:val="10"/>
    <w:pPr>
      <w:spacing w:after="300"/>
      <w:contextualSpacing/>
    </w:pPr>
    <w:rPr>
      <w:smallCaps/>
      <w:sz w:val="52"/>
      <w:szCs w:val="52"/>
    </w:rPr>
  </w:style>
  <w:style w:type="paragraph" w:styleId="28">
    <w:name w:val="annotation subject"/>
    <w:basedOn w:val="14"/>
    <w:next w:val="14"/>
    <w:link w:val="89"/>
    <w:semiHidden/>
    <w:unhideWhenUsed/>
    <w:qFormat/>
    <w:uiPriority w:val="99"/>
    <w:rPr>
      <w:b/>
      <w:bCs/>
      <w:sz w:val="24"/>
    </w:rPr>
  </w:style>
  <w:style w:type="paragraph" w:styleId="29">
    <w:name w:val="Body Text First Indent 2"/>
    <w:basedOn w:val="18"/>
    <w:next w:val="1"/>
    <w:qFormat/>
    <w:uiPriority w:val="0"/>
    <w:pPr>
      <w:tabs>
        <w:tab w:val="left" w:pos="0"/>
        <w:tab w:val="left" w:pos="993"/>
        <w:tab w:val="left" w:pos="1134"/>
      </w:tabs>
    </w:pPr>
    <w:rPr>
      <w:rFonts w:asciiTheme="minorHAnsi" w:hAnsiTheme="minorHAnsi" w:cstheme="minorBidi"/>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mphasis"/>
    <w:qFormat/>
    <w:uiPriority w:val="20"/>
    <w:rPr>
      <w:b/>
      <w:bCs/>
      <w:i/>
      <w:iCs/>
      <w:spacing w:val="10"/>
    </w:rPr>
  </w:style>
  <w:style w:type="character" w:styleId="35">
    <w:name w:val="Hyperlink"/>
    <w:qFormat/>
    <w:uiPriority w:val="99"/>
    <w:rPr>
      <w:rFonts w:ascii="Arial" w:hAnsi="Arial" w:eastAsia="黑体" w:cs="Arial"/>
      <w:snapToGrid w:val="0"/>
      <w:color w:val="000000"/>
      <w:kern w:val="0"/>
      <w:sz w:val="18"/>
      <w:szCs w:val="18"/>
      <w:u w:val="none"/>
    </w:rPr>
  </w:style>
  <w:style w:type="character" w:styleId="36">
    <w:name w:val="annotation reference"/>
    <w:basedOn w:val="32"/>
    <w:semiHidden/>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customStyle="1" w:styleId="38">
    <w:name w:val="正文文本首行缩进 21"/>
    <w:basedOn w:val="18"/>
    <w:qFormat/>
    <w:uiPriority w:val="99"/>
    <w:pPr>
      <w:spacing w:line="200" w:lineRule="atLeast"/>
      <w:ind w:firstLine="420"/>
    </w:pPr>
    <w:rPr>
      <w:rFonts w:hAnsi="Courier New"/>
      <w:spacing w:val="-4"/>
      <w:sz w:val="18"/>
    </w:rPr>
  </w:style>
  <w:style w:type="character" w:customStyle="1" w:styleId="39">
    <w:name w:val="页眉 字符"/>
    <w:basedOn w:val="32"/>
    <w:link w:val="23"/>
    <w:qFormat/>
    <w:uiPriority w:val="99"/>
    <w:rPr>
      <w:sz w:val="18"/>
      <w:szCs w:val="18"/>
    </w:rPr>
  </w:style>
  <w:style w:type="character" w:customStyle="1" w:styleId="40">
    <w:name w:val="页脚 字符"/>
    <w:basedOn w:val="32"/>
    <w:link w:val="22"/>
    <w:qFormat/>
    <w:uiPriority w:val="99"/>
    <w:rPr>
      <w:sz w:val="18"/>
      <w:szCs w:val="18"/>
    </w:rPr>
  </w:style>
  <w:style w:type="character" w:customStyle="1" w:styleId="41">
    <w:name w:val="标题 1 字符"/>
    <w:basedOn w:val="32"/>
    <w:link w:val="2"/>
    <w:qFormat/>
    <w:uiPriority w:val="9"/>
    <w:rPr>
      <w:rFonts w:ascii="仿宋_GB2312" w:hAnsi="仿宋" w:eastAsia="仿宋_GB2312" w:cstheme="majorBidi"/>
      <w:b/>
      <w:smallCaps/>
      <w:spacing w:val="5"/>
      <w:sz w:val="36"/>
      <w:szCs w:val="36"/>
    </w:rPr>
  </w:style>
  <w:style w:type="character" w:customStyle="1" w:styleId="42">
    <w:name w:val="标题 2 字符"/>
    <w:basedOn w:val="32"/>
    <w:link w:val="3"/>
    <w:qFormat/>
    <w:uiPriority w:val="9"/>
    <w:rPr>
      <w:rFonts w:ascii="仿宋" w:hAnsi="仿宋" w:eastAsia="仿宋"/>
      <w:b/>
      <w:smallCaps/>
      <w:sz w:val="28"/>
      <w:szCs w:val="28"/>
    </w:rPr>
  </w:style>
  <w:style w:type="character" w:customStyle="1" w:styleId="43">
    <w:name w:val="标题 3 字符"/>
    <w:basedOn w:val="32"/>
    <w:link w:val="4"/>
    <w:qFormat/>
    <w:uiPriority w:val="9"/>
    <w:rPr>
      <w:rFonts w:ascii="仿宋" w:hAnsi="仿宋" w:eastAsia="仿宋"/>
      <w:b/>
      <w:sz w:val="24"/>
      <w:szCs w:val="24"/>
    </w:rPr>
  </w:style>
  <w:style w:type="character" w:customStyle="1" w:styleId="44">
    <w:name w:val="标题 4 字符"/>
    <w:basedOn w:val="32"/>
    <w:link w:val="5"/>
    <w:qFormat/>
    <w:uiPriority w:val="9"/>
    <w:rPr>
      <w:b/>
      <w:bCs/>
      <w:spacing w:val="5"/>
      <w:sz w:val="24"/>
      <w:szCs w:val="24"/>
    </w:rPr>
  </w:style>
  <w:style w:type="character" w:customStyle="1" w:styleId="45">
    <w:name w:val="标题 5 字符"/>
    <w:basedOn w:val="32"/>
    <w:link w:val="6"/>
    <w:qFormat/>
    <w:uiPriority w:val="9"/>
    <w:rPr>
      <w:i/>
      <w:iCs/>
      <w:sz w:val="24"/>
      <w:szCs w:val="24"/>
    </w:rPr>
  </w:style>
  <w:style w:type="character" w:customStyle="1" w:styleId="46">
    <w:name w:val="标题 6 字符"/>
    <w:basedOn w:val="32"/>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7">
    <w:name w:val="标题 7 字符"/>
    <w:basedOn w:val="32"/>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8">
    <w:name w:val="标题 8 字符"/>
    <w:basedOn w:val="32"/>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9">
    <w:name w:val="标题 9 字符"/>
    <w:basedOn w:val="32"/>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0">
    <w:name w:val="标题 字符"/>
    <w:basedOn w:val="32"/>
    <w:link w:val="27"/>
    <w:qFormat/>
    <w:uiPriority w:val="10"/>
    <w:rPr>
      <w:smallCaps/>
      <w:sz w:val="52"/>
      <w:szCs w:val="52"/>
    </w:rPr>
  </w:style>
  <w:style w:type="character" w:customStyle="1" w:styleId="51">
    <w:name w:val="副标题 字符"/>
    <w:basedOn w:val="32"/>
    <w:link w:val="24"/>
    <w:qFormat/>
    <w:uiPriority w:val="11"/>
    <w:rPr>
      <w:i/>
      <w:iCs/>
      <w:smallCaps/>
      <w:spacing w:val="10"/>
      <w:sz w:val="28"/>
      <w:szCs w:val="28"/>
    </w:rPr>
  </w:style>
  <w:style w:type="paragraph" w:styleId="52">
    <w:name w:val="No Spacing"/>
    <w:basedOn w:val="1"/>
    <w:link w:val="64"/>
    <w:qFormat/>
    <w:uiPriority w:val="1"/>
    <w:pPr>
      <w:spacing w:after="0"/>
    </w:pPr>
  </w:style>
  <w:style w:type="paragraph" w:styleId="53">
    <w:name w:val="List Paragraph"/>
    <w:basedOn w:val="1"/>
    <w:qFormat/>
    <w:uiPriority w:val="34"/>
    <w:pPr>
      <w:ind w:left="720"/>
      <w:contextualSpacing/>
    </w:pPr>
  </w:style>
  <w:style w:type="paragraph" w:styleId="54">
    <w:name w:val="Quote"/>
    <w:basedOn w:val="1"/>
    <w:next w:val="1"/>
    <w:link w:val="55"/>
    <w:qFormat/>
    <w:uiPriority w:val="29"/>
    <w:rPr>
      <w:i/>
      <w:iCs/>
    </w:rPr>
  </w:style>
  <w:style w:type="character" w:customStyle="1" w:styleId="55">
    <w:name w:val="引用 字符"/>
    <w:basedOn w:val="32"/>
    <w:link w:val="54"/>
    <w:qFormat/>
    <w:uiPriority w:val="29"/>
    <w:rPr>
      <w:i/>
      <w:iCs/>
    </w:rPr>
  </w:style>
  <w:style w:type="paragraph" w:styleId="56">
    <w:name w:val="Intense Quote"/>
    <w:basedOn w:val="1"/>
    <w:next w:val="1"/>
    <w:link w:val="57"/>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7">
    <w:name w:val="明显引用 字符"/>
    <w:basedOn w:val="32"/>
    <w:link w:val="56"/>
    <w:qFormat/>
    <w:uiPriority w:val="30"/>
    <w:rPr>
      <w:i/>
      <w:iCs/>
    </w:rPr>
  </w:style>
  <w:style w:type="character" w:customStyle="1" w:styleId="58">
    <w:name w:val="不明显强调1"/>
    <w:qFormat/>
    <w:uiPriority w:val="19"/>
    <w:rPr>
      <w:i/>
      <w:iCs/>
    </w:rPr>
  </w:style>
  <w:style w:type="character" w:customStyle="1" w:styleId="59">
    <w:name w:val="明显强调1"/>
    <w:qFormat/>
    <w:uiPriority w:val="21"/>
    <w:rPr>
      <w:b/>
      <w:bCs/>
      <w:i/>
      <w:iCs/>
    </w:rPr>
  </w:style>
  <w:style w:type="character" w:customStyle="1" w:styleId="60">
    <w:name w:val="不明显参考1"/>
    <w:basedOn w:val="32"/>
    <w:qFormat/>
    <w:uiPriority w:val="31"/>
    <w:rPr>
      <w:smallCaps/>
    </w:rPr>
  </w:style>
  <w:style w:type="character" w:customStyle="1" w:styleId="61">
    <w:name w:val="明显参考1"/>
    <w:qFormat/>
    <w:uiPriority w:val="32"/>
    <w:rPr>
      <w:b/>
      <w:bCs/>
      <w:smallCaps/>
    </w:rPr>
  </w:style>
  <w:style w:type="character" w:customStyle="1" w:styleId="62">
    <w:name w:val="书籍标题1"/>
    <w:basedOn w:val="32"/>
    <w:qFormat/>
    <w:uiPriority w:val="33"/>
    <w:rPr>
      <w:i/>
      <w:iCs/>
      <w:smallCaps/>
      <w:spacing w:val="5"/>
    </w:rPr>
  </w:style>
  <w:style w:type="paragraph" w:customStyle="1" w:styleId="63">
    <w:name w:val="TOC 标题1"/>
    <w:basedOn w:val="2"/>
    <w:next w:val="1"/>
    <w:semiHidden/>
    <w:unhideWhenUsed/>
    <w:qFormat/>
    <w:uiPriority w:val="39"/>
    <w:pPr>
      <w:outlineLvl w:val="9"/>
    </w:pPr>
    <w:rPr>
      <w:lang w:bidi="en-US"/>
    </w:rPr>
  </w:style>
  <w:style w:type="character" w:customStyle="1" w:styleId="64">
    <w:name w:val="无间隔 字符"/>
    <w:basedOn w:val="32"/>
    <w:link w:val="52"/>
    <w:qFormat/>
    <w:uiPriority w:val="1"/>
  </w:style>
  <w:style w:type="paragraph" w:customStyle="1" w:styleId="65">
    <w:name w:val="Personal Name"/>
    <w:basedOn w:val="27"/>
    <w:qFormat/>
    <w:uiPriority w:val="0"/>
    <w:rPr>
      <w:b/>
      <w:caps/>
      <w:color w:val="000000"/>
      <w:sz w:val="28"/>
      <w:szCs w:val="28"/>
    </w:rPr>
  </w:style>
  <w:style w:type="character" w:customStyle="1" w:styleId="66">
    <w:name w:val="正文2 Char Char"/>
    <w:link w:val="67"/>
    <w:qFormat/>
    <w:uiPriority w:val="0"/>
    <w:rPr>
      <w:rFonts w:ascii="仿宋" w:hAnsi="仿宋" w:eastAsia="仿宋"/>
      <w:sz w:val="24"/>
      <w:szCs w:val="24"/>
    </w:rPr>
  </w:style>
  <w:style w:type="paragraph" w:customStyle="1" w:styleId="67">
    <w:name w:val="正文2"/>
    <w:basedOn w:val="1"/>
    <w:link w:val="66"/>
    <w:qFormat/>
    <w:uiPriority w:val="0"/>
    <w:pPr>
      <w:spacing w:line="360" w:lineRule="auto"/>
    </w:pPr>
  </w:style>
  <w:style w:type="character" w:customStyle="1" w:styleId="68">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9">
    <w:name w:val="纯文本 字符"/>
    <w:basedOn w:val="32"/>
    <w:link w:val="19"/>
    <w:qFormat/>
    <w:uiPriority w:val="99"/>
    <w:rPr>
      <w:rFonts w:ascii="宋体" w:hAnsi="Courier New" w:eastAsia="宋体" w:cs="Arial"/>
      <w:snapToGrid w:val="0"/>
      <w:kern w:val="2"/>
      <w:sz w:val="21"/>
      <w:szCs w:val="21"/>
    </w:rPr>
  </w:style>
  <w:style w:type="character" w:customStyle="1" w:styleId="70">
    <w:name w:val="正文文本缩进 Char"/>
    <w:basedOn w:val="32"/>
    <w:qFormat/>
    <w:uiPriority w:val="99"/>
    <w:rPr>
      <w:rFonts w:ascii="仿宋" w:hAnsi="仿宋" w:eastAsia="仿宋"/>
      <w:sz w:val="24"/>
      <w:szCs w:val="24"/>
    </w:rPr>
  </w:style>
  <w:style w:type="character" w:customStyle="1" w:styleId="71">
    <w:name w:val="正文文本缩进 字符"/>
    <w:link w:val="18"/>
    <w:qFormat/>
    <w:uiPriority w:val="0"/>
    <w:rPr>
      <w:rFonts w:ascii="宋体" w:hAnsi="宋体" w:eastAsia="宋体" w:cs="Times New Roman"/>
      <w:kern w:val="2"/>
      <w:sz w:val="24"/>
      <w:szCs w:val="24"/>
    </w:rPr>
  </w:style>
  <w:style w:type="character" w:customStyle="1" w:styleId="72">
    <w:name w:val="标题 Char2"/>
    <w:qFormat/>
    <w:uiPriority w:val="10"/>
    <w:rPr>
      <w:b/>
      <w:sz w:val="24"/>
      <w:lang w:val="en-GB"/>
    </w:rPr>
  </w:style>
  <w:style w:type="character" w:customStyle="1" w:styleId="73">
    <w:name w:val="纯文本 Char1"/>
    <w:link w:val="74"/>
    <w:qFormat/>
    <w:uiPriority w:val="0"/>
    <w:rPr>
      <w:rFonts w:ascii="宋体" w:hAnsi="Courier New"/>
    </w:rPr>
  </w:style>
  <w:style w:type="paragraph" w:customStyle="1" w:styleId="74">
    <w:name w:val="纯文本1"/>
    <w:basedOn w:val="1"/>
    <w:link w:val="73"/>
    <w:qFormat/>
    <w:uiPriority w:val="0"/>
    <w:pPr>
      <w:widowControl w:val="0"/>
      <w:spacing w:after="0"/>
      <w:jc w:val="both"/>
    </w:pPr>
    <w:rPr>
      <w:rFonts w:ascii="宋体" w:hAnsi="Courier New" w:eastAsiaTheme="majorEastAsia"/>
      <w:sz w:val="22"/>
      <w:szCs w:val="22"/>
    </w:rPr>
  </w:style>
  <w:style w:type="character" w:customStyle="1" w:styleId="75">
    <w:name w:val="页脚 Char2"/>
    <w:qFormat/>
    <w:locked/>
    <w:uiPriority w:val="99"/>
    <w:rPr>
      <w:kern w:val="2"/>
      <w:sz w:val="18"/>
      <w:szCs w:val="18"/>
    </w:rPr>
  </w:style>
  <w:style w:type="character" w:customStyle="1" w:styleId="76">
    <w:name w:val="页眉 Char2"/>
    <w:qFormat/>
    <w:uiPriority w:val="99"/>
    <w:rPr>
      <w:kern w:val="2"/>
      <w:sz w:val="18"/>
      <w:szCs w:val="18"/>
    </w:rPr>
  </w:style>
  <w:style w:type="paragraph" w:customStyle="1" w:styleId="77">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8">
    <w:name w:val="正文缩进1"/>
    <w:basedOn w:val="1"/>
    <w:next w:val="18"/>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9">
    <w:name w:val="text-tag"/>
    <w:basedOn w:val="1"/>
    <w:semiHidden/>
    <w:qFormat/>
    <w:uiPriority w:val="99"/>
    <w:pPr>
      <w:spacing w:before="100" w:beforeAutospacing="1" w:after="100" w:afterAutospacing="1"/>
    </w:pPr>
    <w:rPr>
      <w:rFonts w:ascii="宋体" w:hAnsi="宋体" w:eastAsia="宋体" w:cs="宋体"/>
    </w:rPr>
  </w:style>
  <w:style w:type="character" w:customStyle="1" w:styleId="80">
    <w:name w:val="纯文本 Char_0"/>
    <w:link w:val="81"/>
    <w:qFormat/>
    <w:uiPriority w:val="0"/>
    <w:rPr>
      <w:rFonts w:ascii="宋体" w:hAnsi="Courier New"/>
      <w:kern w:val="2"/>
      <w:sz w:val="21"/>
      <w:szCs w:val="21"/>
    </w:rPr>
  </w:style>
  <w:style w:type="paragraph" w:customStyle="1" w:styleId="81">
    <w:name w:val="纯文本_0_0"/>
    <w:basedOn w:val="1"/>
    <w:link w:val="80"/>
    <w:qFormat/>
    <w:uiPriority w:val="0"/>
    <w:pPr>
      <w:widowControl w:val="0"/>
      <w:spacing w:after="0"/>
      <w:jc w:val="both"/>
    </w:pPr>
    <w:rPr>
      <w:rFonts w:ascii="宋体" w:hAnsi="Courier New" w:eastAsiaTheme="majorEastAsia"/>
      <w:kern w:val="2"/>
      <w:sz w:val="21"/>
      <w:szCs w:val="21"/>
    </w:rPr>
  </w:style>
  <w:style w:type="paragraph" w:customStyle="1" w:styleId="82">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3">
    <w:name w:val="批注框文本 字符"/>
    <w:basedOn w:val="32"/>
    <w:link w:val="21"/>
    <w:semiHidden/>
    <w:qFormat/>
    <w:uiPriority w:val="99"/>
    <w:rPr>
      <w:rFonts w:ascii="仿宋" w:hAnsi="仿宋" w:eastAsia="仿宋"/>
      <w:sz w:val="18"/>
      <w:szCs w:val="18"/>
    </w:rPr>
  </w:style>
  <w:style w:type="paragraph" w:customStyle="1" w:styleId="84">
    <w:name w:val="☆ 正文"/>
    <w:basedOn w:val="1"/>
    <w:qFormat/>
    <w:uiPriority w:val="0"/>
    <w:rPr>
      <w:rFonts w:ascii="Calibri" w:hAnsi="Calibri"/>
      <w:szCs w:val="22"/>
    </w:rPr>
  </w:style>
  <w:style w:type="paragraph" w:customStyle="1" w:styleId="85">
    <w:name w:val="修订1"/>
    <w:hidden/>
    <w:semiHidden/>
    <w:qFormat/>
    <w:uiPriority w:val="99"/>
    <w:rPr>
      <w:rFonts w:ascii="仿宋" w:hAnsi="仿宋" w:eastAsia="仿宋" w:cstheme="majorBidi"/>
      <w:sz w:val="24"/>
      <w:szCs w:val="24"/>
      <w:lang w:val="en-US" w:eastAsia="zh-CN" w:bidi="ar-SA"/>
    </w:rPr>
  </w:style>
  <w:style w:type="paragraph" w:customStyle="1" w:styleId="8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脚注文本 字符"/>
    <w:basedOn w:val="32"/>
    <w:link w:val="25"/>
    <w:semiHidden/>
    <w:qFormat/>
    <w:uiPriority w:val="99"/>
    <w:rPr>
      <w:rFonts w:ascii="仿宋" w:hAnsi="仿宋" w:eastAsia="仿宋" w:cstheme="majorBidi"/>
      <w:sz w:val="18"/>
      <w:szCs w:val="18"/>
    </w:rPr>
  </w:style>
  <w:style w:type="character" w:customStyle="1" w:styleId="88">
    <w:name w:val="批注文字 字符"/>
    <w:basedOn w:val="32"/>
    <w:link w:val="14"/>
    <w:qFormat/>
    <w:uiPriority w:val="99"/>
    <w:rPr>
      <w:rFonts w:ascii="仿宋" w:hAnsi="仿宋" w:eastAsia="仿宋" w:cstheme="majorBidi"/>
      <w:sz w:val="28"/>
      <w:szCs w:val="24"/>
    </w:rPr>
  </w:style>
  <w:style w:type="character" w:customStyle="1" w:styleId="89">
    <w:name w:val="批注主题 字符"/>
    <w:basedOn w:val="88"/>
    <w:link w:val="28"/>
    <w:qFormat/>
    <w:uiPriority w:val="0"/>
    <w:rPr>
      <w:rFonts w:ascii="仿宋" w:hAnsi="仿宋" w:eastAsia="仿宋" w:cstheme="majorBidi"/>
      <w:sz w:val="28"/>
      <w:szCs w:val="24"/>
    </w:r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纯文本2"/>
    <w:basedOn w:val="92"/>
    <w:qFormat/>
    <w:uiPriority w:val="0"/>
    <w:pPr>
      <w:widowControl/>
      <w:jc w:val="left"/>
    </w:pPr>
    <w:rPr>
      <w:rFonts w:ascii="宋体" w:hAnsi="Courier New"/>
    </w:rPr>
  </w:style>
  <w:style w:type="paragraph" w:customStyle="1" w:styleId="9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Table Paragraph"/>
    <w:basedOn w:val="1"/>
    <w:qFormat/>
    <w:uiPriority w:val="1"/>
    <w:rPr>
      <w:rFonts w:ascii="Calibri" w:hAnsi="Calibri"/>
      <w:sz w:val="22"/>
      <w:szCs w:val="22"/>
      <w:lang w:eastAsia="en-US"/>
    </w:rPr>
  </w:style>
  <w:style w:type="character" w:customStyle="1" w:styleId="94">
    <w:name w:val="font11"/>
    <w:basedOn w:val="32"/>
    <w:qFormat/>
    <w:uiPriority w:val="0"/>
    <w:rPr>
      <w:rFonts w:hint="eastAsia" w:ascii="宋体" w:hAnsi="宋体" w:eastAsia="宋体" w:cs="宋体"/>
      <w:color w:val="000000"/>
      <w:sz w:val="20"/>
      <w:szCs w:val="20"/>
      <w:u w:val="none"/>
    </w:rPr>
  </w:style>
  <w:style w:type="character" w:customStyle="1" w:styleId="95">
    <w:name w:val="font51"/>
    <w:basedOn w:val="32"/>
    <w:qFormat/>
    <w:uiPriority w:val="0"/>
    <w:rPr>
      <w:rFonts w:hint="eastAsia" w:ascii="微软雅黑" w:hAnsi="微软雅黑" w:eastAsia="微软雅黑" w:cs="微软雅黑"/>
      <w:color w:val="000000"/>
      <w:sz w:val="20"/>
      <w:szCs w:val="20"/>
      <w:u w:val="none"/>
    </w:rPr>
  </w:style>
  <w:style w:type="character" w:customStyle="1" w:styleId="96">
    <w:name w:val="font61"/>
    <w:basedOn w:val="32"/>
    <w:qFormat/>
    <w:uiPriority w:val="0"/>
    <w:rPr>
      <w:rFonts w:hint="eastAsia" w:ascii="宋体" w:hAnsi="宋体" w:eastAsia="宋体" w:cs="宋体"/>
      <w:color w:val="000000"/>
      <w:sz w:val="20"/>
      <w:szCs w:val="20"/>
      <w:u w:val="none"/>
    </w:rPr>
  </w:style>
  <w:style w:type="character" w:customStyle="1" w:styleId="97">
    <w:name w:val="font31"/>
    <w:basedOn w:val="32"/>
    <w:qFormat/>
    <w:uiPriority w:val="0"/>
    <w:rPr>
      <w:rFonts w:hint="eastAsia" w:ascii="微软雅黑" w:hAnsi="微软雅黑" w:eastAsia="微软雅黑"/>
      <w:color w:val="000000"/>
      <w:sz w:val="20"/>
      <w:szCs w:val="20"/>
      <w:u w:val="none"/>
    </w:rPr>
  </w:style>
  <w:style w:type="character" w:customStyle="1" w:styleId="98">
    <w:name w:val="font71"/>
    <w:basedOn w:val="32"/>
    <w:qFormat/>
    <w:uiPriority w:val="0"/>
    <w:rPr>
      <w:rFonts w:hint="eastAsia" w:ascii="宋体" w:hAnsi="宋体" w:eastAsia="宋体" w:cs="宋体"/>
      <w:color w:val="000000"/>
      <w:sz w:val="20"/>
      <w:szCs w:val="20"/>
      <w:u w:val="single"/>
    </w:rPr>
  </w:style>
  <w:style w:type="character" w:customStyle="1" w:styleId="99">
    <w:name w:val="font81"/>
    <w:basedOn w:val="32"/>
    <w:qFormat/>
    <w:uiPriority w:val="0"/>
    <w:rPr>
      <w:rFonts w:hint="eastAsia" w:ascii="宋体" w:hAnsi="宋体" w:eastAsia="宋体" w:cs="宋体"/>
      <w:color w:val="000000"/>
      <w:sz w:val="20"/>
      <w:szCs w:val="20"/>
      <w:u w:val="double"/>
    </w:rPr>
  </w:style>
  <w:style w:type="character" w:customStyle="1" w:styleId="100">
    <w:name w:val="font91"/>
    <w:basedOn w:val="32"/>
    <w:qFormat/>
    <w:uiPriority w:val="0"/>
    <w:rPr>
      <w:rFonts w:hint="eastAsia" w:ascii="宋体" w:hAnsi="宋体" w:eastAsia="宋体" w:cs="宋体"/>
      <w:color w:val="000000"/>
      <w:sz w:val="20"/>
      <w:szCs w:val="20"/>
      <w:u w:val="single"/>
    </w:rPr>
  </w:style>
  <w:style w:type="character" w:customStyle="1" w:styleId="101">
    <w:name w:val="font101"/>
    <w:basedOn w:val="32"/>
    <w:qFormat/>
    <w:uiPriority w:val="0"/>
    <w:rPr>
      <w:rFonts w:hint="eastAsia" w:ascii="宋体" w:hAnsi="宋体" w:eastAsia="宋体" w:cs="宋体"/>
      <w:color w:val="000000"/>
      <w:sz w:val="20"/>
      <w:szCs w:val="20"/>
      <w:u w:val="double"/>
    </w:rPr>
  </w:style>
  <w:style w:type="paragraph" w:customStyle="1" w:styleId="10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3">
    <w:name w:val="首行缩进"/>
    <w:basedOn w:val="1"/>
    <w:qFormat/>
    <w:uiPriority w:val="0"/>
    <w:pPr>
      <w:spacing w:line="360" w:lineRule="auto"/>
      <w:ind w:firstLine="480" w:firstLineChars="200"/>
    </w:pPr>
    <w:rPr>
      <w:rFonts w:ascii="宋体"/>
      <w:sz w:val="24"/>
      <w:szCs w:val="20"/>
    </w:rPr>
  </w:style>
  <w:style w:type="paragraph" w:customStyle="1" w:styleId="104">
    <w:name w:val="表格文字"/>
    <w:basedOn w:val="105"/>
    <w:next w:val="15"/>
    <w:qFormat/>
    <w:uiPriority w:val="0"/>
    <w:pPr>
      <w:adjustRightInd/>
      <w:ind w:firstLine="200" w:firstLineChars="200"/>
    </w:pPr>
    <w:rPr>
      <w:rFonts w:ascii="Arial" w:hAnsi="Arial"/>
      <w:spacing w:val="-5"/>
      <w:kern w:val="0"/>
      <w:sz w:val="24"/>
      <w:szCs w:val="20"/>
    </w:rPr>
  </w:style>
  <w:style w:type="paragraph" w:customStyle="1" w:styleId="105">
    <w:name w:val="表格文字（两侧对齐）"/>
    <w:basedOn w:val="1"/>
    <w:qFormat/>
    <w:uiPriority w:val="0"/>
    <w:pPr>
      <w:widowControl w:val="0"/>
      <w:snapToGrid w:val="0"/>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54</Pages>
  <Words>521</Words>
  <Characters>608</Characters>
  <Lines>225</Lines>
  <Paragraphs>63</Paragraphs>
  <TotalTime>20</TotalTime>
  <ScaleCrop>false</ScaleCrop>
  <LinksUpToDate>false</LinksUpToDate>
  <CharactersWithSpaces>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2022-08-25T00:13:00Z</dcterms:created>
  <dc:creator>admin</dc:creator>
  <cp:lastModifiedBy>admin</cp:lastModifiedBy>
  <cp:lastPrinted>2024-02-01T08:42:00Z</cp:lastPrinted>
  <dcterms:modified xsi:type="dcterms:W3CDTF">2025-01-22T07:07:32Z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793319C133B24C35AA389D7B6239EF3C_13</vt:lpwstr>
  </property>
  <property fmtid="{D5CDD505-2E9C-101B-9397-08002B2CF9AE}" pid="4" name="KSOTemplateDocerSaveRecord">
    <vt:lpwstr>eyJoZGlkIjoiMTA1MWMxZmY0MTVkNzVlZGRmNTcxNGM1NmNkZjhjYzQiLCJ1c2VySWQiOiIzNjMyMzU2MzYifQ==</vt:lpwstr>
  </property>
</Properties>
</file>