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BF379">
      <w:pPr>
        <w:pStyle w:val="2"/>
        <w:jc w:val="center"/>
        <w:rPr>
          <w:rFonts w:hint="eastAsia" w:ascii="宋体" w:hAnsi="宋体" w:eastAsia="宋体" w:cs="宋体"/>
          <w:b/>
          <w:bCs w:val="0"/>
          <w:color w:val="auto"/>
          <w:sz w:val="18"/>
          <w:szCs w:val="18"/>
          <w:highlight w:val="none"/>
        </w:rPr>
      </w:pPr>
      <w:bookmarkStart w:id="468" w:name="_GoBack"/>
    </w:p>
    <w:p w14:paraId="481320BF">
      <w:pPr>
        <w:pStyle w:val="105"/>
        <w:spacing w:line="900" w:lineRule="exact"/>
        <w:ind w:firstLine="0"/>
        <w:jc w:val="center"/>
        <w:rPr>
          <w:rFonts w:hint="eastAsia" w:ascii="宋体" w:hAnsi="宋体" w:eastAsia="宋体" w:cs="宋体"/>
          <w:b/>
          <w:bCs w:val="0"/>
          <w:color w:val="auto"/>
          <w:kern w:val="2"/>
          <w:sz w:val="56"/>
          <w:szCs w:val="56"/>
          <w:highlight w:val="none"/>
          <w:lang w:eastAsia="zh-CN"/>
        </w:rPr>
      </w:pPr>
      <w:r>
        <w:rPr>
          <w:rFonts w:hint="eastAsia" w:ascii="宋体" w:hAnsi="宋体" w:eastAsia="宋体" w:cs="宋体"/>
          <w:b/>
          <w:bCs w:val="0"/>
          <w:color w:val="auto"/>
          <w:kern w:val="2"/>
          <w:sz w:val="56"/>
          <w:szCs w:val="56"/>
          <w:highlight w:val="none"/>
          <w:lang w:eastAsia="zh-CN"/>
        </w:rPr>
        <w:t>西电杭研院产业楼宇物业服务</w:t>
      </w:r>
    </w:p>
    <w:p w14:paraId="23ABED77">
      <w:pPr>
        <w:pStyle w:val="105"/>
        <w:spacing w:line="900" w:lineRule="exact"/>
        <w:ind w:firstLine="0"/>
        <w:jc w:val="center"/>
        <w:rPr>
          <w:rFonts w:hint="eastAsia" w:ascii="宋体" w:hAnsi="宋体" w:eastAsia="宋体" w:cs="宋体"/>
          <w:b/>
          <w:bCs w:val="0"/>
          <w:color w:val="auto"/>
          <w:kern w:val="2"/>
          <w:sz w:val="56"/>
          <w:szCs w:val="56"/>
          <w:highlight w:val="none"/>
          <w:lang w:eastAsia="zh-CN"/>
        </w:rPr>
      </w:pPr>
      <w:r>
        <w:rPr>
          <w:rFonts w:hint="eastAsia" w:ascii="宋体" w:hAnsi="宋体" w:eastAsia="宋体" w:cs="宋体"/>
          <w:b/>
          <w:bCs w:val="0"/>
          <w:color w:val="auto"/>
          <w:kern w:val="2"/>
          <w:sz w:val="56"/>
          <w:szCs w:val="56"/>
          <w:highlight w:val="none"/>
          <w:lang w:eastAsia="zh-CN"/>
        </w:rPr>
        <w:t>采购项目</w:t>
      </w:r>
    </w:p>
    <w:p w14:paraId="494D69FC">
      <w:pPr>
        <w:rPr>
          <w:rFonts w:hint="eastAsia" w:ascii="宋体" w:hAnsi="宋体" w:eastAsia="宋体" w:cs="宋体"/>
          <w:color w:val="auto"/>
          <w:highlight w:val="none"/>
        </w:rPr>
      </w:pPr>
    </w:p>
    <w:p w14:paraId="2924344E">
      <w:pPr>
        <w:jc w:val="center"/>
        <w:rPr>
          <w:rFonts w:hint="eastAsia" w:ascii="宋体" w:hAnsi="宋体" w:eastAsia="宋体" w:cs="宋体"/>
          <w:b/>
          <w:bCs/>
          <w:color w:val="auto"/>
          <w:sz w:val="72"/>
          <w:szCs w:val="72"/>
          <w:highlight w:val="none"/>
        </w:rPr>
      </w:pPr>
    </w:p>
    <w:p w14:paraId="6C8A0D7F">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6BDD0304">
      <w:pPr>
        <w:jc w:val="center"/>
        <w:rPr>
          <w:rFonts w:hint="eastAsia" w:ascii="宋体" w:hAnsi="宋体" w:eastAsia="宋体" w:cs="宋体"/>
          <w:b/>
          <w:bCs/>
          <w:color w:val="auto"/>
          <w:sz w:val="40"/>
          <w:highlight w:val="none"/>
        </w:rPr>
      </w:pPr>
      <w:r>
        <w:rPr>
          <w:rFonts w:hint="eastAsia" w:ascii="宋体" w:hAnsi="宋体" w:eastAsia="宋体" w:cs="宋体"/>
          <w:b/>
          <w:bCs/>
          <w:color w:val="auto"/>
          <w:sz w:val="40"/>
          <w:highlight w:val="none"/>
        </w:rPr>
        <w:t>（电子招投标）</w:t>
      </w:r>
    </w:p>
    <w:p w14:paraId="331EED6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编号：萧开企采（2024）</w:t>
      </w:r>
      <w:r>
        <w:rPr>
          <w:rFonts w:hint="eastAsia" w:ascii="宋体" w:hAnsi="宋体" w:eastAsia="宋体" w:cs="宋体"/>
          <w:b/>
          <w:bCs/>
          <w:color w:val="auto"/>
          <w:sz w:val="32"/>
          <w:szCs w:val="32"/>
          <w:highlight w:val="none"/>
          <w:lang w:val="en-US" w:eastAsia="zh-CN"/>
        </w:rPr>
        <w:t>92</w:t>
      </w:r>
      <w:r>
        <w:rPr>
          <w:rFonts w:hint="eastAsia" w:ascii="宋体" w:hAnsi="宋体" w:eastAsia="宋体" w:cs="宋体"/>
          <w:b/>
          <w:bCs/>
          <w:color w:val="auto"/>
          <w:sz w:val="32"/>
          <w:szCs w:val="32"/>
          <w:highlight w:val="none"/>
        </w:rPr>
        <w:t>号</w:t>
      </w:r>
    </w:p>
    <w:p w14:paraId="016ED8DA">
      <w:pPr>
        <w:jc w:val="center"/>
        <w:rPr>
          <w:rFonts w:hint="eastAsia" w:ascii="宋体" w:hAnsi="宋体" w:eastAsia="宋体" w:cs="宋体"/>
          <w:b/>
          <w:bCs/>
          <w:color w:val="auto"/>
          <w:sz w:val="36"/>
          <w:highlight w:val="none"/>
        </w:rPr>
      </w:pPr>
    </w:p>
    <w:p w14:paraId="620A478F">
      <w:pPr>
        <w:jc w:val="center"/>
        <w:rPr>
          <w:rFonts w:hint="eastAsia" w:ascii="宋体" w:hAnsi="宋体" w:eastAsia="宋体" w:cs="宋体"/>
          <w:color w:val="auto"/>
          <w:sz w:val="36"/>
          <w:highlight w:val="none"/>
        </w:rPr>
      </w:pPr>
    </w:p>
    <w:p w14:paraId="6E789A09">
      <w:pPr>
        <w:jc w:val="center"/>
        <w:rPr>
          <w:rFonts w:hint="eastAsia" w:ascii="宋体" w:hAnsi="宋体" w:eastAsia="宋体" w:cs="宋体"/>
          <w:color w:val="auto"/>
          <w:sz w:val="36"/>
          <w:highlight w:val="none"/>
        </w:rPr>
      </w:pPr>
    </w:p>
    <w:p w14:paraId="66DC44B7">
      <w:pPr>
        <w:pStyle w:val="3"/>
        <w:jc w:val="both"/>
        <w:rPr>
          <w:rFonts w:hint="eastAsia"/>
          <w:color w:val="auto"/>
          <w:highlight w:val="none"/>
        </w:rPr>
      </w:pPr>
    </w:p>
    <w:p w14:paraId="6FE7D20B">
      <w:pPr>
        <w:spacing w:line="500" w:lineRule="exact"/>
        <w:jc w:val="center"/>
        <w:rPr>
          <w:rFonts w:hint="eastAsia" w:ascii="宋体" w:hAnsi="宋体" w:eastAsia="宋体" w:cs="宋体"/>
          <w:b/>
          <w:bCs w:val="0"/>
          <w:color w:val="auto"/>
          <w:sz w:val="32"/>
          <w:szCs w:val="30"/>
          <w:highlight w:val="none"/>
        </w:rPr>
      </w:pPr>
      <w:r>
        <w:rPr>
          <w:rFonts w:hint="eastAsia" w:ascii="宋体" w:hAnsi="宋体" w:eastAsia="宋体" w:cs="宋体"/>
          <w:b/>
          <w:bCs w:val="0"/>
          <w:color w:val="auto"/>
          <w:sz w:val="32"/>
          <w:szCs w:val="30"/>
          <w:highlight w:val="none"/>
        </w:rPr>
        <w:t>杭州金开颐和物业有限公司</w:t>
      </w:r>
    </w:p>
    <w:p w14:paraId="0C07412A">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0"/>
          <w:highlight w:val="none"/>
        </w:rPr>
        <w:t>杭州博望建设工程招标投标代理有限公司</w:t>
      </w:r>
    </w:p>
    <w:p w14:paraId="1D024987">
      <w:pPr>
        <w:jc w:val="center"/>
        <w:rPr>
          <w:rFonts w:hint="eastAsia" w:ascii="宋体" w:hAnsi="宋体" w:eastAsia="宋体" w:cs="宋体"/>
          <w:b/>
          <w:bCs w:val="0"/>
          <w:color w:val="auto"/>
          <w:sz w:val="36"/>
          <w:highlight w:val="none"/>
        </w:rPr>
      </w:pPr>
      <w:r>
        <w:rPr>
          <w:rFonts w:hint="eastAsia" w:ascii="宋体" w:hAnsi="宋体" w:eastAsia="宋体" w:cs="宋体"/>
          <w:b/>
          <w:bCs w:val="0"/>
          <w:color w:val="auto"/>
          <w:sz w:val="36"/>
          <w:highlight w:val="none"/>
        </w:rPr>
        <w:t>202</w:t>
      </w:r>
      <w:r>
        <w:rPr>
          <w:rFonts w:hint="eastAsia" w:ascii="宋体" w:hAnsi="宋体" w:eastAsia="宋体" w:cs="宋体"/>
          <w:b/>
          <w:bCs w:val="0"/>
          <w:color w:val="auto"/>
          <w:sz w:val="36"/>
          <w:highlight w:val="none"/>
          <w:lang w:val="en-US" w:eastAsia="zh-CN"/>
        </w:rPr>
        <w:t>5</w:t>
      </w:r>
      <w:r>
        <w:rPr>
          <w:rFonts w:hint="eastAsia" w:ascii="宋体" w:hAnsi="宋体" w:eastAsia="宋体" w:cs="宋体"/>
          <w:b/>
          <w:bCs w:val="0"/>
          <w:color w:val="auto"/>
          <w:sz w:val="36"/>
          <w:highlight w:val="none"/>
        </w:rPr>
        <w:t>年</w:t>
      </w:r>
      <w:r>
        <w:rPr>
          <w:rFonts w:hint="eastAsia" w:ascii="宋体" w:hAnsi="宋体" w:eastAsia="宋体" w:cs="宋体"/>
          <w:b/>
          <w:bCs w:val="0"/>
          <w:color w:val="auto"/>
          <w:sz w:val="36"/>
          <w:highlight w:val="none"/>
          <w:lang w:val="en-US" w:eastAsia="zh-CN"/>
        </w:rPr>
        <w:t>01</w:t>
      </w:r>
      <w:r>
        <w:rPr>
          <w:rFonts w:hint="eastAsia" w:ascii="宋体" w:hAnsi="宋体" w:eastAsia="宋体" w:cs="宋体"/>
          <w:b/>
          <w:bCs w:val="0"/>
          <w:color w:val="auto"/>
          <w:sz w:val="36"/>
          <w:highlight w:val="none"/>
        </w:rPr>
        <w:t>月</w:t>
      </w:r>
      <w:r>
        <w:rPr>
          <w:rFonts w:hint="eastAsia" w:ascii="宋体" w:hAnsi="宋体" w:eastAsia="宋体" w:cs="宋体"/>
          <w:b/>
          <w:bCs w:val="0"/>
          <w:color w:val="auto"/>
          <w:sz w:val="36"/>
          <w:highlight w:val="none"/>
          <w:lang w:val="en-US" w:eastAsia="zh-CN"/>
        </w:rPr>
        <w:t>21</w:t>
      </w:r>
      <w:r>
        <w:rPr>
          <w:rFonts w:hint="eastAsia" w:ascii="宋体" w:hAnsi="宋体" w:eastAsia="宋体" w:cs="宋体"/>
          <w:b/>
          <w:bCs w:val="0"/>
          <w:color w:val="auto"/>
          <w:sz w:val="36"/>
          <w:highlight w:val="none"/>
        </w:rPr>
        <w:t>日</w:t>
      </w:r>
    </w:p>
    <w:p w14:paraId="2090FB24">
      <w:pPr>
        <w:spacing w:line="276" w:lineRule="auto"/>
        <w:rPr>
          <w:rFonts w:hint="eastAsia"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14:paraId="7FB33FBE">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目  录</w:t>
      </w:r>
    </w:p>
    <w:p w14:paraId="7559C4B6">
      <w:pPr>
        <w:rPr>
          <w:rFonts w:hint="eastAsia" w:ascii="宋体" w:hAnsi="宋体" w:eastAsia="宋体" w:cs="宋体"/>
          <w:color w:val="auto"/>
          <w:highlight w:val="none"/>
        </w:rPr>
      </w:pPr>
    </w:p>
    <w:p w14:paraId="400D4056">
      <w:pPr>
        <w:rPr>
          <w:rFonts w:hint="eastAsia" w:ascii="宋体" w:hAnsi="宋体" w:eastAsia="宋体" w:cs="宋体"/>
          <w:color w:val="auto"/>
          <w:highlight w:val="none"/>
        </w:rPr>
      </w:pPr>
    </w:p>
    <w:p w14:paraId="1AF553BA">
      <w:pPr>
        <w:rPr>
          <w:rFonts w:hint="eastAsia" w:ascii="宋体" w:hAnsi="宋体" w:eastAsia="宋体" w:cs="宋体"/>
          <w:color w:val="auto"/>
          <w:sz w:val="32"/>
          <w:highlight w:val="none"/>
        </w:rPr>
      </w:pPr>
      <w:r>
        <w:rPr>
          <w:rFonts w:hint="eastAsia" w:ascii="宋体" w:hAnsi="宋体" w:eastAsia="宋体" w:cs="宋体"/>
          <w:color w:val="auto"/>
          <w:sz w:val="32"/>
          <w:highlight w:val="none"/>
        </w:rPr>
        <w:t>第一部分      招标公告</w:t>
      </w:r>
    </w:p>
    <w:p w14:paraId="0E9D44E5">
      <w:pPr>
        <w:rPr>
          <w:rFonts w:hint="eastAsia" w:ascii="宋体" w:hAnsi="宋体" w:eastAsia="宋体" w:cs="宋体"/>
          <w:color w:val="auto"/>
          <w:sz w:val="32"/>
          <w:highlight w:val="none"/>
        </w:rPr>
      </w:pPr>
      <w:r>
        <w:rPr>
          <w:rFonts w:hint="eastAsia" w:ascii="宋体" w:hAnsi="宋体" w:eastAsia="宋体" w:cs="宋体"/>
          <w:color w:val="auto"/>
          <w:sz w:val="32"/>
          <w:highlight w:val="none"/>
        </w:rPr>
        <w:t>第二部分      投标人须知</w:t>
      </w:r>
    </w:p>
    <w:p w14:paraId="493EDACD">
      <w:pPr>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第三部分      </w:t>
      </w:r>
      <w:r>
        <w:rPr>
          <w:rFonts w:hint="eastAsia" w:ascii="宋体" w:hAnsi="宋体" w:eastAsia="宋体" w:cs="宋体"/>
          <w:color w:val="auto"/>
          <w:sz w:val="32"/>
          <w:highlight w:val="none"/>
          <w:lang w:eastAsia="zh-CN"/>
        </w:rPr>
        <w:t>采购</w:t>
      </w:r>
      <w:r>
        <w:rPr>
          <w:rFonts w:hint="eastAsia" w:ascii="宋体" w:hAnsi="宋体" w:eastAsia="宋体" w:cs="宋体"/>
          <w:color w:val="auto"/>
          <w:sz w:val="32"/>
          <w:highlight w:val="none"/>
        </w:rPr>
        <w:t>需求</w:t>
      </w:r>
    </w:p>
    <w:p w14:paraId="2FDFCC21">
      <w:pPr>
        <w:rPr>
          <w:rFonts w:hint="eastAsia" w:ascii="宋体" w:hAnsi="宋体" w:eastAsia="宋体" w:cs="宋体"/>
          <w:color w:val="auto"/>
          <w:sz w:val="32"/>
          <w:highlight w:val="none"/>
        </w:rPr>
      </w:pPr>
      <w:r>
        <w:rPr>
          <w:rFonts w:hint="eastAsia" w:ascii="宋体" w:hAnsi="宋体" w:eastAsia="宋体" w:cs="宋体"/>
          <w:color w:val="auto"/>
          <w:sz w:val="32"/>
          <w:highlight w:val="none"/>
        </w:rPr>
        <w:t>第四部分      评标办法</w:t>
      </w:r>
    </w:p>
    <w:p w14:paraId="4E064699">
      <w:pPr>
        <w:rPr>
          <w:rFonts w:hint="eastAsia" w:ascii="宋体" w:hAnsi="宋体" w:eastAsia="宋体" w:cs="宋体"/>
          <w:color w:val="auto"/>
          <w:sz w:val="32"/>
          <w:highlight w:val="none"/>
        </w:rPr>
      </w:pPr>
      <w:r>
        <w:rPr>
          <w:rFonts w:hint="eastAsia" w:ascii="宋体" w:hAnsi="宋体" w:eastAsia="宋体" w:cs="宋体"/>
          <w:color w:val="auto"/>
          <w:sz w:val="32"/>
          <w:highlight w:val="none"/>
        </w:rPr>
        <w:t>第五部分      拟签订的合同文本</w:t>
      </w:r>
    </w:p>
    <w:p w14:paraId="3B78CA14">
      <w:pPr>
        <w:rPr>
          <w:rFonts w:hint="eastAsia" w:ascii="宋体" w:hAnsi="宋体" w:eastAsia="宋体" w:cs="宋体"/>
          <w:color w:val="auto"/>
          <w:sz w:val="32"/>
          <w:highlight w:val="none"/>
        </w:rPr>
      </w:pPr>
      <w:r>
        <w:rPr>
          <w:rFonts w:hint="eastAsia" w:ascii="宋体" w:hAnsi="宋体" w:eastAsia="宋体" w:cs="宋体"/>
          <w:color w:val="auto"/>
          <w:sz w:val="32"/>
          <w:highlight w:val="none"/>
        </w:rPr>
        <w:t>第六部分      应提交的有关格式范例</w:t>
      </w:r>
    </w:p>
    <w:p w14:paraId="1E088FD6">
      <w:pPr>
        <w:spacing w:line="276" w:lineRule="auto"/>
        <w:rPr>
          <w:rFonts w:hint="eastAsia" w:ascii="宋体" w:hAnsi="宋体" w:eastAsia="宋体" w:cs="宋体"/>
          <w:color w:val="auto"/>
          <w:sz w:val="32"/>
          <w:highlight w:val="none"/>
        </w:rPr>
      </w:pPr>
    </w:p>
    <w:p w14:paraId="454ACDC0">
      <w:pPr>
        <w:spacing w:line="276" w:lineRule="auto"/>
        <w:rPr>
          <w:rFonts w:hint="eastAsia"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14:paraId="6BC0C0E6">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第一部分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招标公告</w:t>
      </w:r>
    </w:p>
    <w:p w14:paraId="00CAAE64">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一、项目基本情况</w:t>
      </w:r>
    </w:p>
    <w:p w14:paraId="1FD3D6AA">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项目编号：萧开企采（2024）</w:t>
      </w:r>
      <w:r>
        <w:rPr>
          <w:rFonts w:hint="eastAsia" w:ascii="宋体" w:hAnsi="宋体" w:eastAsia="宋体" w:cs="宋体"/>
          <w:color w:val="auto"/>
          <w:kern w:val="2"/>
          <w:highlight w:val="none"/>
          <w:lang w:val="en-US" w:eastAsia="zh-CN"/>
        </w:rPr>
        <w:t>92</w:t>
      </w:r>
      <w:r>
        <w:rPr>
          <w:rFonts w:hint="eastAsia" w:ascii="宋体" w:hAnsi="宋体" w:eastAsia="宋体" w:cs="宋体"/>
          <w:color w:val="auto"/>
          <w:kern w:val="2"/>
          <w:highlight w:val="none"/>
        </w:rPr>
        <w:t>号</w:t>
      </w:r>
    </w:p>
    <w:p w14:paraId="3BD9C8AE">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项目名称：西电杭研院产业楼宇物业服务采购项目</w:t>
      </w:r>
    </w:p>
    <w:p w14:paraId="6C562E66">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预算金额：</w:t>
      </w:r>
      <w:r>
        <w:rPr>
          <w:rFonts w:hint="eastAsia" w:ascii="宋体" w:hAnsi="宋体" w:eastAsia="宋体" w:cs="宋体"/>
          <w:color w:val="auto"/>
          <w:kern w:val="2"/>
          <w:highlight w:val="none"/>
          <w:lang w:val="en-US" w:eastAsia="zh-CN"/>
        </w:rPr>
        <w:t>375</w:t>
      </w:r>
      <w:r>
        <w:rPr>
          <w:rFonts w:hint="eastAsia" w:ascii="宋体" w:hAnsi="宋体" w:eastAsia="宋体" w:cs="宋体"/>
          <w:color w:val="auto"/>
          <w:kern w:val="2"/>
          <w:highlight w:val="none"/>
        </w:rPr>
        <w:t>.00万元</w:t>
      </w:r>
    </w:p>
    <w:p w14:paraId="14E4D661">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最高限价：</w:t>
      </w:r>
      <w:r>
        <w:rPr>
          <w:rFonts w:hint="eastAsia" w:ascii="宋体" w:hAnsi="宋体" w:eastAsia="宋体" w:cs="宋体"/>
          <w:color w:val="auto"/>
          <w:kern w:val="2"/>
          <w:highlight w:val="none"/>
          <w:lang w:val="en-US" w:eastAsia="zh-CN"/>
        </w:rPr>
        <w:t>375</w:t>
      </w:r>
      <w:r>
        <w:rPr>
          <w:rFonts w:hint="eastAsia" w:ascii="宋体" w:hAnsi="宋体" w:eastAsia="宋体" w:cs="宋体"/>
          <w:color w:val="auto"/>
          <w:kern w:val="2"/>
          <w:highlight w:val="none"/>
        </w:rPr>
        <w:t>.00万元</w:t>
      </w:r>
    </w:p>
    <w:p w14:paraId="582B598F">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招标需求：西电杭研院产业楼宇物业服务采购项目，服务期2年。详见招标文件第三部分采购需求。</w:t>
      </w:r>
    </w:p>
    <w:p w14:paraId="6CFBF34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合同履约期限：详见招标文件第三部分采购需求</w:t>
      </w:r>
    </w:p>
    <w:p w14:paraId="589C986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本项目接受联合体投标：（ ）是；（√）否 。</w:t>
      </w:r>
    </w:p>
    <w:p w14:paraId="7382D02B">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二、资格要求：</w:t>
      </w:r>
    </w:p>
    <w:p w14:paraId="486FCD2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1、具有独立承担民事责任的能力；</w:t>
      </w:r>
    </w:p>
    <w:p w14:paraId="757D132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2、具有良好的商业信誉和健全的财务会计制度；</w:t>
      </w:r>
    </w:p>
    <w:p w14:paraId="63B2976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3、具有履行合同所必需的设备和专业技术能力；</w:t>
      </w:r>
    </w:p>
    <w:p w14:paraId="57FAED1F">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4、有依法缴纳税收和社会保障资金的良好记录；</w:t>
      </w:r>
    </w:p>
    <w:p w14:paraId="4BF086EF">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5、参加交易活动前三年内，在经营活动中没有重大违法记录；</w:t>
      </w:r>
    </w:p>
    <w:p w14:paraId="490C0CF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6、法律、行政法规规定的其他条件；</w:t>
      </w:r>
    </w:p>
    <w:p w14:paraId="10046E5C">
      <w:pPr>
        <w:widowControl w:val="0"/>
        <w:adjustRightInd w:val="0"/>
        <w:spacing w:after="0" w:line="480" w:lineRule="exact"/>
        <w:ind w:firstLine="420" w:firstLineChars="175"/>
        <w:jc w:val="both"/>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rPr>
        <w:t>7、本项目的特定资格要求：</w:t>
      </w:r>
      <w:r>
        <w:rPr>
          <w:rFonts w:hint="eastAsia" w:ascii="宋体" w:hAnsi="宋体" w:eastAsia="宋体" w:cs="宋体"/>
          <w:color w:val="auto"/>
          <w:kern w:val="2"/>
          <w:highlight w:val="none"/>
          <w:lang w:val="en-US"/>
        </w:rPr>
        <w:t>无</w:t>
      </w:r>
      <w:r>
        <w:rPr>
          <w:rFonts w:hint="eastAsia" w:ascii="宋体" w:hAnsi="宋体" w:eastAsia="宋体" w:cs="宋体"/>
          <w:color w:val="auto"/>
          <w:kern w:val="2"/>
          <w:highlight w:val="none"/>
          <w:lang w:val="en-US" w:eastAsia="zh-CN"/>
        </w:rPr>
        <w:t>。</w:t>
      </w:r>
    </w:p>
    <w:p w14:paraId="0ADCFC85">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 xml:space="preserve">三、获取招标文件 </w:t>
      </w:r>
    </w:p>
    <w:p w14:paraId="0141905E">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时间：/至202</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lang w:val="en-US" w:eastAsia="zh-CN"/>
        </w:rPr>
        <w:t>02</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13</w:t>
      </w:r>
      <w:r>
        <w:rPr>
          <w:rFonts w:hint="eastAsia" w:ascii="宋体" w:hAnsi="宋体" w:eastAsia="宋体" w:cs="宋体"/>
          <w:color w:val="auto"/>
          <w:kern w:val="2"/>
          <w:highlight w:val="none"/>
        </w:rPr>
        <w:t>日，每天上午00:00至12:00 ，下午12:00至23:59</w:t>
      </w:r>
      <w:r>
        <w:rPr>
          <w:rFonts w:hint="eastAsia" w:ascii="宋体" w:hAnsi="宋体" w:eastAsia="宋体" w:cs="宋体"/>
          <w:color w:val="auto"/>
          <w:kern w:val="2"/>
          <w:highlight w:val="none"/>
        </w:rPr>
        <w:t>（北京时间，线上获取法定节假日均可）</w:t>
      </w:r>
    </w:p>
    <w:p w14:paraId="5263277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地点（网址）：乐采云平台（www.lecaiyun.com） </w:t>
      </w:r>
    </w:p>
    <w:p w14:paraId="36F4EE0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方式：供应商</w:t>
      </w:r>
      <w:r>
        <w:rPr>
          <w:rFonts w:hint="eastAsia" w:ascii="宋体" w:hAnsi="宋体" w:eastAsia="宋体" w:cs="宋体"/>
          <w:color w:val="auto"/>
          <w:sz w:val="24"/>
          <w:highlight w:val="none"/>
        </w:rPr>
        <w:t>登录乐采云平台（www.lecaiyun.com）</w:t>
      </w:r>
      <w:r>
        <w:rPr>
          <w:rFonts w:hint="eastAsia" w:ascii="宋体" w:hAnsi="宋体" w:eastAsia="宋体" w:cs="宋体"/>
          <w:color w:val="auto"/>
          <w:kern w:val="2"/>
          <w:highlight w:val="none"/>
        </w:rPr>
        <w:t>在线申请获取采购文件（进入“项目采购”应用，在获取采购文件菜单中选择项目，申请获取采购</w:t>
      </w:r>
      <w:r>
        <w:rPr>
          <w:rFonts w:hint="eastAsia" w:ascii="宋体" w:hAnsi="宋体" w:eastAsia="宋体" w:cs="宋体"/>
          <w:color w:val="auto"/>
          <w:kern w:val="2"/>
          <w:highlight w:val="none"/>
        </w:rPr>
        <w:t xml:space="preserve">文件）。 </w:t>
      </w:r>
    </w:p>
    <w:p w14:paraId="5F0F8445">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售价（元）：0</w:t>
      </w:r>
    </w:p>
    <w:p w14:paraId="1EDE6CB5">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四、提交投标文件截止时间、开标时间和地点</w:t>
      </w:r>
    </w:p>
    <w:p w14:paraId="044CF2B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提交投标文件截止时间：</w:t>
      </w:r>
      <w:r>
        <w:rPr>
          <w:rFonts w:hint="eastAsia" w:ascii="宋体" w:hAnsi="宋体" w:eastAsia="宋体" w:cs="宋体"/>
          <w:color w:val="auto"/>
          <w:kern w:val="2"/>
          <w:highlight w:val="none"/>
        </w:rPr>
        <w:t>202</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lang w:val="en-US" w:eastAsia="zh-CN"/>
        </w:rPr>
        <w:t>02</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13</w:t>
      </w:r>
      <w:r>
        <w:rPr>
          <w:rFonts w:hint="eastAsia" w:ascii="宋体" w:hAnsi="宋体" w:eastAsia="宋体" w:cs="宋体"/>
          <w:color w:val="auto"/>
          <w:kern w:val="2"/>
          <w:highlight w:val="none"/>
        </w:rPr>
        <w:t>日</w:t>
      </w:r>
      <w:r>
        <w:rPr>
          <w:rFonts w:hint="eastAsia" w:ascii="宋体" w:hAnsi="宋体" w:eastAsia="宋体" w:cs="宋体"/>
          <w:color w:val="auto"/>
          <w:kern w:val="2"/>
          <w:highlight w:val="none"/>
          <w:lang w:val="en-US" w:eastAsia="zh-CN"/>
        </w:rPr>
        <w:t>9</w:t>
      </w:r>
      <w:r>
        <w:rPr>
          <w:rFonts w:hint="eastAsia" w:ascii="宋体" w:hAnsi="宋体" w:eastAsia="宋体" w:cs="宋体"/>
          <w:color w:val="auto"/>
          <w:kern w:val="2"/>
          <w:highlight w:val="none"/>
        </w:rPr>
        <w:t>点</w:t>
      </w:r>
      <w:r>
        <w:rPr>
          <w:rFonts w:hint="eastAsia" w:ascii="宋体" w:hAnsi="宋体" w:eastAsia="宋体" w:cs="宋体"/>
          <w:color w:val="auto"/>
          <w:kern w:val="2"/>
          <w:highlight w:val="none"/>
          <w:lang w:val="en-US" w:eastAsia="zh-CN"/>
        </w:rPr>
        <w:t>00</w:t>
      </w:r>
      <w:r>
        <w:rPr>
          <w:rFonts w:hint="eastAsia" w:ascii="宋体" w:hAnsi="宋体" w:eastAsia="宋体" w:cs="宋体"/>
          <w:color w:val="auto"/>
          <w:kern w:val="2"/>
          <w:highlight w:val="none"/>
        </w:rPr>
        <w:t>分（北京时间）</w:t>
      </w:r>
    </w:p>
    <w:p w14:paraId="64C18386">
      <w:pPr>
        <w:spacing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投标地点（网址）：</w:t>
      </w:r>
      <w:r>
        <w:rPr>
          <w:rFonts w:hint="eastAsia" w:ascii="宋体" w:hAnsi="宋体" w:eastAsia="宋体" w:cs="宋体"/>
          <w:color w:val="auto"/>
          <w:sz w:val="24"/>
          <w:highlight w:val="none"/>
        </w:rPr>
        <w:t xml:space="preserve">乐采云平台（www.lecaiyun.com） </w:t>
      </w:r>
      <w:r>
        <w:rPr>
          <w:rFonts w:hint="eastAsia" w:ascii="宋体" w:hAnsi="宋体" w:eastAsia="宋体" w:cs="宋体"/>
          <w:color w:val="auto"/>
          <w:kern w:val="2"/>
          <w:highlight w:val="none"/>
        </w:rPr>
        <w:t xml:space="preserve"> </w:t>
      </w:r>
    </w:p>
    <w:p w14:paraId="4C33A575">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开标时间：</w:t>
      </w:r>
      <w:r>
        <w:rPr>
          <w:rFonts w:hint="eastAsia" w:ascii="宋体" w:hAnsi="宋体" w:eastAsia="宋体" w:cs="宋体"/>
          <w:color w:val="auto"/>
          <w:kern w:val="2"/>
          <w:highlight w:val="none"/>
        </w:rPr>
        <w:t>202</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lang w:val="en-US" w:eastAsia="zh-CN"/>
        </w:rPr>
        <w:t>02</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13</w:t>
      </w:r>
      <w:r>
        <w:rPr>
          <w:rFonts w:hint="eastAsia" w:ascii="宋体" w:hAnsi="宋体" w:eastAsia="宋体" w:cs="宋体"/>
          <w:color w:val="auto"/>
          <w:kern w:val="2"/>
          <w:highlight w:val="none"/>
        </w:rPr>
        <w:t>日</w:t>
      </w:r>
      <w:r>
        <w:rPr>
          <w:rFonts w:hint="eastAsia" w:ascii="宋体" w:hAnsi="宋体" w:eastAsia="宋体" w:cs="宋体"/>
          <w:color w:val="auto"/>
          <w:kern w:val="2"/>
          <w:highlight w:val="none"/>
          <w:lang w:val="en-US" w:eastAsia="zh-CN"/>
        </w:rPr>
        <w:t>9</w:t>
      </w:r>
      <w:r>
        <w:rPr>
          <w:rFonts w:hint="eastAsia" w:ascii="宋体" w:hAnsi="宋体" w:eastAsia="宋体" w:cs="宋体"/>
          <w:color w:val="auto"/>
          <w:kern w:val="2"/>
          <w:highlight w:val="none"/>
        </w:rPr>
        <w:t>点</w:t>
      </w:r>
      <w:r>
        <w:rPr>
          <w:rFonts w:hint="eastAsia" w:ascii="宋体" w:hAnsi="宋体" w:eastAsia="宋体" w:cs="宋体"/>
          <w:color w:val="auto"/>
          <w:kern w:val="2"/>
          <w:highlight w:val="none"/>
          <w:lang w:val="en-US" w:eastAsia="zh-CN"/>
        </w:rPr>
        <w:t>00</w:t>
      </w:r>
      <w:r>
        <w:rPr>
          <w:rFonts w:hint="eastAsia" w:ascii="宋体" w:hAnsi="宋体" w:eastAsia="宋体" w:cs="宋体"/>
          <w:color w:val="auto"/>
          <w:kern w:val="2"/>
          <w:highlight w:val="none"/>
        </w:rPr>
        <w:t xml:space="preserve">分 </w:t>
      </w:r>
    </w:p>
    <w:p w14:paraId="69C84A7A">
      <w:pPr>
        <w:spacing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开标地点（网址）：</w:t>
      </w:r>
      <w:r>
        <w:rPr>
          <w:rFonts w:hint="eastAsia" w:ascii="宋体" w:hAnsi="宋体" w:eastAsia="宋体" w:cs="宋体"/>
          <w:color w:val="auto"/>
          <w:sz w:val="24"/>
          <w:highlight w:val="none"/>
        </w:rPr>
        <w:t>乐采云平台（www.lecaiyun.com）</w:t>
      </w:r>
      <w:r>
        <w:rPr>
          <w:rFonts w:hint="eastAsia" w:ascii="宋体" w:hAnsi="宋体" w:eastAsia="宋体" w:cs="宋体"/>
          <w:color w:val="auto"/>
          <w:kern w:val="2"/>
          <w:highlight w:val="none"/>
        </w:rPr>
        <w:t>。</w:t>
      </w:r>
    </w:p>
    <w:p w14:paraId="5F99CF14">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 xml:space="preserve">五、公告期限 </w:t>
      </w:r>
    </w:p>
    <w:p w14:paraId="1BAFF19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自本公告发布之日起5个工作日。</w:t>
      </w:r>
    </w:p>
    <w:p w14:paraId="22F00EBB">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六、其他补充事宜</w:t>
      </w:r>
    </w:p>
    <w:p w14:paraId="7AA9C60A">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和采购代理机构提出质疑。</w:t>
      </w:r>
    </w:p>
    <w:p w14:paraId="4B8549CA">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2.其他事项：（1）电子招投标的说明：①电子招投标：本项目以数据电文形式，依托“</w:t>
      </w:r>
      <w:r>
        <w:rPr>
          <w:rFonts w:hint="eastAsia" w:ascii="宋体" w:hAnsi="宋体" w:eastAsia="宋体" w:cs="宋体"/>
          <w:color w:val="auto"/>
          <w:sz w:val="24"/>
          <w:highlight w:val="none"/>
        </w:rPr>
        <w:t>乐采云平台（www.lecaiyun.com）</w:t>
      </w:r>
      <w:r>
        <w:rPr>
          <w:rFonts w:hint="eastAsia" w:ascii="宋体" w:hAnsi="宋体" w:eastAsia="宋体" w:cs="宋体"/>
          <w:color w:val="auto"/>
          <w:kern w:val="2"/>
          <w:highlight w:val="none"/>
        </w:rPr>
        <w:t>”进行招投标活动，不接受纸质投标文件；②投标准备：注册账号－－点击“商家入驻”，进行采购供应商资料填写；申领CA数字证书－－申领流程详见“浙江企业采购信息服务网－－</w:t>
      </w:r>
      <w:r>
        <w:rPr>
          <w:rFonts w:hint="eastAsia" w:ascii="宋体" w:hAnsi="宋体" w:eastAsia="宋体" w:cs="宋体"/>
          <w:color w:val="auto"/>
          <w:kern w:val="2"/>
          <w:highlight w:val="none"/>
          <w:lang w:val="en-US" w:eastAsia="zh-CN"/>
        </w:rPr>
        <w:t>在线</w:t>
      </w:r>
      <w:r>
        <w:rPr>
          <w:rFonts w:hint="eastAsia" w:ascii="宋体" w:hAnsi="宋体" w:eastAsia="宋体" w:cs="宋体"/>
          <w:color w:val="auto"/>
          <w:kern w:val="2"/>
          <w:highlight w:val="none"/>
        </w:rPr>
        <w:t>下载－－电子交易客户端-CA驱动和申领流程”；安装“</w:t>
      </w:r>
      <w:r>
        <w:rPr>
          <w:rFonts w:hint="eastAsia" w:ascii="宋体" w:hAnsi="宋体" w:eastAsia="宋体" w:cs="宋体"/>
          <w:color w:val="auto"/>
          <w:sz w:val="24"/>
          <w:highlight w:val="none"/>
        </w:rPr>
        <w:t>乐采云电子交易客户端</w:t>
      </w:r>
      <w:r>
        <w:rPr>
          <w:rFonts w:hint="eastAsia" w:ascii="宋体" w:hAnsi="宋体" w:eastAsia="宋体" w:cs="宋体"/>
          <w:color w:val="auto"/>
          <w:kern w:val="2"/>
          <w:highlight w:val="none"/>
        </w:rPr>
        <w:t>”----前往“浙江企业采购信息服务网－－</w:t>
      </w:r>
      <w:r>
        <w:rPr>
          <w:rFonts w:hint="eastAsia" w:ascii="宋体" w:hAnsi="宋体" w:eastAsia="宋体" w:cs="宋体"/>
          <w:color w:val="auto"/>
          <w:kern w:val="2"/>
          <w:highlight w:val="none"/>
          <w:lang w:val="en-US" w:eastAsia="zh-CN"/>
        </w:rPr>
        <w:t>在线</w:t>
      </w:r>
      <w:r>
        <w:rPr>
          <w:rFonts w:hint="eastAsia" w:ascii="宋体" w:hAnsi="宋体" w:eastAsia="宋体" w:cs="宋体"/>
          <w:color w:val="auto"/>
          <w:kern w:val="2"/>
          <w:highlight w:val="none"/>
        </w:rPr>
        <w:t>下载－－电子交易客户端”进行下载并安装；③招标文件的获取：使用账号登录或者使用CA登录</w:t>
      </w:r>
      <w:r>
        <w:rPr>
          <w:rFonts w:hint="eastAsia" w:ascii="宋体" w:hAnsi="宋体" w:eastAsia="宋体" w:cs="宋体"/>
          <w:color w:val="auto"/>
          <w:sz w:val="24"/>
          <w:highlight w:val="none"/>
        </w:rPr>
        <w:t>乐采云平台</w:t>
      </w:r>
      <w:r>
        <w:rPr>
          <w:rFonts w:hint="eastAsia" w:ascii="宋体" w:hAnsi="宋体" w:eastAsia="宋体" w:cs="宋体"/>
          <w:color w:val="auto"/>
          <w:kern w:val="2"/>
          <w:highlight w:val="none"/>
        </w:rPr>
        <w:t>；进入“项目采购”应用，在获取采购文件菜单中选择项目，获取招标文件；④投标文件的制作：在“</w:t>
      </w:r>
      <w:r>
        <w:rPr>
          <w:rFonts w:hint="eastAsia" w:ascii="宋体" w:hAnsi="宋体" w:eastAsia="宋体" w:cs="宋体"/>
          <w:color w:val="auto"/>
          <w:kern w:val="2"/>
          <w:highlight w:val="none"/>
          <w:lang w:eastAsia="zh-CN"/>
        </w:rPr>
        <w:t>乐采云</w:t>
      </w:r>
      <w:r>
        <w:rPr>
          <w:rFonts w:hint="eastAsia" w:ascii="宋体" w:hAnsi="宋体" w:eastAsia="宋体" w:cs="宋体"/>
          <w:color w:val="auto"/>
          <w:kern w:val="2"/>
          <w:highlight w:val="none"/>
        </w:rPr>
        <w:t>电子交易客户端”中完成“填写基本信息”、“导入投标文件”、“标书关联”、“标书检查”、“电子签名”、“生成电子标书”等操作；⑤</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、代理机构将依托</w:t>
      </w:r>
      <w:r>
        <w:rPr>
          <w:rFonts w:hint="eastAsia" w:ascii="宋体" w:hAnsi="宋体" w:eastAsia="宋体" w:cs="宋体"/>
          <w:color w:val="auto"/>
          <w:kern w:val="2"/>
          <w:highlight w:val="none"/>
          <w:lang w:eastAsia="zh-CN"/>
        </w:rPr>
        <w:t>乐采云</w:t>
      </w:r>
      <w:r>
        <w:rPr>
          <w:rFonts w:hint="eastAsia" w:ascii="宋体" w:hAnsi="宋体" w:eastAsia="宋体" w:cs="宋体"/>
          <w:color w:val="auto"/>
          <w:kern w:val="2"/>
          <w:highlight w:val="none"/>
        </w:rPr>
        <w:t>平台完成本项目的电子交易活动，平台不接受未按上述方式获取招标文件的供应商进行投标活动； ⑥对未按上述方式获取招标文件的供应商对该文件提出的质疑，</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或采购代理机构将不予处理；⑦不提供招标文件纸质版；⑧投标文件的传输递交：投标人在投标截止时间前将加密的投标文件上传至</w:t>
      </w:r>
      <w:r>
        <w:rPr>
          <w:rFonts w:hint="eastAsia" w:ascii="宋体" w:hAnsi="宋体" w:eastAsia="宋体" w:cs="宋体"/>
          <w:color w:val="auto"/>
          <w:kern w:val="2"/>
          <w:highlight w:val="none"/>
          <w:lang w:val="en-US" w:eastAsia="zh-CN"/>
        </w:rPr>
        <w:t>乐</w:t>
      </w:r>
      <w:r>
        <w:rPr>
          <w:rFonts w:hint="eastAsia" w:ascii="宋体" w:hAnsi="宋体" w:eastAsia="宋体" w:cs="宋体"/>
          <w:color w:val="auto"/>
          <w:kern w:val="2"/>
          <w:highlight w:val="none"/>
        </w:rPr>
        <w:t>购云平台；⑨投标文件的解密：投标人按照平台提示和招标文件的规定在半小时内完成在线解密。通过“</w:t>
      </w:r>
      <w:r>
        <w:rPr>
          <w:rFonts w:hint="eastAsia" w:ascii="宋体" w:hAnsi="宋体" w:eastAsia="宋体" w:cs="宋体"/>
          <w:color w:val="auto"/>
          <w:sz w:val="24"/>
          <w:highlight w:val="none"/>
        </w:rPr>
        <w:t>乐采云平台</w:t>
      </w:r>
      <w:r>
        <w:rPr>
          <w:rFonts w:hint="eastAsia" w:ascii="宋体" w:hAnsi="宋体" w:eastAsia="宋体" w:cs="宋体"/>
          <w:color w:val="auto"/>
          <w:kern w:val="2"/>
          <w:highlight w:val="none"/>
        </w:rPr>
        <w:t>”上传递交的投标文件无法</w:t>
      </w:r>
      <w:r>
        <w:rPr>
          <w:rFonts w:hint="eastAsia" w:ascii="宋体" w:hAnsi="宋体" w:eastAsia="宋体" w:cs="宋体"/>
          <w:color w:val="auto"/>
          <w:kern w:val="2"/>
          <w:highlight w:val="none"/>
        </w:rPr>
        <w:t>按时解密，视为投标文件撤回。⑩具体操作指南：详见</w:t>
      </w:r>
      <w:r>
        <w:rPr>
          <w:rFonts w:hint="eastAsia" w:ascii="宋体" w:hAnsi="宋体" w:eastAsia="宋体" w:cs="宋体"/>
          <w:color w:val="auto"/>
          <w:kern w:val="2"/>
          <w:highlight w:val="none"/>
          <w:lang w:eastAsia="zh-CN"/>
        </w:rPr>
        <w:t>乐采云</w:t>
      </w:r>
      <w:r>
        <w:rPr>
          <w:rFonts w:hint="eastAsia" w:ascii="宋体" w:hAnsi="宋体" w:eastAsia="宋体" w:cs="宋体"/>
          <w:color w:val="auto"/>
          <w:kern w:val="2"/>
          <w:highlight w:val="none"/>
        </w:rPr>
        <w:t>平台“服务中心-帮助文档-项目采购-操作流程-电子招投标-采购项目电子交易管理操作指南-供应商”。</w:t>
      </w:r>
    </w:p>
    <w:p w14:paraId="56D7F309">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七、对本次采购提出询问、质疑、投诉，请按以下方式联系</w:t>
      </w:r>
    </w:p>
    <w:p w14:paraId="1BE5FD4C">
      <w:pPr>
        <w:widowControl w:val="0"/>
        <w:adjustRightInd w:val="0"/>
        <w:spacing w:after="0" w:line="480" w:lineRule="exact"/>
        <w:ind w:firstLine="420" w:firstLineChars="175"/>
        <w:jc w:val="both"/>
        <w:rPr>
          <w:rFonts w:hint="eastAsia" w:ascii="宋体" w:hAnsi="宋体" w:eastAsia="宋体" w:cs="宋体"/>
          <w:color w:val="auto"/>
          <w:kern w:val="2"/>
          <w:highlight w:val="none"/>
        </w:rPr>
      </w:pPr>
      <w:bookmarkStart w:id="0" w:name="_Toc28359086"/>
      <w:bookmarkStart w:id="1" w:name="_Toc28359009"/>
      <w:r>
        <w:rPr>
          <w:rFonts w:hint="eastAsia" w:ascii="宋体" w:hAnsi="宋体" w:eastAsia="宋体" w:cs="宋体"/>
          <w:color w:val="auto"/>
          <w:kern w:val="2"/>
          <w:highlight w:val="none"/>
        </w:rPr>
        <w:t>1.</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信息</w:t>
      </w:r>
    </w:p>
    <w:p w14:paraId="4543247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名称：杭州金开颐和物业有限公司</w:t>
      </w:r>
    </w:p>
    <w:p w14:paraId="3B917226">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地址：杭州市萧山经济技术开发区建设二路146号</w:t>
      </w:r>
    </w:p>
    <w:p w14:paraId="0FC7EB29">
      <w:pPr>
        <w:widowControl w:val="0"/>
        <w:adjustRightInd w:val="0"/>
        <w:spacing w:after="0" w:line="480" w:lineRule="exact"/>
        <w:ind w:firstLine="420" w:firstLineChars="175"/>
        <w:jc w:val="both"/>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rPr>
        <w:t>项目联系人（询问）：陆银涛</w:t>
      </w:r>
    </w:p>
    <w:p w14:paraId="791783FE">
      <w:pPr>
        <w:widowControl w:val="0"/>
        <w:adjustRightInd w:val="0"/>
        <w:spacing w:after="0" w:line="480" w:lineRule="exact"/>
        <w:ind w:firstLine="420" w:firstLineChars="175"/>
        <w:jc w:val="both"/>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rPr>
        <w:t>项目联系方式（询问）：0571-82327956</w:t>
      </w:r>
    </w:p>
    <w:p w14:paraId="676E785F">
      <w:pPr>
        <w:widowControl w:val="0"/>
        <w:adjustRightInd w:val="0"/>
        <w:spacing w:after="0" w:line="480" w:lineRule="exact"/>
        <w:ind w:firstLine="420" w:firstLineChars="175"/>
        <w:jc w:val="both"/>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rPr>
        <w:t>质疑联系人：</w:t>
      </w:r>
      <w:r>
        <w:rPr>
          <w:rFonts w:hint="eastAsia" w:ascii="宋体" w:hAnsi="宋体" w:eastAsia="宋体" w:cs="宋体"/>
          <w:color w:val="auto"/>
          <w:kern w:val="2"/>
          <w:highlight w:val="none"/>
          <w:lang w:eastAsia="zh-CN"/>
        </w:rPr>
        <w:t>沈林林</w:t>
      </w:r>
    </w:p>
    <w:p w14:paraId="5BC1596F">
      <w:pPr>
        <w:widowControl w:val="0"/>
        <w:adjustRightInd w:val="0"/>
        <w:spacing w:after="0" w:line="480" w:lineRule="exact"/>
        <w:ind w:firstLine="420" w:firstLineChars="175"/>
        <w:jc w:val="both"/>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rPr>
        <w:t>质疑联系方式：</w:t>
      </w:r>
      <w:r>
        <w:rPr>
          <w:rFonts w:hint="eastAsia" w:ascii="宋体" w:hAnsi="宋体" w:eastAsia="宋体" w:cs="宋体"/>
          <w:color w:val="auto"/>
          <w:kern w:val="2"/>
          <w:highlight w:val="none"/>
          <w:lang w:val="en-US" w:eastAsia="zh-CN"/>
        </w:rPr>
        <w:t>0571-82600978</w:t>
      </w:r>
    </w:p>
    <w:p w14:paraId="0FF2D911">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2.代理机构信息</w:t>
      </w:r>
      <w:bookmarkEnd w:id="0"/>
      <w:bookmarkEnd w:id="1"/>
    </w:p>
    <w:p w14:paraId="03C1667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名称：杭州博望建设工程招标投标代理有限公司</w:t>
      </w:r>
    </w:p>
    <w:p w14:paraId="5658FAB7">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地址：杭州市萧山区金城路433号天汇园一幢A座5楼</w:t>
      </w:r>
    </w:p>
    <w:p w14:paraId="242DBA19">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传真：0571-83881208</w:t>
      </w:r>
    </w:p>
    <w:p w14:paraId="66AB777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项目联系人（询问）：高华萍</w:t>
      </w:r>
    </w:p>
    <w:p w14:paraId="5852E2A9">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项目联系方式（询问）：0571-83881218</w:t>
      </w:r>
    </w:p>
    <w:p w14:paraId="16169706">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质疑联系人：范梦迪</w:t>
      </w:r>
    </w:p>
    <w:p w14:paraId="3D516125">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质疑联系方式：0571-83881208</w:t>
      </w:r>
    </w:p>
    <w:p w14:paraId="45C519F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3.监督管理部门</w:t>
      </w:r>
    </w:p>
    <w:p w14:paraId="33966A51">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名称：开发区财政局</w:t>
      </w:r>
    </w:p>
    <w:p w14:paraId="00C1A49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地址：杭州市萧山区市心北路99号</w:t>
      </w:r>
    </w:p>
    <w:p w14:paraId="62F43D42">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联系人：</w:t>
      </w:r>
      <w:r>
        <w:rPr>
          <w:rFonts w:hint="eastAsia" w:ascii="宋体" w:hAnsi="宋体" w:eastAsia="宋体" w:cs="宋体"/>
          <w:color w:val="auto"/>
          <w:sz w:val="24"/>
          <w:highlight w:val="none"/>
          <w:lang w:eastAsia="zh-CN"/>
        </w:rPr>
        <w:t>王先生</w:t>
      </w:r>
    </w:p>
    <w:p w14:paraId="453AC497">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监督投诉电话：0571-82866806</w:t>
      </w:r>
    </w:p>
    <w:p w14:paraId="341DAAFE">
      <w:pPr>
        <w:widowControl w:val="0"/>
        <w:adjustRightInd w:val="0"/>
        <w:spacing w:after="0" w:line="480" w:lineRule="exact"/>
        <w:ind w:firstLine="420" w:firstLineChars="175"/>
        <w:jc w:val="both"/>
        <w:rPr>
          <w:rFonts w:hint="eastAsia" w:ascii="宋体" w:hAnsi="宋体" w:eastAsia="宋体" w:cs="宋体"/>
          <w:color w:val="auto"/>
          <w:kern w:val="2"/>
          <w:highlight w:val="none"/>
        </w:rPr>
      </w:pPr>
    </w:p>
    <w:p w14:paraId="1F9114C2">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若对项目采购电子交易系统操作有疑问，</w:t>
      </w:r>
      <w:r>
        <w:rPr>
          <w:rFonts w:hint="eastAsia" w:ascii="宋体" w:hAnsi="宋体" w:eastAsia="宋体" w:cs="宋体"/>
          <w:color w:val="auto"/>
          <w:sz w:val="24"/>
          <w:highlight w:val="none"/>
        </w:rPr>
        <w:t>可登录乐采云平台（www.lecaiyun.com）</w:t>
      </w:r>
      <w:r>
        <w:rPr>
          <w:rFonts w:hint="eastAsia" w:ascii="宋体" w:hAnsi="宋体" w:eastAsia="宋体" w:cs="宋体"/>
          <w:color w:val="auto"/>
          <w:kern w:val="2"/>
          <w:highlight w:val="none"/>
        </w:rPr>
        <w:t>，点击右侧咨询小采，获取采小蜜智能服务管家帮助，或拨打</w:t>
      </w:r>
      <w:r>
        <w:rPr>
          <w:rFonts w:hint="eastAsia" w:ascii="宋体" w:hAnsi="宋体" w:eastAsia="宋体" w:cs="宋体"/>
          <w:color w:val="auto"/>
          <w:kern w:val="2"/>
          <w:highlight w:val="none"/>
          <w:lang w:eastAsia="zh-CN"/>
        </w:rPr>
        <w:t>乐采云</w:t>
      </w:r>
      <w:r>
        <w:rPr>
          <w:rFonts w:hint="eastAsia" w:ascii="宋体" w:hAnsi="宋体" w:eastAsia="宋体" w:cs="宋体"/>
          <w:color w:val="auto"/>
          <w:kern w:val="2"/>
          <w:highlight w:val="none"/>
        </w:rPr>
        <w:t>服务热线95763获取热线服务帮助。</w:t>
      </w:r>
    </w:p>
    <w:p w14:paraId="50FF3D62">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CA问题联系电话（人工）：汇信CA 400-888-4636；天谷CA 400-087-8198。</w:t>
      </w:r>
    </w:p>
    <w:p w14:paraId="08E8D794">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16A58F">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第二部分 投标人须知</w:t>
      </w:r>
    </w:p>
    <w:p w14:paraId="677ABEE4">
      <w:pPr>
        <w:pStyle w:val="3"/>
        <w:rPr>
          <w:rFonts w:hint="eastAsia" w:ascii="宋体" w:hAnsi="宋体" w:eastAsia="宋体" w:cs="宋体"/>
          <w:color w:val="auto"/>
          <w:highlight w:val="none"/>
        </w:rPr>
      </w:pPr>
      <w:r>
        <w:rPr>
          <w:rFonts w:hint="eastAsia" w:ascii="宋体" w:hAnsi="宋体" w:eastAsia="宋体" w:cs="宋体"/>
          <w:color w:val="auto"/>
          <w:highlight w:val="none"/>
        </w:rPr>
        <w:t>前附表</w:t>
      </w:r>
    </w:p>
    <w:tbl>
      <w:tblPr>
        <w:tblStyle w:val="31"/>
        <w:tblW w:w="52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38"/>
        <w:gridCol w:w="6595"/>
      </w:tblGrid>
      <w:tr w14:paraId="7E68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tcBorders>
              <w:bottom w:val="single" w:color="auto" w:sz="4" w:space="0"/>
            </w:tcBorders>
            <w:vAlign w:val="center"/>
          </w:tcPr>
          <w:p w14:paraId="6508A32A">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909" w:type="pct"/>
            <w:tcBorders>
              <w:bottom w:val="single" w:color="auto" w:sz="4" w:space="0"/>
            </w:tcBorders>
            <w:vAlign w:val="center"/>
          </w:tcPr>
          <w:p w14:paraId="45B727DD">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事项</w:t>
            </w:r>
          </w:p>
        </w:tc>
        <w:tc>
          <w:tcPr>
            <w:tcW w:w="3663" w:type="pct"/>
            <w:tcBorders>
              <w:bottom w:val="single" w:color="auto" w:sz="4" w:space="0"/>
            </w:tcBorders>
            <w:vAlign w:val="center"/>
          </w:tcPr>
          <w:p w14:paraId="68C3F4D7">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本项目特别规定</w:t>
            </w:r>
          </w:p>
        </w:tc>
      </w:tr>
      <w:tr w14:paraId="512F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70AB35DC">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09" w:type="pct"/>
            <w:tcBorders>
              <w:top w:val="single" w:color="auto" w:sz="4" w:space="0"/>
              <w:left w:val="single" w:color="auto" w:sz="4" w:space="0"/>
              <w:bottom w:val="single" w:color="auto" w:sz="4" w:space="0"/>
              <w:right w:val="single" w:color="auto" w:sz="4" w:space="0"/>
            </w:tcBorders>
            <w:vAlign w:val="center"/>
          </w:tcPr>
          <w:p w14:paraId="4AB2B70E">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项目属性</w:t>
            </w:r>
          </w:p>
        </w:tc>
        <w:tc>
          <w:tcPr>
            <w:tcW w:w="3663" w:type="pct"/>
            <w:tcBorders>
              <w:top w:val="single" w:color="auto" w:sz="4" w:space="0"/>
              <w:left w:val="single" w:color="auto" w:sz="4" w:space="0"/>
              <w:bottom w:val="single" w:color="auto" w:sz="4" w:space="0"/>
              <w:right w:val="single" w:color="auto" w:sz="4" w:space="0"/>
            </w:tcBorders>
            <w:vAlign w:val="center"/>
          </w:tcPr>
          <w:p w14:paraId="5FEA2616">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类。</w:t>
            </w:r>
          </w:p>
        </w:tc>
      </w:tr>
      <w:tr w14:paraId="30B6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14:paraId="7FD6F2C5">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09" w:type="pct"/>
            <w:tcBorders>
              <w:top w:val="single" w:color="auto" w:sz="4" w:space="0"/>
              <w:left w:val="single" w:color="auto" w:sz="4" w:space="0"/>
              <w:bottom w:val="single" w:color="auto" w:sz="4" w:space="0"/>
              <w:right w:val="single" w:color="auto" w:sz="4" w:space="0"/>
            </w:tcBorders>
            <w:vAlign w:val="center"/>
          </w:tcPr>
          <w:p w14:paraId="79CA36DF">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分包</w:t>
            </w:r>
          </w:p>
        </w:tc>
        <w:tc>
          <w:tcPr>
            <w:tcW w:w="3663" w:type="pct"/>
            <w:tcBorders>
              <w:top w:val="single" w:color="auto" w:sz="4" w:space="0"/>
              <w:left w:val="single" w:color="auto" w:sz="4" w:space="0"/>
              <w:bottom w:val="single" w:color="auto" w:sz="4" w:space="0"/>
              <w:right w:val="single" w:color="auto" w:sz="4" w:space="0"/>
            </w:tcBorders>
            <w:vAlign w:val="center"/>
          </w:tcPr>
          <w:p w14:paraId="2A4AD2DE">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（√）不同意分包。</w:t>
            </w:r>
          </w:p>
        </w:tc>
      </w:tr>
      <w:tr w14:paraId="0651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6" w:type="pct"/>
            <w:tcBorders>
              <w:top w:val="single" w:color="auto" w:sz="4" w:space="0"/>
            </w:tcBorders>
            <w:vAlign w:val="center"/>
          </w:tcPr>
          <w:p w14:paraId="6EAF9955">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09" w:type="pct"/>
            <w:tcBorders>
              <w:top w:val="single" w:color="auto" w:sz="4" w:space="0"/>
            </w:tcBorders>
            <w:vAlign w:val="center"/>
          </w:tcPr>
          <w:p w14:paraId="5761A032">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sz w:val="22"/>
                <w:szCs w:val="22"/>
                <w:highlight w:val="none"/>
              </w:rPr>
              <w:t>开标前答疑会或现场考察</w:t>
            </w:r>
          </w:p>
        </w:tc>
        <w:tc>
          <w:tcPr>
            <w:tcW w:w="3663" w:type="pct"/>
            <w:tcBorders>
              <w:top w:val="single" w:color="auto" w:sz="4" w:space="0"/>
            </w:tcBorders>
            <w:vAlign w:val="center"/>
          </w:tcPr>
          <w:p w14:paraId="211BFE83">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（√）不组织。</w:t>
            </w:r>
          </w:p>
        </w:tc>
      </w:tr>
      <w:tr w14:paraId="7B6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26" w:type="pct"/>
            <w:vAlign w:val="center"/>
          </w:tcPr>
          <w:p w14:paraId="5021D448">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09" w:type="pct"/>
            <w:vAlign w:val="center"/>
          </w:tcPr>
          <w:p w14:paraId="6C9EF3C9">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样品提供</w:t>
            </w:r>
          </w:p>
        </w:tc>
        <w:tc>
          <w:tcPr>
            <w:tcW w:w="3663" w:type="pct"/>
            <w:vAlign w:val="center"/>
          </w:tcPr>
          <w:p w14:paraId="7F90DBAC">
            <w:pPr>
              <w:pStyle w:val="5"/>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A不要求提供。</w:t>
            </w:r>
          </w:p>
          <w:p w14:paraId="3CA3466F">
            <w:pPr>
              <w:pStyle w:val="5"/>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B</w:t>
            </w:r>
            <w:r>
              <w:rPr>
                <w:rFonts w:hint="eastAsia" w:ascii="宋体" w:hAnsi="宋体" w:eastAsia="宋体" w:cs="宋体"/>
                <w:b w:val="0"/>
                <w:bCs w:val="0"/>
                <w:color w:val="auto"/>
                <w:highlight w:val="none"/>
              </w:rPr>
              <w:t>要求提供（未提供样品或提供样品不满足采购需求实质性条件的供应商，投标无效）</w:t>
            </w:r>
          </w:p>
        </w:tc>
      </w:tr>
      <w:tr w14:paraId="2078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14:paraId="3BAFA8BF">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909" w:type="pct"/>
            <w:vAlign w:val="center"/>
          </w:tcPr>
          <w:p w14:paraId="7D796AAB">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方案讲解演示</w:t>
            </w:r>
          </w:p>
        </w:tc>
        <w:tc>
          <w:tcPr>
            <w:tcW w:w="3663" w:type="pct"/>
            <w:vAlign w:val="center"/>
          </w:tcPr>
          <w:p w14:paraId="008BC63E">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（√）不要求。</w:t>
            </w:r>
          </w:p>
        </w:tc>
      </w:tr>
      <w:tr w14:paraId="5AA8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426" w:type="pct"/>
            <w:vAlign w:val="center"/>
          </w:tcPr>
          <w:p w14:paraId="76841F1C">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909" w:type="pct"/>
            <w:vAlign w:val="center"/>
          </w:tcPr>
          <w:p w14:paraId="195238D5">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报价要求</w:t>
            </w:r>
          </w:p>
        </w:tc>
        <w:tc>
          <w:tcPr>
            <w:tcW w:w="3663" w:type="pct"/>
            <w:vAlign w:val="center"/>
          </w:tcPr>
          <w:p w14:paraId="5320331C">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有关本项目实施所需的所有费用（含税费）均计入报价。</w:t>
            </w:r>
            <w:r>
              <w:rPr>
                <w:rFonts w:hint="eastAsia" w:ascii="宋体" w:hAnsi="宋体" w:eastAsia="宋体" w:cs="宋体"/>
                <w:color w:val="auto"/>
                <w:highlight w:val="none"/>
              </w:rPr>
              <w:t>开标一览表（报价表）是报价的唯一载体</w:t>
            </w:r>
            <w:r>
              <w:rPr>
                <w:rFonts w:hint="eastAsia" w:ascii="宋体" w:hAnsi="宋体" w:eastAsia="宋体" w:cs="宋体"/>
                <w:color w:val="auto"/>
                <w:highlight w:val="none"/>
                <w:lang w:val="zh-CN"/>
              </w:rPr>
              <w:t>。投标文件中价格全部采用人民币报价。招标文件未列明，而投标人认为必需的费用也需列入报价。</w:t>
            </w:r>
          </w:p>
          <w:p w14:paraId="4DD93633">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投标报价出现下列情形的，投标无效：</w:t>
            </w:r>
          </w:p>
          <w:p w14:paraId="61488FB4">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投标文件出现不是唯一的、有选择性投标报价的；</w:t>
            </w:r>
          </w:p>
          <w:p w14:paraId="4C646910">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投标报价超过招标文件中规定的预算金额或者最高限价的；</w:t>
            </w:r>
          </w:p>
          <w:p w14:paraId="679D28C4">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报价明显低于其他通过符合性审查投标人的报价，有可能影响产品质量或者不能诚信履约的，未能按要求提供书面说明或者提交相关证明材料证明其报价合理性的；</w:t>
            </w:r>
          </w:p>
          <w:p w14:paraId="51FC075F">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投标人对根据修正原则修正后的报价不确认的。</w:t>
            </w:r>
          </w:p>
          <w:p w14:paraId="03553A0F">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资格文件、商务技术文件与报价文件未分开制作。</w:t>
            </w:r>
          </w:p>
        </w:tc>
      </w:tr>
      <w:tr w14:paraId="2C52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14:paraId="61C3CFED">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p>
        </w:tc>
        <w:tc>
          <w:tcPr>
            <w:tcW w:w="909" w:type="pct"/>
            <w:vAlign w:val="center"/>
          </w:tcPr>
          <w:p w14:paraId="17216F5B">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备份投标文件</w:t>
            </w:r>
          </w:p>
        </w:tc>
        <w:tc>
          <w:tcPr>
            <w:tcW w:w="3663" w:type="pct"/>
            <w:vAlign w:val="center"/>
          </w:tcPr>
          <w:p w14:paraId="38123E1D">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snapToGrid w:val="0"/>
                <w:color w:val="auto"/>
                <w:kern w:val="28"/>
                <w:highlight w:val="none"/>
              </w:rPr>
            </w:pPr>
            <w:r>
              <w:rPr>
                <w:rFonts w:hint="eastAsia" w:ascii="宋体" w:hAnsi="宋体" w:eastAsia="宋体" w:cs="宋体"/>
                <w:b/>
                <w:bCs/>
                <w:snapToGrid w:val="0"/>
                <w:color w:val="auto"/>
                <w:kern w:val="28"/>
                <w:highlight w:val="none"/>
                <w:lang w:val="zh-CN"/>
              </w:rPr>
              <w:t>备份文件是否收取：</w:t>
            </w:r>
            <w:r>
              <w:rPr>
                <w:rFonts w:hint="eastAsia" w:ascii="宋体" w:hAnsi="宋体" w:eastAsia="宋体" w:cs="宋体"/>
                <w:snapToGrid w:val="0"/>
                <w:color w:val="auto"/>
                <w:kern w:val="28"/>
                <w:highlight w:val="none"/>
                <w:u w:val="single"/>
              </w:rPr>
              <w:t>不收取</w:t>
            </w:r>
            <w:r>
              <w:rPr>
                <w:rFonts w:hint="eastAsia" w:ascii="宋体" w:hAnsi="宋体" w:eastAsia="宋体" w:cs="宋体"/>
                <w:snapToGrid w:val="0"/>
                <w:color w:val="auto"/>
                <w:kern w:val="28"/>
                <w:highlight w:val="none"/>
              </w:rPr>
              <w:t>。</w:t>
            </w:r>
          </w:p>
        </w:tc>
      </w:tr>
      <w:tr w14:paraId="4E62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14:paraId="6D501E1C">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909" w:type="pct"/>
            <w:vAlign w:val="center"/>
          </w:tcPr>
          <w:p w14:paraId="0C87B914">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代理机构代理费用</w:t>
            </w:r>
          </w:p>
        </w:tc>
        <w:tc>
          <w:tcPr>
            <w:tcW w:w="3663" w:type="pct"/>
            <w:vAlign w:val="center"/>
          </w:tcPr>
          <w:p w14:paraId="75909050">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snapToGrid w:val="0"/>
                <w:color w:val="auto"/>
                <w:kern w:val="28"/>
                <w:highlight w:val="none"/>
                <w:lang w:val="zh-CN"/>
              </w:rPr>
              <w:t>本项目采购代理费由</w:t>
            </w:r>
            <w:r>
              <w:rPr>
                <w:rFonts w:hint="eastAsia" w:ascii="宋体" w:hAnsi="宋体" w:eastAsia="宋体" w:cs="宋体"/>
                <w:snapToGrid w:val="0"/>
                <w:color w:val="auto"/>
                <w:kern w:val="28"/>
                <w:highlight w:val="none"/>
                <w:lang w:val="zh-CN" w:eastAsia="zh-CN"/>
              </w:rPr>
              <w:t>采购</w:t>
            </w:r>
            <w:r>
              <w:rPr>
                <w:rFonts w:hint="eastAsia" w:ascii="宋体" w:hAnsi="宋体" w:eastAsia="宋体" w:cs="宋体"/>
                <w:snapToGrid w:val="0"/>
                <w:color w:val="auto"/>
                <w:kern w:val="28"/>
                <w:highlight w:val="none"/>
                <w:lang w:val="zh-CN"/>
              </w:rPr>
              <w:t>人支付。</w:t>
            </w:r>
          </w:p>
        </w:tc>
      </w:tr>
      <w:tr w14:paraId="2CEF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26" w:type="pct"/>
            <w:vAlign w:val="center"/>
          </w:tcPr>
          <w:p w14:paraId="3C616BC0">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909" w:type="pct"/>
            <w:vAlign w:val="center"/>
          </w:tcPr>
          <w:p w14:paraId="3FB4CA74">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履约保证金</w:t>
            </w:r>
          </w:p>
        </w:tc>
        <w:tc>
          <w:tcPr>
            <w:tcW w:w="3663" w:type="pct"/>
            <w:vAlign w:val="center"/>
          </w:tcPr>
          <w:p w14:paraId="6A2704DE">
            <w:pPr>
              <w:pStyle w:val="18"/>
              <w:keepNext w:val="0"/>
              <w:keepLines w:val="0"/>
              <w:pageBreakBefore w:val="0"/>
              <w:kinsoku/>
              <w:wordWrap/>
              <w:overflowPunct/>
              <w:topLinePunct w:val="0"/>
              <w:autoSpaceDE/>
              <w:autoSpaceDN/>
              <w:bidi w:val="0"/>
              <w:spacing w:line="380" w:lineRule="exact"/>
              <w:ind w:hanging="4"/>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u w:val="single"/>
                <w:lang w:eastAsia="zh-CN"/>
              </w:rPr>
              <w:t>不收取</w:t>
            </w:r>
          </w:p>
        </w:tc>
      </w:tr>
      <w:tr w14:paraId="6981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6" w:type="pct"/>
            <w:vAlign w:val="center"/>
          </w:tcPr>
          <w:p w14:paraId="1345587C">
            <w:pPr>
              <w:keepNext w:val="0"/>
              <w:keepLines w:val="0"/>
              <w:pageBreakBefore w:val="0"/>
              <w:kinsoku/>
              <w:wordWrap/>
              <w:overflowPunct/>
              <w:topLinePunct w:val="0"/>
              <w:autoSpaceDE/>
              <w:autoSpaceDN/>
              <w:bidi w:val="0"/>
              <w:spacing w:after="0" w:line="38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909" w:type="pct"/>
            <w:vAlign w:val="center"/>
          </w:tcPr>
          <w:p w14:paraId="328A10F5">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资格审查和信用信息审查</w:t>
            </w:r>
          </w:p>
        </w:tc>
        <w:tc>
          <w:tcPr>
            <w:tcW w:w="3663" w:type="pct"/>
            <w:vAlign w:val="center"/>
          </w:tcPr>
          <w:p w14:paraId="5CFA2A1A">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进行资格文件及信用信息查询。</w:t>
            </w:r>
          </w:p>
        </w:tc>
      </w:tr>
      <w:tr w14:paraId="4899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Align w:val="center"/>
          </w:tcPr>
          <w:p w14:paraId="35032A4B">
            <w:pPr>
              <w:keepNext w:val="0"/>
              <w:keepLines w:val="0"/>
              <w:pageBreakBefore w:val="0"/>
              <w:kinsoku/>
              <w:wordWrap/>
              <w:overflowPunct/>
              <w:topLinePunct w:val="0"/>
              <w:autoSpaceDE/>
              <w:autoSpaceDN/>
              <w:bidi w:val="0"/>
              <w:spacing w:after="0" w:line="38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909" w:type="pct"/>
            <w:vAlign w:val="center"/>
          </w:tcPr>
          <w:p w14:paraId="1FAAF7D7">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质疑接收人及答复</w:t>
            </w:r>
          </w:p>
        </w:tc>
        <w:tc>
          <w:tcPr>
            <w:tcW w:w="3663" w:type="pct"/>
            <w:vAlign w:val="center"/>
          </w:tcPr>
          <w:p w14:paraId="26CB5DED">
            <w:pPr>
              <w:keepNext w:val="0"/>
              <w:keepLines w:val="0"/>
              <w:pageBreakBefore w:val="0"/>
              <w:kinsoku/>
              <w:wordWrap/>
              <w:overflowPunct/>
              <w:topLinePunct w:val="0"/>
              <w:autoSpaceDE/>
              <w:autoSpaceDN/>
              <w:bidi w:val="0"/>
              <w:snapToGrid w:val="0"/>
              <w:spacing w:after="0" w:line="380" w:lineRule="exac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、代理机构质疑接收人、联系方式：详见公告</w:t>
            </w:r>
          </w:p>
          <w:p w14:paraId="16192AB7">
            <w:pPr>
              <w:keepNext w:val="0"/>
              <w:keepLines w:val="0"/>
              <w:pageBreakBefore w:val="0"/>
              <w:kinsoku/>
              <w:wordWrap/>
              <w:overflowPunct/>
              <w:topLinePunct w:val="0"/>
              <w:autoSpaceDE/>
              <w:autoSpaceDN/>
              <w:bidi w:val="0"/>
              <w:snapToGrid w:val="0"/>
              <w:spacing w:after="0" w:line="38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线上提交质疑方式：</w:t>
            </w:r>
            <w:r>
              <w:rPr>
                <w:rFonts w:hint="eastAsia" w:ascii="宋体" w:hAnsi="宋体" w:eastAsia="宋体" w:cs="宋体"/>
                <w:b/>
                <w:color w:val="auto"/>
                <w:highlight w:val="none"/>
                <w:lang w:eastAsia="zh-CN"/>
              </w:rPr>
              <w:t>乐采云</w:t>
            </w:r>
            <w:r>
              <w:rPr>
                <w:rFonts w:hint="eastAsia" w:ascii="宋体" w:hAnsi="宋体" w:eastAsia="宋体" w:cs="宋体"/>
                <w:b/>
                <w:color w:val="auto"/>
                <w:highlight w:val="none"/>
              </w:rPr>
              <w:t>线上质疑路径：项目采购－询问质疑投诉－质疑列表。请使用ca签章在每一页质疑文件中加盖电子公章，上传完整附件。</w:t>
            </w:r>
          </w:p>
          <w:p w14:paraId="10EC12D7">
            <w:pPr>
              <w:keepNext w:val="0"/>
              <w:keepLines w:val="0"/>
              <w:pageBreakBefore w:val="0"/>
              <w:kinsoku/>
              <w:wordWrap/>
              <w:overflowPunct/>
              <w:topLinePunct w:val="0"/>
              <w:autoSpaceDE/>
              <w:autoSpaceDN/>
              <w:bidi w:val="0"/>
              <w:snapToGrid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本项目涉及资格条件、采购需求、评分办法及采购过程中有关现场考察或开标前答疑会等事项由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进行答复。</w:t>
            </w:r>
          </w:p>
          <w:p w14:paraId="1709A946">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涉及流程规范性、组织程序等相关事项，由代理机构进行答复。</w:t>
            </w:r>
          </w:p>
        </w:tc>
      </w:tr>
      <w:tr w14:paraId="30BB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6" w:type="pct"/>
            <w:vAlign w:val="center"/>
          </w:tcPr>
          <w:p w14:paraId="0F53F4DC">
            <w:pPr>
              <w:keepNext w:val="0"/>
              <w:keepLines w:val="0"/>
              <w:pageBreakBefore w:val="0"/>
              <w:kinsoku/>
              <w:wordWrap/>
              <w:overflowPunct/>
              <w:topLinePunct w:val="0"/>
              <w:autoSpaceDE/>
              <w:autoSpaceDN/>
              <w:bidi w:val="0"/>
              <w:spacing w:after="0" w:line="38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909" w:type="pct"/>
            <w:vAlign w:val="center"/>
          </w:tcPr>
          <w:p w14:paraId="12FAE179">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特别说明</w:t>
            </w:r>
          </w:p>
        </w:tc>
        <w:tc>
          <w:tcPr>
            <w:tcW w:w="3663" w:type="pct"/>
            <w:vAlign w:val="center"/>
          </w:tcPr>
          <w:p w14:paraId="63E2D52D">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color w:val="auto"/>
                <w:highlight w:val="none"/>
              </w:rPr>
            </w:pPr>
            <w:r>
              <w:rPr>
                <w:rFonts w:hint="eastAsia" w:ascii="宋体" w:hAnsi="宋体" w:eastAsia="宋体" w:cs="宋体"/>
                <w:b/>
                <w:color w:val="auto"/>
                <w:highlight w:val="none"/>
              </w:rPr>
              <w:t>本项目通用总则条款与前附表等专用特别规定有冲突之处，以专用条款（特别规定）为准</w:t>
            </w:r>
          </w:p>
        </w:tc>
      </w:tr>
      <w:tr w14:paraId="7AFC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26" w:type="pct"/>
            <w:vAlign w:val="center"/>
          </w:tcPr>
          <w:p w14:paraId="225A3777">
            <w:pPr>
              <w:keepNext w:val="0"/>
              <w:keepLines w:val="0"/>
              <w:pageBreakBefore w:val="0"/>
              <w:kinsoku/>
              <w:wordWrap/>
              <w:overflowPunct/>
              <w:topLinePunct w:val="0"/>
              <w:autoSpaceDE/>
              <w:autoSpaceDN/>
              <w:bidi w:val="0"/>
              <w:spacing w:after="0" w:line="38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909" w:type="pct"/>
            <w:vAlign w:val="center"/>
          </w:tcPr>
          <w:p w14:paraId="6464176F">
            <w:pPr>
              <w:keepNext w:val="0"/>
              <w:keepLines w:val="0"/>
              <w:pageBreakBefore w:val="0"/>
              <w:kinsoku/>
              <w:wordWrap/>
              <w:overflowPunct/>
              <w:topLinePunct w:val="0"/>
              <w:autoSpaceDE/>
              <w:autoSpaceDN/>
              <w:bidi w:val="0"/>
              <w:spacing w:after="0" w:line="38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其他</w:t>
            </w:r>
          </w:p>
        </w:tc>
        <w:tc>
          <w:tcPr>
            <w:tcW w:w="3663" w:type="pct"/>
            <w:vAlign w:val="center"/>
          </w:tcPr>
          <w:p w14:paraId="67FAE5A7">
            <w:pPr>
              <w:keepNext w:val="0"/>
              <w:keepLines w:val="0"/>
              <w:pageBreakBefore w:val="0"/>
              <w:kinsoku/>
              <w:wordWrap/>
              <w:overflowPunct/>
              <w:topLinePunct w:val="0"/>
              <w:autoSpaceDE/>
              <w:autoSpaceDN/>
              <w:bidi w:val="0"/>
              <w:spacing w:after="0" w:line="38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中标单位在中标后提供纸质投标文件一正二副（需加盖公章）</w:t>
            </w:r>
          </w:p>
        </w:tc>
      </w:tr>
    </w:tbl>
    <w:p w14:paraId="256D65B2">
      <w:pPr>
        <w:rPr>
          <w:rFonts w:hint="eastAsia" w:ascii="宋体" w:hAnsi="宋体" w:eastAsia="宋体" w:cs="宋体"/>
          <w:color w:val="auto"/>
          <w:highlight w:val="none"/>
        </w:rPr>
      </w:pPr>
    </w:p>
    <w:p w14:paraId="7CEFA02D">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4728E9">
      <w:pPr>
        <w:pStyle w:val="3"/>
        <w:rPr>
          <w:rFonts w:hint="eastAsia" w:ascii="宋体" w:hAnsi="宋体" w:eastAsia="宋体" w:cs="宋体"/>
          <w:color w:val="auto"/>
          <w:highlight w:val="none"/>
        </w:rPr>
      </w:pPr>
      <w:r>
        <w:rPr>
          <w:rFonts w:hint="eastAsia" w:ascii="宋体" w:hAnsi="宋体" w:eastAsia="宋体" w:cs="宋体"/>
          <w:color w:val="auto"/>
          <w:highlight w:val="none"/>
        </w:rPr>
        <w:t>一、总则</w:t>
      </w:r>
    </w:p>
    <w:p w14:paraId="6009F699">
      <w:pPr>
        <w:keepNext w:val="0"/>
        <w:keepLines w:val="0"/>
        <w:pageBreakBefore w:val="0"/>
        <w:widowControl w:val="0"/>
        <w:kinsoku/>
        <w:wordWrap/>
        <w:overflowPunct/>
        <w:topLinePunct w:val="0"/>
        <w:autoSpaceDE/>
        <w:autoSpaceDN/>
        <w:bidi w:val="0"/>
        <w:adjustRightInd w:val="0"/>
        <w:snapToGrid/>
        <w:spacing w:after="0" w:line="480" w:lineRule="exact"/>
        <w:jc w:val="both"/>
        <w:textAlignment w:val="auto"/>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1.适用范围</w:t>
      </w:r>
    </w:p>
    <w:p w14:paraId="0E8122E3">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本招标文件适用于该项目的招标、投标、开标、资格审查及信用信息查询、评标、定标、合同、验收等行为（法律、法规另有规定的，从其规定）。</w:t>
      </w:r>
    </w:p>
    <w:p w14:paraId="2AF7B392">
      <w:pPr>
        <w:keepNext w:val="0"/>
        <w:keepLines w:val="0"/>
        <w:pageBreakBefore w:val="0"/>
        <w:widowControl w:val="0"/>
        <w:kinsoku/>
        <w:wordWrap/>
        <w:overflowPunct/>
        <w:topLinePunct w:val="0"/>
        <w:autoSpaceDE/>
        <w:autoSpaceDN/>
        <w:bidi w:val="0"/>
        <w:adjustRightInd w:val="0"/>
        <w:snapToGrid/>
        <w:spacing w:after="0" w:line="480" w:lineRule="exact"/>
        <w:jc w:val="both"/>
        <w:textAlignment w:val="auto"/>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2.定义</w:t>
      </w:r>
    </w:p>
    <w:p w14:paraId="1A81BF70">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2.1“</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”系指招标公告中载明的本项目的</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w:t>
      </w:r>
    </w:p>
    <w:p w14:paraId="6B27A249">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2.2“代理机构”系指招标公告中载明的本项目的代理机构。</w:t>
      </w:r>
    </w:p>
    <w:p w14:paraId="4E4D8890">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2.3“投标人”系指是指响应招标、参加投标竞争的法人、其他组织或者自然人。</w:t>
      </w:r>
    </w:p>
    <w:p w14:paraId="3F5CE4B1">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2.4“负责人”系指法人企业的法定负责人，或其他组织为法律、行政法规规定代表单位行使职权的主要负责人，或自然人本人。</w:t>
      </w:r>
    </w:p>
    <w:p w14:paraId="6AF0E413">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rPr>
        <w:t>）。</w:t>
      </w:r>
    </w:p>
    <w:p w14:paraId="59E43BE5">
      <w:pPr>
        <w:keepNext w:val="0"/>
        <w:keepLines w:val="0"/>
        <w:pageBreakBefore w:val="0"/>
        <w:kinsoku/>
        <w:wordWrap/>
        <w:overflowPunct/>
        <w:topLinePunct w:val="0"/>
        <w:autoSpaceDE/>
        <w:autoSpaceDN/>
        <w:bidi w:val="0"/>
        <w:snapToGrid/>
        <w:spacing w:line="480" w:lineRule="exact"/>
        <w:ind w:firstLine="420" w:firstLineChars="175"/>
        <w:jc w:val="left"/>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2.6</w:t>
      </w:r>
      <w:r>
        <w:rPr>
          <w:rFonts w:hint="eastAsia" w:ascii="宋体" w:hAnsi="宋体" w:eastAsia="宋体" w:cs="宋体"/>
          <w:color w:val="auto"/>
          <w:sz w:val="24"/>
          <w:highlight w:val="none"/>
        </w:rPr>
        <w:t>“电子交易平台”是指本项目交易活动所依托的乐采云平台（www.lecaiyun.com）</w:t>
      </w:r>
      <w:r>
        <w:rPr>
          <w:rFonts w:hint="eastAsia" w:ascii="宋体" w:hAnsi="宋体" w:eastAsia="宋体" w:cs="宋体"/>
          <w:color w:val="auto"/>
          <w:kern w:val="2"/>
          <w:highlight w:val="none"/>
        </w:rPr>
        <w:t>。</w:t>
      </w:r>
    </w:p>
    <w:p w14:paraId="34C82434">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2.7 “▲” 系指实质性要求条款，“（√）” 系指适用本项目的要求，“（  ）”系指不适用本项目的要求。</w:t>
      </w:r>
    </w:p>
    <w:p w14:paraId="4457A98D">
      <w:pPr>
        <w:keepNext w:val="0"/>
        <w:keepLines w:val="0"/>
        <w:pageBreakBefore w:val="0"/>
        <w:widowControl w:val="0"/>
        <w:kinsoku/>
        <w:wordWrap/>
        <w:overflowPunct/>
        <w:topLinePunct w:val="0"/>
        <w:autoSpaceDE/>
        <w:autoSpaceDN/>
        <w:bidi w:val="0"/>
        <w:adjustRightInd w:val="0"/>
        <w:snapToGrid/>
        <w:spacing w:after="0" w:line="480" w:lineRule="exact"/>
        <w:jc w:val="both"/>
        <w:textAlignment w:val="auto"/>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3.询问、质疑、投诉</w:t>
      </w:r>
    </w:p>
    <w:p w14:paraId="3FA9FF58">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3.1供应商询问</w:t>
      </w:r>
    </w:p>
    <w:p w14:paraId="0AC844A0">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供应商对采购活动事项有疑问的，可以提出询问，</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或者采购代理机构应当在3个工作日内对供应商依法提出的询问作出答复，但答复的内容不得涉及商业秘密。供应商提出的询问超出</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对采购代理机构委托授权范围的，采购代理机构应当告知供应商向</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提出。</w:t>
      </w:r>
    </w:p>
    <w:p w14:paraId="091CB4F8">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3.2供应商质疑</w:t>
      </w:r>
    </w:p>
    <w:p w14:paraId="3D96725F">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3.2.1提出质疑的供应商应当是参与所质疑项目采购活动的供应商。潜在供应商已依法获取其可质疑的招标文件的，可以对该文件提出质疑。</w:t>
      </w:r>
    </w:p>
    <w:p w14:paraId="55408CD3">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3.2.2供应商认为招标文件、采购过程和中标结果使自己的权益受到损害的，可以在知道或者应知其权益受到损害之日起七个工作日内，以书面形式向</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或者代理机构提出质疑，否则，</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或者代理机构不予受理：</w:t>
      </w:r>
    </w:p>
    <w:p w14:paraId="178BEEA0">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3.2.2.1对招标文件提出质疑的，质疑期限为供应商获得招标文件之日或者招标文件公告期限届满之日起计算。</w:t>
      </w:r>
    </w:p>
    <w:p w14:paraId="659B7915">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3.2.2.2对采购过程提出质疑的，质疑期限为各采购程序环节结束之日起计算。对同一采购程序环节的质疑，供应商须一次性提出。</w:t>
      </w:r>
    </w:p>
    <w:p w14:paraId="13F35378">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3.2.2.3对采购结果提出质疑的，质疑期限自采购结果公告期限届满之日起计算。</w:t>
      </w:r>
    </w:p>
    <w:p w14:paraId="19C146EC">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3.2.3供应商提出质疑应当提交质疑函和必要的证明材料。质疑函应当包括下列内容：</w:t>
      </w:r>
    </w:p>
    <w:p w14:paraId="764C4F8B">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3.2.3.1供应商的姓名或者名称、地址、邮编、联系人及联系电话；</w:t>
      </w:r>
    </w:p>
    <w:p w14:paraId="01D322EE">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3.2.3.2质疑项目的名称、编号；</w:t>
      </w:r>
    </w:p>
    <w:p w14:paraId="504A1B6F">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3.2.3.3具体、明确的质疑事项和与质疑事项相关的请求；</w:t>
      </w:r>
    </w:p>
    <w:p w14:paraId="0768B4DE">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3.2.3.4事实依据；</w:t>
      </w:r>
    </w:p>
    <w:p w14:paraId="6047484B">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3.2.3.5必要的法律依据；</w:t>
      </w:r>
    </w:p>
    <w:p w14:paraId="39B95B2A">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3.2.3.6提出质疑的日期。</w:t>
      </w:r>
    </w:p>
    <w:p w14:paraId="4C005776">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供应商提交的质疑函需一式三份。供应商为自然人的，应当由本人签字；供应商为法人或者其他组织的，应当由法定代表人、主要负责人，或者其授权代表签字或者盖章，并加盖公章。</w:t>
      </w:r>
    </w:p>
    <w:p w14:paraId="5C20928E">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质疑函范本及制作说明详见附件</w:t>
      </w:r>
      <w:r>
        <w:rPr>
          <w:rFonts w:hint="eastAsia" w:ascii="宋体" w:hAnsi="宋体" w:eastAsia="宋体" w:cs="宋体"/>
          <w:color w:val="auto"/>
          <w:kern w:val="2"/>
          <w:highlight w:val="none"/>
          <w:lang w:val="en-US" w:eastAsia="zh-CN"/>
        </w:rPr>
        <w:t>1</w:t>
      </w:r>
      <w:r>
        <w:rPr>
          <w:rFonts w:hint="eastAsia" w:ascii="宋体" w:hAnsi="宋体" w:eastAsia="宋体" w:cs="宋体"/>
          <w:color w:val="auto"/>
          <w:kern w:val="2"/>
          <w:highlight w:val="none"/>
        </w:rPr>
        <w:t>。</w:t>
      </w:r>
    </w:p>
    <w:p w14:paraId="2D727C94">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3.2.4</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或者代理机构应当在收到供应商的书面质疑后七个工作日内作出答复，并以书面形式通知质疑供应商和其他与质疑处理结果有利害关系的政府采购当事人，但答复的内容不得涉及商业秘密。</w:t>
      </w:r>
    </w:p>
    <w:p w14:paraId="255EE335">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3.2.5询问或者质疑事项可能影响采购结果的，</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应当暂停签订合同，已经签订合同的，应当中止履行合同。</w:t>
      </w:r>
    </w:p>
    <w:p w14:paraId="68604AF6">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3.3供应商投诉</w:t>
      </w:r>
    </w:p>
    <w:p w14:paraId="7267F46C">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3.3.1质疑供应商对</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、代理机构的答复不满意或者</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、代理机构未在规定的时间内作出答复的，可以在答复期满后十五个工作日内向有关部门提出投诉。</w:t>
      </w:r>
    </w:p>
    <w:p w14:paraId="2827C271">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3.3.2供应商投诉的事项不得超出已质疑事项的范围，基于质疑答复内容提出的投诉事项除外。</w:t>
      </w:r>
    </w:p>
    <w:p w14:paraId="32BEDE74">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3.3.3供应商投诉应当有明确的请求和必要的证明材料。</w:t>
      </w:r>
    </w:p>
    <w:p w14:paraId="202EA678">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投诉书范本及制作说明详见附件</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rPr>
        <w:t>。</w:t>
      </w:r>
    </w:p>
    <w:p w14:paraId="5B04A296">
      <w:pPr>
        <w:pStyle w:val="3"/>
        <w:rPr>
          <w:rFonts w:hint="eastAsia" w:ascii="宋体" w:hAnsi="宋体" w:eastAsia="宋体" w:cs="宋体"/>
          <w:color w:val="auto"/>
          <w:highlight w:val="none"/>
        </w:rPr>
      </w:pPr>
      <w:r>
        <w:rPr>
          <w:rFonts w:hint="eastAsia" w:ascii="宋体" w:hAnsi="宋体" w:eastAsia="宋体" w:cs="宋体"/>
          <w:color w:val="auto"/>
          <w:highlight w:val="none"/>
        </w:rPr>
        <w:t>二、招标文件的构成、澄清、修改</w:t>
      </w:r>
    </w:p>
    <w:p w14:paraId="191C2B89">
      <w:pPr>
        <w:keepNext w:val="0"/>
        <w:keepLines w:val="0"/>
        <w:pageBreakBefore w:val="0"/>
        <w:widowControl w:val="0"/>
        <w:kinsoku/>
        <w:wordWrap/>
        <w:overflowPunct/>
        <w:topLinePunct w:val="0"/>
        <w:autoSpaceDE/>
        <w:autoSpaceDN/>
        <w:bidi w:val="0"/>
        <w:adjustRightInd w:val="0"/>
        <w:snapToGrid/>
        <w:spacing w:after="0" w:line="480" w:lineRule="exact"/>
        <w:jc w:val="both"/>
        <w:textAlignment w:val="auto"/>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4．招标文件的构成</w:t>
      </w:r>
    </w:p>
    <w:p w14:paraId="38A11979">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4.1招标文件包括下列文件及附件：</w:t>
      </w:r>
    </w:p>
    <w:p w14:paraId="24E5832B">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4.1.1招标公告；</w:t>
      </w:r>
    </w:p>
    <w:p w14:paraId="03311174">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4.1.2投标人须知；</w:t>
      </w:r>
    </w:p>
    <w:p w14:paraId="73E50486">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4.1.3采购需求；</w:t>
      </w:r>
    </w:p>
    <w:p w14:paraId="5BBAAC82">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4.1.4评标办法；</w:t>
      </w:r>
    </w:p>
    <w:p w14:paraId="019CC933">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4.1.5拟签订的合同文本；</w:t>
      </w:r>
    </w:p>
    <w:p w14:paraId="399B1739">
      <w:pPr>
        <w:keepNext w:val="0"/>
        <w:keepLines w:val="0"/>
        <w:pageBreakBefore w:val="0"/>
        <w:widowControl w:val="0"/>
        <w:kinsoku/>
        <w:wordWrap/>
        <w:overflowPunct/>
        <w:topLinePunct w:val="0"/>
        <w:autoSpaceDE/>
        <w:autoSpaceDN/>
        <w:bidi w:val="0"/>
        <w:adjustRightInd w:val="0"/>
        <w:snapToGrid/>
        <w:spacing w:after="0" w:line="480" w:lineRule="exact"/>
        <w:ind w:firstLine="720" w:firstLineChars="3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4.1.6应提交的有关格式范例。</w:t>
      </w:r>
    </w:p>
    <w:p w14:paraId="24CA5A0B">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4.2与本项目有关的澄清或者修改的内容为招标文件的组成部分。</w:t>
      </w:r>
    </w:p>
    <w:p w14:paraId="5D942B25">
      <w:pPr>
        <w:keepNext w:val="0"/>
        <w:keepLines w:val="0"/>
        <w:pageBreakBefore w:val="0"/>
        <w:widowControl w:val="0"/>
        <w:kinsoku/>
        <w:wordWrap/>
        <w:overflowPunct/>
        <w:topLinePunct w:val="0"/>
        <w:autoSpaceDE/>
        <w:autoSpaceDN/>
        <w:bidi w:val="0"/>
        <w:adjustRightInd w:val="0"/>
        <w:snapToGrid/>
        <w:spacing w:after="0" w:line="480" w:lineRule="exact"/>
        <w:jc w:val="both"/>
        <w:textAlignment w:val="auto"/>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5.招标文件的澄清、修改</w:t>
      </w:r>
    </w:p>
    <w:p w14:paraId="37684F43">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5.1已获取招标文件的潜在投标人，若有问题需要澄清，应于投标截止时间前，以书面形式向代理机构提出。</w:t>
      </w:r>
    </w:p>
    <w:p w14:paraId="44044636">
      <w:pPr>
        <w:keepNext w:val="0"/>
        <w:keepLines w:val="0"/>
        <w:pageBreakBefore w:val="0"/>
        <w:widowControl w:val="0"/>
        <w:kinsoku/>
        <w:wordWrap/>
        <w:overflowPunct/>
        <w:topLinePunct w:val="0"/>
        <w:autoSpaceDE/>
        <w:autoSpaceDN/>
        <w:bidi w:val="0"/>
        <w:adjustRightInd w:val="0"/>
        <w:snapToGrid/>
        <w:spacing w:after="0" w:line="480" w:lineRule="exact"/>
        <w:ind w:firstLine="420" w:firstLineChars="175"/>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5.2 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55C2D2">
      <w:pPr>
        <w:pStyle w:val="3"/>
        <w:rPr>
          <w:rFonts w:hint="eastAsia" w:ascii="宋体" w:hAnsi="宋体" w:eastAsia="宋体" w:cs="宋体"/>
          <w:color w:val="auto"/>
          <w:highlight w:val="none"/>
        </w:rPr>
      </w:pPr>
      <w:r>
        <w:rPr>
          <w:rFonts w:hint="eastAsia" w:ascii="宋体" w:hAnsi="宋体" w:eastAsia="宋体" w:cs="宋体"/>
          <w:color w:val="auto"/>
          <w:highlight w:val="none"/>
        </w:rPr>
        <w:t>三、投标</w:t>
      </w:r>
    </w:p>
    <w:p w14:paraId="1DAC0405">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6.招标文件的获取</w:t>
      </w:r>
    </w:p>
    <w:p w14:paraId="766615A5">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详见招标公告中获取招标文件的时间期限、地点、方式及招标文件售价。</w:t>
      </w:r>
    </w:p>
    <w:p w14:paraId="6E045CD0">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7.开标前答疑会或现场考察</w:t>
      </w:r>
    </w:p>
    <w:p w14:paraId="6E9FBE4E">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组织潜在投标人现场考察或者召开开标前答疑会的，潜在投标人按第二部分投标人须知前附表的规定参加现场考察或者开标前答疑会。</w:t>
      </w:r>
    </w:p>
    <w:p w14:paraId="3AFCDF6C">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8.投标保证金</w:t>
      </w:r>
    </w:p>
    <w:p w14:paraId="795FFA7E">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本项目不需缴纳投标保证金。</w:t>
      </w:r>
    </w:p>
    <w:p w14:paraId="34282266">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9.投标文件的语言</w:t>
      </w:r>
    </w:p>
    <w:p w14:paraId="479A5D5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投标文件及投标人与采购有关的来往通知、函件和文件均应使用中文。</w:t>
      </w:r>
    </w:p>
    <w:p w14:paraId="03C3FC77">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10.投标文件的组成</w:t>
      </w:r>
    </w:p>
    <w:p w14:paraId="483C96C1">
      <w:pPr>
        <w:widowControl w:val="0"/>
        <w:adjustRightInd w:val="0"/>
        <w:spacing w:after="0" w:line="480" w:lineRule="exact"/>
        <w:ind w:firstLine="422" w:firstLineChars="175"/>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10.1资格文件：</w:t>
      </w:r>
    </w:p>
    <w:p w14:paraId="14CCF00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10.1.1符合参加采购活动应当具备的一般条件的承诺函；</w:t>
      </w:r>
    </w:p>
    <w:p w14:paraId="716F30A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10.1.2本项目的特定资格要求。</w:t>
      </w:r>
    </w:p>
    <w:p w14:paraId="62A322D2">
      <w:pPr>
        <w:widowControl w:val="0"/>
        <w:adjustRightInd w:val="0"/>
        <w:spacing w:after="0" w:line="480" w:lineRule="exact"/>
        <w:ind w:firstLine="422" w:firstLineChars="175"/>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10.2商务技术文件：</w:t>
      </w:r>
    </w:p>
    <w:p w14:paraId="001654D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10.2.1投标函； </w:t>
      </w:r>
    </w:p>
    <w:p w14:paraId="4EF0F9D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10.2.2授权委托书或法定代表人（单位负责人、自然人本人）身份证明；</w:t>
      </w:r>
    </w:p>
    <w:p w14:paraId="1D4C3C1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10.2.3符合性审查资料；</w:t>
      </w:r>
    </w:p>
    <w:p w14:paraId="6B971939">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10.2.4评标标准相应的商务技术资料；</w:t>
      </w:r>
    </w:p>
    <w:p w14:paraId="34630B06">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10.2.5投标标的清单；</w:t>
      </w:r>
    </w:p>
    <w:p w14:paraId="72442A3E">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10.2.6商务技术偏离表；</w:t>
      </w:r>
    </w:p>
    <w:p w14:paraId="634FABBA">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10.2.7采购供应商廉洁自律承诺书。</w:t>
      </w:r>
    </w:p>
    <w:p w14:paraId="09ECDA56">
      <w:pPr>
        <w:widowControl w:val="0"/>
        <w:adjustRightInd w:val="0"/>
        <w:spacing w:after="0" w:line="480" w:lineRule="exact"/>
        <w:ind w:firstLine="422" w:firstLineChars="175"/>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10.3报价文件：</w:t>
      </w:r>
    </w:p>
    <w:p w14:paraId="26CB4027">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10.3.1开标一览表（报价表）。</w:t>
      </w:r>
    </w:p>
    <w:p w14:paraId="5AF59626">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投标文件含有</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不能接受的附加条件的，投标无效；</w:t>
      </w:r>
    </w:p>
    <w:p w14:paraId="79B3C68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投标人提供虚假材料投标的，投标无效。</w:t>
      </w:r>
    </w:p>
    <w:p w14:paraId="2EA2F978">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11.投标文件的编制</w:t>
      </w:r>
    </w:p>
    <w:p w14:paraId="5F3485D1">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11.1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095C3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11.2投标人进行电子投标应安装客户端软件—“</w:t>
      </w:r>
      <w:r>
        <w:rPr>
          <w:rFonts w:hint="eastAsia" w:ascii="宋体" w:hAnsi="宋体" w:eastAsia="宋体" w:cs="宋体"/>
          <w:color w:val="auto"/>
          <w:kern w:val="2"/>
          <w:highlight w:val="none"/>
          <w:lang w:eastAsia="zh-CN"/>
        </w:rPr>
        <w:t>乐采云</w:t>
      </w:r>
      <w:r>
        <w:rPr>
          <w:rFonts w:hint="eastAsia" w:ascii="宋体" w:hAnsi="宋体" w:eastAsia="宋体" w:cs="宋体"/>
          <w:color w:val="auto"/>
          <w:kern w:val="2"/>
          <w:highlight w:val="none"/>
        </w:rPr>
        <w:t>电子交易客户端”，并按照招标文件和电子交易平台的要求编制并加密投标文件。投标人未按规定加密的投标文件，电子交易平台将拒收并提示。</w:t>
      </w:r>
    </w:p>
    <w:p w14:paraId="1EF690D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11.3使用“</w:t>
      </w:r>
      <w:r>
        <w:rPr>
          <w:rFonts w:hint="eastAsia" w:ascii="宋体" w:hAnsi="宋体" w:eastAsia="宋体" w:cs="宋体"/>
          <w:color w:val="auto"/>
          <w:kern w:val="2"/>
          <w:highlight w:val="none"/>
          <w:lang w:eastAsia="zh-CN"/>
        </w:rPr>
        <w:t>乐采云</w:t>
      </w:r>
      <w:r>
        <w:rPr>
          <w:rFonts w:hint="eastAsia" w:ascii="宋体" w:hAnsi="宋体" w:eastAsia="宋体" w:cs="宋体"/>
          <w:color w:val="auto"/>
          <w:kern w:val="2"/>
          <w:highlight w:val="none"/>
        </w:rPr>
        <w:t>电子交易客户端”需要提前申领CA数字证书，申领流程请自行前往“</w:t>
      </w:r>
      <w:r>
        <w:rPr>
          <w:rFonts w:hint="eastAsia" w:ascii="宋体" w:hAnsi="宋体" w:eastAsia="宋体" w:cs="宋体"/>
          <w:color w:val="auto"/>
          <w:kern w:val="2"/>
          <w:highlight w:val="none"/>
          <w:lang w:eastAsia="zh-CN"/>
        </w:rPr>
        <w:t>浙江企业采购信息服务网</w:t>
      </w:r>
      <w:r>
        <w:rPr>
          <w:rFonts w:hint="eastAsia" w:ascii="宋体" w:hAnsi="宋体" w:eastAsia="宋体" w:cs="宋体"/>
          <w:color w:val="auto"/>
          <w:kern w:val="2"/>
          <w:highlight w:val="none"/>
        </w:rPr>
        <w:t>－下载专区－电子交易客户端-CA驱动和申领流程”进行查阅。</w:t>
      </w:r>
    </w:p>
    <w:p w14:paraId="76F7D873">
      <w:pPr>
        <w:widowControl w:val="0"/>
        <w:adjustRightInd w:val="0"/>
        <w:spacing w:after="0" w:line="480" w:lineRule="exact"/>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12.投标文件的签署、盖章</w:t>
      </w:r>
    </w:p>
    <w:p w14:paraId="5447D60B">
      <w:pPr>
        <w:widowControl w:val="0"/>
        <w:adjustRightInd w:val="0"/>
        <w:spacing w:after="0" w:line="480" w:lineRule="exact"/>
        <w:ind w:firstLine="420" w:firstLineChars="175"/>
        <w:jc w:val="both"/>
        <w:rPr>
          <w:rFonts w:hint="eastAsia" w:ascii="宋体" w:hAnsi="宋体" w:eastAsia="宋体" w:cs="宋体"/>
          <w:b/>
          <w:bCs/>
          <w:color w:val="auto"/>
          <w:kern w:val="2"/>
          <w:highlight w:val="none"/>
        </w:rPr>
      </w:pPr>
      <w:r>
        <w:rPr>
          <w:rFonts w:hint="eastAsia" w:ascii="宋体" w:hAnsi="宋体" w:eastAsia="宋体" w:cs="宋体"/>
          <w:color w:val="auto"/>
          <w:kern w:val="2"/>
          <w:highlight w:val="none"/>
        </w:rPr>
        <w:t>12.1投标文件按照招标文件第六部分格式要求进行签署、盖章。</w:t>
      </w:r>
      <w:r>
        <w:rPr>
          <w:rFonts w:hint="eastAsia" w:ascii="宋体" w:hAnsi="宋体" w:eastAsia="宋体" w:cs="宋体"/>
          <w:b/>
          <w:bCs/>
          <w:color w:val="auto"/>
          <w:kern w:val="2"/>
          <w:highlight w:val="none"/>
        </w:rPr>
        <w:t>▲投标人的投标文件未按照招标文件要求签署、盖章的，其投标无效。</w:t>
      </w:r>
    </w:p>
    <w:p w14:paraId="0373A001">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12.2为确保网上操作合法、有效和安全，投标人应当在投标截止时间前完成在“政府采购云平台”的身份认证，确保在电子投标过程中能够对相关数据电文进行加密和使用电子签名。</w:t>
      </w:r>
    </w:p>
    <w:p w14:paraId="7A9250AF">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12.3招标文件对投标文件签署、盖章的要求适用于电子签名。</w:t>
      </w:r>
    </w:p>
    <w:p w14:paraId="0C327A75">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13.投标文件的提交、补充、修改、撤回</w:t>
      </w:r>
    </w:p>
    <w:p w14:paraId="11B47F3A">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13.1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C3CB63">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13.2电子交易平台收到投标文件，将妥善保存并即时向供应商发出确认回执通知。在投标截止时间前，除供应商补充、修改或者撤回投标文件外，任何单位和个人不得解密或提取投标文件。</w:t>
      </w:r>
    </w:p>
    <w:p w14:paraId="631E5747">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13.3</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、代理机构可以视情况延长投标文件提交的截止时间。在上述情况下，代理机构与投标人以前在投标截止期方面的全部权利、责任和义务，将适用于延长至新的投标截止期。</w:t>
      </w:r>
    </w:p>
    <w:p w14:paraId="390EB5EA">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14.备份投标文件</w:t>
      </w:r>
    </w:p>
    <w:p w14:paraId="35BD0DCA">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不收取。</w:t>
      </w:r>
    </w:p>
    <w:p w14:paraId="3D42A720">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15.投标文件的无效处理</w:t>
      </w:r>
    </w:p>
    <w:p w14:paraId="106596B2">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有招标文件第四部分4.2规定的情形之一的，投标无效。</w:t>
      </w:r>
    </w:p>
    <w:p w14:paraId="3BAEAC01">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16.投标有效期</w:t>
      </w:r>
    </w:p>
    <w:p w14:paraId="21F8918A">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16.1投标有效期为从提交投标文件的截止之日起90天。</w:t>
      </w:r>
      <w:r>
        <w:rPr>
          <w:rFonts w:hint="eastAsia" w:ascii="宋体" w:hAnsi="宋体" w:eastAsia="宋体" w:cs="宋体"/>
          <w:b/>
          <w:bCs/>
          <w:color w:val="auto"/>
          <w:kern w:val="2"/>
          <w:highlight w:val="none"/>
        </w:rPr>
        <w:t>▲投标人的投标文件中承诺的投标有效期少于招标文件中载明的投标有效期的，投标无效。</w:t>
      </w:r>
    </w:p>
    <w:p w14:paraId="75E4843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16.2投标文件合格投递后，自投标截止日期起，在投标有效期内有效。</w:t>
      </w:r>
    </w:p>
    <w:p w14:paraId="680FEB0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16.3在原定投标有效期满之前，如果出现特殊情况，代理机构可以以书面形式通知投标人延长投标有效期。投标人同意延长的，不得要求或被允许修改其投标文件，投标人拒绝延长的，其投标无效。</w:t>
      </w:r>
    </w:p>
    <w:p w14:paraId="3BBB443A">
      <w:pPr>
        <w:pStyle w:val="3"/>
        <w:rPr>
          <w:rFonts w:hint="eastAsia" w:ascii="宋体" w:hAnsi="宋体" w:eastAsia="宋体" w:cs="宋体"/>
          <w:color w:val="auto"/>
          <w:highlight w:val="none"/>
        </w:rPr>
      </w:pPr>
      <w:r>
        <w:rPr>
          <w:rFonts w:hint="eastAsia" w:ascii="宋体" w:hAnsi="宋体" w:eastAsia="宋体" w:cs="宋体"/>
          <w:color w:val="auto"/>
          <w:highlight w:val="none"/>
        </w:rPr>
        <w:t>四、开标、资格审查与信用信息查询</w:t>
      </w:r>
    </w:p>
    <w:p w14:paraId="4D0BEACE">
      <w:pPr>
        <w:widowControl w:val="0"/>
        <w:adjustRightInd w:val="0"/>
        <w:spacing w:after="0" w:line="480" w:lineRule="exact"/>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17.开标</w:t>
      </w:r>
      <w:r>
        <w:rPr>
          <w:rFonts w:hint="eastAsia" w:ascii="宋体" w:hAnsi="宋体" w:eastAsia="宋体" w:cs="宋体"/>
          <w:color w:val="auto"/>
          <w:kern w:val="2"/>
          <w:highlight w:val="none"/>
        </w:rPr>
        <w:t xml:space="preserve"> </w:t>
      </w:r>
    </w:p>
    <w:p w14:paraId="17DFF209">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17.1代理机构按照招标文件规定的时间通过电子交易平台组织开标，所有投标人均应当准时在线参加。投标人不足3家的，不得开标。</w:t>
      </w:r>
    </w:p>
    <w:p w14:paraId="54B41BDE">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17.2开标时，电子交易平台按开标时间自动提取所有投标文件。代理机构依托电子交易平台发起开始解密指令，投标人按照平台提示和招标文件的规定在半小时内完成在线解密。</w:t>
      </w:r>
    </w:p>
    <w:p w14:paraId="2C218DB9">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17.3投标文件未按时解密，视为投标文件撤回。</w:t>
      </w:r>
    </w:p>
    <w:p w14:paraId="384F4A5F">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18</w:t>
      </w:r>
      <w:r>
        <w:rPr>
          <w:rFonts w:hint="eastAsia" w:ascii="宋体" w:hAnsi="宋体" w:eastAsia="宋体" w:cs="宋体"/>
          <w:b/>
          <w:bCs/>
          <w:color w:val="auto"/>
          <w:kern w:val="2"/>
          <w:highlight w:val="none"/>
          <w:lang w:val="en-US" w:eastAsia="zh-CN"/>
        </w:rPr>
        <w:t>.</w:t>
      </w:r>
      <w:r>
        <w:rPr>
          <w:rFonts w:hint="eastAsia" w:ascii="宋体" w:hAnsi="宋体" w:eastAsia="宋体" w:cs="宋体"/>
          <w:b/>
          <w:bCs/>
          <w:color w:val="auto"/>
          <w:kern w:val="2"/>
          <w:highlight w:val="none"/>
        </w:rPr>
        <w:t>资格审查</w:t>
      </w:r>
    </w:p>
    <w:p w14:paraId="258CB401">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18.1开标后，</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或代理机构将依法对投标人的资格进行审查。</w:t>
      </w:r>
    </w:p>
    <w:p w14:paraId="4308E8A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18.2</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或代理机构依据法律法规和招标文件的规定，对投标人的基本资格条件、特定资格条件进行审查。</w:t>
      </w:r>
    </w:p>
    <w:p w14:paraId="3E4D4B81">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18.3投标人未按照招标文件要求提供与基本资格条件、特定资格条件相应的有效资格证明材料的，视为投标人不具备招标文件中规定的资格要求，其投标无效。</w:t>
      </w:r>
    </w:p>
    <w:p w14:paraId="625158E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18.4对未通过资格审查的投标人，</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或代理机构告知其未通过的原因。</w:t>
      </w:r>
    </w:p>
    <w:p w14:paraId="5C413D5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18.5合格投标人不足3家的，不再评标。</w:t>
      </w:r>
    </w:p>
    <w:p w14:paraId="5DC610C5">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19</w:t>
      </w:r>
      <w:r>
        <w:rPr>
          <w:rFonts w:hint="eastAsia" w:ascii="宋体" w:hAnsi="宋体" w:eastAsia="宋体" w:cs="宋体"/>
          <w:b/>
          <w:bCs/>
          <w:color w:val="auto"/>
          <w:kern w:val="2"/>
          <w:highlight w:val="none"/>
          <w:lang w:val="en-US" w:eastAsia="zh-CN"/>
        </w:rPr>
        <w:t>.</w:t>
      </w:r>
      <w:r>
        <w:rPr>
          <w:rFonts w:hint="eastAsia" w:ascii="宋体" w:hAnsi="宋体" w:eastAsia="宋体" w:cs="宋体"/>
          <w:b/>
          <w:bCs/>
          <w:color w:val="auto"/>
          <w:kern w:val="2"/>
          <w:highlight w:val="none"/>
        </w:rPr>
        <w:t>信用信息查询</w:t>
      </w:r>
    </w:p>
    <w:p w14:paraId="30101F1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19.1信用信息查询渠道及截止时间：代理机构将通过“信用中国”网站（www.creditchina.gov.cn)、中国政府采购网（www.ccgp.gov.cn）渠道查询投标人投标截止时间当天的信用记录。</w:t>
      </w:r>
    </w:p>
    <w:p w14:paraId="7EEA978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19.2信用信息查询记录和证据留存的具体方式：现场查询的投标人的信用记录、查询结果经确认后将与采购文件一起存档。</w:t>
      </w:r>
    </w:p>
    <w:p w14:paraId="2A16859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19.3信用信息的使用规则：经查询列入失信被执行人名单、重大税收违法案件当事人名单（税收违法黑名单）、政府采购严重违法失信行为记录名单的投标人将被拒绝参与政府采购活动。</w:t>
      </w:r>
    </w:p>
    <w:p w14:paraId="482948A4">
      <w:pPr>
        <w:pStyle w:val="3"/>
        <w:rPr>
          <w:rFonts w:hint="eastAsia" w:ascii="宋体" w:hAnsi="宋体" w:eastAsia="宋体" w:cs="宋体"/>
          <w:color w:val="auto"/>
          <w:highlight w:val="none"/>
        </w:rPr>
      </w:pPr>
      <w:r>
        <w:rPr>
          <w:rFonts w:hint="eastAsia" w:ascii="宋体" w:hAnsi="宋体" w:eastAsia="宋体" w:cs="宋体"/>
          <w:color w:val="auto"/>
          <w:highlight w:val="none"/>
        </w:rPr>
        <w:t>五、评标</w:t>
      </w:r>
    </w:p>
    <w:p w14:paraId="455B0C81">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20.评标</w:t>
      </w:r>
    </w:p>
    <w:p w14:paraId="15E7195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5B734D3">
      <w:pPr>
        <w:pStyle w:val="3"/>
        <w:rPr>
          <w:rFonts w:hint="eastAsia" w:ascii="宋体" w:hAnsi="宋体" w:eastAsia="宋体" w:cs="宋体"/>
          <w:color w:val="auto"/>
          <w:highlight w:val="none"/>
        </w:rPr>
      </w:pPr>
      <w:r>
        <w:rPr>
          <w:rFonts w:hint="eastAsia" w:ascii="宋体" w:hAnsi="宋体" w:eastAsia="宋体" w:cs="宋体"/>
          <w:color w:val="auto"/>
          <w:highlight w:val="none"/>
        </w:rPr>
        <w:t>六、定 标</w:t>
      </w:r>
    </w:p>
    <w:p w14:paraId="38B87D17">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21.确定中标供应商</w:t>
      </w:r>
    </w:p>
    <w:p w14:paraId="3BAAD485">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采购人将自收到评审报告之日起5个工作日内通过电子交易平台在评审报告推荐的中标候选人中按顺序确定中标供应商。</w:t>
      </w:r>
    </w:p>
    <w:p w14:paraId="24FF5963">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22.中标通知与中标结果公告</w:t>
      </w:r>
    </w:p>
    <w:p w14:paraId="527EB8A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22.1自中标人确定之日起2个工作日内，代理机构通过电子交易平台向中标人发出中标通知书，同时编制发布采购结果公告。代理机构也可以以纸质形式进行中标通知。</w:t>
      </w:r>
    </w:p>
    <w:p w14:paraId="301E3D8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22.2中标结果公告内容包括</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及其委托的代理机构的名称、地址、联系方式，项目名称和项目编号，中标人名称、地址和中标金额。</w:t>
      </w:r>
    </w:p>
    <w:p w14:paraId="36C4BFDD">
      <w:pPr>
        <w:widowControl w:val="0"/>
        <w:adjustRightInd w:val="0"/>
        <w:spacing w:after="0" w:line="480" w:lineRule="exact"/>
        <w:ind w:firstLine="420" w:firstLineChars="175"/>
        <w:jc w:val="both"/>
        <w:rPr>
          <w:rFonts w:hint="eastAsia" w:ascii="宋体" w:hAnsi="宋体" w:eastAsia="宋体" w:cs="宋体"/>
          <w:color w:val="auto"/>
          <w:highlight w:val="none"/>
        </w:rPr>
      </w:pPr>
      <w:r>
        <w:rPr>
          <w:rFonts w:hint="eastAsia" w:ascii="宋体" w:hAnsi="宋体" w:eastAsia="宋体" w:cs="宋体"/>
          <w:color w:val="auto"/>
          <w:kern w:val="2"/>
          <w:highlight w:val="none"/>
        </w:rPr>
        <w:t>22.3公告期限为1个工作日。</w:t>
      </w:r>
    </w:p>
    <w:p w14:paraId="71E534FD">
      <w:pPr>
        <w:pStyle w:val="3"/>
        <w:rPr>
          <w:rFonts w:hint="eastAsia" w:ascii="宋体" w:hAnsi="宋体" w:eastAsia="宋体" w:cs="宋体"/>
          <w:color w:val="auto"/>
          <w:highlight w:val="none"/>
        </w:rPr>
      </w:pPr>
      <w:r>
        <w:rPr>
          <w:rFonts w:hint="eastAsia" w:ascii="宋体" w:hAnsi="宋体" w:eastAsia="宋体" w:cs="宋体"/>
          <w:color w:val="auto"/>
          <w:highlight w:val="none"/>
        </w:rPr>
        <w:t>七、合同授予</w:t>
      </w:r>
    </w:p>
    <w:p w14:paraId="69B8E033">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23.合同主要条款详见第五部分拟签订的合同文本。</w:t>
      </w:r>
    </w:p>
    <w:p w14:paraId="7FC8CC5C">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24.合同的签订</w:t>
      </w:r>
    </w:p>
    <w:p w14:paraId="36999DED">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24.1</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与中标人应当通过电子交易平台在中标通知书发出之日起三十日内，按照招标文件确定的事项签订采购合同，并在合同签订之日起2个工作日内依法发布合同公告。</w:t>
      </w:r>
    </w:p>
    <w:p w14:paraId="5075FAE4">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24.2中标人按规定的日期、时间、地点，由法定代表人或其授权代表与</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代表签订合同。</w:t>
      </w:r>
    </w:p>
    <w:p w14:paraId="6E802330">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24.3如签订合同并生效后，供应商无故拒绝或延期，除按照合同条款处理外，列入不良行为记录一次，并给予通报。</w:t>
      </w:r>
    </w:p>
    <w:p w14:paraId="5FAA4DAF">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24.4中标供应商拒绝与</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签订合同的，</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可以按照评审报告推荐的中标或者成交候选人名单排序，确定下一候选人为中标供应商，也可以重新开展政府采购活动。</w:t>
      </w:r>
    </w:p>
    <w:p w14:paraId="1FA31EED">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24.5采购合同由</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与中标供应商根据招标文件、投标文件等签订</w:t>
      </w:r>
      <w:r>
        <w:rPr>
          <w:rFonts w:hint="eastAsia" w:ascii="宋体" w:hAnsi="宋体" w:eastAsia="宋体" w:cs="宋体"/>
          <w:color w:val="auto"/>
          <w:kern w:val="2"/>
          <w:highlight w:val="none"/>
          <w:lang w:eastAsia="zh-CN"/>
        </w:rPr>
        <w:t>合同</w:t>
      </w:r>
      <w:r>
        <w:rPr>
          <w:rFonts w:hint="eastAsia" w:ascii="宋体" w:hAnsi="宋体" w:eastAsia="宋体" w:cs="宋体"/>
          <w:color w:val="auto"/>
          <w:kern w:val="2"/>
          <w:highlight w:val="none"/>
        </w:rPr>
        <w:t>。</w:t>
      </w:r>
    </w:p>
    <w:p w14:paraId="6D7684A9">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25.履约保证金：</w:t>
      </w:r>
      <w:r>
        <w:rPr>
          <w:rFonts w:hint="eastAsia" w:ascii="宋体" w:hAnsi="宋体" w:eastAsia="宋体" w:cs="宋体"/>
          <w:color w:val="auto"/>
          <w:kern w:val="2"/>
          <w:highlight w:val="none"/>
        </w:rPr>
        <w:t>详见前附表。</w:t>
      </w:r>
    </w:p>
    <w:p w14:paraId="6ED1D8BD">
      <w:pPr>
        <w:pStyle w:val="3"/>
        <w:rPr>
          <w:rFonts w:hint="eastAsia" w:ascii="宋体" w:hAnsi="宋体" w:eastAsia="宋体" w:cs="宋体"/>
          <w:color w:val="auto"/>
          <w:highlight w:val="none"/>
        </w:rPr>
      </w:pPr>
      <w:r>
        <w:rPr>
          <w:rFonts w:hint="eastAsia" w:ascii="宋体" w:hAnsi="宋体" w:eastAsia="宋体" w:cs="宋体"/>
          <w:color w:val="auto"/>
          <w:highlight w:val="none"/>
        </w:rPr>
        <w:t>八、电子交易活动的中止</w:t>
      </w:r>
    </w:p>
    <w:p w14:paraId="08B50164">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26.电子交易活动的中止。</w:t>
      </w:r>
    </w:p>
    <w:p w14:paraId="5A7A67A6">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采购过程中出现以下情形，导致电子交易平台无法正常运行，或者无法保证电子交易的公平、公正和安全时，代理机构可中止电子交易活动：</w:t>
      </w:r>
    </w:p>
    <w:p w14:paraId="62A85BD7">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26.1电子交易平台发生故障而无法登录访问的； </w:t>
      </w:r>
    </w:p>
    <w:p w14:paraId="211898CD">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26.2电子交易平台应用或数据库出现错误，不能进行正常操作的；</w:t>
      </w:r>
    </w:p>
    <w:p w14:paraId="1157C069">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26.3电子交易平台发现严重安全漏洞，有潜在泄密危险的；</w:t>
      </w:r>
    </w:p>
    <w:p w14:paraId="272FE324">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26.4病毒发作导致不能进行正常操作的； </w:t>
      </w:r>
    </w:p>
    <w:p w14:paraId="05D201A2">
      <w:pPr>
        <w:widowControl w:val="0"/>
        <w:adjustRightInd w:val="0"/>
        <w:spacing w:after="0" w:line="48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26.5其他无法保证电子交易的公平、公正和安全的情况。</w:t>
      </w:r>
    </w:p>
    <w:p w14:paraId="4FB5897B">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val="0"/>
          <w:bCs w:val="0"/>
          <w:color w:val="auto"/>
          <w:kern w:val="2"/>
          <w:highlight w:val="none"/>
        </w:rPr>
        <w:t>27.出现以上情形，不影响采购公平、公正性的，采购组织机构可以待上述情形消除后继续组织电子交易活动，也可以决定某些环节以纸质形式进行；影响或可能影响采购公平、公正性的，应当重新采购。</w:t>
      </w:r>
    </w:p>
    <w:p w14:paraId="16479DDB">
      <w:pPr>
        <w:pStyle w:val="3"/>
        <w:rPr>
          <w:rFonts w:hint="eastAsia" w:ascii="宋体" w:hAnsi="宋体" w:eastAsia="宋体" w:cs="宋体"/>
          <w:color w:val="auto"/>
          <w:highlight w:val="none"/>
        </w:rPr>
      </w:pPr>
      <w:r>
        <w:rPr>
          <w:rFonts w:hint="eastAsia" w:ascii="宋体" w:hAnsi="宋体" w:eastAsia="宋体" w:cs="宋体"/>
          <w:color w:val="auto"/>
          <w:highlight w:val="none"/>
        </w:rPr>
        <w:t>九、验收</w:t>
      </w:r>
    </w:p>
    <w:p w14:paraId="6C5EC1EA">
      <w:pPr>
        <w:widowControl w:val="0"/>
        <w:adjustRightInd w:val="0"/>
        <w:spacing w:after="0" w:line="480" w:lineRule="exact"/>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28.验收</w:t>
      </w:r>
    </w:p>
    <w:p w14:paraId="239CDB54">
      <w:pPr>
        <w:spacing w:line="276" w:lineRule="auto"/>
        <w:rPr>
          <w:rFonts w:hint="eastAsia" w:ascii="宋体" w:hAnsi="宋体" w:eastAsia="宋体" w:cs="宋体"/>
          <w:color w:val="auto"/>
          <w:highlight w:val="none"/>
        </w:rPr>
      </w:pPr>
      <w:r>
        <w:rPr>
          <w:rFonts w:hint="eastAsia" w:ascii="宋体" w:hAnsi="宋体" w:eastAsia="宋体" w:cs="宋体"/>
          <w:color w:val="auto"/>
          <w:kern w:val="2"/>
          <w:highlight w:val="none"/>
        </w:rPr>
        <w:t>28.1</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应当组织对供应商履约的验收。</w:t>
      </w:r>
    </w:p>
    <w:p w14:paraId="6FDA97C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3E618A1">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第三部分   采购需求</w:t>
      </w:r>
    </w:p>
    <w:p w14:paraId="21740B4A">
      <w:pPr>
        <w:snapToGrid w:val="0"/>
        <w:jc w:val="center"/>
        <w:rPr>
          <w:rStyle w:val="58"/>
          <w:rFonts w:hint="eastAsia" w:ascii="宋体" w:hAnsi="宋体" w:eastAsia="宋体" w:cs="宋体"/>
          <w:color w:val="auto"/>
          <w:highlight w:val="none"/>
        </w:rPr>
      </w:pPr>
      <w:r>
        <w:rPr>
          <w:rStyle w:val="58"/>
          <w:rFonts w:hint="eastAsia" w:ascii="宋体" w:hAnsi="宋体" w:eastAsia="宋体" w:cs="宋体"/>
          <w:color w:val="auto"/>
          <w:highlight w:val="none"/>
        </w:rPr>
        <w:t>属于实质性要求条款的，请用符号“▲”标明，否则属于非实质性要求。</w:t>
      </w:r>
    </w:p>
    <w:p w14:paraId="3A604C68">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一、招标一览表</w:t>
      </w:r>
    </w:p>
    <w:p w14:paraId="274FF4BD">
      <w:pPr>
        <w:pStyle w:val="29"/>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标项：1</w:t>
      </w:r>
    </w:p>
    <w:tbl>
      <w:tblPr>
        <w:tblStyle w:val="30"/>
        <w:tblpPr w:leftFromText="180" w:rightFromText="180" w:vertAnchor="text" w:horzAnchor="margin" w:tblpX="-543" w:tblpY="63"/>
        <w:tblOverlap w:val="never"/>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2320"/>
        <w:gridCol w:w="613"/>
        <w:gridCol w:w="667"/>
        <w:gridCol w:w="1453"/>
        <w:gridCol w:w="1933"/>
        <w:gridCol w:w="1677"/>
      </w:tblGrid>
      <w:tr w14:paraId="2934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8" w:hRule="atLeast"/>
        </w:trPr>
        <w:tc>
          <w:tcPr>
            <w:tcW w:w="560" w:type="dxa"/>
            <w:tcMar>
              <w:top w:w="15" w:type="dxa"/>
              <w:left w:w="15" w:type="dxa"/>
              <w:bottom w:w="0" w:type="dxa"/>
              <w:right w:w="15" w:type="dxa"/>
            </w:tcMar>
            <w:vAlign w:val="center"/>
          </w:tcPr>
          <w:p w14:paraId="509882F5">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20" w:type="dxa"/>
            <w:tcMar>
              <w:top w:w="15" w:type="dxa"/>
              <w:left w:w="15" w:type="dxa"/>
              <w:bottom w:w="0" w:type="dxa"/>
              <w:right w:w="15" w:type="dxa"/>
            </w:tcMar>
            <w:vAlign w:val="center"/>
          </w:tcPr>
          <w:p w14:paraId="40E552FE">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613" w:type="dxa"/>
            <w:tcMar>
              <w:top w:w="15" w:type="dxa"/>
              <w:left w:w="15" w:type="dxa"/>
              <w:bottom w:w="0" w:type="dxa"/>
              <w:right w:w="15" w:type="dxa"/>
            </w:tcMar>
            <w:vAlign w:val="center"/>
          </w:tcPr>
          <w:p w14:paraId="3902FAAC">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67" w:type="dxa"/>
            <w:tcMar>
              <w:top w:w="15" w:type="dxa"/>
              <w:left w:w="15" w:type="dxa"/>
              <w:bottom w:w="0" w:type="dxa"/>
              <w:right w:w="15" w:type="dxa"/>
            </w:tcMar>
            <w:vAlign w:val="center"/>
          </w:tcPr>
          <w:p w14:paraId="22A0B50E">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453" w:type="dxa"/>
            <w:vAlign w:val="center"/>
          </w:tcPr>
          <w:p w14:paraId="63FBC77E">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1933" w:type="dxa"/>
            <w:vAlign w:val="center"/>
          </w:tcPr>
          <w:p w14:paraId="78BCFA5E">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677" w:type="dxa"/>
            <w:vAlign w:val="center"/>
          </w:tcPr>
          <w:p w14:paraId="497E3AD4">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5936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60" w:type="dxa"/>
            <w:tcMar>
              <w:top w:w="15" w:type="dxa"/>
              <w:left w:w="15" w:type="dxa"/>
              <w:bottom w:w="0" w:type="dxa"/>
              <w:right w:w="15" w:type="dxa"/>
            </w:tcMar>
            <w:vAlign w:val="center"/>
          </w:tcPr>
          <w:p w14:paraId="0D3A3F4F">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20" w:type="dxa"/>
            <w:tcMar>
              <w:top w:w="15" w:type="dxa"/>
              <w:left w:w="15" w:type="dxa"/>
              <w:bottom w:w="0" w:type="dxa"/>
              <w:right w:w="15" w:type="dxa"/>
            </w:tcMar>
            <w:vAlign w:val="center"/>
          </w:tcPr>
          <w:p w14:paraId="04A2DE24">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西电杭研院产业楼宇物业服务采购项目</w:t>
            </w:r>
          </w:p>
        </w:tc>
        <w:tc>
          <w:tcPr>
            <w:tcW w:w="613" w:type="dxa"/>
            <w:tcMar>
              <w:top w:w="15" w:type="dxa"/>
              <w:left w:w="15" w:type="dxa"/>
              <w:bottom w:w="0" w:type="dxa"/>
              <w:right w:w="15" w:type="dxa"/>
            </w:tcMar>
            <w:vAlign w:val="center"/>
          </w:tcPr>
          <w:p w14:paraId="4039A6B1">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667" w:type="dxa"/>
            <w:tcMar>
              <w:top w:w="15" w:type="dxa"/>
              <w:left w:w="15" w:type="dxa"/>
              <w:bottom w:w="0" w:type="dxa"/>
              <w:right w:w="15" w:type="dxa"/>
            </w:tcMar>
            <w:vAlign w:val="center"/>
          </w:tcPr>
          <w:p w14:paraId="42574E0E">
            <w:pPr>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年</w:t>
            </w:r>
          </w:p>
        </w:tc>
        <w:tc>
          <w:tcPr>
            <w:tcW w:w="1453" w:type="dxa"/>
            <w:vAlign w:val="center"/>
          </w:tcPr>
          <w:p w14:paraId="5FB91C28">
            <w:pPr>
              <w:jc w:val="center"/>
              <w:textAlignment w:val="center"/>
              <w:rPr>
                <w:rFonts w:hint="eastAsia" w:ascii="宋体" w:hAnsi="宋体" w:eastAsia="宋体" w:cs="宋体"/>
                <w:color w:val="auto"/>
                <w:highlight w:val="none"/>
                <w:lang w:val="en-US" w:eastAsia="zh-CN"/>
              </w:rPr>
            </w:pPr>
            <w:r>
              <w:rPr>
                <w:rFonts w:hint="eastAsia" w:ascii="宋体" w:hAnsi="宋体" w:cs="宋体"/>
                <w:color w:val="auto"/>
                <w:sz w:val="24"/>
                <w:highlight w:val="none"/>
              </w:rPr>
              <w:t>3750000.00</w:t>
            </w:r>
          </w:p>
        </w:tc>
        <w:tc>
          <w:tcPr>
            <w:tcW w:w="1933" w:type="dxa"/>
            <w:vAlign w:val="center"/>
          </w:tcPr>
          <w:p w14:paraId="3B2128A4">
            <w:pPr>
              <w:tabs>
                <w:tab w:val="left" w:pos="0"/>
              </w:tabs>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招标需求</w:t>
            </w:r>
          </w:p>
        </w:tc>
        <w:tc>
          <w:tcPr>
            <w:tcW w:w="1677" w:type="dxa"/>
            <w:vAlign w:val="center"/>
          </w:tcPr>
          <w:p w14:paraId="2DA042D3">
            <w:pPr>
              <w:jc w:val="center"/>
              <w:textAlignment w:val="center"/>
              <w:rPr>
                <w:rFonts w:hint="eastAsia" w:ascii="宋体" w:hAnsi="宋体" w:eastAsia="宋体" w:cs="宋体"/>
                <w:color w:val="auto"/>
                <w:highlight w:val="none"/>
              </w:rPr>
            </w:pPr>
            <w:r>
              <w:rPr>
                <w:rFonts w:hint="eastAsia" w:ascii="宋体" w:hAnsi="宋体" w:cs="宋体"/>
                <w:color w:val="auto"/>
                <w:sz w:val="24"/>
                <w:highlight w:val="none"/>
              </w:rPr>
              <w:t>3750000.00</w:t>
            </w:r>
          </w:p>
        </w:tc>
      </w:tr>
    </w:tbl>
    <w:p w14:paraId="077B7D03">
      <w:pPr>
        <w:pStyle w:val="4"/>
        <w:numPr>
          <w:ilvl w:val="2"/>
          <w:numId w:val="0"/>
        </w:num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二、招标需求</w:t>
      </w:r>
    </w:p>
    <w:p w14:paraId="5461B3A4">
      <w:pPr>
        <w:pStyle w:val="4"/>
        <w:bidi w:val="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1、技术需求</w:t>
      </w:r>
    </w:p>
    <w:p w14:paraId="0FDC30EA">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项目概况</w:t>
      </w:r>
    </w:p>
    <w:p w14:paraId="6FE3473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西安电子科技大学杭州研究院位于萧山科技城中部，北邻城市主干道滨江二路、西邻弘慧路、南邻旅学路，地理位置优越，交通便捷。项目一期占地约385亩，总建筑面积71.6万平方米，地上建筑面积64.1万平方米，地下建筑面积7.49万平方米。本次采购为西电杭研院产业楼宇A1、A6、A9、A10的物业服务。</w:t>
      </w:r>
    </w:p>
    <w:p w14:paraId="2395F58E">
      <w:pPr>
        <w:numPr>
          <w:ilvl w:val="0"/>
          <w:numId w:val="0"/>
        </w:numPr>
        <w:spacing w:line="50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（二）岗位设置及服务要求：</w:t>
      </w:r>
    </w:p>
    <w:p w14:paraId="163313B1">
      <w:pPr>
        <w:numPr>
          <w:ilvl w:val="0"/>
          <w:numId w:val="0"/>
        </w:numPr>
        <w:spacing w:line="50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1.具体岗位人员要求：</w:t>
      </w:r>
    </w:p>
    <w:tbl>
      <w:tblPr>
        <w:tblStyle w:val="30"/>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207"/>
        <w:gridCol w:w="3358"/>
        <w:gridCol w:w="3683"/>
      </w:tblGrid>
      <w:tr w14:paraId="07B0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64" w:type="dxa"/>
            <w:shd w:val="clear" w:color="auto" w:fill="auto"/>
            <w:vAlign w:val="center"/>
          </w:tcPr>
          <w:p w14:paraId="5EB07AB2">
            <w:pPr>
              <w:widowControl/>
              <w:numPr>
                <w:ilvl w:val="1"/>
                <w:numId w:val="0"/>
              </w:numPr>
              <w:spacing w:line="400" w:lineRule="exact"/>
              <w:jc w:val="center"/>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岗位名称</w:t>
            </w:r>
          </w:p>
        </w:tc>
        <w:tc>
          <w:tcPr>
            <w:tcW w:w="1207" w:type="dxa"/>
            <w:shd w:val="clear" w:color="auto" w:fill="auto"/>
            <w:vAlign w:val="center"/>
          </w:tcPr>
          <w:p w14:paraId="1593519C">
            <w:pPr>
              <w:widowControl/>
              <w:numPr>
                <w:ilvl w:val="1"/>
                <w:numId w:val="0"/>
              </w:numPr>
              <w:spacing w:line="400" w:lineRule="exact"/>
              <w:jc w:val="center"/>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人员数量</w:t>
            </w:r>
          </w:p>
        </w:tc>
        <w:tc>
          <w:tcPr>
            <w:tcW w:w="3358" w:type="dxa"/>
            <w:shd w:val="clear" w:color="auto" w:fill="auto"/>
            <w:vAlign w:val="center"/>
          </w:tcPr>
          <w:p w14:paraId="54474EDD">
            <w:pPr>
              <w:widowControl/>
              <w:numPr>
                <w:ilvl w:val="1"/>
                <w:numId w:val="0"/>
              </w:numPr>
              <w:spacing w:line="400" w:lineRule="exact"/>
              <w:jc w:val="center"/>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负责区域和标准</w:t>
            </w:r>
          </w:p>
        </w:tc>
        <w:tc>
          <w:tcPr>
            <w:tcW w:w="3683" w:type="dxa"/>
            <w:shd w:val="clear" w:color="auto" w:fill="auto"/>
            <w:vAlign w:val="center"/>
          </w:tcPr>
          <w:p w14:paraId="75653189">
            <w:pPr>
              <w:widowControl/>
              <w:numPr>
                <w:ilvl w:val="1"/>
                <w:numId w:val="0"/>
              </w:numPr>
              <w:spacing w:line="400" w:lineRule="exact"/>
              <w:jc w:val="center"/>
              <w:rPr>
                <w:rFonts w:hint="eastAsia" w:ascii="宋体" w:hAnsi="宋体" w:eastAsia="宋体" w:cs="宋体"/>
                <w:b/>
                <w:bCs/>
                <w:color w:val="auto"/>
                <w:sz w:val="24"/>
                <w:highlight w:val="none"/>
                <w:shd w:val="clear" w:color="auto" w:fill="FFFFFF"/>
                <w:lang w:eastAsia="zh-CN"/>
              </w:rPr>
            </w:pPr>
            <w:r>
              <w:rPr>
                <w:rFonts w:hint="eastAsia" w:ascii="宋体" w:hAnsi="宋体" w:eastAsia="宋体" w:cs="宋体"/>
                <w:b/>
                <w:bCs/>
                <w:color w:val="auto"/>
                <w:sz w:val="24"/>
                <w:highlight w:val="none"/>
                <w:shd w:val="clear" w:color="auto" w:fill="FFFFFF"/>
                <w:lang w:eastAsia="zh-CN"/>
              </w:rPr>
              <w:t>人员要求</w:t>
            </w:r>
          </w:p>
        </w:tc>
      </w:tr>
      <w:tr w14:paraId="0C46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464" w:type="dxa"/>
            <w:shd w:val="clear" w:color="auto" w:fill="auto"/>
            <w:vAlign w:val="center"/>
          </w:tcPr>
          <w:p w14:paraId="1531B1B3">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管理员</w:t>
            </w:r>
          </w:p>
        </w:tc>
        <w:tc>
          <w:tcPr>
            <w:tcW w:w="1207" w:type="dxa"/>
            <w:shd w:val="clear" w:color="auto" w:fill="auto"/>
            <w:vAlign w:val="center"/>
          </w:tcPr>
          <w:p w14:paraId="09DF1FA9">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2人</w:t>
            </w:r>
          </w:p>
        </w:tc>
        <w:tc>
          <w:tcPr>
            <w:tcW w:w="3358" w:type="dxa"/>
            <w:shd w:val="clear" w:color="auto" w:fill="auto"/>
            <w:vAlign w:val="center"/>
          </w:tcPr>
          <w:p w14:paraId="19D65A90">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主要负责产业楼宇企业服务工作，包括入驻退租手续办理、装修管理、企业服务等，工作时间为8：30—17：30，单双休。</w:t>
            </w:r>
          </w:p>
        </w:tc>
        <w:tc>
          <w:tcPr>
            <w:tcW w:w="3683" w:type="dxa"/>
            <w:shd w:val="clear" w:color="auto" w:fill="auto"/>
            <w:vAlign w:val="center"/>
          </w:tcPr>
          <w:p w14:paraId="069C7EF3">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年龄20-45周岁，身体健康，爱岗敬业有责任心，能吃苦耐劳，3年以上物业服务经验;具有消防安全责任人或管理员证书等相关岗位上岗证书，掌握一定的消防、工程建设知识。</w:t>
            </w:r>
          </w:p>
        </w:tc>
      </w:tr>
      <w:tr w14:paraId="21B6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64" w:type="dxa"/>
            <w:shd w:val="clear" w:color="auto" w:fill="FFFFFF"/>
            <w:vAlign w:val="center"/>
          </w:tcPr>
          <w:p w14:paraId="0B47BA5F">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前台/会务</w:t>
            </w:r>
          </w:p>
        </w:tc>
        <w:tc>
          <w:tcPr>
            <w:tcW w:w="1207" w:type="dxa"/>
            <w:shd w:val="clear" w:color="auto" w:fill="FFFFFF"/>
            <w:vAlign w:val="center"/>
          </w:tcPr>
          <w:p w14:paraId="5273592F">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6人</w:t>
            </w:r>
          </w:p>
        </w:tc>
        <w:tc>
          <w:tcPr>
            <w:tcW w:w="3358" w:type="dxa"/>
            <w:shd w:val="clear" w:color="auto" w:fill="FFFFFF"/>
            <w:vAlign w:val="center"/>
          </w:tcPr>
          <w:p w14:paraId="4AE37B32">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产业楼宇每幢设置前台1人。工作时间为8：30—17：30，单双休。</w:t>
            </w:r>
          </w:p>
        </w:tc>
        <w:tc>
          <w:tcPr>
            <w:tcW w:w="3683" w:type="dxa"/>
            <w:shd w:val="clear" w:color="auto" w:fill="FFFFFF"/>
            <w:vAlign w:val="center"/>
          </w:tcPr>
          <w:p w14:paraId="4CCBCB19">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年龄20-35周岁，五官端正，身体健康，高中及以上学历 ，男性170cm以上，女性165cm以上，具有良好的人际沟通能力和语言表达能力、掌握计算机操作办公软件应用技能。</w:t>
            </w:r>
          </w:p>
        </w:tc>
      </w:tr>
      <w:tr w14:paraId="7347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64" w:type="dxa"/>
            <w:shd w:val="clear" w:color="auto" w:fill="FFFFFF"/>
            <w:vAlign w:val="center"/>
          </w:tcPr>
          <w:p w14:paraId="38B71436">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楼宇保洁</w:t>
            </w:r>
          </w:p>
        </w:tc>
        <w:tc>
          <w:tcPr>
            <w:tcW w:w="1207" w:type="dxa"/>
            <w:shd w:val="clear" w:color="auto" w:fill="FFFFFF"/>
            <w:vAlign w:val="center"/>
          </w:tcPr>
          <w:p w14:paraId="7DB27CE8">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16人</w:t>
            </w:r>
          </w:p>
        </w:tc>
        <w:tc>
          <w:tcPr>
            <w:tcW w:w="3358" w:type="dxa"/>
            <w:shd w:val="clear" w:color="auto" w:fill="FFFFFF"/>
            <w:vAlign w:val="center"/>
          </w:tcPr>
          <w:p w14:paraId="2F6F382E">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负责产业楼宇室内区域</w:t>
            </w:r>
            <w:r>
              <w:rPr>
                <w:rFonts w:hint="eastAsia" w:ascii="宋体" w:hAnsi="宋体" w:eastAsia="宋体" w:cs="宋体"/>
                <w:color w:val="auto"/>
                <w:sz w:val="24"/>
                <w:highlight w:val="none"/>
                <w:shd w:val="clear" w:color="auto" w:fill="FFFFFF"/>
                <w:lang w:eastAsia="zh-CN"/>
              </w:rPr>
              <w:t>保洁工</w:t>
            </w:r>
            <w:r>
              <w:rPr>
                <w:rFonts w:hint="eastAsia" w:ascii="宋体" w:hAnsi="宋体" w:eastAsia="宋体" w:cs="宋体"/>
                <w:color w:val="auto"/>
                <w:sz w:val="24"/>
                <w:highlight w:val="none"/>
                <w:shd w:val="clear" w:color="auto" w:fill="FFFFFF"/>
              </w:rPr>
              <w:t>作；要求365天在岗，每天在岗人数不少于14人。</w:t>
            </w:r>
          </w:p>
        </w:tc>
        <w:tc>
          <w:tcPr>
            <w:tcW w:w="3683" w:type="dxa"/>
            <w:shd w:val="clear" w:color="auto" w:fill="FFFFFF"/>
            <w:vAlign w:val="center"/>
          </w:tcPr>
          <w:p w14:paraId="13FFB303">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年龄女性55周岁以下，男性60周岁以下，要求身体健康，政治清白，无不良嗜好，具有卫生保洁相关工作经验。</w:t>
            </w:r>
          </w:p>
        </w:tc>
      </w:tr>
      <w:tr w14:paraId="3BE9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64" w:type="dxa"/>
            <w:shd w:val="clear" w:color="auto" w:fill="FFFFFF"/>
            <w:vAlign w:val="center"/>
          </w:tcPr>
          <w:p w14:paraId="52AA5B02">
            <w:pPr>
              <w:widowControl/>
              <w:numPr>
                <w:ilvl w:val="1"/>
                <w:numId w:val="0"/>
              </w:numPr>
              <w:spacing w:line="400" w:lineRule="exact"/>
              <w:ind w:firstLine="48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合计</w:t>
            </w:r>
          </w:p>
        </w:tc>
        <w:tc>
          <w:tcPr>
            <w:tcW w:w="1207" w:type="dxa"/>
            <w:shd w:val="clear" w:color="auto" w:fill="FFFFFF"/>
            <w:vAlign w:val="center"/>
          </w:tcPr>
          <w:p w14:paraId="3A94874D">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24人</w:t>
            </w:r>
          </w:p>
        </w:tc>
        <w:tc>
          <w:tcPr>
            <w:tcW w:w="3358" w:type="dxa"/>
            <w:shd w:val="clear" w:color="auto" w:fill="FFFFFF"/>
            <w:vAlign w:val="center"/>
          </w:tcPr>
          <w:p w14:paraId="1D48F846">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p>
        </w:tc>
        <w:tc>
          <w:tcPr>
            <w:tcW w:w="3683" w:type="dxa"/>
            <w:shd w:val="clear" w:color="auto" w:fill="FFFFFF"/>
            <w:vAlign w:val="center"/>
          </w:tcPr>
          <w:p w14:paraId="625CD360">
            <w:pPr>
              <w:widowControl/>
              <w:numPr>
                <w:ilvl w:val="1"/>
                <w:numId w:val="0"/>
              </w:numPr>
              <w:spacing w:line="400" w:lineRule="exact"/>
              <w:jc w:val="left"/>
              <w:rPr>
                <w:rFonts w:hint="eastAsia" w:ascii="宋体" w:hAnsi="宋体" w:eastAsia="宋体" w:cs="宋体"/>
                <w:color w:val="auto"/>
                <w:sz w:val="24"/>
                <w:highlight w:val="none"/>
                <w:shd w:val="clear" w:color="auto" w:fill="FFFFFF"/>
              </w:rPr>
            </w:pPr>
          </w:p>
        </w:tc>
      </w:tr>
    </w:tbl>
    <w:p w14:paraId="6422356F">
      <w:pPr>
        <w:spacing w:line="50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注：</w:t>
      </w:r>
      <w:r>
        <w:rPr>
          <w:rFonts w:hint="eastAsia" w:ascii="宋体" w:hAnsi="宋体" w:eastAsia="宋体" w:cs="宋体"/>
          <w:b w:val="0"/>
          <w:bCs/>
          <w:color w:val="auto"/>
          <w:sz w:val="24"/>
          <w:highlight w:val="none"/>
        </w:rPr>
        <w:fldChar w:fldCharType="begin"/>
      </w:r>
      <w:r>
        <w:rPr>
          <w:rFonts w:hint="eastAsia" w:ascii="宋体" w:hAnsi="宋体" w:eastAsia="宋体" w:cs="宋体"/>
          <w:b w:val="0"/>
          <w:bCs/>
          <w:color w:val="auto"/>
          <w:sz w:val="24"/>
          <w:highlight w:val="none"/>
        </w:rPr>
        <w:instrText xml:space="preserve"> = 1 \* GB3 </w:instrText>
      </w:r>
      <w:r>
        <w:rPr>
          <w:rFonts w:hint="eastAsia" w:ascii="宋体" w:hAnsi="宋体" w:eastAsia="宋体" w:cs="宋体"/>
          <w:b w:val="0"/>
          <w:bCs/>
          <w:color w:val="auto"/>
          <w:sz w:val="24"/>
          <w:highlight w:val="none"/>
        </w:rPr>
        <w:fldChar w:fldCharType="separate"/>
      </w:r>
      <w:r>
        <w:rPr>
          <w:rFonts w:hint="eastAsia" w:ascii="宋体" w:hAnsi="宋体" w:eastAsia="宋体" w:cs="宋体"/>
          <w:b w:val="0"/>
          <w:bCs/>
          <w:color w:val="auto"/>
          <w:sz w:val="24"/>
          <w:highlight w:val="none"/>
        </w:rPr>
        <w:t>①</w:t>
      </w:r>
      <w:r>
        <w:rPr>
          <w:rFonts w:hint="eastAsia" w:ascii="宋体" w:hAnsi="宋体" w:eastAsia="宋体" w:cs="宋体"/>
          <w:b w:val="0"/>
          <w:bCs/>
          <w:color w:val="auto"/>
          <w:sz w:val="24"/>
          <w:highlight w:val="none"/>
        </w:rPr>
        <w:fldChar w:fldCharType="end"/>
      </w:r>
      <w:r>
        <w:rPr>
          <w:rFonts w:hint="eastAsia" w:ascii="宋体" w:hAnsi="宋体" w:eastAsia="宋体" w:cs="宋体"/>
          <w:b w:val="0"/>
          <w:bCs/>
          <w:color w:val="auto"/>
          <w:sz w:val="24"/>
          <w:highlight w:val="none"/>
          <w:lang w:eastAsia="zh-CN"/>
        </w:rPr>
        <w:t>投标人按要求</w:t>
      </w:r>
      <w:r>
        <w:rPr>
          <w:rFonts w:hint="eastAsia" w:ascii="宋体" w:hAnsi="宋体" w:eastAsia="宋体" w:cs="宋体"/>
          <w:b w:val="0"/>
          <w:bCs/>
          <w:color w:val="auto"/>
          <w:sz w:val="24"/>
          <w:highlight w:val="none"/>
          <w:lang w:val="en-US" w:eastAsia="zh-CN"/>
        </w:rPr>
        <w:t>配置上述人员，人员数量最终以采购人的需求为准；</w:t>
      </w:r>
    </w:p>
    <w:p w14:paraId="6BDD4CB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必须按上述</w:t>
      </w:r>
      <w:r>
        <w:rPr>
          <w:rFonts w:hint="eastAsia" w:ascii="宋体" w:hAnsi="宋体" w:eastAsia="宋体" w:cs="宋体"/>
          <w:color w:val="auto"/>
          <w:sz w:val="24"/>
          <w:highlight w:val="none"/>
          <w:lang w:eastAsia="zh-CN"/>
        </w:rPr>
        <w:t>人员</w:t>
      </w:r>
      <w:r>
        <w:rPr>
          <w:rFonts w:hint="eastAsia" w:ascii="宋体" w:hAnsi="宋体" w:eastAsia="宋体" w:cs="宋体"/>
          <w:color w:val="auto"/>
          <w:sz w:val="24"/>
          <w:highlight w:val="none"/>
        </w:rPr>
        <w:t>要求安排物业服务人员，并在物业服务人员中确定一名领班全面负责对接工作；</w:t>
      </w:r>
    </w:p>
    <w:p w14:paraId="5989C79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报价包含人员薪酬、社保、高温费、福利、保险、税收等完成本项目服务内容可能发生的各项费用；</w:t>
      </w:r>
    </w:p>
    <w:p w14:paraId="3A74B29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仅提供物业服务人员服务，其他一切如服装、工具等设施设备均不计入本次报价；</w:t>
      </w:r>
    </w:p>
    <w:p w14:paraId="004E643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⑤物业服务人员要求按照上述标准轮值班，并根据实际情况及时调整，具体的实施方案需经业主审批通过。</w:t>
      </w:r>
    </w:p>
    <w:p w14:paraId="3060E8B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配备的人员薪资应不低于杭州最低工资标准，并按照要求缴纳社保。</w:t>
      </w:r>
    </w:p>
    <w:p w14:paraId="63CAB09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⑦派驻人员的一切安全责任由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自行承担；</w:t>
      </w:r>
    </w:p>
    <w:p w14:paraId="140EFC3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⑧</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应按照人员岗位情况列支报价明细。</w:t>
      </w:r>
    </w:p>
    <w:p w14:paraId="440E27F7">
      <w:pPr>
        <w:spacing w:line="50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人员服务要求：</w:t>
      </w:r>
    </w:p>
    <w:p w14:paraId="507600EA">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管理员要求：</w:t>
      </w:r>
    </w:p>
    <w:p w14:paraId="5F1FBCA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年龄20-45周岁，身体健康，爱岗敬业有责任心，能吃苦耐劳，3年以上物业服务经验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具有消防安全责任人或管理员证书等相关岗位上岗证书，掌握一定的消防、工程建设知识。</w:t>
      </w:r>
    </w:p>
    <w:p w14:paraId="1443967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要爱岗敬业，忠于职守，统一着装，良好的沟通能力、协调能力、较强的服务意识、敬业精神，仪表端庄、举止文明、性格温和、责任心强，掌握一定的消防、工程建设知识。</w:t>
      </w:r>
    </w:p>
    <w:p w14:paraId="683841A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3)协助</w:t>
      </w:r>
      <w:r>
        <w:rPr>
          <w:rFonts w:hint="eastAsia" w:ascii="宋体" w:hAnsi="宋体" w:eastAsia="宋体" w:cs="宋体"/>
          <w:color w:val="auto"/>
          <w:sz w:val="24"/>
          <w:highlight w:val="none"/>
        </w:rPr>
        <w:t>做好企业入驻和退租服务工作。</w:t>
      </w:r>
    </w:p>
    <w:p w14:paraId="642BB11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做好企业装修监管和服务工作，</w:t>
      </w:r>
      <w:r>
        <w:rPr>
          <w:rFonts w:hint="eastAsia" w:ascii="宋体" w:hAnsi="宋体" w:eastAsia="宋体" w:cs="宋体"/>
          <w:color w:val="auto"/>
          <w:sz w:val="24"/>
          <w:highlight w:val="none"/>
        </w:rPr>
        <w:t>小型增改项目的受理、方案制定与实施过程监督。</w:t>
      </w:r>
    </w:p>
    <w:p w14:paraId="0FE8FE20">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做好企业能耗核算工作，按时抄取水、电表读数并核查有无异常，同时将《水电抄表记录》和《水电消耗月报表》提交园区对接部门负责人，对水电异常消耗进行分析说明，发现特殊问题，服务中心应及时针对问题提交专题报告。</w:t>
      </w:r>
    </w:p>
    <w:p w14:paraId="500E7A3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督促和协调第三方维保单位应履行的相关维修保养工作。</w:t>
      </w:r>
    </w:p>
    <w:p w14:paraId="304D6D3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协调</w:t>
      </w:r>
      <w:r>
        <w:rPr>
          <w:rFonts w:hint="eastAsia" w:ascii="宋体" w:hAnsi="宋体" w:eastAsia="宋体" w:cs="宋体"/>
          <w:color w:val="auto"/>
          <w:sz w:val="24"/>
          <w:highlight w:val="none"/>
          <w:lang w:eastAsia="zh-CN"/>
        </w:rPr>
        <w:t>属地单位</w:t>
      </w:r>
      <w:r>
        <w:rPr>
          <w:rFonts w:hint="eastAsia" w:ascii="宋体" w:hAnsi="宋体" w:eastAsia="宋体" w:cs="宋体"/>
          <w:color w:val="auto"/>
          <w:sz w:val="24"/>
          <w:highlight w:val="none"/>
        </w:rPr>
        <w:t>、电力公司、自来水公司等，与园区有关动力管理相关事宜，保障动力服务满足园区使用要求；凡是对园区正常工作秩序有较大影响的计划性设备设施维修、检测及计划性停水、停电等情况的工作，应提前与相关职能部门沟通，最终由西电杭研院协定。原则上要求安排在节假日进行，及时协调实施，并提前24小时公布。</w:t>
      </w:r>
    </w:p>
    <w:p w14:paraId="1C4D024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制订出各种突发事件的应急处理程序，使突发事件发生时能及时合理地处理，将突发事件造成的损失降到最低点。</w:t>
      </w:r>
    </w:p>
    <w:p w14:paraId="36789C5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做好入驻企业日常管理和服务工作，协助管理公司做好费用催缴、企业清退等工作。</w:t>
      </w:r>
    </w:p>
    <w:p w14:paraId="4F0E5D2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做好收集、保管好有关西电杭研院园区物业管理的政策、法规、章程等资料以及物业相关的图纸、数据等资料；建立、保管好中心档案、维修档案等；未经</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允许不得擅自发给他人。</w:t>
      </w:r>
    </w:p>
    <w:p w14:paraId="3A88CED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负责做好空置房间监管工作。</w:t>
      </w:r>
    </w:p>
    <w:p w14:paraId="128144A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做好交办的其他工作。</w:t>
      </w:r>
    </w:p>
    <w:p w14:paraId="6BA8AC04">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bCs/>
          <w:color w:val="auto"/>
          <w:sz w:val="24"/>
          <w:highlight w:val="none"/>
        </w:rPr>
        <w:t>前台/会务</w:t>
      </w:r>
      <w:r>
        <w:rPr>
          <w:rFonts w:hint="eastAsia" w:ascii="宋体" w:hAnsi="宋体" w:eastAsia="宋体" w:cs="宋体"/>
          <w:b/>
          <w:bCs/>
          <w:color w:val="auto"/>
          <w:sz w:val="24"/>
          <w:highlight w:val="none"/>
          <w:lang w:eastAsia="zh-CN"/>
        </w:rPr>
        <w:t>人员</w:t>
      </w:r>
      <w:r>
        <w:rPr>
          <w:rFonts w:hint="eastAsia" w:ascii="宋体" w:hAnsi="宋体" w:eastAsia="宋体" w:cs="宋体"/>
          <w:b/>
          <w:bCs/>
          <w:color w:val="auto"/>
          <w:sz w:val="24"/>
          <w:highlight w:val="none"/>
        </w:rPr>
        <w:t>要求：</w:t>
      </w:r>
    </w:p>
    <w:p w14:paraId="180BF624">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前台</w:t>
      </w:r>
      <w:r>
        <w:rPr>
          <w:rFonts w:hint="eastAsia" w:ascii="宋体" w:hAnsi="宋体" w:eastAsia="宋体" w:cs="宋体"/>
          <w:b/>
          <w:bCs/>
          <w:color w:val="auto"/>
          <w:sz w:val="24"/>
          <w:highlight w:val="none"/>
          <w:lang w:eastAsia="zh-CN"/>
        </w:rPr>
        <w:t>人员</w:t>
      </w:r>
      <w:r>
        <w:rPr>
          <w:rFonts w:hint="eastAsia" w:ascii="宋体" w:hAnsi="宋体" w:eastAsia="宋体" w:cs="宋体"/>
          <w:b/>
          <w:bCs/>
          <w:color w:val="auto"/>
          <w:sz w:val="24"/>
          <w:highlight w:val="none"/>
        </w:rPr>
        <w:t>要求</w:t>
      </w:r>
      <w:r>
        <w:rPr>
          <w:rFonts w:hint="eastAsia" w:ascii="宋体" w:hAnsi="宋体" w:eastAsia="宋体" w:cs="宋体"/>
          <w:b/>
          <w:bCs/>
          <w:color w:val="auto"/>
          <w:sz w:val="24"/>
          <w:highlight w:val="none"/>
          <w:lang w:val="en-US" w:eastAsia="zh-CN"/>
        </w:rPr>
        <w:t>:</w:t>
      </w:r>
    </w:p>
    <w:p w14:paraId="67C70C9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年龄20-35周岁，五官端正，身体健康，高中及以上学历 ，男性170cm以上，女性165cm以上，具有良好的人际沟通能力和语言表达能力、掌握计算机操作办公软件应用技能。</w:t>
      </w:r>
    </w:p>
    <w:p w14:paraId="57225A0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对外来人员询问登记，并通过楼宇管理系统联系相关人员，决定是否放行。</w:t>
      </w:r>
    </w:p>
    <w:p w14:paraId="2D4CC47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高峰时段服务：在出入高峰时段提供站立服务，维持秩序。</w:t>
      </w:r>
    </w:p>
    <w:p w14:paraId="389C22B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提供生活咨询，帮助解决</w:t>
      </w:r>
      <w:r>
        <w:rPr>
          <w:rFonts w:hint="eastAsia" w:ascii="宋体" w:hAnsi="宋体" w:eastAsia="宋体" w:cs="宋体"/>
          <w:color w:val="auto"/>
          <w:sz w:val="24"/>
          <w:highlight w:val="none"/>
          <w:lang w:eastAsia="zh-CN"/>
        </w:rPr>
        <w:t>客户</w:t>
      </w:r>
      <w:r>
        <w:rPr>
          <w:rFonts w:hint="eastAsia" w:ascii="宋体" w:hAnsi="宋体" w:eastAsia="宋体" w:cs="宋体"/>
          <w:color w:val="auto"/>
          <w:sz w:val="24"/>
          <w:highlight w:val="none"/>
        </w:rPr>
        <w:t>日常问题。</w:t>
      </w:r>
    </w:p>
    <w:p w14:paraId="2A78708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热情友好，耐心解答住户咨询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积极主动，及时处理反映的问题。</w:t>
      </w:r>
    </w:p>
    <w:p w14:paraId="66BE6EF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突发情况第一时间上报，并协助处理。</w:t>
      </w:r>
    </w:p>
    <w:p w14:paraId="7D5FF81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负责西电杭研院</w:t>
      </w:r>
      <w:r>
        <w:rPr>
          <w:rFonts w:hint="eastAsia" w:ascii="宋体" w:hAnsi="宋体" w:eastAsia="宋体" w:cs="宋体"/>
          <w:color w:val="auto"/>
          <w:sz w:val="24"/>
          <w:highlight w:val="none"/>
          <w:lang w:eastAsia="zh-CN"/>
        </w:rPr>
        <w:t>产业楼宇</w:t>
      </w:r>
      <w:r>
        <w:rPr>
          <w:rFonts w:hint="eastAsia" w:ascii="宋体" w:hAnsi="宋体" w:eastAsia="宋体" w:cs="宋体"/>
          <w:color w:val="auto"/>
          <w:sz w:val="24"/>
          <w:highlight w:val="none"/>
        </w:rPr>
        <w:t>的报刊杂志、非保密性公文的接收分配和发放。</w:t>
      </w:r>
    </w:p>
    <w:p w14:paraId="66FFACFF">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做好</w:t>
      </w:r>
      <w:r>
        <w:rPr>
          <w:rFonts w:hint="eastAsia" w:ascii="宋体" w:hAnsi="宋体" w:eastAsia="宋体" w:cs="宋体"/>
          <w:color w:val="auto"/>
          <w:sz w:val="24"/>
          <w:highlight w:val="none"/>
        </w:rPr>
        <w:t>交办的其他工作。</w:t>
      </w:r>
    </w:p>
    <w:p w14:paraId="007FB2F8">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会务</w:t>
      </w:r>
      <w:r>
        <w:rPr>
          <w:rFonts w:hint="eastAsia" w:ascii="宋体" w:hAnsi="宋体" w:eastAsia="宋体" w:cs="宋体"/>
          <w:b/>
          <w:bCs/>
          <w:color w:val="auto"/>
          <w:sz w:val="24"/>
          <w:highlight w:val="none"/>
          <w:lang w:eastAsia="zh-CN"/>
        </w:rPr>
        <w:t>人员</w:t>
      </w:r>
      <w:r>
        <w:rPr>
          <w:rFonts w:hint="eastAsia" w:ascii="宋体" w:hAnsi="宋体" w:eastAsia="宋体" w:cs="宋体"/>
          <w:b/>
          <w:bCs/>
          <w:color w:val="auto"/>
          <w:sz w:val="24"/>
          <w:highlight w:val="none"/>
        </w:rPr>
        <w:t>要求</w:t>
      </w:r>
      <w:r>
        <w:rPr>
          <w:rFonts w:hint="eastAsia" w:ascii="宋体" w:hAnsi="宋体" w:eastAsia="宋体" w:cs="宋体"/>
          <w:b/>
          <w:bCs/>
          <w:color w:val="auto"/>
          <w:sz w:val="24"/>
          <w:highlight w:val="none"/>
          <w:lang w:val="en-US" w:eastAsia="zh-CN"/>
        </w:rPr>
        <w:t>:</w:t>
      </w:r>
    </w:p>
    <w:p w14:paraId="21FAE7E9">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shd w:val="clear" w:color="auto" w:fill="FFFFFF"/>
        </w:rPr>
        <w:t>年龄20-35周岁，五官端正，身体健康，高中及以上学历 ，男性170cm以上，女性165cm以上，具有良好的人际沟通能力和语言表达能力、掌握计算机操作办公软件应用技能。</w:t>
      </w:r>
    </w:p>
    <w:p w14:paraId="774ECD7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要爱岗敬业，忠于职守，服从指挥，统一着装，良好的沟通能力、协调能力、较强的服务意识、敬业精神，仪表端庄、举止文明、性格温和、责任心强，并知晓相关商务礼仪。按照西电杭研院各服务前台接待作业指导书及管理办法做好前台服务工作。</w:t>
      </w:r>
    </w:p>
    <w:p w14:paraId="5DB8BA9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认真做好各类会议接待服务工作，根据要求提前布置好（会场、会标、桌椅、席签、资料、话筒、合理摆放花卉等），确保会议顺利进行。</w:t>
      </w:r>
    </w:p>
    <w:p w14:paraId="0FAEEF9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认真做好会议室的音响、灯光、视频等设备检查、调试，发现异样，立即上报工程部和维保单位检修处理，确保正常运转。会议结束后，清理好话筒等器具，关闭电源。</w:t>
      </w:r>
    </w:p>
    <w:p w14:paraId="1FEFF53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做好各会议室的保洁工作。在每次开会前，做到桌、椅、台面无灰尘、无污渍，地面清洁，室内无蜘蛛网。</w:t>
      </w:r>
    </w:p>
    <w:p w14:paraId="27C351D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会议服务人员做到热情周到，面带微笑，用语礼貌，及时续水，服务规范。</w:t>
      </w:r>
    </w:p>
    <w:p w14:paraId="3A76518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爱护设备设施，经常维修保养，若有缺损，应及时添补、修复。</w:t>
      </w:r>
    </w:p>
    <w:p w14:paraId="5C86D1A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强调安全保密，坚持内外有别，不泄露内部会议内容。</w:t>
      </w:r>
    </w:p>
    <w:p w14:paraId="0B21E7B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9)做好</w:t>
      </w:r>
      <w:r>
        <w:rPr>
          <w:rFonts w:hint="eastAsia" w:ascii="宋体" w:hAnsi="宋体" w:eastAsia="宋体" w:cs="宋体"/>
          <w:color w:val="auto"/>
          <w:sz w:val="24"/>
          <w:highlight w:val="none"/>
        </w:rPr>
        <w:t>交办的其他工作。</w:t>
      </w:r>
    </w:p>
    <w:p w14:paraId="3F6609F8">
      <w:pPr>
        <w:spacing w:line="500" w:lineRule="exact"/>
        <w:ind w:firstLine="241" w:firstLineChars="1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bCs/>
          <w:color w:val="auto"/>
          <w:sz w:val="24"/>
          <w:highlight w:val="none"/>
          <w:shd w:val="clear" w:color="auto" w:fill="FFFFFF"/>
        </w:rPr>
        <w:t>楼宇保洁</w:t>
      </w:r>
      <w:r>
        <w:rPr>
          <w:rFonts w:hint="eastAsia" w:ascii="宋体" w:hAnsi="宋体" w:eastAsia="宋体" w:cs="宋体"/>
          <w:b/>
          <w:bCs/>
          <w:color w:val="auto"/>
          <w:sz w:val="24"/>
          <w:highlight w:val="none"/>
          <w:shd w:val="clear" w:color="auto" w:fill="FFFFFF"/>
          <w:lang w:eastAsia="zh-CN"/>
        </w:rPr>
        <w:t>人员</w:t>
      </w:r>
      <w:r>
        <w:rPr>
          <w:rFonts w:hint="eastAsia" w:ascii="宋体" w:hAnsi="宋体" w:eastAsia="宋体" w:cs="宋体"/>
          <w:b/>
          <w:bCs/>
          <w:color w:val="auto"/>
          <w:sz w:val="24"/>
          <w:highlight w:val="none"/>
        </w:rPr>
        <w:t>要求：</w:t>
      </w:r>
    </w:p>
    <w:p w14:paraId="6846010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上岗时佩戴统一标志，仪容仪表规范整齐，统一着装，集体出入，服装无口袋，人员定编、定岗、定人、定时。</w:t>
      </w:r>
    </w:p>
    <w:p w14:paraId="189CDB4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文明工作，训练有素，言语规范，认真负责，不拿业主和客户物品，工作时间未经允许不进入客户区域内；清洁工具集中存放，清洁人员上班期间不得携带私人物品进入作业区，特殊情况携物出门时，需接受安全岗检查。</w:t>
      </w:r>
    </w:p>
    <w:p w14:paraId="0FEF4C5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本项目产业楼宇的大厅、走廊、天台、卫生间、公共活动场所、外围环境等所有部位，本项目“门前三包”区域的日常保洁保养以及垃圾、废弃物清理等。</w:t>
      </w:r>
    </w:p>
    <w:p w14:paraId="0553775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本项目的通道地面和墙面、休息区域(桌椅)、楼梯、扶手、大厅、玻璃、走廊、天台做到无垃圾、无积灰、无污渍、无手印、无虫网等，每日清扫和擦拭保养，巡回保洁。</w:t>
      </w:r>
    </w:p>
    <w:p w14:paraId="5774AA8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本项目的卫生间、开水间、热水器及设备保持清洁，无污迹、无积水、无积尘、无异味、无漏滴水、无堆积杂物、无乱张贴物；电器按时开关，保证安全。做到每日清扫和擦拭保养，巡回保洁。</w:t>
      </w:r>
    </w:p>
    <w:p w14:paraId="4286221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本项目所有公共区域的地面，墙面无有色垃圾和建筑垃圾、无堆积杂物、无积灰、无积水和淤泥、无阻塞、无虫网等。做到每日清扫一次，巡回保洁。</w:t>
      </w:r>
    </w:p>
    <w:p w14:paraId="444DA44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垃圾、废弃物做到日产日清；化粪池、化油池及时联系监督专业单位定期进行清掏，保持常年干净、清洁，无积水、无异味；建筑垃圾集中堆放在指定位置，安排专业有资质清运单位每周清理一次（清运时间间隔将根据垃圾数量做调整）。</w:t>
      </w:r>
    </w:p>
    <w:p w14:paraId="2A9EC9DD">
      <w:pPr>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按要求配备垃圾分类设施设备，积极配合园区开展垃圾分类工作。</w:t>
      </w:r>
    </w:p>
    <w:p w14:paraId="29BFA60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楼道地面：每日至少拖洗二次，巡回保洁，无积灰、污迹、垃圾，每季地面保养不少于一次。</w:t>
      </w:r>
    </w:p>
    <w:p w14:paraId="76F76BB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大厅地面、大楼平台花坛：每日至少清扫二次，巡回保洁，无灰尘、污迹、垃圾。</w:t>
      </w:r>
    </w:p>
    <w:p w14:paraId="347EC1C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开关盒、表箱盖：2米以下每日擦抹二次；2米以上每周一次，无灰尘、污迹。</w:t>
      </w:r>
    </w:p>
    <w:p w14:paraId="7E9CB77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大厅墙面：2米以下每日擦抹二次；2米以上3米以下每周擦拭一次；3米以上每半年擦拭一次。</w:t>
      </w:r>
    </w:p>
    <w:p w14:paraId="6AB346B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扶手、房间门：每日擦抹二次，无灰尘、污迹。</w:t>
      </w:r>
    </w:p>
    <w:p w14:paraId="377AECD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天花板、公共楼道灯、单元厅吊灯：每月除尘一次，无明显积灰、虫网。</w:t>
      </w:r>
    </w:p>
    <w:p w14:paraId="1693E17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办公室门：每三天擦抹一次，无明显积灰、污迹。</w:t>
      </w:r>
    </w:p>
    <w:p w14:paraId="4386150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楼道玻璃：每周清洁一次，无明显积灰、污迹。</w:t>
      </w:r>
    </w:p>
    <w:p w14:paraId="0F3741B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公共卫生间每天第一次清洁工作必须在上班前做好，并且做到随脏随清，保持地面清洁、无杂物、无积水、无毛发、无异味；废纸篓每天及时清空，下水道要畅通。</w:t>
      </w:r>
    </w:p>
    <w:p w14:paraId="42DBDB8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公共卫生间：门应干净、无划痕，把手要保持光亮、干净；便池蹲坑无污迹；墙面四周及阴角做到无水迹、无蜘蛛网；地面无脚印，无杂物；镜子及金属部分：应保持干净，无浮尘、污渍、手印、水迹、无锈斑；天花板上无污渍、无漏水或有小水泡等现象，保持干净、清洁，完好无损；空气要保持新鲜，通风设备要清洁，确保运作正常；配备大筒卷纸、洗手液、擦手纸，每日检查，发现用完及时补充。玻璃、瓷砖：2米以下每日擦抹一次；2米以上每周清洁一次，无明显积灰、水渍；洗手台面应保持干净整洁、无污渍、无水迹。</w:t>
      </w:r>
    </w:p>
    <w:p w14:paraId="059555E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会议室：每日打扫不少于一次，视使用情况增加清扫、拖洗、吸尘次数，做到无积灰、污迹、垃圾。</w:t>
      </w:r>
    </w:p>
    <w:p w14:paraId="217412A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各楼内所有公共部位每日清扫不少于2次、拖地不少于2次，确保室内无积灰、污迹、垃圾；每季度安排一次比较彻底的大清洁，做到玻璃清洁，窗台无积灰，空调、电风扇等设备无积灰。</w:t>
      </w:r>
    </w:p>
    <w:p w14:paraId="13427F6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空置房屋：日常锁闭处理。企业退租后对室内进行一次彻底保洁工作，断水电，空置期间每月进行一次保洁工作（包括玻璃清洁）。</w:t>
      </w:r>
    </w:p>
    <w:p w14:paraId="0DAC3BE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门窗：无尘和其它污渍。</w:t>
      </w:r>
    </w:p>
    <w:p w14:paraId="496AE73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电梯间：梯厢四壁干净、无尘、污渍、烟头、杂物、手印，电梯门轨槽、显示屏干净。</w:t>
      </w:r>
    </w:p>
    <w:p w14:paraId="1FACC00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楼梯间（安全通道）：每日清扫不少于2次、拖地不少于2次，确保通道无积灰、烟蒂、污迹、垃圾、虫网等。</w:t>
      </w:r>
    </w:p>
    <w:p w14:paraId="2E77EBD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根据实际需要，随时增加保洁力量。</w:t>
      </w:r>
    </w:p>
    <w:p w14:paraId="72346CE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保洁工在日常工作中，发现设施设备异常、违规装修、上门推销等问题，第一时间上报所在楼层前台集中及时处理。</w:t>
      </w:r>
    </w:p>
    <w:p w14:paraId="0C79B739">
      <w:pPr>
        <w:pStyle w:val="15"/>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27)做好交办的其他工作。</w:t>
      </w:r>
    </w:p>
    <w:p w14:paraId="193E586E">
      <w:pPr>
        <w:adjustRightInd/>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考核标准</w:t>
      </w:r>
      <w:r>
        <w:rPr>
          <w:rFonts w:hint="eastAsia" w:ascii="宋体" w:hAnsi="宋体" w:eastAsia="宋体" w:cs="宋体"/>
          <w:b/>
          <w:color w:val="auto"/>
          <w:sz w:val="24"/>
          <w:szCs w:val="24"/>
          <w:highlight w:val="none"/>
          <w:lang w:eastAsia="zh-CN"/>
        </w:rPr>
        <w:t>：</w:t>
      </w:r>
    </w:p>
    <w:p w14:paraId="5885DA6E">
      <w:pPr>
        <w:jc w:val="center"/>
        <w:rPr>
          <w:rFonts w:hint="eastAsia" w:ascii="宋体" w:hAnsi="宋体" w:eastAsia="宋体" w:cs="宋体"/>
          <w:b/>
          <w:bCs w:val="0"/>
          <w:color w:val="auto"/>
          <w:sz w:val="28"/>
          <w:szCs w:val="28"/>
          <w:highlight w:val="none"/>
          <w:vertAlign w:val="baseline"/>
        </w:rPr>
      </w:pPr>
      <w:r>
        <w:rPr>
          <w:rFonts w:hint="eastAsia" w:ascii="宋体" w:hAnsi="宋体" w:eastAsia="宋体" w:cs="宋体"/>
          <w:b/>
          <w:bCs w:val="0"/>
          <w:color w:val="auto"/>
          <w:sz w:val="28"/>
          <w:szCs w:val="28"/>
          <w:highlight w:val="none"/>
        </w:rPr>
        <w:t>季度考核标准</w:t>
      </w:r>
    </w:p>
    <w:tbl>
      <w:tblPr>
        <w:tblStyle w:val="31"/>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282"/>
        <w:gridCol w:w="1377"/>
        <w:gridCol w:w="723"/>
        <w:gridCol w:w="3834"/>
        <w:gridCol w:w="880"/>
      </w:tblGrid>
      <w:tr w14:paraId="1A5B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65" w:type="dxa"/>
            <w:shd w:val="clear" w:color="auto" w:fill="auto"/>
            <w:vAlign w:val="bottom"/>
          </w:tcPr>
          <w:p w14:paraId="6D22A33E">
            <w:pPr>
              <w:ind w:left="0" w:leftChars="0"/>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rPr>
              <w:t>岗位</w:t>
            </w:r>
          </w:p>
        </w:tc>
        <w:tc>
          <w:tcPr>
            <w:tcW w:w="1282" w:type="dxa"/>
            <w:shd w:val="clear" w:color="auto" w:fill="auto"/>
            <w:vAlign w:val="bottom"/>
          </w:tcPr>
          <w:p w14:paraId="47E61DFC">
            <w:pPr>
              <w:ind w:left="0" w:leftChars="0"/>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rPr>
              <w:t>考核项目</w:t>
            </w:r>
          </w:p>
        </w:tc>
        <w:tc>
          <w:tcPr>
            <w:tcW w:w="1377" w:type="dxa"/>
            <w:shd w:val="clear" w:color="auto" w:fill="auto"/>
            <w:vAlign w:val="bottom"/>
          </w:tcPr>
          <w:p w14:paraId="1A01EC25">
            <w:pPr>
              <w:ind w:left="0" w:leftChars="0"/>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rPr>
              <w:t>考核内容</w:t>
            </w:r>
          </w:p>
        </w:tc>
        <w:tc>
          <w:tcPr>
            <w:tcW w:w="723" w:type="dxa"/>
            <w:shd w:val="clear" w:color="auto" w:fill="auto"/>
            <w:vAlign w:val="bottom"/>
          </w:tcPr>
          <w:p w14:paraId="089337F9">
            <w:pPr>
              <w:ind w:left="0" w:leftChars="0"/>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rPr>
              <w:t>分值</w:t>
            </w:r>
          </w:p>
        </w:tc>
        <w:tc>
          <w:tcPr>
            <w:tcW w:w="3834" w:type="dxa"/>
            <w:shd w:val="clear" w:color="auto" w:fill="auto"/>
            <w:vAlign w:val="bottom"/>
          </w:tcPr>
          <w:p w14:paraId="4902C923">
            <w:pPr>
              <w:ind w:left="0" w:leftChars="0"/>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rPr>
              <w:t>评分标准</w:t>
            </w:r>
          </w:p>
        </w:tc>
        <w:tc>
          <w:tcPr>
            <w:tcW w:w="880" w:type="dxa"/>
            <w:shd w:val="clear" w:color="auto" w:fill="auto"/>
            <w:vAlign w:val="bottom"/>
          </w:tcPr>
          <w:p w14:paraId="67C0DA3E">
            <w:pPr>
              <w:ind w:left="0" w:leftChars="0"/>
              <w:jc w:val="center"/>
              <w:rPr>
                <w:rFonts w:hint="eastAsia" w:ascii="仿宋" w:hAnsi="仿宋" w:eastAsia="仿宋" w:cstheme="majorBidi"/>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rPr>
              <w:t>得分</w:t>
            </w:r>
          </w:p>
        </w:tc>
      </w:tr>
      <w:tr w14:paraId="77CE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restart"/>
          </w:tcPr>
          <w:p w14:paraId="6BE3187E">
            <w:pPr>
              <w:jc w:val="center"/>
              <w:rPr>
                <w:rFonts w:hint="eastAsia" w:ascii="宋体" w:hAnsi="宋体" w:eastAsia="宋体" w:cs="宋体"/>
                <w:bCs/>
                <w:color w:val="auto"/>
                <w:sz w:val="24"/>
                <w:szCs w:val="24"/>
                <w:highlight w:val="none"/>
              </w:rPr>
            </w:pPr>
          </w:p>
          <w:p w14:paraId="7471C42F">
            <w:pPr>
              <w:jc w:val="center"/>
              <w:rPr>
                <w:rFonts w:hint="eastAsia" w:ascii="宋体" w:hAnsi="宋体" w:eastAsia="宋体" w:cs="宋体"/>
                <w:bCs/>
                <w:color w:val="auto"/>
                <w:sz w:val="24"/>
                <w:szCs w:val="24"/>
                <w:highlight w:val="none"/>
              </w:rPr>
            </w:pPr>
          </w:p>
          <w:p w14:paraId="3E0FD686">
            <w:pPr>
              <w:jc w:val="center"/>
              <w:rPr>
                <w:rFonts w:hint="eastAsia" w:ascii="宋体" w:hAnsi="宋体" w:eastAsia="宋体" w:cs="宋体"/>
                <w:bCs/>
                <w:color w:val="auto"/>
                <w:sz w:val="24"/>
                <w:szCs w:val="24"/>
                <w:highlight w:val="none"/>
              </w:rPr>
            </w:pPr>
          </w:p>
          <w:p w14:paraId="11AEDAC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行</w:t>
            </w:r>
          </w:p>
          <w:p w14:paraId="27BD0B9B">
            <w:pPr>
              <w:jc w:val="center"/>
              <w:rPr>
                <w:rFonts w:hint="eastAsia" w:ascii="宋体" w:hAnsi="宋体" w:eastAsia="宋体" w:cs="宋体"/>
                <w:bCs/>
                <w:color w:val="auto"/>
                <w:sz w:val="24"/>
                <w:szCs w:val="24"/>
                <w:highlight w:val="none"/>
              </w:rPr>
            </w:pPr>
          </w:p>
          <w:p w14:paraId="63D7690E">
            <w:pPr>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政</w:t>
            </w:r>
          </w:p>
        </w:tc>
        <w:tc>
          <w:tcPr>
            <w:tcW w:w="1282" w:type="dxa"/>
            <w:shd w:val="clear" w:color="auto" w:fill="auto"/>
            <w:vAlign w:val="center"/>
          </w:tcPr>
          <w:p w14:paraId="74004E94">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文件管理</w:t>
            </w:r>
          </w:p>
        </w:tc>
        <w:tc>
          <w:tcPr>
            <w:tcW w:w="1377" w:type="dxa"/>
            <w:shd w:val="clear" w:color="auto" w:fill="auto"/>
            <w:vAlign w:val="center"/>
          </w:tcPr>
          <w:p w14:paraId="6F3FE8FC">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文件收发、登记、归档的准确性与及时性</w:t>
            </w:r>
          </w:p>
        </w:tc>
        <w:tc>
          <w:tcPr>
            <w:tcW w:w="723" w:type="dxa"/>
            <w:shd w:val="clear" w:color="auto" w:fill="auto"/>
            <w:vAlign w:val="center"/>
          </w:tcPr>
          <w:p w14:paraId="30A262B8">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15</w:t>
            </w:r>
          </w:p>
        </w:tc>
        <w:tc>
          <w:tcPr>
            <w:tcW w:w="3834" w:type="dxa"/>
            <w:shd w:val="clear" w:color="auto" w:fill="auto"/>
            <w:vAlign w:val="center"/>
          </w:tcPr>
          <w:p w14:paraId="6A6BD7B0">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差错且及时完成得 12-15 分；</w:t>
            </w:r>
          </w:p>
          <w:p w14:paraId="70149972">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有少量差错但未造成影响得 8- 1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1F87354A">
            <w:pPr>
              <w:jc w:val="left"/>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差错较多或影响工作得 0- 7分</w:t>
            </w:r>
          </w:p>
        </w:tc>
        <w:tc>
          <w:tcPr>
            <w:tcW w:w="880" w:type="dxa"/>
          </w:tcPr>
          <w:p w14:paraId="21031EEA">
            <w:pPr>
              <w:jc w:val="center"/>
              <w:rPr>
                <w:rFonts w:hint="eastAsia" w:ascii="宋体" w:hAnsi="宋体" w:eastAsia="宋体" w:cs="宋体"/>
                <w:bCs/>
                <w:color w:val="auto"/>
                <w:sz w:val="24"/>
                <w:szCs w:val="24"/>
                <w:highlight w:val="none"/>
                <w:vertAlign w:val="baseline"/>
              </w:rPr>
            </w:pPr>
          </w:p>
        </w:tc>
      </w:tr>
      <w:tr w14:paraId="0A6D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865" w:type="dxa"/>
            <w:vMerge w:val="continue"/>
          </w:tcPr>
          <w:p w14:paraId="70A66027">
            <w:pPr>
              <w:jc w:val="center"/>
              <w:rPr>
                <w:rFonts w:hint="eastAsia" w:ascii="宋体" w:hAnsi="宋体" w:eastAsia="宋体" w:cs="宋体"/>
                <w:bCs/>
                <w:color w:val="auto"/>
                <w:sz w:val="24"/>
                <w:szCs w:val="24"/>
                <w:highlight w:val="none"/>
                <w:vertAlign w:val="baseline"/>
              </w:rPr>
            </w:pPr>
          </w:p>
        </w:tc>
        <w:tc>
          <w:tcPr>
            <w:tcW w:w="1282" w:type="dxa"/>
            <w:shd w:val="clear" w:color="auto" w:fill="auto"/>
            <w:vAlign w:val="center"/>
          </w:tcPr>
          <w:p w14:paraId="3500234A">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办公用品管理</w:t>
            </w:r>
          </w:p>
        </w:tc>
        <w:tc>
          <w:tcPr>
            <w:tcW w:w="1377" w:type="dxa"/>
            <w:shd w:val="clear" w:color="auto" w:fill="auto"/>
            <w:vAlign w:val="center"/>
          </w:tcPr>
          <w:p w14:paraId="61F45E6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采购、库存管理的合理性及成本控制</w:t>
            </w:r>
          </w:p>
          <w:p w14:paraId="0BA0565F">
            <w:pPr>
              <w:jc w:val="center"/>
              <w:rPr>
                <w:rFonts w:hint="eastAsia" w:ascii="宋体" w:hAnsi="宋体" w:eastAsia="宋体" w:cs="宋体"/>
                <w:bCs/>
                <w:color w:val="auto"/>
                <w:sz w:val="24"/>
                <w:szCs w:val="24"/>
                <w:highlight w:val="none"/>
                <w:lang w:val="en-US" w:eastAsia="zh-CN" w:bidi="ar-SA"/>
              </w:rPr>
            </w:pPr>
          </w:p>
        </w:tc>
        <w:tc>
          <w:tcPr>
            <w:tcW w:w="723" w:type="dxa"/>
            <w:shd w:val="clear" w:color="auto" w:fill="auto"/>
            <w:vAlign w:val="center"/>
          </w:tcPr>
          <w:p w14:paraId="78D94DE6">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15</w:t>
            </w:r>
          </w:p>
        </w:tc>
        <w:tc>
          <w:tcPr>
            <w:tcW w:w="3834" w:type="dxa"/>
            <w:shd w:val="clear" w:color="auto" w:fill="auto"/>
            <w:vAlign w:val="center"/>
          </w:tcPr>
          <w:p w14:paraId="16602BFE">
            <w:pPr>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采购流程规范、库存充足且成本控制佳得 12-15 分；</w:t>
            </w:r>
          </w:p>
          <w:p w14:paraId="1873D500">
            <w:pPr>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基本满足需求但存在小问题得 8 - 11 分；</w:t>
            </w:r>
          </w:p>
          <w:p w14:paraId="3DB0FE99">
            <w:pPr>
              <w:jc w:val="left"/>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问题较多得 0-7分</w:t>
            </w:r>
          </w:p>
        </w:tc>
        <w:tc>
          <w:tcPr>
            <w:tcW w:w="880" w:type="dxa"/>
          </w:tcPr>
          <w:p w14:paraId="1CCAF1A7">
            <w:pPr>
              <w:jc w:val="center"/>
              <w:rPr>
                <w:rFonts w:hint="eastAsia" w:ascii="宋体" w:hAnsi="宋体" w:eastAsia="宋体" w:cs="宋体"/>
                <w:bCs/>
                <w:color w:val="auto"/>
                <w:sz w:val="24"/>
                <w:szCs w:val="24"/>
                <w:highlight w:val="none"/>
                <w:vertAlign w:val="baseline"/>
              </w:rPr>
            </w:pPr>
          </w:p>
        </w:tc>
      </w:tr>
      <w:tr w14:paraId="0748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65" w:type="dxa"/>
            <w:vMerge w:val="restart"/>
          </w:tcPr>
          <w:p w14:paraId="018604E7">
            <w:pPr>
              <w:jc w:val="center"/>
              <w:rPr>
                <w:rFonts w:hint="eastAsia" w:ascii="宋体" w:hAnsi="宋体" w:eastAsia="宋体" w:cs="宋体"/>
                <w:bCs/>
                <w:color w:val="auto"/>
                <w:sz w:val="24"/>
                <w:szCs w:val="24"/>
                <w:highlight w:val="none"/>
              </w:rPr>
            </w:pPr>
          </w:p>
          <w:p w14:paraId="52B79DCD">
            <w:pPr>
              <w:jc w:val="center"/>
              <w:rPr>
                <w:rFonts w:hint="eastAsia" w:ascii="宋体" w:hAnsi="宋体" w:eastAsia="宋体" w:cs="宋体"/>
                <w:bCs/>
                <w:color w:val="auto"/>
                <w:sz w:val="24"/>
                <w:szCs w:val="24"/>
                <w:highlight w:val="none"/>
              </w:rPr>
            </w:pPr>
          </w:p>
          <w:p w14:paraId="539C6094">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w:t>
            </w:r>
          </w:p>
          <w:p w14:paraId="14188A15">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p w14:paraId="5DC0432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会</w:t>
            </w:r>
          </w:p>
          <w:p w14:paraId="2A05E0BF">
            <w:pPr>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务</w:t>
            </w:r>
          </w:p>
        </w:tc>
        <w:tc>
          <w:tcPr>
            <w:tcW w:w="1282" w:type="dxa"/>
            <w:shd w:val="clear" w:color="auto" w:fill="auto"/>
            <w:vAlign w:val="center"/>
          </w:tcPr>
          <w:p w14:paraId="2921C7FF">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接待服务</w:t>
            </w:r>
          </w:p>
        </w:tc>
        <w:tc>
          <w:tcPr>
            <w:tcW w:w="1377" w:type="dxa"/>
            <w:shd w:val="clear" w:color="auto" w:fill="auto"/>
            <w:vAlign w:val="center"/>
          </w:tcPr>
          <w:p w14:paraId="1DAB889E">
            <w:pPr>
              <w:jc w:val="center"/>
              <w:rPr>
                <w:rFonts w:hint="eastAsia" w:ascii="宋体" w:hAnsi="宋体" w:eastAsia="宋体" w:cs="宋体"/>
                <w:bCs/>
                <w:color w:val="auto"/>
                <w:sz w:val="24"/>
                <w:szCs w:val="24"/>
                <w:highlight w:val="none"/>
                <w:lang w:val="en-US" w:eastAsia="zh-CN"/>
              </w:rPr>
            </w:pPr>
          </w:p>
          <w:p w14:paraId="793E83CF">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接待礼仪、访客登记与引导的规范度</w:t>
            </w:r>
          </w:p>
        </w:tc>
        <w:tc>
          <w:tcPr>
            <w:tcW w:w="723" w:type="dxa"/>
            <w:shd w:val="clear" w:color="auto" w:fill="auto"/>
            <w:vAlign w:val="center"/>
          </w:tcPr>
          <w:p w14:paraId="4C3890C4">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15</w:t>
            </w:r>
          </w:p>
        </w:tc>
        <w:tc>
          <w:tcPr>
            <w:tcW w:w="3834" w:type="dxa"/>
            <w:shd w:val="clear" w:color="auto" w:fill="auto"/>
            <w:vAlign w:val="center"/>
          </w:tcPr>
          <w:p w14:paraId="72D7AF5A">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规范热情得12-15分；</w:t>
            </w:r>
          </w:p>
          <w:p w14:paraId="685B2A0D">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表现一般得8-11分；</w:t>
            </w:r>
          </w:p>
          <w:p w14:paraId="7B8FD59E">
            <w:pPr>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存在明显不足得 0-7分</w:t>
            </w:r>
          </w:p>
        </w:tc>
        <w:tc>
          <w:tcPr>
            <w:tcW w:w="880" w:type="dxa"/>
          </w:tcPr>
          <w:p w14:paraId="2ED4AE50">
            <w:pPr>
              <w:jc w:val="center"/>
              <w:rPr>
                <w:rFonts w:hint="eastAsia" w:ascii="宋体" w:hAnsi="宋体" w:eastAsia="宋体" w:cs="宋体"/>
                <w:bCs/>
                <w:color w:val="auto"/>
                <w:sz w:val="24"/>
                <w:szCs w:val="24"/>
                <w:highlight w:val="none"/>
                <w:vertAlign w:val="baseline"/>
              </w:rPr>
            </w:pPr>
          </w:p>
        </w:tc>
      </w:tr>
      <w:tr w14:paraId="287C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tcPr>
          <w:p w14:paraId="35267FA5">
            <w:pPr>
              <w:jc w:val="center"/>
              <w:rPr>
                <w:rFonts w:hint="eastAsia" w:ascii="宋体" w:hAnsi="宋体" w:eastAsia="宋体" w:cs="宋体"/>
                <w:bCs/>
                <w:color w:val="auto"/>
                <w:sz w:val="24"/>
                <w:szCs w:val="24"/>
                <w:highlight w:val="none"/>
                <w:vertAlign w:val="baseline"/>
              </w:rPr>
            </w:pPr>
          </w:p>
        </w:tc>
        <w:tc>
          <w:tcPr>
            <w:tcW w:w="1282" w:type="dxa"/>
            <w:shd w:val="clear" w:color="auto" w:fill="auto"/>
            <w:vAlign w:val="center"/>
          </w:tcPr>
          <w:p w14:paraId="222F3EC0">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会议服务</w:t>
            </w:r>
          </w:p>
        </w:tc>
        <w:tc>
          <w:tcPr>
            <w:tcW w:w="1377" w:type="dxa"/>
            <w:shd w:val="clear" w:color="auto" w:fill="auto"/>
            <w:vAlign w:val="center"/>
          </w:tcPr>
          <w:p w14:paraId="4FBA4E6D">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会议室预订、布置及会议期间服务质量</w:t>
            </w:r>
          </w:p>
        </w:tc>
        <w:tc>
          <w:tcPr>
            <w:tcW w:w="723" w:type="dxa"/>
            <w:shd w:val="clear" w:color="auto" w:fill="auto"/>
            <w:vAlign w:val="center"/>
          </w:tcPr>
          <w:p w14:paraId="066EAEAA">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20</w:t>
            </w:r>
          </w:p>
        </w:tc>
        <w:tc>
          <w:tcPr>
            <w:tcW w:w="3834" w:type="dxa"/>
            <w:shd w:val="clear" w:color="auto" w:fill="auto"/>
            <w:vAlign w:val="center"/>
          </w:tcPr>
          <w:p w14:paraId="5CE6A5F4">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准备充分、服务周到得16 - 20分；</w:t>
            </w:r>
          </w:p>
          <w:p w14:paraId="61E6AF53">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基本达标得10- 15分；</w:t>
            </w:r>
          </w:p>
          <w:p w14:paraId="2B4003FD">
            <w:pPr>
              <w:jc w:val="left"/>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失误较多得 0-9分</w:t>
            </w:r>
          </w:p>
        </w:tc>
        <w:tc>
          <w:tcPr>
            <w:tcW w:w="880" w:type="dxa"/>
          </w:tcPr>
          <w:p w14:paraId="167063E8">
            <w:pPr>
              <w:jc w:val="center"/>
              <w:rPr>
                <w:rFonts w:hint="eastAsia" w:ascii="宋体" w:hAnsi="宋体" w:eastAsia="宋体" w:cs="宋体"/>
                <w:bCs/>
                <w:color w:val="auto"/>
                <w:sz w:val="24"/>
                <w:szCs w:val="24"/>
                <w:highlight w:val="none"/>
                <w:vertAlign w:val="baseline"/>
              </w:rPr>
            </w:pPr>
          </w:p>
        </w:tc>
      </w:tr>
      <w:tr w14:paraId="3772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restart"/>
          </w:tcPr>
          <w:p w14:paraId="10EF5861">
            <w:pPr>
              <w:jc w:val="center"/>
              <w:rPr>
                <w:rFonts w:hint="eastAsia" w:ascii="宋体" w:hAnsi="宋体" w:eastAsia="宋体" w:cs="宋体"/>
                <w:bCs/>
                <w:color w:val="auto"/>
                <w:sz w:val="24"/>
                <w:szCs w:val="24"/>
                <w:highlight w:val="none"/>
              </w:rPr>
            </w:pPr>
          </w:p>
          <w:p w14:paraId="4D339E70">
            <w:pPr>
              <w:jc w:val="center"/>
              <w:rPr>
                <w:rFonts w:hint="eastAsia" w:ascii="宋体" w:hAnsi="宋体" w:eastAsia="宋体" w:cs="宋体"/>
                <w:bCs/>
                <w:color w:val="auto"/>
                <w:sz w:val="24"/>
                <w:szCs w:val="24"/>
                <w:highlight w:val="none"/>
              </w:rPr>
            </w:pPr>
          </w:p>
          <w:p w14:paraId="6C122D9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w:t>
            </w:r>
          </w:p>
          <w:p w14:paraId="6D84FC78">
            <w:pPr>
              <w:jc w:val="center"/>
              <w:rPr>
                <w:rFonts w:hint="eastAsia" w:ascii="宋体" w:hAnsi="宋体" w:eastAsia="宋体" w:cs="宋体"/>
                <w:bCs/>
                <w:color w:val="auto"/>
                <w:sz w:val="24"/>
                <w:szCs w:val="24"/>
                <w:highlight w:val="none"/>
              </w:rPr>
            </w:pPr>
          </w:p>
          <w:p w14:paraId="11A35A4F">
            <w:pPr>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洁</w:t>
            </w:r>
          </w:p>
        </w:tc>
        <w:tc>
          <w:tcPr>
            <w:tcW w:w="1282" w:type="dxa"/>
            <w:shd w:val="clear" w:color="auto" w:fill="auto"/>
            <w:vAlign w:val="center"/>
          </w:tcPr>
          <w:p w14:paraId="7C227F62">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清洁质量</w:t>
            </w:r>
          </w:p>
        </w:tc>
        <w:tc>
          <w:tcPr>
            <w:tcW w:w="1377" w:type="dxa"/>
            <w:shd w:val="clear" w:color="auto" w:fill="auto"/>
            <w:vAlign w:val="center"/>
          </w:tcPr>
          <w:p w14:paraId="73A95C5A">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公共区域、办公区域清洁程度</w:t>
            </w:r>
          </w:p>
        </w:tc>
        <w:tc>
          <w:tcPr>
            <w:tcW w:w="723" w:type="dxa"/>
            <w:shd w:val="clear" w:color="auto" w:fill="auto"/>
            <w:vAlign w:val="center"/>
          </w:tcPr>
          <w:p w14:paraId="6B1A21F0">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20</w:t>
            </w:r>
          </w:p>
        </w:tc>
        <w:tc>
          <w:tcPr>
            <w:tcW w:w="3834" w:type="dxa"/>
            <w:shd w:val="clear" w:color="auto" w:fill="auto"/>
            <w:vAlign w:val="center"/>
          </w:tcPr>
          <w:p w14:paraId="3DFD072F">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干净整洁无死角得16-20分；</w:t>
            </w:r>
          </w:p>
          <w:p w14:paraId="54299652">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有少量污渍灰尘得10 -15分；</w:t>
            </w:r>
          </w:p>
          <w:p w14:paraId="4A0A1F7B">
            <w:pPr>
              <w:jc w:val="left"/>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清洁不达标得0-9分</w:t>
            </w:r>
          </w:p>
        </w:tc>
        <w:tc>
          <w:tcPr>
            <w:tcW w:w="880" w:type="dxa"/>
          </w:tcPr>
          <w:p w14:paraId="4EACE106">
            <w:pPr>
              <w:jc w:val="center"/>
              <w:rPr>
                <w:rFonts w:hint="eastAsia" w:ascii="宋体" w:hAnsi="宋体" w:eastAsia="宋体" w:cs="宋体"/>
                <w:bCs/>
                <w:color w:val="auto"/>
                <w:sz w:val="24"/>
                <w:szCs w:val="24"/>
                <w:highlight w:val="none"/>
                <w:vertAlign w:val="baseline"/>
              </w:rPr>
            </w:pPr>
          </w:p>
        </w:tc>
      </w:tr>
      <w:tr w14:paraId="479B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Merge w:val="continue"/>
          </w:tcPr>
          <w:p w14:paraId="14616675">
            <w:pPr>
              <w:jc w:val="center"/>
              <w:rPr>
                <w:rFonts w:hint="eastAsia" w:ascii="宋体" w:hAnsi="宋体" w:eastAsia="宋体" w:cs="宋体"/>
                <w:bCs/>
                <w:color w:val="auto"/>
                <w:sz w:val="24"/>
                <w:szCs w:val="24"/>
                <w:highlight w:val="none"/>
                <w:vertAlign w:val="baseline"/>
              </w:rPr>
            </w:pPr>
          </w:p>
        </w:tc>
        <w:tc>
          <w:tcPr>
            <w:tcW w:w="1282" w:type="dxa"/>
            <w:shd w:val="clear" w:color="auto" w:fill="auto"/>
            <w:vAlign w:val="center"/>
          </w:tcPr>
          <w:p w14:paraId="5DB342C7">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工作纪律</w:t>
            </w:r>
          </w:p>
        </w:tc>
        <w:tc>
          <w:tcPr>
            <w:tcW w:w="1377" w:type="dxa"/>
            <w:shd w:val="clear" w:color="auto" w:fill="auto"/>
            <w:vAlign w:val="center"/>
          </w:tcPr>
          <w:p w14:paraId="02837B80">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出勤、遵守保洁流程与规定情况</w:t>
            </w:r>
          </w:p>
        </w:tc>
        <w:tc>
          <w:tcPr>
            <w:tcW w:w="723" w:type="dxa"/>
            <w:shd w:val="clear" w:color="auto" w:fill="auto"/>
            <w:vAlign w:val="center"/>
          </w:tcPr>
          <w:p w14:paraId="37A0743D">
            <w:pPr>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15</w:t>
            </w:r>
          </w:p>
        </w:tc>
        <w:tc>
          <w:tcPr>
            <w:tcW w:w="3834" w:type="dxa"/>
            <w:shd w:val="clear" w:color="auto" w:fill="auto"/>
            <w:vAlign w:val="center"/>
          </w:tcPr>
          <w:p w14:paraId="31526B2B">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无违规违纪且全勤得12-15分；</w:t>
            </w:r>
          </w:p>
          <w:p w14:paraId="7227DE99">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有轻微违纪得 8-11分；</w:t>
            </w:r>
          </w:p>
          <w:p w14:paraId="71A446A6">
            <w:pPr>
              <w:jc w:val="left"/>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违纪情况较多得0-7分</w:t>
            </w:r>
          </w:p>
        </w:tc>
        <w:tc>
          <w:tcPr>
            <w:tcW w:w="880" w:type="dxa"/>
          </w:tcPr>
          <w:p w14:paraId="61B0B0A9">
            <w:pPr>
              <w:jc w:val="center"/>
              <w:rPr>
                <w:rFonts w:hint="eastAsia" w:ascii="宋体" w:hAnsi="宋体" w:eastAsia="宋体" w:cs="宋体"/>
                <w:bCs/>
                <w:color w:val="auto"/>
                <w:sz w:val="24"/>
                <w:szCs w:val="24"/>
                <w:highlight w:val="none"/>
                <w:vertAlign w:val="baseline"/>
              </w:rPr>
            </w:pPr>
          </w:p>
        </w:tc>
      </w:tr>
      <w:tr w14:paraId="418D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14:paraId="734EAFBB">
            <w:pPr>
              <w:jc w:val="center"/>
              <w:rPr>
                <w:rFonts w:hint="eastAsia" w:ascii="宋体" w:hAnsi="宋体" w:eastAsia="宋体" w:cs="宋体"/>
                <w:bCs/>
                <w:color w:val="auto"/>
                <w:sz w:val="24"/>
                <w:szCs w:val="24"/>
                <w:highlight w:val="none"/>
              </w:rPr>
            </w:pPr>
          </w:p>
          <w:p w14:paraId="64911F2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w:t>
            </w:r>
          </w:p>
          <w:p w14:paraId="22CC9DB6">
            <w:pPr>
              <w:jc w:val="center"/>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注</w:t>
            </w:r>
          </w:p>
        </w:tc>
        <w:tc>
          <w:tcPr>
            <w:tcW w:w="8096" w:type="dxa"/>
            <w:gridSpan w:val="5"/>
          </w:tcPr>
          <w:p w14:paraId="2B764C25">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1.按季度考评的方式进行考核。每季度汇总得分一次，费用按季度考核情况拨付。</w:t>
            </w:r>
          </w:p>
          <w:p w14:paraId="4088B445">
            <w:pPr>
              <w:jc w:val="left"/>
              <w:rPr>
                <w:rFonts w:hint="eastAsia" w:ascii="宋体" w:hAnsi="宋体" w:eastAsia="宋体" w:cs="宋体"/>
                <w:bCs/>
                <w:color w:val="auto"/>
                <w:sz w:val="24"/>
                <w:szCs w:val="24"/>
                <w:highlight w:val="none"/>
                <w:vertAlign w:val="baseline"/>
              </w:rPr>
            </w:pPr>
            <w:r>
              <w:rPr>
                <w:rFonts w:hint="eastAsia" w:ascii="宋体" w:hAnsi="宋体" w:eastAsia="宋体" w:cs="宋体"/>
                <w:bCs/>
                <w:color w:val="auto"/>
                <w:sz w:val="24"/>
                <w:szCs w:val="24"/>
                <w:highlight w:val="none"/>
              </w:rPr>
              <w:t>2.季度评价得分在 90分以上的(含 90分),全额兑现当季费用；得分在60-89分的(含60分)，按照当季费用的0.5%/分扣除；得分在60分以下的，当季费用扣除20%，同时</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有权解除合同。</w:t>
            </w:r>
          </w:p>
        </w:tc>
      </w:tr>
    </w:tbl>
    <w:p w14:paraId="795A0149">
      <w:pPr>
        <w:jc w:val="center"/>
        <w:rPr>
          <w:rFonts w:hint="eastAsia" w:ascii="宋体" w:hAnsi="宋体" w:eastAsia="宋体" w:cs="宋体"/>
          <w:bCs/>
          <w:color w:val="auto"/>
          <w:sz w:val="24"/>
          <w:szCs w:val="24"/>
          <w:highlight w:val="none"/>
        </w:rPr>
      </w:pPr>
    </w:p>
    <w:p w14:paraId="1FCA7587">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2、商务需求：</w:t>
      </w:r>
    </w:p>
    <w:p w14:paraId="6B4DA77A">
      <w:pPr>
        <w:autoSpaceDE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自合同签订起</w:t>
      </w:r>
      <w:r>
        <w:rPr>
          <w:rFonts w:hint="eastAsia" w:ascii="宋体" w:hAnsi="宋体" w:eastAsia="宋体" w:cs="宋体"/>
          <w:color w:val="auto"/>
          <w:sz w:val="24"/>
          <w:highlight w:val="none"/>
          <w:lang w:val="en-US" w:eastAsia="zh-CN"/>
        </w:rPr>
        <w:t>二年，本次招标金额为二年度总费用。</w:t>
      </w:r>
    </w:p>
    <w:p w14:paraId="6EA427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2.2付款方式：</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凭</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开具的正规增值税专用发票，按季度据实结算。支付时间为下季度</w:t>
      </w:r>
      <w:r>
        <w:rPr>
          <w:rFonts w:hint="eastAsia" w:ascii="宋体" w:hAnsi="宋体" w:eastAsia="宋体" w:cs="宋体"/>
          <w:color w:val="auto"/>
          <w:sz w:val="24"/>
          <w:highlight w:val="none"/>
          <w:lang w:eastAsia="zh-CN"/>
        </w:rPr>
        <w:t>首月</w:t>
      </w:r>
      <w:r>
        <w:rPr>
          <w:rFonts w:hint="eastAsia" w:ascii="宋体" w:hAnsi="宋体" w:eastAsia="宋体" w:cs="宋体"/>
          <w:color w:val="auto"/>
          <w:sz w:val="24"/>
          <w:highlight w:val="none"/>
        </w:rPr>
        <w:t>（遇节假日顺延），最后一个季度的费用在合同期满后</w:t>
      </w:r>
      <w:r>
        <w:rPr>
          <w:rFonts w:hint="eastAsia" w:ascii="宋体" w:hAnsi="宋体" w:eastAsia="宋体" w:cs="宋体"/>
          <w:color w:val="auto"/>
          <w:sz w:val="24"/>
          <w:highlight w:val="none"/>
          <w:lang w:eastAsia="zh-CN"/>
        </w:rPr>
        <w:t>一个月内</w:t>
      </w:r>
      <w:r>
        <w:rPr>
          <w:rFonts w:hint="eastAsia" w:ascii="宋体" w:hAnsi="宋体" w:eastAsia="宋体" w:cs="宋体"/>
          <w:color w:val="auto"/>
          <w:sz w:val="24"/>
          <w:highlight w:val="none"/>
        </w:rPr>
        <w:t>结算支付。</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将组织代表每季度末对物业服务人员到岗情况、工作内容及服务质量按照管理项目及要求进行考核，费用按考核结果拨付。</w:t>
      </w:r>
    </w:p>
    <w:p w14:paraId="18C4B5CC">
      <w:pPr>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sz w:val="24"/>
          <w:highlight w:val="none"/>
        </w:rPr>
        <w:t>2.3本项目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人一旦中标，不得分包转包，一经发现</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人存在分包转包的行为，本项目合同立即自动中止，由此对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造成的损失由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承担。</w:t>
      </w:r>
    </w:p>
    <w:p w14:paraId="157F2F32">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2.4本项目实施过程中，因不可抗力致使合同目的无法实现（如校方更换物业服务单位），采购人有权提前终止合同。中标人应无条件配合，投标风险由中标人自行承担。</w:t>
      </w:r>
    </w:p>
    <w:p w14:paraId="74B91549">
      <w:pPr>
        <w:spacing w:line="360" w:lineRule="auto"/>
        <w:ind w:firstLine="480" w:firstLineChars="20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注：招标文件中打▲内容为实质性要求，不允许有负偏离，否则将以涉及无效投标条款作无效投标。</w:t>
      </w:r>
    </w:p>
    <w:p w14:paraId="0799343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2、中标单位所提供的货物、服务须与投标承诺一致，不得以次充好、偷工减料，若在项目验收中发现有上述情况，将向有关部门举报，根据相关规定进行处理。</w:t>
      </w:r>
    </w:p>
    <w:p w14:paraId="450B4ECB">
      <w:pPr>
        <w:widowControl w:val="0"/>
        <w:snapToGrid w:val="0"/>
        <w:spacing w:line="360" w:lineRule="exact"/>
        <w:ind w:firstLine="480" w:firstLineChars="200"/>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 xml:space="preserve">第四部分   </w:t>
      </w:r>
      <w:bookmarkStart w:id="2" w:name="_Toc184312100"/>
      <w:bookmarkEnd w:id="2"/>
      <w:bookmarkStart w:id="3" w:name="_Toc184308051"/>
      <w:bookmarkEnd w:id="3"/>
      <w:bookmarkStart w:id="4" w:name="_Toc184310301"/>
      <w:bookmarkEnd w:id="4"/>
      <w:bookmarkStart w:id="5" w:name="_Toc184314454"/>
      <w:bookmarkEnd w:id="5"/>
      <w:bookmarkStart w:id="6" w:name="_Toc184308069"/>
      <w:bookmarkEnd w:id="6"/>
      <w:bookmarkStart w:id="7" w:name="_Toc184308039"/>
      <w:bookmarkEnd w:id="7"/>
      <w:bookmarkStart w:id="8" w:name="_Toc184312108"/>
      <w:bookmarkEnd w:id="8"/>
      <w:bookmarkStart w:id="9" w:name="_Toc184310283"/>
      <w:bookmarkEnd w:id="9"/>
      <w:bookmarkStart w:id="10" w:name="_Toc184308047"/>
      <w:bookmarkEnd w:id="10"/>
      <w:bookmarkStart w:id="11" w:name="_Toc184313244"/>
      <w:bookmarkEnd w:id="11"/>
      <w:bookmarkStart w:id="12" w:name="_Toc184310341"/>
      <w:bookmarkEnd w:id="12"/>
      <w:bookmarkStart w:id="13" w:name="_Toc184308042"/>
      <w:bookmarkEnd w:id="13"/>
      <w:bookmarkStart w:id="14" w:name="_Toc184310312"/>
      <w:bookmarkEnd w:id="14"/>
      <w:bookmarkStart w:id="15" w:name="_Toc184310294"/>
      <w:bookmarkEnd w:id="15"/>
      <w:bookmarkStart w:id="16" w:name="_Toc184314456"/>
      <w:bookmarkEnd w:id="16"/>
      <w:bookmarkStart w:id="17" w:name="_Toc184308063"/>
      <w:bookmarkEnd w:id="17"/>
      <w:bookmarkStart w:id="18" w:name="_Toc184314477"/>
      <w:bookmarkEnd w:id="18"/>
      <w:bookmarkStart w:id="19" w:name="_Toc184312069"/>
      <w:bookmarkEnd w:id="19"/>
      <w:bookmarkStart w:id="20" w:name="_Toc184313307"/>
      <w:bookmarkEnd w:id="20"/>
      <w:bookmarkStart w:id="21" w:name="_Toc184312118"/>
      <w:bookmarkEnd w:id="21"/>
      <w:bookmarkStart w:id="22" w:name="_Toc184313243"/>
      <w:bookmarkEnd w:id="22"/>
      <w:bookmarkStart w:id="23" w:name="_Toc184310324"/>
      <w:bookmarkEnd w:id="23"/>
      <w:bookmarkStart w:id="24" w:name="_Toc184313257"/>
      <w:bookmarkEnd w:id="24"/>
      <w:bookmarkStart w:id="25" w:name="_Toc184312128"/>
      <w:bookmarkEnd w:id="25"/>
      <w:bookmarkStart w:id="26" w:name="_Toc184313298"/>
      <w:bookmarkEnd w:id="26"/>
      <w:bookmarkStart w:id="27" w:name="_Toc184313253"/>
      <w:bookmarkEnd w:id="27"/>
      <w:bookmarkStart w:id="28" w:name="_Toc184308060"/>
      <w:bookmarkEnd w:id="28"/>
      <w:bookmarkStart w:id="29" w:name="_Toc184312119"/>
      <w:bookmarkEnd w:id="29"/>
      <w:bookmarkStart w:id="30" w:name="_Toc184312084"/>
      <w:bookmarkEnd w:id="30"/>
      <w:bookmarkStart w:id="31" w:name="_Toc184310277"/>
      <w:bookmarkEnd w:id="31"/>
      <w:bookmarkStart w:id="32" w:name="_Toc184312131"/>
      <w:bookmarkEnd w:id="32"/>
      <w:bookmarkStart w:id="33" w:name="_Toc184314455"/>
      <w:bookmarkEnd w:id="33"/>
      <w:bookmarkStart w:id="34" w:name="_Toc184310296"/>
      <w:bookmarkEnd w:id="34"/>
      <w:bookmarkStart w:id="35" w:name="_Toc184313289"/>
      <w:bookmarkEnd w:id="35"/>
      <w:bookmarkStart w:id="36" w:name="_Toc184310278"/>
      <w:bookmarkEnd w:id="36"/>
      <w:bookmarkStart w:id="37" w:name="_Toc184313255"/>
      <w:bookmarkEnd w:id="37"/>
      <w:bookmarkStart w:id="38" w:name="_Toc184310292"/>
      <w:bookmarkEnd w:id="38"/>
      <w:bookmarkStart w:id="39" w:name="_Toc184312083"/>
      <w:bookmarkEnd w:id="39"/>
      <w:bookmarkStart w:id="40" w:name="_Toc184314468"/>
      <w:bookmarkEnd w:id="40"/>
      <w:bookmarkStart w:id="41" w:name="_Toc184314449"/>
      <w:bookmarkEnd w:id="41"/>
      <w:bookmarkStart w:id="42" w:name="_Toc184314430"/>
      <w:bookmarkEnd w:id="42"/>
      <w:bookmarkStart w:id="43" w:name="_Toc184308077"/>
      <w:bookmarkEnd w:id="43"/>
      <w:bookmarkStart w:id="44" w:name="_Toc184314425"/>
      <w:bookmarkEnd w:id="44"/>
      <w:bookmarkStart w:id="45" w:name="_Toc184314465"/>
      <w:bookmarkEnd w:id="45"/>
      <w:bookmarkStart w:id="46" w:name="_Toc184308052"/>
      <w:bookmarkEnd w:id="46"/>
      <w:bookmarkStart w:id="47" w:name="_Toc184313292"/>
      <w:bookmarkEnd w:id="47"/>
      <w:bookmarkStart w:id="48" w:name="_Toc184314475"/>
      <w:bookmarkEnd w:id="48"/>
      <w:bookmarkStart w:id="49" w:name="_Toc184308086"/>
      <w:bookmarkEnd w:id="49"/>
      <w:bookmarkStart w:id="50" w:name="_Toc184308088"/>
      <w:bookmarkEnd w:id="50"/>
      <w:bookmarkStart w:id="51" w:name="_Toc184310326"/>
      <w:bookmarkEnd w:id="51"/>
      <w:bookmarkStart w:id="52" w:name="_Toc184312070"/>
      <w:bookmarkEnd w:id="52"/>
      <w:bookmarkStart w:id="53" w:name="_Toc184310319"/>
      <w:bookmarkEnd w:id="53"/>
      <w:bookmarkStart w:id="54" w:name="_Toc184313299"/>
      <w:bookmarkEnd w:id="54"/>
      <w:bookmarkStart w:id="55" w:name="_Toc184308065"/>
      <w:bookmarkEnd w:id="55"/>
      <w:bookmarkStart w:id="56" w:name="_Toc184313259"/>
      <w:bookmarkEnd w:id="56"/>
      <w:bookmarkStart w:id="57" w:name="_Toc184310313"/>
      <w:bookmarkEnd w:id="57"/>
      <w:bookmarkStart w:id="58" w:name="_Toc184312126"/>
      <w:bookmarkEnd w:id="58"/>
      <w:bookmarkStart w:id="59" w:name="_Toc184313242"/>
      <w:bookmarkEnd w:id="59"/>
      <w:bookmarkStart w:id="60" w:name="_Toc184314438"/>
      <w:bookmarkEnd w:id="60"/>
      <w:bookmarkStart w:id="61" w:name="_Toc184313252"/>
      <w:bookmarkEnd w:id="61"/>
      <w:bookmarkStart w:id="62" w:name="_Toc184308066"/>
      <w:bookmarkEnd w:id="62"/>
      <w:bookmarkStart w:id="63" w:name="_Toc184312094"/>
      <w:bookmarkEnd w:id="63"/>
      <w:bookmarkStart w:id="64" w:name="_Toc184313291"/>
      <w:bookmarkEnd w:id="64"/>
      <w:bookmarkStart w:id="65" w:name="_Toc184313285"/>
      <w:bookmarkEnd w:id="65"/>
      <w:bookmarkStart w:id="66" w:name="_Toc184310274"/>
      <w:bookmarkEnd w:id="66"/>
      <w:bookmarkStart w:id="67" w:name="_Toc184313308"/>
      <w:bookmarkEnd w:id="67"/>
      <w:bookmarkStart w:id="68" w:name="_Toc184312078"/>
      <w:bookmarkEnd w:id="68"/>
      <w:bookmarkStart w:id="69" w:name="_Toc184310297"/>
      <w:bookmarkEnd w:id="69"/>
      <w:bookmarkStart w:id="70" w:name="_Toc184313245"/>
      <w:bookmarkEnd w:id="70"/>
      <w:bookmarkStart w:id="71" w:name="_Toc184313303"/>
      <w:bookmarkEnd w:id="71"/>
      <w:bookmarkStart w:id="72" w:name="_Toc184310317"/>
      <w:bookmarkEnd w:id="72"/>
      <w:bookmarkStart w:id="73" w:name="_Toc184314431"/>
      <w:bookmarkEnd w:id="73"/>
      <w:bookmarkStart w:id="74" w:name="_Toc184308089"/>
      <w:bookmarkEnd w:id="74"/>
      <w:bookmarkStart w:id="75" w:name="_Toc184312129"/>
      <w:bookmarkEnd w:id="75"/>
      <w:bookmarkStart w:id="76" w:name="_Toc184313262"/>
      <w:bookmarkEnd w:id="76"/>
      <w:bookmarkStart w:id="77" w:name="_Toc184310320"/>
      <w:bookmarkEnd w:id="77"/>
      <w:bookmarkStart w:id="78" w:name="_Toc184314426"/>
      <w:bookmarkEnd w:id="78"/>
      <w:bookmarkStart w:id="79" w:name="_Toc184312103"/>
      <w:bookmarkEnd w:id="79"/>
      <w:bookmarkStart w:id="80" w:name="_Toc184313295"/>
      <w:bookmarkEnd w:id="80"/>
      <w:bookmarkStart w:id="81" w:name="_Toc184314412"/>
      <w:bookmarkEnd w:id="81"/>
      <w:bookmarkStart w:id="82" w:name="_Toc184308046"/>
      <w:bookmarkEnd w:id="82"/>
      <w:bookmarkStart w:id="83" w:name="_Toc184313264"/>
      <w:bookmarkEnd w:id="83"/>
      <w:bookmarkStart w:id="84" w:name="_Toc184310272"/>
      <w:bookmarkEnd w:id="84"/>
      <w:bookmarkStart w:id="85" w:name="_Toc184314451"/>
      <w:bookmarkEnd w:id="85"/>
      <w:bookmarkStart w:id="86" w:name="_Toc184314469"/>
      <w:bookmarkEnd w:id="86"/>
      <w:bookmarkStart w:id="87" w:name="_Toc184314413"/>
      <w:bookmarkEnd w:id="87"/>
      <w:bookmarkStart w:id="88" w:name="_Toc184313247"/>
      <w:bookmarkEnd w:id="88"/>
      <w:bookmarkStart w:id="89" w:name="_Toc184310309"/>
      <w:bookmarkEnd w:id="89"/>
      <w:bookmarkStart w:id="90" w:name="_Toc184310336"/>
      <w:bookmarkEnd w:id="90"/>
      <w:bookmarkStart w:id="91" w:name="_Toc184312107"/>
      <w:bookmarkEnd w:id="91"/>
      <w:bookmarkStart w:id="92" w:name="_Toc184308106"/>
      <w:bookmarkEnd w:id="92"/>
      <w:bookmarkStart w:id="93" w:name="_Toc184312121"/>
      <w:bookmarkEnd w:id="93"/>
      <w:bookmarkStart w:id="94" w:name="_Toc184312120"/>
      <w:bookmarkEnd w:id="94"/>
      <w:bookmarkStart w:id="95" w:name="_Toc184312112"/>
      <w:bookmarkEnd w:id="95"/>
      <w:bookmarkStart w:id="96" w:name="_Toc184313304"/>
      <w:bookmarkEnd w:id="96"/>
      <w:bookmarkStart w:id="97" w:name="_Toc184310310"/>
      <w:bookmarkEnd w:id="97"/>
      <w:bookmarkStart w:id="98" w:name="_Toc184312098"/>
      <w:bookmarkEnd w:id="98"/>
      <w:bookmarkStart w:id="99" w:name="_Toc184308108"/>
      <w:bookmarkEnd w:id="99"/>
      <w:bookmarkStart w:id="100" w:name="_Toc184312101"/>
      <w:bookmarkEnd w:id="100"/>
      <w:bookmarkStart w:id="101" w:name="_Toc184308092"/>
      <w:bookmarkEnd w:id="101"/>
      <w:bookmarkStart w:id="102" w:name="_Toc184312135"/>
      <w:bookmarkEnd w:id="102"/>
      <w:bookmarkStart w:id="103" w:name="_Toc184310327"/>
      <w:bookmarkEnd w:id="103"/>
      <w:bookmarkStart w:id="104" w:name="_Toc184308044"/>
      <w:bookmarkEnd w:id="104"/>
      <w:bookmarkStart w:id="105" w:name="_Toc184312085"/>
      <w:bookmarkEnd w:id="105"/>
      <w:bookmarkStart w:id="106" w:name="_Toc184310305"/>
      <w:bookmarkEnd w:id="106"/>
      <w:bookmarkStart w:id="107" w:name="_Toc184312073"/>
      <w:bookmarkEnd w:id="107"/>
      <w:bookmarkStart w:id="108" w:name="_Toc184308036"/>
      <w:bookmarkEnd w:id="108"/>
      <w:bookmarkStart w:id="109" w:name="_Toc184313302"/>
      <w:bookmarkEnd w:id="109"/>
      <w:bookmarkStart w:id="110" w:name="_Toc184314429"/>
      <w:bookmarkEnd w:id="110"/>
      <w:bookmarkStart w:id="111" w:name="_Toc184313294"/>
      <w:bookmarkEnd w:id="111"/>
      <w:bookmarkStart w:id="112" w:name="_Toc184314424"/>
      <w:bookmarkEnd w:id="112"/>
      <w:bookmarkStart w:id="113" w:name="_Toc184310282"/>
      <w:bookmarkEnd w:id="113"/>
      <w:bookmarkStart w:id="114" w:name="_Toc184310330"/>
      <w:bookmarkEnd w:id="114"/>
      <w:bookmarkStart w:id="115" w:name="_Toc184312134"/>
      <w:bookmarkEnd w:id="115"/>
      <w:bookmarkStart w:id="116" w:name="_Toc184313274"/>
      <w:bookmarkEnd w:id="116"/>
      <w:bookmarkStart w:id="117" w:name="_Toc184313266"/>
      <w:bookmarkEnd w:id="117"/>
      <w:bookmarkStart w:id="118" w:name="_Toc184308090"/>
      <w:bookmarkEnd w:id="118"/>
      <w:bookmarkStart w:id="119" w:name="_Toc184313296"/>
      <w:bookmarkEnd w:id="119"/>
      <w:bookmarkStart w:id="120" w:name="_Toc184313251"/>
      <w:bookmarkEnd w:id="120"/>
      <w:bookmarkStart w:id="121" w:name="_Toc184310323"/>
      <w:bookmarkEnd w:id="121"/>
      <w:bookmarkStart w:id="122" w:name="_Toc184310307"/>
      <w:bookmarkEnd w:id="122"/>
      <w:bookmarkStart w:id="123" w:name="_Toc184310340"/>
      <w:bookmarkEnd w:id="123"/>
      <w:bookmarkStart w:id="124" w:name="_Toc184314440"/>
      <w:bookmarkEnd w:id="124"/>
      <w:bookmarkStart w:id="125" w:name="_Toc184312099"/>
      <w:bookmarkEnd w:id="125"/>
      <w:bookmarkStart w:id="126" w:name="_Toc184314416"/>
      <w:bookmarkEnd w:id="126"/>
      <w:bookmarkStart w:id="127" w:name="_Toc184314464"/>
      <w:bookmarkEnd w:id="127"/>
      <w:bookmarkStart w:id="128" w:name="_Toc184313246"/>
      <w:bookmarkEnd w:id="128"/>
      <w:bookmarkStart w:id="129" w:name="_Toc184308087"/>
      <w:bookmarkEnd w:id="129"/>
      <w:bookmarkStart w:id="130" w:name="_Toc184313306"/>
      <w:bookmarkEnd w:id="130"/>
      <w:bookmarkStart w:id="131" w:name="_Toc184314453"/>
      <w:bookmarkEnd w:id="131"/>
      <w:bookmarkStart w:id="132" w:name="_Toc184308084"/>
      <w:bookmarkEnd w:id="132"/>
      <w:bookmarkStart w:id="133" w:name="_Toc184312090"/>
      <w:bookmarkEnd w:id="133"/>
      <w:bookmarkStart w:id="134" w:name="_Toc184312089"/>
      <w:bookmarkEnd w:id="134"/>
      <w:bookmarkStart w:id="135" w:name="_Toc184310300"/>
      <w:bookmarkEnd w:id="135"/>
      <w:bookmarkStart w:id="136" w:name="_Toc184312116"/>
      <w:bookmarkEnd w:id="136"/>
      <w:bookmarkStart w:id="137" w:name="_Toc184313290"/>
      <w:bookmarkEnd w:id="137"/>
      <w:bookmarkStart w:id="138" w:name="_Toc184312106"/>
      <w:bookmarkEnd w:id="138"/>
      <w:bookmarkStart w:id="139" w:name="_Toc184308072"/>
      <w:bookmarkEnd w:id="139"/>
      <w:bookmarkStart w:id="140" w:name="_Toc184310335"/>
      <w:bookmarkEnd w:id="140"/>
      <w:bookmarkStart w:id="141" w:name="_Toc184308043"/>
      <w:bookmarkEnd w:id="141"/>
      <w:bookmarkStart w:id="142" w:name="_Toc184308081"/>
      <w:bookmarkEnd w:id="142"/>
      <w:bookmarkStart w:id="143" w:name="_Toc184308099"/>
      <w:bookmarkEnd w:id="143"/>
      <w:bookmarkStart w:id="144" w:name="_Toc184314415"/>
      <w:bookmarkEnd w:id="144"/>
      <w:bookmarkStart w:id="145" w:name="_Toc184308075"/>
      <w:bookmarkEnd w:id="145"/>
      <w:bookmarkStart w:id="146" w:name="_Toc184310298"/>
      <w:bookmarkEnd w:id="146"/>
      <w:bookmarkStart w:id="147" w:name="_Toc184314447"/>
      <w:bookmarkEnd w:id="147"/>
      <w:bookmarkStart w:id="148" w:name="_Toc184313261"/>
      <w:bookmarkEnd w:id="148"/>
      <w:bookmarkStart w:id="149" w:name="_Toc184310318"/>
      <w:bookmarkEnd w:id="149"/>
      <w:bookmarkStart w:id="150" w:name="_Toc184314421"/>
      <w:bookmarkEnd w:id="150"/>
      <w:bookmarkStart w:id="151" w:name="_Toc184308103"/>
      <w:bookmarkEnd w:id="151"/>
      <w:bookmarkStart w:id="152" w:name="_Toc184314432"/>
      <w:bookmarkEnd w:id="152"/>
      <w:bookmarkStart w:id="153" w:name="_Toc184312117"/>
      <w:bookmarkEnd w:id="153"/>
      <w:bookmarkStart w:id="154" w:name="_Toc184310331"/>
      <w:bookmarkEnd w:id="154"/>
      <w:bookmarkStart w:id="155" w:name="_Toc184313270"/>
      <w:bookmarkEnd w:id="155"/>
      <w:bookmarkStart w:id="156" w:name="_Toc184310334"/>
      <w:bookmarkEnd w:id="156"/>
      <w:bookmarkStart w:id="157" w:name="_Toc184314417"/>
      <w:bookmarkEnd w:id="157"/>
      <w:bookmarkStart w:id="158" w:name="_Toc184314473"/>
      <w:bookmarkEnd w:id="158"/>
      <w:bookmarkStart w:id="159" w:name="_Toc184312096"/>
      <w:bookmarkEnd w:id="159"/>
      <w:bookmarkStart w:id="160" w:name="_Toc184313258"/>
      <w:bookmarkEnd w:id="160"/>
      <w:bookmarkStart w:id="161" w:name="_Toc184313297"/>
      <w:bookmarkEnd w:id="161"/>
      <w:bookmarkStart w:id="162" w:name="_Toc184314481"/>
      <w:bookmarkEnd w:id="162"/>
      <w:bookmarkStart w:id="163" w:name="_Toc184308095"/>
      <w:bookmarkEnd w:id="163"/>
      <w:bookmarkStart w:id="164" w:name="_Toc184310285"/>
      <w:bookmarkEnd w:id="164"/>
      <w:bookmarkStart w:id="165" w:name="_Toc184314422"/>
      <w:bookmarkEnd w:id="165"/>
      <w:bookmarkStart w:id="166" w:name="_Toc184313239"/>
      <w:bookmarkEnd w:id="166"/>
      <w:bookmarkStart w:id="167" w:name="_Toc184308083"/>
      <w:bookmarkEnd w:id="167"/>
      <w:bookmarkStart w:id="168" w:name="_Toc184308093"/>
      <w:bookmarkEnd w:id="168"/>
      <w:bookmarkStart w:id="169" w:name="_Toc184313249"/>
      <w:bookmarkEnd w:id="169"/>
      <w:bookmarkStart w:id="170" w:name="_Toc184310293"/>
      <w:bookmarkEnd w:id="170"/>
      <w:bookmarkStart w:id="171" w:name="_Toc184313267"/>
      <w:bookmarkEnd w:id="171"/>
      <w:bookmarkStart w:id="172" w:name="_Toc184313293"/>
      <w:bookmarkEnd w:id="172"/>
      <w:bookmarkStart w:id="173" w:name="_Toc184308085"/>
      <w:bookmarkEnd w:id="173"/>
      <w:bookmarkStart w:id="174" w:name="_Toc184312110"/>
      <w:bookmarkEnd w:id="174"/>
      <w:bookmarkStart w:id="175" w:name="_Toc184312081"/>
      <w:bookmarkEnd w:id="175"/>
      <w:bookmarkStart w:id="176" w:name="_Toc184312139"/>
      <w:bookmarkEnd w:id="176"/>
      <w:bookmarkStart w:id="177" w:name="_Toc184310329"/>
      <w:bookmarkEnd w:id="177"/>
      <w:bookmarkStart w:id="178" w:name="_Toc184308037"/>
      <w:bookmarkEnd w:id="178"/>
      <w:bookmarkStart w:id="179" w:name="_Toc184310311"/>
      <w:bookmarkEnd w:id="179"/>
      <w:bookmarkStart w:id="180" w:name="_Toc184312125"/>
      <w:bookmarkEnd w:id="180"/>
      <w:bookmarkStart w:id="181" w:name="_Toc184308096"/>
      <w:bookmarkEnd w:id="181"/>
      <w:bookmarkStart w:id="182" w:name="_Toc184313277"/>
      <w:bookmarkEnd w:id="182"/>
      <w:bookmarkStart w:id="183" w:name="_Toc184314462"/>
      <w:bookmarkEnd w:id="183"/>
      <w:bookmarkStart w:id="184" w:name="_Toc184308105"/>
      <w:bookmarkEnd w:id="184"/>
      <w:bookmarkStart w:id="185" w:name="_Toc184312088"/>
      <w:bookmarkEnd w:id="185"/>
      <w:bookmarkStart w:id="186" w:name="_Toc184308041"/>
      <w:bookmarkEnd w:id="186"/>
      <w:bookmarkStart w:id="187" w:name="_Toc184310275"/>
      <w:bookmarkEnd w:id="187"/>
      <w:bookmarkStart w:id="188" w:name="_Toc184313305"/>
      <w:bookmarkEnd w:id="188"/>
      <w:bookmarkStart w:id="189" w:name="_Toc184313276"/>
      <w:bookmarkEnd w:id="189"/>
      <w:bookmarkStart w:id="190" w:name="_Toc184308091"/>
      <w:bookmarkEnd w:id="190"/>
      <w:bookmarkStart w:id="191" w:name="_Toc184310304"/>
      <w:bookmarkEnd w:id="191"/>
      <w:bookmarkStart w:id="192" w:name="_Toc184312138"/>
      <w:bookmarkEnd w:id="192"/>
      <w:bookmarkStart w:id="193" w:name="_Toc184313273"/>
      <w:bookmarkEnd w:id="193"/>
      <w:bookmarkStart w:id="194" w:name="_Toc184310286"/>
      <w:bookmarkEnd w:id="194"/>
      <w:bookmarkStart w:id="195" w:name="_Toc184308071"/>
      <w:bookmarkEnd w:id="195"/>
      <w:bookmarkStart w:id="196" w:name="_Toc184312080"/>
      <w:bookmarkEnd w:id="196"/>
      <w:bookmarkStart w:id="197" w:name="_Toc184310303"/>
      <w:bookmarkEnd w:id="197"/>
      <w:bookmarkStart w:id="198" w:name="_Toc184313283"/>
      <w:bookmarkEnd w:id="198"/>
      <w:bookmarkStart w:id="199" w:name="_Toc184314467"/>
      <w:bookmarkEnd w:id="199"/>
      <w:bookmarkStart w:id="200" w:name="_Toc184308107"/>
      <w:bookmarkEnd w:id="200"/>
      <w:bookmarkStart w:id="201" w:name="_Toc184313269"/>
      <w:bookmarkEnd w:id="201"/>
      <w:bookmarkStart w:id="202" w:name="_Toc184308056"/>
      <w:bookmarkEnd w:id="202"/>
      <w:bookmarkStart w:id="203" w:name="_Toc184308104"/>
      <w:bookmarkEnd w:id="203"/>
      <w:bookmarkStart w:id="204" w:name="_Toc184310322"/>
      <w:bookmarkEnd w:id="204"/>
      <w:bookmarkStart w:id="205" w:name="_Toc184310337"/>
      <w:bookmarkEnd w:id="205"/>
      <w:bookmarkStart w:id="206" w:name="_Toc184310315"/>
      <w:bookmarkEnd w:id="206"/>
      <w:bookmarkStart w:id="207" w:name="_Toc184308040"/>
      <w:bookmarkEnd w:id="207"/>
      <w:bookmarkStart w:id="208" w:name="_Toc184313310"/>
      <w:bookmarkEnd w:id="208"/>
      <w:bookmarkStart w:id="209" w:name="_Toc184310290"/>
      <w:bookmarkEnd w:id="209"/>
      <w:bookmarkStart w:id="210" w:name="_Toc184308098"/>
      <w:bookmarkEnd w:id="210"/>
      <w:bookmarkStart w:id="211" w:name="_Toc184314476"/>
      <w:bookmarkEnd w:id="211"/>
      <w:bookmarkStart w:id="212" w:name="_Toc184308102"/>
      <w:bookmarkEnd w:id="212"/>
      <w:bookmarkStart w:id="213" w:name="_Toc184314466"/>
      <w:bookmarkEnd w:id="213"/>
      <w:bookmarkStart w:id="214" w:name="_Toc184310295"/>
      <w:bookmarkEnd w:id="214"/>
      <w:bookmarkStart w:id="215" w:name="_Toc184312093"/>
      <w:bookmarkEnd w:id="215"/>
      <w:bookmarkStart w:id="216" w:name="_Toc184312071"/>
      <w:bookmarkEnd w:id="216"/>
      <w:bookmarkStart w:id="217" w:name="_Toc184310291"/>
      <w:bookmarkEnd w:id="217"/>
      <w:bookmarkStart w:id="218" w:name="_Toc184308097"/>
      <w:bookmarkEnd w:id="218"/>
      <w:bookmarkStart w:id="219" w:name="_Toc184310342"/>
      <w:bookmarkEnd w:id="219"/>
      <w:bookmarkStart w:id="220" w:name="_Toc184314458"/>
      <w:bookmarkEnd w:id="220"/>
      <w:bookmarkStart w:id="221" w:name="_Toc184310280"/>
      <w:bookmarkEnd w:id="221"/>
      <w:bookmarkStart w:id="222" w:name="_Toc184312091"/>
      <w:bookmarkEnd w:id="222"/>
      <w:bookmarkStart w:id="223" w:name="_Toc184314446"/>
      <w:bookmarkEnd w:id="223"/>
      <w:bookmarkStart w:id="224" w:name="_Toc184308082"/>
      <w:bookmarkEnd w:id="224"/>
      <w:bookmarkStart w:id="225" w:name="_Toc184310321"/>
      <w:bookmarkEnd w:id="225"/>
      <w:bookmarkStart w:id="226" w:name="_Toc184310288"/>
      <w:bookmarkEnd w:id="226"/>
      <w:bookmarkStart w:id="227" w:name="_Toc184314459"/>
      <w:bookmarkEnd w:id="227"/>
      <w:bookmarkStart w:id="228" w:name="_Toc184314436"/>
      <w:bookmarkEnd w:id="228"/>
      <w:bookmarkStart w:id="229" w:name="_Toc184313240"/>
      <w:bookmarkEnd w:id="229"/>
      <w:bookmarkStart w:id="230" w:name="_Toc184314479"/>
      <w:bookmarkEnd w:id="230"/>
      <w:bookmarkStart w:id="231" w:name="_Toc184310308"/>
      <w:bookmarkEnd w:id="231"/>
      <w:bookmarkStart w:id="232" w:name="_Toc184308080"/>
      <w:bookmarkEnd w:id="232"/>
      <w:bookmarkStart w:id="233" w:name="_Toc184310279"/>
      <w:bookmarkEnd w:id="233"/>
      <w:bookmarkStart w:id="234" w:name="_Toc184313282"/>
      <w:bookmarkEnd w:id="234"/>
      <w:bookmarkStart w:id="235" w:name="_Toc184310332"/>
      <w:bookmarkEnd w:id="235"/>
      <w:bookmarkStart w:id="236" w:name="_Toc184312076"/>
      <w:bookmarkEnd w:id="236"/>
      <w:bookmarkStart w:id="237" w:name="_Toc184312127"/>
      <w:bookmarkEnd w:id="237"/>
      <w:bookmarkStart w:id="238" w:name="_Toc184314419"/>
      <w:bookmarkEnd w:id="238"/>
      <w:bookmarkStart w:id="239" w:name="_Toc184313271"/>
      <w:bookmarkEnd w:id="239"/>
      <w:bookmarkStart w:id="240" w:name="_Toc184308094"/>
      <w:bookmarkEnd w:id="240"/>
      <w:bookmarkStart w:id="241" w:name="_Toc184314457"/>
      <w:bookmarkEnd w:id="241"/>
      <w:bookmarkStart w:id="242" w:name="_Toc184314441"/>
      <w:bookmarkEnd w:id="242"/>
      <w:bookmarkStart w:id="243" w:name="_Toc184312133"/>
      <w:bookmarkEnd w:id="243"/>
      <w:bookmarkStart w:id="244" w:name="_Toc184314420"/>
      <w:bookmarkEnd w:id="244"/>
      <w:bookmarkStart w:id="245" w:name="_Toc184314434"/>
      <w:bookmarkEnd w:id="245"/>
      <w:bookmarkStart w:id="246" w:name="_Toc184313301"/>
      <w:bookmarkEnd w:id="246"/>
      <w:bookmarkStart w:id="247" w:name="_Toc184313263"/>
      <w:bookmarkEnd w:id="247"/>
      <w:bookmarkStart w:id="248" w:name="_Toc184314437"/>
      <w:bookmarkEnd w:id="248"/>
      <w:bookmarkStart w:id="249" w:name="_Toc184310284"/>
      <w:bookmarkEnd w:id="249"/>
      <w:bookmarkStart w:id="250" w:name="_Toc184310339"/>
      <w:bookmarkEnd w:id="250"/>
      <w:bookmarkStart w:id="251" w:name="_Toc184313288"/>
      <w:bookmarkEnd w:id="251"/>
      <w:bookmarkStart w:id="252" w:name="_Toc184308074"/>
      <w:bookmarkEnd w:id="252"/>
      <w:bookmarkStart w:id="253" w:name="_Toc184310328"/>
      <w:bookmarkEnd w:id="253"/>
      <w:bookmarkStart w:id="254" w:name="_Toc184312137"/>
      <w:bookmarkEnd w:id="254"/>
      <w:bookmarkStart w:id="255" w:name="_Toc184308054"/>
      <w:bookmarkEnd w:id="255"/>
      <w:bookmarkStart w:id="256" w:name="_Toc184312132"/>
      <w:bookmarkEnd w:id="256"/>
      <w:bookmarkStart w:id="257" w:name="_Toc184314439"/>
      <w:bookmarkEnd w:id="257"/>
      <w:bookmarkStart w:id="258" w:name="_Toc184314450"/>
      <w:bookmarkEnd w:id="258"/>
      <w:bookmarkStart w:id="259" w:name="_Toc184308078"/>
      <w:bookmarkEnd w:id="259"/>
      <w:bookmarkStart w:id="260" w:name="_Toc184310306"/>
      <w:bookmarkEnd w:id="260"/>
      <w:bookmarkStart w:id="261" w:name="_Toc184310287"/>
      <w:bookmarkEnd w:id="261"/>
      <w:bookmarkStart w:id="262" w:name="_Toc184312114"/>
      <w:bookmarkEnd w:id="262"/>
      <w:bookmarkStart w:id="263" w:name="_Toc184312079"/>
      <w:bookmarkEnd w:id="263"/>
      <w:bookmarkStart w:id="264" w:name="_Toc184308076"/>
      <w:bookmarkEnd w:id="264"/>
      <w:bookmarkStart w:id="265" w:name="_Toc184312124"/>
      <w:bookmarkEnd w:id="265"/>
      <w:bookmarkStart w:id="266" w:name="_Toc184310316"/>
      <w:bookmarkEnd w:id="266"/>
      <w:bookmarkStart w:id="267" w:name="_Toc184308038"/>
      <w:bookmarkEnd w:id="267"/>
      <w:bookmarkStart w:id="268" w:name="_Toc184313278"/>
      <w:bookmarkEnd w:id="268"/>
      <w:bookmarkStart w:id="269" w:name="_Toc184314452"/>
      <w:bookmarkEnd w:id="269"/>
      <w:bookmarkStart w:id="270" w:name="_Toc184313241"/>
      <w:bookmarkEnd w:id="270"/>
      <w:bookmarkStart w:id="271" w:name="_Toc184308079"/>
      <w:bookmarkEnd w:id="271"/>
      <w:bookmarkStart w:id="272" w:name="_Toc184308073"/>
      <w:bookmarkEnd w:id="272"/>
      <w:bookmarkStart w:id="273" w:name="_Toc184312075"/>
      <w:bookmarkEnd w:id="273"/>
      <w:bookmarkStart w:id="274" w:name="_Toc184308058"/>
      <w:bookmarkEnd w:id="274"/>
      <w:bookmarkStart w:id="275" w:name="_Toc184313248"/>
      <w:bookmarkEnd w:id="275"/>
      <w:bookmarkStart w:id="276" w:name="_Toc184314423"/>
      <w:bookmarkEnd w:id="276"/>
      <w:bookmarkStart w:id="277" w:name="_Toc184310343"/>
      <w:bookmarkEnd w:id="277"/>
      <w:bookmarkStart w:id="278" w:name="_Toc184314410"/>
      <w:bookmarkEnd w:id="278"/>
      <w:bookmarkStart w:id="279" w:name="_Toc184313250"/>
      <w:bookmarkEnd w:id="279"/>
      <w:bookmarkStart w:id="280" w:name="_Toc184314448"/>
      <w:bookmarkEnd w:id="280"/>
      <w:bookmarkStart w:id="281" w:name="_Toc184314411"/>
      <w:bookmarkEnd w:id="281"/>
      <w:bookmarkStart w:id="282" w:name="_Toc184312109"/>
      <w:bookmarkEnd w:id="282"/>
      <w:bookmarkStart w:id="283" w:name="_Toc184314445"/>
      <w:bookmarkEnd w:id="283"/>
      <w:bookmarkStart w:id="284" w:name="_Toc184314414"/>
      <w:bookmarkEnd w:id="284"/>
      <w:bookmarkStart w:id="285" w:name="_Toc184308045"/>
      <w:bookmarkEnd w:id="285"/>
      <w:bookmarkStart w:id="286" w:name="_Toc184310281"/>
      <w:bookmarkEnd w:id="286"/>
      <w:bookmarkStart w:id="287" w:name="_Toc184312123"/>
      <w:bookmarkEnd w:id="287"/>
      <w:bookmarkStart w:id="288" w:name="_Toc184314428"/>
      <w:bookmarkEnd w:id="288"/>
      <w:bookmarkStart w:id="289" w:name="_Toc184313272"/>
      <w:bookmarkEnd w:id="289"/>
      <w:bookmarkStart w:id="290" w:name="_Toc184308050"/>
      <w:bookmarkEnd w:id="290"/>
      <w:bookmarkStart w:id="291" w:name="_Toc184314435"/>
      <w:bookmarkEnd w:id="291"/>
      <w:bookmarkStart w:id="292" w:name="_Toc184310344"/>
      <w:bookmarkEnd w:id="292"/>
      <w:bookmarkStart w:id="293" w:name="_Toc184312136"/>
      <w:bookmarkEnd w:id="293"/>
      <w:bookmarkStart w:id="294" w:name="_Toc184313256"/>
      <w:bookmarkEnd w:id="294"/>
      <w:bookmarkStart w:id="295" w:name="_Toc184310276"/>
      <w:bookmarkEnd w:id="295"/>
      <w:bookmarkStart w:id="296" w:name="_Toc184312087"/>
      <w:bookmarkEnd w:id="296"/>
      <w:bookmarkStart w:id="297" w:name="_Toc184313300"/>
      <w:bookmarkEnd w:id="297"/>
      <w:bookmarkStart w:id="298" w:name="_Toc184312097"/>
      <w:bookmarkEnd w:id="298"/>
      <w:bookmarkStart w:id="299" w:name="_Toc184310333"/>
      <w:bookmarkEnd w:id="299"/>
      <w:bookmarkStart w:id="300" w:name="_Toc184313309"/>
      <w:bookmarkEnd w:id="300"/>
      <w:bookmarkStart w:id="301" w:name="_Toc184308062"/>
      <w:bookmarkEnd w:id="301"/>
      <w:bookmarkStart w:id="302" w:name="_Toc184314427"/>
      <w:bookmarkEnd w:id="302"/>
      <w:bookmarkStart w:id="303" w:name="_Toc184314478"/>
      <w:bookmarkEnd w:id="303"/>
      <w:bookmarkStart w:id="304" w:name="_Toc184313265"/>
      <w:bookmarkEnd w:id="304"/>
      <w:bookmarkStart w:id="305" w:name="_Toc184310325"/>
      <w:bookmarkEnd w:id="305"/>
      <w:bookmarkStart w:id="306" w:name="_Toc184308061"/>
      <w:bookmarkEnd w:id="306"/>
      <w:bookmarkStart w:id="307" w:name="_Toc184314463"/>
      <w:bookmarkEnd w:id="307"/>
      <w:bookmarkStart w:id="308" w:name="_Toc184313279"/>
      <w:bookmarkEnd w:id="308"/>
      <w:bookmarkStart w:id="309" w:name="_Toc184312111"/>
      <w:bookmarkEnd w:id="309"/>
      <w:bookmarkStart w:id="310" w:name="_Toc184312115"/>
      <w:bookmarkEnd w:id="310"/>
      <w:bookmarkStart w:id="311" w:name="_Toc184310273"/>
      <w:bookmarkEnd w:id="311"/>
      <w:bookmarkStart w:id="312" w:name="_Toc184313287"/>
      <w:bookmarkEnd w:id="312"/>
      <w:bookmarkStart w:id="313" w:name="_Toc184313268"/>
      <w:bookmarkEnd w:id="313"/>
      <w:bookmarkStart w:id="314" w:name="_Toc184312086"/>
      <w:bookmarkEnd w:id="314"/>
      <w:bookmarkStart w:id="315" w:name="_Toc184314471"/>
      <w:bookmarkEnd w:id="315"/>
      <w:bookmarkStart w:id="316" w:name="_Toc184308055"/>
      <w:bookmarkEnd w:id="316"/>
      <w:bookmarkStart w:id="317" w:name="_Toc184308057"/>
      <w:bookmarkEnd w:id="317"/>
      <w:bookmarkStart w:id="318" w:name="_Toc184312072"/>
      <w:bookmarkEnd w:id="318"/>
      <w:bookmarkStart w:id="319" w:name="_Toc184312092"/>
      <w:bookmarkEnd w:id="319"/>
      <w:bookmarkStart w:id="320" w:name="_Toc184314443"/>
      <w:bookmarkEnd w:id="320"/>
      <w:bookmarkStart w:id="321" w:name="_Toc184312074"/>
      <w:bookmarkEnd w:id="321"/>
      <w:bookmarkStart w:id="322" w:name="_Toc184313280"/>
      <w:bookmarkEnd w:id="322"/>
      <w:bookmarkStart w:id="323" w:name="_Toc184313286"/>
      <w:bookmarkEnd w:id="323"/>
      <w:bookmarkStart w:id="324" w:name="_Toc184312113"/>
      <w:bookmarkEnd w:id="324"/>
      <w:bookmarkStart w:id="325" w:name="_Toc184314460"/>
      <w:bookmarkEnd w:id="325"/>
      <w:bookmarkStart w:id="326" w:name="_Toc184312130"/>
      <w:bookmarkEnd w:id="326"/>
      <w:bookmarkStart w:id="327" w:name="_Toc184308068"/>
      <w:bookmarkEnd w:id="327"/>
      <w:bookmarkStart w:id="328" w:name="_Toc184312102"/>
      <w:bookmarkEnd w:id="328"/>
      <w:bookmarkStart w:id="329" w:name="_Toc184310302"/>
      <w:bookmarkEnd w:id="329"/>
      <w:bookmarkStart w:id="330" w:name="_Toc184314480"/>
      <w:bookmarkEnd w:id="330"/>
      <w:bookmarkStart w:id="331" w:name="_Toc184313254"/>
      <w:bookmarkEnd w:id="331"/>
      <w:bookmarkStart w:id="332" w:name="_Toc184313275"/>
      <w:bookmarkEnd w:id="332"/>
      <w:bookmarkStart w:id="333" w:name="_Toc184308053"/>
      <w:bookmarkEnd w:id="333"/>
      <w:bookmarkStart w:id="334" w:name="_Toc184312105"/>
      <w:bookmarkEnd w:id="334"/>
      <w:bookmarkStart w:id="335" w:name="_Toc184308067"/>
      <w:bookmarkEnd w:id="335"/>
      <w:bookmarkStart w:id="336" w:name="_Toc184312104"/>
      <w:bookmarkEnd w:id="336"/>
      <w:bookmarkStart w:id="337" w:name="_Toc184314442"/>
      <w:bookmarkEnd w:id="337"/>
      <w:bookmarkStart w:id="338" w:name="_Toc184308048"/>
      <w:bookmarkEnd w:id="338"/>
      <w:bookmarkStart w:id="339" w:name="_Toc184313238"/>
      <w:bookmarkEnd w:id="339"/>
      <w:bookmarkStart w:id="340" w:name="_Toc184314461"/>
      <w:bookmarkEnd w:id="340"/>
      <w:bookmarkStart w:id="341" w:name="_Toc184310338"/>
      <w:bookmarkEnd w:id="341"/>
      <w:bookmarkStart w:id="342" w:name="_Toc184314444"/>
      <w:bookmarkEnd w:id="342"/>
      <w:bookmarkStart w:id="343" w:name="_Toc184308100"/>
      <w:bookmarkEnd w:id="343"/>
      <w:bookmarkStart w:id="344" w:name="_Toc184308101"/>
      <w:bookmarkEnd w:id="344"/>
      <w:bookmarkStart w:id="345" w:name="_Toc184312122"/>
      <w:bookmarkEnd w:id="345"/>
      <w:bookmarkStart w:id="346" w:name="_Toc184314472"/>
      <w:bookmarkEnd w:id="346"/>
      <w:bookmarkStart w:id="347" w:name="_Toc184312068"/>
      <w:bookmarkEnd w:id="347"/>
      <w:bookmarkStart w:id="348" w:name="_Toc184313284"/>
      <w:bookmarkEnd w:id="348"/>
      <w:bookmarkStart w:id="349" w:name="_Toc184313260"/>
      <w:bookmarkEnd w:id="349"/>
      <w:bookmarkStart w:id="350" w:name="_Toc184314482"/>
      <w:bookmarkEnd w:id="350"/>
      <w:bookmarkStart w:id="351" w:name="_Toc184312077"/>
      <w:bookmarkEnd w:id="351"/>
      <w:bookmarkStart w:id="352" w:name="_Toc184310314"/>
      <w:bookmarkEnd w:id="352"/>
      <w:bookmarkStart w:id="353" w:name="_Toc184314470"/>
      <w:bookmarkEnd w:id="353"/>
      <w:bookmarkStart w:id="354" w:name="_Toc184314474"/>
      <w:bookmarkEnd w:id="354"/>
      <w:bookmarkStart w:id="355" w:name="_Toc184308070"/>
      <w:bookmarkEnd w:id="355"/>
      <w:bookmarkStart w:id="356" w:name="_Toc184312095"/>
      <w:bookmarkEnd w:id="356"/>
      <w:bookmarkStart w:id="357" w:name="_Toc184312067"/>
      <w:bookmarkEnd w:id="357"/>
      <w:bookmarkStart w:id="358" w:name="_Toc184313281"/>
      <w:bookmarkEnd w:id="358"/>
      <w:bookmarkStart w:id="359" w:name="_Toc184314433"/>
      <w:bookmarkEnd w:id="359"/>
      <w:bookmarkStart w:id="360" w:name="_Toc184314418"/>
      <w:bookmarkEnd w:id="360"/>
      <w:bookmarkStart w:id="361" w:name="_Toc184312082"/>
      <w:bookmarkEnd w:id="361"/>
      <w:bookmarkStart w:id="362" w:name="_Toc184308064"/>
      <w:bookmarkEnd w:id="362"/>
      <w:bookmarkStart w:id="363" w:name="_Toc184308049"/>
      <w:bookmarkEnd w:id="363"/>
      <w:bookmarkStart w:id="364" w:name="_Toc184308059"/>
      <w:bookmarkEnd w:id="364"/>
      <w:bookmarkStart w:id="365" w:name="_Toc184310299"/>
      <w:bookmarkEnd w:id="365"/>
      <w:bookmarkStart w:id="366" w:name="_Toc184310289"/>
      <w:bookmarkEnd w:id="366"/>
      <w:r>
        <w:rPr>
          <w:rFonts w:hint="eastAsia" w:ascii="宋体" w:hAnsi="宋体" w:eastAsia="宋体" w:cs="宋体"/>
          <w:b/>
          <w:color w:val="auto"/>
          <w:sz w:val="32"/>
          <w:szCs w:val="32"/>
          <w:highlight w:val="none"/>
        </w:rPr>
        <w:t>评标办法</w:t>
      </w:r>
    </w:p>
    <w:p w14:paraId="5A34C36A">
      <w:pPr>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交易办法前附表</w:t>
      </w:r>
    </w:p>
    <w:p w14:paraId="0D41C772">
      <w:pPr>
        <w:widowControl/>
        <w:numPr>
          <w:ilvl w:val="0"/>
          <w:numId w:val="1"/>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商务技术部分（80分）：</w:t>
      </w:r>
    </w:p>
    <w:p w14:paraId="552B11B1">
      <w:pPr>
        <w:widowControl/>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1.1商务资信（11分）</w:t>
      </w:r>
    </w:p>
    <w:tbl>
      <w:tblPr>
        <w:tblStyle w:val="30"/>
        <w:tblW w:w="9404" w:type="dxa"/>
        <w:jc w:val="center"/>
        <w:tblLayout w:type="fixed"/>
        <w:tblCellMar>
          <w:top w:w="0" w:type="dxa"/>
          <w:left w:w="108" w:type="dxa"/>
          <w:bottom w:w="0" w:type="dxa"/>
          <w:right w:w="108" w:type="dxa"/>
        </w:tblCellMar>
      </w:tblPr>
      <w:tblGrid>
        <w:gridCol w:w="702"/>
        <w:gridCol w:w="773"/>
        <w:gridCol w:w="6027"/>
        <w:gridCol w:w="849"/>
        <w:gridCol w:w="1053"/>
      </w:tblGrid>
      <w:tr w14:paraId="750DF48B">
        <w:tblPrEx>
          <w:tblCellMar>
            <w:top w:w="0" w:type="dxa"/>
            <w:left w:w="108" w:type="dxa"/>
            <w:bottom w:w="0" w:type="dxa"/>
            <w:right w:w="108" w:type="dxa"/>
          </w:tblCellMar>
        </w:tblPrEx>
        <w:trPr>
          <w:trHeight w:val="564" w:hRule="atLeast"/>
          <w:jc w:val="center"/>
        </w:trPr>
        <w:tc>
          <w:tcPr>
            <w:tcW w:w="702" w:type="dxa"/>
            <w:tcBorders>
              <w:top w:val="single" w:color="auto" w:sz="8" w:space="0"/>
              <w:left w:val="single" w:color="auto" w:sz="8" w:space="0"/>
              <w:bottom w:val="single" w:color="auto" w:sz="4" w:space="0"/>
              <w:right w:val="single" w:color="auto" w:sz="4" w:space="0"/>
            </w:tcBorders>
            <w:vAlign w:val="center"/>
          </w:tcPr>
          <w:p w14:paraId="6DFDCB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800" w:type="dxa"/>
            <w:gridSpan w:val="2"/>
            <w:tcBorders>
              <w:top w:val="single" w:color="auto" w:sz="8" w:space="0"/>
              <w:left w:val="nil"/>
              <w:bottom w:val="single" w:color="auto" w:sz="4" w:space="0"/>
              <w:right w:val="single" w:color="auto" w:sz="4" w:space="0"/>
            </w:tcBorders>
            <w:vAlign w:val="center"/>
          </w:tcPr>
          <w:p w14:paraId="52BE76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49" w:type="dxa"/>
            <w:tcBorders>
              <w:top w:val="single" w:color="auto" w:sz="8" w:space="0"/>
              <w:left w:val="nil"/>
              <w:bottom w:val="single" w:color="auto" w:sz="4" w:space="0"/>
              <w:right w:val="single" w:color="auto" w:sz="4" w:space="0"/>
            </w:tcBorders>
            <w:vAlign w:val="center"/>
          </w:tcPr>
          <w:p w14:paraId="6A5625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4626A1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w:t>
            </w:r>
          </w:p>
        </w:tc>
        <w:tc>
          <w:tcPr>
            <w:tcW w:w="1053" w:type="dxa"/>
            <w:tcBorders>
              <w:top w:val="single" w:color="auto" w:sz="8" w:space="0"/>
              <w:left w:val="nil"/>
              <w:bottom w:val="single" w:color="auto" w:sz="4" w:space="0"/>
              <w:right w:val="single" w:color="auto" w:sz="4" w:space="0"/>
            </w:tcBorders>
            <w:vAlign w:val="center"/>
          </w:tcPr>
          <w:p w14:paraId="13FAF7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w:t>
            </w:r>
          </w:p>
          <w:p w14:paraId="0465E9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观分</w:t>
            </w:r>
          </w:p>
        </w:tc>
      </w:tr>
      <w:tr w14:paraId="4862920B">
        <w:tblPrEx>
          <w:tblCellMar>
            <w:top w:w="0" w:type="dxa"/>
            <w:left w:w="108" w:type="dxa"/>
            <w:bottom w:w="0" w:type="dxa"/>
            <w:right w:w="108" w:type="dxa"/>
          </w:tblCellMar>
        </w:tblPrEx>
        <w:trPr>
          <w:trHeight w:val="970" w:hRule="atLeast"/>
          <w:jc w:val="center"/>
        </w:trPr>
        <w:tc>
          <w:tcPr>
            <w:tcW w:w="702" w:type="dxa"/>
            <w:vMerge w:val="restart"/>
            <w:tcBorders>
              <w:top w:val="single" w:color="auto" w:sz="4" w:space="0"/>
              <w:left w:val="single" w:color="auto" w:sz="4" w:space="0"/>
              <w:right w:val="single" w:color="auto" w:sz="4" w:space="0"/>
            </w:tcBorders>
            <w:vAlign w:val="center"/>
          </w:tcPr>
          <w:p w14:paraId="129AD4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w:t>
            </w:r>
          </w:p>
          <w:p w14:paraId="413E46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14:paraId="72DC79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78FDE5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w:t>
            </w:r>
          </w:p>
          <w:p w14:paraId="147168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F0757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11分）</w:t>
            </w:r>
          </w:p>
        </w:tc>
        <w:tc>
          <w:tcPr>
            <w:tcW w:w="773" w:type="dxa"/>
            <w:tcBorders>
              <w:top w:val="single" w:color="auto" w:sz="4" w:space="0"/>
              <w:left w:val="single" w:color="auto" w:sz="4" w:space="0"/>
              <w:bottom w:val="single" w:color="auto" w:sz="4" w:space="0"/>
              <w:right w:val="single" w:color="auto" w:sz="4" w:space="0"/>
            </w:tcBorders>
            <w:vAlign w:val="center"/>
          </w:tcPr>
          <w:p w14:paraId="2B7E63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27" w:type="dxa"/>
            <w:tcBorders>
              <w:top w:val="single" w:color="auto" w:sz="4" w:space="0"/>
              <w:left w:val="single" w:color="auto" w:sz="4" w:space="0"/>
              <w:bottom w:val="single" w:color="auto" w:sz="4" w:space="0"/>
              <w:right w:val="single" w:color="auto" w:sz="4" w:space="0"/>
            </w:tcBorders>
            <w:vAlign w:val="center"/>
          </w:tcPr>
          <w:p w14:paraId="057DF2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具有有效期内的质量管理体系认证证书、环境管理体系认证证书、职业健康管理体系认证证书，每个得2分，最高得6分。（需提供有效期内的证书复印件并加盖公章）。</w:t>
            </w:r>
          </w:p>
        </w:tc>
        <w:tc>
          <w:tcPr>
            <w:tcW w:w="849" w:type="dxa"/>
            <w:tcBorders>
              <w:top w:val="single" w:color="auto" w:sz="4" w:space="0"/>
              <w:left w:val="single" w:color="auto" w:sz="4" w:space="0"/>
              <w:bottom w:val="single" w:color="auto" w:sz="4" w:space="0"/>
              <w:right w:val="single" w:color="auto" w:sz="4" w:space="0"/>
            </w:tcBorders>
            <w:vAlign w:val="center"/>
          </w:tcPr>
          <w:p w14:paraId="723A73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c>
          <w:tcPr>
            <w:tcW w:w="1053" w:type="dxa"/>
            <w:tcBorders>
              <w:top w:val="single" w:color="auto" w:sz="4" w:space="0"/>
              <w:left w:val="single" w:color="auto" w:sz="4" w:space="0"/>
              <w:bottom w:val="single" w:color="auto" w:sz="4" w:space="0"/>
              <w:right w:val="single" w:color="auto" w:sz="4" w:space="0"/>
            </w:tcBorders>
            <w:vAlign w:val="center"/>
          </w:tcPr>
          <w:p w14:paraId="191FC0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BBB849E">
        <w:tblPrEx>
          <w:tblCellMar>
            <w:top w:w="0" w:type="dxa"/>
            <w:left w:w="108" w:type="dxa"/>
            <w:bottom w:w="0" w:type="dxa"/>
            <w:right w:w="108" w:type="dxa"/>
          </w:tblCellMar>
        </w:tblPrEx>
        <w:trPr>
          <w:trHeight w:val="914" w:hRule="atLeast"/>
          <w:jc w:val="center"/>
        </w:trPr>
        <w:tc>
          <w:tcPr>
            <w:tcW w:w="702" w:type="dxa"/>
            <w:vMerge w:val="continue"/>
            <w:tcBorders>
              <w:left w:val="single" w:color="auto" w:sz="4" w:space="0"/>
              <w:right w:val="single" w:color="auto" w:sz="4" w:space="0"/>
            </w:tcBorders>
            <w:vAlign w:val="center"/>
          </w:tcPr>
          <w:p w14:paraId="12ABA20D">
            <w:pPr>
              <w:rPr>
                <w:rFonts w:hint="eastAsia" w:ascii="宋体" w:hAnsi="宋体" w:eastAsia="宋体" w:cs="宋体"/>
                <w:color w:val="auto"/>
                <w:sz w:val="24"/>
                <w:szCs w:val="24"/>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14:paraId="0780D96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27" w:type="dxa"/>
            <w:tcBorders>
              <w:top w:val="single" w:color="auto" w:sz="4" w:space="0"/>
              <w:left w:val="single" w:color="auto" w:sz="4" w:space="0"/>
              <w:bottom w:val="single" w:color="auto" w:sz="4" w:space="0"/>
              <w:right w:val="single" w:color="auto" w:sz="4" w:space="0"/>
            </w:tcBorders>
            <w:vAlign w:val="center"/>
          </w:tcPr>
          <w:p w14:paraId="1C4709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年1月1日至今（以签订合同时间为准）承担类似项目业绩，每个得1分，最高得2分。（需出具项目合同的复印件并加盖公章，是否同类业绩以评委判定为准）</w:t>
            </w:r>
          </w:p>
        </w:tc>
        <w:tc>
          <w:tcPr>
            <w:tcW w:w="849" w:type="dxa"/>
            <w:tcBorders>
              <w:top w:val="single" w:color="auto" w:sz="4" w:space="0"/>
              <w:left w:val="single" w:color="auto" w:sz="4" w:space="0"/>
              <w:bottom w:val="single" w:color="auto" w:sz="4" w:space="0"/>
              <w:right w:val="single" w:color="auto" w:sz="4" w:space="0"/>
            </w:tcBorders>
            <w:vAlign w:val="center"/>
          </w:tcPr>
          <w:p w14:paraId="0730C0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c>
          <w:tcPr>
            <w:tcW w:w="1053" w:type="dxa"/>
            <w:tcBorders>
              <w:top w:val="single" w:color="auto" w:sz="4" w:space="0"/>
              <w:left w:val="single" w:color="auto" w:sz="4" w:space="0"/>
              <w:bottom w:val="single" w:color="auto" w:sz="4" w:space="0"/>
              <w:right w:val="single" w:color="auto" w:sz="4" w:space="0"/>
            </w:tcBorders>
            <w:vAlign w:val="center"/>
          </w:tcPr>
          <w:p w14:paraId="52169E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4207A6C">
        <w:tblPrEx>
          <w:tblCellMar>
            <w:top w:w="0" w:type="dxa"/>
            <w:left w:w="108" w:type="dxa"/>
            <w:bottom w:w="0" w:type="dxa"/>
            <w:right w:w="108" w:type="dxa"/>
          </w:tblCellMar>
        </w:tblPrEx>
        <w:trPr>
          <w:trHeight w:val="1180" w:hRule="atLeast"/>
          <w:jc w:val="center"/>
        </w:trPr>
        <w:tc>
          <w:tcPr>
            <w:tcW w:w="702" w:type="dxa"/>
            <w:vMerge w:val="continue"/>
            <w:tcBorders>
              <w:left w:val="single" w:color="auto" w:sz="4" w:space="0"/>
              <w:bottom w:val="single" w:color="auto" w:sz="4" w:space="0"/>
              <w:right w:val="single" w:color="auto" w:sz="4" w:space="0"/>
            </w:tcBorders>
            <w:vAlign w:val="center"/>
          </w:tcPr>
          <w:p w14:paraId="09ABACB7">
            <w:pPr>
              <w:rPr>
                <w:rFonts w:hint="eastAsia" w:ascii="宋体" w:hAnsi="宋体" w:eastAsia="宋体" w:cs="宋体"/>
                <w:color w:val="auto"/>
                <w:sz w:val="24"/>
                <w:szCs w:val="24"/>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14:paraId="28BAF2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027" w:type="dxa"/>
            <w:tcBorders>
              <w:top w:val="single" w:color="auto" w:sz="4" w:space="0"/>
              <w:left w:val="single" w:color="auto" w:sz="4" w:space="0"/>
              <w:bottom w:val="single" w:color="auto" w:sz="4" w:space="0"/>
              <w:right w:val="single" w:color="auto" w:sz="4" w:space="0"/>
            </w:tcBorders>
            <w:vAlign w:val="center"/>
          </w:tcPr>
          <w:p w14:paraId="5560AF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具有信用评级机构出具的信用评级证书，信用等级为AAA级的得3分，信用等级为AA级的得2分，信用等级为A级的得1分，没有不得分。证书需在有效期内。（需提供相关证书或文件）</w:t>
            </w:r>
          </w:p>
        </w:tc>
        <w:tc>
          <w:tcPr>
            <w:tcW w:w="849" w:type="dxa"/>
            <w:tcBorders>
              <w:top w:val="single" w:color="auto" w:sz="4" w:space="0"/>
              <w:left w:val="single" w:color="auto" w:sz="4" w:space="0"/>
              <w:bottom w:val="single" w:color="auto" w:sz="4" w:space="0"/>
              <w:right w:val="single" w:color="auto" w:sz="4" w:space="0"/>
            </w:tcBorders>
            <w:vAlign w:val="center"/>
          </w:tcPr>
          <w:p w14:paraId="467918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c>
          <w:tcPr>
            <w:tcW w:w="1053" w:type="dxa"/>
            <w:tcBorders>
              <w:top w:val="single" w:color="auto" w:sz="4" w:space="0"/>
              <w:left w:val="single" w:color="auto" w:sz="4" w:space="0"/>
              <w:bottom w:val="single" w:color="auto" w:sz="4" w:space="0"/>
              <w:right w:val="single" w:color="auto" w:sz="4" w:space="0"/>
            </w:tcBorders>
            <w:vAlign w:val="center"/>
          </w:tcPr>
          <w:p w14:paraId="469652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14:paraId="06DA04BD">
      <w:pPr>
        <w:widowControl/>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1.2技术部分（69分）</w:t>
      </w:r>
    </w:p>
    <w:tbl>
      <w:tblPr>
        <w:tblStyle w:val="30"/>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77"/>
        <w:gridCol w:w="6066"/>
        <w:gridCol w:w="896"/>
        <w:gridCol w:w="1073"/>
      </w:tblGrid>
      <w:tr w14:paraId="13AB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93" w:type="pct"/>
            <w:vMerge w:val="restart"/>
            <w:noWrap/>
            <w:vAlign w:val="center"/>
          </w:tcPr>
          <w:p w14:paraId="3EA264E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技术分</w:t>
            </w:r>
          </w:p>
          <w:p w14:paraId="5303D0B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（69分）</w:t>
            </w:r>
          </w:p>
          <w:p w14:paraId="6D57844C">
            <w:pPr>
              <w:spacing w:line="360" w:lineRule="auto"/>
              <w:rPr>
                <w:rFonts w:hint="eastAsia" w:ascii="宋体" w:hAnsi="宋体" w:eastAsia="宋体" w:cs="宋体"/>
                <w:color w:val="auto"/>
                <w:kern w:val="0"/>
                <w:sz w:val="24"/>
                <w:highlight w:val="none"/>
              </w:rPr>
            </w:pPr>
          </w:p>
        </w:tc>
        <w:tc>
          <w:tcPr>
            <w:tcW w:w="406" w:type="pct"/>
            <w:noWrap/>
            <w:vAlign w:val="center"/>
          </w:tcPr>
          <w:p w14:paraId="7FA1AB3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71" w:type="pct"/>
            <w:noWrap/>
            <w:vAlign w:val="center"/>
          </w:tcPr>
          <w:p w14:paraId="20A319F5">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评分内容和标准</w:t>
            </w:r>
          </w:p>
        </w:tc>
        <w:tc>
          <w:tcPr>
            <w:tcW w:w="468" w:type="pct"/>
            <w:noWrap/>
            <w:vAlign w:val="center"/>
          </w:tcPr>
          <w:p w14:paraId="0093B24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p w14:paraId="191471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区间</w:t>
            </w:r>
          </w:p>
        </w:tc>
        <w:tc>
          <w:tcPr>
            <w:tcW w:w="560" w:type="pct"/>
            <w:noWrap/>
            <w:vAlign w:val="center"/>
          </w:tcPr>
          <w:p w14:paraId="756CE01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主/客</w:t>
            </w:r>
          </w:p>
          <w:p w14:paraId="12778D4A">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观分</w:t>
            </w:r>
          </w:p>
        </w:tc>
      </w:tr>
      <w:tr w14:paraId="235A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3" w:type="pct"/>
            <w:vMerge w:val="continue"/>
            <w:noWrap/>
            <w:vAlign w:val="center"/>
          </w:tcPr>
          <w:p w14:paraId="7816FB67">
            <w:pPr>
              <w:spacing w:line="360" w:lineRule="auto"/>
              <w:rPr>
                <w:rFonts w:hint="eastAsia" w:ascii="宋体" w:hAnsi="宋体" w:eastAsia="宋体" w:cs="宋体"/>
                <w:color w:val="auto"/>
                <w:sz w:val="24"/>
                <w:highlight w:val="none"/>
              </w:rPr>
            </w:pPr>
          </w:p>
        </w:tc>
        <w:tc>
          <w:tcPr>
            <w:tcW w:w="406" w:type="pct"/>
            <w:noWrap/>
            <w:vAlign w:val="center"/>
          </w:tcPr>
          <w:p w14:paraId="41F6E8EB">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71" w:type="pct"/>
            <w:noWrap/>
            <w:vAlign w:val="center"/>
          </w:tcPr>
          <w:p w14:paraId="7E968B22">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根据本项目特点提出合理的宿舍管理服务理念、服务定位和服务目标等进行综合评分。 </w:t>
            </w:r>
            <w:r>
              <w:rPr>
                <w:rFonts w:hint="eastAsia" w:ascii="宋体" w:hAnsi="宋体" w:eastAsia="宋体" w:cs="宋体"/>
                <w:color w:val="auto"/>
                <w:kern w:val="0"/>
                <w:sz w:val="24"/>
                <w:highlight w:val="none"/>
              </w:rPr>
              <w:t>分值：5-4-3-2-1-0</w:t>
            </w:r>
            <w:r>
              <w:rPr>
                <w:rFonts w:hint="eastAsia" w:ascii="宋体" w:hAnsi="宋体" w:eastAsia="宋体" w:cs="宋体"/>
                <w:color w:val="auto"/>
                <w:sz w:val="24"/>
                <w:highlight w:val="none"/>
              </w:rPr>
              <w:t xml:space="preserve">  </w:t>
            </w:r>
          </w:p>
        </w:tc>
        <w:tc>
          <w:tcPr>
            <w:tcW w:w="468" w:type="pct"/>
            <w:noWrap/>
            <w:vAlign w:val="center"/>
          </w:tcPr>
          <w:p w14:paraId="239C4F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0-5分</w:t>
            </w:r>
          </w:p>
        </w:tc>
        <w:tc>
          <w:tcPr>
            <w:tcW w:w="560" w:type="pct"/>
            <w:noWrap/>
            <w:vAlign w:val="center"/>
          </w:tcPr>
          <w:p w14:paraId="3907D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5A7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ign w:val="center"/>
          </w:tcPr>
          <w:p w14:paraId="37F36958">
            <w:pPr>
              <w:spacing w:line="360" w:lineRule="auto"/>
              <w:rPr>
                <w:rFonts w:hint="eastAsia" w:ascii="宋体" w:hAnsi="宋体" w:eastAsia="宋体" w:cs="宋体"/>
                <w:color w:val="auto"/>
                <w:sz w:val="24"/>
                <w:highlight w:val="none"/>
              </w:rPr>
            </w:pPr>
          </w:p>
        </w:tc>
        <w:tc>
          <w:tcPr>
            <w:tcW w:w="406" w:type="pct"/>
            <w:noWrap/>
            <w:vAlign w:val="center"/>
          </w:tcPr>
          <w:p w14:paraId="6AB7C039">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71" w:type="pct"/>
            <w:noWrap/>
            <w:vAlign w:val="center"/>
          </w:tcPr>
          <w:p w14:paraId="4EF3A73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根据本项目对相关人员的配备、日常工作制度、组织分工是否明确等进行综合评分。</w:t>
            </w:r>
            <w:r>
              <w:rPr>
                <w:rFonts w:hint="eastAsia" w:ascii="宋体" w:hAnsi="宋体" w:eastAsia="宋体" w:cs="宋体"/>
                <w:color w:val="auto"/>
                <w:kern w:val="0"/>
                <w:sz w:val="24"/>
                <w:highlight w:val="none"/>
              </w:rPr>
              <w:t>分值：5-4-3-2-1-0</w:t>
            </w:r>
            <w:r>
              <w:rPr>
                <w:rFonts w:hint="eastAsia" w:ascii="宋体" w:hAnsi="宋体" w:eastAsia="宋体" w:cs="宋体"/>
                <w:color w:val="auto"/>
                <w:sz w:val="24"/>
                <w:highlight w:val="none"/>
              </w:rPr>
              <w:t xml:space="preserve">  </w:t>
            </w:r>
          </w:p>
        </w:tc>
        <w:tc>
          <w:tcPr>
            <w:tcW w:w="468" w:type="pct"/>
            <w:noWrap/>
            <w:vAlign w:val="center"/>
          </w:tcPr>
          <w:p w14:paraId="7BBA87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0-5分</w:t>
            </w:r>
          </w:p>
        </w:tc>
        <w:tc>
          <w:tcPr>
            <w:tcW w:w="560" w:type="pct"/>
            <w:noWrap/>
            <w:vAlign w:val="center"/>
          </w:tcPr>
          <w:p w14:paraId="2F1EA1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0F3E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93" w:type="pct"/>
            <w:vMerge w:val="continue"/>
            <w:noWrap/>
            <w:vAlign w:val="center"/>
          </w:tcPr>
          <w:p w14:paraId="48AF5DAE">
            <w:pPr>
              <w:spacing w:line="360" w:lineRule="auto"/>
              <w:rPr>
                <w:rFonts w:hint="eastAsia" w:ascii="宋体" w:hAnsi="宋体" w:eastAsia="宋体" w:cs="宋体"/>
                <w:color w:val="auto"/>
                <w:sz w:val="24"/>
                <w:highlight w:val="none"/>
              </w:rPr>
            </w:pPr>
          </w:p>
        </w:tc>
        <w:tc>
          <w:tcPr>
            <w:tcW w:w="406" w:type="pct"/>
            <w:noWrap/>
            <w:vAlign w:val="center"/>
          </w:tcPr>
          <w:p w14:paraId="41A2DB47">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71" w:type="pct"/>
            <w:noWrap/>
            <w:vAlign w:val="center"/>
          </w:tcPr>
          <w:p w14:paraId="57EFAC26">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 xml:space="preserve">具有有健全的宿舍管理制度，体现标准化服务水平，包括：考勤管理制度、财务管理制度、接待投诉制度、培训学习制度、监督考核制度、档案管理制度、各项工作制度等。 </w:t>
            </w:r>
            <w:r>
              <w:rPr>
                <w:rFonts w:hint="eastAsia" w:ascii="宋体" w:hAnsi="宋体" w:eastAsia="宋体" w:cs="宋体"/>
                <w:color w:val="auto"/>
                <w:kern w:val="0"/>
                <w:sz w:val="24"/>
                <w:highlight w:val="none"/>
              </w:rPr>
              <w:t>分值：6-5-4-3-2-1-0</w:t>
            </w:r>
          </w:p>
        </w:tc>
        <w:tc>
          <w:tcPr>
            <w:tcW w:w="468" w:type="pct"/>
            <w:noWrap/>
            <w:vAlign w:val="center"/>
          </w:tcPr>
          <w:p w14:paraId="490356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0-6分</w:t>
            </w:r>
          </w:p>
        </w:tc>
        <w:tc>
          <w:tcPr>
            <w:tcW w:w="560" w:type="pct"/>
            <w:noWrap/>
            <w:vAlign w:val="center"/>
          </w:tcPr>
          <w:p w14:paraId="66A080C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7D5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93" w:type="pct"/>
            <w:vMerge w:val="continue"/>
            <w:noWrap/>
            <w:vAlign w:val="center"/>
          </w:tcPr>
          <w:p w14:paraId="3B2CA632">
            <w:pPr>
              <w:spacing w:line="360" w:lineRule="auto"/>
              <w:rPr>
                <w:rFonts w:hint="eastAsia" w:ascii="宋体" w:hAnsi="宋体" w:eastAsia="宋体" w:cs="宋体"/>
                <w:color w:val="auto"/>
                <w:sz w:val="24"/>
                <w:highlight w:val="none"/>
              </w:rPr>
            </w:pPr>
          </w:p>
        </w:tc>
        <w:tc>
          <w:tcPr>
            <w:tcW w:w="406" w:type="pct"/>
            <w:noWrap/>
            <w:vAlign w:val="center"/>
          </w:tcPr>
          <w:p w14:paraId="6DF3ABAE">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171" w:type="pct"/>
            <w:noWrap/>
            <w:vAlign w:val="center"/>
          </w:tcPr>
          <w:p w14:paraId="29D5E517">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根据业主具体情况制定详细的培训方案，根据方案可行程度、措施得力等能否满足要求等进行综合评分（包括但不仅限于：培训内容、时间、地点、人数；系统操作培训以及日常维护系统培训；对相关业务人员培训的次数）。 </w:t>
            </w:r>
            <w:r>
              <w:rPr>
                <w:rFonts w:hint="eastAsia" w:ascii="宋体" w:hAnsi="宋体" w:eastAsia="宋体" w:cs="宋体"/>
                <w:color w:val="auto"/>
                <w:kern w:val="0"/>
                <w:sz w:val="24"/>
                <w:highlight w:val="none"/>
              </w:rPr>
              <w:t>分值：6-5-4-3-2-1-0</w:t>
            </w:r>
            <w:r>
              <w:rPr>
                <w:rFonts w:hint="eastAsia" w:ascii="宋体" w:hAnsi="宋体" w:eastAsia="宋体" w:cs="宋体"/>
                <w:color w:val="auto"/>
                <w:sz w:val="24"/>
                <w:highlight w:val="none"/>
              </w:rPr>
              <w:t xml:space="preserve"> </w:t>
            </w:r>
          </w:p>
        </w:tc>
        <w:tc>
          <w:tcPr>
            <w:tcW w:w="468" w:type="pct"/>
            <w:noWrap/>
            <w:vAlign w:val="center"/>
          </w:tcPr>
          <w:p w14:paraId="734537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0-6分</w:t>
            </w:r>
          </w:p>
        </w:tc>
        <w:tc>
          <w:tcPr>
            <w:tcW w:w="560" w:type="pct"/>
            <w:noWrap/>
            <w:vAlign w:val="center"/>
          </w:tcPr>
          <w:p w14:paraId="7FD67E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988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393" w:type="pct"/>
            <w:vMerge w:val="continue"/>
            <w:noWrap/>
            <w:vAlign w:val="center"/>
          </w:tcPr>
          <w:p w14:paraId="3A3DF2B0">
            <w:pPr>
              <w:spacing w:line="360" w:lineRule="auto"/>
              <w:rPr>
                <w:rFonts w:hint="eastAsia" w:ascii="宋体" w:hAnsi="宋体" w:eastAsia="宋体" w:cs="宋体"/>
                <w:color w:val="auto"/>
                <w:sz w:val="24"/>
                <w:highlight w:val="none"/>
              </w:rPr>
            </w:pPr>
          </w:p>
        </w:tc>
        <w:tc>
          <w:tcPr>
            <w:tcW w:w="406" w:type="pct"/>
            <w:noWrap/>
            <w:vAlign w:val="center"/>
          </w:tcPr>
          <w:p w14:paraId="044B21D0">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71" w:type="pct"/>
            <w:noWrap/>
            <w:vAlign w:val="center"/>
          </w:tcPr>
          <w:p w14:paraId="43FC2CCC">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针对本项目的人员综合实力投入：根据人数、社保缴纳证明、年龄、学历等情况进行综合打分。（需提供拟派</w:t>
            </w:r>
            <w:r>
              <w:rPr>
                <w:rFonts w:hint="eastAsia" w:ascii="宋体" w:hAnsi="宋体" w:eastAsia="宋体" w:cs="宋体"/>
                <w:color w:val="auto"/>
                <w:sz w:val="24"/>
                <w:highlight w:val="none"/>
                <w:lang w:eastAsia="zh-CN"/>
              </w:rPr>
              <w:t>管理员、前台会务</w:t>
            </w:r>
            <w:r>
              <w:rPr>
                <w:rFonts w:hint="eastAsia" w:ascii="宋体" w:hAnsi="宋体" w:eastAsia="宋体" w:cs="宋体"/>
                <w:color w:val="auto"/>
                <w:sz w:val="24"/>
                <w:highlight w:val="none"/>
              </w:rPr>
              <w:t>人员</w:t>
            </w:r>
            <w:r>
              <w:rPr>
                <w:rFonts w:hint="eastAsia" w:ascii="宋体" w:hAnsi="宋体" w:eastAsia="宋体" w:cs="宋体"/>
                <w:color w:val="auto"/>
                <w:sz w:val="24"/>
                <w:highlight w:val="none"/>
                <w:lang w:eastAsia="zh-CN"/>
              </w:rPr>
              <w:t>近</w:t>
            </w:r>
            <w:r>
              <w:rPr>
                <w:rFonts w:hint="eastAsia" w:ascii="宋体" w:hAnsi="宋体" w:eastAsia="宋体" w:cs="宋体"/>
                <w:color w:val="auto"/>
                <w:sz w:val="24"/>
                <w:highlight w:val="none"/>
                <w:lang w:val="en-US" w:eastAsia="zh-CN"/>
              </w:rPr>
              <w:t>1个月</w:t>
            </w:r>
            <w:r>
              <w:rPr>
                <w:rFonts w:hint="eastAsia" w:ascii="宋体" w:hAnsi="宋体" w:eastAsia="宋体" w:cs="宋体"/>
                <w:color w:val="auto"/>
                <w:sz w:val="24"/>
                <w:highlight w:val="none"/>
              </w:rPr>
              <w:t>社保费用缴纳证明、相关证书及证明材料复印件）。</w:t>
            </w:r>
            <w:r>
              <w:rPr>
                <w:rFonts w:hint="eastAsia" w:ascii="宋体" w:hAnsi="宋体" w:eastAsia="宋体" w:cs="宋体"/>
                <w:color w:val="auto"/>
                <w:kern w:val="0"/>
                <w:sz w:val="24"/>
                <w:highlight w:val="none"/>
              </w:rPr>
              <w:t>分值：6-5-4-3-2-1-0</w:t>
            </w:r>
            <w:r>
              <w:rPr>
                <w:rFonts w:hint="eastAsia" w:ascii="宋体" w:hAnsi="宋体" w:eastAsia="宋体" w:cs="宋体"/>
                <w:color w:val="auto"/>
                <w:sz w:val="24"/>
                <w:highlight w:val="none"/>
              </w:rPr>
              <w:t xml:space="preserve"> </w:t>
            </w:r>
          </w:p>
        </w:tc>
        <w:tc>
          <w:tcPr>
            <w:tcW w:w="468" w:type="pct"/>
            <w:noWrap/>
            <w:vAlign w:val="center"/>
          </w:tcPr>
          <w:p w14:paraId="5E4DAF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0-6分</w:t>
            </w:r>
          </w:p>
        </w:tc>
        <w:tc>
          <w:tcPr>
            <w:tcW w:w="560" w:type="pct"/>
            <w:noWrap/>
            <w:vAlign w:val="center"/>
          </w:tcPr>
          <w:p w14:paraId="754663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D79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93" w:type="pct"/>
            <w:vMerge w:val="continue"/>
            <w:noWrap/>
            <w:vAlign w:val="center"/>
          </w:tcPr>
          <w:p w14:paraId="55986082">
            <w:pPr>
              <w:spacing w:line="360" w:lineRule="auto"/>
              <w:rPr>
                <w:rFonts w:hint="eastAsia" w:ascii="宋体" w:hAnsi="宋体" w:eastAsia="宋体" w:cs="宋体"/>
                <w:color w:val="auto"/>
                <w:sz w:val="24"/>
                <w:highlight w:val="none"/>
              </w:rPr>
            </w:pPr>
          </w:p>
        </w:tc>
        <w:tc>
          <w:tcPr>
            <w:tcW w:w="406" w:type="pct"/>
            <w:noWrap/>
            <w:vAlign w:val="center"/>
          </w:tcPr>
          <w:p w14:paraId="4D5D3DD2">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171" w:type="pct"/>
            <w:noWrap/>
            <w:vAlign w:val="center"/>
          </w:tcPr>
          <w:p w14:paraId="23E53E10">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的组织架构、管理机制：有比较完善的组织架构，清晰简练地列出主要管理流程，包括对运作流程图、激励机制、监督机制、自我约束机制、信息反馈渠道及处理机制比较，根据响应文件内容进行综合打分。分值：6-5-4-3-2-1-0</w:t>
            </w:r>
            <w:r>
              <w:rPr>
                <w:rFonts w:hint="eastAsia" w:ascii="宋体" w:hAnsi="宋体" w:eastAsia="宋体" w:cs="宋体"/>
                <w:color w:val="auto"/>
                <w:sz w:val="24"/>
                <w:highlight w:val="none"/>
              </w:rPr>
              <w:t xml:space="preserve"> </w:t>
            </w:r>
          </w:p>
        </w:tc>
        <w:tc>
          <w:tcPr>
            <w:tcW w:w="468" w:type="pct"/>
            <w:noWrap/>
            <w:vAlign w:val="center"/>
          </w:tcPr>
          <w:p w14:paraId="5F22DF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0-6分</w:t>
            </w:r>
          </w:p>
        </w:tc>
        <w:tc>
          <w:tcPr>
            <w:tcW w:w="560" w:type="pct"/>
            <w:noWrap/>
            <w:vAlign w:val="center"/>
          </w:tcPr>
          <w:p w14:paraId="26DE603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85A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93" w:type="pct"/>
            <w:vMerge w:val="continue"/>
            <w:noWrap/>
            <w:vAlign w:val="center"/>
          </w:tcPr>
          <w:p w14:paraId="15EEE575">
            <w:pPr>
              <w:spacing w:line="360" w:lineRule="auto"/>
              <w:rPr>
                <w:rFonts w:hint="eastAsia" w:ascii="宋体" w:hAnsi="宋体" w:eastAsia="宋体" w:cs="宋体"/>
                <w:color w:val="auto"/>
                <w:sz w:val="24"/>
                <w:highlight w:val="none"/>
              </w:rPr>
            </w:pPr>
          </w:p>
        </w:tc>
        <w:tc>
          <w:tcPr>
            <w:tcW w:w="406" w:type="pct"/>
            <w:noWrap/>
            <w:vAlign w:val="center"/>
          </w:tcPr>
          <w:p w14:paraId="364E0BB0">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171" w:type="pct"/>
            <w:noWrap/>
            <w:vAlign w:val="center"/>
          </w:tcPr>
          <w:p w14:paraId="1C1C1007">
            <w:pPr>
              <w:widowControl/>
              <w:jc w:val="left"/>
              <w:textAlignment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提供的会务服务方案综合评定，包括会议服务流程；各项工作服务流程；投诉渠道及处理操作流程。</w:t>
            </w:r>
            <w:r>
              <w:rPr>
                <w:rFonts w:hint="eastAsia" w:ascii="宋体" w:hAnsi="宋体" w:eastAsia="宋体" w:cs="宋体"/>
                <w:color w:val="auto"/>
                <w:kern w:val="0"/>
                <w:sz w:val="24"/>
                <w:highlight w:val="none"/>
              </w:rPr>
              <w:t>分值：4-3-2-1-0</w:t>
            </w:r>
            <w:r>
              <w:rPr>
                <w:rFonts w:hint="eastAsia" w:ascii="宋体" w:hAnsi="宋体" w:eastAsia="宋体" w:cs="宋体"/>
                <w:color w:val="auto"/>
                <w:sz w:val="24"/>
                <w:highlight w:val="none"/>
              </w:rPr>
              <w:t xml:space="preserve">  </w:t>
            </w:r>
          </w:p>
        </w:tc>
        <w:tc>
          <w:tcPr>
            <w:tcW w:w="468" w:type="pct"/>
            <w:noWrap/>
            <w:vAlign w:val="center"/>
          </w:tcPr>
          <w:p w14:paraId="396602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0-4分</w:t>
            </w:r>
          </w:p>
        </w:tc>
        <w:tc>
          <w:tcPr>
            <w:tcW w:w="560" w:type="pct"/>
            <w:noWrap/>
            <w:vAlign w:val="center"/>
          </w:tcPr>
          <w:p w14:paraId="4AA22E6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241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93" w:type="pct"/>
            <w:vMerge w:val="continue"/>
            <w:noWrap/>
            <w:vAlign w:val="center"/>
          </w:tcPr>
          <w:p w14:paraId="19056420">
            <w:pPr>
              <w:spacing w:line="360" w:lineRule="auto"/>
              <w:rPr>
                <w:rFonts w:hint="eastAsia" w:ascii="宋体" w:hAnsi="宋体" w:eastAsia="宋体" w:cs="宋体"/>
                <w:color w:val="auto"/>
                <w:sz w:val="24"/>
                <w:highlight w:val="none"/>
              </w:rPr>
            </w:pPr>
          </w:p>
        </w:tc>
        <w:tc>
          <w:tcPr>
            <w:tcW w:w="406" w:type="pct"/>
            <w:noWrap/>
            <w:vAlign w:val="center"/>
          </w:tcPr>
          <w:p w14:paraId="53D7E707">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171" w:type="pct"/>
            <w:noWrap/>
            <w:vAlign w:val="center"/>
          </w:tcPr>
          <w:p w14:paraId="3A6577F9">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提供的信息沟通及处理机制综合评定，包括多渠道信息反馈机制；相关部门沟通、联动机制等。</w:t>
            </w:r>
            <w:r>
              <w:rPr>
                <w:rFonts w:hint="eastAsia" w:ascii="宋体" w:hAnsi="宋体" w:eastAsia="宋体" w:cs="宋体"/>
                <w:color w:val="auto"/>
                <w:kern w:val="0"/>
                <w:sz w:val="24"/>
                <w:highlight w:val="none"/>
              </w:rPr>
              <w:t>分值：4-3-2-1-0</w:t>
            </w:r>
            <w:r>
              <w:rPr>
                <w:rFonts w:hint="eastAsia" w:ascii="宋体" w:hAnsi="宋体" w:eastAsia="宋体" w:cs="宋体"/>
                <w:color w:val="auto"/>
                <w:sz w:val="24"/>
                <w:highlight w:val="none"/>
              </w:rPr>
              <w:t xml:space="preserve"> </w:t>
            </w:r>
          </w:p>
        </w:tc>
        <w:tc>
          <w:tcPr>
            <w:tcW w:w="468" w:type="pct"/>
            <w:noWrap/>
            <w:vAlign w:val="center"/>
          </w:tcPr>
          <w:p w14:paraId="73B27A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0-4分</w:t>
            </w:r>
          </w:p>
        </w:tc>
        <w:tc>
          <w:tcPr>
            <w:tcW w:w="560" w:type="pct"/>
            <w:noWrap/>
            <w:vAlign w:val="center"/>
          </w:tcPr>
          <w:p w14:paraId="3541BC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4C5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93" w:type="pct"/>
            <w:vMerge w:val="continue"/>
            <w:noWrap/>
            <w:vAlign w:val="center"/>
          </w:tcPr>
          <w:p w14:paraId="40F44159">
            <w:pPr>
              <w:spacing w:line="360" w:lineRule="auto"/>
              <w:rPr>
                <w:rFonts w:hint="eastAsia" w:ascii="宋体" w:hAnsi="宋体" w:eastAsia="宋体" w:cs="宋体"/>
                <w:color w:val="auto"/>
                <w:sz w:val="24"/>
                <w:highlight w:val="none"/>
              </w:rPr>
            </w:pPr>
          </w:p>
        </w:tc>
        <w:tc>
          <w:tcPr>
            <w:tcW w:w="406" w:type="pct"/>
            <w:noWrap/>
            <w:vAlign w:val="center"/>
          </w:tcPr>
          <w:p w14:paraId="7E865D59">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171" w:type="pct"/>
            <w:noWrap/>
            <w:vAlign w:val="center"/>
          </w:tcPr>
          <w:p w14:paraId="4B28938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突发事件的应急措施：对紧急事件的处理预案，内容完整，预案制定科学合理、真实有效，符合现场实际情况，根据响应文件内容进行综合打分。</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分值：5-4-3-2-1-0</w:t>
            </w:r>
            <w:r>
              <w:rPr>
                <w:rFonts w:hint="eastAsia" w:ascii="宋体" w:hAnsi="宋体" w:eastAsia="宋体" w:cs="宋体"/>
                <w:color w:val="auto"/>
                <w:sz w:val="24"/>
                <w:highlight w:val="none"/>
              </w:rPr>
              <w:t xml:space="preserve">  </w:t>
            </w:r>
          </w:p>
        </w:tc>
        <w:tc>
          <w:tcPr>
            <w:tcW w:w="468" w:type="pct"/>
            <w:noWrap/>
            <w:vAlign w:val="center"/>
          </w:tcPr>
          <w:p w14:paraId="5E5B66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0-5分</w:t>
            </w:r>
          </w:p>
        </w:tc>
        <w:tc>
          <w:tcPr>
            <w:tcW w:w="560" w:type="pct"/>
            <w:noWrap/>
            <w:vAlign w:val="center"/>
          </w:tcPr>
          <w:p w14:paraId="161FC9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AC9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93" w:type="pct"/>
            <w:vMerge w:val="continue"/>
            <w:noWrap/>
            <w:vAlign w:val="center"/>
          </w:tcPr>
          <w:p w14:paraId="4B24A250">
            <w:pPr>
              <w:spacing w:line="360" w:lineRule="auto"/>
              <w:rPr>
                <w:rFonts w:hint="eastAsia" w:ascii="宋体" w:hAnsi="宋体" w:eastAsia="宋体" w:cs="宋体"/>
                <w:color w:val="auto"/>
                <w:sz w:val="24"/>
                <w:highlight w:val="none"/>
              </w:rPr>
            </w:pPr>
          </w:p>
        </w:tc>
        <w:tc>
          <w:tcPr>
            <w:tcW w:w="406" w:type="pct"/>
            <w:noWrap/>
            <w:vAlign w:val="center"/>
          </w:tcPr>
          <w:p w14:paraId="6B2D8D8D">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171" w:type="pct"/>
            <w:noWrap/>
            <w:vAlign w:val="center"/>
          </w:tcPr>
          <w:p w14:paraId="08608BA0">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针对本项目的合理化、优化建议：根据</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针对本项目提出合理化、优化建议进行综合打分。分值：4-3-2-1-0</w:t>
            </w:r>
            <w:r>
              <w:rPr>
                <w:rFonts w:hint="eastAsia" w:ascii="宋体" w:hAnsi="宋体" w:eastAsia="宋体" w:cs="宋体"/>
                <w:color w:val="auto"/>
                <w:sz w:val="24"/>
                <w:highlight w:val="none"/>
              </w:rPr>
              <w:t xml:space="preserve">    </w:t>
            </w:r>
          </w:p>
        </w:tc>
        <w:tc>
          <w:tcPr>
            <w:tcW w:w="468" w:type="pct"/>
            <w:noWrap/>
            <w:vAlign w:val="center"/>
          </w:tcPr>
          <w:p w14:paraId="7C7C4B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0-4分</w:t>
            </w:r>
          </w:p>
        </w:tc>
        <w:tc>
          <w:tcPr>
            <w:tcW w:w="560" w:type="pct"/>
            <w:noWrap/>
            <w:vAlign w:val="center"/>
          </w:tcPr>
          <w:p w14:paraId="2F8EBA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D51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93" w:type="pct"/>
            <w:vMerge w:val="continue"/>
            <w:noWrap/>
            <w:vAlign w:val="center"/>
          </w:tcPr>
          <w:p w14:paraId="11ED8E05">
            <w:pPr>
              <w:spacing w:line="360" w:lineRule="auto"/>
              <w:rPr>
                <w:rFonts w:hint="eastAsia" w:ascii="宋体" w:hAnsi="宋体" w:eastAsia="宋体" w:cs="宋体"/>
                <w:color w:val="auto"/>
                <w:sz w:val="24"/>
                <w:highlight w:val="none"/>
              </w:rPr>
            </w:pPr>
          </w:p>
        </w:tc>
        <w:tc>
          <w:tcPr>
            <w:tcW w:w="406" w:type="pct"/>
            <w:noWrap/>
            <w:vAlign w:val="center"/>
          </w:tcPr>
          <w:p w14:paraId="719C551A">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171" w:type="pct"/>
            <w:noWrap/>
            <w:vAlign w:val="center"/>
          </w:tcPr>
          <w:p w14:paraId="53BE8A2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服务承诺和特殊服务情况:是否给出服务和承诺，程度如何；对后续服务等方面的服务承诺，以及其他特色服务和响应措施等情况进行综合打分。</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分值：5-4-3-2-1-0</w:t>
            </w:r>
            <w:r>
              <w:rPr>
                <w:rFonts w:hint="eastAsia" w:ascii="宋体" w:hAnsi="宋体" w:eastAsia="宋体" w:cs="宋体"/>
                <w:color w:val="auto"/>
                <w:sz w:val="24"/>
                <w:highlight w:val="none"/>
              </w:rPr>
              <w:t xml:space="preserve">   </w:t>
            </w:r>
          </w:p>
        </w:tc>
        <w:tc>
          <w:tcPr>
            <w:tcW w:w="468" w:type="pct"/>
            <w:noWrap/>
            <w:vAlign w:val="center"/>
          </w:tcPr>
          <w:p w14:paraId="6A65BD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0-5分</w:t>
            </w:r>
          </w:p>
        </w:tc>
        <w:tc>
          <w:tcPr>
            <w:tcW w:w="560" w:type="pct"/>
            <w:noWrap/>
            <w:vAlign w:val="center"/>
          </w:tcPr>
          <w:p w14:paraId="65FDDD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4271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93" w:type="pct"/>
            <w:vMerge w:val="continue"/>
            <w:noWrap/>
            <w:vAlign w:val="center"/>
          </w:tcPr>
          <w:p w14:paraId="4AE9659F">
            <w:pPr>
              <w:spacing w:line="360" w:lineRule="auto"/>
              <w:rPr>
                <w:rFonts w:hint="eastAsia" w:ascii="宋体" w:hAnsi="宋体" w:eastAsia="宋体" w:cs="宋体"/>
                <w:color w:val="auto"/>
                <w:sz w:val="24"/>
                <w:highlight w:val="none"/>
              </w:rPr>
            </w:pPr>
          </w:p>
        </w:tc>
        <w:tc>
          <w:tcPr>
            <w:tcW w:w="406" w:type="pct"/>
            <w:noWrap/>
            <w:vAlign w:val="center"/>
          </w:tcPr>
          <w:p w14:paraId="7AD8E6D8">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171" w:type="pct"/>
            <w:noWrap/>
            <w:vAlign w:val="center"/>
          </w:tcPr>
          <w:p w14:paraId="73A4C5CD">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根据进场管理工作的交接方案综合评定，包括接管工作进度计划；接管小组人员方案；交接工作方案。</w:t>
            </w:r>
            <w:r>
              <w:rPr>
                <w:rFonts w:hint="eastAsia" w:ascii="宋体" w:hAnsi="宋体" w:eastAsia="宋体" w:cs="宋体"/>
                <w:color w:val="auto"/>
                <w:kern w:val="0"/>
                <w:sz w:val="24"/>
                <w:highlight w:val="none"/>
              </w:rPr>
              <w:t>分值：4-3-2-1-0</w:t>
            </w:r>
          </w:p>
        </w:tc>
        <w:tc>
          <w:tcPr>
            <w:tcW w:w="468" w:type="pct"/>
            <w:noWrap/>
            <w:vAlign w:val="center"/>
          </w:tcPr>
          <w:p w14:paraId="1F2398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0-4分</w:t>
            </w:r>
          </w:p>
        </w:tc>
        <w:tc>
          <w:tcPr>
            <w:tcW w:w="560" w:type="pct"/>
            <w:noWrap/>
            <w:vAlign w:val="center"/>
          </w:tcPr>
          <w:p w14:paraId="25DF79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44A2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93" w:type="pct"/>
            <w:vMerge w:val="continue"/>
            <w:noWrap/>
            <w:vAlign w:val="center"/>
          </w:tcPr>
          <w:p w14:paraId="0EFD23BA">
            <w:pPr>
              <w:spacing w:line="360" w:lineRule="auto"/>
              <w:rPr>
                <w:rFonts w:hint="eastAsia" w:ascii="宋体" w:hAnsi="宋体" w:eastAsia="宋体" w:cs="宋体"/>
                <w:color w:val="auto"/>
                <w:sz w:val="24"/>
                <w:highlight w:val="none"/>
              </w:rPr>
            </w:pPr>
          </w:p>
        </w:tc>
        <w:tc>
          <w:tcPr>
            <w:tcW w:w="406" w:type="pct"/>
            <w:noWrap/>
            <w:vAlign w:val="center"/>
          </w:tcPr>
          <w:p w14:paraId="1BF822C2">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171" w:type="pct"/>
            <w:noWrap/>
            <w:vAlign w:val="center"/>
          </w:tcPr>
          <w:p w14:paraId="7E3D36E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提供的培训方案综合评定，包括人员服务培训方案；安全培训方案；上岗仪表、行为、态度的标准规定及培训。</w:t>
            </w:r>
            <w:r>
              <w:rPr>
                <w:rFonts w:hint="eastAsia" w:ascii="宋体" w:hAnsi="宋体" w:eastAsia="宋体" w:cs="宋体"/>
                <w:color w:val="auto"/>
                <w:kern w:val="0"/>
                <w:sz w:val="24"/>
                <w:highlight w:val="none"/>
              </w:rPr>
              <w:t>分值：4-3-2-1-0</w:t>
            </w:r>
            <w:r>
              <w:rPr>
                <w:rFonts w:hint="eastAsia" w:ascii="宋体" w:hAnsi="宋体" w:eastAsia="宋体" w:cs="宋体"/>
                <w:color w:val="auto"/>
                <w:sz w:val="24"/>
                <w:highlight w:val="none"/>
              </w:rPr>
              <w:t xml:space="preserve">  </w:t>
            </w:r>
          </w:p>
        </w:tc>
        <w:tc>
          <w:tcPr>
            <w:tcW w:w="468" w:type="pct"/>
            <w:noWrap/>
            <w:vAlign w:val="center"/>
          </w:tcPr>
          <w:p w14:paraId="04F37F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0-4分</w:t>
            </w:r>
          </w:p>
        </w:tc>
        <w:tc>
          <w:tcPr>
            <w:tcW w:w="560" w:type="pct"/>
            <w:noWrap/>
            <w:vAlign w:val="center"/>
          </w:tcPr>
          <w:p w14:paraId="5E28EE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B14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93" w:type="pct"/>
            <w:vMerge w:val="continue"/>
            <w:noWrap/>
            <w:vAlign w:val="center"/>
          </w:tcPr>
          <w:p w14:paraId="42A603FC">
            <w:pPr>
              <w:spacing w:line="360" w:lineRule="auto"/>
              <w:rPr>
                <w:rFonts w:hint="eastAsia" w:ascii="宋体" w:hAnsi="宋体" w:eastAsia="宋体" w:cs="宋体"/>
                <w:color w:val="auto"/>
                <w:kern w:val="0"/>
                <w:sz w:val="24"/>
                <w:highlight w:val="none"/>
              </w:rPr>
            </w:pPr>
          </w:p>
        </w:tc>
        <w:tc>
          <w:tcPr>
            <w:tcW w:w="406" w:type="pct"/>
            <w:noWrap/>
            <w:vAlign w:val="center"/>
          </w:tcPr>
          <w:p w14:paraId="28D06326">
            <w:pPr>
              <w:pStyle w:val="18"/>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171" w:type="pct"/>
            <w:noWrap/>
            <w:vAlign w:val="center"/>
          </w:tcPr>
          <w:p w14:paraId="08FE02E8">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是否具有较强的项目所在地服务能力，对本项目提供的人力、设备、技术等支持是否响应及时、充足等内容进行综合评审。分值：5-4-3-2-1-0</w:t>
            </w:r>
            <w:r>
              <w:rPr>
                <w:rFonts w:hint="eastAsia" w:ascii="宋体" w:hAnsi="宋体" w:eastAsia="宋体" w:cs="宋体"/>
                <w:color w:val="auto"/>
                <w:sz w:val="24"/>
                <w:highlight w:val="none"/>
              </w:rPr>
              <w:t xml:space="preserve">   </w:t>
            </w:r>
          </w:p>
        </w:tc>
        <w:tc>
          <w:tcPr>
            <w:tcW w:w="468" w:type="pct"/>
            <w:noWrap/>
            <w:vAlign w:val="center"/>
          </w:tcPr>
          <w:p w14:paraId="2847C23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0-5分</w:t>
            </w:r>
          </w:p>
        </w:tc>
        <w:tc>
          <w:tcPr>
            <w:tcW w:w="560" w:type="pct"/>
            <w:noWrap/>
            <w:vAlign w:val="center"/>
          </w:tcPr>
          <w:p w14:paraId="3744C4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bl>
    <w:p w14:paraId="3EFBAC62">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208D38A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5C44D3E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编制响应文件（商务技术文件部分）时，建议按此目录（序号和内容）提供评审标准相应的商务技术资料。</w:t>
      </w:r>
    </w:p>
    <w:p w14:paraId="1EAF5C41">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2、价格分（20分）：</w:t>
      </w:r>
    </w:p>
    <w:tbl>
      <w:tblPr>
        <w:tblStyle w:val="3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2027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234D7541">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14:paraId="46656685">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647C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B9149AA">
            <w:pPr>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价格权值=0.20</w:t>
            </w:r>
          </w:p>
        </w:tc>
        <w:tc>
          <w:tcPr>
            <w:tcW w:w="6905" w:type="dxa"/>
            <w:vAlign w:val="center"/>
          </w:tcPr>
          <w:p w14:paraId="3958EA69">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1EBBF8E5">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7B6FD78F">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535FBE8E">
            <w:pPr>
              <w:widowControl/>
              <w:shd w:val="clear" w:color="auto" w:fill="FFFFFF"/>
              <w:adjustRightInd/>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r>
    </w:tbl>
    <w:p w14:paraId="41FB9ED7">
      <w:pPr>
        <w:rPr>
          <w:rFonts w:hint="eastAsia" w:ascii="宋体" w:hAnsi="宋体" w:eastAsia="宋体" w:cs="宋体"/>
          <w:color w:val="auto"/>
          <w:highlight w:val="none"/>
        </w:rPr>
      </w:pPr>
    </w:p>
    <w:p w14:paraId="3A90E19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F4B4EC">
      <w:pPr>
        <w:pStyle w:val="3"/>
        <w:rPr>
          <w:rFonts w:hint="eastAsia" w:ascii="宋体" w:hAnsi="宋体" w:eastAsia="宋体" w:cs="宋体"/>
          <w:color w:val="auto"/>
          <w:highlight w:val="none"/>
        </w:rPr>
      </w:pPr>
      <w:r>
        <w:rPr>
          <w:rFonts w:hint="eastAsia" w:ascii="宋体" w:hAnsi="宋体" w:eastAsia="宋体" w:cs="宋体"/>
          <w:color w:val="auto"/>
          <w:highlight w:val="none"/>
        </w:rPr>
        <w:t>一、评标方法</w:t>
      </w:r>
    </w:p>
    <w:p w14:paraId="7F9BC94B">
      <w:pPr>
        <w:spacing w:line="360" w:lineRule="auto"/>
        <w:ind w:firstLine="472" w:firstLineChars="196"/>
        <w:rPr>
          <w:rFonts w:hint="eastAsia" w:ascii="宋体" w:hAnsi="宋体" w:eastAsia="宋体" w:cs="宋体"/>
          <w:color w:val="auto"/>
          <w:highlight w:val="none"/>
        </w:rPr>
      </w:pPr>
      <w:r>
        <w:rPr>
          <w:rStyle w:val="43"/>
          <w:rFonts w:hint="eastAsia" w:ascii="宋体" w:hAnsi="宋体" w:eastAsia="宋体" w:cs="宋体"/>
          <w:color w:val="auto"/>
          <w:highlight w:val="none"/>
        </w:rPr>
        <w:t>1.本项目采用综合评分法。</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w:t>
      </w:r>
    </w:p>
    <w:p w14:paraId="151C4181">
      <w:pPr>
        <w:pStyle w:val="3"/>
        <w:rPr>
          <w:rFonts w:hint="eastAsia" w:ascii="宋体" w:hAnsi="宋体" w:eastAsia="宋体" w:cs="宋体"/>
          <w:color w:val="auto"/>
          <w:sz w:val="24"/>
          <w:highlight w:val="none"/>
        </w:rPr>
      </w:pPr>
      <w:r>
        <w:rPr>
          <w:rFonts w:hint="eastAsia" w:ascii="宋体" w:hAnsi="宋体" w:eastAsia="宋体" w:cs="宋体"/>
          <w:color w:val="auto"/>
          <w:highlight w:val="none"/>
        </w:rPr>
        <w:t>二、评标标准</w:t>
      </w:r>
    </w:p>
    <w:p w14:paraId="1F66C926">
      <w:pPr>
        <w:spacing w:line="360" w:lineRule="auto"/>
        <w:ind w:firstLine="472" w:firstLineChars="196"/>
        <w:rPr>
          <w:rFonts w:hint="eastAsia" w:ascii="宋体" w:hAnsi="宋体" w:eastAsia="宋体" w:cs="宋体"/>
          <w:b/>
          <w:color w:val="auto"/>
          <w:highlight w:val="none"/>
        </w:rPr>
      </w:pPr>
      <w:r>
        <w:rPr>
          <w:rStyle w:val="43"/>
          <w:rFonts w:hint="eastAsia" w:ascii="宋体" w:hAnsi="宋体" w:eastAsia="宋体" w:cs="宋体"/>
          <w:color w:val="auto"/>
          <w:highlight w:val="none"/>
        </w:rPr>
        <w:t>2. 评标标准：</w:t>
      </w:r>
      <w:r>
        <w:rPr>
          <w:rFonts w:hint="eastAsia" w:ascii="宋体" w:hAnsi="宋体" w:eastAsia="宋体" w:cs="宋体"/>
          <w:color w:val="auto"/>
          <w:highlight w:val="none"/>
        </w:rPr>
        <w:t>见评标办法前附表。</w:t>
      </w:r>
    </w:p>
    <w:p w14:paraId="157464E7">
      <w:pPr>
        <w:pStyle w:val="3"/>
        <w:rPr>
          <w:rFonts w:hint="eastAsia" w:ascii="宋体" w:hAnsi="宋体" w:eastAsia="宋体" w:cs="宋体"/>
          <w:color w:val="auto"/>
          <w:highlight w:val="none"/>
        </w:rPr>
      </w:pPr>
      <w:r>
        <w:rPr>
          <w:rFonts w:hint="eastAsia" w:ascii="宋体" w:hAnsi="宋体" w:eastAsia="宋体" w:cs="宋体"/>
          <w:color w:val="auto"/>
          <w:highlight w:val="none"/>
        </w:rPr>
        <w:t>三、评标程序</w:t>
      </w:r>
    </w:p>
    <w:p w14:paraId="451EB8CF">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3.1符合性审查。</w:t>
      </w:r>
      <w:r>
        <w:rPr>
          <w:rFonts w:hint="eastAsia" w:ascii="宋体" w:hAnsi="宋体" w:eastAsia="宋体" w:cs="宋体"/>
          <w:color w:val="auto"/>
          <w:kern w:val="2"/>
          <w:highlight w:val="none"/>
        </w:rPr>
        <w:t>评标委员会应当对符合资格的投标人的投标文件进行符合性审查，以确定其是否满足招标文件的实质性要求。不满足招标文件的实质性要求的，投标无效。</w:t>
      </w:r>
    </w:p>
    <w:p w14:paraId="6256EE70">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3.2 比较与评价。</w:t>
      </w:r>
      <w:r>
        <w:rPr>
          <w:rFonts w:hint="eastAsia" w:ascii="宋体" w:hAnsi="宋体" w:eastAsia="宋体" w:cs="宋体"/>
          <w:color w:val="auto"/>
          <w:kern w:val="2"/>
          <w:highlight w:val="none"/>
        </w:rPr>
        <w:t>评标委员会应当按照招标文件中规定的评标方法和标准，对符合性审查合格的投标文件进行商务和技术评估，综合比较与评价。</w:t>
      </w:r>
    </w:p>
    <w:p w14:paraId="78E3351B">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3.3汇总商务技术得分。</w:t>
      </w:r>
      <w:r>
        <w:rPr>
          <w:rFonts w:hint="eastAsia" w:ascii="宋体" w:hAnsi="宋体" w:eastAsia="宋体" w:cs="宋体"/>
          <w:color w:val="auto"/>
          <w:kern w:val="2"/>
          <w:highlight w:val="none"/>
        </w:rPr>
        <w:t>评标委员会各成员应当独立对每个投标人的商务和技术文件进行评价，并汇总商务技术得分情况。</w:t>
      </w:r>
    </w:p>
    <w:p w14:paraId="63D60DBD">
      <w:pPr>
        <w:widowControl w:val="0"/>
        <w:adjustRightInd w:val="0"/>
        <w:spacing w:after="0" w:line="480" w:lineRule="exact"/>
        <w:ind w:firstLine="422" w:firstLineChars="175"/>
        <w:jc w:val="both"/>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3.4报价评审。</w:t>
      </w:r>
    </w:p>
    <w:p w14:paraId="1779A947">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3.4.1投标文件报价出现前后不一致的，按照下列规定修正：</w:t>
      </w:r>
    </w:p>
    <w:p w14:paraId="7593084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3.4.1.1投标文件中开标一览表（报价表）内容与投标文件中相应内容不一致的，以开标一览表（报价表）为准；</w:t>
      </w:r>
    </w:p>
    <w:p w14:paraId="6A3242A7">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3.4.1.2大写金额和小写金额不一致的，以大写金额为准；</w:t>
      </w:r>
    </w:p>
    <w:p w14:paraId="08F4D44F">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3.4.1.3单价金额小数点或者百分比有明显错位的，以开标一览表的总价为准，并修改单价；</w:t>
      </w:r>
    </w:p>
    <w:p w14:paraId="447EC1D2">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3.4.1.4总价金额与按单价汇总金额不一致的，以单价金额计算结果为准。</w:t>
      </w:r>
    </w:p>
    <w:p w14:paraId="0332842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3.4.1.5同时出现两种以上不一致的，按照3.4.1规定的顺序修正。修正后的报价</w:t>
      </w:r>
      <w:r>
        <w:rPr>
          <w:rFonts w:hint="eastAsia" w:ascii="宋体" w:hAnsi="宋体" w:eastAsia="宋体" w:cs="宋体"/>
          <w:color w:val="auto"/>
          <w:kern w:val="2"/>
          <w:highlight w:val="none"/>
          <w:lang w:eastAsia="zh-CN"/>
        </w:rPr>
        <w:t>参照</w:t>
      </w:r>
      <w:r>
        <w:rPr>
          <w:rFonts w:hint="eastAsia" w:ascii="宋体" w:hAnsi="宋体" w:eastAsia="宋体" w:cs="宋体"/>
          <w:color w:val="auto"/>
          <w:kern w:val="2"/>
          <w:highlight w:val="none"/>
        </w:rPr>
        <w:t>财政部第87号令 《政府采购货物和服务招标投标管理办法》第五十一条第二款的规定经投标人确认后产生约束力。</w:t>
      </w:r>
    </w:p>
    <w:p w14:paraId="4C1E788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3.4.2投标文件出现不是唯一的、有选择性投标报价的，投标无效。</w:t>
      </w:r>
    </w:p>
    <w:p w14:paraId="568830C7">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3.4.3投标报价超过招标文件中规定的预算金额或者最高限价的，投标无效。</w:t>
      </w:r>
    </w:p>
    <w:p w14:paraId="6D42F77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C2CB51">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3.5排序与推荐。</w:t>
      </w:r>
      <w:r>
        <w:rPr>
          <w:rFonts w:hint="eastAsia" w:ascii="宋体" w:hAnsi="宋体" w:eastAsia="宋体" w:cs="宋体"/>
          <w:color w:val="auto"/>
          <w:kern w:val="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E98897">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3.6编写评标报告。</w:t>
      </w:r>
      <w:r>
        <w:rPr>
          <w:rFonts w:hint="eastAsia" w:ascii="宋体" w:hAnsi="宋体" w:eastAsia="宋体" w:cs="宋体"/>
          <w:color w:val="auto"/>
          <w:kern w:val="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0E451A">
      <w:pPr>
        <w:pStyle w:val="3"/>
        <w:rPr>
          <w:rFonts w:hint="eastAsia" w:ascii="宋体" w:hAnsi="宋体" w:eastAsia="宋体" w:cs="宋体"/>
          <w:color w:val="auto"/>
          <w:highlight w:val="none"/>
        </w:rPr>
      </w:pPr>
      <w:r>
        <w:rPr>
          <w:rFonts w:hint="eastAsia" w:ascii="宋体" w:hAnsi="宋体" w:eastAsia="宋体" w:cs="宋体"/>
          <w:color w:val="auto"/>
          <w:highlight w:val="none"/>
        </w:rPr>
        <w:t>四、评标中的其他事项</w:t>
      </w:r>
    </w:p>
    <w:p w14:paraId="20888E61">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4.1投标人澄清、说明或者补正。</w:t>
      </w:r>
      <w:r>
        <w:rPr>
          <w:rFonts w:hint="eastAsia" w:ascii="宋体" w:hAnsi="宋体" w:eastAsia="宋体" w:cs="宋体"/>
          <w:color w:val="auto"/>
          <w:kern w:val="2"/>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156FCC">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4.2投标无效。</w:t>
      </w:r>
      <w:r>
        <w:rPr>
          <w:rFonts w:hint="eastAsia" w:ascii="宋体" w:hAnsi="宋体" w:eastAsia="宋体" w:cs="宋体"/>
          <w:color w:val="auto"/>
          <w:kern w:val="2"/>
          <w:highlight w:val="none"/>
        </w:rPr>
        <w:t>有下列情形之一的，投标无效：</w:t>
      </w:r>
    </w:p>
    <w:p w14:paraId="641AB4C3">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4.2.1投标人不具备招标文件中规定的资格要求的（投标人未提供有效的资格文件的，视为投标人不具备招标文件中规定的资格要求）；</w:t>
      </w:r>
    </w:p>
    <w:p w14:paraId="73BF6422">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4.2.2投标文件未按照招标文件要求签署、盖章的；</w:t>
      </w:r>
    </w:p>
    <w:p w14:paraId="7512521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4.2.3投标文件含有</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不能接受的附加条件的；</w:t>
      </w:r>
    </w:p>
    <w:p w14:paraId="2E9E59A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4.2.4投标文件中承诺的投标有效期少于招标文件中载明的投标有效期的；</w:t>
      </w:r>
    </w:p>
    <w:p w14:paraId="25A2ACF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4.2.5投标文件出现不是唯一的、有选择性投标报价的；</w:t>
      </w:r>
    </w:p>
    <w:p w14:paraId="687132CF">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4.2.6投标报价超过招标文件中规定的预算金额或者最高限价的；</w:t>
      </w:r>
    </w:p>
    <w:p w14:paraId="3C485560">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4.2.7报价明显低于其他通过符合性审查投标人的报价，有可能影响产品质量或者不能诚信履约的，未能按要求提供书面说明或者提交相关证明材料，不能证明其报价合理性的；</w:t>
      </w:r>
    </w:p>
    <w:p w14:paraId="22EA60CE">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4.2.8投标人对根据修正原则修正后的报价不确认的；</w:t>
      </w:r>
    </w:p>
    <w:p w14:paraId="6498AD3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4.2.9投标人提供虚假材料投标的；</w:t>
      </w:r>
    </w:p>
    <w:p w14:paraId="35C74E75">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4.2.10投标人有恶意串通、妨碍其他投标人的竞争行为、损害</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或者其他投标人的合法权益情形的；</w:t>
      </w:r>
    </w:p>
    <w:p w14:paraId="64728736">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4.2.11投标人未在电子交易平台传输递交投标文件的，投标无效；</w:t>
      </w:r>
    </w:p>
    <w:p w14:paraId="7A5EFBC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4.2.12投标文件不满足招标文件的其它实质性要求的；</w:t>
      </w:r>
    </w:p>
    <w:p w14:paraId="5777C0DD">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4.2.13法律、法规、规章（适用本市的）及省级以上规范性文件（适用本市的）规定的其他无效情形。</w:t>
      </w:r>
    </w:p>
    <w:p w14:paraId="70D55FB5">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5.废标。</w:t>
      </w:r>
      <w:r>
        <w:rPr>
          <w:rFonts w:hint="eastAsia" w:ascii="宋体" w:hAnsi="宋体" w:eastAsia="宋体" w:cs="宋体"/>
          <w:b w:val="0"/>
          <w:bCs w:val="0"/>
          <w:color w:val="auto"/>
          <w:kern w:val="2"/>
          <w:highlight w:val="none"/>
          <w:lang w:eastAsia="zh-CN"/>
        </w:rPr>
        <w:t>参照</w:t>
      </w:r>
      <w:r>
        <w:rPr>
          <w:rFonts w:hint="eastAsia" w:ascii="宋体" w:hAnsi="宋体" w:eastAsia="宋体" w:cs="宋体"/>
          <w:b w:val="0"/>
          <w:bCs w:val="0"/>
          <w:color w:val="auto"/>
          <w:kern w:val="2"/>
          <w:highlight w:val="none"/>
        </w:rPr>
        <w:t>《</w:t>
      </w:r>
      <w:r>
        <w:rPr>
          <w:rFonts w:hint="eastAsia" w:ascii="宋体" w:hAnsi="宋体" w:eastAsia="宋体" w:cs="宋体"/>
          <w:color w:val="auto"/>
          <w:kern w:val="2"/>
          <w:highlight w:val="none"/>
        </w:rPr>
        <w:t>中华人民共和国政府采购法》第三十六条之规定，在采购中，出现下列情形之一的，应予废标：</w:t>
      </w:r>
    </w:p>
    <w:p w14:paraId="16C9ECBB">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5.1符合专业条件的供应商或者对招标文件作实质响应的供应商不足3家的；</w:t>
      </w:r>
    </w:p>
    <w:p w14:paraId="0D43FB58">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5.2出现影响采购公正的违法、违规行为的；</w:t>
      </w:r>
    </w:p>
    <w:p w14:paraId="08B4E3E3">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5.3投标人的报价均超过了采购预算，</w:t>
      </w:r>
      <w:r>
        <w:rPr>
          <w:rFonts w:hint="eastAsia" w:ascii="宋体" w:hAnsi="宋体" w:eastAsia="宋体" w:cs="宋体"/>
          <w:color w:val="auto"/>
          <w:highlight w:val="none"/>
          <w:lang w:eastAsia="zh-CN"/>
        </w:rPr>
        <w:t>采购人</w:t>
      </w:r>
      <w:r>
        <w:rPr>
          <w:rFonts w:hint="eastAsia" w:ascii="宋体" w:hAnsi="宋体" w:eastAsia="宋体" w:cs="宋体"/>
          <w:color w:val="auto"/>
          <w:kern w:val="2"/>
          <w:highlight w:val="none"/>
        </w:rPr>
        <w:t>不能支付的；</w:t>
      </w:r>
    </w:p>
    <w:p w14:paraId="64711513">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5.4因重大变故，采购任务取消的。</w:t>
      </w:r>
    </w:p>
    <w:p w14:paraId="32D68D49">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废标后，代理机构应当将废标理由通知所有投标人。</w:t>
      </w:r>
    </w:p>
    <w:p w14:paraId="3D2B61B9">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6.修改招标文件，重新组织采购活动。</w:t>
      </w:r>
      <w:r>
        <w:rPr>
          <w:rFonts w:hint="eastAsia" w:ascii="宋体" w:hAnsi="宋体" w:eastAsia="宋体" w:cs="宋体"/>
          <w:color w:val="auto"/>
          <w:kern w:val="2"/>
          <w:highlight w:val="none"/>
        </w:rPr>
        <w:t>评标委员会发现招标文件存在歧义、重大缺陷导致评标工作无法进行，或者招标文件内容违反国家有关强制性规定的，将停止评标工作，并与</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、代理机构沟通并作书面记录。</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、代理机构确认后，将修改招标文件，重新组织采购活动。</w:t>
      </w:r>
    </w:p>
    <w:p w14:paraId="0F8441FA">
      <w:pPr>
        <w:widowControl w:val="0"/>
        <w:adjustRightInd w:val="0"/>
        <w:spacing w:after="0" w:line="480" w:lineRule="exact"/>
        <w:ind w:firstLine="422" w:firstLineChars="175"/>
        <w:jc w:val="both"/>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7.重新开展采购。</w:t>
      </w:r>
      <w:r>
        <w:rPr>
          <w:rFonts w:hint="eastAsia" w:ascii="宋体" w:hAnsi="宋体" w:eastAsia="宋体" w:cs="宋体"/>
          <w:color w:val="auto"/>
          <w:kern w:val="2"/>
          <w:highlight w:val="none"/>
        </w:rPr>
        <w:t>有政府采购法第七十一条、第七十二条规定的违法行为之一，影响或者可能影响中标、成交结果的，依照下列规定处理：</w:t>
      </w:r>
    </w:p>
    <w:p w14:paraId="5419FE53">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7.1未确定中标或者中标人的，终止本次采购活动，重新开展采购活动。</w:t>
      </w:r>
    </w:p>
    <w:p w14:paraId="459A60E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3B6E63F4">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7.3采购合同已签订但尚未履行的，撤销合同，从合格的中标或者成交候选人中另行确定中标或者中标人；没有合格的中标或者成交候选人的，重新开展采购活动。</w:t>
      </w:r>
    </w:p>
    <w:p w14:paraId="01DC4F1A">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7.4采购合同已经履行，给</w:t>
      </w:r>
      <w:r>
        <w:rPr>
          <w:rFonts w:hint="eastAsia" w:ascii="宋体" w:hAnsi="宋体" w:eastAsia="宋体" w:cs="宋体"/>
          <w:color w:val="auto"/>
          <w:kern w:val="2"/>
          <w:highlight w:val="none"/>
          <w:lang w:eastAsia="zh-CN"/>
        </w:rPr>
        <w:t>采购人</w:t>
      </w:r>
      <w:r>
        <w:rPr>
          <w:rFonts w:hint="eastAsia" w:ascii="宋体" w:hAnsi="宋体" w:eastAsia="宋体" w:cs="宋体"/>
          <w:color w:val="auto"/>
          <w:kern w:val="2"/>
          <w:highlight w:val="none"/>
        </w:rPr>
        <w:t>、供应商造成损失的，由责任人承担赔偿责任。</w:t>
      </w:r>
    </w:p>
    <w:p w14:paraId="3BF7733C">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7.5采购当事人有其他违反政府采购法或者政府采购法实施条例等法律法规规定的行为，经改正后仍然影响或者可能影响中标、成交结果或者依法被认定为中标、成交无效的，依照7.1-7.4规定处理。</w:t>
      </w:r>
    </w:p>
    <w:p w14:paraId="70D3F3D7">
      <w:pPr>
        <w:spacing w:line="276" w:lineRule="auto"/>
        <w:rPr>
          <w:rFonts w:hint="eastAsia"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14:paraId="13CB592B">
      <w:pPr>
        <w:pStyle w:val="2"/>
        <w:jc w:val="center"/>
        <w:rPr>
          <w:rFonts w:hint="eastAsia" w:ascii="宋体" w:hAnsi="宋体" w:eastAsia="宋体" w:cs="宋体"/>
          <w:color w:val="auto"/>
          <w:kern w:val="2"/>
          <w:highlight w:val="none"/>
        </w:rPr>
      </w:pPr>
      <w:r>
        <w:rPr>
          <w:rFonts w:hint="eastAsia" w:ascii="宋体" w:hAnsi="宋体" w:eastAsia="宋体" w:cs="宋体"/>
          <w:color w:val="auto"/>
          <w:highlight w:val="none"/>
        </w:rPr>
        <w:t>第五部分 拟签订的合同文本</w:t>
      </w:r>
    </w:p>
    <w:p w14:paraId="42BDAD4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5E171C7">
      <w:pPr>
        <w:pStyle w:val="3"/>
        <w:tabs>
          <w:tab w:val="left" w:pos="432"/>
        </w:tabs>
        <w:ind w:left="0" w:firstLine="0"/>
        <w:rPr>
          <w:rFonts w:hint="eastAsia" w:ascii="宋体" w:hAnsi="宋体" w:eastAsia="宋体" w:cs="宋体"/>
          <w:color w:val="auto"/>
          <w:highlight w:val="none"/>
        </w:rPr>
      </w:pPr>
    </w:p>
    <w:p w14:paraId="32ECDA72">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采购合同参考范本</w:t>
      </w:r>
    </w:p>
    <w:p w14:paraId="7E1103A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BCB381F">
      <w:pPr>
        <w:pStyle w:val="78"/>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C827D83">
      <w:pPr>
        <w:spacing w:before="120" w:line="22" w:lineRule="atLeast"/>
        <w:rPr>
          <w:rFonts w:hint="eastAsia" w:ascii="宋体" w:hAnsi="宋体" w:eastAsia="宋体" w:cs="宋体"/>
          <w:color w:val="auto"/>
          <w:sz w:val="24"/>
          <w:highlight w:val="none"/>
        </w:rPr>
      </w:pPr>
    </w:p>
    <w:p w14:paraId="2387202D">
      <w:pPr>
        <w:pStyle w:val="3"/>
        <w:tabs>
          <w:tab w:val="left" w:pos="432"/>
        </w:tabs>
        <w:rPr>
          <w:rFonts w:hint="eastAsia" w:ascii="宋体" w:hAnsi="宋体" w:eastAsia="宋体" w:cs="宋体"/>
          <w:color w:val="auto"/>
          <w:highlight w:val="none"/>
        </w:rPr>
      </w:pPr>
    </w:p>
    <w:p w14:paraId="56F48BA9">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0AB7870">
      <w:pPr>
        <w:pStyle w:val="77"/>
        <w:spacing w:before="120" w:line="22" w:lineRule="atLeast"/>
        <w:rPr>
          <w:rFonts w:hint="eastAsia" w:ascii="宋体" w:hAnsi="宋体" w:eastAsia="宋体" w:cs="宋体"/>
          <w:color w:val="auto"/>
          <w:szCs w:val="24"/>
          <w:highlight w:val="none"/>
        </w:rPr>
      </w:pPr>
    </w:p>
    <w:p w14:paraId="603E9D1C">
      <w:pPr>
        <w:pStyle w:val="77"/>
        <w:spacing w:before="120" w:line="22" w:lineRule="atLeast"/>
        <w:rPr>
          <w:rFonts w:hint="eastAsia" w:ascii="宋体" w:hAnsi="宋体" w:eastAsia="宋体" w:cs="宋体"/>
          <w:color w:val="auto"/>
          <w:szCs w:val="24"/>
          <w:highlight w:val="none"/>
        </w:rPr>
      </w:pPr>
    </w:p>
    <w:p w14:paraId="47F6E08E">
      <w:pPr>
        <w:rPr>
          <w:rFonts w:hint="eastAsia" w:ascii="宋体" w:hAnsi="宋体" w:eastAsia="宋体" w:cs="宋体"/>
          <w:color w:val="auto"/>
          <w:sz w:val="24"/>
          <w:highlight w:val="none"/>
        </w:rPr>
      </w:pPr>
    </w:p>
    <w:p w14:paraId="6940BE8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9A312CA">
      <w:pPr>
        <w:spacing w:before="120" w:line="22" w:lineRule="atLeast"/>
        <w:rPr>
          <w:rFonts w:hint="eastAsia" w:ascii="宋体" w:hAnsi="宋体" w:eastAsia="宋体" w:cs="宋体"/>
          <w:color w:val="auto"/>
          <w:sz w:val="24"/>
          <w:highlight w:val="none"/>
        </w:rPr>
      </w:pPr>
    </w:p>
    <w:p w14:paraId="41ADCC7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FF7D8D2">
      <w:pPr>
        <w:spacing w:before="120" w:line="22" w:lineRule="atLeast"/>
        <w:rPr>
          <w:rFonts w:hint="eastAsia" w:ascii="宋体" w:hAnsi="宋体" w:eastAsia="宋体" w:cs="宋体"/>
          <w:color w:val="auto"/>
          <w:sz w:val="24"/>
          <w:highlight w:val="none"/>
        </w:rPr>
      </w:pPr>
    </w:p>
    <w:p w14:paraId="47A8647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FBFAE65">
      <w:pPr>
        <w:spacing w:before="120" w:line="22" w:lineRule="atLeast"/>
        <w:rPr>
          <w:rFonts w:hint="eastAsia" w:ascii="宋体" w:hAnsi="宋体" w:eastAsia="宋体" w:cs="宋体"/>
          <w:color w:val="auto"/>
          <w:sz w:val="24"/>
          <w:highlight w:val="none"/>
        </w:rPr>
      </w:pPr>
    </w:p>
    <w:p w14:paraId="1AFC823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F825510">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26CAF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874E5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4F0E7A6">
      <w:pPr>
        <w:spacing w:line="560" w:lineRule="exact"/>
        <w:ind w:firstLine="482" w:firstLineChars="200"/>
        <w:outlineLvl w:val="0"/>
        <w:rPr>
          <w:rFonts w:hint="eastAsia" w:ascii="宋体" w:hAnsi="宋体" w:eastAsia="宋体" w:cs="宋体"/>
          <w:color w:val="auto"/>
          <w:sz w:val="24"/>
          <w:highlight w:val="none"/>
        </w:rPr>
      </w:pPr>
      <w:bookmarkStart w:id="367" w:name="_Toc28855"/>
      <w:bookmarkStart w:id="368" w:name="_Toc15367"/>
      <w:bookmarkStart w:id="369" w:name="_Toc19273"/>
      <w:bookmarkStart w:id="370" w:name="_Toc22967"/>
      <w:bookmarkStart w:id="371" w:name="_Toc20421"/>
      <w:r>
        <w:rPr>
          <w:rFonts w:hint="eastAsia" w:ascii="宋体" w:hAnsi="宋体" w:eastAsia="宋体" w:cs="宋体"/>
          <w:b/>
          <w:color w:val="auto"/>
          <w:sz w:val="24"/>
          <w:highlight w:val="none"/>
        </w:rPr>
        <w:t>1.1 合同组成部分</w:t>
      </w:r>
      <w:bookmarkEnd w:id="367"/>
      <w:bookmarkEnd w:id="368"/>
      <w:bookmarkEnd w:id="369"/>
      <w:bookmarkEnd w:id="370"/>
      <w:bookmarkEnd w:id="371"/>
    </w:p>
    <w:p w14:paraId="570CA4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F7A5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01F1E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6D251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D7160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E6489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631BBC61">
      <w:pPr>
        <w:spacing w:line="560" w:lineRule="exact"/>
        <w:ind w:firstLine="482" w:firstLineChars="200"/>
        <w:outlineLvl w:val="0"/>
        <w:rPr>
          <w:rFonts w:hint="eastAsia" w:ascii="宋体" w:hAnsi="宋体" w:eastAsia="宋体" w:cs="宋体"/>
          <w:b/>
          <w:color w:val="auto"/>
          <w:sz w:val="24"/>
          <w:highlight w:val="none"/>
        </w:rPr>
      </w:pPr>
      <w:bookmarkStart w:id="372" w:name="_Toc6773"/>
      <w:bookmarkStart w:id="373" w:name="_Toc6311"/>
      <w:bookmarkStart w:id="374" w:name="_Toc18585"/>
      <w:bookmarkStart w:id="375" w:name="_Toc2918"/>
      <w:bookmarkStart w:id="376" w:name="_Toc22185"/>
      <w:r>
        <w:rPr>
          <w:rFonts w:hint="eastAsia" w:ascii="宋体" w:hAnsi="宋体" w:eastAsia="宋体" w:cs="宋体"/>
          <w:b/>
          <w:color w:val="auto"/>
          <w:sz w:val="24"/>
          <w:highlight w:val="none"/>
        </w:rPr>
        <w:t>1.2 标的</w:t>
      </w:r>
      <w:bookmarkEnd w:id="372"/>
      <w:bookmarkEnd w:id="373"/>
      <w:bookmarkEnd w:id="374"/>
      <w:bookmarkEnd w:id="375"/>
      <w:bookmarkEnd w:id="376"/>
    </w:p>
    <w:p w14:paraId="135FC3F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281C7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E29C8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585E1AFD">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30D543">
      <w:pPr>
        <w:pStyle w:val="7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6BE3A49B">
      <w:pPr>
        <w:spacing w:line="560" w:lineRule="exact"/>
        <w:ind w:firstLine="480" w:firstLineChars="200"/>
        <w:rPr>
          <w:rFonts w:hint="eastAsia" w:ascii="宋体" w:hAnsi="宋体" w:eastAsia="宋体" w:cs="宋体"/>
          <w:color w:val="auto"/>
          <w:sz w:val="24"/>
          <w:highlight w:val="none"/>
          <w:u w:val="single"/>
        </w:rPr>
      </w:pPr>
      <w:bookmarkStart w:id="377" w:name="_Toc21124"/>
      <w:bookmarkStart w:id="378" w:name="_Toc5635"/>
      <w:bookmarkStart w:id="379" w:name="_Toc13918"/>
      <w:bookmarkStart w:id="380" w:name="_Toc1386"/>
      <w:bookmarkStart w:id="381"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00741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0E1F69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32DBD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377"/>
      <w:bookmarkEnd w:id="378"/>
      <w:bookmarkEnd w:id="379"/>
      <w:bookmarkEnd w:id="380"/>
      <w:bookmarkEnd w:id="381"/>
    </w:p>
    <w:p w14:paraId="3619CA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2D40E4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1EC0EF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3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8E4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C724DC">
            <w:pPr>
              <w:pStyle w:val="74"/>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06B8A01">
            <w:pPr>
              <w:pStyle w:val="74"/>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B94ABD5">
            <w:pPr>
              <w:pStyle w:val="74"/>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32C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FE7C2D">
            <w:pPr>
              <w:pStyle w:val="7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346F06B">
            <w:pPr>
              <w:pStyle w:val="7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9265613">
            <w:pPr>
              <w:pStyle w:val="74"/>
              <w:spacing w:line="560" w:lineRule="exact"/>
              <w:ind w:firstLine="200"/>
              <w:jc w:val="center"/>
              <w:rPr>
                <w:rFonts w:hint="eastAsia" w:ascii="宋体" w:hAnsi="宋体" w:eastAsia="宋体" w:cs="宋体"/>
                <w:color w:val="auto"/>
                <w:sz w:val="24"/>
                <w:szCs w:val="24"/>
                <w:highlight w:val="none"/>
              </w:rPr>
            </w:pPr>
          </w:p>
        </w:tc>
      </w:tr>
      <w:tr w14:paraId="568B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32A11">
            <w:pPr>
              <w:pStyle w:val="7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18DB6A3">
            <w:pPr>
              <w:pStyle w:val="7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4C8B544">
            <w:pPr>
              <w:pStyle w:val="74"/>
              <w:spacing w:line="560" w:lineRule="exact"/>
              <w:ind w:firstLine="200"/>
              <w:jc w:val="center"/>
              <w:rPr>
                <w:rFonts w:hint="eastAsia" w:ascii="宋体" w:hAnsi="宋体" w:eastAsia="宋体" w:cs="宋体"/>
                <w:color w:val="auto"/>
                <w:sz w:val="24"/>
                <w:szCs w:val="24"/>
                <w:highlight w:val="none"/>
              </w:rPr>
            </w:pPr>
          </w:p>
        </w:tc>
      </w:tr>
      <w:tr w14:paraId="1D6F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638EE2">
            <w:pPr>
              <w:pStyle w:val="7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3D35163">
            <w:pPr>
              <w:pStyle w:val="7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59ABA52">
            <w:pPr>
              <w:pStyle w:val="74"/>
              <w:spacing w:line="560" w:lineRule="exact"/>
              <w:ind w:firstLine="200"/>
              <w:jc w:val="center"/>
              <w:rPr>
                <w:rFonts w:hint="eastAsia" w:ascii="宋体" w:hAnsi="宋体" w:eastAsia="宋体" w:cs="宋体"/>
                <w:color w:val="auto"/>
                <w:sz w:val="24"/>
                <w:szCs w:val="24"/>
                <w:highlight w:val="none"/>
              </w:rPr>
            </w:pPr>
          </w:p>
        </w:tc>
      </w:tr>
      <w:tr w14:paraId="2233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E25CB6">
            <w:pPr>
              <w:pStyle w:val="7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07B81D9">
            <w:pPr>
              <w:pStyle w:val="7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44E8665">
            <w:pPr>
              <w:pStyle w:val="74"/>
              <w:spacing w:line="560" w:lineRule="exact"/>
              <w:ind w:firstLine="200"/>
              <w:jc w:val="center"/>
              <w:rPr>
                <w:rFonts w:hint="eastAsia" w:ascii="宋体" w:hAnsi="宋体" w:eastAsia="宋体" w:cs="宋体"/>
                <w:color w:val="auto"/>
                <w:sz w:val="24"/>
                <w:szCs w:val="24"/>
                <w:highlight w:val="none"/>
              </w:rPr>
            </w:pPr>
          </w:p>
        </w:tc>
      </w:tr>
      <w:tr w14:paraId="7894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7A586EC">
            <w:pPr>
              <w:pStyle w:val="74"/>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1C2EDECE">
            <w:pPr>
              <w:pStyle w:val="74"/>
              <w:spacing w:line="560" w:lineRule="exact"/>
              <w:ind w:firstLine="200"/>
              <w:jc w:val="center"/>
              <w:rPr>
                <w:rFonts w:hint="eastAsia" w:ascii="宋体" w:hAnsi="宋体" w:eastAsia="宋体" w:cs="宋体"/>
                <w:color w:val="auto"/>
                <w:sz w:val="24"/>
                <w:szCs w:val="24"/>
                <w:highlight w:val="none"/>
              </w:rPr>
            </w:pPr>
          </w:p>
        </w:tc>
      </w:tr>
    </w:tbl>
    <w:p w14:paraId="346C0923">
      <w:pPr>
        <w:spacing w:line="560" w:lineRule="exact"/>
        <w:ind w:firstLine="480" w:firstLineChars="200"/>
        <w:rPr>
          <w:rFonts w:hint="eastAsia" w:ascii="宋体" w:hAnsi="宋体" w:eastAsia="宋体" w:cs="宋体"/>
          <w:color w:val="auto"/>
          <w:sz w:val="24"/>
          <w:highlight w:val="none"/>
        </w:rPr>
      </w:pPr>
      <w:bookmarkStart w:id="382" w:name="_Toc30158"/>
      <w:bookmarkStart w:id="383" w:name="_Toc30506"/>
      <w:bookmarkStart w:id="384" w:name="_Toc3654"/>
      <w:bookmarkStart w:id="385" w:name="_Toc14993"/>
      <w:bookmarkStart w:id="386"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6F04696">
      <w:pPr>
        <w:pStyle w:val="3"/>
        <w:tabs>
          <w:tab w:val="left" w:pos="432"/>
        </w:tabs>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82"/>
    <w:bookmarkEnd w:id="383"/>
    <w:bookmarkEnd w:id="384"/>
    <w:bookmarkEnd w:id="385"/>
    <w:bookmarkEnd w:id="386"/>
    <w:p w14:paraId="62135457">
      <w:pPr>
        <w:pStyle w:val="79"/>
        <w:spacing w:before="0" w:beforeAutospacing="0" w:after="0" w:afterAutospacing="0" w:line="360" w:lineRule="auto"/>
        <w:ind w:firstLine="480"/>
        <w:rPr>
          <w:rFonts w:hint="eastAsia" w:ascii="宋体" w:hAnsi="宋体" w:eastAsia="宋体" w:cs="宋体"/>
          <w:b/>
          <w:color w:val="auto"/>
          <w:highlight w:val="none"/>
        </w:rPr>
      </w:pPr>
      <w:bookmarkStart w:id="387" w:name="_Toc31421"/>
      <w:bookmarkStart w:id="388" w:name="_Toc8772"/>
      <w:bookmarkStart w:id="389" w:name="_Toc3625"/>
      <w:bookmarkStart w:id="390" w:name="_Toc4760"/>
      <w:bookmarkStart w:id="391" w:name="_Toc11108"/>
      <w:r>
        <w:rPr>
          <w:rFonts w:hint="eastAsia" w:ascii="宋体" w:hAnsi="宋体" w:eastAsia="宋体" w:cs="宋体"/>
          <w:b/>
          <w:color w:val="auto"/>
          <w:highlight w:val="none"/>
        </w:rPr>
        <w:t>1.4履约保证金</w:t>
      </w:r>
    </w:p>
    <w:p w14:paraId="28618720">
      <w:pPr>
        <w:pStyle w:val="7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B8FF307">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746942B">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7FAEF28">
      <w:pPr>
        <w:pStyle w:val="3"/>
        <w:tabs>
          <w:tab w:val="left" w:pos="0"/>
          <w:tab w:val="left"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533F4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4E71CB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7C49C408">
      <w:pPr>
        <w:pStyle w:val="7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64DC7F21">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7224447">
      <w:pPr>
        <w:pStyle w:val="7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FE786D">
      <w:pPr>
        <w:pStyle w:val="7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91F8F78">
      <w:pPr>
        <w:pStyle w:val="7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7CB3BD4">
      <w:pPr>
        <w:pStyle w:val="7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B03945">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ADCDD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387"/>
      <w:bookmarkEnd w:id="388"/>
      <w:bookmarkEnd w:id="389"/>
      <w:bookmarkEnd w:id="390"/>
      <w:bookmarkEnd w:id="391"/>
    </w:p>
    <w:p w14:paraId="4D963B2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CD2D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EAC5A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BBBC28D">
      <w:pPr>
        <w:spacing w:line="560" w:lineRule="exact"/>
        <w:ind w:firstLine="480" w:firstLineChars="200"/>
        <w:outlineLvl w:val="0"/>
        <w:rPr>
          <w:rFonts w:hint="eastAsia" w:ascii="宋体" w:hAnsi="宋体" w:eastAsia="宋体" w:cs="宋体"/>
          <w:bCs/>
          <w:color w:val="auto"/>
          <w:sz w:val="24"/>
          <w:highlight w:val="none"/>
        </w:rPr>
      </w:pPr>
      <w:bookmarkStart w:id="392" w:name="_Toc3079"/>
      <w:bookmarkStart w:id="393" w:name="_Toc5698"/>
      <w:bookmarkStart w:id="394" w:name="_Toc24662"/>
      <w:bookmarkStart w:id="395" w:name="_Toc2375"/>
      <w:bookmarkStart w:id="396" w:name="_Toc8586"/>
      <w:r>
        <w:rPr>
          <w:rFonts w:hint="eastAsia" w:ascii="宋体" w:hAnsi="宋体" w:eastAsia="宋体" w:cs="宋体"/>
          <w:bCs/>
          <w:color w:val="auto"/>
          <w:sz w:val="24"/>
          <w:highlight w:val="none"/>
        </w:rPr>
        <w:t>1.7.4若服务涉及货物的，则货物的：</w:t>
      </w:r>
    </w:p>
    <w:p w14:paraId="05CAC5B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BBAB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ADE5F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5D1DF9">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392"/>
      <w:bookmarkEnd w:id="393"/>
      <w:bookmarkEnd w:id="394"/>
      <w:bookmarkEnd w:id="395"/>
      <w:bookmarkEnd w:id="396"/>
    </w:p>
    <w:p w14:paraId="6E3B4B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7489CD9">
      <w:pPr>
        <w:pStyle w:val="3"/>
        <w:tabs>
          <w:tab w:val="left" w:pos="432"/>
        </w:tabs>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B7476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E180ED6">
      <w:pPr>
        <w:spacing w:line="560" w:lineRule="exact"/>
        <w:ind w:firstLine="480" w:firstLineChars="200"/>
        <w:rPr>
          <w:rFonts w:hint="eastAsia" w:ascii="宋体" w:hAnsi="宋体" w:eastAsia="宋体" w:cs="宋体"/>
          <w:color w:val="auto"/>
          <w:sz w:val="24"/>
          <w:highlight w:val="none"/>
        </w:rPr>
      </w:pPr>
      <w:bookmarkStart w:id="397" w:name="_Toc9497"/>
      <w:bookmarkStart w:id="398" w:name="_Toc26807"/>
      <w:bookmarkStart w:id="399" w:name="_Toc32454"/>
      <w:bookmarkStart w:id="400" w:name="_Toc30329"/>
      <w:bookmarkStart w:id="401"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17B8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E9983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3580809">
      <w:pPr>
        <w:spacing w:line="560" w:lineRule="exact"/>
        <w:ind w:right="-48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397"/>
    <w:bookmarkEnd w:id="398"/>
    <w:bookmarkEnd w:id="399"/>
    <w:bookmarkEnd w:id="400"/>
    <w:bookmarkEnd w:id="401"/>
    <w:p w14:paraId="6CDEF29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2C08870E">
      <w:pPr>
        <w:spacing w:line="560" w:lineRule="exact"/>
        <w:ind w:left="-70" w:leftChars="-29" w:right="-48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7F48A35C">
      <w:pPr>
        <w:spacing w:line="560" w:lineRule="exact"/>
        <w:ind w:left="-480" w:leftChars="-200" w:right="-48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C2E82F0">
      <w:pPr>
        <w:spacing w:line="560" w:lineRule="exact"/>
        <w:ind w:left="-480" w:leftChars="-200" w:right="-48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647BD7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467A373B">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68718F0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F615A2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34154AA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9C7379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23613C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37D03A2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6C3C26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0B3E31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A84974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6A23EA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C65BEC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E80108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10BBC83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734909A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9CE4F70">
      <w:pPr>
        <w:pStyle w:val="78"/>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41F69378">
      <w:pPr>
        <w:spacing w:line="560" w:lineRule="exact"/>
        <w:ind w:firstLine="482" w:firstLineChars="200"/>
        <w:outlineLvl w:val="0"/>
        <w:rPr>
          <w:rFonts w:hint="eastAsia" w:ascii="宋体" w:hAnsi="宋体" w:eastAsia="宋体" w:cs="宋体"/>
          <w:b/>
          <w:color w:val="auto"/>
          <w:sz w:val="24"/>
          <w:highlight w:val="none"/>
        </w:rPr>
      </w:pPr>
      <w:bookmarkStart w:id="402" w:name="_Toc14021"/>
      <w:bookmarkStart w:id="403" w:name="_Toc31297"/>
      <w:bookmarkStart w:id="404" w:name="_Toc5228"/>
      <w:bookmarkStart w:id="405" w:name="_Toc19680"/>
      <w:bookmarkStart w:id="406" w:name="_Toc25079"/>
      <w:r>
        <w:rPr>
          <w:rFonts w:hint="eastAsia" w:ascii="宋体" w:hAnsi="宋体" w:eastAsia="宋体" w:cs="宋体"/>
          <w:b/>
          <w:color w:val="auto"/>
          <w:sz w:val="24"/>
          <w:highlight w:val="none"/>
        </w:rPr>
        <w:t>2.1 定义</w:t>
      </w:r>
      <w:bookmarkEnd w:id="402"/>
      <w:bookmarkEnd w:id="403"/>
      <w:bookmarkEnd w:id="404"/>
      <w:bookmarkEnd w:id="405"/>
      <w:bookmarkEnd w:id="406"/>
    </w:p>
    <w:p w14:paraId="4CCB35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4F087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0DB7B2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666F6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AAD46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86FDE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55B1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AC045EB">
      <w:pPr>
        <w:spacing w:line="560" w:lineRule="exact"/>
        <w:ind w:firstLine="482" w:firstLineChars="200"/>
        <w:outlineLvl w:val="0"/>
        <w:rPr>
          <w:rFonts w:hint="eastAsia" w:ascii="宋体" w:hAnsi="宋体" w:eastAsia="宋体" w:cs="宋体"/>
          <w:b/>
          <w:color w:val="auto"/>
          <w:sz w:val="24"/>
          <w:highlight w:val="none"/>
        </w:rPr>
      </w:pPr>
      <w:bookmarkStart w:id="407" w:name="_Toc31402"/>
      <w:bookmarkStart w:id="408" w:name="_Toc23289"/>
      <w:bookmarkStart w:id="409" w:name="_Toc16752"/>
      <w:bookmarkStart w:id="410" w:name="_Toc3769"/>
      <w:bookmarkStart w:id="411" w:name="_Toc19539"/>
      <w:r>
        <w:rPr>
          <w:rFonts w:hint="eastAsia" w:ascii="宋体" w:hAnsi="宋体" w:eastAsia="宋体" w:cs="宋体"/>
          <w:b/>
          <w:color w:val="auto"/>
          <w:sz w:val="24"/>
          <w:highlight w:val="none"/>
        </w:rPr>
        <w:t>2.2 技术规范</w:t>
      </w:r>
      <w:bookmarkEnd w:id="407"/>
      <w:bookmarkEnd w:id="408"/>
      <w:bookmarkEnd w:id="409"/>
      <w:bookmarkEnd w:id="410"/>
      <w:bookmarkEnd w:id="411"/>
    </w:p>
    <w:p w14:paraId="42F773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99B3DF">
      <w:pPr>
        <w:spacing w:line="560" w:lineRule="exact"/>
        <w:ind w:firstLine="482" w:firstLineChars="200"/>
        <w:outlineLvl w:val="0"/>
        <w:rPr>
          <w:rFonts w:hint="eastAsia" w:ascii="宋体" w:hAnsi="宋体" w:eastAsia="宋体" w:cs="宋体"/>
          <w:b/>
          <w:color w:val="auto"/>
          <w:sz w:val="24"/>
          <w:highlight w:val="none"/>
        </w:rPr>
      </w:pPr>
      <w:bookmarkStart w:id="412" w:name="_Toc9161"/>
      <w:bookmarkStart w:id="413" w:name="_Toc12412"/>
      <w:bookmarkStart w:id="414" w:name="_Toc4133"/>
      <w:bookmarkStart w:id="415" w:name="_Toc13673"/>
      <w:bookmarkStart w:id="416" w:name="_Toc27945"/>
      <w:r>
        <w:rPr>
          <w:rFonts w:hint="eastAsia" w:ascii="宋体" w:hAnsi="宋体" w:eastAsia="宋体" w:cs="宋体"/>
          <w:b/>
          <w:color w:val="auto"/>
          <w:sz w:val="24"/>
          <w:highlight w:val="none"/>
        </w:rPr>
        <w:t>2.3 知识产权</w:t>
      </w:r>
      <w:bookmarkEnd w:id="412"/>
      <w:bookmarkEnd w:id="413"/>
      <w:bookmarkEnd w:id="414"/>
      <w:bookmarkEnd w:id="415"/>
      <w:bookmarkEnd w:id="416"/>
    </w:p>
    <w:p w14:paraId="718F9D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0FFA0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87CFF4B">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044B5B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8350C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29D3B843">
      <w:pPr>
        <w:spacing w:line="560" w:lineRule="exact"/>
        <w:ind w:firstLine="482" w:firstLineChars="200"/>
        <w:outlineLvl w:val="0"/>
        <w:rPr>
          <w:rFonts w:hint="eastAsia" w:ascii="宋体" w:hAnsi="宋体" w:eastAsia="宋体" w:cs="宋体"/>
          <w:b/>
          <w:color w:val="auto"/>
          <w:sz w:val="24"/>
          <w:highlight w:val="none"/>
        </w:rPr>
      </w:pPr>
      <w:bookmarkStart w:id="417" w:name="_Toc26555"/>
      <w:bookmarkStart w:id="418" w:name="_Toc22011"/>
      <w:bookmarkStart w:id="419" w:name="_Toc31233"/>
      <w:bookmarkStart w:id="420" w:name="_Toc32670"/>
      <w:bookmarkStart w:id="421" w:name="_Toc15447"/>
      <w:r>
        <w:rPr>
          <w:rFonts w:hint="eastAsia" w:ascii="宋体" w:hAnsi="宋体" w:eastAsia="宋体" w:cs="宋体"/>
          <w:b/>
          <w:color w:val="auto"/>
          <w:sz w:val="24"/>
          <w:highlight w:val="none"/>
        </w:rPr>
        <w:t>2.5 结算方式和付款条件</w:t>
      </w:r>
      <w:bookmarkEnd w:id="417"/>
      <w:bookmarkEnd w:id="418"/>
      <w:bookmarkEnd w:id="419"/>
      <w:bookmarkEnd w:id="420"/>
      <w:bookmarkEnd w:id="421"/>
    </w:p>
    <w:p w14:paraId="6512A27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5F4D317">
      <w:pPr>
        <w:spacing w:line="560" w:lineRule="exact"/>
        <w:ind w:firstLine="482" w:firstLineChars="200"/>
        <w:outlineLvl w:val="0"/>
        <w:rPr>
          <w:rFonts w:hint="eastAsia" w:ascii="宋体" w:hAnsi="宋体" w:eastAsia="宋体" w:cs="宋体"/>
          <w:b/>
          <w:color w:val="auto"/>
          <w:sz w:val="24"/>
          <w:highlight w:val="none"/>
        </w:rPr>
      </w:pPr>
      <w:bookmarkStart w:id="422" w:name="_Toc13467"/>
      <w:bookmarkStart w:id="423" w:name="_Toc16163"/>
      <w:bookmarkStart w:id="424" w:name="_Toc13154"/>
      <w:bookmarkStart w:id="425" w:name="_Toc18990"/>
      <w:bookmarkStart w:id="426" w:name="_Toc30507"/>
      <w:r>
        <w:rPr>
          <w:rFonts w:hint="eastAsia" w:ascii="宋体" w:hAnsi="宋体" w:eastAsia="宋体" w:cs="宋体"/>
          <w:b/>
          <w:color w:val="auto"/>
          <w:sz w:val="24"/>
          <w:highlight w:val="none"/>
        </w:rPr>
        <w:t>2.6 技术资料和保密义务</w:t>
      </w:r>
      <w:bookmarkEnd w:id="422"/>
      <w:bookmarkEnd w:id="423"/>
      <w:bookmarkEnd w:id="424"/>
      <w:bookmarkEnd w:id="425"/>
      <w:bookmarkEnd w:id="426"/>
    </w:p>
    <w:p w14:paraId="18F298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39A33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41240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497C3E7">
      <w:pPr>
        <w:spacing w:line="560" w:lineRule="exact"/>
        <w:ind w:firstLine="482" w:firstLineChars="200"/>
        <w:outlineLvl w:val="0"/>
        <w:rPr>
          <w:rFonts w:hint="eastAsia" w:ascii="宋体" w:hAnsi="宋体" w:eastAsia="宋体" w:cs="宋体"/>
          <w:b/>
          <w:color w:val="auto"/>
          <w:sz w:val="24"/>
          <w:highlight w:val="none"/>
        </w:rPr>
      </w:pPr>
      <w:bookmarkStart w:id="427" w:name="_Toc19069"/>
      <w:r>
        <w:rPr>
          <w:rFonts w:hint="eastAsia" w:ascii="宋体" w:hAnsi="宋体" w:eastAsia="宋体" w:cs="宋体"/>
          <w:b/>
          <w:color w:val="auto"/>
          <w:sz w:val="24"/>
          <w:highlight w:val="none"/>
        </w:rPr>
        <w:t>2.7 质量保证</w:t>
      </w:r>
      <w:bookmarkEnd w:id="427"/>
    </w:p>
    <w:p w14:paraId="6855DB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58A126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D15697C">
      <w:pPr>
        <w:spacing w:line="560" w:lineRule="exact"/>
        <w:ind w:firstLine="482" w:firstLineChars="200"/>
        <w:outlineLvl w:val="0"/>
        <w:rPr>
          <w:rFonts w:hint="eastAsia" w:ascii="宋体" w:hAnsi="宋体" w:eastAsia="宋体" w:cs="宋体"/>
          <w:b/>
          <w:color w:val="auto"/>
          <w:sz w:val="24"/>
          <w:highlight w:val="none"/>
        </w:rPr>
      </w:pPr>
      <w:bookmarkStart w:id="428" w:name="_Toc22267"/>
      <w:r>
        <w:rPr>
          <w:rFonts w:hint="eastAsia" w:ascii="宋体" w:hAnsi="宋体" w:eastAsia="宋体" w:cs="宋体"/>
          <w:b/>
          <w:color w:val="auto"/>
          <w:sz w:val="24"/>
          <w:highlight w:val="none"/>
        </w:rPr>
        <w:t>2.8 延迟履行</w:t>
      </w:r>
      <w:bookmarkEnd w:id="428"/>
    </w:p>
    <w:p w14:paraId="7A0B80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ACC7DE">
      <w:pPr>
        <w:spacing w:line="560" w:lineRule="exact"/>
        <w:ind w:firstLine="482" w:firstLineChars="200"/>
        <w:outlineLvl w:val="0"/>
        <w:rPr>
          <w:rFonts w:hint="eastAsia" w:ascii="宋体" w:hAnsi="宋体" w:eastAsia="宋体" w:cs="宋体"/>
          <w:b/>
          <w:color w:val="auto"/>
          <w:sz w:val="24"/>
          <w:highlight w:val="none"/>
        </w:rPr>
      </w:pPr>
      <w:bookmarkStart w:id="429" w:name="_Toc10611"/>
      <w:r>
        <w:rPr>
          <w:rFonts w:hint="eastAsia" w:ascii="宋体" w:hAnsi="宋体" w:eastAsia="宋体" w:cs="宋体"/>
          <w:b/>
          <w:color w:val="auto"/>
          <w:sz w:val="24"/>
          <w:highlight w:val="none"/>
        </w:rPr>
        <w:t>2.9 合同变更</w:t>
      </w:r>
      <w:bookmarkEnd w:id="429"/>
    </w:p>
    <w:p w14:paraId="3AA979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BA270DB">
      <w:pPr>
        <w:spacing w:line="560" w:lineRule="exact"/>
        <w:ind w:firstLine="482" w:firstLineChars="200"/>
        <w:outlineLvl w:val="0"/>
        <w:rPr>
          <w:rFonts w:hint="eastAsia" w:ascii="宋体" w:hAnsi="宋体" w:eastAsia="宋体" w:cs="宋体"/>
          <w:b/>
          <w:color w:val="auto"/>
          <w:sz w:val="24"/>
          <w:highlight w:val="none"/>
        </w:rPr>
      </w:pPr>
      <w:bookmarkStart w:id="430" w:name="_Toc23368"/>
      <w:bookmarkStart w:id="431" w:name="_Toc10663"/>
      <w:bookmarkStart w:id="432" w:name="_Toc42"/>
      <w:bookmarkStart w:id="433" w:name="_Toc21830"/>
      <w:bookmarkStart w:id="434" w:name="_Toc26689"/>
      <w:r>
        <w:rPr>
          <w:rFonts w:hint="eastAsia" w:ascii="宋体" w:hAnsi="宋体" w:eastAsia="宋体" w:cs="宋体"/>
          <w:b/>
          <w:color w:val="auto"/>
          <w:sz w:val="24"/>
          <w:highlight w:val="none"/>
        </w:rPr>
        <w:t>2.10 合同转让和分包</w:t>
      </w:r>
      <w:bookmarkEnd w:id="430"/>
      <w:bookmarkEnd w:id="431"/>
      <w:bookmarkEnd w:id="432"/>
      <w:bookmarkEnd w:id="433"/>
      <w:bookmarkEnd w:id="434"/>
    </w:p>
    <w:p w14:paraId="7306B2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D9518B">
      <w:pPr>
        <w:spacing w:line="560" w:lineRule="exact"/>
        <w:ind w:firstLine="482" w:firstLineChars="200"/>
        <w:outlineLvl w:val="0"/>
        <w:rPr>
          <w:rFonts w:hint="eastAsia" w:ascii="宋体" w:hAnsi="宋体" w:eastAsia="宋体" w:cs="宋体"/>
          <w:b/>
          <w:color w:val="auto"/>
          <w:sz w:val="24"/>
          <w:highlight w:val="none"/>
        </w:rPr>
      </w:pPr>
      <w:bookmarkStart w:id="435" w:name="_Toc4720"/>
      <w:bookmarkStart w:id="436" w:name="_Toc14371"/>
      <w:bookmarkStart w:id="437" w:name="_Toc25571"/>
      <w:bookmarkStart w:id="438" w:name="_Toc26633"/>
      <w:bookmarkStart w:id="439" w:name="_Toc32494"/>
      <w:r>
        <w:rPr>
          <w:rFonts w:hint="eastAsia" w:ascii="宋体" w:hAnsi="宋体" w:eastAsia="宋体" w:cs="宋体"/>
          <w:b/>
          <w:color w:val="auto"/>
          <w:sz w:val="24"/>
          <w:highlight w:val="none"/>
        </w:rPr>
        <w:t>2.11 不可抗力</w:t>
      </w:r>
      <w:bookmarkEnd w:id="435"/>
      <w:bookmarkEnd w:id="436"/>
      <w:bookmarkEnd w:id="437"/>
      <w:bookmarkEnd w:id="438"/>
      <w:bookmarkEnd w:id="439"/>
    </w:p>
    <w:p w14:paraId="5A4C09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691D69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C74B6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F753C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9C4AAE5">
      <w:pPr>
        <w:spacing w:line="560" w:lineRule="exact"/>
        <w:ind w:firstLine="482" w:firstLineChars="200"/>
        <w:outlineLvl w:val="0"/>
        <w:rPr>
          <w:rFonts w:hint="eastAsia" w:ascii="宋体" w:hAnsi="宋体" w:eastAsia="宋体" w:cs="宋体"/>
          <w:b/>
          <w:color w:val="auto"/>
          <w:sz w:val="24"/>
          <w:highlight w:val="none"/>
        </w:rPr>
      </w:pPr>
      <w:bookmarkStart w:id="440" w:name="_Toc23854"/>
      <w:bookmarkStart w:id="441" w:name="_Toc25783"/>
      <w:bookmarkStart w:id="442" w:name="_Toc3638"/>
      <w:bookmarkStart w:id="443" w:name="_Toc24465"/>
      <w:bookmarkStart w:id="444" w:name="_Toc14115"/>
      <w:r>
        <w:rPr>
          <w:rFonts w:hint="eastAsia" w:ascii="宋体" w:hAnsi="宋体" w:eastAsia="宋体" w:cs="宋体"/>
          <w:b/>
          <w:color w:val="auto"/>
          <w:sz w:val="24"/>
          <w:highlight w:val="none"/>
        </w:rPr>
        <w:t>2.12 税费</w:t>
      </w:r>
      <w:bookmarkEnd w:id="440"/>
      <w:bookmarkEnd w:id="441"/>
      <w:bookmarkEnd w:id="442"/>
      <w:bookmarkEnd w:id="443"/>
      <w:bookmarkEnd w:id="444"/>
    </w:p>
    <w:p w14:paraId="77F202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857CDC8">
      <w:pPr>
        <w:spacing w:line="560" w:lineRule="exact"/>
        <w:ind w:firstLine="482" w:firstLineChars="200"/>
        <w:outlineLvl w:val="0"/>
        <w:rPr>
          <w:rFonts w:hint="eastAsia" w:ascii="宋体" w:hAnsi="宋体" w:eastAsia="宋体" w:cs="宋体"/>
          <w:b/>
          <w:color w:val="auto"/>
          <w:sz w:val="24"/>
          <w:highlight w:val="none"/>
        </w:rPr>
      </w:pPr>
      <w:bookmarkStart w:id="445" w:name="_Toc25525"/>
      <w:bookmarkStart w:id="446" w:name="_Toc14814"/>
      <w:bookmarkStart w:id="447" w:name="_Toc26883"/>
      <w:bookmarkStart w:id="448" w:name="_Toc7315"/>
      <w:bookmarkStart w:id="449" w:name="_Toc30105"/>
      <w:r>
        <w:rPr>
          <w:rFonts w:hint="eastAsia" w:ascii="宋体" w:hAnsi="宋体" w:eastAsia="宋体" w:cs="宋体"/>
          <w:b/>
          <w:color w:val="auto"/>
          <w:sz w:val="24"/>
          <w:highlight w:val="none"/>
        </w:rPr>
        <w:t>2.13 乙方破产</w:t>
      </w:r>
      <w:bookmarkEnd w:id="445"/>
      <w:bookmarkEnd w:id="446"/>
      <w:bookmarkEnd w:id="447"/>
      <w:bookmarkEnd w:id="448"/>
      <w:bookmarkEnd w:id="449"/>
    </w:p>
    <w:p w14:paraId="1DFDD65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1933C2">
      <w:pPr>
        <w:spacing w:line="560" w:lineRule="exact"/>
        <w:ind w:firstLine="482" w:firstLineChars="200"/>
        <w:outlineLvl w:val="0"/>
        <w:rPr>
          <w:rFonts w:hint="eastAsia" w:ascii="宋体" w:hAnsi="宋体" w:eastAsia="宋体" w:cs="宋体"/>
          <w:b/>
          <w:color w:val="auto"/>
          <w:sz w:val="24"/>
          <w:highlight w:val="none"/>
        </w:rPr>
      </w:pPr>
      <w:bookmarkStart w:id="450" w:name="_Toc2016"/>
      <w:bookmarkStart w:id="451" w:name="_Toc23323"/>
      <w:bookmarkStart w:id="452" w:name="_Toc1123"/>
      <w:r>
        <w:rPr>
          <w:rFonts w:hint="eastAsia" w:ascii="宋体" w:hAnsi="宋体" w:eastAsia="宋体" w:cs="宋体"/>
          <w:b/>
          <w:color w:val="auto"/>
          <w:sz w:val="24"/>
          <w:highlight w:val="none"/>
        </w:rPr>
        <w:t>2.14 合同中止、终止</w:t>
      </w:r>
      <w:bookmarkEnd w:id="450"/>
      <w:bookmarkEnd w:id="451"/>
      <w:bookmarkEnd w:id="452"/>
    </w:p>
    <w:p w14:paraId="7D4A56C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1072A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C414886">
      <w:pPr>
        <w:spacing w:line="560" w:lineRule="exact"/>
        <w:ind w:firstLine="482" w:firstLineChars="200"/>
        <w:outlineLvl w:val="0"/>
        <w:rPr>
          <w:rFonts w:hint="eastAsia" w:ascii="宋体" w:hAnsi="宋体" w:eastAsia="宋体" w:cs="宋体"/>
          <w:b/>
          <w:color w:val="auto"/>
          <w:sz w:val="24"/>
          <w:highlight w:val="none"/>
        </w:rPr>
      </w:pPr>
      <w:bookmarkStart w:id="453" w:name="_Toc17363"/>
      <w:bookmarkStart w:id="454" w:name="_Toc14525"/>
      <w:bookmarkStart w:id="455" w:name="_Toc1969"/>
      <w:r>
        <w:rPr>
          <w:rFonts w:hint="eastAsia" w:ascii="宋体" w:hAnsi="宋体" w:eastAsia="宋体" w:cs="宋体"/>
          <w:b/>
          <w:color w:val="auto"/>
          <w:sz w:val="24"/>
          <w:highlight w:val="none"/>
        </w:rPr>
        <w:t>2.15 检验和验收</w:t>
      </w:r>
      <w:bookmarkEnd w:id="453"/>
      <w:bookmarkEnd w:id="454"/>
      <w:bookmarkEnd w:id="455"/>
    </w:p>
    <w:p w14:paraId="2624EE6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D25101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A15DD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143468D">
      <w:pPr>
        <w:spacing w:line="560" w:lineRule="exact"/>
        <w:ind w:firstLine="482" w:firstLineChars="200"/>
        <w:outlineLvl w:val="0"/>
        <w:rPr>
          <w:rFonts w:hint="eastAsia" w:ascii="宋体" w:hAnsi="宋体" w:eastAsia="宋体" w:cs="宋体"/>
          <w:b/>
          <w:color w:val="auto"/>
          <w:sz w:val="24"/>
          <w:highlight w:val="none"/>
        </w:rPr>
      </w:pPr>
      <w:bookmarkStart w:id="456" w:name="_Toc12666"/>
      <w:bookmarkStart w:id="457" w:name="_Toc31892"/>
      <w:bookmarkStart w:id="458" w:name="_Toc25198"/>
      <w:bookmarkStart w:id="459" w:name="_Toc9808"/>
      <w:bookmarkStart w:id="460" w:name="_Toc2308"/>
      <w:r>
        <w:rPr>
          <w:rFonts w:hint="eastAsia" w:ascii="宋体" w:hAnsi="宋体" w:eastAsia="宋体" w:cs="宋体"/>
          <w:b/>
          <w:color w:val="auto"/>
          <w:sz w:val="24"/>
          <w:highlight w:val="none"/>
        </w:rPr>
        <w:t>2.16 通知和送达</w:t>
      </w:r>
      <w:bookmarkEnd w:id="456"/>
      <w:bookmarkEnd w:id="457"/>
      <w:bookmarkEnd w:id="458"/>
      <w:bookmarkEnd w:id="459"/>
      <w:bookmarkEnd w:id="460"/>
    </w:p>
    <w:p w14:paraId="0F26603B">
      <w:pPr>
        <w:spacing w:line="560" w:lineRule="exact"/>
        <w:ind w:firstLine="480" w:firstLineChars="200"/>
        <w:rPr>
          <w:rFonts w:hint="eastAsia" w:ascii="宋体" w:hAnsi="宋体" w:eastAsia="宋体" w:cs="宋体"/>
          <w:color w:val="auto"/>
          <w:sz w:val="24"/>
          <w:highlight w:val="none"/>
        </w:rPr>
      </w:pPr>
      <w:bookmarkStart w:id="461" w:name="_Toc18401"/>
      <w:bookmarkStart w:id="462"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5CA95B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1"/>
      <w:bookmarkEnd w:id="462"/>
    </w:p>
    <w:p w14:paraId="72B8BFF0">
      <w:pPr>
        <w:spacing w:line="560" w:lineRule="exact"/>
        <w:ind w:firstLine="482" w:firstLineChars="200"/>
        <w:outlineLvl w:val="0"/>
        <w:rPr>
          <w:rFonts w:hint="eastAsia" w:ascii="宋体" w:hAnsi="宋体" w:eastAsia="宋体" w:cs="宋体"/>
          <w:b/>
          <w:color w:val="auto"/>
          <w:sz w:val="24"/>
          <w:highlight w:val="none"/>
        </w:rPr>
      </w:pPr>
      <w:bookmarkStart w:id="463" w:name="_Toc28906"/>
      <w:bookmarkStart w:id="464" w:name="_Toc27644"/>
      <w:bookmarkStart w:id="465" w:name="_Toc20808"/>
      <w:bookmarkStart w:id="466" w:name="_Toc12254"/>
      <w:bookmarkStart w:id="467" w:name="_Toc5063"/>
      <w:r>
        <w:rPr>
          <w:rFonts w:hint="eastAsia" w:ascii="宋体" w:hAnsi="宋体" w:eastAsia="宋体" w:cs="宋体"/>
          <w:b/>
          <w:color w:val="auto"/>
          <w:sz w:val="24"/>
          <w:highlight w:val="none"/>
        </w:rPr>
        <w:t>2.17 合同使用的文字和适用的法律</w:t>
      </w:r>
      <w:bookmarkEnd w:id="463"/>
      <w:bookmarkEnd w:id="464"/>
      <w:bookmarkEnd w:id="465"/>
      <w:bookmarkEnd w:id="466"/>
      <w:bookmarkEnd w:id="467"/>
    </w:p>
    <w:p w14:paraId="6B1A0EF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034FC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1A556E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511DAD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93AC3D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03107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330968F">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617C3AD4">
      <w:pPr>
        <w:spacing w:line="560" w:lineRule="exact"/>
        <w:ind w:left="-480" w:leftChars="-200" w:right="-48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5C38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936A0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32D9D05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AD82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0719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6AAC0C49">
            <w:pPr>
              <w:spacing w:line="360" w:lineRule="auto"/>
              <w:rPr>
                <w:rFonts w:hint="eastAsia" w:ascii="宋体" w:hAnsi="宋体" w:eastAsia="宋体" w:cs="宋体"/>
                <w:color w:val="auto"/>
                <w:sz w:val="24"/>
                <w:highlight w:val="none"/>
              </w:rPr>
            </w:pPr>
          </w:p>
        </w:tc>
      </w:tr>
      <w:tr w14:paraId="20299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0F5B7D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71588F7C">
            <w:pPr>
              <w:spacing w:line="360" w:lineRule="auto"/>
              <w:rPr>
                <w:rFonts w:hint="eastAsia" w:ascii="宋体" w:hAnsi="宋体" w:eastAsia="宋体" w:cs="宋体"/>
                <w:color w:val="auto"/>
                <w:sz w:val="24"/>
                <w:highlight w:val="none"/>
              </w:rPr>
            </w:pPr>
          </w:p>
        </w:tc>
      </w:tr>
      <w:tr w14:paraId="0E8C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CAB9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7F1EB0DD">
            <w:pPr>
              <w:spacing w:line="360" w:lineRule="auto"/>
              <w:rPr>
                <w:rFonts w:hint="eastAsia" w:ascii="宋体" w:hAnsi="宋体" w:eastAsia="宋体" w:cs="宋体"/>
                <w:color w:val="auto"/>
                <w:sz w:val="24"/>
                <w:highlight w:val="none"/>
              </w:rPr>
            </w:pPr>
          </w:p>
        </w:tc>
      </w:tr>
      <w:tr w14:paraId="443F5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57B6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31870F77">
            <w:pPr>
              <w:spacing w:line="360" w:lineRule="auto"/>
              <w:rPr>
                <w:rFonts w:hint="eastAsia" w:ascii="宋体" w:hAnsi="宋体" w:eastAsia="宋体" w:cs="宋体"/>
                <w:color w:val="auto"/>
                <w:sz w:val="24"/>
                <w:highlight w:val="none"/>
              </w:rPr>
            </w:pPr>
          </w:p>
        </w:tc>
      </w:tr>
      <w:tr w14:paraId="2B3A6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B342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558C8BB8">
            <w:pPr>
              <w:spacing w:line="360" w:lineRule="auto"/>
              <w:rPr>
                <w:rFonts w:hint="eastAsia" w:ascii="宋体" w:hAnsi="宋体" w:eastAsia="宋体" w:cs="宋体"/>
                <w:color w:val="auto"/>
                <w:sz w:val="24"/>
                <w:highlight w:val="none"/>
              </w:rPr>
            </w:pPr>
          </w:p>
        </w:tc>
      </w:tr>
      <w:tr w14:paraId="0B46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59C7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635497A9">
            <w:pPr>
              <w:spacing w:line="360" w:lineRule="auto"/>
              <w:rPr>
                <w:rFonts w:hint="eastAsia" w:ascii="宋体" w:hAnsi="宋体" w:eastAsia="宋体" w:cs="宋体"/>
                <w:color w:val="auto"/>
                <w:sz w:val="24"/>
                <w:highlight w:val="none"/>
              </w:rPr>
            </w:pPr>
          </w:p>
        </w:tc>
      </w:tr>
      <w:tr w14:paraId="17D1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289E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76864767">
            <w:pPr>
              <w:spacing w:line="360" w:lineRule="auto"/>
              <w:rPr>
                <w:rFonts w:hint="eastAsia" w:ascii="宋体" w:hAnsi="宋体" w:eastAsia="宋体" w:cs="宋体"/>
                <w:color w:val="auto"/>
                <w:sz w:val="24"/>
                <w:highlight w:val="none"/>
              </w:rPr>
            </w:pPr>
          </w:p>
        </w:tc>
      </w:tr>
      <w:tr w14:paraId="43600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D9CF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11F8BE97">
            <w:pPr>
              <w:spacing w:line="360" w:lineRule="auto"/>
              <w:rPr>
                <w:rFonts w:hint="eastAsia" w:ascii="宋体" w:hAnsi="宋体" w:eastAsia="宋体" w:cs="宋体"/>
                <w:color w:val="auto"/>
                <w:sz w:val="24"/>
                <w:highlight w:val="none"/>
              </w:rPr>
            </w:pPr>
          </w:p>
        </w:tc>
      </w:tr>
      <w:tr w14:paraId="312B2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DF5E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196605FC">
            <w:pPr>
              <w:spacing w:line="360" w:lineRule="auto"/>
              <w:rPr>
                <w:rFonts w:hint="eastAsia" w:ascii="宋体" w:hAnsi="宋体" w:eastAsia="宋体" w:cs="宋体"/>
                <w:color w:val="auto"/>
                <w:sz w:val="24"/>
                <w:highlight w:val="none"/>
              </w:rPr>
            </w:pPr>
          </w:p>
        </w:tc>
      </w:tr>
      <w:tr w14:paraId="4EAF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D5AB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70A618C4">
            <w:pPr>
              <w:spacing w:line="360" w:lineRule="auto"/>
              <w:rPr>
                <w:rFonts w:hint="eastAsia" w:ascii="宋体" w:hAnsi="宋体" w:eastAsia="宋体" w:cs="宋体"/>
                <w:color w:val="auto"/>
                <w:sz w:val="24"/>
                <w:highlight w:val="none"/>
              </w:rPr>
            </w:pPr>
          </w:p>
        </w:tc>
      </w:tr>
      <w:tr w14:paraId="3F83D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8CA3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2305826E">
            <w:pPr>
              <w:spacing w:line="360" w:lineRule="auto"/>
              <w:rPr>
                <w:rFonts w:hint="eastAsia" w:ascii="宋体" w:hAnsi="宋体" w:eastAsia="宋体" w:cs="宋体"/>
                <w:color w:val="auto"/>
                <w:sz w:val="24"/>
                <w:highlight w:val="none"/>
              </w:rPr>
            </w:pPr>
          </w:p>
        </w:tc>
      </w:tr>
      <w:tr w14:paraId="0459F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879A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3E102DBA">
            <w:pPr>
              <w:spacing w:line="360" w:lineRule="auto"/>
              <w:rPr>
                <w:rFonts w:hint="eastAsia" w:ascii="宋体" w:hAnsi="宋体" w:eastAsia="宋体" w:cs="宋体"/>
                <w:color w:val="auto"/>
                <w:sz w:val="24"/>
                <w:highlight w:val="none"/>
              </w:rPr>
            </w:pPr>
          </w:p>
        </w:tc>
      </w:tr>
      <w:tr w14:paraId="073B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79F1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637321FD">
            <w:pPr>
              <w:spacing w:line="360" w:lineRule="auto"/>
              <w:rPr>
                <w:rFonts w:hint="eastAsia" w:ascii="宋体" w:hAnsi="宋体" w:eastAsia="宋体" w:cs="宋体"/>
                <w:color w:val="auto"/>
                <w:sz w:val="24"/>
                <w:highlight w:val="none"/>
              </w:rPr>
            </w:pPr>
          </w:p>
        </w:tc>
      </w:tr>
      <w:tr w14:paraId="424A5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977" w:type="dxa"/>
            <w:tcBorders>
              <w:left w:val="single" w:color="auto" w:sz="4" w:space="0"/>
            </w:tcBorders>
            <w:vAlign w:val="center"/>
          </w:tcPr>
          <w:p w14:paraId="6601DB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5ECFA18B">
            <w:pPr>
              <w:spacing w:line="360" w:lineRule="auto"/>
              <w:rPr>
                <w:rFonts w:hint="eastAsia" w:ascii="宋体" w:hAnsi="宋体" w:eastAsia="宋体" w:cs="宋体"/>
                <w:color w:val="auto"/>
                <w:sz w:val="24"/>
                <w:highlight w:val="none"/>
              </w:rPr>
            </w:pPr>
          </w:p>
        </w:tc>
      </w:tr>
      <w:tr w14:paraId="1505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C03E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3B5D1510">
            <w:pPr>
              <w:spacing w:line="360" w:lineRule="auto"/>
              <w:rPr>
                <w:rFonts w:hint="eastAsia" w:ascii="宋体" w:hAnsi="宋体" w:eastAsia="宋体" w:cs="宋体"/>
                <w:color w:val="auto"/>
                <w:sz w:val="24"/>
                <w:highlight w:val="none"/>
              </w:rPr>
            </w:pPr>
          </w:p>
        </w:tc>
      </w:tr>
      <w:tr w14:paraId="66A7F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1EC2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32039F0B">
            <w:pPr>
              <w:spacing w:line="360" w:lineRule="auto"/>
              <w:ind w:left="-480" w:leftChars="-200" w:right="-480" w:rightChars="-200" w:firstLine="480" w:firstLineChars="200"/>
              <w:rPr>
                <w:rFonts w:hint="eastAsia" w:ascii="宋体" w:hAnsi="宋体" w:eastAsia="宋体" w:cs="宋体"/>
                <w:color w:val="auto"/>
                <w:sz w:val="24"/>
                <w:highlight w:val="none"/>
              </w:rPr>
            </w:pPr>
          </w:p>
        </w:tc>
      </w:tr>
      <w:tr w14:paraId="13067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9202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07DE74A">
            <w:pPr>
              <w:spacing w:line="360" w:lineRule="auto"/>
              <w:ind w:left="-480" w:leftChars="-200" w:right="-480" w:rightChars="-200" w:firstLine="480" w:firstLineChars="200"/>
              <w:rPr>
                <w:rFonts w:hint="eastAsia" w:ascii="宋体" w:hAnsi="宋体" w:eastAsia="宋体" w:cs="宋体"/>
                <w:color w:val="auto"/>
                <w:sz w:val="24"/>
                <w:highlight w:val="none"/>
              </w:rPr>
            </w:pPr>
          </w:p>
        </w:tc>
      </w:tr>
      <w:tr w14:paraId="31095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76D7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59B64223">
            <w:pPr>
              <w:spacing w:line="360" w:lineRule="auto"/>
              <w:rPr>
                <w:rFonts w:hint="eastAsia" w:ascii="宋体" w:hAnsi="宋体" w:eastAsia="宋体" w:cs="宋体"/>
                <w:color w:val="auto"/>
                <w:sz w:val="24"/>
                <w:highlight w:val="none"/>
              </w:rPr>
            </w:pPr>
          </w:p>
        </w:tc>
      </w:tr>
      <w:tr w14:paraId="42FBC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9B664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77266DF4">
            <w:pPr>
              <w:spacing w:line="360" w:lineRule="auto"/>
              <w:rPr>
                <w:rFonts w:hint="eastAsia" w:ascii="宋体" w:hAnsi="宋体" w:eastAsia="宋体" w:cs="宋体"/>
                <w:color w:val="auto"/>
                <w:sz w:val="24"/>
                <w:highlight w:val="none"/>
              </w:rPr>
            </w:pPr>
          </w:p>
        </w:tc>
      </w:tr>
      <w:tr w14:paraId="4BC8A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C474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21A2033B">
            <w:pPr>
              <w:spacing w:line="360" w:lineRule="auto"/>
              <w:rPr>
                <w:rFonts w:hint="eastAsia" w:ascii="宋体" w:hAnsi="宋体" w:eastAsia="宋体" w:cs="宋体"/>
                <w:color w:val="auto"/>
                <w:sz w:val="24"/>
                <w:highlight w:val="none"/>
              </w:rPr>
            </w:pPr>
          </w:p>
        </w:tc>
      </w:tr>
      <w:tr w14:paraId="4F02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36C8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4BA4D85D">
            <w:pPr>
              <w:spacing w:line="360" w:lineRule="auto"/>
              <w:rPr>
                <w:rFonts w:hint="eastAsia" w:ascii="宋体" w:hAnsi="宋体" w:eastAsia="宋体" w:cs="宋体"/>
                <w:color w:val="auto"/>
                <w:sz w:val="24"/>
                <w:highlight w:val="none"/>
              </w:rPr>
            </w:pPr>
          </w:p>
        </w:tc>
      </w:tr>
      <w:tr w14:paraId="2113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14E9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0D7BE290">
            <w:pPr>
              <w:spacing w:line="360" w:lineRule="auto"/>
              <w:rPr>
                <w:rFonts w:hint="eastAsia" w:ascii="宋体" w:hAnsi="宋体" w:eastAsia="宋体" w:cs="宋体"/>
                <w:color w:val="auto"/>
                <w:sz w:val="24"/>
                <w:highlight w:val="none"/>
              </w:rPr>
            </w:pPr>
          </w:p>
        </w:tc>
      </w:tr>
    </w:tbl>
    <w:p w14:paraId="2F34185A">
      <w:pPr>
        <w:spacing w:line="500" w:lineRule="exact"/>
        <w:rPr>
          <w:rFonts w:hint="eastAsia" w:ascii="宋体" w:hAnsi="宋体" w:eastAsia="宋体" w:cs="宋体"/>
          <w:color w:val="auto"/>
          <w:highlight w:val="none"/>
        </w:rPr>
      </w:pPr>
    </w:p>
    <w:p w14:paraId="5B85183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7BBE3F">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第六部分 应提交的有关格式范例</w:t>
      </w:r>
    </w:p>
    <w:p w14:paraId="0722A8AA">
      <w:pPr>
        <w:pStyle w:val="3"/>
        <w:rPr>
          <w:rFonts w:hint="eastAsia" w:ascii="宋体" w:hAnsi="宋体" w:eastAsia="宋体" w:cs="宋体"/>
          <w:color w:val="auto"/>
          <w:highlight w:val="none"/>
        </w:rPr>
      </w:pPr>
      <w:r>
        <w:rPr>
          <w:rFonts w:hint="eastAsia" w:ascii="宋体" w:hAnsi="宋体" w:eastAsia="宋体" w:cs="宋体"/>
          <w:color w:val="auto"/>
          <w:highlight w:val="none"/>
        </w:rPr>
        <w:t>资格文件部分</w:t>
      </w:r>
    </w:p>
    <w:p w14:paraId="40B5DE23">
      <w:pPr>
        <w:jc w:val="center"/>
        <w:rPr>
          <w:rFonts w:hint="eastAsia" w:ascii="宋体" w:hAnsi="宋体" w:eastAsia="宋体" w:cs="宋体"/>
          <w:b/>
          <w:color w:val="auto"/>
          <w:sz w:val="40"/>
          <w:highlight w:val="none"/>
        </w:rPr>
      </w:pPr>
      <w:r>
        <w:rPr>
          <w:rFonts w:hint="eastAsia" w:ascii="宋体" w:hAnsi="宋体" w:eastAsia="宋体" w:cs="宋体"/>
          <w:b/>
          <w:color w:val="auto"/>
          <w:sz w:val="40"/>
          <w:highlight w:val="none"/>
        </w:rPr>
        <w:t>目录</w:t>
      </w:r>
    </w:p>
    <w:p w14:paraId="34B66CB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（1）符合参加采购活动应当具备的一般条件的承诺函…………………（页码）</w:t>
      </w:r>
    </w:p>
    <w:p w14:paraId="2698E61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（2）本项目的特定资格要求………………………………………………（页码）</w:t>
      </w:r>
    </w:p>
    <w:p w14:paraId="22949901">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392A4A">
      <w:pPr>
        <w:pStyle w:val="3"/>
        <w:rPr>
          <w:rFonts w:hint="eastAsia" w:ascii="宋体" w:hAnsi="宋体" w:eastAsia="宋体" w:cs="宋体"/>
          <w:color w:val="auto"/>
          <w:highlight w:val="none"/>
        </w:rPr>
      </w:pPr>
      <w:r>
        <w:rPr>
          <w:rFonts w:hint="eastAsia" w:ascii="宋体" w:hAnsi="宋体" w:eastAsia="宋体" w:cs="宋体"/>
          <w:color w:val="auto"/>
          <w:highlight w:val="none"/>
        </w:rPr>
        <w:t>一、 符合参加采购活动应当具备的一般条件的承诺函</w:t>
      </w:r>
    </w:p>
    <w:p w14:paraId="5F37533D">
      <w:pPr>
        <w:snapToGrid w:val="0"/>
        <w:spacing w:line="360" w:lineRule="auto"/>
        <w:rPr>
          <w:rFonts w:hint="eastAsia" w:ascii="宋体" w:hAnsi="宋体" w:eastAsia="宋体" w:cs="宋体"/>
          <w:color w:val="auto"/>
          <w:highlight w:val="none"/>
        </w:rPr>
      </w:pPr>
    </w:p>
    <w:p w14:paraId="75E07C9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采购人</w:t>
      </w:r>
      <w:r>
        <w:rPr>
          <w:rFonts w:hint="eastAsia" w:ascii="宋体" w:hAnsi="宋体" w:eastAsia="宋体" w:cs="宋体"/>
          <w:color w:val="auto"/>
          <w:highlight w:val="none"/>
          <w:u w:val="single"/>
        </w:rPr>
        <w:t>）、（采购代理机构）</w:t>
      </w:r>
      <w:r>
        <w:rPr>
          <w:rFonts w:hint="eastAsia" w:ascii="宋体" w:hAnsi="宋体" w:eastAsia="宋体" w:cs="宋体"/>
          <w:color w:val="auto"/>
          <w:highlight w:val="none"/>
        </w:rPr>
        <w:t>：</w:t>
      </w:r>
    </w:p>
    <w:p w14:paraId="4D49B1C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我方参与（项目名称）【招标编号：（采购编号）】采购活动，郑重承诺：</w:t>
      </w:r>
    </w:p>
    <w:p w14:paraId="0F0664A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7FF6CFD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2、具有良好的商业信誉和健全的财务会计制度； </w:t>
      </w:r>
    </w:p>
    <w:p w14:paraId="4FFBB31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6B9DADA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20ABB3A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4A76116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14:paraId="7D61623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14:paraId="06B346E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（三）不存在以下情况：</w:t>
      </w:r>
    </w:p>
    <w:p w14:paraId="6E18171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1、单位负责人为同一人或者存在直接控股、管理关系的不同供应商参加同一合同项下的政府采购活动的；</w:t>
      </w:r>
    </w:p>
    <w:p w14:paraId="5C53528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2、为采购项目提供整体设计、规范编制或者项目管理、监理、检测等服务后再参加该采购项目的其他采购活动的。</w:t>
      </w:r>
    </w:p>
    <w:p w14:paraId="5B0B24D7">
      <w:pPr>
        <w:snapToGrid w:val="0"/>
        <w:spacing w:line="360" w:lineRule="auto"/>
        <w:ind w:firstLine="5520" w:firstLineChars="2300"/>
        <w:rPr>
          <w:rFonts w:hint="eastAsia" w:ascii="宋体" w:hAnsi="宋体" w:eastAsia="宋体" w:cs="宋体"/>
          <w:color w:val="auto"/>
          <w:highlight w:val="none"/>
          <w:lang w:val="zh-CN"/>
        </w:rPr>
      </w:pPr>
    </w:p>
    <w:p w14:paraId="5093D6E6">
      <w:pPr>
        <w:snapToGrid w:val="0"/>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投标人名称（电子签名）：</w:t>
      </w:r>
    </w:p>
    <w:p w14:paraId="05AF944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1F57242D">
      <w:pPr>
        <w:snapToGrid w:val="0"/>
        <w:spacing w:line="360" w:lineRule="auto"/>
        <w:ind w:right="480"/>
        <w:jc w:val="center"/>
        <w:rPr>
          <w:rFonts w:hint="eastAsia" w:ascii="宋体" w:hAnsi="宋体" w:eastAsia="宋体" w:cs="宋体"/>
          <w:b/>
          <w:color w:val="auto"/>
          <w:sz w:val="32"/>
          <w:szCs w:val="32"/>
          <w:highlight w:val="none"/>
        </w:rPr>
      </w:pPr>
    </w:p>
    <w:p w14:paraId="45ABB1FB">
      <w:pPr>
        <w:pStyle w:val="3"/>
        <w:rPr>
          <w:rFonts w:hint="eastAsia" w:ascii="宋体" w:hAnsi="宋体" w:eastAsia="宋体" w:cs="宋体"/>
          <w:color w:val="auto"/>
          <w:highlight w:val="none"/>
        </w:rPr>
      </w:pPr>
      <w:r>
        <w:rPr>
          <w:rFonts w:hint="eastAsia" w:ascii="宋体" w:hAnsi="宋体" w:eastAsia="宋体" w:cs="宋体"/>
          <w:color w:val="auto"/>
          <w:highlight w:val="none"/>
        </w:rPr>
        <w:t>二、本项目的特定资格要求</w:t>
      </w:r>
    </w:p>
    <w:p w14:paraId="7053B30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（根据招标公告本项目的特定资格要求提供相应的材料；未要求的，无需提供）</w:t>
      </w:r>
    </w:p>
    <w:p w14:paraId="24606A25">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E6C612">
      <w:pPr>
        <w:pStyle w:val="3"/>
        <w:rPr>
          <w:rFonts w:hint="eastAsia" w:ascii="宋体" w:hAnsi="宋体" w:eastAsia="宋体" w:cs="宋体"/>
          <w:color w:val="auto"/>
          <w:highlight w:val="none"/>
        </w:rPr>
      </w:pPr>
      <w:r>
        <w:rPr>
          <w:rFonts w:hint="eastAsia" w:ascii="宋体" w:hAnsi="宋体" w:eastAsia="宋体" w:cs="宋体"/>
          <w:color w:val="auto"/>
          <w:highlight w:val="none"/>
        </w:rPr>
        <w:t>商务技术文件部分</w:t>
      </w:r>
    </w:p>
    <w:p w14:paraId="3830ACBC">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目录</w:t>
      </w:r>
    </w:p>
    <w:p w14:paraId="5BB87756">
      <w:pPr>
        <w:widowControl w:val="0"/>
        <w:adjustRightInd w:val="0"/>
        <w:spacing w:after="0" w:line="480" w:lineRule="exact"/>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（1）投标函……………………………………………………………………（页码）</w:t>
      </w:r>
    </w:p>
    <w:p w14:paraId="6BFB1F45">
      <w:pPr>
        <w:widowControl w:val="0"/>
        <w:adjustRightInd w:val="0"/>
        <w:spacing w:after="0" w:line="480" w:lineRule="exact"/>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（2）授权委托书或法定代表人（单位负责人、自然人本人）身份证明…（页码）</w:t>
      </w:r>
    </w:p>
    <w:p w14:paraId="51AF3A23">
      <w:pPr>
        <w:widowControl w:val="0"/>
        <w:adjustRightInd w:val="0"/>
        <w:spacing w:after="0" w:line="480" w:lineRule="exact"/>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（3）符合性审查资料…………………………………………………………（页码）</w:t>
      </w:r>
    </w:p>
    <w:p w14:paraId="22076217">
      <w:pPr>
        <w:widowControl w:val="0"/>
        <w:adjustRightInd w:val="0"/>
        <w:spacing w:after="0" w:line="480" w:lineRule="exact"/>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评标标准相应的商务技术资料…………………………………………（页码）（5）投标标的清单……………………………………………………………（页码）（6）商务技术偏离表…………………………………………………………（页码）</w:t>
      </w:r>
    </w:p>
    <w:p w14:paraId="5C7CDB4D">
      <w:pPr>
        <w:widowControl w:val="0"/>
        <w:adjustRightInd w:val="0"/>
        <w:spacing w:after="0" w:line="480" w:lineRule="exact"/>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7</w:t>
      </w:r>
      <w:r>
        <w:rPr>
          <w:rFonts w:hint="eastAsia" w:ascii="宋体" w:hAnsi="宋体" w:eastAsia="宋体" w:cs="宋体"/>
          <w:color w:val="auto"/>
          <w:kern w:val="2"/>
          <w:highlight w:val="none"/>
          <w:lang w:val="zh-CN"/>
        </w:rPr>
        <w:t>）采购供应商廉洁自律承诺书</w:t>
      </w:r>
      <w:r>
        <w:rPr>
          <w:rFonts w:hint="eastAsia" w:ascii="宋体" w:hAnsi="宋体" w:eastAsia="宋体" w:cs="宋体"/>
          <w:color w:val="auto"/>
          <w:kern w:val="2"/>
          <w:highlight w:val="none"/>
        </w:rPr>
        <w:t>……………………………………………（页码）</w:t>
      </w:r>
    </w:p>
    <w:p w14:paraId="7760D64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F11A91">
      <w:pPr>
        <w:pStyle w:val="3"/>
        <w:rPr>
          <w:rFonts w:hint="eastAsia" w:ascii="宋体" w:hAnsi="宋体" w:eastAsia="宋体" w:cs="宋体"/>
          <w:color w:val="auto"/>
          <w:highlight w:val="none"/>
        </w:rPr>
      </w:pPr>
      <w:r>
        <w:rPr>
          <w:rFonts w:hint="eastAsia" w:ascii="宋体" w:hAnsi="宋体" w:eastAsia="宋体" w:cs="宋体"/>
          <w:color w:val="auto"/>
          <w:highlight w:val="none"/>
        </w:rPr>
        <w:t>一、投标函</w:t>
      </w:r>
    </w:p>
    <w:p w14:paraId="1A54757B">
      <w:pPr>
        <w:widowControl w:val="0"/>
        <w:adjustRightInd w:val="0"/>
        <w:spacing w:after="0" w:line="440" w:lineRule="exact"/>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r>
        <w:rPr>
          <w:rFonts w:hint="eastAsia" w:ascii="宋体" w:hAnsi="宋体" w:eastAsia="宋体" w:cs="宋体"/>
          <w:color w:val="auto"/>
          <w:highlight w:val="none"/>
          <w:lang w:eastAsia="zh-CN"/>
        </w:rPr>
        <w:t>采购人</w:t>
      </w:r>
      <w:r>
        <w:rPr>
          <w:rFonts w:hint="eastAsia" w:ascii="宋体" w:hAnsi="宋体" w:eastAsia="宋体" w:cs="宋体"/>
          <w:color w:val="auto"/>
          <w:kern w:val="2"/>
          <w:highlight w:val="none"/>
        </w:rPr>
        <w:t>）、（采购代理机构）：</w:t>
      </w:r>
    </w:p>
    <w:p w14:paraId="46D427A2">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我方参加你方组织的（项目名称）【招标编号：（采购编号）】招标的有关活动，并对此项目进行投标。为此：</w:t>
      </w:r>
    </w:p>
    <w:p w14:paraId="27C7193C">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1、我方承诺投标有效期从提交投标文件的截止之日起</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天（不少于90天），本投标文件在投标有效期满之前均具有约束力。</w:t>
      </w:r>
    </w:p>
    <w:p w14:paraId="4C075EE3">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2、我方的投标文件包括以下内容：</w:t>
      </w:r>
    </w:p>
    <w:p w14:paraId="64F694CE">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2.1资格文件：</w:t>
      </w:r>
    </w:p>
    <w:p w14:paraId="3F77C154">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2.1.1承诺函；</w:t>
      </w:r>
    </w:p>
    <w:p w14:paraId="2094058C">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2.1.2本项目的特定资格要求（如果有）。</w:t>
      </w:r>
    </w:p>
    <w:p w14:paraId="231FBE47">
      <w:pPr>
        <w:widowControl w:val="0"/>
        <w:adjustRightInd w:val="0"/>
        <w:spacing w:after="0" w:line="440" w:lineRule="exact"/>
        <w:ind w:firstLine="420" w:firstLineChars="175"/>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rPr>
        <w:t>商务技术</w:t>
      </w:r>
      <w:r>
        <w:rPr>
          <w:rFonts w:hint="eastAsia" w:ascii="宋体" w:hAnsi="宋体" w:eastAsia="宋体" w:cs="宋体"/>
          <w:color w:val="auto"/>
          <w:kern w:val="2"/>
          <w:highlight w:val="none"/>
          <w:lang w:val="zh-CN"/>
        </w:rPr>
        <w:t>文件：</w:t>
      </w:r>
    </w:p>
    <w:p w14:paraId="70252EFD">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2.2.1投标函；</w:t>
      </w:r>
      <w:r>
        <w:rPr>
          <w:rFonts w:hint="eastAsia" w:ascii="宋体" w:hAnsi="宋体" w:eastAsia="宋体" w:cs="宋体"/>
          <w:color w:val="auto"/>
          <w:kern w:val="2"/>
          <w:highlight w:val="none"/>
          <w:lang w:val="zh-CN"/>
        </w:rPr>
        <w:t xml:space="preserve"> </w:t>
      </w:r>
    </w:p>
    <w:p w14:paraId="1E718F7D">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2.2.2授权委托书或法定代表人（单位负责人）身份证明；</w:t>
      </w:r>
    </w:p>
    <w:p w14:paraId="191EB756">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2.2.3符合性审查资料；</w:t>
      </w:r>
    </w:p>
    <w:p w14:paraId="7A4D1D2D">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2.2.4评标标准相应的商务技术资料；</w:t>
      </w:r>
    </w:p>
    <w:p w14:paraId="75C8B65B">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2.2.5投标标的清单；</w:t>
      </w:r>
    </w:p>
    <w:p w14:paraId="750D428F">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2.2.6商务技术偏离表；</w:t>
      </w:r>
    </w:p>
    <w:p w14:paraId="4A08FB55">
      <w:pPr>
        <w:widowControl w:val="0"/>
        <w:adjustRightInd w:val="0"/>
        <w:spacing w:after="0" w:line="440" w:lineRule="exact"/>
        <w:ind w:firstLine="720" w:firstLineChars="3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7</w:t>
      </w:r>
      <w:r>
        <w:rPr>
          <w:rFonts w:hint="eastAsia" w:ascii="宋体" w:hAnsi="宋体" w:eastAsia="宋体" w:cs="宋体"/>
          <w:color w:val="auto"/>
          <w:kern w:val="2"/>
          <w:highlight w:val="none"/>
          <w:lang w:val="zh-CN"/>
        </w:rPr>
        <w:t>采购供应商廉洁自律承诺书；</w:t>
      </w:r>
    </w:p>
    <w:p w14:paraId="595AD47D">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rPr>
        <w:t>3报价文件</w:t>
      </w:r>
    </w:p>
    <w:p w14:paraId="4870AC69">
      <w:pPr>
        <w:widowControl w:val="0"/>
        <w:adjustRightInd w:val="0"/>
        <w:spacing w:after="0" w:line="440" w:lineRule="exact"/>
        <w:ind w:firstLine="660" w:firstLineChars="2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2.3.1开标一览表（报价表）。</w:t>
      </w:r>
    </w:p>
    <w:p w14:paraId="1757AC40">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3、我方承诺除商务技术偏离表列出的偏离外，我方响应招标文件的全部要求。</w:t>
      </w:r>
    </w:p>
    <w:p w14:paraId="73853F4F">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4、如我方中标，我方承诺：</w:t>
      </w:r>
    </w:p>
    <w:p w14:paraId="64C74594">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4.1在收到中标通知书后，在中标通知书规定的期限内与你方签订合同； </w:t>
      </w:r>
    </w:p>
    <w:p w14:paraId="11794BE2">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4.2在签订合同时不向你方提出附加条件； </w:t>
      </w:r>
    </w:p>
    <w:p w14:paraId="0E8C2CBA">
      <w:pPr>
        <w:widowControl w:val="0"/>
        <w:adjustRightInd w:val="0"/>
        <w:spacing w:after="0" w:line="440" w:lineRule="exact"/>
        <w:ind w:firstLine="720" w:firstLineChars="3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4.3在合同约定的期限内完成合同规定的全部义务。 </w:t>
      </w:r>
    </w:p>
    <w:p w14:paraId="78314020">
      <w:pPr>
        <w:widowControl w:val="0"/>
        <w:adjustRightInd w:val="0"/>
        <w:spacing w:after="0" w:line="44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5、其他补充说明：</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w:t>
      </w:r>
    </w:p>
    <w:p w14:paraId="239CA081">
      <w:pPr>
        <w:widowControl w:val="0"/>
        <w:adjustRightInd w:val="0"/>
        <w:spacing w:after="0" w:line="480" w:lineRule="exact"/>
        <w:ind w:firstLine="420" w:firstLineChars="175"/>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投标人名称（电子签名）：</w:t>
      </w:r>
    </w:p>
    <w:p w14:paraId="5A6D5A7F">
      <w:pPr>
        <w:widowControl w:val="0"/>
        <w:adjustRightInd w:val="0"/>
        <w:spacing w:after="0" w:line="480" w:lineRule="exact"/>
        <w:ind w:firstLine="420" w:firstLineChars="175"/>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日期：  年   月   日</w:t>
      </w:r>
    </w:p>
    <w:p w14:paraId="0BFD40AC">
      <w:pPr>
        <w:widowControl w:val="0"/>
        <w:adjustRightInd w:val="0"/>
        <w:spacing w:after="0" w:line="480" w:lineRule="exact"/>
        <w:ind w:firstLine="420" w:firstLineChars="175"/>
        <w:jc w:val="both"/>
        <w:rPr>
          <w:rFonts w:hint="eastAsia" w:ascii="宋体" w:hAnsi="宋体" w:eastAsia="宋体" w:cs="宋体"/>
          <w:color w:val="auto"/>
          <w:kern w:val="2"/>
          <w:highlight w:val="none"/>
        </w:rPr>
      </w:pPr>
    </w:p>
    <w:p w14:paraId="4B13F712">
      <w:pPr>
        <w:widowControl w:val="0"/>
        <w:adjustRightInd w:val="0"/>
        <w:spacing w:after="0" w:line="480" w:lineRule="exact"/>
        <w:ind w:firstLine="420" w:firstLineChars="175"/>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注：按本格式和要求提供。</w:t>
      </w:r>
    </w:p>
    <w:p w14:paraId="12B31A72">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3B77025">
      <w:pPr>
        <w:pStyle w:val="3"/>
        <w:rPr>
          <w:rFonts w:ascii="宋体" w:hAnsi="宋体" w:eastAsia="宋体" w:cs="宋体"/>
          <w:color w:val="auto"/>
          <w:highlight w:val="none"/>
          <w:lang w:val="zh-CN"/>
        </w:rPr>
      </w:pPr>
      <w:r>
        <w:rPr>
          <w:rFonts w:hint="eastAsia" w:ascii="宋体" w:hAnsi="宋体" w:eastAsia="宋体" w:cs="宋体"/>
          <w:color w:val="auto"/>
          <w:highlight w:val="none"/>
          <w:lang w:val="zh-CN"/>
        </w:rPr>
        <w:t>二、授权委托书或法定代表人（单位负责人、自然人本人）身份证明</w:t>
      </w:r>
    </w:p>
    <w:p w14:paraId="3296A26A">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p>
    <w:p w14:paraId="13F693F6">
      <w:pPr>
        <w:snapToGrid w:val="0"/>
        <w:spacing w:line="360" w:lineRule="auto"/>
        <w:jc w:val="center"/>
        <w:rPr>
          <w:rFonts w:ascii="宋体" w:hAnsi="宋体" w:eastAsia="宋体" w:cs="宋体"/>
          <w:color w:val="auto"/>
          <w:highlight w:val="none"/>
        </w:rPr>
      </w:pPr>
      <w:r>
        <w:rPr>
          <w:rFonts w:hint="eastAsia" w:ascii="宋体" w:hAnsi="宋体" w:eastAsia="宋体" w:cs="宋体"/>
          <w:b/>
          <w:color w:val="auto"/>
          <w:sz w:val="32"/>
          <w:szCs w:val="32"/>
          <w:highlight w:val="none"/>
          <w:lang w:val="zh-CN"/>
        </w:rPr>
        <w:t>授权委托书（</w:t>
      </w:r>
      <w:r>
        <w:rPr>
          <w:rFonts w:hint="eastAsia" w:ascii="宋体" w:hAnsi="宋体" w:eastAsia="宋体" w:cs="宋体"/>
          <w:b/>
          <w:color w:val="auto"/>
          <w:sz w:val="32"/>
          <w:szCs w:val="32"/>
          <w:highlight w:val="none"/>
          <w:lang w:val="en-US" w:eastAsia="zh-CN"/>
        </w:rPr>
        <w:t>适用于授权委托人参加投标</w:t>
      </w:r>
      <w:r>
        <w:rPr>
          <w:rFonts w:hint="eastAsia" w:ascii="宋体" w:hAnsi="宋体" w:eastAsia="宋体" w:cs="宋体"/>
          <w:b/>
          <w:color w:val="auto"/>
          <w:sz w:val="32"/>
          <w:szCs w:val="32"/>
          <w:highlight w:val="none"/>
          <w:lang w:val="zh-CN"/>
        </w:rPr>
        <w:t>）</w:t>
      </w:r>
    </w:p>
    <w:p w14:paraId="37A95FCE">
      <w:pPr>
        <w:widowControl w:val="0"/>
        <w:adjustRightInd w:val="0"/>
        <w:spacing w:after="0" w:line="480" w:lineRule="exact"/>
        <w:jc w:val="both"/>
        <w:rPr>
          <w:rFonts w:ascii="宋体" w:hAnsi="宋体" w:eastAsia="宋体" w:cs="宋体"/>
          <w:color w:val="auto"/>
          <w:kern w:val="2"/>
          <w:highlight w:val="none"/>
        </w:rPr>
      </w:pPr>
      <w:r>
        <w:rPr>
          <w:rFonts w:hint="eastAsia" w:ascii="宋体" w:hAnsi="宋体" w:eastAsia="宋体" w:cs="宋体"/>
          <w:color w:val="auto"/>
          <w:kern w:val="2"/>
          <w:highlight w:val="none"/>
        </w:rPr>
        <w:t>（</w:t>
      </w:r>
      <w:r>
        <w:rPr>
          <w:rFonts w:hint="eastAsia" w:ascii="宋体" w:hAnsi="宋体" w:eastAsia="宋体" w:cs="宋体"/>
          <w:color w:val="auto"/>
          <w:highlight w:val="none"/>
        </w:rPr>
        <w:t>采购人</w:t>
      </w:r>
      <w:r>
        <w:rPr>
          <w:rFonts w:hint="eastAsia" w:ascii="宋体" w:hAnsi="宋体" w:eastAsia="宋体" w:cs="宋体"/>
          <w:color w:val="auto"/>
          <w:kern w:val="2"/>
          <w:highlight w:val="none"/>
        </w:rPr>
        <w:t>）、（采购代理机构）</w:t>
      </w:r>
      <w:r>
        <w:rPr>
          <w:rFonts w:hint="eastAsia" w:ascii="宋体" w:hAnsi="宋体" w:eastAsia="宋体" w:cs="宋体"/>
          <w:color w:val="auto"/>
          <w:kern w:val="2"/>
          <w:highlight w:val="none"/>
          <w:lang w:val="zh-CN"/>
        </w:rPr>
        <w:t>：</w:t>
      </w:r>
    </w:p>
    <w:p w14:paraId="6929117E">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rPr>
        <w:t>现</w:t>
      </w:r>
      <w:r>
        <w:rPr>
          <w:rFonts w:hint="eastAsia" w:ascii="宋体" w:hAnsi="宋体" w:eastAsia="宋体" w:cs="宋体"/>
          <w:color w:val="auto"/>
          <w:kern w:val="2"/>
          <w:highlight w:val="none"/>
          <w:lang w:val="zh-CN"/>
        </w:rPr>
        <w:t>委托</w:t>
      </w:r>
      <w:r>
        <w:rPr>
          <w:rFonts w:hint="eastAsia" w:ascii="宋体" w:hAnsi="宋体" w:eastAsia="宋体" w:cs="宋体"/>
          <w:color w:val="auto"/>
          <w:kern w:val="2"/>
          <w:highlight w:val="none"/>
          <w:u w:val="single"/>
          <w:lang w:val="zh-CN"/>
        </w:rPr>
        <w:t xml:space="preserve">          </w:t>
      </w:r>
      <w:r>
        <w:rPr>
          <w:rFonts w:hint="eastAsia" w:ascii="宋体" w:hAnsi="宋体" w:eastAsia="宋体" w:cs="宋体"/>
          <w:color w:val="auto"/>
          <w:kern w:val="2"/>
          <w:highlight w:val="none"/>
          <w:lang w:val="zh-CN"/>
        </w:rPr>
        <w:t>（姓名）为我方代理人（身份证号码：</w:t>
      </w:r>
      <w:r>
        <w:rPr>
          <w:rFonts w:hint="eastAsia" w:ascii="宋体" w:hAnsi="宋体" w:eastAsia="宋体" w:cs="宋体"/>
          <w:color w:val="auto"/>
          <w:kern w:val="2"/>
          <w:highlight w:val="none"/>
          <w:u w:val="single"/>
          <w:lang w:val="zh-CN"/>
        </w:rPr>
        <w:t xml:space="preserve">          </w:t>
      </w:r>
      <w:r>
        <w:rPr>
          <w:rFonts w:hint="eastAsia" w:ascii="宋体" w:hAnsi="宋体" w:eastAsia="宋体" w:cs="宋体"/>
          <w:color w:val="auto"/>
          <w:kern w:val="2"/>
          <w:highlight w:val="none"/>
          <w:lang w:val="zh-CN"/>
        </w:rPr>
        <w:t>，手机：</w:t>
      </w:r>
      <w:r>
        <w:rPr>
          <w:rFonts w:hint="eastAsia" w:ascii="宋体" w:hAnsi="宋体" w:eastAsia="宋体" w:cs="宋体"/>
          <w:color w:val="auto"/>
          <w:kern w:val="2"/>
          <w:highlight w:val="none"/>
          <w:u w:val="single"/>
          <w:lang w:val="zh-CN"/>
        </w:rPr>
        <w:t xml:space="preserve">          </w:t>
      </w:r>
      <w:r>
        <w:rPr>
          <w:rFonts w:hint="eastAsia" w:ascii="宋体" w:hAnsi="宋体" w:eastAsia="宋体" w:cs="宋体"/>
          <w:color w:val="auto"/>
          <w:kern w:val="2"/>
          <w:highlight w:val="none"/>
          <w:lang w:val="zh-CN"/>
        </w:rPr>
        <w:t>），以我方名义处理</w:t>
      </w:r>
      <w:r>
        <w:rPr>
          <w:rFonts w:hint="eastAsia" w:ascii="宋体" w:hAnsi="宋体" w:eastAsia="宋体" w:cs="宋体"/>
          <w:color w:val="auto"/>
          <w:kern w:val="2"/>
          <w:highlight w:val="none"/>
        </w:rPr>
        <w:t>（项目名称）【招标编号：（采购编号）】</w:t>
      </w:r>
      <w:r>
        <w:rPr>
          <w:rFonts w:hint="eastAsia" w:ascii="宋体" w:hAnsi="宋体" w:eastAsia="宋体" w:cs="宋体"/>
          <w:color w:val="auto"/>
          <w:kern w:val="2"/>
          <w:highlight w:val="none"/>
          <w:lang w:val="zh-CN"/>
        </w:rPr>
        <w:t>采购投标的一切事项，其法律后果由我方承担。</w:t>
      </w:r>
    </w:p>
    <w:p w14:paraId="3046674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lang w:val="zh-CN"/>
        </w:rPr>
        <w:t>委托期限</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lang w:val="zh-CN"/>
        </w:rPr>
        <w:t>自</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年</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月</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日起至</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年</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月</w:t>
      </w:r>
      <w:r>
        <w:rPr>
          <w:rFonts w:hint="eastAsia" w:ascii="宋体" w:hAnsi="宋体" w:eastAsia="宋体" w:cs="宋体"/>
          <w:color w:val="auto"/>
          <w:kern w:val="2"/>
          <w:highlight w:val="none"/>
        </w:rPr>
        <w:t xml:space="preserve">  </w:t>
      </w:r>
      <w:r>
        <w:rPr>
          <w:rFonts w:hint="eastAsia" w:ascii="宋体" w:hAnsi="宋体" w:eastAsia="宋体" w:cs="宋体"/>
          <w:color w:val="auto"/>
          <w:kern w:val="2"/>
          <w:highlight w:val="none"/>
          <w:lang w:val="zh-CN"/>
        </w:rPr>
        <w:t>日止。</w:t>
      </w:r>
    </w:p>
    <w:p w14:paraId="6DF755C1">
      <w:pPr>
        <w:widowControl w:val="0"/>
        <w:adjustRightInd w:val="0"/>
        <w:spacing w:after="0" w:line="480" w:lineRule="exact"/>
        <w:ind w:firstLine="420" w:firstLineChars="175"/>
        <w:jc w:val="both"/>
        <w:rPr>
          <w:rFonts w:ascii="宋体" w:hAnsi="宋体" w:eastAsia="宋体" w:cs="宋体"/>
          <w:color w:val="auto"/>
          <w:kern w:val="2"/>
          <w:highlight w:val="none"/>
        </w:rPr>
      </w:pPr>
      <w:r>
        <w:rPr>
          <w:rFonts w:hint="eastAsia" w:ascii="宋体" w:hAnsi="宋体" w:eastAsia="宋体" w:cs="宋体"/>
          <w:color w:val="auto"/>
          <w:kern w:val="2"/>
          <w:highlight w:val="none"/>
          <w:lang w:val="zh-CN"/>
        </w:rPr>
        <w:t>特此告知。</w:t>
      </w:r>
    </w:p>
    <w:p w14:paraId="7158EE78">
      <w:pP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4A176AFA">
      <w:pPr>
        <w:jc w:val="right"/>
        <w:rPr>
          <w:rFonts w:ascii="宋体" w:hAnsi="宋体" w:eastAsia="宋体" w:cs="宋体"/>
          <w:color w:val="auto"/>
          <w:highlight w:val="none"/>
        </w:rPr>
      </w:pPr>
      <w:r>
        <w:rPr>
          <w:rFonts w:hint="eastAsia" w:ascii="宋体" w:hAnsi="宋体" w:eastAsia="宋体" w:cs="宋体"/>
          <w:color w:val="auto"/>
          <w:highlight w:val="none"/>
          <w:lang w:val="zh-CN"/>
        </w:rPr>
        <w:t>投标人名称（电子签名）：</w:t>
      </w:r>
    </w:p>
    <w:p w14:paraId="4D2E8EBA">
      <w:pP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签发日期：  年  月   日</w:t>
      </w:r>
    </w:p>
    <w:p w14:paraId="363C1DA2">
      <w:pPr>
        <w:spacing w:line="276" w:lineRule="auto"/>
        <w:rPr>
          <w:rFonts w:hint="eastAsia" w:ascii="宋体" w:hAnsi="宋体" w:eastAsia="宋体" w:cs="宋体"/>
          <w:color w:val="auto"/>
          <w:highlight w:val="none"/>
        </w:rPr>
      </w:pPr>
    </w:p>
    <w:p w14:paraId="6D75602E">
      <w:pPr>
        <w:spacing w:line="276" w:lineRule="auto"/>
        <w:rPr>
          <w:rFonts w:hint="eastAsia" w:ascii="宋体" w:hAnsi="宋体" w:eastAsia="宋体" w:cs="宋体"/>
          <w:color w:val="auto"/>
          <w:highlight w:val="none"/>
        </w:rPr>
      </w:pPr>
    </w:p>
    <w:p w14:paraId="79F05206">
      <w:pPr>
        <w:spacing w:line="276" w:lineRule="auto"/>
        <w:rPr>
          <w:rFonts w:hint="eastAsia" w:ascii="宋体" w:hAnsi="宋体" w:eastAsia="宋体" w:cs="宋体"/>
          <w:b/>
          <w:color w:val="auto"/>
          <w:sz w:val="32"/>
          <w:szCs w:val="32"/>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F5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9207" w:type="dxa"/>
          </w:tcPr>
          <w:p w14:paraId="3F04EB32">
            <w:pPr>
              <w:pStyle w:val="81"/>
              <w:adjustRightInd w:val="0"/>
              <w:spacing w:line="360" w:lineRule="auto"/>
              <w:rPr>
                <w:rFonts w:hAnsi="宋体" w:eastAsia="宋体" w:cs="宋体"/>
                <w:bCs/>
                <w:color w:val="auto"/>
                <w:sz w:val="24"/>
                <w:highlight w:val="none"/>
              </w:rPr>
            </w:pPr>
            <w:r>
              <w:rPr>
                <w:rFonts w:hint="eastAsia" w:hAnsi="宋体" w:eastAsia="宋体" w:cs="宋体"/>
                <w:bCs/>
                <w:color w:val="auto"/>
                <w:sz w:val="24"/>
                <w:highlight w:val="none"/>
              </w:rPr>
              <w:t>正面：                                 反面：</w:t>
            </w:r>
          </w:p>
          <w:p w14:paraId="6BE8FDF4">
            <w:pPr>
              <w:pStyle w:val="81"/>
              <w:adjustRightInd w:val="0"/>
              <w:spacing w:line="360" w:lineRule="auto"/>
              <w:rPr>
                <w:rFonts w:hAnsi="宋体" w:eastAsia="宋体" w:cs="宋体"/>
                <w:bCs/>
                <w:color w:val="auto"/>
                <w:sz w:val="24"/>
                <w:highlight w:val="none"/>
              </w:rPr>
            </w:pPr>
          </w:p>
        </w:tc>
      </w:tr>
    </w:tbl>
    <w:p w14:paraId="585DF830">
      <w:pPr>
        <w:spacing w:line="276" w:lineRule="auto"/>
        <w:rPr>
          <w:rFonts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br w:type="page"/>
      </w:r>
    </w:p>
    <w:p w14:paraId="7C60A3F6">
      <w:pPr>
        <w:autoSpaceDE w:val="0"/>
        <w:autoSpaceDN w:val="0"/>
        <w:spacing w:line="360" w:lineRule="auto"/>
        <w:jc w:val="center"/>
        <w:rPr>
          <w:rFonts w:ascii="宋体" w:hAnsi="宋体" w:eastAsia="宋体" w:cs="宋体"/>
          <w:b/>
          <w:color w:val="auto"/>
          <w:highlight w:val="none"/>
        </w:rPr>
      </w:pPr>
      <w:r>
        <w:rPr>
          <w:rFonts w:hint="eastAsia" w:ascii="宋体" w:hAnsi="宋体" w:eastAsia="宋体" w:cs="宋体"/>
          <w:b/>
          <w:color w:val="auto"/>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180D816">
      <w:pPr>
        <w:pStyle w:val="81"/>
        <w:spacing w:line="360" w:lineRule="auto"/>
        <w:rPr>
          <w:rFonts w:hAnsi="宋体" w:eastAsia="宋体" w:cs="宋体"/>
          <w:bCs/>
          <w:color w:val="auto"/>
          <w:sz w:val="24"/>
          <w:highlight w:val="none"/>
        </w:rPr>
      </w:pPr>
      <w:r>
        <w:rPr>
          <w:rFonts w:hint="eastAsia" w:hAnsi="宋体" w:eastAsia="宋体" w:cs="宋体"/>
          <w:bCs/>
          <w:color w:val="auto"/>
          <w:sz w:val="24"/>
          <w:highlight w:val="none"/>
        </w:rPr>
        <w:t>身份证件扫描件：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08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6" w:hRule="atLeast"/>
          <w:jc w:val="center"/>
        </w:trPr>
        <w:tc>
          <w:tcPr>
            <w:tcW w:w="9207" w:type="dxa"/>
          </w:tcPr>
          <w:p w14:paraId="19D7B540">
            <w:pPr>
              <w:pStyle w:val="81"/>
              <w:adjustRightInd w:val="0"/>
              <w:spacing w:line="360" w:lineRule="auto"/>
              <w:rPr>
                <w:rFonts w:hAnsi="宋体" w:eastAsia="宋体" w:cs="宋体"/>
                <w:bCs/>
                <w:color w:val="auto"/>
                <w:sz w:val="24"/>
                <w:highlight w:val="none"/>
              </w:rPr>
            </w:pPr>
            <w:r>
              <w:rPr>
                <w:rFonts w:hint="eastAsia" w:hAnsi="宋体" w:eastAsia="宋体" w:cs="宋体"/>
                <w:bCs/>
                <w:color w:val="auto"/>
                <w:sz w:val="24"/>
                <w:highlight w:val="none"/>
              </w:rPr>
              <w:t>正面：                                 反面：</w:t>
            </w:r>
          </w:p>
          <w:p w14:paraId="77D273C1">
            <w:pPr>
              <w:pStyle w:val="81"/>
              <w:adjustRightInd w:val="0"/>
              <w:spacing w:line="360" w:lineRule="auto"/>
              <w:rPr>
                <w:rFonts w:hAnsi="宋体" w:eastAsia="宋体" w:cs="宋体"/>
                <w:bCs/>
                <w:color w:val="auto"/>
                <w:sz w:val="24"/>
                <w:highlight w:val="none"/>
              </w:rPr>
            </w:pPr>
          </w:p>
        </w:tc>
      </w:tr>
    </w:tbl>
    <w:p w14:paraId="00D5B1E8">
      <w:pPr>
        <w:snapToGrid w:val="0"/>
        <w:spacing w:line="360" w:lineRule="auto"/>
        <w:ind w:firstLine="576"/>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50A8F23E">
      <w:pPr>
        <w:spacing w:line="360" w:lineRule="auto"/>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17BF78AA">
      <w:pPr>
        <w:spacing w:line="276" w:lineRule="auto"/>
        <w:rPr>
          <w:rFonts w:ascii="宋体" w:hAnsi="宋体" w:eastAsia="宋体" w:cs="宋体"/>
          <w:color w:val="auto"/>
          <w:highlight w:val="none"/>
          <w:lang w:val="zh-CN"/>
        </w:rPr>
      </w:pPr>
      <w:r>
        <w:rPr>
          <w:rFonts w:hint="eastAsia" w:ascii="宋体" w:hAnsi="宋体" w:eastAsia="宋体" w:cs="宋体"/>
          <w:color w:val="auto"/>
          <w:highlight w:val="none"/>
        </w:rPr>
        <w:t>营业执照扫描件：</w:t>
      </w:r>
    </w:p>
    <w:tbl>
      <w:tblPr>
        <w:tblStyle w:val="3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14:paraId="14C0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195" w:type="dxa"/>
          </w:tcPr>
          <w:p w14:paraId="4D33F0BB">
            <w:pPr>
              <w:pStyle w:val="81"/>
              <w:adjustRightInd w:val="0"/>
              <w:spacing w:line="360" w:lineRule="auto"/>
              <w:rPr>
                <w:rFonts w:hAnsi="宋体" w:eastAsia="宋体" w:cs="宋体"/>
                <w:bCs/>
                <w:color w:val="auto"/>
                <w:sz w:val="24"/>
                <w:highlight w:val="none"/>
              </w:rPr>
            </w:pPr>
          </w:p>
        </w:tc>
      </w:tr>
    </w:tbl>
    <w:p w14:paraId="52F1D49D">
      <w:pPr>
        <w:snapToGrid w:val="0"/>
        <w:spacing w:line="360" w:lineRule="auto"/>
        <w:ind w:firstLine="576"/>
        <w:jc w:val="center"/>
        <w:rPr>
          <w:rFonts w:ascii="宋体" w:hAnsi="宋体" w:eastAsia="宋体" w:cs="宋体"/>
          <w:color w:val="auto"/>
          <w:highlight w:val="none"/>
          <w:lang w:val="zh-CN"/>
        </w:rPr>
      </w:pPr>
    </w:p>
    <w:p w14:paraId="0335A3EB">
      <w:pPr>
        <w:snapToGrid w:val="0"/>
        <w:spacing w:line="360" w:lineRule="auto"/>
        <w:ind w:firstLine="576"/>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投标人名称（电子签名）：</w:t>
      </w:r>
    </w:p>
    <w:p w14:paraId="499D47F5">
      <w:pPr>
        <w:spacing w:line="360" w:lineRule="auto"/>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p>
    <w:p w14:paraId="7A3EAB99">
      <w:pPr>
        <w:spacing w:line="276"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306B35BD">
      <w:pPr>
        <w:pStyle w:val="3"/>
        <w:rPr>
          <w:rFonts w:hint="eastAsia" w:ascii="宋体" w:hAnsi="宋体" w:eastAsia="宋体" w:cs="宋体"/>
          <w:color w:val="auto"/>
          <w:highlight w:val="none"/>
        </w:rPr>
      </w:pPr>
      <w:r>
        <w:rPr>
          <w:rFonts w:hint="eastAsia" w:ascii="宋体" w:hAnsi="宋体" w:eastAsia="宋体" w:cs="宋体"/>
          <w:color w:val="auto"/>
          <w:highlight w:val="none"/>
        </w:rPr>
        <w:t>三、符合性审查资料</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691"/>
        <w:gridCol w:w="3859"/>
        <w:gridCol w:w="1701"/>
      </w:tblGrid>
      <w:tr w14:paraId="18DA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EBB28A">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2691" w:type="dxa"/>
            <w:vAlign w:val="center"/>
          </w:tcPr>
          <w:p w14:paraId="46B68CF3">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实质性要求</w:t>
            </w:r>
          </w:p>
        </w:tc>
        <w:tc>
          <w:tcPr>
            <w:tcW w:w="3859" w:type="dxa"/>
            <w:vAlign w:val="center"/>
          </w:tcPr>
          <w:p w14:paraId="717FF389">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701" w:type="dxa"/>
            <w:vAlign w:val="center"/>
          </w:tcPr>
          <w:p w14:paraId="1086B545">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投标文件中的</w:t>
            </w:r>
          </w:p>
          <w:p w14:paraId="16FD78E3">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页码位置</w:t>
            </w:r>
          </w:p>
        </w:tc>
      </w:tr>
      <w:tr w14:paraId="1DAE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C04302">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691" w:type="dxa"/>
            <w:vAlign w:val="center"/>
          </w:tcPr>
          <w:p w14:paraId="25A32681">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投标文件按照招标文件要求签署、盖章。</w:t>
            </w:r>
          </w:p>
        </w:tc>
        <w:tc>
          <w:tcPr>
            <w:tcW w:w="3859" w:type="dxa"/>
            <w:vAlign w:val="center"/>
          </w:tcPr>
          <w:p w14:paraId="68B66037">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需要使用电子签名或者签字盖章的投标文件的组成部分</w:t>
            </w:r>
          </w:p>
        </w:tc>
        <w:tc>
          <w:tcPr>
            <w:tcW w:w="1701" w:type="dxa"/>
            <w:vAlign w:val="center"/>
          </w:tcPr>
          <w:p w14:paraId="7EAB1710">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见投标文件</w:t>
            </w:r>
          </w:p>
          <w:p w14:paraId="3C6BFC37">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第</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u w:val="single"/>
                <w:lang w:val="en-US" w:eastAsia="zh-CN"/>
              </w:rPr>
              <w:t xml:space="preserve"> </w:t>
            </w:r>
            <w:r>
              <w:rPr>
                <w:rFonts w:hint="eastAsia" w:ascii="宋体" w:hAnsi="宋体" w:eastAsia="宋体" w:cs="宋体"/>
                <w:color w:val="auto"/>
                <w:kern w:val="2"/>
                <w:highlight w:val="none"/>
              </w:rPr>
              <w:t>页</w:t>
            </w:r>
          </w:p>
        </w:tc>
      </w:tr>
      <w:tr w14:paraId="5608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C22073">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691" w:type="dxa"/>
            <w:vAlign w:val="center"/>
          </w:tcPr>
          <w:p w14:paraId="20386012">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投标文件中承诺的投标有效期不少于招标文件中载明的投标有效期。</w:t>
            </w:r>
          </w:p>
        </w:tc>
        <w:tc>
          <w:tcPr>
            <w:tcW w:w="3859" w:type="dxa"/>
            <w:vAlign w:val="center"/>
          </w:tcPr>
          <w:p w14:paraId="2AF5953A">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投标函</w:t>
            </w:r>
          </w:p>
        </w:tc>
        <w:tc>
          <w:tcPr>
            <w:tcW w:w="1701" w:type="dxa"/>
            <w:vAlign w:val="center"/>
          </w:tcPr>
          <w:p w14:paraId="043341E7">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见投标文件</w:t>
            </w:r>
          </w:p>
          <w:p w14:paraId="767EB10E">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第</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u w:val="single"/>
                <w:lang w:val="en-US" w:eastAsia="zh-CN"/>
              </w:rPr>
              <w:t xml:space="preserve"> </w:t>
            </w:r>
            <w:r>
              <w:rPr>
                <w:rFonts w:hint="eastAsia" w:ascii="宋体" w:hAnsi="宋体" w:eastAsia="宋体" w:cs="宋体"/>
                <w:color w:val="auto"/>
                <w:kern w:val="2"/>
                <w:highlight w:val="none"/>
              </w:rPr>
              <w:t>页</w:t>
            </w:r>
          </w:p>
        </w:tc>
      </w:tr>
      <w:tr w14:paraId="20CC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67F9A3">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691" w:type="dxa"/>
            <w:vAlign w:val="center"/>
          </w:tcPr>
          <w:p w14:paraId="69F97074">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投标文件满足招标文件的其它实质性要求。</w:t>
            </w:r>
          </w:p>
        </w:tc>
        <w:tc>
          <w:tcPr>
            <w:tcW w:w="3859" w:type="dxa"/>
            <w:vAlign w:val="center"/>
          </w:tcPr>
          <w:p w14:paraId="2528592A">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招标文件其它实质性要求相应的材料（“▲” 系指实质性要求条款，，不允许有负偏离，否则将以涉及无效响应条款作无效响应。）</w:t>
            </w:r>
          </w:p>
        </w:tc>
        <w:tc>
          <w:tcPr>
            <w:tcW w:w="1701" w:type="dxa"/>
            <w:vAlign w:val="center"/>
          </w:tcPr>
          <w:p w14:paraId="0E28A119">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见投标文件</w:t>
            </w:r>
          </w:p>
          <w:p w14:paraId="19A06D87">
            <w:pPr>
              <w:widowControl w:val="0"/>
              <w:adjustRightInd w:val="0"/>
              <w:spacing w:after="0" w:line="440" w:lineRule="exact"/>
              <w:ind w:left="0" w:leftChars="0" w:firstLine="0" w:firstLineChars="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第</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u w:val="single"/>
                <w:lang w:val="en-US" w:eastAsia="zh-CN"/>
              </w:rPr>
              <w:t xml:space="preserve"> </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页</w:t>
            </w:r>
          </w:p>
        </w:tc>
      </w:tr>
    </w:tbl>
    <w:p w14:paraId="7A7CD1D4">
      <w:pPr>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6F05112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B0E0734">
      <w:pPr>
        <w:pStyle w:val="3"/>
        <w:rPr>
          <w:rFonts w:hint="eastAsia" w:ascii="宋体" w:hAnsi="宋体" w:eastAsia="宋体" w:cs="宋体"/>
          <w:color w:val="auto"/>
          <w:highlight w:val="none"/>
        </w:rPr>
      </w:pPr>
      <w:r>
        <w:rPr>
          <w:rFonts w:hint="eastAsia" w:ascii="宋体" w:hAnsi="宋体" w:eastAsia="宋体" w:cs="宋体"/>
          <w:color w:val="auto"/>
          <w:highlight w:val="none"/>
        </w:rPr>
        <w:t>四、评标标准相应的商务技术资料</w:t>
      </w:r>
    </w:p>
    <w:p w14:paraId="2AE6FC11">
      <w:pPr>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（按招标文件第四部分评标办法前附表中“投标文件中评标标准相应的商务技术资料目录”提供资料。）</w:t>
      </w:r>
    </w:p>
    <w:p w14:paraId="1007FEC0">
      <w:pPr>
        <w:pStyle w:val="3"/>
        <w:rPr>
          <w:rFonts w:hint="eastAsia" w:ascii="宋体" w:hAnsi="宋体" w:eastAsia="宋体" w:cs="宋体"/>
          <w:color w:val="auto"/>
          <w:highlight w:val="none"/>
        </w:rPr>
      </w:pPr>
    </w:p>
    <w:p w14:paraId="3B30C809">
      <w:pPr>
        <w:pStyle w:val="3"/>
        <w:rPr>
          <w:rFonts w:hint="eastAsia" w:ascii="宋体" w:hAnsi="宋体" w:eastAsia="宋体" w:cs="宋体"/>
          <w:color w:val="auto"/>
          <w:highlight w:val="none"/>
        </w:rPr>
      </w:pPr>
    </w:p>
    <w:p w14:paraId="2C8C3E91">
      <w:pPr>
        <w:pStyle w:val="3"/>
        <w:rPr>
          <w:rFonts w:hint="eastAsia" w:ascii="宋体" w:hAnsi="宋体" w:eastAsia="宋体" w:cs="宋体"/>
          <w:color w:val="auto"/>
          <w:highlight w:val="none"/>
        </w:rPr>
      </w:pPr>
      <w:r>
        <w:rPr>
          <w:rFonts w:hint="eastAsia" w:ascii="宋体" w:hAnsi="宋体" w:eastAsia="宋体" w:cs="宋体"/>
          <w:color w:val="auto"/>
          <w:highlight w:val="none"/>
        </w:rPr>
        <w:t>五、投标标的清单</w:t>
      </w:r>
    </w:p>
    <w:tbl>
      <w:tblPr>
        <w:tblStyle w:val="3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8"/>
        <w:gridCol w:w="1373"/>
        <w:gridCol w:w="2468"/>
        <w:gridCol w:w="930"/>
        <w:gridCol w:w="1526"/>
      </w:tblGrid>
      <w:tr w14:paraId="331E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B3BC34">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B69002">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308" w:type="dxa"/>
            <w:tcBorders>
              <w:top w:val="single" w:color="auto" w:sz="4" w:space="0"/>
              <w:left w:val="single" w:color="auto" w:sz="4" w:space="0"/>
              <w:bottom w:val="single" w:color="auto" w:sz="4" w:space="0"/>
              <w:right w:val="single" w:color="auto" w:sz="4" w:space="0"/>
            </w:tcBorders>
            <w:vAlign w:val="center"/>
          </w:tcPr>
          <w:p w14:paraId="01E4974D">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p w14:paraId="3D9CB878">
            <w:pPr>
              <w:jc w:val="center"/>
              <w:rPr>
                <w:rFonts w:hint="eastAsia" w:ascii="宋体" w:hAnsi="宋体" w:eastAsia="宋体" w:cs="宋体"/>
                <w:color w:val="auto"/>
                <w:highlight w:val="none"/>
              </w:rPr>
            </w:pPr>
            <w:r>
              <w:rPr>
                <w:rFonts w:hint="eastAsia" w:ascii="宋体" w:hAnsi="宋体" w:eastAsia="宋体" w:cs="宋体"/>
                <w:color w:val="auto"/>
                <w:highlight w:val="none"/>
              </w:rPr>
              <w:t>（如果有）</w:t>
            </w:r>
          </w:p>
        </w:tc>
        <w:tc>
          <w:tcPr>
            <w:tcW w:w="1373" w:type="dxa"/>
            <w:tcBorders>
              <w:top w:val="single" w:color="auto" w:sz="4" w:space="0"/>
              <w:left w:val="single" w:color="auto" w:sz="4" w:space="0"/>
              <w:bottom w:val="single" w:color="auto" w:sz="4" w:space="0"/>
              <w:right w:val="single" w:color="auto" w:sz="4" w:space="0"/>
            </w:tcBorders>
            <w:vAlign w:val="center"/>
          </w:tcPr>
          <w:p w14:paraId="7A393472">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1B900241">
            <w:pPr>
              <w:jc w:val="center"/>
              <w:rPr>
                <w:rFonts w:hint="eastAsia" w:ascii="宋体" w:hAnsi="宋体" w:eastAsia="宋体" w:cs="宋体"/>
                <w:color w:val="auto"/>
                <w:highlight w:val="none"/>
              </w:rPr>
            </w:pPr>
            <w:r>
              <w:rPr>
                <w:rFonts w:hint="eastAsia" w:ascii="宋体" w:hAnsi="宋体" w:eastAsia="宋体" w:cs="宋体"/>
                <w:color w:val="auto"/>
                <w:highlight w:val="none"/>
              </w:rPr>
              <w:t>（如果有）</w:t>
            </w:r>
          </w:p>
        </w:tc>
        <w:tc>
          <w:tcPr>
            <w:tcW w:w="2468" w:type="dxa"/>
            <w:tcBorders>
              <w:top w:val="single" w:color="auto" w:sz="4" w:space="0"/>
              <w:left w:val="single" w:color="auto" w:sz="4" w:space="0"/>
              <w:bottom w:val="single" w:color="auto" w:sz="4" w:space="0"/>
              <w:right w:val="single" w:color="auto" w:sz="4" w:space="0"/>
            </w:tcBorders>
            <w:vAlign w:val="center"/>
          </w:tcPr>
          <w:p w14:paraId="3D7AC837">
            <w:pPr>
              <w:jc w:val="center"/>
              <w:rPr>
                <w:rFonts w:hint="eastAsia" w:ascii="宋体" w:hAnsi="宋体" w:eastAsia="宋体" w:cs="宋体"/>
                <w:color w:val="auto"/>
                <w:highlight w:val="none"/>
              </w:rPr>
            </w:pPr>
            <w:r>
              <w:rPr>
                <w:rFonts w:hint="eastAsia" w:ascii="宋体" w:hAnsi="宋体" w:eastAsia="宋体" w:cs="宋体"/>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85B3C77">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F97A9C8">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7F2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F09DC2">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EB606B">
            <w:pPr>
              <w:rPr>
                <w:rFonts w:hint="eastAsia" w:ascii="宋体" w:hAnsi="宋体" w:eastAsia="宋体" w:cs="宋体"/>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2226D464">
            <w:pPr>
              <w:rPr>
                <w:rFonts w:hint="eastAsia" w:ascii="宋体" w:hAnsi="宋体" w:eastAsia="宋体"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5D983432">
            <w:pPr>
              <w:rPr>
                <w:rFonts w:hint="eastAsia" w:ascii="宋体" w:hAnsi="宋体" w:eastAsia="宋体" w:cs="宋体"/>
                <w:color w:val="auto"/>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3AC07990">
            <w:pPr>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1A91AE">
            <w:pP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FF6D47">
            <w:pPr>
              <w:rPr>
                <w:rFonts w:hint="eastAsia" w:ascii="宋体" w:hAnsi="宋体" w:eastAsia="宋体" w:cs="宋体"/>
                <w:color w:val="auto"/>
                <w:highlight w:val="none"/>
              </w:rPr>
            </w:pPr>
          </w:p>
        </w:tc>
      </w:tr>
      <w:tr w14:paraId="0329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FD3ECD">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3BAD63">
            <w:pPr>
              <w:rPr>
                <w:rFonts w:hint="eastAsia" w:ascii="宋体" w:hAnsi="宋体" w:eastAsia="宋体" w:cs="宋体"/>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3BA12AEF">
            <w:pPr>
              <w:rPr>
                <w:rFonts w:hint="eastAsia" w:ascii="宋体" w:hAnsi="宋体" w:eastAsia="宋体"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1D522E32">
            <w:pPr>
              <w:rPr>
                <w:rFonts w:hint="eastAsia" w:ascii="宋体" w:hAnsi="宋体" w:eastAsia="宋体" w:cs="宋体"/>
                <w:color w:val="auto"/>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0402A748">
            <w:pPr>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ED2498">
            <w:pP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7CB69A">
            <w:pPr>
              <w:rPr>
                <w:rFonts w:hint="eastAsia" w:ascii="宋体" w:hAnsi="宋体" w:eastAsia="宋体" w:cs="宋体"/>
                <w:color w:val="auto"/>
                <w:highlight w:val="none"/>
              </w:rPr>
            </w:pPr>
          </w:p>
        </w:tc>
      </w:tr>
      <w:tr w14:paraId="4212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E2CF60">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A3FA894">
            <w:pPr>
              <w:rPr>
                <w:rFonts w:hint="eastAsia" w:ascii="宋体" w:hAnsi="宋体" w:eastAsia="宋体" w:cs="宋体"/>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20E4370C">
            <w:pPr>
              <w:rPr>
                <w:rFonts w:hint="eastAsia" w:ascii="宋体" w:hAnsi="宋体" w:eastAsia="宋体" w:cs="宋体"/>
                <w:color w:val="auto"/>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31D7DE83">
            <w:pPr>
              <w:rPr>
                <w:rFonts w:hint="eastAsia" w:ascii="宋体" w:hAnsi="宋体" w:eastAsia="宋体" w:cs="宋体"/>
                <w:color w:val="auto"/>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64DEC426">
            <w:pPr>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ECF2A80">
            <w:pP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50C09E">
            <w:pPr>
              <w:rPr>
                <w:rFonts w:hint="eastAsia" w:ascii="宋体" w:hAnsi="宋体" w:eastAsia="宋体" w:cs="宋体"/>
                <w:color w:val="auto"/>
                <w:highlight w:val="none"/>
              </w:rPr>
            </w:pPr>
          </w:p>
        </w:tc>
      </w:tr>
    </w:tbl>
    <w:p w14:paraId="4E58A14F">
      <w:pPr>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305C5BE6">
      <w:pPr>
        <w:pStyle w:val="3"/>
        <w:rPr>
          <w:rFonts w:hint="eastAsia" w:ascii="宋体" w:hAnsi="宋体" w:eastAsia="宋体" w:cs="宋体"/>
          <w:color w:val="auto"/>
          <w:highlight w:val="none"/>
        </w:rPr>
      </w:pPr>
    </w:p>
    <w:p w14:paraId="669D60A1">
      <w:pPr>
        <w:pStyle w:val="3"/>
        <w:rPr>
          <w:rFonts w:hint="eastAsia" w:ascii="宋体" w:hAnsi="宋体" w:eastAsia="宋体" w:cs="宋体"/>
          <w:color w:val="auto"/>
          <w:highlight w:val="none"/>
        </w:rPr>
      </w:pPr>
      <w:r>
        <w:rPr>
          <w:rFonts w:hint="eastAsia" w:ascii="宋体" w:hAnsi="宋体" w:eastAsia="宋体" w:cs="宋体"/>
          <w:color w:val="auto"/>
          <w:highlight w:val="none"/>
        </w:rPr>
        <w:t>六、商务技术偏离表</w:t>
      </w:r>
    </w:p>
    <w:tbl>
      <w:tblPr>
        <w:tblStyle w:val="31"/>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C1D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59" w:type="dxa"/>
            <w:vAlign w:val="center"/>
          </w:tcPr>
          <w:p w14:paraId="563FD9AB">
            <w:pPr>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vAlign w:val="center"/>
          </w:tcPr>
          <w:p w14:paraId="45A13EA3">
            <w:pPr>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招标文件章节及具体内容</w:t>
            </w:r>
          </w:p>
        </w:tc>
        <w:tc>
          <w:tcPr>
            <w:tcW w:w="3546" w:type="dxa"/>
            <w:vAlign w:val="center"/>
          </w:tcPr>
          <w:p w14:paraId="4CC357A9">
            <w:pPr>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投标文件章节及具体内容</w:t>
            </w:r>
          </w:p>
        </w:tc>
        <w:tc>
          <w:tcPr>
            <w:tcW w:w="1276" w:type="dxa"/>
            <w:vAlign w:val="center"/>
          </w:tcPr>
          <w:p w14:paraId="2E162D27">
            <w:pPr>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偏离说明</w:t>
            </w:r>
          </w:p>
        </w:tc>
      </w:tr>
      <w:tr w14:paraId="61B6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C83A3A7">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683" w:type="dxa"/>
          </w:tcPr>
          <w:p w14:paraId="797D4278">
            <w:pPr>
              <w:spacing w:after="0"/>
              <w:jc w:val="center"/>
              <w:rPr>
                <w:rFonts w:hint="eastAsia" w:ascii="宋体" w:hAnsi="宋体" w:eastAsia="宋体" w:cs="宋体"/>
                <w:b/>
                <w:color w:val="auto"/>
                <w:sz w:val="32"/>
                <w:szCs w:val="32"/>
                <w:highlight w:val="none"/>
              </w:rPr>
            </w:pPr>
          </w:p>
        </w:tc>
        <w:tc>
          <w:tcPr>
            <w:tcW w:w="3546" w:type="dxa"/>
          </w:tcPr>
          <w:p w14:paraId="00D9060B">
            <w:pPr>
              <w:spacing w:after="0"/>
              <w:jc w:val="center"/>
              <w:rPr>
                <w:rFonts w:hint="eastAsia" w:ascii="宋体" w:hAnsi="宋体" w:eastAsia="宋体" w:cs="宋体"/>
                <w:b/>
                <w:color w:val="auto"/>
                <w:sz w:val="32"/>
                <w:szCs w:val="32"/>
                <w:highlight w:val="none"/>
              </w:rPr>
            </w:pPr>
          </w:p>
        </w:tc>
        <w:tc>
          <w:tcPr>
            <w:tcW w:w="1276" w:type="dxa"/>
          </w:tcPr>
          <w:p w14:paraId="477DB82B">
            <w:pPr>
              <w:spacing w:after="0"/>
              <w:jc w:val="center"/>
              <w:rPr>
                <w:rFonts w:hint="eastAsia" w:ascii="宋体" w:hAnsi="宋体" w:eastAsia="宋体" w:cs="宋体"/>
                <w:b/>
                <w:color w:val="auto"/>
                <w:sz w:val="32"/>
                <w:szCs w:val="32"/>
                <w:highlight w:val="none"/>
              </w:rPr>
            </w:pPr>
          </w:p>
        </w:tc>
      </w:tr>
      <w:tr w14:paraId="6C40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C804F54">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683" w:type="dxa"/>
          </w:tcPr>
          <w:p w14:paraId="4B7436A1">
            <w:pPr>
              <w:spacing w:after="0"/>
              <w:jc w:val="center"/>
              <w:rPr>
                <w:rFonts w:hint="eastAsia" w:ascii="宋体" w:hAnsi="宋体" w:eastAsia="宋体" w:cs="宋体"/>
                <w:b/>
                <w:color w:val="auto"/>
                <w:sz w:val="32"/>
                <w:szCs w:val="32"/>
                <w:highlight w:val="none"/>
              </w:rPr>
            </w:pPr>
          </w:p>
        </w:tc>
        <w:tc>
          <w:tcPr>
            <w:tcW w:w="3546" w:type="dxa"/>
          </w:tcPr>
          <w:p w14:paraId="639B8D7D">
            <w:pPr>
              <w:spacing w:after="0"/>
              <w:jc w:val="center"/>
              <w:rPr>
                <w:rFonts w:hint="eastAsia" w:ascii="宋体" w:hAnsi="宋体" w:eastAsia="宋体" w:cs="宋体"/>
                <w:b/>
                <w:color w:val="auto"/>
                <w:sz w:val="32"/>
                <w:szCs w:val="32"/>
                <w:highlight w:val="none"/>
              </w:rPr>
            </w:pPr>
          </w:p>
        </w:tc>
        <w:tc>
          <w:tcPr>
            <w:tcW w:w="1276" w:type="dxa"/>
          </w:tcPr>
          <w:p w14:paraId="205BB5A2">
            <w:pPr>
              <w:spacing w:after="0"/>
              <w:jc w:val="center"/>
              <w:rPr>
                <w:rFonts w:hint="eastAsia" w:ascii="宋体" w:hAnsi="宋体" w:eastAsia="宋体" w:cs="宋体"/>
                <w:b/>
                <w:color w:val="auto"/>
                <w:sz w:val="32"/>
                <w:szCs w:val="32"/>
                <w:highlight w:val="none"/>
              </w:rPr>
            </w:pPr>
          </w:p>
        </w:tc>
      </w:tr>
      <w:tr w14:paraId="5286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82C8E2">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683" w:type="dxa"/>
          </w:tcPr>
          <w:p w14:paraId="6D2B8553">
            <w:pPr>
              <w:spacing w:after="0"/>
              <w:jc w:val="center"/>
              <w:rPr>
                <w:rFonts w:hint="eastAsia" w:ascii="宋体" w:hAnsi="宋体" w:eastAsia="宋体" w:cs="宋体"/>
                <w:b/>
                <w:color w:val="auto"/>
                <w:sz w:val="32"/>
                <w:szCs w:val="32"/>
                <w:highlight w:val="none"/>
              </w:rPr>
            </w:pPr>
          </w:p>
        </w:tc>
        <w:tc>
          <w:tcPr>
            <w:tcW w:w="3546" w:type="dxa"/>
          </w:tcPr>
          <w:p w14:paraId="5C1586E8">
            <w:pPr>
              <w:spacing w:after="0"/>
              <w:jc w:val="center"/>
              <w:rPr>
                <w:rFonts w:hint="eastAsia" w:ascii="宋体" w:hAnsi="宋体" w:eastAsia="宋体" w:cs="宋体"/>
                <w:b/>
                <w:color w:val="auto"/>
                <w:sz w:val="32"/>
                <w:szCs w:val="32"/>
                <w:highlight w:val="none"/>
              </w:rPr>
            </w:pPr>
          </w:p>
        </w:tc>
        <w:tc>
          <w:tcPr>
            <w:tcW w:w="1276" w:type="dxa"/>
          </w:tcPr>
          <w:p w14:paraId="56DFE283">
            <w:pPr>
              <w:spacing w:after="0"/>
              <w:jc w:val="center"/>
              <w:rPr>
                <w:rFonts w:hint="eastAsia" w:ascii="宋体" w:hAnsi="宋体" w:eastAsia="宋体" w:cs="宋体"/>
                <w:b/>
                <w:color w:val="auto"/>
                <w:sz w:val="32"/>
                <w:szCs w:val="32"/>
                <w:highlight w:val="none"/>
              </w:rPr>
            </w:pPr>
          </w:p>
        </w:tc>
      </w:tr>
    </w:tbl>
    <w:p w14:paraId="032BC08E">
      <w:pPr>
        <w:rPr>
          <w:rFonts w:hint="eastAsia" w:ascii="宋体" w:hAnsi="宋体" w:eastAsia="宋体" w:cs="宋体"/>
          <w:color w:val="auto"/>
          <w:highlight w:val="none"/>
        </w:rPr>
      </w:pPr>
      <w:r>
        <w:rPr>
          <w:rFonts w:hint="eastAsia" w:ascii="宋体" w:hAnsi="宋体" w:eastAsia="宋体" w:cs="宋体"/>
          <w:color w:val="auto"/>
          <w:highlight w:val="none"/>
        </w:rPr>
        <w:t>投标人保证：除商务技术偏离表列出的偏离外，投标人响应招标文件的全部要求</w:t>
      </w:r>
    </w:p>
    <w:p w14:paraId="23225C92">
      <w:pPr>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18A4DD64">
      <w:pPr>
        <w:spacing w:line="276"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6789E6DF">
      <w:pPr>
        <w:pStyle w:val="3"/>
        <w:rPr>
          <w:rFonts w:hint="eastAsia" w:ascii="宋体" w:hAnsi="宋体" w:eastAsia="宋体" w:cs="宋体"/>
          <w:color w:val="auto"/>
          <w:highlight w:val="none"/>
        </w:rPr>
      </w:pPr>
      <w:r>
        <w:rPr>
          <w:rFonts w:hint="eastAsia" w:ascii="宋体" w:hAnsi="宋体" w:eastAsia="宋体" w:cs="宋体"/>
          <w:bCs/>
          <w:color w:val="auto"/>
          <w:highlight w:val="none"/>
        </w:rPr>
        <w:t>七</w:t>
      </w:r>
      <w:r>
        <w:rPr>
          <w:rFonts w:hint="eastAsia" w:ascii="宋体" w:hAnsi="宋体" w:eastAsia="宋体" w:cs="宋体"/>
          <w:color w:val="auto"/>
          <w:highlight w:val="none"/>
        </w:rPr>
        <w:t>、</w:t>
      </w:r>
      <w:r>
        <w:rPr>
          <w:rFonts w:hint="eastAsia" w:ascii="宋体" w:hAnsi="宋体" w:eastAsia="宋体" w:cs="宋体"/>
          <w:color w:val="auto"/>
          <w:highlight w:val="none"/>
          <w:lang w:val="zh-CN"/>
        </w:rPr>
        <w:t>采购供应商廉洁自律承诺书</w:t>
      </w:r>
    </w:p>
    <w:p w14:paraId="755F033E">
      <w:pPr>
        <w:keepNext w:val="0"/>
        <w:keepLines w:val="0"/>
        <w:pageBreakBefore w:val="0"/>
        <w:widowControl w:val="0"/>
        <w:kinsoku/>
        <w:wordWrap/>
        <w:overflowPunct/>
        <w:topLinePunct w:val="0"/>
        <w:autoSpaceDE/>
        <w:autoSpaceDN/>
        <w:bidi w:val="0"/>
        <w:adjustRightInd w:val="0"/>
        <w:snapToGrid/>
        <w:spacing w:after="0" w:line="600" w:lineRule="exact"/>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w:t>
      </w:r>
      <w:r>
        <w:rPr>
          <w:rFonts w:hint="eastAsia" w:ascii="宋体" w:hAnsi="宋体" w:eastAsia="宋体" w:cs="宋体"/>
          <w:color w:val="auto"/>
          <w:highlight w:val="none"/>
          <w:u w:val="single"/>
          <w:lang w:eastAsia="zh-CN"/>
        </w:rPr>
        <w:t>采购人</w:t>
      </w:r>
      <w:r>
        <w:rPr>
          <w:rFonts w:hint="eastAsia" w:ascii="宋体" w:hAnsi="宋体" w:eastAsia="宋体" w:cs="宋体"/>
          <w:color w:val="auto"/>
          <w:kern w:val="2"/>
          <w:highlight w:val="none"/>
          <w:u w:val="single"/>
        </w:rPr>
        <w:t>）、（采购代理机构）</w:t>
      </w:r>
      <w:r>
        <w:rPr>
          <w:rFonts w:hint="eastAsia" w:ascii="宋体" w:hAnsi="宋体" w:eastAsia="宋体" w:cs="宋体"/>
          <w:color w:val="auto"/>
          <w:kern w:val="2"/>
          <w:highlight w:val="none"/>
          <w:lang w:val="zh-CN"/>
        </w:rPr>
        <w:t>：</w:t>
      </w:r>
    </w:p>
    <w:p w14:paraId="55792A2E">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我单位响应你</w:t>
      </w:r>
      <w:r>
        <w:rPr>
          <w:rFonts w:hint="eastAsia" w:ascii="宋体" w:hAnsi="宋体" w:eastAsia="宋体" w:cs="宋体"/>
          <w:color w:val="auto"/>
          <w:kern w:val="2"/>
          <w:highlight w:val="none"/>
        </w:rPr>
        <w:t>单位</w:t>
      </w:r>
      <w:r>
        <w:rPr>
          <w:rFonts w:hint="eastAsia" w:ascii="宋体" w:hAnsi="宋体" w:eastAsia="宋体" w:cs="宋体"/>
          <w:color w:val="auto"/>
          <w:kern w:val="2"/>
          <w:highlight w:val="none"/>
          <w:lang w:val="zh-CN"/>
        </w:rPr>
        <w:t>项目招标要求参加投标。在这次投标过程中和中标后，我们将严格遵守国家法律法规要求，并郑重承诺：</w:t>
      </w:r>
    </w:p>
    <w:p w14:paraId="1B16ACBD">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一、不向项目有关人员及部门赠送礼金礼物、有价证券、回扣以及中介费、介绍费、咨询费等好处费； </w:t>
      </w:r>
    </w:p>
    <w:p w14:paraId="6F7D8DA0">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二、不为项目有关人员及部门报销应由你方单位或个人支付的费用； </w:t>
      </w:r>
    </w:p>
    <w:p w14:paraId="6A6A2DE1">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三、不向项目有关人员及部门提供有可能影响公正的宴请和健身娱乐等活动； </w:t>
      </w:r>
    </w:p>
    <w:p w14:paraId="776FB156">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四、不为项目有关人员及部门出国（境）、旅游等提供方便；</w:t>
      </w:r>
    </w:p>
    <w:p w14:paraId="7C57F926">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五、不为项目有关人员个人装修住房、婚丧嫁娶、配偶子女工作安排等提供</w:t>
      </w:r>
    </w:p>
    <w:p w14:paraId="2F9147A0">
      <w:pPr>
        <w:keepNext w:val="0"/>
        <w:keepLines w:val="0"/>
        <w:pageBreakBefore w:val="0"/>
        <w:widowControl w:val="0"/>
        <w:kinsoku/>
        <w:wordWrap/>
        <w:overflowPunct/>
        <w:topLinePunct w:val="0"/>
        <w:autoSpaceDE/>
        <w:autoSpaceDN/>
        <w:bidi w:val="0"/>
        <w:adjustRightInd w:val="0"/>
        <w:snapToGrid/>
        <w:spacing w:after="0" w:line="600" w:lineRule="exact"/>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好处；</w:t>
      </w:r>
    </w:p>
    <w:p w14:paraId="09D63083">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 xml:space="preserve">六、严格遵守《中华人民共和国政府采购法》《中华人民共和国招标投标法》《中华人民共和国民法典》等法律法规，诚实守信，合法经营，坚决抵制各种违法违纪行为。 </w:t>
      </w:r>
    </w:p>
    <w:p w14:paraId="77AD3B53">
      <w:pPr>
        <w:keepNext w:val="0"/>
        <w:keepLines w:val="0"/>
        <w:pageBreakBefore w:val="0"/>
        <w:widowControl w:val="0"/>
        <w:kinsoku/>
        <w:wordWrap/>
        <w:overflowPunct/>
        <w:topLinePunct w:val="0"/>
        <w:autoSpaceDE/>
        <w:autoSpaceDN/>
        <w:bidi w:val="0"/>
        <w:adjustRightInd w:val="0"/>
        <w:snapToGrid/>
        <w:spacing w:after="0" w:line="600" w:lineRule="exact"/>
        <w:ind w:firstLine="480" w:firstLineChars="200"/>
        <w:jc w:val="both"/>
        <w:textAlignment w:val="auto"/>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如违反上述承诺，你</w:t>
      </w:r>
      <w:r>
        <w:rPr>
          <w:rFonts w:hint="eastAsia" w:ascii="宋体" w:hAnsi="宋体" w:eastAsia="宋体" w:cs="宋体"/>
          <w:color w:val="auto"/>
          <w:kern w:val="2"/>
          <w:highlight w:val="none"/>
        </w:rPr>
        <w:t>单位</w:t>
      </w:r>
      <w:r>
        <w:rPr>
          <w:rFonts w:hint="eastAsia" w:ascii="宋体" w:hAnsi="宋体" w:eastAsia="宋体" w:cs="宋体"/>
          <w:color w:val="auto"/>
          <w:kern w:val="2"/>
          <w:highlight w:val="none"/>
          <w:lang w:val="zh-CN"/>
        </w:rPr>
        <w:t>有权立即取消我单位投标、中标或在建项目的建设资格，有权拒绝我单位在一定时期内进入你</w:t>
      </w:r>
      <w:r>
        <w:rPr>
          <w:rFonts w:hint="eastAsia" w:ascii="宋体" w:hAnsi="宋体" w:eastAsia="宋体" w:cs="宋体"/>
          <w:color w:val="auto"/>
          <w:kern w:val="2"/>
          <w:highlight w:val="none"/>
        </w:rPr>
        <w:t>单位</w:t>
      </w:r>
      <w:r>
        <w:rPr>
          <w:rFonts w:hint="eastAsia" w:ascii="宋体" w:hAnsi="宋体" w:eastAsia="宋体" w:cs="宋体"/>
          <w:color w:val="auto"/>
          <w:kern w:val="2"/>
          <w:highlight w:val="none"/>
          <w:lang w:val="zh-CN"/>
        </w:rPr>
        <w:t>进行项目建设或其他经营活动，并通报市财政局。由此引起的相应损失均由我单位承担。</w:t>
      </w:r>
    </w:p>
    <w:p w14:paraId="602CAB6C">
      <w:pPr>
        <w:keepNext w:val="0"/>
        <w:keepLines w:val="0"/>
        <w:pageBreakBefore w:val="0"/>
        <w:kinsoku/>
        <w:wordWrap/>
        <w:overflowPunct/>
        <w:topLinePunct w:val="0"/>
        <w:autoSpaceDE/>
        <w:autoSpaceDN/>
        <w:bidi w:val="0"/>
        <w:snapToGrid/>
        <w:spacing w:line="600" w:lineRule="exact"/>
        <w:textAlignment w:val="auto"/>
        <w:rPr>
          <w:rFonts w:hint="eastAsia" w:ascii="宋体" w:hAnsi="宋体" w:eastAsia="宋体" w:cs="宋体"/>
          <w:color w:val="auto"/>
          <w:highlight w:val="none"/>
          <w:lang w:val="zh-CN"/>
        </w:rPr>
      </w:pPr>
    </w:p>
    <w:p w14:paraId="19DDEBE7">
      <w:pPr>
        <w:keepNext w:val="0"/>
        <w:keepLines w:val="0"/>
        <w:pageBreakBefore w:val="0"/>
        <w:kinsoku/>
        <w:wordWrap/>
        <w:overflowPunct/>
        <w:topLinePunct w:val="0"/>
        <w:autoSpaceDE/>
        <w:autoSpaceDN/>
        <w:bidi w:val="0"/>
        <w:snapToGrid/>
        <w:spacing w:line="600" w:lineRule="exact"/>
        <w:jc w:val="righ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投标人名称（</w:t>
      </w:r>
      <w:r>
        <w:rPr>
          <w:rFonts w:hint="eastAsia" w:ascii="宋体" w:hAnsi="宋体" w:eastAsia="宋体" w:cs="宋体"/>
          <w:color w:val="auto"/>
          <w:highlight w:val="none"/>
        </w:rPr>
        <w:t>电子签名</w:t>
      </w:r>
      <w:r>
        <w:rPr>
          <w:rFonts w:hint="eastAsia" w:ascii="宋体" w:hAnsi="宋体" w:eastAsia="宋体" w:cs="宋体"/>
          <w:color w:val="auto"/>
          <w:highlight w:val="none"/>
          <w:lang w:val="zh-CN"/>
        </w:rPr>
        <w:t xml:space="preserve">）： </w:t>
      </w:r>
    </w:p>
    <w:p w14:paraId="15203785">
      <w:pPr>
        <w:keepNext w:val="0"/>
        <w:keepLines w:val="0"/>
        <w:pageBreakBefore w:val="0"/>
        <w:kinsoku/>
        <w:wordWrap/>
        <w:overflowPunct/>
        <w:topLinePunct w:val="0"/>
        <w:autoSpaceDE/>
        <w:autoSpaceDN/>
        <w:bidi w:val="0"/>
        <w:snapToGrid/>
        <w:spacing w:line="600" w:lineRule="exact"/>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w:t>
      </w:r>
      <w:r>
        <w:rPr>
          <w:rFonts w:hint="eastAsia" w:ascii="宋体" w:hAnsi="宋体" w:eastAsia="宋体" w:cs="宋体"/>
          <w:color w:val="auto"/>
          <w:highlight w:val="none"/>
          <w:lang w:val="zh-CN"/>
        </w:rPr>
        <w:t xml:space="preserve">   年   月   日</w:t>
      </w:r>
    </w:p>
    <w:p w14:paraId="04E94A61">
      <w:pPr>
        <w:keepNext w:val="0"/>
        <w:keepLines w:val="0"/>
        <w:pageBreakBefore w:val="0"/>
        <w:kinsoku/>
        <w:wordWrap/>
        <w:overflowPunct/>
        <w:topLinePunct w:val="0"/>
        <w:autoSpaceDE/>
        <w:autoSpaceDN/>
        <w:bidi w:val="0"/>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712944E4">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23BE30">
      <w:pPr>
        <w:pStyle w:val="3"/>
        <w:rPr>
          <w:rFonts w:hint="eastAsia" w:ascii="宋体" w:hAnsi="宋体" w:eastAsia="宋体" w:cs="宋体"/>
          <w:color w:val="auto"/>
          <w:highlight w:val="none"/>
        </w:rPr>
      </w:pPr>
      <w:r>
        <w:rPr>
          <w:rFonts w:hint="eastAsia" w:ascii="宋体" w:hAnsi="宋体" w:eastAsia="宋体" w:cs="宋体"/>
          <w:color w:val="auto"/>
          <w:highlight w:val="none"/>
        </w:rPr>
        <w:t>报价文件部分</w:t>
      </w:r>
    </w:p>
    <w:p w14:paraId="3C5EB9D0">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目录</w:t>
      </w:r>
    </w:p>
    <w:p w14:paraId="7D06C541">
      <w:pPr>
        <w:rPr>
          <w:rFonts w:hint="eastAsia" w:ascii="宋体" w:hAnsi="宋体" w:eastAsia="宋体" w:cs="宋体"/>
          <w:color w:val="auto"/>
          <w:highlight w:val="none"/>
        </w:rPr>
      </w:pPr>
      <w:r>
        <w:rPr>
          <w:rFonts w:hint="eastAsia" w:ascii="宋体" w:hAnsi="宋体" w:eastAsia="宋体" w:cs="宋体"/>
          <w:color w:val="auto"/>
          <w:highlight w:val="none"/>
        </w:rPr>
        <w:t>（1）开标一览表（报价表）…………………………………………………（页码）</w:t>
      </w:r>
    </w:p>
    <w:p w14:paraId="21A8DEA5">
      <w:pPr>
        <w:pStyle w:val="3"/>
        <w:rPr>
          <w:rFonts w:hint="eastAsia" w:ascii="宋体" w:hAnsi="宋体" w:eastAsia="宋体" w:cs="宋体"/>
          <w:color w:val="auto"/>
          <w:highlight w:val="none"/>
        </w:rPr>
        <w:sectPr>
          <w:headerReference r:id="rId4" w:type="default"/>
          <w:footerReference r:id="rId5" w:type="default"/>
          <w:pgSz w:w="11906" w:h="16838"/>
          <w:pgMar w:top="1440" w:right="1706" w:bottom="1440" w:left="1800" w:header="851" w:footer="992" w:gutter="0"/>
          <w:cols w:space="425" w:num="1"/>
          <w:docGrid w:type="lines" w:linePitch="326" w:charSpace="0"/>
        </w:sectPr>
      </w:pPr>
    </w:p>
    <w:p w14:paraId="5DB274A3">
      <w:pPr>
        <w:pStyle w:val="3"/>
        <w:rPr>
          <w:rFonts w:hint="eastAsia" w:ascii="宋体" w:hAnsi="宋体" w:eastAsia="宋体" w:cs="宋体"/>
          <w:color w:val="auto"/>
          <w:highlight w:val="none"/>
        </w:rPr>
      </w:pPr>
      <w:r>
        <w:rPr>
          <w:rFonts w:hint="eastAsia" w:ascii="宋体" w:hAnsi="宋体" w:eastAsia="宋体" w:cs="宋体"/>
          <w:color w:val="auto"/>
          <w:highlight w:val="none"/>
        </w:rPr>
        <w:t>一、开标一览表（报价表）</w:t>
      </w:r>
    </w:p>
    <w:p w14:paraId="3BE4F5FE">
      <w:pPr>
        <w:widowControl w:val="0"/>
        <w:adjustRightInd w:val="0"/>
        <w:spacing w:after="0" w:line="480" w:lineRule="exact"/>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w:t>
      </w:r>
      <w:r>
        <w:rPr>
          <w:rFonts w:hint="eastAsia" w:ascii="宋体" w:hAnsi="宋体" w:eastAsia="宋体" w:cs="宋体"/>
          <w:color w:val="auto"/>
          <w:kern w:val="2"/>
          <w:highlight w:val="none"/>
          <w:lang w:val="zh-CN" w:eastAsia="zh-CN"/>
        </w:rPr>
        <w:t>采购人</w:t>
      </w:r>
      <w:r>
        <w:rPr>
          <w:rFonts w:hint="eastAsia" w:ascii="宋体" w:hAnsi="宋体" w:eastAsia="宋体" w:cs="宋体"/>
          <w:color w:val="auto"/>
          <w:kern w:val="2"/>
          <w:highlight w:val="none"/>
          <w:lang w:val="zh-CN"/>
        </w:rPr>
        <w:t>）、（采购代理机构）：</w:t>
      </w:r>
    </w:p>
    <w:p w14:paraId="0345C1B9">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按你方招标文件要求，我们，本投标文件签字方，谨此向你方发出要约如下：如你方接受本投标，我方承诺按照如下开标一览表（报价表）的价格完成（项目名称）【招标编号：（采购编号）】的实施。</w:t>
      </w:r>
    </w:p>
    <w:p w14:paraId="0BDD8F84">
      <w:pPr>
        <w:widowControl w:val="0"/>
        <w:adjustRightInd w:val="0"/>
        <w:spacing w:after="0" w:line="480" w:lineRule="exact"/>
        <w:jc w:val="center"/>
        <w:rPr>
          <w:rFonts w:hint="eastAsia" w:ascii="宋体" w:hAnsi="宋体" w:eastAsia="宋体" w:cs="宋体"/>
          <w:b/>
          <w:bCs/>
          <w:color w:val="auto"/>
          <w:kern w:val="2"/>
          <w:highlight w:val="none"/>
          <w:lang w:val="zh-CN"/>
        </w:rPr>
      </w:pPr>
      <w:r>
        <w:rPr>
          <w:rFonts w:hint="eastAsia" w:ascii="宋体" w:hAnsi="宋体" w:eastAsia="宋体" w:cs="宋体"/>
          <w:b/>
          <w:bCs/>
          <w:color w:val="auto"/>
          <w:kern w:val="2"/>
          <w:highlight w:val="none"/>
          <w:lang w:val="zh-CN"/>
        </w:rPr>
        <w:t>开标一览表（报价表）(单位均为人民币元)</w:t>
      </w:r>
    </w:p>
    <w:tbl>
      <w:tblPr>
        <w:tblStyle w:val="30"/>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354"/>
        <w:gridCol w:w="2201"/>
        <w:gridCol w:w="3150"/>
        <w:gridCol w:w="1320"/>
        <w:gridCol w:w="1440"/>
        <w:gridCol w:w="1319"/>
        <w:gridCol w:w="2011"/>
      </w:tblGrid>
      <w:tr w14:paraId="0C2A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E8F9E64">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4" w:type="dxa"/>
            <w:tcBorders>
              <w:top w:val="single" w:color="auto" w:sz="4" w:space="0"/>
              <w:left w:val="single" w:color="auto" w:sz="4" w:space="0"/>
              <w:bottom w:val="single" w:color="auto" w:sz="4" w:space="0"/>
              <w:right w:val="single" w:color="auto" w:sz="4" w:space="0"/>
            </w:tcBorders>
            <w:vAlign w:val="center"/>
          </w:tcPr>
          <w:p w14:paraId="555E4A4C">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28C15BBB">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具体内容</w:t>
            </w:r>
          </w:p>
        </w:tc>
        <w:tc>
          <w:tcPr>
            <w:tcW w:w="3150" w:type="dxa"/>
            <w:tcBorders>
              <w:top w:val="single" w:color="auto" w:sz="4" w:space="0"/>
              <w:left w:val="single" w:color="auto" w:sz="4" w:space="0"/>
              <w:bottom w:val="single" w:color="auto" w:sz="4" w:space="0"/>
              <w:right w:val="single" w:color="auto" w:sz="4" w:space="0"/>
            </w:tcBorders>
            <w:vAlign w:val="center"/>
          </w:tcPr>
          <w:p w14:paraId="2F89D414">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20" w:type="dxa"/>
            <w:tcBorders>
              <w:top w:val="single" w:color="auto" w:sz="4" w:space="0"/>
              <w:left w:val="single" w:color="auto" w:sz="4" w:space="0"/>
              <w:bottom w:val="single" w:color="auto" w:sz="4" w:space="0"/>
              <w:right w:val="single" w:color="auto" w:sz="4" w:space="0"/>
            </w:tcBorders>
            <w:vAlign w:val="center"/>
          </w:tcPr>
          <w:p w14:paraId="561BCAAC">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028856C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19" w:type="dxa"/>
            <w:tcBorders>
              <w:top w:val="single" w:color="auto" w:sz="4" w:space="0"/>
              <w:left w:val="single" w:color="auto" w:sz="4" w:space="0"/>
              <w:bottom w:val="single" w:color="auto" w:sz="4" w:space="0"/>
              <w:right w:val="single" w:color="auto" w:sz="4" w:space="0"/>
            </w:tcBorders>
            <w:vAlign w:val="center"/>
          </w:tcPr>
          <w:p w14:paraId="3A472CB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043F2FD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310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465A28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5C172923">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管理员</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15BF4198">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p>
        </w:tc>
        <w:tc>
          <w:tcPr>
            <w:tcW w:w="3150" w:type="dxa"/>
            <w:tcBorders>
              <w:top w:val="single" w:color="auto" w:sz="4" w:space="0"/>
              <w:left w:val="single" w:color="auto" w:sz="4" w:space="0"/>
              <w:bottom w:val="single" w:color="auto" w:sz="4" w:space="0"/>
              <w:right w:val="single" w:color="auto" w:sz="4" w:space="0"/>
            </w:tcBorders>
            <w:vAlign w:val="center"/>
          </w:tcPr>
          <w:p w14:paraId="4EB6E2A5">
            <w:pPr>
              <w:snapToGrid w:val="0"/>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89262EF">
            <w:pPr>
              <w:widowControl/>
              <w:numPr>
                <w:ilvl w:val="1"/>
                <w:numId w:val="0"/>
              </w:num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2人</w:t>
            </w:r>
          </w:p>
        </w:tc>
        <w:tc>
          <w:tcPr>
            <w:tcW w:w="1440" w:type="dxa"/>
            <w:tcBorders>
              <w:top w:val="single" w:color="auto" w:sz="4" w:space="0"/>
              <w:left w:val="single" w:color="auto" w:sz="4" w:space="0"/>
              <w:bottom w:val="single" w:color="auto" w:sz="4" w:space="0"/>
              <w:right w:val="single" w:color="auto" w:sz="4" w:space="0"/>
            </w:tcBorders>
            <w:vAlign w:val="center"/>
          </w:tcPr>
          <w:p w14:paraId="3290820D">
            <w:pPr>
              <w:jc w:val="center"/>
              <w:rPr>
                <w:rFonts w:hint="eastAsia" w:ascii="宋体" w:hAnsi="宋体" w:eastAsia="宋体" w:cs="宋体"/>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14:paraId="1A866C59">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6AA6C02B">
            <w:pPr>
              <w:jc w:val="center"/>
              <w:rPr>
                <w:rFonts w:hint="eastAsia" w:ascii="宋体" w:hAnsi="宋体" w:eastAsia="宋体" w:cs="宋体"/>
                <w:color w:val="auto"/>
                <w:sz w:val="24"/>
                <w:highlight w:val="none"/>
              </w:rPr>
            </w:pPr>
          </w:p>
        </w:tc>
      </w:tr>
      <w:tr w14:paraId="20A5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8FBD4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14:paraId="4DE02232">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前台/会务</w:t>
            </w:r>
          </w:p>
        </w:tc>
        <w:tc>
          <w:tcPr>
            <w:tcW w:w="2201" w:type="dxa"/>
            <w:tcBorders>
              <w:top w:val="single" w:color="auto" w:sz="4" w:space="0"/>
              <w:left w:val="single" w:color="auto" w:sz="4" w:space="0"/>
              <w:bottom w:val="single" w:color="auto" w:sz="4" w:space="0"/>
              <w:right w:val="single" w:color="auto" w:sz="4" w:space="0"/>
            </w:tcBorders>
            <w:shd w:val="clear" w:color="auto" w:fill="FFFFFF"/>
            <w:vAlign w:val="center"/>
          </w:tcPr>
          <w:p w14:paraId="779C6920">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p>
        </w:tc>
        <w:tc>
          <w:tcPr>
            <w:tcW w:w="3150" w:type="dxa"/>
            <w:tcBorders>
              <w:top w:val="single" w:color="auto" w:sz="4" w:space="0"/>
              <w:left w:val="single" w:color="auto" w:sz="4" w:space="0"/>
              <w:bottom w:val="single" w:color="auto" w:sz="4" w:space="0"/>
              <w:right w:val="single" w:color="auto" w:sz="4" w:space="0"/>
            </w:tcBorders>
            <w:vAlign w:val="center"/>
          </w:tcPr>
          <w:p w14:paraId="10C1EB65">
            <w:pPr>
              <w:snapToGrid w:val="0"/>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D1834E6">
            <w:pPr>
              <w:widowControl/>
              <w:numPr>
                <w:ilvl w:val="1"/>
                <w:numId w:val="0"/>
              </w:num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6人</w:t>
            </w:r>
          </w:p>
        </w:tc>
        <w:tc>
          <w:tcPr>
            <w:tcW w:w="1440" w:type="dxa"/>
            <w:tcBorders>
              <w:top w:val="single" w:color="auto" w:sz="4" w:space="0"/>
              <w:left w:val="single" w:color="auto" w:sz="4" w:space="0"/>
              <w:bottom w:val="single" w:color="auto" w:sz="4" w:space="0"/>
              <w:right w:val="single" w:color="auto" w:sz="4" w:space="0"/>
            </w:tcBorders>
            <w:vAlign w:val="center"/>
          </w:tcPr>
          <w:p w14:paraId="328CD587">
            <w:pPr>
              <w:jc w:val="center"/>
              <w:rPr>
                <w:rFonts w:hint="eastAsia" w:ascii="宋体" w:hAnsi="宋体" w:eastAsia="宋体" w:cs="宋体"/>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14:paraId="0043B6E3">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33B9F1A">
            <w:pPr>
              <w:jc w:val="center"/>
              <w:rPr>
                <w:rFonts w:hint="eastAsia" w:ascii="宋体" w:hAnsi="宋体" w:eastAsia="宋体" w:cs="宋体"/>
                <w:color w:val="auto"/>
                <w:sz w:val="24"/>
                <w:highlight w:val="none"/>
              </w:rPr>
            </w:pPr>
          </w:p>
        </w:tc>
      </w:tr>
      <w:tr w14:paraId="21AB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988B8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14:paraId="0190ACF9">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楼宇保洁</w:t>
            </w:r>
          </w:p>
        </w:tc>
        <w:tc>
          <w:tcPr>
            <w:tcW w:w="2201" w:type="dxa"/>
            <w:tcBorders>
              <w:top w:val="single" w:color="auto" w:sz="4" w:space="0"/>
              <w:left w:val="single" w:color="auto" w:sz="4" w:space="0"/>
              <w:bottom w:val="single" w:color="auto" w:sz="4" w:space="0"/>
              <w:right w:val="single" w:color="auto" w:sz="4" w:space="0"/>
            </w:tcBorders>
            <w:shd w:val="clear" w:color="auto" w:fill="FFFFFF"/>
            <w:vAlign w:val="center"/>
          </w:tcPr>
          <w:p w14:paraId="0004E481">
            <w:pPr>
              <w:widowControl/>
              <w:numPr>
                <w:ilvl w:val="1"/>
                <w:numId w:val="0"/>
              </w:numPr>
              <w:spacing w:line="400" w:lineRule="exact"/>
              <w:jc w:val="center"/>
              <w:rPr>
                <w:rFonts w:hint="eastAsia" w:ascii="宋体" w:hAnsi="宋体" w:eastAsia="宋体" w:cs="宋体"/>
                <w:color w:val="auto"/>
                <w:sz w:val="24"/>
                <w:highlight w:val="none"/>
                <w:shd w:val="clear" w:color="auto" w:fill="FFFFFF"/>
              </w:rPr>
            </w:pPr>
          </w:p>
        </w:tc>
        <w:tc>
          <w:tcPr>
            <w:tcW w:w="3150" w:type="dxa"/>
            <w:tcBorders>
              <w:top w:val="single" w:color="auto" w:sz="4" w:space="0"/>
              <w:left w:val="single" w:color="auto" w:sz="4" w:space="0"/>
              <w:bottom w:val="single" w:color="auto" w:sz="4" w:space="0"/>
              <w:right w:val="single" w:color="auto" w:sz="4" w:space="0"/>
            </w:tcBorders>
            <w:vAlign w:val="center"/>
          </w:tcPr>
          <w:p w14:paraId="6461D1D0">
            <w:pPr>
              <w:snapToGrid w:val="0"/>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17111C9">
            <w:pPr>
              <w:widowControl/>
              <w:numPr>
                <w:ilvl w:val="1"/>
                <w:numId w:val="0"/>
              </w:num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16人</w:t>
            </w:r>
          </w:p>
        </w:tc>
        <w:tc>
          <w:tcPr>
            <w:tcW w:w="1440" w:type="dxa"/>
            <w:tcBorders>
              <w:top w:val="single" w:color="auto" w:sz="4" w:space="0"/>
              <w:left w:val="single" w:color="auto" w:sz="4" w:space="0"/>
              <w:bottom w:val="single" w:color="auto" w:sz="4" w:space="0"/>
              <w:right w:val="single" w:color="auto" w:sz="4" w:space="0"/>
            </w:tcBorders>
            <w:vAlign w:val="center"/>
          </w:tcPr>
          <w:p w14:paraId="5DF4E9FF">
            <w:pPr>
              <w:jc w:val="center"/>
              <w:rPr>
                <w:rFonts w:hint="eastAsia" w:ascii="宋体" w:hAnsi="宋体" w:eastAsia="宋体" w:cs="宋体"/>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14:paraId="0AA01FAB">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990F441">
            <w:pPr>
              <w:jc w:val="center"/>
              <w:rPr>
                <w:rFonts w:hint="eastAsia" w:ascii="宋体" w:hAnsi="宋体" w:eastAsia="宋体" w:cs="宋体"/>
                <w:color w:val="auto"/>
                <w:sz w:val="24"/>
                <w:highlight w:val="none"/>
              </w:rPr>
            </w:pPr>
          </w:p>
        </w:tc>
      </w:tr>
      <w:tr w14:paraId="51AB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5B9FE7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54" w:type="dxa"/>
            <w:tcBorders>
              <w:top w:val="single" w:color="auto" w:sz="4" w:space="0"/>
              <w:left w:val="single" w:color="auto" w:sz="4" w:space="0"/>
              <w:bottom w:val="single" w:color="auto" w:sz="4" w:space="0"/>
              <w:right w:val="single" w:color="auto" w:sz="4" w:space="0"/>
            </w:tcBorders>
            <w:vAlign w:val="center"/>
          </w:tcPr>
          <w:p w14:paraId="77C202A2">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201" w:type="dxa"/>
            <w:tcBorders>
              <w:top w:val="single" w:color="auto" w:sz="4" w:space="0"/>
              <w:left w:val="single" w:color="auto" w:sz="4" w:space="0"/>
              <w:bottom w:val="single" w:color="auto" w:sz="4" w:space="0"/>
              <w:right w:val="single" w:color="auto" w:sz="4" w:space="0"/>
            </w:tcBorders>
            <w:vAlign w:val="center"/>
          </w:tcPr>
          <w:p w14:paraId="2BFB4AD5">
            <w:pPr>
              <w:widowControl/>
              <w:spacing w:line="360" w:lineRule="auto"/>
              <w:jc w:val="center"/>
              <w:textAlignment w:val="center"/>
              <w:rPr>
                <w:rFonts w:hint="eastAsia" w:ascii="宋体" w:hAnsi="宋体" w:eastAsia="宋体" w:cs="宋体"/>
                <w:color w:val="auto"/>
                <w:sz w:val="24"/>
                <w:highlight w:val="none"/>
              </w:rPr>
            </w:pPr>
          </w:p>
        </w:tc>
        <w:tc>
          <w:tcPr>
            <w:tcW w:w="3150" w:type="dxa"/>
            <w:tcBorders>
              <w:top w:val="single" w:color="auto" w:sz="4" w:space="0"/>
              <w:left w:val="single" w:color="auto" w:sz="4" w:space="0"/>
              <w:bottom w:val="single" w:color="auto" w:sz="4" w:space="0"/>
              <w:right w:val="single" w:color="auto" w:sz="4" w:space="0"/>
            </w:tcBorders>
            <w:vAlign w:val="center"/>
          </w:tcPr>
          <w:p w14:paraId="614242A7">
            <w:pPr>
              <w:snapToGrid w:val="0"/>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0A0FB8D">
            <w:pPr>
              <w:widowControl/>
              <w:spacing w:line="360" w:lineRule="auto"/>
              <w:jc w:val="center"/>
              <w:textAlignment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788CE6A">
            <w:pPr>
              <w:jc w:val="center"/>
              <w:rPr>
                <w:rFonts w:hint="eastAsia" w:ascii="宋体" w:hAnsi="宋体" w:eastAsia="宋体" w:cs="宋体"/>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14:paraId="7DF8089A">
            <w:pPr>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A92F783">
            <w:pPr>
              <w:jc w:val="center"/>
              <w:rPr>
                <w:rFonts w:hint="eastAsia" w:ascii="宋体" w:hAnsi="宋体" w:eastAsia="宋体" w:cs="宋体"/>
                <w:color w:val="auto"/>
                <w:sz w:val="24"/>
                <w:highlight w:val="none"/>
              </w:rPr>
            </w:pPr>
          </w:p>
        </w:tc>
      </w:tr>
      <w:tr w14:paraId="162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75" w:type="dxa"/>
            <w:gridSpan w:val="4"/>
            <w:tcBorders>
              <w:top w:val="single" w:color="auto" w:sz="4" w:space="0"/>
              <w:left w:val="single" w:color="auto" w:sz="4" w:space="0"/>
              <w:bottom w:val="single" w:color="auto" w:sz="4" w:space="0"/>
              <w:right w:val="single" w:color="auto" w:sz="4" w:space="0"/>
            </w:tcBorders>
            <w:vAlign w:val="center"/>
          </w:tcPr>
          <w:p w14:paraId="5C6FCAC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6090" w:type="dxa"/>
            <w:gridSpan w:val="4"/>
            <w:tcBorders>
              <w:top w:val="single" w:color="auto" w:sz="4" w:space="0"/>
              <w:left w:val="single" w:color="auto" w:sz="4" w:space="0"/>
              <w:bottom w:val="single" w:color="auto" w:sz="4" w:space="0"/>
              <w:right w:val="single" w:color="auto" w:sz="4" w:space="0"/>
            </w:tcBorders>
            <w:vAlign w:val="center"/>
          </w:tcPr>
          <w:p w14:paraId="59BC9994">
            <w:pPr>
              <w:jc w:val="center"/>
              <w:rPr>
                <w:rFonts w:hint="eastAsia" w:ascii="宋体" w:hAnsi="宋体" w:eastAsia="宋体" w:cs="宋体"/>
                <w:color w:val="auto"/>
                <w:sz w:val="24"/>
                <w:highlight w:val="none"/>
              </w:rPr>
            </w:pPr>
          </w:p>
        </w:tc>
      </w:tr>
      <w:tr w14:paraId="08E8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75" w:type="dxa"/>
            <w:gridSpan w:val="4"/>
            <w:tcBorders>
              <w:top w:val="single" w:color="auto" w:sz="4" w:space="0"/>
              <w:left w:val="single" w:color="auto" w:sz="4" w:space="0"/>
              <w:bottom w:val="single" w:color="auto" w:sz="4" w:space="0"/>
              <w:right w:val="single" w:color="auto" w:sz="4" w:space="0"/>
            </w:tcBorders>
            <w:vAlign w:val="center"/>
          </w:tcPr>
          <w:p w14:paraId="27AF68DB">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6090" w:type="dxa"/>
            <w:gridSpan w:val="4"/>
            <w:tcBorders>
              <w:top w:val="single" w:color="auto" w:sz="4" w:space="0"/>
              <w:left w:val="single" w:color="auto" w:sz="4" w:space="0"/>
              <w:bottom w:val="single" w:color="auto" w:sz="4" w:space="0"/>
              <w:right w:val="single" w:color="auto" w:sz="4" w:space="0"/>
            </w:tcBorders>
            <w:vAlign w:val="center"/>
          </w:tcPr>
          <w:p w14:paraId="51BEEE4A">
            <w:pPr>
              <w:jc w:val="center"/>
              <w:rPr>
                <w:rFonts w:hint="eastAsia" w:ascii="宋体" w:hAnsi="宋体" w:eastAsia="宋体" w:cs="宋体"/>
                <w:color w:val="auto"/>
                <w:sz w:val="24"/>
                <w:highlight w:val="none"/>
              </w:rPr>
            </w:pPr>
          </w:p>
        </w:tc>
      </w:tr>
    </w:tbl>
    <w:p w14:paraId="34B61DEB">
      <w:pPr>
        <w:widowControl w:val="0"/>
        <w:adjustRightInd w:val="0"/>
        <w:spacing w:after="0" w:line="480" w:lineRule="exact"/>
        <w:ind w:firstLine="482" w:firstLineChars="200"/>
        <w:jc w:val="both"/>
        <w:rPr>
          <w:rFonts w:hint="eastAsia" w:ascii="宋体" w:hAnsi="宋体" w:eastAsia="宋体" w:cs="宋体"/>
          <w:b/>
          <w:bCs/>
          <w:color w:val="auto"/>
          <w:kern w:val="2"/>
          <w:highlight w:val="none"/>
          <w:lang w:val="zh-CN"/>
        </w:rPr>
      </w:pPr>
      <w:r>
        <w:rPr>
          <w:rFonts w:hint="eastAsia" w:ascii="宋体" w:hAnsi="宋体" w:eastAsia="宋体" w:cs="宋体"/>
          <w:b/>
          <w:bCs/>
          <w:color w:val="auto"/>
          <w:kern w:val="2"/>
          <w:highlight w:val="none"/>
          <w:lang w:val="zh-CN"/>
        </w:rPr>
        <w:t>注：1、▲投标人需在投标(开标)一览表中明确投标报价（总价）及各分项小计报价。</w:t>
      </w:r>
    </w:p>
    <w:p w14:paraId="523AC654">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lang w:val="zh-CN"/>
        </w:rPr>
        <w:t>、有关本项目实施所涉及的一切费用均计入报价。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6893FA90">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lang w:val="zh-CN"/>
        </w:rPr>
        <w:t>、特别提示：</w:t>
      </w:r>
      <w:r>
        <w:rPr>
          <w:rFonts w:hint="eastAsia" w:ascii="宋体" w:hAnsi="宋体" w:eastAsia="宋体" w:cs="宋体"/>
          <w:color w:val="auto"/>
          <w:kern w:val="2"/>
          <w:highlight w:val="none"/>
          <w:lang w:val="zh-CN"/>
        </w:rPr>
        <w:t>采购代理机构将对项目名称和项目编号，中标供应商名称、地址和中标金额予以公示</w:t>
      </w:r>
      <w:r>
        <w:rPr>
          <w:rFonts w:hint="eastAsia" w:ascii="宋体" w:hAnsi="宋体" w:eastAsia="宋体" w:cs="宋体"/>
          <w:color w:val="auto"/>
          <w:kern w:val="2"/>
          <w:highlight w:val="none"/>
          <w:lang w:val="zh-CN"/>
        </w:rPr>
        <w:t>。</w:t>
      </w:r>
    </w:p>
    <w:p w14:paraId="6C591A60">
      <w:pPr>
        <w:widowControl w:val="0"/>
        <w:adjustRightInd w:val="0"/>
        <w:spacing w:after="0" w:line="480" w:lineRule="exact"/>
        <w:ind w:firstLine="482" w:firstLineChars="200"/>
        <w:jc w:val="both"/>
        <w:rPr>
          <w:rFonts w:hint="eastAsia" w:ascii="宋体" w:hAnsi="宋体" w:eastAsia="宋体" w:cs="宋体"/>
          <w:b/>
          <w:bCs/>
          <w:color w:val="auto"/>
          <w:kern w:val="2"/>
          <w:highlight w:val="none"/>
          <w:lang w:val="zh-CN"/>
        </w:rPr>
      </w:pPr>
      <w:r>
        <w:rPr>
          <w:rFonts w:hint="eastAsia" w:ascii="宋体" w:hAnsi="宋体" w:eastAsia="宋体" w:cs="宋体"/>
          <w:b/>
          <w:bCs/>
          <w:color w:val="auto"/>
          <w:kern w:val="2"/>
          <w:highlight w:val="none"/>
          <w:lang w:val="en-US" w:eastAsia="zh-CN"/>
        </w:rPr>
        <w:t>4</w:t>
      </w:r>
      <w:r>
        <w:rPr>
          <w:rFonts w:hint="eastAsia" w:ascii="宋体" w:hAnsi="宋体" w:eastAsia="宋体" w:cs="宋体"/>
          <w:b/>
          <w:bCs/>
          <w:color w:val="auto"/>
          <w:kern w:val="2"/>
          <w:highlight w:val="none"/>
          <w:lang w:val="zh-CN"/>
        </w:rPr>
        <w:t>、特别说明：▲供应商报价低于项目预算50%的，应当在报价文件中详细阐述不影响产品质量或者诚信履约的具体原因，未做阐述说明的，投标无效。</w:t>
      </w:r>
    </w:p>
    <w:p w14:paraId="561A8C6A">
      <w:pPr>
        <w:jc w:val="right"/>
        <w:rPr>
          <w:rFonts w:hint="eastAsia" w:ascii="宋体" w:hAnsi="宋体" w:eastAsia="宋体" w:cs="宋体"/>
          <w:color w:val="auto"/>
          <w:highlight w:val="none"/>
          <w:lang w:val="zh-CN"/>
        </w:rPr>
      </w:pPr>
    </w:p>
    <w:p w14:paraId="69562043">
      <w:pPr>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投标人名称（</w:t>
      </w:r>
      <w:r>
        <w:rPr>
          <w:rFonts w:hint="eastAsia" w:ascii="宋体" w:hAnsi="宋体" w:eastAsia="宋体" w:cs="宋体"/>
          <w:color w:val="auto"/>
          <w:highlight w:val="none"/>
        </w:rPr>
        <w:t>电子签名</w:t>
      </w:r>
      <w:r>
        <w:rPr>
          <w:rFonts w:hint="eastAsia" w:ascii="宋体" w:hAnsi="宋体" w:eastAsia="宋体" w:cs="宋体"/>
          <w:color w:val="auto"/>
          <w:highlight w:val="none"/>
          <w:lang w:val="zh-CN"/>
        </w:rPr>
        <w:t xml:space="preserve">）： </w:t>
      </w:r>
    </w:p>
    <w:p w14:paraId="1A08ED07">
      <w:pPr>
        <w:jc w:val="center"/>
        <w:rPr>
          <w:rFonts w:hint="eastAsia" w:ascii="宋体" w:hAnsi="宋体" w:eastAsia="宋体" w:cs="宋体"/>
          <w:color w:val="auto"/>
          <w:highlight w:val="none"/>
          <w:lang w:val="zh-CN"/>
        </w:rPr>
        <w:sectPr>
          <w:pgSz w:w="16838" w:h="11906" w:orient="landscape"/>
          <w:pgMar w:top="1803" w:right="1440" w:bottom="1701" w:left="1440" w:header="851" w:footer="992" w:gutter="0"/>
          <w:cols w:space="0" w:num="1"/>
          <w:docGrid w:type="lines" w:linePitch="336" w:charSpace="0"/>
        </w:sect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日期</w:t>
      </w:r>
      <w:r>
        <w:rPr>
          <w:rFonts w:hint="eastAsia" w:ascii="宋体" w:hAnsi="宋体" w:eastAsia="宋体" w:cs="宋体"/>
          <w:color w:val="auto"/>
          <w:highlight w:val="none"/>
        </w:rPr>
        <w:t>：</w:t>
      </w:r>
      <w:r>
        <w:rPr>
          <w:rFonts w:hint="eastAsia" w:ascii="宋体" w:hAnsi="宋体" w:eastAsia="宋体" w:cs="宋体"/>
          <w:color w:val="auto"/>
          <w:highlight w:val="none"/>
          <w:lang w:val="zh-CN"/>
        </w:rPr>
        <w:t xml:space="preserve">   年   月   日</w:t>
      </w:r>
    </w:p>
    <w:p w14:paraId="3E156514">
      <w:pPr>
        <w:spacing w:line="276" w:lineRule="auto"/>
        <w:rPr>
          <w:rFonts w:hint="eastAsia" w:ascii="宋体" w:hAnsi="宋体" w:eastAsia="宋体" w:cs="宋体"/>
          <w:b/>
          <w:smallCaps/>
          <w:color w:val="auto"/>
          <w:spacing w:val="6"/>
          <w:sz w:val="28"/>
          <w:szCs w:val="28"/>
          <w:highlight w:val="none"/>
          <w:lang w:val="en-US" w:eastAsia="zh-CN" w:bidi="ar-SA"/>
        </w:rPr>
      </w:pPr>
      <w:r>
        <w:rPr>
          <w:rFonts w:hint="eastAsia" w:ascii="宋体" w:hAnsi="宋体" w:eastAsia="宋体" w:cs="宋体"/>
          <w:b/>
          <w:smallCaps/>
          <w:color w:val="auto"/>
          <w:spacing w:val="6"/>
          <w:sz w:val="28"/>
          <w:szCs w:val="28"/>
          <w:highlight w:val="none"/>
          <w:lang w:val="en-US" w:eastAsia="zh-CN" w:bidi="ar-SA"/>
        </w:rPr>
        <w:t>附件1：质疑函范本及制作说明</w:t>
      </w:r>
    </w:p>
    <w:p w14:paraId="59CAA7F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854DCE7">
      <w:pPr>
        <w:pStyle w:val="67"/>
        <w:rPr>
          <w:rFonts w:hint="eastAsia" w:ascii="宋体" w:hAnsi="宋体" w:eastAsia="宋体" w:cs="宋体"/>
          <w:color w:val="auto"/>
          <w:highlight w:val="none"/>
        </w:rPr>
      </w:pPr>
      <w:r>
        <w:rPr>
          <w:rFonts w:hint="eastAsia" w:ascii="宋体" w:hAnsi="宋体" w:eastAsia="宋体" w:cs="宋体"/>
          <w:color w:val="auto"/>
          <w:highlight w:val="none"/>
        </w:rPr>
        <w:t>一、质疑供应商基本信息</w:t>
      </w:r>
    </w:p>
    <w:p w14:paraId="1BB37676">
      <w:pPr>
        <w:pStyle w:val="67"/>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14:paraId="05D355B0">
      <w:pPr>
        <w:pStyle w:val="67"/>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14:paraId="4BE7CBAA">
      <w:pPr>
        <w:pStyle w:val="67"/>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375C63D5">
      <w:pPr>
        <w:pStyle w:val="67"/>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14:paraId="3C224C15">
      <w:pPr>
        <w:pStyle w:val="67"/>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07A33E44">
      <w:pPr>
        <w:pStyle w:val="67"/>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14:paraId="37FB02AE">
      <w:pPr>
        <w:pStyle w:val="67"/>
        <w:rPr>
          <w:rFonts w:hint="eastAsia" w:ascii="宋体" w:hAnsi="宋体" w:eastAsia="宋体" w:cs="宋体"/>
          <w:color w:val="auto"/>
          <w:highlight w:val="none"/>
        </w:rPr>
      </w:pPr>
      <w:r>
        <w:rPr>
          <w:rFonts w:hint="eastAsia" w:ascii="宋体" w:hAnsi="宋体" w:eastAsia="宋体" w:cs="宋体"/>
          <w:color w:val="auto"/>
          <w:highlight w:val="none"/>
        </w:rPr>
        <w:t>二、质疑项目基本情况</w:t>
      </w:r>
    </w:p>
    <w:p w14:paraId="79ADBAD4">
      <w:pPr>
        <w:pStyle w:val="67"/>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14:paraId="5A23A5BD">
      <w:pPr>
        <w:pStyle w:val="67"/>
        <w:rPr>
          <w:rFonts w:hint="eastAsia" w:ascii="宋体" w:hAnsi="宋体" w:eastAsia="宋体" w:cs="宋体"/>
          <w:color w:val="auto"/>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14:paraId="53C7CD75">
      <w:pPr>
        <w:pStyle w:val="67"/>
        <w:rPr>
          <w:rFonts w:hint="eastAsia" w:ascii="宋体" w:hAnsi="宋体" w:eastAsia="宋体" w:cs="宋体"/>
          <w:color w:val="auto"/>
          <w:highlight w:val="none"/>
          <w:u w:val="dotted"/>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名称：</w:t>
      </w:r>
      <w:r>
        <w:rPr>
          <w:rFonts w:hint="eastAsia" w:ascii="宋体" w:hAnsi="宋体" w:eastAsia="宋体" w:cs="宋体"/>
          <w:color w:val="auto"/>
          <w:highlight w:val="none"/>
          <w:u w:val="dotted"/>
        </w:rPr>
        <w:t xml:space="preserve">                                         </w:t>
      </w:r>
    </w:p>
    <w:p w14:paraId="49D0BBC5">
      <w:pPr>
        <w:pStyle w:val="67"/>
        <w:rPr>
          <w:rFonts w:hint="eastAsia" w:ascii="宋体" w:hAnsi="宋体" w:eastAsia="宋体" w:cs="宋体"/>
          <w:color w:val="auto"/>
          <w:highlight w:val="none"/>
        </w:rPr>
      </w:pPr>
      <w:r>
        <w:rPr>
          <w:rFonts w:hint="eastAsia" w:ascii="宋体" w:hAnsi="宋体" w:eastAsia="宋体" w:cs="宋体"/>
          <w:color w:val="auto"/>
          <w:highlight w:val="none"/>
        </w:rPr>
        <w:t>招标文件获取日期：</w:t>
      </w:r>
      <w:r>
        <w:rPr>
          <w:rFonts w:hint="eastAsia" w:ascii="宋体" w:hAnsi="宋体" w:eastAsia="宋体" w:cs="宋体"/>
          <w:color w:val="auto"/>
          <w:highlight w:val="none"/>
          <w:u w:val="dotted"/>
        </w:rPr>
        <w:t xml:space="preserve">                                           </w:t>
      </w:r>
    </w:p>
    <w:p w14:paraId="2A511398">
      <w:pPr>
        <w:pStyle w:val="67"/>
        <w:rPr>
          <w:rFonts w:hint="eastAsia" w:ascii="宋体" w:hAnsi="宋体" w:eastAsia="宋体" w:cs="宋体"/>
          <w:color w:val="auto"/>
          <w:highlight w:val="none"/>
        </w:rPr>
      </w:pPr>
      <w:r>
        <w:rPr>
          <w:rFonts w:hint="eastAsia" w:ascii="宋体" w:hAnsi="宋体" w:eastAsia="宋体" w:cs="宋体"/>
          <w:color w:val="auto"/>
          <w:highlight w:val="none"/>
        </w:rPr>
        <w:t>三、质疑事项具体内容</w:t>
      </w:r>
    </w:p>
    <w:p w14:paraId="19848DE1">
      <w:pPr>
        <w:pStyle w:val="67"/>
        <w:rPr>
          <w:rFonts w:hint="eastAsia" w:ascii="宋体" w:hAnsi="宋体" w:eastAsia="宋体" w:cs="宋体"/>
          <w:color w:val="auto"/>
          <w:highlight w:val="none"/>
          <w:u w:val="dotted"/>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dotted"/>
        </w:rPr>
        <w:t xml:space="preserve">                                         </w:t>
      </w:r>
    </w:p>
    <w:p w14:paraId="7FD479B5">
      <w:pPr>
        <w:pStyle w:val="67"/>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14:paraId="2F1CB7BD">
      <w:pPr>
        <w:pStyle w:val="67"/>
        <w:rPr>
          <w:rFonts w:hint="eastAsia" w:ascii="宋体" w:hAnsi="宋体" w:eastAsia="宋体" w:cs="宋体"/>
          <w:color w:val="auto"/>
          <w:highlight w:val="none"/>
        </w:rPr>
      </w:pPr>
      <w:r>
        <w:rPr>
          <w:rFonts w:hint="eastAsia" w:ascii="宋体" w:hAnsi="宋体" w:eastAsia="宋体" w:cs="宋体"/>
          <w:color w:val="auto"/>
          <w:highlight w:val="none"/>
          <w:u w:val="dotted"/>
        </w:rPr>
        <w:t xml:space="preserve">                                                       </w:t>
      </w:r>
    </w:p>
    <w:p w14:paraId="0FF864AA">
      <w:pPr>
        <w:pStyle w:val="67"/>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14:paraId="1B070082">
      <w:pPr>
        <w:pStyle w:val="67"/>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14:paraId="43CD1F66">
      <w:pPr>
        <w:pStyle w:val="67"/>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14:paraId="6B3048F6">
      <w:pPr>
        <w:pStyle w:val="67"/>
        <w:rPr>
          <w:rFonts w:hint="eastAsia" w:ascii="宋体" w:hAnsi="宋体" w:eastAsia="宋体" w:cs="宋体"/>
          <w:color w:val="auto"/>
          <w:highlight w:val="none"/>
        </w:rPr>
      </w:pPr>
      <w:r>
        <w:rPr>
          <w:rFonts w:hint="eastAsia" w:ascii="宋体" w:hAnsi="宋体" w:eastAsia="宋体" w:cs="宋体"/>
          <w:color w:val="auto"/>
          <w:highlight w:val="none"/>
        </w:rPr>
        <w:t>……</w:t>
      </w:r>
    </w:p>
    <w:p w14:paraId="53190523">
      <w:pPr>
        <w:pStyle w:val="67"/>
        <w:rPr>
          <w:rFonts w:hint="eastAsia" w:ascii="宋体" w:hAnsi="宋体" w:eastAsia="宋体" w:cs="宋体"/>
          <w:color w:val="auto"/>
          <w:highlight w:val="none"/>
        </w:rPr>
      </w:pPr>
      <w:r>
        <w:rPr>
          <w:rFonts w:hint="eastAsia" w:ascii="宋体" w:hAnsi="宋体" w:eastAsia="宋体" w:cs="宋体"/>
          <w:color w:val="auto"/>
          <w:highlight w:val="none"/>
        </w:rPr>
        <w:t>四、与质疑事项相关的质疑请求</w:t>
      </w:r>
    </w:p>
    <w:p w14:paraId="776D1FD8">
      <w:pPr>
        <w:pStyle w:val="67"/>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14:paraId="299D6A0E">
      <w:pPr>
        <w:pStyle w:val="67"/>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14:paraId="5951F909">
      <w:pPr>
        <w:pStyle w:val="67"/>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14:paraId="7E9F0069">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质疑函制作说明：</w:t>
      </w:r>
    </w:p>
    <w:p w14:paraId="29091E2B">
      <w:pPr>
        <w:pStyle w:val="67"/>
        <w:rPr>
          <w:rFonts w:hint="eastAsia"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49D57FC8">
      <w:pPr>
        <w:pStyle w:val="67"/>
        <w:rPr>
          <w:rFonts w:hint="eastAsia"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E8F9476">
      <w:pPr>
        <w:pStyle w:val="67"/>
        <w:rPr>
          <w:rFonts w:hint="eastAsia"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2F144FB9">
      <w:pPr>
        <w:pStyle w:val="67"/>
        <w:rPr>
          <w:rFonts w:hint="eastAsia"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17B249AF">
      <w:pPr>
        <w:pStyle w:val="67"/>
        <w:rPr>
          <w:rFonts w:hint="eastAsia"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17CCF59D">
      <w:pPr>
        <w:pStyle w:val="67"/>
        <w:rPr>
          <w:rFonts w:hint="eastAsia"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213FB71F">
      <w:pPr>
        <w:spacing w:line="360" w:lineRule="auto"/>
        <w:ind w:firstLine="600" w:firstLineChars="200"/>
        <w:rPr>
          <w:rFonts w:hint="eastAsia" w:ascii="宋体" w:hAnsi="宋体" w:eastAsia="宋体" w:cs="宋体"/>
          <w:color w:val="auto"/>
          <w:sz w:val="30"/>
          <w:szCs w:val="30"/>
          <w:highlight w:val="none"/>
        </w:rPr>
      </w:pPr>
    </w:p>
    <w:p w14:paraId="2A2E1708">
      <w:pPr>
        <w:spacing w:line="360" w:lineRule="auto"/>
        <w:jc w:val="center"/>
        <w:rPr>
          <w:rFonts w:hint="eastAsia" w:ascii="宋体" w:hAnsi="宋体" w:eastAsia="宋体" w:cs="宋体"/>
          <w:b/>
          <w:color w:val="auto"/>
          <w:spacing w:val="6"/>
          <w:sz w:val="32"/>
          <w:szCs w:val="32"/>
          <w:highlight w:val="none"/>
        </w:rPr>
      </w:pPr>
    </w:p>
    <w:p w14:paraId="7E6F2091">
      <w:pPr>
        <w:spacing w:line="276" w:lineRule="auto"/>
        <w:rPr>
          <w:rFonts w:hint="eastAsia" w:ascii="宋体" w:hAnsi="宋体" w:eastAsia="宋体" w:cs="宋体"/>
          <w:b/>
          <w:smallCaps/>
          <w:color w:val="auto"/>
          <w:spacing w:val="6"/>
          <w:sz w:val="28"/>
          <w:szCs w:val="28"/>
          <w:highlight w:val="none"/>
          <w:lang w:val="en-US" w:eastAsia="zh-CN" w:bidi="ar-SA"/>
        </w:rPr>
      </w:pPr>
      <w:r>
        <w:rPr>
          <w:rFonts w:hint="eastAsia" w:ascii="宋体" w:hAnsi="宋体" w:eastAsia="宋体" w:cs="宋体"/>
          <w:b/>
          <w:smallCaps/>
          <w:color w:val="auto"/>
          <w:spacing w:val="6"/>
          <w:sz w:val="28"/>
          <w:szCs w:val="28"/>
          <w:highlight w:val="none"/>
          <w:lang w:val="en-US" w:eastAsia="zh-CN" w:bidi="ar-SA"/>
        </w:rPr>
        <w:t>附件2：投诉书范本及制作说明</w:t>
      </w:r>
    </w:p>
    <w:p w14:paraId="53386EE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0A2E5F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一、投诉相关主体基本情况</w:t>
      </w:r>
    </w:p>
    <w:p w14:paraId="2038035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投诉人：</w:t>
      </w:r>
      <w:r>
        <w:rPr>
          <w:rFonts w:hint="eastAsia" w:ascii="宋体" w:hAnsi="宋体" w:eastAsia="宋体" w:cs="宋体"/>
          <w:color w:val="auto"/>
          <w:highlight w:val="none"/>
          <w:u w:val="dotted"/>
        </w:rPr>
        <w:t xml:space="preserve">                                               </w:t>
      </w:r>
    </w:p>
    <w:p w14:paraId="37ED17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3074A28E">
      <w:pPr>
        <w:keepNext w:val="0"/>
        <w:keepLines w:val="0"/>
        <w:pageBreakBefore w:val="0"/>
        <w:widowControl/>
        <w:tabs>
          <w:tab w:val="left" w:pos="651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法定代表人/主要负责人：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542EE794">
      <w:pPr>
        <w:keepNext w:val="0"/>
        <w:keepLines w:val="0"/>
        <w:pageBreakBefore w:val="0"/>
        <w:widowControl/>
        <w:tabs>
          <w:tab w:val="left" w:pos="6510"/>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249897F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2FD0827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dotted"/>
        </w:rPr>
        <w:t xml:space="preserve">                   </w:t>
      </w:r>
    </w:p>
    <w:p w14:paraId="7D246AE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被投诉人1：</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A67898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6BE5C3A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078E2D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被投诉人2：</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19A6722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相关供应商：</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D61967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5D7AB8D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4C086BB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二、投诉项目基本情况</w:t>
      </w:r>
    </w:p>
    <w:p w14:paraId="3DFA0B2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dotted"/>
        </w:rPr>
        <w:t xml:space="preserve">                                        </w:t>
      </w:r>
    </w:p>
    <w:p w14:paraId="569B0B5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14:paraId="368FFA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名称：</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6B606E1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代理机构名称：</w:t>
      </w:r>
      <w:r>
        <w:rPr>
          <w:rFonts w:hint="eastAsia" w:ascii="宋体" w:hAnsi="宋体" w:eastAsia="宋体" w:cs="宋体"/>
          <w:color w:val="auto"/>
          <w:highlight w:val="none"/>
          <w:u w:val="dotted"/>
        </w:rPr>
        <w:t xml:space="preserve">                                         </w:t>
      </w:r>
    </w:p>
    <w:p w14:paraId="0216E98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采购文件公告：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14:paraId="4C65713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采购结果公告：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14:paraId="5DF2EE4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三、质疑基本情况</w:t>
      </w:r>
    </w:p>
    <w:p w14:paraId="29083B9A">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投诉人于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日，向</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提出质疑，质疑事项为：</w:t>
      </w:r>
      <w:r>
        <w:rPr>
          <w:rFonts w:hint="eastAsia" w:ascii="宋体" w:hAnsi="宋体" w:eastAsia="宋体" w:cs="宋体"/>
          <w:color w:val="auto"/>
          <w:highlight w:val="none"/>
          <w:u w:val="dotted"/>
        </w:rPr>
        <w:t xml:space="preserve">                                </w:t>
      </w:r>
    </w:p>
    <w:p w14:paraId="78460A9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653FCC5B">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u w:val="dotted"/>
        </w:rPr>
        <w:t>/代理机构</w:t>
      </w:r>
      <w:r>
        <w:rPr>
          <w:rFonts w:hint="eastAsia" w:ascii="宋体" w:hAnsi="宋体" w:eastAsia="宋体" w:cs="宋体"/>
          <w:color w:val="auto"/>
          <w:highlight w:val="none"/>
        </w:rPr>
        <w:t>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日，就质疑事项作出了答复/没有在法定期限内作出答复。</w:t>
      </w:r>
    </w:p>
    <w:p w14:paraId="497CC4A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四、投诉事项具体内容</w:t>
      </w:r>
    </w:p>
    <w:p w14:paraId="631D072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投诉事项 1：</w:t>
      </w:r>
      <w:r>
        <w:rPr>
          <w:rFonts w:hint="eastAsia" w:ascii="宋体" w:hAnsi="宋体" w:eastAsia="宋体" w:cs="宋体"/>
          <w:color w:val="auto"/>
          <w:highlight w:val="none"/>
          <w:u w:val="dotted"/>
        </w:rPr>
        <w:t xml:space="preserve">                                       </w:t>
      </w:r>
    </w:p>
    <w:p w14:paraId="3960A2A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14:paraId="65DFF63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14:paraId="4B9D52A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投诉事项2</w:t>
      </w:r>
    </w:p>
    <w:p w14:paraId="05F959B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dotted"/>
        </w:rPr>
      </w:pPr>
      <w:r>
        <w:rPr>
          <w:rFonts w:hint="eastAsia" w:ascii="宋体" w:hAnsi="宋体" w:eastAsia="宋体" w:cs="宋体"/>
          <w:color w:val="auto"/>
          <w:highlight w:val="none"/>
        </w:rPr>
        <w:t>……</w:t>
      </w:r>
    </w:p>
    <w:p w14:paraId="7859B51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五、与投诉事项相关的投诉请求</w:t>
      </w:r>
    </w:p>
    <w:p w14:paraId="3B42479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03F10CF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14:paraId="45FB64D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14:paraId="4478E7B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投诉书制作说明：</w:t>
      </w:r>
    </w:p>
    <w:p w14:paraId="3036ADE0">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1.投诉人提起投诉时，应当提交投诉书和必要的证明材料，并按照被投诉人和与投诉事项有关的供应商数量提供投诉书副本。</w:t>
      </w:r>
    </w:p>
    <w:p w14:paraId="380FE19C">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C7EA502">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3.投诉人若对项目的某一分包进行投诉，投诉书应列明具体分包号。</w:t>
      </w:r>
    </w:p>
    <w:p w14:paraId="3600A1C2">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4.投诉书应简要列明质疑事项，质疑函、质疑答复等作为附件材料提供。</w:t>
      </w:r>
    </w:p>
    <w:p w14:paraId="1435E049">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5.投诉书的投诉事项应具体、明确，并有必要的事实依据和法律依据。</w:t>
      </w:r>
    </w:p>
    <w:p w14:paraId="15F23E0E">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6.投诉书的投诉请求应与投诉事项相关。</w:t>
      </w:r>
    </w:p>
    <w:p w14:paraId="12AB01E6">
      <w:pPr>
        <w:widowControl w:val="0"/>
        <w:adjustRightInd w:val="0"/>
        <w:spacing w:after="0" w:line="480" w:lineRule="exact"/>
        <w:ind w:firstLine="480" w:firstLineChars="200"/>
        <w:jc w:val="both"/>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7.投诉人为自然人的，投诉书应当由本人签字；投诉人为法人或者其他组织的，投诉书应当由法定代表人、主要负责人，或者其授权代表签字或者盖章，并加盖公章。</w:t>
      </w:r>
    </w:p>
    <w:p w14:paraId="005E6625">
      <w:pPr>
        <w:spacing w:line="276"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73E93ED9">
      <w:pPr>
        <w:pStyle w:val="3"/>
        <w:jc w:val="left"/>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rPr>
        <w:t>附件</w:t>
      </w:r>
      <w:r>
        <w:rPr>
          <w:rFonts w:hint="eastAsia" w:ascii="宋体" w:hAnsi="宋体" w:eastAsia="宋体" w:cs="宋体"/>
          <w:color w:val="auto"/>
          <w:spacing w:val="6"/>
          <w:highlight w:val="none"/>
          <w:lang w:val="en-US" w:eastAsia="zh-CN"/>
        </w:rPr>
        <w:t>3</w:t>
      </w:r>
      <w:r>
        <w:rPr>
          <w:rFonts w:hint="eastAsia" w:ascii="宋体" w:hAnsi="宋体" w:eastAsia="宋体" w:cs="宋体"/>
          <w:color w:val="auto"/>
          <w:spacing w:val="6"/>
          <w:highlight w:val="none"/>
          <w:lang w:eastAsia="zh-CN"/>
        </w:rPr>
        <w:t>：样品授权委托书</w:t>
      </w:r>
    </w:p>
    <w:p w14:paraId="4A8C308A">
      <w:pPr>
        <w:spacing w:line="276"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样品授权委托书</w:t>
      </w:r>
    </w:p>
    <w:p w14:paraId="40A70BE2">
      <w:pPr>
        <w:jc w:val="center"/>
        <w:rPr>
          <w:rFonts w:hint="eastAsia" w:ascii="宋体" w:hAnsi="宋体" w:eastAsia="宋体" w:cs="宋体"/>
          <w:color w:val="auto"/>
          <w:sz w:val="40"/>
          <w:highlight w:val="none"/>
        </w:rPr>
      </w:pPr>
    </w:p>
    <w:p w14:paraId="107C428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23D5F647">
      <w:pPr>
        <w:snapToGrid w:val="0"/>
        <w:spacing w:line="360" w:lineRule="auto"/>
        <w:ind w:left="290" w:leftChars="121" w:firstLine="48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50349DFD">
      <w:pPr>
        <w:snapToGrid w:val="0"/>
        <w:spacing w:line="360" w:lineRule="auto"/>
        <w:ind w:left="290" w:leftChars="121"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）投标样品，并全权负责标后取回样品等其他处理事宜。</w:t>
      </w:r>
    </w:p>
    <w:p w14:paraId="30B087B3">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1C07F85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1BEB7CC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4E84F25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6D0D40A">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448B7187">
      <w:pPr>
        <w:snapToGrid w:val="0"/>
        <w:spacing w:line="360" w:lineRule="auto"/>
        <w:ind w:right="240"/>
        <w:jc w:val="right"/>
        <w:rPr>
          <w:rFonts w:hint="eastAsia" w:ascii="宋体" w:hAnsi="宋体" w:eastAsia="宋体" w:cs="宋体"/>
          <w:color w:val="auto"/>
          <w:highlight w:val="none"/>
          <w:lang w:val="zh-CN"/>
        </w:rPr>
      </w:pPr>
    </w:p>
    <w:p w14:paraId="6C3D40DC">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33DF67DF">
      <w:pPr>
        <w:snapToGrid w:val="0"/>
        <w:spacing w:line="360" w:lineRule="auto"/>
        <w:ind w:right="240"/>
        <w:rPr>
          <w:rFonts w:hint="eastAsia" w:ascii="宋体" w:hAnsi="宋体" w:eastAsia="宋体" w:cs="宋体"/>
          <w:color w:val="auto"/>
          <w:highlight w:val="none"/>
          <w:lang w:val="zh-CN"/>
        </w:rPr>
      </w:pPr>
    </w:p>
    <w:p w14:paraId="47BBB861">
      <w:pPr>
        <w:snapToGrid w:val="0"/>
        <w:spacing w:line="360" w:lineRule="auto"/>
        <w:ind w:right="240"/>
        <w:rPr>
          <w:rFonts w:hint="eastAsia" w:ascii="宋体" w:hAnsi="宋体" w:eastAsia="宋体" w:cs="宋体"/>
          <w:color w:val="auto"/>
          <w:highlight w:val="none"/>
          <w:lang w:val="zh-CN"/>
        </w:rPr>
      </w:pPr>
    </w:p>
    <w:p w14:paraId="37B1DA6E">
      <w:pPr>
        <w:snapToGrid w:val="0"/>
        <w:spacing w:line="360" w:lineRule="auto"/>
        <w:ind w:right="240"/>
        <w:rPr>
          <w:rFonts w:hint="eastAsia" w:ascii="宋体" w:hAnsi="宋体" w:eastAsia="宋体" w:cs="宋体"/>
          <w:color w:val="auto"/>
          <w:highlight w:val="none"/>
          <w:lang w:val="zh-CN"/>
        </w:rPr>
      </w:pPr>
    </w:p>
    <w:p w14:paraId="62105CAF">
      <w:pPr>
        <w:snapToGrid w:val="0"/>
        <w:spacing w:line="360" w:lineRule="auto"/>
        <w:ind w:right="240"/>
        <w:rPr>
          <w:rFonts w:hint="eastAsia" w:ascii="宋体" w:hAnsi="宋体" w:eastAsia="宋体" w:cs="宋体"/>
          <w:color w:val="auto"/>
          <w:highlight w:val="none"/>
        </w:rPr>
      </w:pPr>
      <w:r>
        <w:rPr>
          <w:rFonts w:hint="eastAsia" w:ascii="宋体" w:hAnsi="宋体" w:eastAsia="宋体" w:cs="宋体"/>
          <w:color w:val="auto"/>
          <w:highlight w:val="none"/>
          <w:lang w:val="zh-CN"/>
        </w:rPr>
        <w:t>说明：本委托书在有样品时由受委托人携带至指定地点。</w:t>
      </w:r>
    </w:p>
    <w:bookmarkEnd w:id="468"/>
    <w:sectPr>
      <w:pgSz w:w="11906" w:h="16838"/>
      <w:pgMar w:top="1440" w:right="1701" w:bottom="1440" w:left="1803" w:header="851" w:footer="992" w:gutter="0"/>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79EB">
    <w:pPr>
      <w:pStyle w:val="2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62</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7EB2">
    <w:pPr>
      <w:pStyle w:val="22"/>
      <w:jc w:val="right"/>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117A2"/>
    <w:multiLevelType w:val="singleLevel"/>
    <w:tmpl w:val="B1A117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8"/>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jI4YjA5ODI4ZTM2NTQxODU2MGMyNDBhNjA2MmQifQ=="/>
    <w:docVar w:name="KSO_WPS_MARK_KEY" w:val="c52fb0f2-250b-4be8-9b1d-fe2556f084e7"/>
  </w:docVars>
  <w:rsids>
    <w:rsidRoot w:val="004A31C0"/>
    <w:rsid w:val="000227D2"/>
    <w:rsid w:val="00040E44"/>
    <w:rsid w:val="000506FE"/>
    <w:rsid w:val="00052F13"/>
    <w:rsid w:val="00062A5D"/>
    <w:rsid w:val="00083EEE"/>
    <w:rsid w:val="00096F3A"/>
    <w:rsid w:val="000C67BA"/>
    <w:rsid w:val="000E75F8"/>
    <w:rsid w:val="00105884"/>
    <w:rsid w:val="00135AB8"/>
    <w:rsid w:val="001375DB"/>
    <w:rsid w:val="001448FA"/>
    <w:rsid w:val="001478DA"/>
    <w:rsid w:val="00157176"/>
    <w:rsid w:val="00173428"/>
    <w:rsid w:val="00192CBF"/>
    <w:rsid w:val="001A26AF"/>
    <w:rsid w:val="001A3CF6"/>
    <w:rsid w:val="001D4C2E"/>
    <w:rsid w:val="001E0464"/>
    <w:rsid w:val="0023424F"/>
    <w:rsid w:val="00236B06"/>
    <w:rsid w:val="00240685"/>
    <w:rsid w:val="0024401D"/>
    <w:rsid w:val="002534A7"/>
    <w:rsid w:val="00262183"/>
    <w:rsid w:val="00271A6F"/>
    <w:rsid w:val="002C4D36"/>
    <w:rsid w:val="002E02E0"/>
    <w:rsid w:val="002E4CD1"/>
    <w:rsid w:val="003075F7"/>
    <w:rsid w:val="003169BC"/>
    <w:rsid w:val="003317B1"/>
    <w:rsid w:val="00352D29"/>
    <w:rsid w:val="0035778E"/>
    <w:rsid w:val="003664CE"/>
    <w:rsid w:val="00380ED1"/>
    <w:rsid w:val="00381B1D"/>
    <w:rsid w:val="003A3435"/>
    <w:rsid w:val="003D0D07"/>
    <w:rsid w:val="00401C9C"/>
    <w:rsid w:val="004105E2"/>
    <w:rsid w:val="00420958"/>
    <w:rsid w:val="00422643"/>
    <w:rsid w:val="00424619"/>
    <w:rsid w:val="00424A1D"/>
    <w:rsid w:val="00462F9D"/>
    <w:rsid w:val="004A31C0"/>
    <w:rsid w:val="004C6C28"/>
    <w:rsid w:val="00501CA3"/>
    <w:rsid w:val="005126F1"/>
    <w:rsid w:val="00512F6D"/>
    <w:rsid w:val="00537E0F"/>
    <w:rsid w:val="00581054"/>
    <w:rsid w:val="005A325A"/>
    <w:rsid w:val="005A3BF2"/>
    <w:rsid w:val="005E08D1"/>
    <w:rsid w:val="0060320D"/>
    <w:rsid w:val="006511DA"/>
    <w:rsid w:val="00652051"/>
    <w:rsid w:val="0065383E"/>
    <w:rsid w:val="00661973"/>
    <w:rsid w:val="006657BD"/>
    <w:rsid w:val="0069662B"/>
    <w:rsid w:val="006F2568"/>
    <w:rsid w:val="006F282E"/>
    <w:rsid w:val="00706DC6"/>
    <w:rsid w:val="00711092"/>
    <w:rsid w:val="00716529"/>
    <w:rsid w:val="00725C59"/>
    <w:rsid w:val="00730BD0"/>
    <w:rsid w:val="00734973"/>
    <w:rsid w:val="00742C93"/>
    <w:rsid w:val="00744AB4"/>
    <w:rsid w:val="007A4DF9"/>
    <w:rsid w:val="007B07B1"/>
    <w:rsid w:val="00821F00"/>
    <w:rsid w:val="00822B59"/>
    <w:rsid w:val="00825212"/>
    <w:rsid w:val="00836EE4"/>
    <w:rsid w:val="00843A59"/>
    <w:rsid w:val="00852E70"/>
    <w:rsid w:val="00872DA1"/>
    <w:rsid w:val="00873B8A"/>
    <w:rsid w:val="008B1281"/>
    <w:rsid w:val="008B342A"/>
    <w:rsid w:val="008C3320"/>
    <w:rsid w:val="008D0585"/>
    <w:rsid w:val="008E1052"/>
    <w:rsid w:val="008F729B"/>
    <w:rsid w:val="009040D0"/>
    <w:rsid w:val="009064F4"/>
    <w:rsid w:val="009252FE"/>
    <w:rsid w:val="009823B1"/>
    <w:rsid w:val="009863A6"/>
    <w:rsid w:val="0098739B"/>
    <w:rsid w:val="00993A89"/>
    <w:rsid w:val="009B7259"/>
    <w:rsid w:val="009E6B47"/>
    <w:rsid w:val="00A265C9"/>
    <w:rsid w:val="00A5394E"/>
    <w:rsid w:val="00A955FA"/>
    <w:rsid w:val="00AB3C03"/>
    <w:rsid w:val="00AC5A89"/>
    <w:rsid w:val="00B12243"/>
    <w:rsid w:val="00B34428"/>
    <w:rsid w:val="00B50722"/>
    <w:rsid w:val="00B638D9"/>
    <w:rsid w:val="00B766C8"/>
    <w:rsid w:val="00BA4DC3"/>
    <w:rsid w:val="00BF0E5E"/>
    <w:rsid w:val="00BF6538"/>
    <w:rsid w:val="00C05067"/>
    <w:rsid w:val="00C315A8"/>
    <w:rsid w:val="00C33A7E"/>
    <w:rsid w:val="00C555C7"/>
    <w:rsid w:val="00CA5372"/>
    <w:rsid w:val="00CF35F3"/>
    <w:rsid w:val="00D03E3B"/>
    <w:rsid w:val="00D26E77"/>
    <w:rsid w:val="00D41990"/>
    <w:rsid w:val="00D55B54"/>
    <w:rsid w:val="00D61C6D"/>
    <w:rsid w:val="00D901E0"/>
    <w:rsid w:val="00DA79AF"/>
    <w:rsid w:val="00DE7F9D"/>
    <w:rsid w:val="00E01C27"/>
    <w:rsid w:val="00E06B99"/>
    <w:rsid w:val="00E2136E"/>
    <w:rsid w:val="00E226DC"/>
    <w:rsid w:val="00E26EE8"/>
    <w:rsid w:val="00E428C8"/>
    <w:rsid w:val="00E51F9B"/>
    <w:rsid w:val="00E81776"/>
    <w:rsid w:val="00E94AF3"/>
    <w:rsid w:val="00EB6182"/>
    <w:rsid w:val="00ED389E"/>
    <w:rsid w:val="00EE2D23"/>
    <w:rsid w:val="00EF4A1A"/>
    <w:rsid w:val="00F3104A"/>
    <w:rsid w:val="00F577A9"/>
    <w:rsid w:val="00F57E5E"/>
    <w:rsid w:val="00F66F6C"/>
    <w:rsid w:val="00F7530A"/>
    <w:rsid w:val="00F82240"/>
    <w:rsid w:val="00F872C5"/>
    <w:rsid w:val="00F906B9"/>
    <w:rsid w:val="00FB1AFB"/>
    <w:rsid w:val="00FD5896"/>
    <w:rsid w:val="00FE3ACD"/>
    <w:rsid w:val="00FF515C"/>
    <w:rsid w:val="01D553FA"/>
    <w:rsid w:val="02300183"/>
    <w:rsid w:val="023B599D"/>
    <w:rsid w:val="025427D0"/>
    <w:rsid w:val="02A95D00"/>
    <w:rsid w:val="02B842D0"/>
    <w:rsid w:val="02BF25B0"/>
    <w:rsid w:val="04477AA3"/>
    <w:rsid w:val="046B19E4"/>
    <w:rsid w:val="04AF2440"/>
    <w:rsid w:val="04EB5695"/>
    <w:rsid w:val="054944EE"/>
    <w:rsid w:val="05956AD0"/>
    <w:rsid w:val="065B15E4"/>
    <w:rsid w:val="06652282"/>
    <w:rsid w:val="06D01B2C"/>
    <w:rsid w:val="070C39C0"/>
    <w:rsid w:val="072D7E5E"/>
    <w:rsid w:val="07B2792A"/>
    <w:rsid w:val="07D47A4F"/>
    <w:rsid w:val="07FF4B84"/>
    <w:rsid w:val="07FF9E3D"/>
    <w:rsid w:val="089C7D08"/>
    <w:rsid w:val="08E91C86"/>
    <w:rsid w:val="08F54642"/>
    <w:rsid w:val="08FF26FB"/>
    <w:rsid w:val="09873EF8"/>
    <w:rsid w:val="09B52227"/>
    <w:rsid w:val="0A112EE1"/>
    <w:rsid w:val="0A6038C8"/>
    <w:rsid w:val="0A7D4664"/>
    <w:rsid w:val="0AAF2BEC"/>
    <w:rsid w:val="0B267AA7"/>
    <w:rsid w:val="0B643808"/>
    <w:rsid w:val="0BC1638D"/>
    <w:rsid w:val="0DAF78BD"/>
    <w:rsid w:val="0F0E18EA"/>
    <w:rsid w:val="0F3D3826"/>
    <w:rsid w:val="10117FE2"/>
    <w:rsid w:val="10495D89"/>
    <w:rsid w:val="106A06E7"/>
    <w:rsid w:val="107A5C99"/>
    <w:rsid w:val="107A6169"/>
    <w:rsid w:val="115630D4"/>
    <w:rsid w:val="11C101AE"/>
    <w:rsid w:val="11C23DE8"/>
    <w:rsid w:val="11E4196C"/>
    <w:rsid w:val="12724C85"/>
    <w:rsid w:val="1350028A"/>
    <w:rsid w:val="13C869A0"/>
    <w:rsid w:val="14630D30"/>
    <w:rsid w:val="15094777"/>
    <w:rsid w:val="155C6610"/>
    <w:rsid w:val="15FB62DF"/>
    <w:rsid w:val="165D4B98"/>
    <w:rsid w:val="17182642"/>
    <w:rsid w:val="17BF5E77"/>
    <w:rsid w:val="19020978"/>
    <w:rsid w:val="190725DB"/>
    <w:rsid w:val="19931D6C"/>
    <w:rsid w:val="19CC3AF7"/>
    <w:rsid w:val="1B842B3B"/>
    <w:rsid w:val="1BC738E5"/>
    <w:rsid w:val="1C87533E"/>
    <w:rsid w:val="1CA20BBC"/>
    <w:rsid w:val="1D033CE9"/>
    <w:rsid w:val="1D1E6628"/>
    <w:rsid w:val="1EA50806"/>
    <w:rsid w:val="1EB7054F"/>
    <w:rsid w:val="1EC21DA9"/>
    <w:rsid w:val="1F1314EC"/>
    <w:rsid w:val="1F784432"/>
    <w:rsid w:val="1F876E8D"/>
    <w:rsid w:val="201D2B69"/>
    <w:rsid w:val="206B48C0"/>
    <w:rsid w:val="209A46A9"/>
    <w:rsid w:val="20F26474"/>
    <w:rsid w:val="210E1C57"/>
    <w:rsid w:val="21713BD8"/>
    <w:rsid w:val="218A20FB"/>
    <w:rsid w:val="22550D49"/>
    <w:rsid w:val="22D166BF"/>
    <w:rsid w:val="22E83BF8"/>
    <w:rsid w:val="22E97C40"/>
    <w:rsid w:val="234C0AD1"/>
    <w:rsid w:val="23DC3FFC"/>
    <w:rsid w:val="23F90A8C"/>
    <w:rsid w:val="24211E03"/>
    <w:rsid w:val="246C4EEE"/>
    <w:rsid w:val="247937C4"/>
    <w:rsid w:val="24924599"/>
    <w:rsid w:val="24F650AF"/>
    <w:rsid w:val="25062C63"/>
    <w:rsid w:val="25625D5F"/>
    <w:rsid w:val="25A82086"/>
    <w:rsid w:val="25D907CA"/>
    <w:rsid w:val="25E17E87"/>
    <w:rsid w:val="25FA3D08"/>
    <w:rsid w:val="260C3E37"/>
    <w:rsid w:val="26814C69"/>
    <w:rsid w:val="269C4CE4"/>
    <w:rsid w:val="26D12FC0"/>
    <w:rsid w:val="275742CB"/>
    <w:rsid w:val="27680CAF"/>
    <w:rsid w:val="278361B1"/>
    <w:rsid w:val="27C34C38"/>
    <w:rsid w:val="27D36DD5"/>
    <w:rsid w:val="280A3483"/>
    <w:rsid w:val="2847687F"/>
    <w:rsid w:val="289E1C4B"/>
    <w:rsid w:val="29FB2D4F"/>
    <w:rsid w:val="2A125B9F"/>
    <w:rsid w:val="2AB76C24"/>
    <w:rsid w:val="2B012AFC"/>
    <w:rsid w:val="2BEC7109"/>
    <w:rsid w:val="2C116858"/>
    <w:rsid w:val="2CE22062"/>
    <w:rsid w:val="2D04771C"/>
    <w:rsid w:val="2D17454B"/>
    <w:rsid w:val="2DF2421D"/>
    <w:rsid w:val="2E2E775B"/>
    <w:rsid w:val="2E3F5791"/>
    <w:rsid w:val="2E536EC1"/>
    <w:rsid w:val="2E652E08"/>
    <w:rsid w:val="2F0956DB"/>
    <w:rsid w:val="2F177EEF"/>
    <w:rsid w:val="2FF35418"/>
    <w:rsid w:val="30432CCB"/>
    <w:rsid w:val="304C6334"/>
    <w:rsid w:val="30A97E6F"/>
    <w:rsid w:val="30CD4981"/>
    <w:rsid w:val="30E874AD"/>
    <w:rsid w:val="3138414C"/>
    <w:rsid w:val="31800433"/>
    <w:rsid w:val="31882D19"/>
    <w:rsid w:val="328F5F4B"/>
    <w:rsid w:val="32DC1AA9"/>
    <w:rsid w:val="32DC3CF3"/>
    <w:rsid w:val="32FC3B40"/>
    <w:rsid w:val="33661839"/>
    <w:rsid w:val="33F4376D"/>
    <w:rsid w:val="34325184"/>
    <w:rsid w:val="348671FF"/>
    <w:rsid w:val="349C558B"/>
    <w:rsid w:val="34DA6081"/>
    <w:rsid w:val="350C348F"/>
    <w:rsid w:val="35280D6E"/>
    <w:rsid w:val="359721BD"/>
    <w:rsid w:val="35D1477D"/>
    <w:rsid w:val="35DE7FD8"/>
    <w:rsid w:val="36AA33F6"/>
    <w:rsid w:val="36FE7510"/>
    <w:rsid w:val="374F351B"/>
    <w:rsid w:val="37CF19EA"/>
    <w:rsid w:val="382F1DE3"/>
    <w:rsid w:val="388719F4"/>
    <w:rsid w:val="38E275B3"/>
    <w:rsid w:val="393C051D"/>
    <w:rsid w:val="39621CD6"/>
    <w:rsid w:val="39E95F44"/>
    <w:rsid w:val="3A21318E"/>
    <w:rsid w:val="3A2160C5"/>
    <w:rsid w:val="3A5859DF"/>
    <w:rsid w:val="3AA865FF"/>
    <w:rsid w:val="3B660234"/>
    <w:rsid w:val="3C046FBC"/>
    <w:rsid w:val="3C2746A4"/>
    <w:rsid w:val="3C7A0139"/>
    <w:rsid w:val="3C955A60"/>
    <w:rsid w:val="3CD90EA1"/>
    <w:rsid w:val="3D69400B"/>
    <w:rsid w:val="3D800835"/>
    <w:rsid w:val="3E7E7594"/>
    <w:rsid w:val="3E863653"/>
    <w:rsid w:val="3EA352FB"/>
    <w:rsid w:val="3EBB29A2"/>
    <w:rsid w:val="3EDDF16D"/>
    <w:rsid w:val="3F31363C"/>
    <w:rsid w:val="3F514D57"/>
    <w:rsid w:val="3FD555FE"/>
    <w:rsid w:val="401A783F"/>
    <w:rsid w:val="404F28CA"/>
    <w:rsid w:val="4069362B"/>
    <w:rsid w:val="412207D2"/>
    <w:rsid w:val="412F0C54"/>
    <w:rsid w:val="41AE3C6E"/>
    <w:rsid w:val="41AE7FF6"/>
    <w:rsid w:val="41FF1CA7"/>
    <w:rsid w:val="423C1A61"/>
    <w:rsid w:val="42741713"/>
    <w:rsid w:val="42D75C1E"/>
    <w:rsid w:val="42EF1015"/>
    <w:rsid w:val="43476B9D"/>
    <w:rsid w:val="436E0713"/>
    <w:rsid w:val="43C40B3F"/>
    <w:rsid w:val="43F565F9"/>
    <w:rsid w:val="443754A3"/>
    <w:rsid w:val="445104BA"/>
    <w:rsid w:val="44755D39"/>
    <w:rsid w:val="44D501D8"/>
    <w:rsid w:val="453F2053"/>
    <w:rsid w:val="45C843F3"/>
    <w:rsid w:val="46080139"/>
    <w:rsid w:val="461B0263"/>
    <w:rsid w:val="462245EB"/>
    <w:rsid w:val="467619EE"/>
    <w:rsid w:val="46875F75"/>
    <w:rsid w:val="46C85790"/>
    <w:rsid w:val="47EC7D13"/>
    <w:rsid w:val="486E0728"/>
    <w:rsid w:val="49380D36"/>
    <w:rsid w:val="4968606E"/>
    <w:rsid w:val="4A281ED8"/>
    <w:rsid w:val="4AB31D2A"/>
    <w:rsid w:val="4AC83FFB"/>
    <w:rsid w:val="4B1854BE"/>
    <w:rsid w:val="4B502316"/>
    <w:rsid w:val="4C056FA8"/>
    <w:rsid w:val="4C783FC7"/>
    <w:rsid w:val="4CED2F9E"/>
    <w:rsid w:val="4D0E6BC2"/>
    <w:rsid w:val="4DC1679C"/>
    <w:rsid w:val="4DD82EBF"/>
    <w:rsid w:val="4DFF5E51"/>
    <w:rsid w:val="4E805E2A"/>
    <w:rsid w:val="4EDB4398"/>
    <w:rsid w:val="4F2E7C92"/>
    <w:rsid w:val="4F563CC4"/>
    <w:rsid w:val="4FD276D7"/>
    <w:rsid w:val="502D25BD"/>
    <w:rsid w:val="516F32D3"/>
    <w:rsid w:val="53473F34"/>
    <w:rsid w:val="53512798"/>
    <w:rsid w:val="53790084"/>
    <w:rsid w:val="53814D20"/>
    <w:rsid w:val="539463F2"/>
    <w:rsid w:val="53F774B4"/>
    <w:rsid w:val="54687C76"/>
    <w:rsid w:val="554035A2"/>
    <w:rsid w:val="55DB3D45"/>
    <w:rsid w:val="56490020"/>
    <w:rsid w:val="566850E8"/>
    <w:rsid w:val="57630B4C"/>
    <w:rsid w:val="57A64ED9"/>
    <w:rsid w:val="57AD38B1"/>
    <w:rsid w:val="58B912F2"/>
    <w:rsid w:val="58E64432"/>
    <w:rsid w:val="58F327F2"/>
    <w:rsid w:val="599E7BF0"/>
    <w:rsid w:val="5A395956"/>
    <w:rsid w:val="5C3A2C47"/>
    <w:rsid w:val="5D415FB3"/>
    <w:rsid w:val="5D7E6FEF"/>
    <w:rsid w:val="5D800180"/>
    <w:rsid w:val="5DAD189A"/>
    <w:rsid w:val="5E8C0FCE"/>
    <w:rsid w:val="60ED7350"/>
    <w:rsid w:val="61202383"/>
    <w:rsid w:val="61681BD9"/>
    <w:rsid w:val="61DE0DFD"/>
    <w:rsid w:val="62184B91"/>
    <w:rsid w:val="6264652D"/>
    <w:rsid w:val="62D36345"/>
    <w:rsid w:val="62EE6C9A"/>
    <w:rsid w:val="631C4409"/>
    <w:rsid w:val="639E720A"/>
    <w:rsid w:val="64D74E5A"/>
    <w:rsid w:val="650869CE"/>
    <w:rsid w:val="651571B7"/>
    <w:rsid w:val="65F3079F"/>
    <w:rsid w:val="660A6E2C"/>
    <w:rsid w:val="66546530"/>
    <w:rsid w:val="66947A2E"/>
    <w:rsid w:val="66CF0018"/>
    <w:rsid w:val="66E56FCD"/>
    <w:rsid w:val="671A02CA"/>
    <w:rsid w:val="679413D5"/>
    <w:rsid w:val="67B601A0"/>
    <w:rsid w:val="68475789"/>
    <w:rsid w:val="68E62A1E"/>
    <w:rsid w:val="69014EF5"/>
    <w:rsid w:val="698B6B10"/>
    <w:rsid w:val="69986DE2"/>
    <w:rsid w:val="69D64555"/>
    <w:rsid w:val="6A651842"/>
    <w:rsid w:val="6A7F45BF"/>
    <w:rsid w:val="6A8A71EB"/>
    <w:rsid w:val="6A8B3381"/>
    <w:rsid w:val="6ABA4022"/>
    <w:rsid w:val="6B47587B"/>
    <w:rsid w:val="6BE071F2"/>
    <w:rsid w:val="6C0F753A"/>
    <w:rsid w:val="6C5A100C"/>
    <w:rsid w:val="6CC91181"/>
    <w:rsid w:val="6DBB2D6F"/>
    <w:rsid w:val="6DC5584F"/>
    <w:rsid w:val="6DF65E0C"/>
    <w:rsid w:val="6DF9257E"/>
    <w:rsid w:val="6E5C3F62"/>
    <w:rsid w:val="6E714478"/>
    <w:rsid w:val="6EDA7C28"/>
    <w:rsid w:val="6F174DC6"/>
    <w:rsid w:val="6F280B35"/>
    <w:rsid w:val="6F355BA1"/>
    <w:rsid w:val="6F36202D"/>
    <w:rsid w:val="6F4B43EE"/>
    <w:rsid w:val="6F6E6529"/>
    <w:rsid w:val="6F7F5537"/>
    <w:rsid w:val="6F944661"/>
    <w:rsid w:val="6F96218E"/>
    <w:rsid w:val="6FE81C34"/>
    <w:rsid w:val="706863E0"/>
    <w:rsid w:val="70911016"/>
    <w:rsid w:val="710C0C1C"/>
    <w:rsid w:val="71567142"/>
    <w:rsid w:val="71B17A61"/>
    <w:rsid w:val="71F247AC"/>
    <w:rsid w:val="71F2730C"/>
    <w:rsid w:val="72401D7D"/>
    <w:rsid w:val="73222E63"/>
    <w:rsid w:val="732C6AD1"/>
    <w:rsid w:val="73D94CA8"/>
    <w:rsid w:val="742C095F"/>
    <w:rsid w:val="746D0CD7"/>
    <w:rsid w:val="749E6039"/>
    <w:rsid w:val="74EE7BEF"/>
    <w:rsid w:val="754F72A3"/>
    <w:rsid w:val="756F0B5C"/>
    <w:rsid w:val="75A373B3"/>
    <w:rsid w:val="75A45C9D"/>
    <w:rsid w:val="76095AAA"/>
    <w:rsid w:val="76515061"/>
    <w:rsid w:val="76BB4366"/>
    <w:rsid w:val="773B2A40"/>
    <w:rsid w:val="77427D22"/>
    <w:rsid w:val="77D80573"/>
    <w:rsid w:val="77DE6ED4"/>
    <w:rsid w:val="7A1E02E5"/>
    <w:rsid w:val="7A394633"/>
    <w:rsid w:val="7AF1296F"/>
    <w:rsid w:val="7B3C1F8E"/>
    <w:rsid w:val="7B767619"/>
    <w:rsid w:val="7BFD9ED3"/>
    <w:rsid w:val="7C340281"/>
    <w:rsid w:val="7CD82311"/>
    <w:rsid w:val="7D30787F"/>
    <w:rsid w:val="7D6D7FBA"/>
    <w:rsid w:val="7D86705F"/>
    <w:rsid w:val="7E420EB3"/>
    <w:rsid w:val="7E745D9B"/>
    <w:rsid w:val="7ED44495"/>
    <w:rsid w:val="7F806886"/>
    <w:rsid w:val="7F853FCE"/>
    <w:rsid w:val="7F9B5A4B"/>
    <w:rsid w:val="7FA50271"/>
    <w:rsid w:val="7FF81E1C"/>
    <w:rsid w:val="7FF93EC4"/>
    <w:rsid w:val="BD7EEBEB"/>
    <w:rsid w:val="E8FAAF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41"/>
    <w:qFormat/>
    <w:uiPriority w:val="9"/>
    <w:pPr>
      <w:spacing w:before="480" w:after="0"/>
      <w:outlineLvl w:val="0"/>
    </w:pPr>
    <w:rPr>
      <w:rFonts w:ascii="仿宋_GB2312" w:eastAsia="仿宋_GB2312"/>
      <w:b/>
      <w:smallCaps/>
      <w:spacing w:val="5"/>
      <w:sz w:val="36"/>
      <w:szCs w:val="36"/>
    </w:rPr>
  </w:style>
  <w:style w:type="paragraph" w:styleId="3">
    <w:name w:val="heading 2"/>
    <w:basedOn w:val="1"/>
    <w:next w:val="1"/>
    <w:link w:val="42"/>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43"/>
    <w:unhideWhenUsed/>
    <w:qFormat/>
    <w:uiPriority w:val="9"/>
    <w:pPr>
      <w:outlineLvl w:val="2"/>
    </w:pPr>
    <w:rPr>
      <w:b/>
    </w:rPr>
  </w:style>
  <w:style w:type="paragraph" w:styleId="5">
    <w:name w:val="heading 4"/>
    <w:basedOn w:val="1"/>
    <w:next w:val="1"/>
    <w:link w:val="44"/>
    <w:unhideWhenUsed/>
    <w:qFormat/>
    <w:uiPriority w:val="9"/>
    <w:pPr>
      <w:spacing w:after="0" w:line="271" w:lineRule="auto"/>
      <w:outlineLvl w:val="3"/>
    </w:pPr>
    <w:rPr>
      <w:b/>
      <w:bCs/>
      <w:spacing w:val="5"/>
    </w:rPr>
  </w:style>
  <w:style w:type="paragraph" w:styleId="6">
    <w:name w:val="heading 5"/>
    <w:basedOn w:val="1"/>
    <w:next w:val="1"/>
    <w:link w:val="45"/>
    <w:unhideWhenUsed/>
    <w:qFormat/>
    <w:uiPriority w:val="9"/>
    <w:pPr>
      <w:spacing w:after="0" w:line="271" w:lineRule="auto"/>
      <w:outlineLvl w:val="4"/>
    </w:pPr>
    <w:rPr>
      <w:i/>
      <w:iCs/>
    </w:rPr>
  </w:style>
  <w:style w:type="paragraph" w:styleId="7">
    <w:name w:val="heading 6"/>
    <w:basedOn w:val="1"/>
    <w:next w:val="1"/>
    <w:link w:val="46"/>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7"/>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8"/>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9"/>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8"/>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Document Map"/>
    <w:basedOn w:val="1"/>
    <w:qFormat/>
    <w:uiPriority w:val="0"/>
    <w:pPr>
      <w:shd w:val="clear" w:color="auto" w:fill="000080"/>
    </w:pPr>
  </w:style>
  <w:style w:type="paragraph" w:styleId="14">
    <w:name w:val="annotation text"/>
    <w:basedOn w:val="1"/>
    <w:link w:val="88"/>
    <w:qFormat/>
    <w:uiPriority w:val="99"/>
    <w:rPr>
      <w:sz w:val="28"/>
    </w:rPr>
  </w:style>
  <w:style w:type="paragraph" w:styleId="15">
    <w:name w:val="Body Text"/>
    <w:basedOn w:val="1"/>
    <w:next w:val="16"/>
    <w:qFormat/>
    <w:uiPriority w:val="0"/>
    <w:pPr>
      <w:spacing w:after="120"/>
    </w:pPr>
    <w:rPr>
      <w:sz w:val="28"/>
    </w:rPr>
  </w:style>
  <w:style w:type="paragraph" w:styleId="16">
    <w:name w:val="Body Text First Indent"/>
    <w:basedOn w:val="15"/>
    <w:next w:val="1"/>
    <w:qFormat/>
    <w:uiPriority w:val="0"/>
    <w:pPr>
      <w:ind w:firstLine="420" w:firstLineChars="100"/>
    </w:pPr>
  </w:style>
  <w:style w:type="paragraph" w:styleId="17">
    <w:name w:val="Body Text Indent"/>
    <w:basedOn w:val="1"/>
    <w:next w:val="11"/>
    <w:link w:val="71"/>
    <w:qFormat/>
    <w:uiPriority w:val="99"/>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Plain Text"/>
    <w:basedOn w:val="1"/>
    <w:link w:val="69"/>
    <w:qFormat/>
    <w:uiPriority w:val="99"/>
    <w:pPr>
      <w:widowControl w:val="0"/>
      <w:adjustRightInd w:val="0"/>
      <w:spacing w:after="0"/>
      <w:jc w:val="both"/>
    </w:pPr>
    <w:rPr>
      <w:rFonts w:ascii="宋体" w:hAnsi="Courier New" w:eastAsia="宋体" w:cs="Arial"/>
      <w:snapToGrid w:val="0"/>
      <w:kern w:val="2"/>
      <w:sz w:val="21"/>
      <w:szCs w:val="21"/>
    </w:rPr>
  </w:style>
  <w:style w:type="paragraph" w:styleId="19">
    <w:name w:val="Date"/>
    <w:basedOn w:val="1"/>
    <w:next w:val="1"/>
    <w:qFormat/>
    <w:uiPriority w:val="0"/>
    <w:pPr>
      <w:ind w:left="100" w:leftChars="2500"/>
    </w:pPr>
    <w:rPr>
      <w:rFonts w:ascii="宋体"/>
      <w:szCs w:val="21"/>
      <w:lang w:val="zh-CN"/>
    </w:rPr>
  </w:style>
  <w:style w:type="paragraph" w:styleId="20">
    <w:name w:val="Balloon Text"/>
    <w:basedOn w:val="1"/>
    <w:link w:val="83"/>
    <w:semiHidden/>
    <w:unhideWhenUsed/>
    <w:qFormat/>
    <w:uiPriority w:val="99"/>
    <w:pPr>
      <w:spacing w:after="0"/>
    </w:pPr>
    <w:rPr>
      <w:sz w:val="18"/>
      <w:szCs w:val="18"/>
    </w:rPr>
  </w:style>
  <w:style w:type="paragraph" w:styleId="21">
    <w:name w:val="footer"/>
    <w:basedOn w:val="1"/>
    <w:link w:val="40"/>
    <w:unhideWhenUsed/>
    <w:qFormat/>
    <w:uiPriority w:val="99"/>
    <w:pPr>
      <w:tabs>
        <w:tab w:val="center" w:pos="4153"/>
        <w:tab w:val="right" w:pos="8306"/>
      </w:tabs>
      <w:snapToGrid w:val="0"/>
    </w:pPr>
    <w:rPr>
      <w:sz w:val="18"/>
      <w:szCs w:val="18"/>
    </w:rPr>
  </w:style>
  <w:style w:type="paragraph" w:styleId="22">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51"/>
    <w:qFormat/>
    <w:uiPriority w:val="11"/>
    <w:rPr>
      <w:i/>
      <w:iCs/>
      <w:smallCaps/>
      <w:spacing w:val="10"/>
      <w:sz w:val="28"/>
      <w:szCs w:val="28"/>
    </w:rPr>
  </w:style>
  <w:style w:type="paragraph" w:styleId="24">
    <w:name w:val="footnote text"/>
    <w:basedOn w:val="1"/>
    <w:link w:val="87"/>
    <w:semiHidden/>
    <w:unhideWhenUsed/>
    <w:qFormat/>
    <w:uiPriority w:val="99"/>
    <w:pPr>
      <w:snapToGrid w:val="0"/>
    </w:pPr>
    <w:rPr>
      <w:sz w:val="18"/>
      <w:szCs w:val="18"/>
    </w:rPr>
  </w:style>
  <w:style w:type="paragraph" w:styleId="25">
    <w:name w:val="toc 6"/>
    <w:basedOn w:val="1"/>
    <w:next w:val="1"/>
    <w:semiHidden/>
    <w:qFormat/>
    <w:uiPriority w:val="0"/>
    <w:pPr>
      <w:ind w:left="2100" w:leftChars="1000"/>
    </w:pPr>
  </w:style>
  <w:style w:type="paragraph" w:styleId="26">
    <w:name w:val="Normal (Web)"/>
    <w:basedOn w:val="1"/>
    <w:unhideWhenUsed/>
    <w:qFormat/>
    <w:uiPriority w:val="99"/>
    <w:pPr>
      <w:spacing w:beforeAutospacing="1" w:after="0" w:afterAutospacing="1"/>
    </w:pPr>
    <w:rPr>
      <w:rFonts w:cs="Times New Roman"/>
    </w:rPr>
  </w:style>
  <w:style w:type="paragraph" w:styleId="27">
    <w:name w:val="Title"/>
    <w:basedOn w:val="1"/>
    <w:next w:val="1"/>
    <w:link w:val="50"/>
    <w:qFormat/>
    <w:uiPriority w:val="10"/>
    <w:pPr>
      <w:spacing w:after="300"/>
      <w:contextualSpacing/>
    </w:pPr>
    <w:rPr>
      <w:smallCaps/>
      <w:sz w:val="52"/>
      <w:szCs w:val="52"/>
    </w:rPr>
  </w:style>
  <w:style w:type="paragraph" w:styleId="28">
    <w:name w:val="annotation subject"/>
    <w:basedOn w:val="14"/>
    <w:next w:val="14"/>
    <w:link w:val="89"/>
    <w:semiHidden/>
    <w:unhideWhenUsed/>
    <w:qFormat/>
    <w:uiPriority w:val="99"/>
    <w:rPr>
      <w:b/>
      <w:bCs/>
      <w:sz w:val="24"/>
    </w:rPr>
  </w:style>
  <w:style w:type="paragraph" w:styleId="29">
    <w:name w:val="Body Text First Indent 2"/>
    <w:basedOn w:val="17"/>
    <w:next w:val="1"/>
    <w:qFormat/>
    <w:uiPriority w:val="0"/>
    <w:pPr>
      <w:tabs>
        <w:tab w:val="left" w:pos="0"/>
        <w:tab w:val="left" w:pos="993"/>
        <w:tab w:val="left" w:pos="1134"/>
      </w:tabs>
    </w:pPr>
    <w:rPr>
      <w:rFonts w:asciiTheme="minorHAnsi" w:hAnsiTheme="minorHAnsi" w:cstheme="minorBidi"/>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mphasis"/>
    <w:qFormat/>
    <w:uiPriority w:val="20"/>
    <w:rPr>
      <w:b/>
      <w:bCs/>
      <w:i/>
      <w:iCs/>
      <w:spacing w:val="10"/>
    </w:rPr>
  </w:style>
  <w:style w:type="character" w:styleId="35">
    <w:name w:val="Hyperlink"/>
    <w:qFormat/>
    <w:uiPriority w:val="99"/>
    <w:rPr>
      <w:rFonts w:ascii="Arial" w:hAnsi="Arial" w:eastAsia="黑体" w:cs="Arial"/>
      <w:snapToGrid w:val="0"/>
      <w:color w:val="000000"/>
      <w:kern w:val="0"/>
      <w:sz w:val="18"/>
      <w:szCs w:val="18"/>
      <w:u w:val="none"/>
    </w:rPr>
  </w:style>
  <w:style w:type="character" w:styleId="36">
    <w:name w:val="annotation reference"/>
    <w:basedOn w:val="32"/>
    <w:semiHidden/>
    <w:unhideWhenUsed/>
    <w:qFormat/>
    <w:uiPriority w:val="99"/>
    <w:rPr>
      <w:sz w:val="21"/>
      <w:szCs w:val="21"/>
    </w:rPr>
  </w:style>
  <w:style w:type="character" w:styleId="37">
    <w:name w:val="footnote reference"/>
    <w:basedOn w:val="32"/>
    <w:semiHidden/>
    <w:unhideWhenUsed/>
    <w:qFormat/>
    <w:uiPriority w:val="99"/>
    <w:rPr>
      <w:vertAlign w:val="superscript"/>
    </w:rPr>
  </w:style>
  <w:style w:type="paragraph" w:customStyle="1" w:styleId="38">
    <w:name w:val="正文文本首行缩进 21"/>
    <w:basedOn w:val="17"/>
    <w:qFormat/>
    <w:uiPriority w:val="99"/>
    <w:pPr>
      <w:spacing w:line="200" w:lineRule="atLeast"/>
      <w:ind w:firstLine="420"/>
    </w:pPr>
    <w:rPr>
      <w:rFonts w:hAnsi="Courier New"/>
      <w:spacing w:val="-4"/>
      <w:sz w:val="18"/>
    </w:rPr>
  </w:style>
  <w:style w:type="character" w:customStyle="1" w:styleId="39">
    <w:name w:val="页眉 字符"/>
    <w:basedOn w:val="32"/>
    <w:link w:val="22"/>
    <w:qFormat/>
    <w:uiPriority w:val="99"/>
    <w:rPr>
      <w:sz w:val="18"/>
      <w:szCs w:val="18"/>
    </w:rPr>
  </w:style>
  <w:style w:type="character" w:customStyle="1" w:styleId="40">
    <w:name w:val="页脚 字符"/>
    <w:basedOn w:val="32"/>
    <w:link w:val="21"/>
    <w:qFormat/>
    <w:uiPriority w:val="99"/>
    <w:rPr>
      <w:sz w:val="18"/>
      <w:szCs w:val="18"/>
    </w:rPr>
  </w:style>
  <w:style w:type="character" w:customStyle="1" w:styleId="41">
    <w:name w:val="标题 1 字符"/>
    <w:basedOn w:val="32"/>
    <w:link w:val="2"/>
    <w:qFormat/>
    <w:uiPriority w:val="9"/>
    <w:rPr>
      <w:rFonts w:ascii="仿宋_GB2312" w:hAnsi="仿宋" w:eastAsia="仿宋_GB2312" w:cstheme="majorBidi"/>
      <w:b/>
      <w:smallCaps/>
      <w:spacing w:val="5"/>
      <w:sz w:val="36"/>
      <w:szCs w:val="36"/>
    </w:rPr>
  </w:style>
  <w:style w:type="character" w:customStyle="1" w:styleId="42">
    <w:name w:val="标题 2 字符"/>
    <w:basedOn w:val="32"/>
    <w:link w:val="3"/>
    <w:qFormat/>
    <w:uiPriority w:val="9"/>
    <w:rPr>
      <w:rFonts w:ascii="仿宋" w:hAnsi="仿宋" w:eastAsia="仿宋"/>
      <w:b/>
      <w:smallCaps/>
      <w:sz w:val="28"/>
      <w:szCs w:val="28"/>
    </w:rPr>
  </w:style>
  <w:style w:type="character" w:customStyle="1" w:styleId="43">
    <w:name w:val="标题 3 字符"/>
    <w:basedOn w:val="32"/>
    <w:link w:val="4"/>
    <w:qFormat/>
    <w:uiPriority w:val="9"/>
    <w:rPr>
      <w:rFonts w:ascii="仿宋" w:hAnsi="仿宋" w:eastAsia="仿宋"/>
      <w:b/>
      <w:sz w:val="24"/>
      <w:szCs w:val="24"/>
    </w:rPr>
  </w:style>
  <w:style w:type="character" w:customStyle="1" w:styleId="44">
    <w:name w:val="标题 4 字符"/>
    <w:basedOn w:val="32"/>
    <w:link w:val="5"/>
    <w:qFormat/>
    <w:uiPriority w:val="9"/>
    <w:rPr>
      <w:b/>
      <w:bCs/>
      <w:spacing w:val="5"/>
      <w:sz w:val="24"/>
      <w:szCs w:val="24"/>
    </w:rPr>
  </w:style>
  <w:style w:type="character" w:customStyle="1" w:styleId="45">
    <w:name w:val="标题 5 字符"/>
    <w:basedOn w:val="32"/>
    <w:link w:val="6"/>
    <w:qFormat/>
    <w:uiPriority w:val="9"/>
    <w:rPr>
      <w:i/>
      <w:iCs/>
      <w:sz w:val="24"/>
      <w:szCs w:val="24"/>
    </w:rPr>
  </w:style>
  <w:style w:type="character" w:customStyle="1" w:styleId="46">
    <w:name w:val="标题 6 字符"/>
    <w:basedOn w:val="32"/>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7">
    <w:name w:val="标题 7 字符"/>
    <w:basedOn w:val="32"/>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8">
    <w:name w:val="标题 8 字符"/>
    <w:basedOn w:val="32"/>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9">
    <w:name w:val="标题 9 字符"/>
    <w:basedOn w:val="32"/>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0">
    <w:name w:val="标题 字符"/>
    <w:basedOn w:val="32"/>
    <w:link w:val="27"/>
    <w:qFormat/>
    <w:uiPriority w:val="10"/>
    <w:rPr>
      <w:smallCaps/>
      <w:sz w:val="52"/>
      <w:szCs w:val="52"/>
    </w:rPr>
  </w:style>
  <w:style w:type="character" w:customStyle="1" w:styleId="51">
    <w:name w:val="副标题 字符"/>
    <w:basedOn w:val="32"/>
    <w:link w:val="23"/>
    <w:qFormat/>
    <w:uiPriority w:val="11"/>
    <w:rPr>
      <w:i/>
      <w:iCs/>
      <w:smallCaps/>
      <w:spacing w:val="10"/>
      <w:sz w:val="28"/>
      <w:szCs w:val="28"/>
    </w:rPr>
  </w:style>
  <w:style w:type="paragraph" w:styleId="52">
    <w:name w:val="No Spacing"/>
    <w:basedOn w:val="1"/>
    <w:link w:val="64"/>
    <w:qFormat/>
    <w:uiPriority w:val="1"/>
    <w:pPr>
      <w:spacing w:after="0"/>
    </w:pPr>
  </w:style>
  <w:style w:type="paragraph" w:styleId="53">
    <w:name w:val="List Paragraph"/>
    <w:basedOn w:val="1"/>
    <w:qFormat/>
    <w:uiPriority w:val="34"/>
    <w:pPr>
      <w:ind w:left="720"/>
      <w:contextualSpacing/>
    </w:pPr>
  </w:style>
  <w:style w:type="paragraph" w:styleId="54">
    <w:name w:val="Quote"/>
    <w:basedOn w:val="1"/>
    <w:next w:val="1"/>
    <w:link w:val="55"/>
    <w:qFormat/>
    <w:uiPriority w:val="29"/>
    <w:rPr>
      <w:i/>
      <w:iCs/>
    </w:rPr>
  </w:style>
  <w:style w:type="character" w:customStyle="1" w:styleId="55">
    <w:name w:val="引用 字符"/>
    <w:basedOn w:val="32"/>
    <w:link w:val="54"/>
    <w:qFormat/>
    <w:uiPriority w:val="29"/>
    <w:rPr>
      <w:i/>
      <w:iCs/>
    </w:rPr>
  </w:style>
  <w:style w:type="paragraph" w:styleId="56">
    <w:name w:val="Intense Quote"/>
    <w:basedOn w:val="1"/>
    <w:next w:val="1"/>
    <w:link w:val="57"/>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7">
    <w:name w:val="明显引用 字符"/>
    <w:basedOn w:val="32"/>
    <w:link w:val="56"/>
    <w:qFormat/>
    <w:uiPriority w:val="30"/>
    <w:rPr>
      <w:i/>
      <w:iCs/>
    </w:rPr>
  </w:style>
  <w:style w:type="character" w:customStyle="1" w:styleId="58">
    <w:name w:val="不明显强调1"/>
    <w:qFormat/>
    <w:uiPriority w:val="19"/>
    <w:rPr>
      <w:i/>
      <w:iCs/>
    </w:rPr>
  </w:style>
  <w:style w:type="character" w:customStyle="1" w:styleId="59">
    <w:name w:val="明显强调1"/>
    <w:qFormat/>
    <w:uiPriority w:val="21"/>
    <w:rPr>
      <w:b/>
      <w:bCs/>
      <w:i/>
      <w:iCs/>
    </w:rPr>
  </w:style>
  <w:style w:type="character" w:customStyle="1" w:styleId="60">
    <w:name w:val="不明显参考1"/>
    <w:basedOn w:val="32"/>
    <w:qFormat/>
    <w:uiPriority w:val="31"/>
    <w:rPr>
      <w:smallCaps/>
    </w:rPr>
  </w:style>
  <w:style w:type="character" w:customStyle="1" w:styleId="61">
    <w:name w:val="明显参考1"/>
    <w:qFormat/>
    <w:uiPriority w:val="32"/>
    <w:rPr>
      <w:b/>
      <w:bCs/>
      <w:smallCaps/>
    </w:rPr>
  </w:style>
  <w:style w:type="character" w:customStyle="1" w:styleId="62">
    <w:name w:val="书籍标题1"/>
    <w:basedOn w:val="32"/>
    <w:qFormat/>
    <w:uiPriority w:val="33"/>
    <w:rPr>
      <w:i/>
      <w:iCs/>
      <w:smallCaps/>
      <w:spacing w:val="5"/>
    </w:rPr>
  </w:style>
  <w:style w:type="paragraph" w:customStyle="1" w:styleId="63">
    <w:name w:val="TOC 标题1"/>
    <w:basedOn w:val="2"/>
    <w:next w:val="1"/>
    <w:semiHidden/>
    <w:unhideWhenUsed/>
    <w:qFormat/>
    <w:uiPriority w:val="39"/>
    <w:pPr>
      <w:outlineLvl w:val="9"/>
    </w:pPr>
    <w:rPr>
      <w:lang w:bidi="en-US"/>
    </w:rPr>
  </w:style>
  <w:style w:type="character" w:customStyle="1" w:styleId="64">
    <w:name w:val="无间隔 字符"/>
    <w:basedOn w:val="32"/>
    <w:link w:val="52"/>
    <w:qFormat/>
    <w:uiPriority w:val="1"/>
  </w:style>
  <w:style w:type="paragraph" w:customStyle="1" w:styleId="65">
    <w:name w:val="Personal Name"/>
    <w:basedOn w:val="27"/>
    <w:qFormat/>
    <w:uiPriority w:val="0"/>
    <w:rPr>
      <w:b/>
      <w:caps/>
      <w:color w:val="000000"/>
      <w:sz w:val="28"/>
      <w:szCs w:val="28"/>
    </w:rPr>
  </w:style>
  <w:style w:type="character" w:customStyle="1" w:styleId="66">
    <w:name w:val="正文2 Char Char"/>
    <w:link w:val="67"/>
    <w:qFormat/>
    <w:uiPriority w:val="0"/>
    <w:rPr>
      <w:rFonts w:ascii="仿宋" w:hAnsi="仿宋" w:eastAsia="仿宋"/>
      <w:sz w:val="24"/>
      <w:szCs w:val="24"/>
    </w:rPr>
  </w:style>
  <w:style w:type="paragraph" w:customStyle="1" w:styleId="67">
    <w:name w:val="正文2"/>
    <w:basedOn w:val="1"/>
    <w:link w:val="66"/>
    <w:qFormat/>
    <w:uiPriority w:val="0"/>
    <w:pPr>
      <w:spacing w:line="360" w:lineRule="auto"/>
    </w:pPr>
  </w:style>
  <w:style w:type="character" w:customStyle="1" w:styleId="68">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69">
    <w:name w:val="纯文本 字符"/>
    <w:basedOn w:val="32"/>
    <w:link w:val="18"/>
    <w:qFormat/>
    <w:uiPriority w:val="99"/>
    <w:rPr>
      <w:rFonts w:ascii="宋体" w:hAnsi="Courier New" w:eastAsia="宋体" w:cs="Arial"/>
      <w:snapToGrid w:val="0"/>
      <w:kern w:val="2"/>
      <w:sz w:val="21"/>
      <w:szCs w:val="21"/>
    </w:rPr>
  </w:style>
  <w:style w:type="character" w:customStyle="1" w:styleId="70">
    <w:name w:val="正文文本缩进 Char"/>
    <w:basedOn w:val="32"/>
    <w:qFormat/>
    <w:uiPriority w:val="99"/>
    <w:rPr>
      <w:rFonts w:ascii="仿宋" w:hAnsi="仿宋" w:eastAsia="仿宋"/>
      <w:sz w:val="24"/>
      <w:szCs w:val="24"/>
    </w:rPr>
  </w:style>
  <w:style w:type="character" w:customStyle="1" w:styleId="71">
    <w:name w:val="正文文本缩进 字符"/>
    <w:link w:val="17"/>
    <w:qFormat/>
    <w:uiPriority w:val="0"/>
    <w:rPr>
      <w:rFonts w:ascii="宋体" w:hAnsi="宋体" w:eastAsia="宋体" w:cs="Times New Roman"/>
      <w:kern w:val="2"/>
      <w:sz w:val="24"/>
      <w:szCs w:val="24"/>
    </w:rPr>
  </w:style>
  <w:style w:type="character" w:customStyle="1" w:styleId="72">
    <w:name w:val="标题 Char2"/>
    <w:qFormat/>
    <w:uiPriority w:val="10"/>
    <w:rPr>
      <w:b/>
      <w:sz w:val="24"/>
      <w:lang w:val="en-GB"/>
    </w:rPr>
  </w:style>
  <w:style w:type="character" w:customStyle="1" w:styleId="73">
    <w:name w:val="纯文本 Char1"/>
    <w:link w:val="74"/>
    <w:qFormat/>
    <w:uiPriority w:val="0"/>
    <w:rPr>
      <w:rFonts w:ascii="宋体" w:hAnsi="Courier New"/>
    </w:rPr>
  </w:style>
  <w:style w:type="paragraph" w:customStyle="1" w:styleId="74">
    <w:name w:val="纯文本1"/>
    <w:basedOn w:val="1"/>
    <w:link w:val="73"/>
    <w:qFormat/>
    <w:uiPriority w:val="0"/>
    <w:pPr>
      <w:widowControl w:val="0"/>
      <w:spacing w:after="0"/>
      <w:jc w:val="both"/>
    </w:pPr>
    <w:rPr>
      <w:rFonts w:ascii="宋体" w:hAnsi="Courier New" w:eastAsiaTheme="majorEastAsia"/>
      <w:sz w:val="22"/>
      <w:szCs w:val="22"/>
    </w:rPr>
  </w:style>
  <w:style w:type="character" w:customStyle="1" w:styleId="75">
    <w:name w:val="页脚 Char2"/>
    <w:qFormat/>
    <w:locked/>
    <w:uiPriority w:val="99"/>
    <w:rPr>
      <w:kern w:val="2"/>
      <w:sz w:val="18"/>
      <w:szCs w:val="18"/>
    </w:rPr>
  </w:style>
  <w:style w:type="character" w:customStyle="1" w:styleId="76">
    <w:name w:val="页眉 Char2"/>
    <w:qFormat/>
    <w:uiPriority w:val="99"/>
    <w:rPr>
      <w:kern w:val="2"/>
      <w:sz w:val="18"/>
      <w:szCs w:val="18"/>
    </w:rPr>
  </w:style>
  <w:style w:type="paragraph" w:customStyle="1" w:styleId="77">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8">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9">
    <w:name w:val="text-tag"/>
    <w:basedOn w:val="1"/>
    <w:semiHidden/>
    <w:qFormat/>
    <w:uiPriority w:val="99"/>
    <w:pPr>
      <w:spacing w:before="100" w:beforeAutospacing="1" w:after="100" w:afterAutospacing="1"/>
    </w:pPr>
    <w:rPr>
      <w:rFonts w:ascii="宋体" w:hAnsi="宋体" w:eastAsia="宋体" w:cs="宋体"/>
    </w:rPr>
  </w:style>
  <w:style w:type="character" w:customStyle="1" w:styleId="80">
    <w:name w:val="纯文本 Char_0"/>
    <w:link w:val="81"/>
    <w:qFormat/>
    <w:uiPriority w:val="0"/>
    <w:rPr>
      <w:rFonts w:ascii="宋体" w:hAnsi="Courier New"/>
      <w:kern w:val="2"/>
      <w:sz w:val="21"/>
      <w:szCs w:val="21"/>
    </w:rPr>
  </w:style>
  <w:style w:type="paragraph" w:customStyle="1" w:styleId="81">
    <w:name w:val="纯文本_0_0"/>
    <w:basedOn w:val="1"/>
    <w:link w:val="80"/>
    <w:qFormat/>
    <w:uiPriority w:val="0"/>
    <w:pPr>
      <w:widowControl w:val="0"/>
      <w:spacing w:after="0"/>
      <w:jc w:val="both"/>
    </w:pPr>
    <w:rPr>
      <w:rFonts w:ascii="宋体" w:hAnsi="Courier New" w:eastAsiaTheme="majorEastAsia"/>
      <w:kern w:val="2"/>
      <w:sz w:val="21"/>
      <w:szCs w:val="21"/>
    </w:rPr>
  </w:style>
  <w:style w:type="paragraph" w:customStyle="1" w:styleId="82">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3">
    <w:name w:val="批注框文本 字符"/>
    <w:basedOn w:val="32"/>
    <w:link w:val="20"/>
    <w:semiHidden/>
    <w:qFormat/>
    <w:uiPriority w:val="99"/>
    <w:rPr>
      <w:rFonts w:ascii="仿宋" w:hAnsi="仿宋" w:eastAsia="仿宋"/>
      <w:sz w:val="18"/>
      <w:szCs w:val="18"/>
    </w:rPr>
  </w:style>
  <w:style w:type="paragraph" w:customStyle="1" w:styleId="84">
    <w:name w:val="☆ 正文"/>
    <w:basedOn w:val="1"/>
    <w:qFormat/>
    <w:uiPriority w:val="0"/>
    <w:rPr>
      <w:rFonts w:ascii="Calibri" w:hAnsi="Calibri"/>
      <w:szCs w:val="22"/>
    </w:rPr>
  </w:style>
  <w:style w:type="paragraph" w:customStyle="1" w:styleId="85">
    <w:name w:val="修订1"/>
    <w:hidden/>
    <w:semiHidden/>
    <w:qFormat/>
    <w:uiPriority w:val="99"/>
    <w:rPr>
      <w:rFonts w:ascii="仿宋" w:hAnsi="仿宋" w:eastAsia="仿宋" w:cstheme="majorBidi"/>
      <w:sz w:val="24"/>
      <w:szCs w:val="24"/>
      <w:lang w:val="en-US" w:eastAsia="zh-CN" w:bidi="ar-SA"/>
    </w:rPr>
  </w:style>
  <w:style w:type="paragraph" w:customStyle="1" w:styleId="8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7">
    <w:name w:val="脚注文本 字符"/>
    <w:basedOn w:val="32"/>
    <w:link w:val="24"/>
    <w:semiHidden/>
    <w:qFormat/>
    <w:uiPriority w:val="99"/>
    <w:rPr>
      <w:rFonts w:ascii="仿宋" w:hAnsi="仿宋" w:eastAsia="仿宋" w:cstheme="majorBidi"/>
      <w:sz w:val="18"/>
      <w:szCs w:val="18"/>
    </w:rPr>
  </w:style>
  <w:style w:type="character" w:customStyle="1" w:styleId="88">
    <w:name w:val="批注文字 字符"/>
    <w:basedOn w:val="32"/>
    <w:link w:val="14"/>
    <w:qFormat/>
    <w:uiPriority w:val="99"/>
    <w:rPr>
      <w:rFonts w:ascii="仿宋" w:hAnsi="仿宋" w:eastAsia="仿宋" w:cstheme="majorBidi"/>
      <w:sz w:val="28"/>
      <w:szCs w:val="24"/>
    </w:rPr>
  </w:style>
  <w:style w:type="character" w:customStyle="1" w:styleId="89">
    <w:name w:val="批注主题 字符"/>
    <w:basedOn w:val="88"/>
    <w:link w:val="28"/>
    <w:qFormat/>
    <w:uiPriority w:val="0"/>
    <w:rPr>
      <w:rFonts w:ascii="仿宋" w:hAnsi="仿宋" w:eastAsia="仿宋" w:cstheme="majorBidi"/>
      <w:sz w:val="28"/>
      <w:szCs w:val="24"/>
    </w:r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纯文本2"/>
    <w:basedOn w:val="92"/>
    <w:qFormat/>
    <w:uiPriority w:val="0"/>
    <w:pPr>
      <w:widowControl/>
      <w:jc w:val="left"/>
    </w:pPr>
    <w:rPr>
      <w:rFonts w:ascii="宋体" w:hAnsi="Courier New"/>
    </w:rPr>
  </w:style>
  <w:style w:type="paragraph" w:customStyle="1" w:styleId="9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Table Paragraph"/>
    <w:basedOn w:val="1"/>
    <w:qFormat/>
    <w:uiPriority w:val="1"/>
    <w:rPr>
      <w:rFonts w:ascii="Calibri" w:hAnsi="Calibri"/>
      <w:sz w:val="22"/>
      <w:szCs w:val="22"/>
      <w:lang w:eastAsia="en-US"/>
    </w:rPr>
  </w:style>
  <w:style w:type="character" w:customStyle="1" w:styleId="94">
    <w:name w:val="font11"/>
    <w:basedOn w:val="32"/>
    <w:qFormat/>
    <w:uiPriority w:val="0"/>
    <w:rPr>
      <w:rFonts w:hint="eastAsia" w:ascii="宋体" w:hAnsi="宋体" w:eastAsia="宋体" w:cs="宋体"/>
      <w:color w:val="000000"/>
      <w:sz w:val="20"/>
      <w:szCs w:val="20"/>
      <w:u w:val="none"/>
    </w:rPr>
  </w:style>
  <w:style w:type="character" w:customStyle="1" w:styleId="95">
    <w:name w:val="font51"/>
    <w:basedOn w:val="32"/>
    <w:qFormat/>
    <w:uiPriority w:val="0"/>
    <w:rPr>
      <w:rFonts w:hint="eastAsia" w:ascii="微软雅黑" w:hAnsi="微软雅黑" w:eastAsia="微软雅黑" w:cs="微软雅黑"/>
      <w:color w:val="000000"/>
      <w:sz w:val="20"/>
      <w:szCs w:val="20"/>
      <w:u w:val="none"/>
    </w:rPr>
  </w:style>
  <w:style w:type="character" w:customStyle="1" w:styleId="96">
    <w:name w:val="font61"/>
    <w:basedOn w:val="32"/>
    <w:qFormat/>
    <w:uiPriority w:val="0"/>
    <w:rPr>
      <w:rFonts w:hint="eastAsia" w:ascii="宋体" w:hAnsi="宋体" w:eastAsia="宋体" w:cs="宋体"/>
      <w:color w:val="000000"/>
      <w:sz w:val="20"/>
      <w:szCs w:val="20"/>
      <w:u w:val="none"/>
    </w:rPr>
  </w:style>
  <w:style w:type="character" w:customStyle="1" w:styleId="97">
    <w:name w:val="font31"/>
    <w:basedOn w:val="32"/>
    <w:qFormat/>
    <w:uiPriority w:val="0"/>
    <w:rPr>
      <w:rFonts w:hint="eastAsia" w:ascii="微软雅黑" w:hAnsi="微软雅黑" w:eastAsia="微软雅黑"/>
      <w:color w:val="000000"/>
      <w:sz w:val="20"/>
      <w:szCs w:val="20"/>
      <w:u w:val="none"/>
    </w:rPr>
  </w:style>
  <w:style w:type="character" w:customStyle="1" w:styleId="98">
    <w:name w:val="font71"/>
    <w:basedOn w:val="32"/>
    <w:qFormat/>
    <w:uiPriority w:val="0"/>
    <w:rPr>
      <w:rFonts w:hint="eastAsia" w:ascii="宋体" w:hAnsi="宋体" w:eastAsia="宋体" w:cs="宋体"/>
      <w:color w:val="000000"/>
      <w:sz w:val="20"/>
      <w:szCs w:val="20"/>
      <w:u w:val="single"/>
    </w:rPr>
  </w:style>
  <w:style w:type="character" w:customStyle="1" w:styleId="99">
    <w:name w:val="font81"/>
    <w:basedOn w:val="32"/>
    <w:qFormat/>
    <w:uiPriority w:val="0"/>
    <w:rPr>
      <w:rFonts w:hint="eastAsia" w:ascii="宋体" w:hAnsi="宋体" w:eastAsia="宋体" w:cs="宋体"/>
      <w:color w:val="000000"/>
      <w:sz w:val="20"/>
      <w:szCs w:val="20"/>
      <w:u w:val="double"/>
    </w:rPr>
  </w:style>
  <w:style w:type="character" w:customStyle="1" w:styleId="100">
    <w:name w:val="font91"/>
    <w:basedOn w:val="32"/>
    <w:qFormat/>
    <w:uiPriority w:val="0"/>
    <w:rPr>
      <w:rFonts w:hint="eastAsia" w:ascii="宋体" w:hAnsi="宋体" w:eastAsia="宋体" w:cs="宋体"/>
      <w:color w:val="000000"/>
      <w:sz w:val="20"/>
      <w:szCs w:val="20"/>
      <w:u w:val="single"/>
    </w:rPr>
  </w:style>
  <w:style w:type="character" w:customStyle="1" w:styleId="101">
    <w:name w:val="font101"/>
    <w:basedOn w:val="32"/>
    <w:qFormat/>
    <w:uiPriority w:val="0"/>
    <w:rPr>
      <w:rFonts w:hint="eastAsia" w:ascii="宋体" w:hAnsi="宋体" w:eastAsia="宋体" w:cs="宋体"/>
      <w:color w:val="000000"/>
      <w:sz w:val="20"/>
      <w:szCs w:val="20"/>
      <w:u w:val="double"/>
    </w:rPr>
  </w:style>
  <w:style w:type="paragraph" w:customStyle="1" w:styleId="10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3">
    <w:name w:val="Table Text"/>
    <w:basedOn w:val="1"/>
    <w:semiHidden/>
    <w:qFormat/>
    <w:uiPriority w:val="0"/>
    <w:rPr>
      <w:rFonts w:ascii="宋体" w:hAnsi="宋体" w:eastAsia="宋体" w:cs="宋体"/>
      <w:sz w:val="21"/>
      <w:szCs w:val="21"/>
      <w:lang w:val="en-US" w:eastAsia="en-US" w:bidi="ar-SA"/>
    </w:rPr>
  </w:style>
  <w:style w:type="table" w:customStyle="1" w:styleId="104">
    <w:name w:val="Table Normal"/>
    <w:semiHidden/>
    <w:unhideWhenUsed/>
    <w:qFormat/>
    <w:uiPriority w:val="0"/>
    <w:tblPr>
      <w:tblCellMar>
        <w:top w:w="0" w:type="dxa"/>
        <w:left w:w="0" w:type="dxa"/>
        <w:bottom w:w="0" w:type="dxa"/>
        <w:right w:w="0" w:type="dxa"/>
      </w:tblCellMar>
    </w:tblPr>
  </w:style>
  <w:style w:type="paragraph" w:customStyle="1" w:styleId="105">
    <w:name w:val="正文首行缩进1"/>
    <w:basedOn w:val="1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63</Pages>
  <Words>22880</Words>
  <Characters>24733</Characters>
  <Lines>275</Lines>
  <Paragraphs>77</Paragraphs>
  <TotalTime>47</TotalTime>
  <ScaleCrop>false</ScaleCrop>
  <LinksUpToDate>false</LinksUpToDate>
  <CharactersWithSpaces>26570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2022-08-25T00:13:00Z</dcterms:created>
  <dc:creator>admin</dc:creator>
  <cp:lastModifiedBy>admin</cp:lastModifiedBy>
  <cp:lastPrinted>2025-01-04T14:32:00Z</cp:lastPrinted>
  <dcterms:modified xsi:type="dcterms:W3CDTF">2025-01-22T01:29:29Z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2AE785FE1FF6469BAECF704AF0A3C695_13</vt:lpwstr>
  </property>
  <property fmtid="{D5CDD505-2E9C-101B-9397-08002B2CF9AE}" pid="4" name="KSOTemplateDocerSaveRecord">
    <vt:lpwstr>eyJoZGlkIjoiMTA1MWMxZmY0MTVkNzVlZGRmNTcxNGM1NmNkZjhjYzQiLCJ1c2VySWQiOiIzNjMyMzU2MzYifQ==</vt:lpwstr>
  </property>
</Properties>
</file>