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BCF55">
      <w:pPr>
        <w:pStyle w:val="5"/>
        <w:jc w:val="center"/>
        <w:rPr>
          <w:rFonts w:ascii="宋体" w:hAnsi="宋体" w:eastAsia="宋体" w:cs="宋体"/>
          <w:color w:val="auto"/>
          <w:sz w:val="18"/>
          <w:szCs w:val="18"/>
          <w:highlight w:val="none"/>
        </w:rPr>
      </w:pPr>
    </w:p>
    <w:p w14:paraId="32A6A9FF">
      <w:pPr>
        <w:pStyle w:val="5"/>
        <w:jc w:val="center"/>
        <w:rPr>
          <w:rFonts w:hint="eastAsia" w:ascii="宋体" w:hAnsi="宋体" w:eastAsia="宋体" w:cs="宋体"/>
          <w:color w:val="auto"/>
          <w:sz w:val="56"/>
          <w:szCs w:val="56"/>
          <w:highlight w:val="none"/>
          <w:lang w:eastAsia="zh-CN"/>
        </w:rPr>
      </w:pPr>
      <w:r>
        <w:rPr>
          <w:rFonts w:hint="eastAsia" w:ascii="宋体" w:hAnsi="宋体" w:eastAsia="宋体" w:cs="宋体"/>
          <w:color w:val="auto"/>
          <w:sz w:val="52"/>
          <w:szCs w:val="52"/>
          <w:highlight w:val="none"/>
          <w:lang w:eastAsia="zh-CN"/>
        </w:rPr>
        <w:t>市北区块及科技城区块公寓居住类家具采购</w:t>
      </w:r>
    </w:p>
    <w:p w14:paraId="187FDA1A">
      <w:pPr>
        <w:rPr>
          <w:rFonts w:ascii="宋体" w:hAnsi="宋体" w:eastAsia="宋体" w:cs="宋体"/>
          <w:b/>
          <w:color w:val="auto"/>
          <w:highlight w:val="none"/>
        </w:rPr>
      </w:pPr>
    </w:p>
    <w:p w14:paraId="5A9E6271">
      <w:pPr>
        <w:jc w:val="center"/>
        <w:rPr>
          <w:rFonts w:ascii="宋体" w:hAnsi="宋体" w:eastAsia="宋体" w:cs="宋体"/>
          <w:b/>
          <w:color w:val="auto"/>
          <w:sz w:val="72"/>
          <w:szCs w:val="72"/>
          <w:highlight w:val="none"/>
        </w:rPr>
      </w:pPr>
    </w:p>
    <w:p w14:paraId="065357EE">
      <w:pPr>
        <w:jc w:val="center"/>
        <w:rPr>
          <w:rFonts w:ascii="宋体" w:hAnsi="宋体" w:eastAsia="宋体" w:cs="宋体"/>
          <w:b/>
          <w:color w:val="auto"/>
          <w:sz w:val="72"/>
          <w:szCs w:val="72"/>
          <w:highlight w:val="none"/>
        </w:rPr>
      </w:pPr>
      <w:r>
        <w:rPr>
          <w:rFonts w:hint="eastAsia" w:ascii="宋体" w:hAnsi="宋体" w:eastAsia="宋体" w:cs="宋体"/>
          <w:b/>
          <w:color w:val="auto"/>
          <w:sz w:val="72"/>
          <w:szCs w:val="72"/>
          <w:highlight w:val="none"/>
        </w:rPr>
        <w:t>招标文件</w:t>
      </w:r>
    </w:p>
    <w:p w14:paraId="1AFB34E3">
      <w:pPr>
        <w:jc w:val="center"/>
        <w:rPr>
          <w:rFonts w:ascii="宋体" w:hAnsi="宋体" w:eastAsia="宋体" w:cs="宋体"/>
          <w:b/>
          <w:color w:val="auto"/>
          <w:sz w:val="40"/>
          <w:highlight w:val="none"/>
        </w:rPr>
      </w:pPr>
      <w:r>
        <w:rPr>
          <w:rFonts w:hint="eastAsia" w:ascii="宋体" w:hAnsi="宋体" w:eastAsia="宋体" w:cs="宋体"/>
          <w:b/>
          <w:color w:val="auto"/>
          <w:sz w:val="40"/>
          <w:highlight w:val="none"/>
        </w:rPr>
        <w:t>（电子招投标）</w:t>
      </w:r>
    </w:p>
    <w:p w14:paraId="0B4A9802">
      <w:pPr>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编号：萧开企采（2024）89号</w:t>
      </w:r>
    </w:p>
    <w:p w14:paraId="4A36DA0E">
      <w:pPr>
        <w:jc w:val="center"/>
        <w:rPr>
          <w:rFonts w:ascii="宋体" w:hAnsi="宋体" w:eastAsia="宋体" w:cs="宋体"/>
          <w:b/>
          <w:color w:val="auto"/>
          <w:sz w:val="36"/>
          <w:highlight w:val="none"/>
        </w:rPr>
      </w:pPr>
    </w:p>
    <w:p w14:paraId="518155D5">
      <w:pPr>
        <w:jc w:val="center"/>
        <w:rPr>
          <w:rFonts w:ascii="宋体" w:hAnsi="宋体" w:eastAsia="宋体" w:cs="宋体"/>
          <w:b/>
          <w:color w:val="auto"/>
          <w:sz w:val="36"/>
          <w:highlight w:val="none"/>
        </w:rPr>
      </w:pPr>
    </w:p>
    <w:p w14:paraId="0B5EAC2D">
      <w:pPr>
        <w:pStyle w:val="6"/>
        <w:jc w:val="both"/>
        <w:rPr>
          <w:color w:val="auto"/>
          <w:highlight w:val="none"/>
        </w:rPr>
      </w:pPr>
    </w:p>
    <w:p w14:paraId="1A378481">
      <w:pPr>
        <w:spacing w:line="500" w:lineRule="exact"/>
        <w:jc w:val="center"/>
        <w:rPr>
          <w:rFonts w:hint="eastAsia" w:ascii="宋体" w:hAnsi="宋体" w:eastAsia="宋体" w:cs="宋体"/>
          <w:b/>
          <w:color w:val="auto"/>
          <w:spacing w:val="-17"/>
          <w:sz w:val="32"/>
          <w:szCs w:val="30"/>
          <w:highlight w:val="none"/>
        </w:rPr>
      </w:pPr>
    </w:p>
    <w:p w14:paraId="7A426D55">
      <w:pPr>
        <w:spacing w:line="500" w:lineRule="exact"/>
        <w:jc w:val="center"/>
        <w:rPr>
          <w:rFonts w:ascii="宋体" w:hAnsi="宋体" w:eastAsia="宋体" w:cs="宋体"/>
          <w:b/>
          <w:color w:val="auto"/>
          <w:spacing w:val="-17"/>
          <w:sz w:val="32"/>
          <w:szCs w:val="30"/>
          <w:highlight w:val="none"/>
        </w:rPr>
      </w:pPr>
      <w:r>
        <w:rPr>
          <w:rFonts w:hint="eastAsia" w:ascii="宋体" w:hAnsi="宋体" w:eastAsia="宋体" w:cs="宋体"/>
          <w:b/>
          <w:color w:val="auto"/>
          <w:spacing w:val="-17"/>
          <w:sz w:val="32"/>
          <w:szCs w:val="30"/>
          <w:highlight w:val="none"/>
        </w:rPr>
        <w:t>杭州萧山经济技术开发区国有资产经营有限公司</w:t>
      </w:r>
    </w:p>
    <w:p w14:paraId="25CCC3BA">
      <w:pPr>
        <w:spacing w:line="500" w:lineRule="exact"/>
        <w:jc w:val="center"/>
        <w:rPr>
          <w:rFonts w:ascii="宋体" w:hAnsi="宋体" w:eastAsia="宋体" w:cs="宋体"/>
          <w:b/>
          <w:color w:val="auto"/>
          <w:sz w:val="32"/>
          <w:szCs w:val="32"/>
          <w:highlight w:val="none"/>
        </w:rPr>
      </w:pPr>
      <w:r>
        <w:rPr>
          <w:rFonts w:hint="eastAsia" w:ascii="宋体" w:hAnsi="宋体" w:eastAsia="宋体" w:cs="宋体"/>
          <w:b/>
          <w:color w:val="auto"/>
          <w:sz w:val="32"/>
          <w:szCs w:val="30"/>
          <w:highlight w:val="none"/>
        </w:rPr>
        <w:t>杭州博望建设工程招标投标代理有限公司</w:t>
      </w:r>
    </w:p>
    <w:p w14:paraId="3207D09C">
      <w:pPr>
        <w:jc w:val="center"/>
        <w:rPr>
          <w:rFonts w:ascii="宋体" w:hAnsi="宋体" w:eastAsia="宋体" w:cs="宋体"/>
          <w:b/>
          <w:color w:val="auto"/>
          <w:sz w:val="36"/>
          <w:highlight w:val="none"/>
        </w:rPr>
      </w:pPr>
      <w:r>
        <w:rPr>
          <w:rFonts w:hint="eastAsia" w:ascii="宋体" w:hAnsi="宋体" w:eastAsia="宋体" w:cs="宋体"/>
          <w:b/>
          <w:color w:val="auto"/>
          <w:sz w:val="36"/>
          <w:highlight w:val="none"/>
        </w:rPr>
        <w:t>2025年01月</w:t>
      </w:r>
      <w:r>
        <w:rPr>
          <w:rFonts w:hint="eastAsia" w:ascii="宋体" w:hAnsi="宋体" w:eastAsia="宋体" w:cs="宋体"/>
          <w:b/>
          <w:color w:val="auto"/>
          <w:sz w:val="36"/>
          <w:highlight w:val="none"/>
          <w:lang w:val="en-US" w:eastAsia="zh-CN"/>
        </w:rPr>
        <w:t>14</w:t>
      </w:r>
      <w:r>
        <w:rPr>
          <w:rFonts w:hint="eastAsia" w:ascii="宋体" w:hAnsi="宋体" w:eastAsia="宋体" w:cs="宋体"/>
          <w:b/>
          <w:color w:val="auto"/>
          <w:sz w:val="36"/>
          <w:highlight w:val="none"/>
        </w:rPr>
        <w:t>日</w:t>
      </w:r>
    </w:p>
    <w:p w14:paraId="2CCD7E48">
      <w:pPr>
        <w:spacing w:line="276" w:lineRule="auto"/>
        <w:rPr>
          <w:rFonts w:ascii="宋体" w:hAnsi="宋体" w:eastAsia="宋体" w:cs="宋体"/>
          <w:b/>
          <w:smallCaps/>
          <w:color w:val="auto"/>
          <w:spacing w:val="5"/>
          <w:sz w:val="36"/>
          <w:szCs w:val="36"/>
          <w:highlight w:val="none"/>
        </w:rPr>
      </w:pPr>
      <w:r>
        <w:rPr>
          <w:rFonts w:hint="eastAsia" w:ascii="宋体" w:hAnsi="宋体" w:eastAsia="宋体" w:cs="宋体"/>
          <w:color w:val="auto"/>
          <w:highlight w:val="none"/>
        </w:rPr>
        <w:br w:type="page"/>
      </w:r>
    </w:p>
    <w:p w14:paraId="0A7F6B0B">
      <w:pPr>
        <w:pStyle w:val="5"/>
        <w:jc w:val="center"/>
        <w:rPr>
          <w:rFonts w:ascii="宋体" w:hAnsi="宋体" w:eastAsia="宋体" w:cs="宋体"/>
          <w:color w:val="auto"/>
          <w:highlight w:val="none"/>
        </w:rPr>
      </w:pPr>
      <w:r>
        <w:rPr>
          <w:rFonts w:hint="eastAsia" w:ascii="宋体" w:hAnsi="宋体" w:eastAsia="宋体" w:cs="宋体"/>
          <w:color w:val="auto"/>
          <w:highlight w:val="none"/>
        </w:rPr>
        <w:t>目  录</w:t>
      </w:r>
    </w:p>
    <w:p w14:paraId="0E8CD10F">
      <w:pPr>
        <w:rPr>
          <w:rFonts w:ascii="宋体" w:hAnsi="宋体" w:eastAsia="宋体" w:cs="宋体"/>
          <w:color w:val="auto"/>
          <w:highlight w:val="none"/>
        </w:rPr>
      </w:pPr>
    </w:p>
    <w:p w14:paraId="56BC8233">
      <w:pPr>
        <w:rPr>
          <w:rFonts w:ascii="宋体" w:hAnsi="宋体" w:eastAsia="宋体" w:cs="宋体"/>
          <w:color w:val="auto"/>
          <w:highlight w:val="none"/>
        </w:rPr>
      </w:pPr>
    </w:p>
    <w:p w14:paraId="22635741">
      <w:pPr>
        <w:rPr>
          <w:rFonts w:ascii="宋体" w:hAnsi="宋体" w:eastAsia="宋体" w:cs="宋体"/>
          <w:color w:val="auto"/>
          <w:sz w:val="32"/>
          <w:highlight w:val="none"/>
        </w:rPr>
      </w:pPr>
      <w:r>
        <w:rPr>
          <w:rFonts w:hint="eastAsia" w:ascii="宋体" w:hAnsi="宋体" w:eastAsia="宋体" w:cs="宋体"/>
          <w:color w:val="auto"/>
          <w:sz w:val="32"/>
          <w:highlight w:val="none"/>
        </w:rPr>
        <w:t>第一部分      招标公告</w:t>
      </w:r>
    </w:p>
    <w:p w14:paraId="31E6542E">
      <w:pPr>
        <w:rPr>
          <w:rFonts w:ascii="宋体" w:hAnsi="宋体" w:eastAsia="宋体" w:cs="宋体"/>
          <w:color w:val="auto"/>
          <w:sz w:val="32"/>
          <w:highlight w:val="none"/>
        </w:rPr>
      </w:pPr>
      <w:r>
        <w:rPr>
          <w:rFonts w:hint="eastAsia" w:ascii="宋体" w:hAnsi="宋体" w:eastAsia="宋体" w:cs="宋体"/>
          <w:color w:val="auto"/>
          <w:sz w:val="32"/>
          <w:highlight w:val="none"/>
        </w:rPr>
        <w:t>第二部分      投标人须知</w:t>
      </w:r>
    </w:p>
    <w:p w14:paraId="1ADDCCB0">
      <w:pPr>
        <w:rPr>
          <w:rFonts w:ascii="宋体" w:hAnsi="宋体" w:eastAsia="宋体" w:cs="宋体"/>
          <w:color w:val="auto"/>
          <w:sz w:val="32"/>
          <w:highlight w:val="none"/>
        </w:rPr>
      </w:pPr>
      <w:r>
        <w:rPr>
          <w:rFonts w:hint="eastAsia" w:ascii="宋体" w:hAnsi="宋体" w:eastAsia="宋体" w:cs="宋体"/>
          <w:color w:val="auto"/>
          <w:sz w:val="32"/>
          <w:highlight w:val="none"/>
        </w:rPr>
        <w:t>第三部分      采购需求</w:t>
      </w:r>
    </w:p>
    <w:p w14:paraId="4CAD4A74">
      <w:pPr>
        <w:rPr>
          <w:rFonts w:ascii="宋体" w:hAnsi="宋体" w:eastAsia="宋体" w:cs="宋体"/>
          <w:color w:val="auto"/>
          <w:sz w:val="32"/>
          <w:highlight w:val="none"/>
        </w:rPr>
      </w:pPr>
      <w:r>
        <w:rPr>
          <w:rFonts w:hint="eastAsia" w:ascii="宋体" w:hAnsi="宋体" w:eastAsia="宋体" w:cs="宋体"/>
          <w:color w:val="auto"/>
          <w:sz w:val="32"/>
          <w:highlight w:val="none"/>
        </w:rPr>
        <w:t>第四部分      评标办法</w:t>
      </w:r>
    </w:p>
    <w:p w14:paraId="21B4E191">
      <w:pPr>
        <w:rPr>
          <w:rFonts w:ascii="宋体" w:hAnsi="宋体" w:eastAsia="宋体" w:cs="宋体"/>
          <w:color w:val="auto"/>
          <w:sz w:val="32"/>
          <w:highlight w:val="none"/>
        </w:rPr>
      </w:pPr>
      <w:r>
        <w:rPr>
          <w:rFonts w:hint="eastAsia" w:ascii="宋体" w:hAnsi="宋体" w:eastAsia="宋体" w:cs="宋体"/>
          <w:color w:val="auto"/>
          <w:sz w:val="32"/>
          <w:highlight w:val="none"/>
        </w:rPr>
        <w:t>第五部分      拟签订的合同文本</w:t>
      </w:r>
    </w:p>
    <w:p w14:paraId="12DEA061">
      <w:pPr>
        <w:rPr>
          <w:rFonts w:ascii="宋体" w:hAnsi="宋体" w:eastAsia="宋体" w:cs="宋体"/>
          <w:color w:val="auto"/>
          <w:sz w:val="32"/>
          <w:highlight w:val="none"/>
        </w:rPr>
      </w:pPr>
      <w:r>
        <w:rPr>
          <w:rFonts w:hint="eastAsia" w:ascii="宋体" w:hAnsi="宋体" w:eastAsia="宋体" w:cs="宋体"/>
          <w:color w:val="auto"/>
          <w:sz w:val="32"/>
          <w:highlight w:val="none"/>
        </w:rPr>
        <w:t>第六部分      应提交的有关格式范例</w:t>
      </w:r>
    </w:p>
    <w:p w14:paraId="0445B961">
      <w:pPr>
        <w:spacing w:line="276" w:lineRule="auto"/>
        <w:rPr>
          <w:rFonts w:ascii="宋体" w:hAnsi="宋体" w:eastAsia="宋体" w:cs="宋体"/>
          <w:color w:val="auto"/>
          <w:sz w:val="32"/>
          <w:highlight w:val="none"/>
        </w:rPr>
      </w:pPr>
    </w:p>
    <w:p w14:paraId="44212981">
      <w:pPr>
        <w:spacing w:line="276" w:lineRule="auto"/>
        <w:rPr>
          <w:rFonts w:ascii="宋体" w:hAnsi="宋体" w:eastAsia="宋体" w:cs="宋体"/>
          <w:b/>
          <w:smallCaps/>
          <w:color w:val="auto"/>
          <w:spacing w:val="5"/>
          <w:sz w:val="36"/>
          <w:szCs w:val="36"/>
          <w:highlight w:val="none"/>
        </w:rPr>
      </w:pPr>
      <w:r>
        <w:rPr>
          <w:rFonts w:hint="eastAsia" w:ascii="宋体" w:hAnsi="宋体" w:eastAsia="宋体" w:cs="宋体"/>
          <w:color w:val="auto"/>
          <w:highlight w:val="none"/>
        </w:rPr>
        <w:br w:type="page"/>
      </w:r>
    </w:p>
    <w:p w14:paraId="22D153B0">
      <w:pPr>
        <w:pStyle w:val="5"/>
        <w:jc w:val="center"/>
        <w:rPr>
          <w:rFonts w:ascii="宋体" w:hAnsi="宋体" w:eastAsia="宋体" w:cs="宋体"/>
          <w:color w:val="auto"/>
          <w:highlight w:val="none"/>
        </w:rPr>
      </w:pPr>
      <w:r>
        <w:rPr>
          <w:rFonts w:hint="eastAsia" w:ascii="宋体" w:hAnsi="宋体" w:eastAsia="宋体" w:cs="宋体"/>
          <w:color w:val="auto"/>
          <w:highlight w:val="none"/>
        </w:rPr>
        <w:t>第一部分  招标公告</w:t>
      </w:r>
    </w:p>
    <w:p w14:paraId="62600460">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一、项目基本情况</w:t>
      </w:r>
    </w:p>
    <w:p w14:paraId="0BC72537">
      <w:pPr>
        <w:widowControl w:val="0"/>
        <w:adjustRightInd w:val="0"/>
        <w:spacing w:after="0" w:line="360" w:lineRule="auto"/>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项目编号：萧开企采（2024）89号</w:t>
      </w:r>
    </w:p>
    <w:p w14:paraId="6E2DE42C">
      <w:pPr>
        <w:widowControl w:val="0"/>
        <w:adjustRightInd w:val="0"/>
        <w:spacing w:after="0" w:line="360" w:lineRule="auto"/>
        <w:ind w:firstLine="480" w:firstLineChars="200"/>
        <w:jc w:val="both"/>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rPr>
        <w:t>项目名称：</w:t>
      </w:r>
      <w:r>
        <w:rPr>
          <w:rFonts w:hint="eastAsia" w:ascii="宋体" w:hAnsi="宋体" w:eastAsia="宋体" w:cs="宋体"/>
          <w:color w:val="auto"/>
          <w:kern w:val="2"/>
          <w:highlight w:val="none"/>
          <w:lang w:eastAsia="zh-CN"/>
        </w:rPr>
        <w:t>市北区块及科技城区块公寓居住类家具采购</w:t>
      </w:r>
    </w:p>
    <w:p w14:paraId="32520DC3">
      <w:pPr>
        <w:widowControl w:val="0"/>
        <w:adjustRightInd w:val="0"/>
        <w:spacing w:after="0" w:line="360" w:lineRule="auto"/>
        <w:ind w:firstLine="480" w:firstLineChars="200"/>
        <w:jc w:val="both"/>
        <w:rPr>
          <w:rFonts w:hint="default" w:ascii="宋体" w:hAnsi="宋体" w:eastAsia="宋体" w:cs="宋体"/>
          <w:color w:val="auto"/>
          <w:kern w:val="2"/>
          <w:highlight w:val="none"/>
          <w:lang w:val="en-US" w:eastAsia="zh-CN"/>
        </w:rPr>
      </w:pPr>
      <w:r>
        <w:rPr>
          <w:rFonts w:hint="eastAsia" w:ascii="宋体" w:hAnsi="宋体" w:eastAsia="宋体" w:cs="宋体"/>
          <w:color w:val="auto"/>
          <w:kern w:val="2"/>
          <w:highlight w:val="none"/>
        </w:rPr>
        <w:t>预算金额：</w:t>
      </w:r>
      <w:r>
        <w:rPr>
          <w:rFonts w:hint="eastAsia" w:ascii="宋体" w:hAnsi="宋体" w:eastAsia="宋体" w:cs="宋体"/>
          <w:color w:val="auto"/>
          <w:kern w:val="2"/>
          <w:highlight w:val="none"/>
          <w:lang w:eastAsia="zh-CN"/>
        </w:rPr>
        <w:t>标项</w:t>
      </w: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1200.00万元</w:t>
      </w:r>
      <w:r>
        <w:rPr>
          <w:rFonts w:hint="eastAsia" w:ascii="宋体" w:hAnsi="宋体" w:eastAsia="宋体" w:cs="宋体"/>
          <w:color w:val="auto"/>
          <w:kern w:val="2"/>
          <w:highlight w:val="none"/>
          <w:lang w:eastAsia="zh-CN"/>
        </w:rPr>
        <w:t>；标项</w:t>
      </w:r>
      <w:r>
        <w:rPr>
          <w:rFonts w:hint="eastAsia" w:ascii="宋体" w:hAnsi="宋体" w:eastAsia="宋体" w:cs="宋体"/>
          <w:color w:val="auto"/>
          <w:kern w:val="2"/>
          <w:highlight w:val="none"/>
          <w:lang w:val="en-US" w:eastAsia="zh-CN"/>
        </w:rPr>
        <w:t>2：700.00万元</w:t>
      </w:r>
    </w:p>
    <w:p w14:paraId="08888106">
      <w:pPr>
        <w:widowControl w:val="0"/>
        <w:adjustRightInd w:val="0"/>
        <w:spacing w:after="0" w:line="360" w:lineRule="auto"/>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最高限价：</w:t>
      </w:r>
      <w:r>
        <w:rPr>
          <w:rFonts w:hint="eastAsia" w:ascii="宋体" w:hAnsi="宋体" w:eastAsia="宋体" w:cs="宋体"/>
          <w:color w:val="auto"/>
          <w:kern w:val="2"/>
          <w:highlight w:val="none"/>
          <w:lang w:eastAsia="zh-CN"/>
        </w:rPr>
        <w:t>标项</w:t>
      </w: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1200.00万元</w:t>
      </w:r>
      <w:r>
        <w:rPr>
          <w:rFonts w:hint="eastAsia" w:ascii="宋体" w:hAnsi="宋体" w:eastAsia="宋体" w:cs="宋体"/>
          <w:color w:val="auto"/>
          <w:kern w:val="2"/>
          <w:highlight w:val="none"/>
          <w:lang w:eastAsia="zh-CN"/>
        </w:rPr>
        <w:t>；标项</w:t>
      </w:r>
      <w:r>
        <w:rPr>
          <w:rFonts w:hint="eastAsia" w:ascii="宋体" w:hAnsi="宋体" w:eastAsia="宋体" w:cs="宋体"/>
          <w:color w:val="auto"/>
          <w:kern w:val="2"/>
          <w:highlight w:val="none"/>
          <w:lang w:val="en-US" w:eastAsia="zh-CN"/>
        </w:rPr>
        <w:t>2：700.00万元</w:t>
      </w:r>
    </w:p>
    <w:p w14:paraId="6FD5A067">
      <w:pPr>
        <w:widowControl w:val="0"/>
        <w:adjustRightInd w:val="0"/>
        <w:spacing w:after="0" w:line="360" w:lineRule="auto"/>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招标需求：</w:t>
      </w:r>
      <w:r>
        <w:rPr>
          <w:rFonts w:hint="eastAsia" w:ascii="宋体" w:hAnsi="宋体" w:eastAsia="宋体" w:cs="宋体"/>
          <w:color w:val="auto"/>
          <w:kern w:val="2"/>
          <w:highlight w:val="none"/>
          <w:lang w:eastAsia="zh-CN"/>
        </w:rPr>
        <w:t>市北区块及科技城区块公寓居住类家具采购</w:t>
      </w:r>
      <w:r>
        <w:rPr>
          <w:rFonts w:hint="eastAsia" w:ascii="宋体" w:hAnsi="宋体" w:eastAsia="宋体" w:cs="宋体"/>
          <w:color w:val="auto"/>
          <w:kern w:val="2"/>
          <w:highlight w:val="none"/>
        </w:rPr>
        <w:t>，</w:t>
      </w:r>
      <w:r>
        <w:rPr>
          <w:rFonts w:hint="eastAsia" w:ascii="宋体" w:hAnsi="宋体" w:eastAsia="宋体" w:cs="宋体"/>
          <w:color w:val="auto"/>
          <w:kern w:val="2"/>
          <w:highlight w:val="none"/>
          <w:lang w:val="en-US" w:eastAsia="zh-CN"/>
        </w:rPr>
        <w:t>各</w:t>
      </w:r>
      <w:r>
        <w:rPr>
          <w:rFonts w:hint="eastAsia" w:ascii="宋体" w:hAnsi="宋体" w:eastAsia="宋体" w:cs="宋体"/>
          <w:color w:val="auto"/>
          <w:kern w:val="2"/>
          <w:highlight w:val="none"/>
        </w:rPr>
        <w:t>1批。详见招标文件第三部分采购需求。</w:t>
      </w:r>
    </w:p>
    <w:p w14:paraId="2D7EB2B1">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合同履约期限：详见招标文件第三部分采购需求</w:t>
      </w:r>
    </w:p>
    <w:p w14:paraId="752E81EF">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本项目接受联合体投标：（ ）是；（√）否 。</w:t>
      </w:r>
    </w:p>
    <w:p w14:paraId="2C24EC45">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二、资格要求：</w:t>
      </w:r>
    </w:p>
    <w:p w14:paraId="46DF0762">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1、具有独立承担民事责任的能力；</w:t>
      </w:r>
    </w:p>
    <w:p w14:paraId="3A42CEB9">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2、具有良好的商业信誉和健全的财务会计制度；</w:t>
      </w:r>
    </w:p>
    <w:p w14:paraId="1809B3A4">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3、具有履行合同所必需的设备和专业技术能力；</w:t>
      </w:r>
    </w:p>
    <w:p w14:paraId="5C218020">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4、有依法缴纳税收和社会保障资金的良好记录；</w:t>
      </w:r>
    </w:p>
    <w:p w14:paraId="501AF04A">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5、参加交易活动前三年内，在经营活动中没有重大违法记录；</w:t>
      </w:r>
    </w:p>
    <w:p w14:paraId="0C800A8A">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6、法律、行政法规规定的其他条件；</w:t>
      </w:r>
    </w:p>
    <w:p w14:paraId="564B1B6E">
      <w:pPr>
        <w:widowControl w:val="0"/>
        <w:adjustRightInd w:val="0"/>
        <w:spacing w:after="0" w:line="360" w:lineRule="auto"/>
        <w:ind w:firstLine="420" w:firstLineChars="175"/>
        <w:jc w:val="both"/>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rPr>
        <w:t>7、本项目的特定资格要求：无</w:t>
      </w:r>
      <w:r>
        <w:rPr>
          <w:rFonts w:hint="eastAsia" w:ascii="宋体" w:hAnsi="宋体" w:eastAsia="宋体" w:cs="宋体"/>
          <w:color w:val="auto"/>
          <w:kern w:val="2"/>
          <w:highlight w:val="none"/>
          <w:lang w:eastAsia="zh-CN"/>
        </w:rPr>
        <w:t>。</w:t>
      </w:r>
    </w:p>
    <w:p w14:paraId="7C5BA3B2">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 xml:space="preserve">三、获取招标文件 </w:t>
      </w:r>
    </w:p>
    <w:p w14:paraId="5D0465CE">
      <w:pPr>
        <w:widowControl w:val="0"/>
        <w:adjustRightInd w:val="0"/>
        <w:spacing w:after="0" w:line="360" w:lineRule="auto"/>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时间：/至2025年0</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月</w:t>
      </w:r>
      <w:r>
        <w:rPr>
          <w:rFonts w:hint="eastAsia" w:ascii="宋体" w:hAnsi="宋体" w:eastAsia="宋体" w:cs="宋体"/>
          <w:color w:val="auto"/>
          <w:kern w:val="2"/>
          <w:highlight w:val="none"/>
          <w:lang w:val="en-US" w:eastAsia="zh-CN"/>
        </w:rPr>
        <w:t>11</w:t>
      </w:r>
      <w:r>
        <w:rPr>
          <w:rFonts w:hint="eastAsia" w:ascii="宋体" w:hAnsi="宋体" w:eastAsia="宋体" w:cs="宋体"/>
          <w:color w:val="auto"/>
          <w:kern w:val="2"/>
          <w:highlight w:val="none"/>
        </w:rPr>
        <w:t>日，每天上午00:00至12:00 ，下午12:00至23:59（北京时间，线上获取法定节假日均可）</w:t>
      </w:r>
    </w:p>
    <w:p w14:paraId="618124CD">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地点（网址）：乐采云平台（www.lecaiyun.com） </w:t>
      </w:r>
    </w:p>
    <w:p w14:paraId="3109888F">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方式：供应商</w:t>
      </w:r>
      <w:r>
        <w:rPr>
          <w:rFonts w:hint="eastAsia" w:ascii="宋体" w:hAnsi="宋体" w:eastAsia="宋体" w:cs="宋体"/>
          <w:color w:val="auto"/>
          <w:highlight w:val="none"/>
        </w:rPr>
        <w:t>登录乐采云平台（www.lecaiyun.com）</w:t>
      </w:r>
      <w:r>
        <w:rPr>
          <w:rFonts w:hint="eastAsia" w:ascii="宋体" w:hAnsi="宋体" w:eastAsia="宋体" w:cs="宋体"/>
          <w:color w:val="auto"/>
          <w:kern w:val="2"/>
          <w:highlight w:val="none"/>
        </w:rPr>
        <w:t xml:space="preserve">在线申请获取采购文件（进入“项目采购”应用，在获取采购文件菜单中选择项目，申请获取采购文件）。 </w:t>
      </w:r>
    </w:p>
    <w:p w14:paraId="4C79F316">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售价（元）：0</w:t>
      </w:r>
    </w:p>
    <w:p w14:paraId="771F71AD">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四、提交投标文件截止时间、开标时间和地点</w:t>
      </w:r>
    </w:p>
    <w:p w14:paraId="4DA45B1A">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ascii="宋体" w:hAnsi="宋体" w:eastAsia="宋体" w:cs="宋体"/>
          <w:color w:val="auto"/>
          <w:kern w:val="2"/>
          <w:highlight w:val="none"/>
        </w:rPr>
      </w:pPr>
      <w:r>
        <w:rPr>
          <w:rFonts w:hint="eastAsia" w:ascii="宋体" w:hAnsi="宋体" w:eastAsia="宋体" w:cs="宋体"/>
          <w:color w:val="auto"/>
          <w:kern w:val="2"/>
          <w:highlight w:val="none"/>
        </w:rPr>
        <w:t>提交投标文件截止时间：2025年0</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月</w:t>
      </w:r>
      <w:r>
        <w:rPr>
          <w:rFonts w:hint="eastAsia" w:ascii="宋体" w:hAnsi="宋体" w:eastAsia="宋体" w:cs="宋体"/>
          <w:color w:val="auto"/>
          <w:kern w:val="2"/>
          <w:highlight w:val="none"/>
          <w:lang w:val="en-US" w:eastAsia="zh-CN"/>
        </w:rPr>
        <w:t>11</w:t>
      </w:r>
      <w:r>
        <w:rPr>
          <w:rFonts w:hint="eastAsia" w:ascii="宋体" w:hAnsi="宋体" w:eastAsia="宋体" w:cs="宋体"/>
          <w:color w:val="auto"/>
          <w:kern w:val="2"/>
          <w:highlight w:val="none"/>
        </w:rPr>
        <w:t>日9点30分（北京时间）</w:t>
      </w:r>
    </w:p>
    <w:p w14:paraId="307408B2">
      <w:pPr>
        <w:keepNext w:val="0"/>
        <w:keepLines w:val="0"/>
        <w:pageBreakBefore w:val="0"/>
        <w:kinsoku/>
        <w:wordWrap/>
        <w:overflowPunct/>
        <w:topLinePunct w:val="0"/>
        <w:autoSpaceDE/>
        <w:autoSpaceDN/>
        <w:bidi w:val="0"/>
        <w:snapToGrid/>
        <w:spacing w:line="360" w:lineRule="auto"/>
        <w:ind w:firstLine="480" w:firstLineChars="200"/>
        <w:textAlignment w:val="auto"/>
        <w:rPr>
          <w:rFonts w:ascii="宋体" w:hAnsi="宋体" w:eastAsia="宋体" w:cs="宋体"/>
          <w:color w:val="auto"/>
          <w:kern w:val="2"/>
          <w:highlight w:val="none"/>
        </w:rPr>
      </w:pPr>
      <w:r>
        <w:rPr>
          <w:rFonts w:hint="eastAsia" w:ascii="宋体" w:hAnsi="宋体" w:eastAsia="宋体" w:cs="宋体"/>
          <w:color w:val="auto"/>
          <w:kern w:val="2"/>
          <w:highlight w:val="none"/>
        </w:rPr>
        <w:t>投标地点（网址）：</w:t>
      </w:r>
      <w:r>
        <w:rPr>
          <w:rFonts w:hint="eastAsia" w:ascii="宋体" w:hAnsi="宋体" w:eastAsia="宋体" w:cs="宋体"/>
          <w:color w:val="auto"/>
          <w:highlight w:val="none"/>
        </w:rPr>
        <w:t xml:space="preserve">乐采云平台（www.lecaiyun.com） </w:t>
      </w:r>
      <w:r>
        <w:rPr>
          <w:rFonts w:hint="eastAsia" w:ascii="宋体" w:hAnsi="宋体" w:eastAsia="宋体" w:cs="宋体"/>
          <w:color w:val="auto"/>
          <w:kern w:val="2"/>
          <w:highlight w:val="none"/>
        </w:rPr>
        <w:t xml:space="preserve"> </w:t>
      </w:r>
    </w:p>
    <w:p w14:paraId="50C61FA8">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ascii="宋体" w:hAnsi="宋体" w:eastAsia="宋体" w:cs="宋体"/>
          <w:color w:val="auto"/>
          <w:kern w:val="2"/>
          <w:highlight w:val="none"/>
        </w:rPr>
      </w:pPr>
      <w:r>
        <w:rPr>
          <w:rFonts w:hint="eastAsia" w:ascii="宋体" w:hAnsi="宋体" w:eastAsia="宋体" w:cs="宋体"/>
          <w:color w:val="auto"/>
          <w:kern w:val="2"/>
          <w:highlight w:val="none"/>
        </w:rPr>
        <w:t>开标时间：2025年0</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月</w:t>
      </w:r>
      <w:r>
        <w:rPr>
          <w:rFonts w:hint="eastAsia" w:ascii="宋体" w:hAnsi="宋体" w:eastAsia="宋体" w:cs="宋体"/>
          <w:color w:val="auto"/>
          <w:kern w:val="2"/>
          <w:highlight w:val="none"/>
          <w:lang w:val="en-US" w:eastAsia="zh-CN"/>
        </w:rPr>
        <w:t>11</w:t>
      </w:r>
      <w:r>
        <w:rPr>
          <w:rFonts w:hint="eastAsia" w:ascii="宋体" w:hAnsi="宋体" w:eastAsia="宋体" w:cs="宋体"/>
          <w:color w:val="auto"/>
          <w:kern w:val="2"/>
          <w:highlight w:val="none"/>
        </w:rPr>
        <w:t xml:space="preserve">日9点30分 </w:t>
      </w:r>
    </w:p>
    <w:p w14:paraId="76639A4D">
      <w:pPr>
        <w:keepNext w:val="0"/>
        <w:keepLines w:val="0"/>
        <w:pageBreakBefore w:val="0"/>
        <w:kinsoku/>
        <w:wordWrap/>
        <w:overflowPunct/>
        <w:topLinePunct w:val="0"/>
        <w:autoSpaceDE/>
        <w:autoSpaceDN/>
        <w:bidi w:val="0"/>
        <w:snapToGrid/>
        <w:spacing w:line="360" w:lineRule="auto"/>
        <w:ind w:firstLine="480" w:firstLineChars="200"/>
        <w:textAlignment w:val="auto"/>
        <w:rPr>
          <w:rFonts w:ascii="宋体" w:hAnsi="宋体" w:eastAsia="宋体" w:cs="宋体"/>
          <w:color w:val="auto"/>
          <w:kern w:val="2"/>
          <w:highlight w:val="none"/>
        </w:rPr>
      </w:pPr>
      <w:r>
        <w:rPr>
          <w:rFonts w:hint="eastAsia" w:ascii="宋体" w:hAnsi="宋体" w:eastAsia="宋体" w:cs="宋体"/>
          <w:color w:val="auto"/>
          <w:kern w:val="2"/>
          <w:highlight w:val="none"/>
        </w:rPr>
        <w:t>开标地点（网址）：</w:t>
      </w:r>
      <w:r>
        <w:rPr>
          <w:rFonts w:hint="eastAsia" w:ascii="宋体" w:hAnsi="宋体" w:eastAsia="宋体" w:cs="宋体"/>
          <w:color w:val="auto"/>
          <w:highlight w:val="none"/>
        </w:rPr>
        <w:t>乐采云平台（www.lecaiyun.com）</w:t>
      </w:r>
      <w:r>
        <w:rPr>
          <w:rFonts w:hint="eastAsia" w:ascii="宋体" w:hAnsi="宋体" w:eastAsia="宋体" w:cs="宋体"/>
          <w:color w:val="auto"/>
          <w:kern w:val="2"/>
          <w:highlight w:val="none"/>
        </w:rPr>
        <w:t>。</w:t>
      </w:r>
    </w:p>
    <w:p w14:paraId="05195BA8">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 xml:space="preserve">五、公告期限 </w:t>
      </w:r>
    </w:p>
    <w:p w14:paraId="66EDE888">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自本公告发布之日起5个工作日。</w:t>
      </w:r>
    </w:p>
    <w:p w14:paraId="16ED07DE">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六、其他补充事宜</w:t>
      </w:r>
    </w:p>
    <w:p w14:paraId="4EB11B38">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w:t>
      </w:r>
    </w:p>
    <w:p w14:paraId="3AA7EA25">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2.其他事项：（1）电子招投标的说明：①电子招投标：本项目以数据电文形式，依托“</w:t>
      </w:r>
      <w:r>
        <w:rPr>
          <w:rFonts w:hint="eastAsia" w:ascii="宋体" w:hAnsi="宋体" w:eastAsia="宋体" w:cs="宋体"/>
          <w:color w:val="auto"/>
          <w:highlight w:val="none"/>
        </w:rPr>
        <w:t>乐采云平台（www.lecaiyun.com）</w:t>
      </w:r>
      <w:r>
        <w:rPr>
          <w:rFonts w:hint="eastAsia" w:ascii="宋体" w:hAnsi="宋体" w:eastAsia="宋体" w:cs="宋体"/>
          <w:color w:val="auto"/>
          <w:kern w:val="2"/>
          <w:highlight w:val="none"/>
        </w:rPr>
        <w:t>”进行招投标活动，不接受纸质投标文件；②投标准备：注册账号－－点击“商家入驻”，进行采购供应商资料填写；申领CA数字证书－－申领流程详见“浙江企业采购信息服务网－－在线下载－－电子交易客户端-CA驱动和申领流程”；安装“</w:t>
      </w:r>
      <w:r>
        <w:rPr>
          <w:rFonts w:hint="eastAsia" w:ascii="宋体" w:hAnsi="宋体" w:eastAsia="宋体" w:cs="宋体"/>
          <w:color w:val="auto"/>
          <w:highlight w:val="none"/>
        </w:rPr>
        <w:t>乐采云电子交易客户端</w:t>
      </w:r>
      <w:r>
        <w:rPr>
          <w:rFonts w:hint="eastAsia" w:ascii="宋体" w:hAnsi="宋体" w:eastAsia="宋体" w:cs="宋体"/>
          <w:color w:val="auto"/>
          <w:kern w:val="2"/>
          <w:highlight w:val="none"/>
        </w:rPr>
        <w:t>”----前往“浙江企业采购信息服务网－－在线下载－－电子交易客户端”进行下载并安装；③招标文件的获取：使用账号登录或者使用CA登录</w:t>
      </w:r>
      <w:r>
        <w:rPr>
          <w:rFonts w:hint="eastAsia" w:ascii="宋体" w:hAnsi="宋体" w:eastAsia="宋体" w:cs="宋体"/>
          <w:color w:val="auto"/>
          <w:highlight w:val="none"/>
        </w:rPr>
        <w:t>乐采云平台</w:t>
      </w:r>
      <w:r>
        <w:rPr>
          <w:rFonts w:hint="eastAsia" w:ascii="宋体" w:hAnsi="宋体" w:eastAsia="宋体" w:cs="宋体"/>
          <w:color w:val="auto"/>
          <w:kern w:val="2"/>
          <w:highlight w:val="none"/>
        </w:rPr>
        <w:t>；进入“项目采购”应用，在获取采购文件菜单中选择项目，获取招标文件；④投标文件的制作：在“乐采云电子交易客户端”中完成“填写基本信息”、“导入投标文件”、“标书关联”、“标书检查”、“电子签名”、“生成电子标书”等操作；⑤采购人、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购云平台；⑨投标文件的解密：投标人按照平台提示和招标文件的规定在半小时内完成在线解密。通过“</w:t>
      </w:r>
      <w:r>
        <w:rPr>
          <w:rFonts w:hint="eastAsia" w:ascii="宋体" w:hAnsi="宋体" w:eastAsia="宋体" w:cs="宋体"/>
          <w:color w:val="auto"/>
          <w:highlight w:val="none"/>
        </w:rPr>
        <w:t>乐采云平台</w:t>
      </w:r>
      <w:r>
        <w:rPr>
          <w:rFonts w:hint="eastAsia" w:ascii="宋体" w:hAnsi="宋体" w:eastAsia="宋体" w:cs="宋体"/>
          <w:color w:val="auto"/>
          <w:kern w:val="2"/>
          <w:highlight w:val="none"/>
        </w:rPr>
        <w:t>”上传递交的投标文件无法按时解密，视为投标文件撤回。⑩具体操作指南：详见乐采云平台“服务中心-帮助文档-项目采购-操作流程-电子招投标-采购项目电子交易管理操作指南-供应商”。</w:t>
      </w:r>
    </w:p>
    <w:p w14:paraId="77FF64EC">
      <w:pPr>
        <w:widowControl w:val="0"/>
        <w:adjustRightInd w:val="0"/>
        <w:spacing w:after="0" w:line="360" w:lineRule="auto"/>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七、对本次采购提出询问、质疑、投诉，请按以下方式联系</w:t>
      </w:r>
    </w:p>
    <w:p w14:paraId="4282A8FA">
      <w:pPr>
        <w:widowControl w:val="0"/>
        <w:adjustRightInd w:val="0"/>
        <w:spacing w:after="0" w:line="360" w:lineRule="auto"/>
        <w:ind w:firstLine="420" w:firstLineChars="175"/>
        <w:jc w:val="both"/>
        <w:rPr>
          <w:rFonts w:ascii="宋体" w:hAnsi="宋体" w:eastAsia="宋体" w:cs="宋体"/>
          <w:color w:val="auto"/>
          <w:kern w:val="2"/>
          <w:highlight w:val="none"/>
        </w:rPr>
      </w:pPr>
      <w:bookmarkStart w:id="0" w:name="_Toc28359009"/>
      <w:bookmarkStart w:id="1" w:name="_Toc28359086"/>
      <w:r>
        <w:rPr>
          <w:rFonts w:hint="eastAsia" w:ascii="宋体" w:hAnsi="宋体" w:eastAsia="宋体" w:cs="宋体"/>
          <w:color w:val="auto"/>
          <w:kern w:val="2"/>
          <w:highlight w:val="none"/>
        </w:rPr>
        <w:t>1.采购人信息</w:t>
      </w:r>
    </w:p>
    <w:p w14:paraId="78C3545F">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名称：杭州萧山经济技术开发区国有资产经营有限公司</w:t>
      </w:r>
    </w:p>
    <w:p w14:paraId="42A52B6B">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地址：</w:t>
      </w:r>
      <w:r>
        <w:rPr>
          <w:rFonts w:hint="eastAsia" w:ascii="宋体" w:hAnsi="宋体" w:eastAsia="宋体" w:cs="宋体"/>
          <w:color w:val="auto"/>
          <w:highlight w:val="none"/>
        </w:rPr>
        <w:t>杭州市萧山经济技术开发区建设二路146号</w:t>
      </w:r>
    </w:p>
    <w:p w14:paraId="4AE8ED1D">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项目联系人（询问）：杨佳佳</w:t>
      </w:r>
    </w:p>
    <w:p w14:paraId="6BFBD707">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项目联系方式（询问）：0571-82959775</w:t>
      </w:r>
    </w:p>
    <w:p w14:paraId="4D0BF082">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质疑联系人：祝鑫田</w:t>
      </w:r>
    </w:p>
    <w:p w14:paraId="4026443C">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质疑联系方式：0571-82959756</w:t>
      </w:r>
    </w:p>
    <w:p w14:paraId="180B6DDD">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2.代理机构信息</w:t>
      </w:r>
      <w:bookmarkEnd w:id="0"/>
      <w:bookmarkEnd w:id="1"/>
    </w:p>
    <w:p w14:paraId="43F6804C">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名称：杭州博望建设工程招标投标代理有限公司</w:t>
      </w:r>
    </w:p>
    <w:p w14:paraId="5A19A219">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地址：杭州市萧山区金城路433号天汇园一幢A座5楼</w:t>
      </w:r>
    </w:p>
    <w:p w14:paraId="71429AC2">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传真：0571-83881208</w:t>
      </w:r>
    </w:p>
    <w:p w14:paraId="797ACDCD">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项目联系人（询问）：高华萍</w:t>
      </w:r>
    </w:p>
    <w:p w14:paraId="34BAC699">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项目联系方式（询问）：0571-83881218</w:t>
      </w:r>
    </w:p>
    <w:p w14:paraId="29322B18">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质疑联系人：范梦迪</w:t>
      </w:r>
    </w:p>
    <w:p w14:paraId="0D561828">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质疑联系方式：0571-83881208</w:t>
      </w:r>
    </w:p>
    <w:p w14:paraId="4938E1BB">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3.监督管理部门</w:t>
      </w:r>
    </w:p>
    <w:p w14:paraId="1B87EAB7">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名称：开发区财政局</w:t>
      </w:r>
    </w:p>
    <w:p w14:paraId="2988F4F2">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地址：杭州市萧山区市心北路99号</w:t>
      </w:r>
    </w:p>
    <w:p w14:paraId="42BA09EB">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联系人：</w:t>
      </w:r>
      <w:r>
        <w:rPr>
          <w:rFonts w:hint="eastAsia" w:ascii="宋体" w:hAnsi="宋体" w:eastAsia="宋体" w:cs="宋体"/>
          <w:color w:val="auto"/>
          <w:highlight w:val="none"/>
        </w:rPr>
        <w:t>王先生</w:t>
      </w:r>
    </w:p>
    <w:p w14:paraId="17C893D4">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监督投诉电话：0571-82866806</w:t>
      </w:r>
    </w:p>
    <w:p w14:paraId="4CD6A290">
      <w:pPr>
        <w:widowControl w:val="0"/>
        <w:adjustRightInd w:val="0"/>
        <w:spacing w:after="0" w:line="360" w:lineRule="auto"/>
        <w:ind w:firstLine="420" w:firstLineChars="175"/>
        <w:jc w:val="both"/>
        <w:rPr>
          <w:rFonts w:ascii="宋体" w:hAnsi="宋体" w:eastAsia="宋体" w:cs="宋体"/>
          <w:color w:val="auto"/>
          <w:kern w:val="2"/>
          <w:highlight w:val="none"/>
        </w:rPr>
      </w:pPr>
    </w:p>
    <w:p w14:paraId="11FE7976">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若对项目采购电子交易系统操作有疑问，</w:t>
      </w:r>
      <w:r>
        <w:rPr>
          <w:rFonts w:hint="eastAsia" w:ascii="宋体" w:hAnsi="宋体" w:eastAsia="宋体" w:cs="宋体"/>
          <w:color w:val="auto"/>
          <w:highlight w:val="none"/>
        </w:rPr>
        <w:t>可登录乐采云平台（www.lecaiyun.com）</w:t>
      </w:r>
      <w:r>
        <w:rPr>
          <w:rFonts w:hint="eastAsia" w:ascii="宋体" w:hAnsi="宋体" w:eastAsia="宋体" w:cs="宋体"/>
          <w:color w:val="auto"/>
          <w:kern w:val="2"/>
          <w:highlight w:val="none"/>
        </w:rPr>
        <w:t>，点击右侧咨询小采，获取采小蜜智能服务管家帮助，或拨打乐采云服务热线95763获取热线服务帮助。</w:t>
      </w:r>
    </w:p>
    <w:p w14:paraId="4BA4540A">
      <w:pPr>
        <w:widowControl w:val="0"/>
        <w:adjustRightInd w:val="0"/>
        <w:spacing w:after="0" w:line="360" w:lineRule="auto"/>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CA问题联系电话（人工）：汇信CA 400-888-4636；天谷CA 400-087-8198。</w:t>
      </w:r>
    </w:p>
    <w:p w14:paraId="3B552CBC">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24EF13F5">
      <w:pPr>
        <w:pStyle w:val="5"/>
        <w:jc w:val="center"/>
        <w:rPr>
          <w:rFonts w:ascii="宋体" w:hAnsi="宋体" w:eastAsia="宋体" w:cs="宋体"/>
          <w:color w:val="auto"/>
          <w:highlight w:val="none"/>
        </w:rPr>
      </w:pPr>
      <w:r>
        <w:rPr>
          <w:rFonts w:hint="eastAsia" w:ascii="宋体" w:hAnsi="宋体" w:eastAsia="宋体" w:cs="宋体"/>
          <w:color w:val="auto"/>
          <w:highlight w:val="none"/>
        </w:rPr>
        <w:t>第二部分 投标人须知</w:t>
      </w:r>
    </w:p>
    <w:p w14:paraId="2C2BD376">
      <w:pPr>
        <w:pStyle w:val="6"/>
        <w:rPr>
          <w:rFonts w:ascii="宋体" w:hAnsi="宋体" w:eastAsia="宋体" w:cs="宋体"/>
          <w:color w:val="auto"/>
          <w:highlight w:val="none"/>
        </w:rPr>
      </w:pPr>
      <w:r>
        <w:rPr>
          <w:rFonts w:hint="eastAsia" w:ascii="宋体" w:hAnsi="宋体" w:eastAsia="宋体" w:cs="宋体"/>
          <w:color w:val="auto"/>
          <w:highlight w:val="none"/>
        </w:rPr>
        <w:t>前附表</w:t>
      </w:r>
    </w:p>
    <w:tbl>
      <w:tblPr>
        <w:tblStyle w:val="31"/>
        <w:tblW w:w="52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59"/>
        <w:gridCol w:w="6680"/>
      </w:tblGrid>
      <w:tr w14:paraId="3D94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26" w:type="pct"/>
            <w:tcBorders>
              <w:bottom w:val="single" w:color="auto" w:sz="4" w:space="0"/>
            </w:tcBorders>
            <w:vAlign w:val="center"/>
          </w:tcPr>
          <w:p w14:paraId="0F6BDB9B">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b/>
                <w:bCs/>
                <w:color w:val="auto"/>
                <w:highlight w:val="none"/>
              </w:rPr>
            </w:pPr>
            <w:r>
              <w:rPr>
                <w:rFonts w:hint="eastAsia" w:ascii="宋体" w:hAnsi="宋体" w:eastAsia="宋体" w:cs="宋体"/>
                <w:b/>
                <w:bCs/>
                <w:color w:val="auto"/>
                <w:highlight w:val="none"/>
              </w:rPr>
              <w:t>序号</w:t>
            </w:r>
          </w:p>
        </w:tc>
        <w:tc>
          <w:tcPr>
            <w:tcW w:w="865" w:type="pct"/>
            <w:tcBorders>
              <w:bottom w:val="single" w:color="auto" w:sz="4" w:space="0"/>
            </w:tcBorders>
            <w:vAlign w:val="center"/>
          </w:tcPr>
          <w:p w14:paraId="1B636CDF">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b/>
                <w:bCs/>
                <w:color w:val="auto"/>
                <w:highlight w:val="none"/>
              </w:rPr>
            </w:pPr>
            <w:r>
              <w:rPr>
                <w:rFonts w:hint="eastAsia" w:ascii="宋体" w:hAnsi="宋体" w:eastAsia="宋体" w:cs="宋体"/>
                <w:b/>
                <w:bCs/>
                <w:color w:val="auto"/>
                <w:highlight w:val="none"/>
              </w:rPr>
              <w:t>事项</w:t>
            </w:r>
          </w:p>
        </w:tc>
        <w:tc>
          <w:tcPr>
            <w:tcW w:w="3708" w:type="pct"/>
            <w:tcBorders>
              <w:bottom w:val="single" w:color="auto" w:sz="4" w:space="0"/>
            </w:tcBorders>
            <w:vAlign w:val="center"/>
          </w:tcPr>
          <w:p w14:paraId="410E031F">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b/>
                <w:bCs/>
                <w:color w:val="auto"/>
                <w:highlight w:val="none"/>
              </w:rPr>
            </w:pPr>
            <w:r>
              <w:rPr>
                <w:rFonts w:hint="eastAsia" w:ascii="宋体" w:hAnsi="宋体" w:eastAsia="宋体" w:cs="宋体"/>
                <w:b/>
                <w:bCs/>
                <w:color w:val="auto"/>
                <w:highlight w:val="none"/>
              </w:rPr>
              <w:t>本项目特别规定</w:t>
            </w:r>
          </w:p>
        </w:tc>
      </w:tr>
      <w:tr w14:paraId="186F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14:paraId="0F95A4BD">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w:t>
            </w:r>
          </w:p>
        </w:tc>
        <w:tc>
          <w:tcPr>
            <w:tcW w:w="865" w:type="pct"/>
            <w:tcBorders>
              <w:top w:val="single" w:color="auto" w:sz="4" w:space="0"/>
              <w:left w:val="single" w:color="auto" w:sz="4" w:space="0"/>
              <w:bottom w:val="single" w:color="auto" w:sz="4" w:space="0"/>
              <w:right w:val="single" w:color="auto" w:sz="4" w:space="0"/>
            </w:tcBorders>
            <w:vAlign w:val="center"/>
          </w:tcPr>
          <w:p w14:paraId="4BC85545">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项目属性</w:t>
            </w:r>
          </w:p>
        </w:tc>
        <w:tc>
          <w:tcPr>
            <w:tcW w:w="3708" w:type="pct"/>
            <w:tcBorders>
              <w:top w:val="single" w:color="auto" w:sz="4" w:space="0"/>
              <w:left w:val="single" w:color="auto" w:sz="4" w:space="0"/>
              <w:bottom w:val="single" w:color="auto" w:sz="4" w:space="0"/>
              <w:right w:val="single" w:color="auto" w:sz="4" w:space="0"/>
            </w:tcBorders>
            <w:vAlign w:val="center"/>
          </w:tcPr>
          <w:p w14:paraId="676DD246">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（√）货物类。</w:t>
            </w:r>
          </w:p>
        </w:tc>
      </w:tr>
      <w:tr w14:paraId="08B7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14:paraId="7513582A">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2</w:t>
            </w:r>
          </w:p>
        </w:tc>
        <w:tc>
          <w:tcPr>
            <w:tcW w:w="865" w:type="pct"/>
            <w:tcBorders>
              <w:top w:val="single" w:color="auto" w:sz="4" w:space="0"/>
              <w:left w:val="single" w:color="auto" w:sz="4" w:space="0"/>
              <w:bottom w:val="single" w:color="auto" w:sz="4" w:space="0"/>
              <w:right w:val="single" w:color="auto" w:sz="4" w:space="0"/>
            </w:tcBorders>
            <w:vAlign w:val="center"/>
          </w:tcPr>
          <w:p w14:paraId="09466724">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分包</w:t>
            </w:r>
          </w:p>
        </w:tc>
        <w:tc>
          <w:tcPr>
            <w:tcW w:w="3708" w:type="pct"/>
            <w:tcBorders>
              <w:top w:val="single" w:color="auto" w:sz="4" w:space="0"/>
              <w:left w:val="single" w:color="auto" w:sz="4" w:space="0"/>
              <w:bottom w:val="single" w:color="auto" w:sz="4" w:space="0"/>
              <w:right w:val="single" w:color="auto" w:sz="4" w:space="0"/>
            </w:tcBorders>
            <w:vAlign w:val="center"/>
          </w:tcPr>
          <w:p w14:paraId="2BCEB36E">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（√）不同意分包。</w:t>
            </w:r>
          </w:p>
        </w:tc>
      </w:tr>
      <w:tr w14:paraId="7733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26" w:type="pct"/>
            <w:tcBorders>
              <w:top w:val="single" w:color="auto" w:sz="4" w:space="0"/>
            </w:tcBorders>
            <w:vAlign w:val="center"/>
          </w:tcPr>
          <w:p w14:paraId="366FCA25">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3</w:t>
            </w:r>
          </w:p>
        </w:tc>
        <w:tc>
          <w:tcPr>
            <w:tcW w:w="865" w:type="pct"/>
            <w:tcBorders>
              <w:top w:val="single" w:color="auto" w:sz="4" w:space="0"/>
            </w:tcBorders>
            <w:vAlign w:val="center"/>
          </w:tcPr>
          <w:p w14:paraId="4BFF6782">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sz w:val="22"/>
                <w:szCs w:val="22"/>
                <w:highlight w:val="none"/>
              </w:rPr>
              <w:t>开标前答疑会或现场考察</w:t>
            </w:r>
          </w:p>
        </w:tc>
        <w:tc>
          <w:tcPr>
            <w:tcW w:w="3708" w:type="pct"/>
            <w:tcBorders>
              <w:top w:val="single" w:color="auto" w:sz="4" w:space="0"/>
            </w:tcBorders>
            <w:vAlign w:val="center"/>
          </w:tcPr>
          <w:p w14:paraId="3795FD36">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（√）不组织。</w:t>
            </w:r>
          </w:p>
        </w:tc>
      </w:tr>
      <w:tr w14:paraId="1838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426" w:type="pct"/>
            <w:vAlign w:val="center"/>
          </w:tcPr>
          <w:p w14:paraId="463B88C6">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4</w:t>
            </w:r>
          </w:p>
        </w:tc>
        <w:tc>
          <w:tcPr>
            <w:tcW w:w="865" w:type="pct"/>
            <w:vAlign w:val="center"/>
          </w:tcPr>
          <w:p w14:paraId="4FCC0184">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样品提供</w:t>
            </w:r>
          </w:p>
        </w:tc>
        <w:tc>
          <w:tcPr>
            <w:tcW w:w="3708" w:type="pct"/>
            <w:vAlign w:val="center"/>
          </w:tcPr>
          <w:p w14:paraId="57C02D49">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  ）A不要求提供。</w:t>
            </w:r>
          </w:p>
          <w:p w14:paraId="7413B140">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（√）B要求提供（未提供样品或</w:t>
            </w:r>
            <w:r>
              <w:rPr>
                <w:rFonts w:hint="eastAsia" w:ascii="宋体" w:hAnsi="宋体" w:eastAsia="宋体" w:cs="宋体"/>
                <w:b w:val="0"/>
                <w:bCs w:val="0"/>
                <w:color w:val="auto"/>
                <w:highlight w:val="none"/>
                <w:lang w:val="en-US" w:eastAsia="zh-CN"/>
              </w:rPr>
              <w:t>样品缺少或</w:t>
            </w:r>
            <w:r>
              <w:rPr>
                <w:rFonts w:hint="eastAsia" w:ascii="宋体" w:hAnsi="宋体" w:eastAsia="宋体" w:cs="宋体"/>
                <w:b w:val="0"/>
                <w:bCs w:val="0"/>
                <w:color w:val="auto"/>
                <w:highlight w:val="none"/>
              </w:rPr>
              <w:t>提供样品不满足采购需求实质性条件的供应商，投标无效）</w:t>
            </w:r>
          </w:p>
          <w:p w14:paraId="1F026126">
            <w:pPr>
              <w:pStyle w:val="8"/>
              <w:keepNext w:val="0"/>
              <w:keepLines w:val="0"/>
              <w:pageBreakBefore w:val="0"/>
              <w:widowControl/>
              <w:numPr>
                <w:ilvl w:val="0"/>
                <w:numId w:val="0"/>
              </w:numPr>
              <w:kinsoku/>
              <w:wordWrap w:val="0"/>
              <w:overflowPunct/>
              <w:topLinePunct w:val="0"/>
              <w:autoSpaceDE/>
              <w:autoSpaceDN/>
              <w:bidi w:val="0"/>
              <w:adjustRightInd/>
              <w:snapToGrid/>
              <w:spacing w:line="340" w:lineRule="exact"/>
              <w:textAlignment w:val="auto"/>
              <w:rPr>
                <w:rFonts w:hint="eastAsia" w:ascii="宋体" w:hAnsi="宋体" w:eastAsia="宋体" w:cs="宋体"/>
                <w:b/>
                <w:bCs/>
                <w:color w:val="auto"/>
                <w:highlight w:val="none"/>
                <w:u w:val="single"/>
                <w:lang w:eastAsia="zh-CN"/>
              </w:rPr>
            </w:pPr>
            <w:r>
              <w:rPr>
                <w:rFonts w:hint="eastAsia" w:ascii="宋体" w:hAnsi="宋体" w:eastAsia="宋体" w:cs="宋体"/>
                <w:b/>
                <w:bCs/>
                <w:color w:val="auto"/>
                <w:spacing w:val="5"/>
                <w:sz w:val="24"/>
                <w:szCs w:val="24"/>
                <w:lang w:val="en-US" w:eastAsia="zh-CN" w:bidi="ar-SA"/>
              </w:rPr>
              <w:t>（1）</w:t>
            </w:r>
            <w:r>
              <w:rPr>
                <w:rFonts w:hint="eastAsia" w:ascii="宋体" w:hAnsi="宋体" w:eastAsia="宋体" w:cs="宋体"/>
                <w:b/>
                <w:bCs/>
                <w:color w:val="auto"/>
                <w:highlight w:val="none"/>
              </w:rPr>
              <w:t>样品</w:t>
            </w:r>
            <w:r>
              <w:rPr>
                <w:rFonts w:hint="eastAsia" w:ascii="宋体" w:hAnsi="宋体" w:eastAsia="宋体" w:cs="宋体"/>
                <w:b/>
                <w:bCs/>
                <w:color w:val="auto"/>
                <w:highlight w:val="none"/>
                <w:lang w:eastAsia="zh-CN"/>
              </w:rPr>
              <w:t>（标项</w:t>
            </w:r>
            <w:r>
              <w:rPr>
                <w:rFonts w:hint="eastAsia" w:ascii="宋体" w:hAnsi="宋体" w:eastAsia="宋体" w:cs="宋体"/>
                <w:b/>
                <w:bCs/>
                <w:color w:val="auto"/>
                <w:highlight w:val="none"/>
                <w:lang w:val="en-US" w:eastAsia="zh-CN"/>
              </w:rPr>
              <w:t>1、标项2）：</w:t>
            </w:r>
            <w:r>
              <w:rPr>
                <w:rFonts w:hint="eastAsia" w:ascii="宋体" w:hAnsi="宋体" w:eastAsia="宋体" w:cs="宋体"/>
                <w:color w:val="auto"/>
                <w:highlight w:val="none"/>
                <w:u w:val="single"/>
              </w:rPr>
              <w:t>床头柜</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430mm*400mm*480mm</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、双人位沙发</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1400mm*770mm*760mm</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、衣柜</w:t>
            </w:r>
            <w:r>
              <w:rPr>
                <w:rFonts w:hint="eastAsia" w:ascii="宋体" w:hAnsi="宋体" w:eastAsia="宋体" w:cs="宋体"/>
                <w:color w:val="auto"/>
                <w:highlight w:val="none"/>
                <w:u w:val="single"/>
                <w:lang w:eastAsia="zh-CN"/>
              </w:rPr>
              <w:t>（1500mm*600mm*2200mm），</w:t>
            </w:r>
            <w:r>
              <w:rPr>
                <w:rFonts w:hint="eastAsia" w:ascii="宋体" w:hAnsi="宋体" w:eastAsia="宋体" w:cs="宋体"/>
                <w:color w:val="auto"/>
                <w:highlight w:val="none"/>
                <w:u w:val="single"/>
                <w:lang w:val="en-US" w:eastAsia="zh-CN"/>
              </w:rPr>
              <w:t>具体技术参数要求详见二、招标需求。</w:t>
            </w:r>
            <w:r>
              <w:rPr>
                <w:rFonts w:hint="eastAsia" w:ascii="宋体" w:hAnsi="宋体" w:eastAsia="宋体" w:cs="宋体"/>
                <w:b/>
                <w:bCs/>
                <w:color w:val="auto"/>
                <w:highlight w:val="none"/>
                <w:u w:val="single"/>
                <w:lang w:val="en-US" w:eastAsia="zh-CN"/>
              </w:rPr>
              <w:t>(注:投标人若投多个标项的，</w:t>
            </w:r>
            <w:bookmarkStart w:id="367" w:name="_GoBack"/>
            <w:bookmarkEnd w:id="367"/>
            <w:r>
              <w:rPr>
                <w:rFonts w:hint="eastAsia" w:ascii="宋体" w:hAnsi="宋体" w:eastAsia="宋体" w:cs="宋体"/>
                <w:b/>
                <w:bCs/>
                <w:color w:val="auto"/>
                <w:highlight w:val="none"/>
                <w:u w:val="single"/>
                <w:lang w:val="en-US" w:eastAsia="zh-CN"/>
              </w:rPr>
              <w:t>样品只需提供一套)</w:t>
            </w:r>
          </w:p>
          <w:p w14:paraId="51FE93B5">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（2）样品制作的标准和要求：详见招标需求，样品尺寸不作为样品评审因素，投标人可提供符合采购需求（尺寸除外）的样品用于评审；</w:t>
            </w:r>
          </w:p>
          <w:p w14:paraId="7D7EB7AA">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（3）样品的评审方法以及评审标准：详见评标办法；</w:t>
            </w:r>
          </w:p>
          <w:p w14:paraId="416EF7E7">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 xml:space="preserve">详见招标文件第四部分评标办分法。 </w:t>
            </w:r>
          </w:p>
          <w:p w14:paraId="4705CDC6">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（4）是否需要随样品提交检测报告：否；</w:t>
            </w:r>
          </w:p>
          <w:p w14:paraId="4F0710A9">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bCs/>
                <w:color w:val="auto"/>
                <w:highlight w:val="none"/>
              </w:rPr>
            </w:pPr>
            <w:r>
              <w:rPr>
                <w:rFonts w:hint="eastAsia" w:ascii="宋体" w:hAnsi="宋体" w:eastAsia="宋体" w:cs="宋体"/>
                <w:b/>
                <w:bCs/>
                <w:color w:val="auto"/>
                <w:highlight w:val="none"/>
              </w:rPr>
              <w:t>（5）提供样品的时间：开标当天</w:t>
            </w:r>
            <w:r>
              <w:rPr>
                <w:rFonts w:hint="eastAsia" w:ascii="宋体" w:hAnsi="宋体" w:eastAsia="宋体" w:cs="宋体"/>
                <w:b/>
                <w:bCs/>
                <w:color w:val="auto"/>
                <w:highlight w:val="none"/>
                <w:lang w:val="en-US" w:eastAsia="zh-CN"/>
              </w:rPr>
              <w:t>07</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0-</w:t>
            </w:r>
            <w:r>
              <w:rPr>
                <w:rFonts w:hint="eastAsia" w:ascii="宋体" w:hAnsi="宋体" w:eastAsia="宋体" w:cs="宋体"/>
                <w:b/>
                <w:bCs/>
                <w:color w:val="auto"/>
                <w:highlight w:val="none"/>
                <w:lang w:val="en-US" w:eastAsia="zh-CN"/>
              </w:rPr>
              <w:t>0</w:t>
            </w:r>
            <w:r>
              <w:rPr>
                <w:rFonts w:hint="eastAsia" w:ascii="宋体" w:hAnsi="宋体" w:eastAsia="宋体" w:cs="宋体"/>
                <w:b/>
                <w:bCs/>
                <w:color w:val="auto"/>
                <w:highlight w:val="none"/>
              </w:rPr>
              <w:t>9:30</w:t>
            </w:r>
            <w:r>
              <w:rPr>
                <w:rFonts w:hint="eastAsia" w:ascii="宋体" w:hAnsi="宋体" w:eastAsia="宋体" w:cs="宋体"/>
                <w:b/>
                <w:bCs/>
                <w:color w:val="auto"/>
                <w:highlight w:val="none"/>
                <w:lang w:val="en-US" w:eastAsia="zh-CN"/>
              </w:rPr>
              <w:t>止</w:t>
            </w:r>
            <w:r>
              <w:rPr>
                <w:rFonts w:hint="eastAsia" w:ascii="宋体" w:hAnsi="宋体" w:eastAsia="宋体" w:cs="宋体"/>
                <w:b/>
                <w:bCs/>
                <w:color w:val="auto"/>
                <w:highlight w:val="none"/>
              </w:rPr>
              <w:t>；</w:t>
            </w:r>
          </w:p>
          <w:p w14:paraId="2A9D3808">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bCs/>
                <w:color w:val="auto"/>
                <w:highlight w:val="none"/>
              </w:rPr>
            </w:pPr>
            <w:r>
              <w:rPr>
                <w:rFonts w:hint="eastAsia" w:ascii="宋体" w:hAnsi="宋体" w:eastAsia="宋体" w:cs="宋体"/>
                <w:b/>
                <w:bCs/>
                <w:color w:val="auto"/>
                <w:highlight w:val="none"/>
              </w:rPr>
              <w:t>样品</w:t>
            </w:r>
            <w:r>
              <w:rPr>
                <w:rFonts w:hint="eastAsia" w:ascii="宋体" w:hAnsi="宋体" w:eastAsia="宋体" w:cs="宋体"/>
                <w:b/>
                <w:bCs/>
                <w:color w:val="auto"/>
                <w:highlight w:val="none"/>
                <w:lang w:val="en-US" w:eastAsia="zh-CN"/>
              </w:rPr>
              <w:t>送达地点</w:t>
            </w:r>
            <w:r>
              <w:rPr>
                <w:rFonts w:hint="eastAsia" w:ascii="宋体" w:hAnsi="宋体" w:eastAsia="宋体" w:cs="宋体"/>
                <w:b/>
                <w:bCs/>
                <w:color w:val="auto"/>
                <w:highlight w:val="none"/>
              </w:rPr>
              <w:t>：萧山区宁围街道金二路378号信息港七期</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lang w:eastAsia="zh-CN"/>
              </w:rPr>
              <w:t>由工作人员指引至报告厅样品间</w:t>
            </w:r>
            <w:r>
              <w:rPr>
                <w:rFonts w:hint="eastAsia" w:ascii="宋体" w:hAnsi="宋体" w:eastAsia="宋体" w:cs="宋体"/>
                <w:b/>
                <w:bCs/>
                <w:color w:val="auto"/>
                <w:highlight w:val="none"/>
              </w:rPr>
              <w:t>。</w:t>
            </w:r>
          </w:p>
          <w:p w14:paraId="3710B2A0">
            <w:pPr>
              <w:pStyle w:val="8"/>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样品提供人员如为法定代表人签到时须提供身份证</w:t>
            </w:r>
            <w:r>
              <w:rPr>
                <w:rFonts w:hint="eastAsia" w:ascii="宋体" w:hAnsi="宋体" w:eastAsia="宋体" w:cs="宋体"/>
                <w:b w:val="0"/>
                <w:bCs w:val="0"/>
                <w:color w:val="auto"/>
                <w:highlight w:val="none"/>
                <w:lang w:val="en-US" w:eastAsia="zh-CN"/>
              </w:rPr>
              <w:t>复印件</w:t>
            </w:r>
            <w:r>
              <w:rPr>
                <w:rFonts w:hint="eastAsia" w:ascii="宋体" w:hAnsi="宋体" w:eastAsia="宋体" w:cs="宋体"/>
                <w:b w:val="0"/>
                <w:bCs w:val="0"/>
                <w:color w:val="auto"/>
                <w:highlight w:val="none"/>
              </w:rPr>
              <w:t>、营业执照复印件（加盖公章）；人员如为授权代表签到时须提供样品授权委托书（详见招标文件格式范例附件</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）；否则不予签到</w:t>
            </w:r>
            <w:r>
              <w:rPr>
                <w:rFonts w:hint="eastAsia" w:ascii="宋体" w:hAnsi="宋体" w:eastAsia="宋体" w:cs="宋体"/>
                <w:b w:val="0"/>
                <w:bCs w:val="0"/>
                <w:color w:val="auto"/>
                <w:highlight w:val="none"/>
                <w:lang w:eastAsia="zh-CN"/>
              </w:rPr>
              <w:t>。</w:t>
            </w:r>
          </w:p>
          <w:p w14:paraId="10AC3A04">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超过截止时间的，采购人或采购代理机构</w:t>
            </w:r>
            <w:r>
              <w:rPr>
                <w:rFonts w:hint="eastAsia" w:ascii="宋体" w:hAnsi="宋体" w:eastAsia="宋体" w:cs="宋体"/>
                <w:b w:val="0"/>
                <w:bCs w:val="0"/>
                <w:color w:val="auto"/>
                <w:highlight w:val="none"/>
                <w:lang w:val="en-US" w:eastAsia="zh-CN"/>
              </w:rPr>
              <w:t>也</w:t>
            </w:r>
            <w:r>
              <w:rPr>
                <w:rFonts w:hint="eastAsia" w:ascii="宋体" w:hAnsi="宋体" w:eastAsia="宋体" w:cs="宋体"/>
                <w:b w:val="0"/>
                <w:bCs w:val="0"/>
                <w:color w:val="auto"/>
                <w:highlight w:val="none"/>
              </w:rPr>
              <w:t>将不予接收，并将清场并封闭样品现场。</w:t>
            </w:r>
          </w:p>
          <w:p w14:paraId="14D39755">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A435DA7">
            <w:pPr>
              <w:pStyle w:val="8"/>
              <w:keepNext w:val="0"/>
              <w:keepLines w:val="0"/>
              <w:pageBreakBefore w:val="0"/>
              <w:kinsoku/>
              <w:wordWrap/>
              <w:overflowPunct/>
              <w:topLinePunct w:val="0"/>
              <w:autoSpaceDE/>
              <w:autoSpaceDN/>
              <w:bidi w:val="0"/>
              <w:spacing w:line="340" w:lineRule="exact"/>
              <w:textAlignment w:val="auto"/>
              <w:rPr>
                <w:rFonts w:ascii="宋体" w:hAnsi="宋体" w:eastAsia="宋体" w:cs="宋体"/>
                <w:color w:val="auto"/>
                <w:highlight w:val="none"/>
              </w:rPr>
            </w:pPr>
            <w:r>
              <w:rPr>
                <w:rFonts w:hint="eastAsia" w:ascii="宋体" w:hAnsi="宋体" w:eastAsia="宋体" w:cs="宋体"/>
                <w:b w:val="0"/>
                <w:bCs w:val="0"/>
                <w:color w:val="auto"/>
                <w:highlight w:val="none"/>
              </w:rPr>
              <w:t>（7）制作、运输、安装和保管样品所发生的一切费用由投标人自理。</w:t>
            </w:r>
          </w:p>
        </w:tc>
      </w:tr>
      <w:tr w14:paraId="3114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26" w:type="pct"/>
            <w:vAlign w:val="center"/>
          </w:tcPr>
          <w:p w14:paraId="0C1C5EF6">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5</w:t>
            </w:r>
          </w:p>
        </w:tc>
        <w:tc>
          <w:tcPr>
            <w:tcW w:w="865" w:type="pct"/>
            <w:vAlign w:val="center"/>
          </w:tcPr>
          <w:p w14:paraId="5259AC6E">
            <w:pPr>
              <w:keepNext w:val="0"/>
              <w:keepLines w:val="0"/>
              <w:pageBreakBefore w:val="0"/>
              <w:kinsoku/>
              <w:wordWrap/>
              <w:overflowPunct/>
              <w:topLinePunct w:val="0"/>
              <w:autoSpaceDE/>
              <w:autoSpaceDN/>
              <w:bidi w:val="0"/>
              <w:spacing w:after="0" w:line="34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方案讲解</w:t>
            </w:r>
          </w:p>
          <w:p w14:paraId="16BDD88B">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演示</w:t>
            </w:r>
          </w:p>
        </w:tc>
        <w:tc>
          <w:tcPr>
            <w:tcW w:w="3708" w:type="pct"/>
            <w:vAlign w:val="center"/>
          </w:tcPr>
          <w:p w14:paraId="77DD89AB">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（√）不要求。</w:t>
            </w:r>
          </w:p>
        </w:tc>
      </w:tr>
      <w:tr w14:paraId="14DE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426" w:type="pct"/>
            <w:vAlign w:val="center"/>
          </w:tcPr>
          <w:p w14:paraId="44B827C4">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6</w:t>
            </w:r>
          </w:p>
        </w:tc>
        <w:tc>
          <w:tcPr>
            <w:tcW w:w="865" w:type="pct"/>
            <w:vAlign w:val="center"/>
          </w:tcPr>
          <w:p w14:paraId="2615BF0B">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报价要求</w:t>
            </w:r>
          </w:p>
        </w:tc>
        <w:tc>
          <w:tcPr>
            <w:tcW w:w="3708" w:type="pct"/>
            <w:vAlign w:val="center"/>
          </w:tcPr>
          <w:p w14:paraId="166F985F">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lang w:val="zh-CN"/>
              </w:rPr>
            </w:pPr>
            <w:r>
              <w:rPr>
                <w:rFonts w:hint="eastAsia" w:ascii="宋体" w:hAnsi="宋体" w:eastAsia="宋体" w:cs="宋体"/>
                <w:color w:val="auto"/>
                <w:highlight w:val="none"/>
                <w:lang w:val="zh-CN"/>
              </w:rPr>
              <w:t>有关本项目实施所需的所有费用（含税费）均计入报价。</w:t>
            </w:r>
            <w:r>
              <w:rPr>
                <w:rFonts w:hint="eastAsia" w:ascii="宋体" w:hAnsi="宋体" w:eastAsia="宋体" w:cs="宋体"/>
                <w:color w:val="auto"/>
                <w:highlight w:val="none"/>
              </w:rPr>
              <w:t>开标一览表（报价表）是报价的唯一载体</w:t>
            </w:r>
            <w:r>
              <w:rPr>
                <w:rFonts w:hint="eastAsia" w:ascii="宋体" w:hAnsi="宋体" w:eastAsia="宋体" w:cs="宋体"/>
                <w:color w:val="auto"/>
                <w:highlight w:val="none"/>
                <w:lang w:val="zh-CN"/>
              </w:rPr>
              <w:t>。投标文件中价格全部采用人民币报价。招标文件未列明，而投标人认为必需的费用也需列入报价。</w:t>
            </w:r>
          </w:p>
          <w:p w14:paraId="6FBA97FA">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lang w:val="zh-CN"/>
              </w:rPr>
            </w:pPr>
            <w:r>
              <w:rPr>
                <w:rFonts w:hint="eastAsia" w:ascii="宋体" w:hAnsi="宋体" w:eastAsia="宋体" w:cs="宋体"/>
                <w:color w:val="auto"/>
                <w:highlight w:val="none"/>
                <w:lang w:val="zh-CN"/>
              </w:rPr>
              <w:t>投标报价出现下列情形的，投标无效：</w:t>
            </w:r>
          </w:p>
          <w:p w14:paraId="5A468B2C">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lang w:val="zh-CN"/>
              </w:rPr>
            </w:pPr>
            <w:r>
              <w:rPr>
                <w:rFonts w:hint="eastAsia" w:ascii="宋体" w:hAnsi="宋体" w:eastAsia="宋体" w:cs="宋体"/>
                <w:color w:val="auto"/>
                <w:highlight w:val="none"/>
                <w:lang w:val="zh-CN"/>
              </w:rPr>
              <w:t>投标文件出现不是唯一的、有选择性投标报价的；</w:t>
            </w:r>
          </w:p>
          <w:p w14:paraId="013002CF">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lang w:val="zh-CN"/>
              </w:rPr>
            </w:pPr>
            <w:r>
              <w:rPr>
                <w:rFonts w:hint="eastAsia" w:ascii="宋体" w:hAnsi="宋体" w:eastAsia="宋体" w:cs="宋体"/>
                <w:color w:val="auto"/>
                <w:highlight w:val="none"/>
                <w:lang w:val="zh-CN"/>
              </w:rPr>
              <w:t>投标报价超过招标文件中规定的预算金额或者最高限价的；</w:t>
            </w:r>
          </w:p>
          <w:p w14:paraId="7F779161">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报价明显低于其他通过符合性审查投标人的报价，有可能影响产品质量或者不能诚信履约的，未能按要求提供书面说明或者提交相关证明材料证明其报价合理性的；</w:t>
            </w:r>
          </w:p>
          <w:p w14:paraId="0A693AD9">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投标人对根据修正原则修正后的报价不确认的。</w:t>
            </w:r>
          </w:p>
          <w:p w14:paraId="5AF4395C">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资格文件、商务技术文件与报价文件未分开制作。</w:t>
            </w:r>
          </w:p>
        </w:tc>
      </w:tr>
      <w:tr w14:paraId="4AA1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26" w:type="pct"/>
            <w:vAlign w:val="center"/>
          </w:tcPr>
          <w:p w14:paraId="7DABAB26">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7</w:t>
            </w:r>
          </w:p>
        </w:tc>
        <w:tc>
          <w:tcPr>
            <w:tcW w:w="865" w:type="pct"/>
            <w:vAlign w:val="center"/>
          </w:tcPr>
          <w:p w14:paraId="723E4D38">
            <w:pPr>
              <w:keepNext w:val="0"/>
              <w:keepLines w:val="0"/>
              <w:pageBreakBefore w:val="0"/>
              <w:kinsoku/>
              <w:wordWrap/>
              <w:overflowPunct/>
              <w:topLinePunct w:val="0"/>
              <w:autoSpaceDE/>
              <w:autoSpaceDN/>
              <w:bidi w:val="0"/>
              <w:spacing w:after="0" w:line="34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备份投标</w:t>
            </w:r>
          </w:p>
          <w:p w14:paraId="4C2F6F58">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文件</w:t>
            </w:r>
          </w:p>
        </w:tc>
        <w:tc>
          <w:tcPr>
            <w:tcW w:w="3708" w:type="pct"/>
            <w:vAlign w:val="center"/>
          </w:tcPr>
          <w:p w14:paraId="1B4188C0">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b/>
                <w:bCs/>
                <w:snapToGrid w:val="0"/>
                <w:color w:val="auto"/>
                <w:kern w:val="28"/>
                <w:highlight w:val="none"/>
                <w:lang w:val="zh-CN"/>
              </w:rPr>
              <w:t>备份文件是否收取：</w:t>
            </w:r>
            <w:r>
              <w:rPr>
                <w:rFonts w:hint="eastAsia" w:ascii="宋体" w:hAnsi="宋体" w:eastAsia="宋体" w:cs="宋体"/>
                <w:snapToGrid w:val="0"/>
                <w:color w:val="auto"/>
                <w:kern w:val="28"/>
                <w:highlight w:val="none"/>
                <w:u w:val="single"/>
              </w:rPr>
              <w:t>不收取</w:t>
            </w:r>
            <w:r>
              <w:rPr>
                <w:rFonts w:hint="eastAsia" w:ascii="宋体" w:hAnsi="宋体" w:eastAsia="宋体" w:cs="宋体"/>
                <w:snapToGrid w:val="0"/>
                <w:color w:val="auto"/>
                <w:kern w:val="28"/>
                <w:highlight w:val="none"/>
              </w:rPr>
              <w:t>。</w:t>
            </w:r>
          </w:p>
        </w:tc>
      </w:tr>
      <w:tr w14:paraId="5F6F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26" w:type="pct"/>
            <w:vAlign w:val="center"/>
          </w:tcPr>
          <w:p w14:paraId="0C2CAF10">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8</w:t>
            </w:r>
          </w:p>
        </w:tc>
        <w:tc>
          <w:tcPr>
            <w:tcW w:w="865" w:type="pct"/>
            <w:vAlign w:val="center"/>
          </w:tcPr>
          <w:p w14:paraId="58DB24F7">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代理机构代理费用</w:t>
            </w:r>
          </w:p>
        </w:tc>
        <w:tc>
          <w:tcPr>
            <w:tcW w:w="3708" w:type="pct"/>
            <w:vAlign w:val="center"/>
          </w:tcPr>
          <w:p w14:paraId="7C790050">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snapToGrid w:val="0"/>
                <w:color w:val="auto"/>
                <w:kern w:val="28"/>
                <w:highlight w:val="none"/>
                <w:lang w:val="zh-CN"/>
              </w:rPr>
              <w:t>本项目采购代理费由</w:t>
            </w:r>
            <w:r>
              <w:rPr>
                <w:rFonts w:hint="eastAsia" w:ascii="宋体" w:hAnsi="宋体" w:eastAsia="宋体" w:cs="宋体"/>
                <w:snapToGrid w:val="0"/>
                <w:color w:val="auto"/>
                <w:kern w:val="28"/>
                <w:highlight w:val="none"/>
              </w:rPr>
              <w:t>采购</w:t>
            </w:r>
            <w:r>
              <w:rPr>
                <w:rFonts w:hint="eastAsia" w:ascii="宋体" w:hAnsi="宋体" w:eastAsia="宋体" w:cs="宋体"/>
                <w:snapToGrid w:val="0"/>
                <w:color w:val="auto"/>
                <w:kern w:val="28"/>
                <w:highlight w:val="none"/>
                <w:lang w:val="zh-CN"/>
              </w:rPr>
              <w:t>人支付。</w:t>
            </w:r>
          </w:p>
        </w:tc>
      </w:tr>
      <w:tr w14:paraId="30DC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26" w:type="pct"/>
            <w:vAlign w:val="center"/>
          </w:tcPr>
          <w:p w14:paraId="2F1F5876">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9</w:t>
            </w:r>
          </w:p>
        </w:tc>
        <w:tc>
          <w:tcPr>
            <w:tcW w:w="865" w:type="pct"/>
            <w:vAlign w:val="center"/>
          </w:tcPr>
          <w:p w14:paraId="19510E27">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履约保证金</w:t>
            </w:r>
          </w:p>
        </w:tc>
        <w:tc>
          <w:tcPr>
            <w:tcW w:w="3708" w:type="pct"/>
            <w:vAlign w:val="center"/>
          </w:tcPr>
          <w:p w14:paraId="2B5EBA26">
            <w:pPr>
              <w:pStyle w:val="20"/>
              <w:keepNext w:val="0"/>
              <w:keepLines w:val="0"/>
              <w:pageBreakBefore w:val="0"/>
              <w:kinsoku/>
              <w:wordWrap/>
              <w:overflowPunct/>
              <w:topLinePunct w:val="0"/>
              <w:autoSpaceDE/>
              <w:autoSpaceDN/>
              <w:bidi w:val="0"/>
              <w:spacing w:line="340" w:lineRule="exact"/>
              <w:ind w:hanging="4"/>
              <w:textAlignment w:val="auto"/>
              <w:rPr>
                <w:rFonts w:hAnsi="宋体" w:cs="宋体"/>
                <w:color w:val="auto"/>
                <w:sz w:val="24"/>
                <w:szCs w:val="24"/>
                <w:highlight w:val="none"/>
              </w:rPr>
            </w:pPr>
            <w:r>
              <w:rPr>
                <w:rFonts w:hint="eastAsia" w:hAnsi="宋体" w:cs="宋体"/>
                <w:color w:val="auto"/>
                <w:sz w:val="24"/>
                <w:szCs w:val="24"/>
                <w:highlight w:val="none"/>
              </w:rPr>
              <w:t>履约保证金：</w:t>
            </w:r>
            <w:r>
              <w:rPr>
                <w:rFonts w:hint="eastAsia" w:hAnsi="宋体" w:cs="宋体"/>
                <w:color w:val="auto"/>
                <w:sz w:val="24"/>
                <w:szCs w:val="24"/>
                <w:highlight w:val="none"/>
                <w:u w:val="single"/>
              </w:rPr>
              <w:t>收取合同价的1%</w:t>
            </w:r>
          </w:p>
          <w:p w14:paraId="0FF72D18">
            <w:pPr>
              <w:pStyle w:val="20"/>
              <w:keepNext w:val="0"/>
              <w:keepLines w:val="0"/>
              <w:pageBreakBefore w:val="0"/>
              <w:kinsoku/>
              <w:wordWrap/>
              <w:overflowPunct/>
              <w:topLinePunct w:val="0"/>
              <w:autoSpaceDE/>
              <w:autoSpaceDN/>
              <w:bidi w:val="0"/>
              <w:spacing w:line="340" w:lineRule="exact"/>
              <w:ind w:hanging="4"/>
              <w:textAlignment w:val="auto"/>
              <w:rPr>
                <w:rFonts w:hAnsi="宋体" w:cs="宋体"/>
                <w:color w:val="auto"/>
                <w:sz w:val="24"/>
                <w:szCs w:val="24"/>
                <w:highlight w:val="none"/>
              </w:rPr>
            </w:pPr>
            <w:r>
              <w:rPr>
                <w:rFonts w:hint="eastAsia" w:hAnsi="宋体" w:cs="宋体"/>
                <w:color w:val="auto"/>
                <w:sz w:val="24"/>
                <w:szCs w:val="24"/>
                <w:highlight w:val="none"/>
              </w:rPr>
              <w:t>供应商应当以支票、汇票、本票或者金融机构、担保机构出具的保函等非现金形式提交。</w:t>
            </w:r>
          </w:p>
        </w:tc>
      </w:tr>
      <w:tr w14:paraId="5746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6" w:type="pct"/>
            <w:vAlign w:val="center"/>
          </w:tcPr>
          <w:p w14:paraId="207D2068">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10</w:t>
            </w:r>
          </w:p>
        </w:tc>
        <w:tc>
          <w:tcPr>
            <w:tcW w:w="865" w:type="pct"/>
            <w:vAlign w:val="center"/>
          </w:tcPr>
          <w:p w14:paraId="2FF29C36">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资格审查和信用信息审查</w:t>
            </w:r>
          </w:p>
        </w:tc>
        <w:tc>
          <w:tcPr>
            <w:tcW w:w="3708" w:type="pct"/>
            <w:vAlign w:val="center"/>
          </w:tcPr>
          <w:p w14:paraId="70FCFF3B">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本项目由采购人进行资格文件及信用信息查询。</w:t>
            </w:r>
          </w:p>
        </w:tc>
      </w:tr>
      <w:tr w14:paraId="54AB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Align w:val="center"/>
          </w:tcPr>
          <w:p w14:paraId="0C438B6A">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11</w:t>
            </w:r>
          </w:p>
        </w:tc>
        <w:tc>
          <w:tcPr>
            <w:tcW w:w="865" w:type="pct"/>
            <w:vAlign w:val="center"/>
          </w:tcPr>
          <w:p w14:paraId="11F4305A">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质疑接收人及答复</w:t>
            </w:r>
          </w:p>
        </w:tc>
        <w:tc>
          <w:tcPr>
            <w:tcW w:w="3708" w:type="pct"/>
            <w:vAlign w:val="center"/>
          </w:tcPr>
          <w:p w14:paraId="37752901">
            <w:pPr>
              <w:keepNext w:val="0"/>
              <w:keepLines w:val="0"/>
              <w:pageBreakBefore w:val="0"/>
              <w:kinsoku/>
              <w:wordWrap/>
              <w:overflowPunct/>
              <w:topLinePunct w:val="0"/>
              <w:autoSpaceDE/>
              <w:autoSpaceDN/>
              <w:bidi w:val="0"/>
              <w:snapToGrid w:val="0"/>
              <w:spacing w:after="0" w:line="340" w:lineRule="exact"/>
              <w:textAlignment w:val="auto"/>
              <w:rPr>
                <w:rFonts w:ascii="宋体" w:hAnsi="宋体" w:eastAsia="宋体" w:cs="宋体"/>
                <w:color w:val="auto"/>
                <w:highlight w:val="none"/>
                <w:u w:val="single"/>
              </w:rPr>
            </w:pPr>
            <w:r>
              <w:rPr>
                <w:rFonts w:hint="eastAsia" w:ascii="宋体" w:hAnsi="宋体" w:eastAsia="宋体" w:cs="宋体"/>
                <w:color w:val="auto"/>
                <w:highlight w:val="none"/>
              </w:rPr>
              <w:t>采购人、代理机构质疑接收人、联系方式：详见公告</w:t>
            </w:r>
          </w:p>
          <w:p w14:paraId="1397CACF">
            <w:pPr>
              <w:keepNext w:val="0"/>
              <w:keepLines w:val="0"/>
              <w:pageBreakBefore w:val="0"/>
              <w:kinsoku/>
              <w:wordWrap/>
              <w:overflowPunct/>
              <w:topLinePunct w:val="0"/>
              <w:autoSpaceDE/>
              <w:autoSpaceDN/>
              <w:bidi w:val="0"/>
              <w:snapToGrid w:val="0"/>
              <w:spacing w:after="0" w:line="340" w:lineRule="exact"/>
              <w:textAlignment w:val="auto"/>
              <w:rPr>
                <w:rFonts w:ascii="宋体" w:hAnsi="宋体" w:eastAsia="宋体" w:cs="宋体"/>
                <w:b/>
                <w:color w:val="auto"/>
                <w:highlight w:val="none"/>
              </w:rPr>
            </w:pPr>
            <w:r>
              <w:rPr>
                <w:rFonts w:hint="eastAsia" w:ascii="宋体" w:hAnsi="宋体" w:eastAsia="宋体" w:cs="宋体"/>
                <w:b/>
                <w:color w:val="auto"/>
                <w:highlight w:val="none"/>
              </w:rPr>
              <w:t>线上提交质疑方式：乐采云线上质疑路径：项目采购－询问质疑投诉－质疑列表。请使用ca签章在每一页质疑文件中加盖电子公章，上传完整附件。</w:t>
            </w:r>
          </w:p>
          <w:p w14:paraId="0092E5C7">
            <w:pPr>
              <w:keepNext w:val="0"/>
              <w:keepLines w:val="0"/>
              <w:pageBreakBefore w:val="0"/>
              <w:kinsoku/>
              <w:wordWrap/>
              <w:overflowPunct/>
              <w:topLinePunct w:val="0"/>
              <w:autoSpaceDE/>
              <w:autoSpaceDN/>
              <w:bidi w:val="0"/>
              <w:snapToGrid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本项目涉及资格条件、采购需求、评分办法及采购过程中有关现场考察或开标前答疑会等事项由采购人进行答复。</w:t>
            </w:r>
          </w:p>
          <w:p w14:paraId="67B0D16A">
            <w:pPr>
              <w:keepNext w:val="0"/>
              <w:keepLines w:val="0"/>
              <w:pageBreakBefore w:val="0"/>
              <w:kinsoku/>
              <w:wordWrap/>
              <w:overflowPunct/>
              <w:topLinePunct w:val="0"/>
              <w:autoSpaceDE/>
              <w:autoSpaceDN/>
              <w:bidi w:val="0"/>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涉及流程规范性、组织程序等相关事项，由代理机构进行答复。</w:t>
            </w:r>
          </w:p>
        </w:tc>
      </w:tr>
      <w:tr w14:paraId="2566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26" w:type="pct"/>
            <w:vAlign w:val="center"/>
          </w:tcPr>
          <w:p w14:paraId="291D1747">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12</w:t>
            </w:r>
          </w:p>
        </w:tc>
        <w:tc>
          <w:tcPr>
            <w:tcW w:w="865" w:type="pct"/>
            <w:vAlign w:val="center"/>
          </w:tcPr>
          <w:p w14:paraId="5EECBC2A">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b/>
                <w:color w:val="auto"/>
                <w:highlight w:val="none"/>
              </w:rPr>
              <w:t>特别说明</w:t>
            </w:r>
          </w:p>
        </w:tc>
        <w:tc>
          <w:tcPr>
            <w:tcW w:w="3708" w:type="pct"/>
            <w:vAlign w:val="center"/>
          </w:tcPr>
          <w:p w14:paraId="10A6E008">
            <w:pPr>
              <w:keepNext w:val="0"/>
              <w:keepLines w:val="0"/>
              <w:pageBreakBefore w:val="0"/>
              <w:kinsoku/>
              <w:wordWrap/>
              <w:overflowPunct/>
              <w:topLinePunct w:val="0"/>
              <w:autoSpaceDE/>
              <w:autoSpaceDN/>
              <w:bidi w:val="0"/>
              <w:spacing w:after="0"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color w:val="auto"/>
                <w:highlight w:val="none"/>
              </w:rPr>
              <w:t>本项目通用总则条款与前附表等专用特别规定有冲突之处，以专用条款（特别规定）为准</w:t>
            </w:r>
            <w:r>
              <w:rPr>
                <w:rFonts w:hint="eastAsia" w:ascii="宋体" w:hAnsi="宋体" w:eastAsia="宋体" w:cs="宋体"/>
                <w:b/>
                <w:color w:val="auto"/>
                <w:highlight w:val="none"/>
                <w:lang w:eastAsia="zh-CN"/>
              </w:rPr>
              <w:t>。</w:t>
            </w:r>
          </w:p>
        </w:tc>
      </w:tr>
      <w:tr w14:paraId="179A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26" w:type="pct"/>
            <w:vAlign w:val="center"/>
          </w:tcPr>
          <w:p w14:paraId="5560C439">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13</w:t>
            </w:r>
          </w:p>
        </w:tc>
        <w:tc>
          <w:tcPr>
            <w:tcW w:w="865" w:type="pct"/>
            <w:vAlign w:val="center"/>
          </w:tcPr>
          <w:p w14:paraId="58651BE8">
            <w:pPr>
              <w:keepNext w:val="0"/>
              <w:keepLines w:val="0"/>
              <w:pageBreakBefore w:val="0"/>
              <w:kinsoku/>
              <w:wordWrap/>
              <w:overflowPunct/>
              <w:topLinePunct w:val="0"/>
              <w:autoSpaceDE/>
              <w:autoSpaceDN/>
              <w:bidi w:val="0"/>
              <w:spacing w:after="0" w:line="340" w:lineRule="exact"/>
              <w:jc w:val="center"/>
              <w:textAlignment w:val="auto"/>
              <w:rPr>
                <w:rFonts w:ascii="宋体" w:hAnsi="宋体" w:eastAsia="宋体" w:cs="宋体"/>
                <w:b/>
                <w:color w:val="auto"/>
                <w:highlight w:val="none"/>
              </w:rPr>
            </w:pPr>
            <w:r>
              <w:rPr>
                <w:rFonts w:hint="eastAsia" w:ascii="宋体" w:hAnsi="宋体" w:eastAsia="宋体" w:cs="宋体"/>
                <w:b/>
                <w:color w:val="auto"/>
                <w:highlight w:val="none"/>
              </w:rPr>
              <w:t>其他</w:t>
            </w:r>
          </w:p>
        </w:tc>
        <w:tc>
          <w:tcPr>
            <w:tcW w:w="3708" w:type="pct"/>
            <w:vAlign w:val="center"/>
          </w:tcPr>
          <w:p w14:paraId="5B8179A3">
            <w:pPr>
              <w:keepNext w:val="0"/>
              <w:keepLines w:val="0"/>
              <w:pageBreakBefore w:val="0"/>
              <w:kinsoku/>
              <w:wordWrap/>
              <w:overflowPunct/>
              <w:topLinePunct w:val="0"/>
              <w:autoSpaceDE/>
              <w:autoSpaceDN/>
              <w:bidi w:val="0"/>
              <w:spacing w:after="0" w:line="340" w:lineRule="exact"/>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rPr>
              <w:t>中标单位在中标后提供纸质投标文件一正二副（需加盖公章）</w:t>
            </w:r>
            <w:r>
              <w:rPr>
                <w:rFonts w:hint="eastAsia" w:ascii="宋体" w:hAnsi="宋体" w:eastAsia="宋体" w:cs="宋体"/>
                <w:b/>
                <w:color w:val="auto"/>
                <w:highlight w:val="none"/>
                <w:lang w:eastAsia="zh-CN"/>
              </w:rPr>
              <w:t>。</w:t>
            </w:r>
          </w:p>
        </w:tc>
      </w:tr>
    </w:tbl>
    <w:p w14:paraId="3EF3D973">
      <w:pPr>
        <w:rPr>
          <w:rFonts w:ascii="宋体" w:hAnsi="宋体" w:eastAsia="宋体" w:cs="宋体"/>
          <w:color w:val="auto"/>
          <w:highlight w:val="none"/>
        </w:rPr>
      </w:pPr>
    </w:p>
    <w:p w14:paraId="441F91F8">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59ED2803">
      <w:pPr>
        <w:pStyle w:val="6"/>
        <w:rPr>
          <w:rFonts w:ascii="宋体" w:hAnsi="宋体" w:eastAsia="宋体" w:cs="宋体"/>
          <w:color w:val="auto"/>
          <w:highlight w:val="none"/>
        </w:rPr>
      </w:pPr>
      <w:r>
        <w:rPr>
          <w:rFonts w:hint="eastAsia" w:ascii="宋体" w:hAnsi="宋体" w:eastAsia="宋体" w:cs="宋体"/>
          <w:color w:val="auto"/>
          <w:highlight w:val="none"/>
        </w:rPr>
        <w:t>一、总则</w:t>
      </w:r>
    </w:p>
    <w:p w14:paraId="2449163D">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1.适用范围</w:t>
      </w:r>
    </w:p>
    <w:p w14:paraId="3DB0D78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本招标文件适用于该项目的招标、投标、开标、资格审查及信用信息查询、评标、定标、合同、验收等行为（法律、法规另有规定的，从其规定）。</w:t>
      </w:r>
    </w:p>
    <w:p w14:paraId="5A747B2E">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2.定义</w:t>
      </w:r>
    </w:p>
    <w:p w14:paraId="2FDD83B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2.1“采购人”系指招标公告中载明的本项目的采购人。</w:t>
      </w:r>
    </w:p>
    <w:p w14:paraId="3761DDD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2.2“代理机构”系指招标公告中载明的本项目的代理机构。</w:t>
      </w:r>
    </w:p>
    <w:p w14:paraId="02AEDCC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2.3“投标人”系指是指响应招标、参加投标竞争的法人、其他组织或者自然人。</w:t>
      </w:r>
    </w:p>
    <w:p w14:paraId="34EE7C1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2.4“负责人”系指法人企业的法定负责人，或其他组织为法律、行政法规规定代表单位行使职权的主要负责人，或自然人本人。</w:t>
      </w:r>
    </w:p>
    <w:p w14:paraId="3CDB72B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2.5“电子签名”系指数据电文中以电子形式所含、所附用于识别签名人身份并表明签名人认可其中内容的数据，投标人电子签名指投标人电子公章；“公章”系指单位法定名称章。</w:t>
      </w:r>
    </w:p>
    <w:p w14:paraId="77BB99B3">
      <w:pPr>
        <w:spacing w:line="480" w:lineRule="exact"/>
        <w:ind w:firstLine="420" w:firstLineChars="175"/>
        <w:rPr>
          <w:rFonts w:hint="eastAsia" w:ascii="宋体" w:hAnsi="宋体" w:eastAsia="宋体" w:cs="宋体"/>
          <w:color w:val="auto"/>
          <w:kern w:val="2"/>
          <w:highlight w:val="none"/>
        </w:rPr>
      </w:pPr>
      <w:r>
        <w:rPr>
          <w:rFonts w:hint="eastAsia" w:ascii="宋体" w:hAnsi="宋体" w:eastAsia="宋体" w:cs="宋体"/>
          <w:color w:val="auto"/>
          <w:kern w:val="2"/>
          <w:highlight w:val="none"/>
        </w:rPr>
        <w:t>2.6</w:t>
      </w:r>
      <w:r>
        <w:rPr>
          <w:rFonts w:hint="eastAsia" w:ascii="宋体" w:hAnsi="宋体" w:eastAsia="宋体" w:cs="宋体"/>
          <w:color w:val="auto"/>
          <w:highlight w:val="none"/>
        </w:rPr>
        <w:t>“电子交易平台”是指本项目交易活动所依托的乐采云平台（www.lecaiyun.com）</w:t>
      </w:r>
      <w:r>
        <w:rPr>
          <w:rFonts w:hint="eastAsia" w:ascii="宋体" w:hAnsi="宋体" w:eastAsia="宋体" w:cs="宋体"/>
          <w:color w:val="auto"/>
          <w:kern w:val="2"/>
          <w:highlight w:val="none"/>
        </w:rPr>
        <w:t>。</w:t>
      </w:r>
    </w:p>
    <w:p w14:paraId="21426CDB">
      <w:pPr>
        <w:spacing w:line="480" w:lineRule="exact"/>
        <w:ind w:firstLine="420" w:firstLineChars="175"/>
        <w:rPr>
          <w:rFonts w:ascii="宋体" w:hAnsi="宋体" w:eastAsia="宋体" w:cs="宋体"/>
          <w:color w:val="auto"/>
          <w:kern w:val="2"/>
          <w:highlight w:val="none"/>
        </w:rPr>
      </w:pPr>
      <w:r>
        <w:rPr>
          <w:rFonts w:hint="eastAsia" w:ascii="宋体" w:hAnsi="宋体" w:eastAsia="宋体" w:cs="宋体"/>
          <w:color w:val="auto"/>
          <w:kern w:val="2"/>
          <w:highlight w:val="none"/>
        </w:rPr>
        <w:t>2.7 “▲” 系指实质性要求条款，“（√）” 系指适用本项目的要求，“（  ）”系指不适用本项目的要求。</w:t>
      </w:r>
    </w:p>
    <w:p w14:paraId="1448E670">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3.询问、质疑、投诉</w:t>
      </w:r>
    </w:p>
    <w:p w14:paraId="7CE3EE4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3.1供应商询问</w:t>
      </w:r>
    </w:p>
    <w:p w14:paraId="0A5962B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D06A8B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3.2供应商质疑</w:t>
      </w:r>
    </w:p>
    <w:p w14:paraId="3F4BE9F9">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3.2.1提出质疑的供应商应当是参与所质疑项目采购活动的供应商。潜在供应商已依法获取其可质疑的招标文件的，可以对该文件提出质疑。</w:t>
      </w:r>
    </w:p>
    <w:p w14:paraId="42BB9B2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3.2.2供应商认为招标文件、采购过程和中标结果使自己的权益受到损害的，可以在知道或者应知其权益受到损害之日起七个工作日内，以书面形式向采购人或者代理机构提出质疑，否则，采购人或者代理机构不予受理：</w:t>
      </w:r>
    </w:p>
    <w:p w14:paraId="771D0F3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3.2.2.1对招标文件提出质疑的，质疑期限为供应商获得招标文件之日或者招标文件公告期限届满之日起计算。</w:t>
      </w:r>
    </w:p>
    <w:p w14:paraId="2BD13EE9">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3.2.2.2对采购过程提出质疑的，质疑期限为各采购程序环节结束之日起计算。对同一采购程序环节的质疑，供应商须一次性提出。</w:t>
      </w:r>
    </w:p>
    <w:p w14:paraId="7382DDD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3.2.2.3对采购结果提出质疑的，质疑期限自采购结果公告期限届满之日起计算。</w:t>
      </w:r>
    </w:p>
    <w:p w14:paraId="7C7BA599">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3.2.3供应商提出质疑应当提交质疑函和必要的证明材料。质疑函应当包括下列内容：</w:t>
      </w:r>
    </w:p>
    <w:p w14:paraId="756052AE">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3.2.3.1供应商的姓名或者名称、地址、邮编、联系人及联系电话；</w:t>
      </w:r>
    </w:p>
    <w:p w14:paraId="59685F2C">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3.2.3.2质疑项目的名称、编号；</w:t>
      </w:r>
    </w:p>
    <w:p w14:paraId="76193159">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3.2.3.3具体、明确的质疑事项和与质疑事项相关的请求；</w:t>
      </w:r>
    </w:p>
    <w:p w14:paraId="44B16119">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3.2.3.4事实依据；</w:t>
      </w:r>
    </w:p>
    <w:p w14:paraId="63F48250">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3.2.3.5必要的法律依据；</w:t>
      </w:r>
    </w:p>
    <w:p w14:paraId="7104C640">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3.2.3.6提出质疑的日期。</w:t>
      </w:r>
    </w:p>
    <w:p w14:paraId="04B0293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供应商提交的质疑函需一式三份。供应商为自然人的，应当由本人签字；供应商为法人或者其他组织的，应当由法定代表人、主要负责人，或者其授权代表签字或者盖章，并加盖公章。</w:t>
      </w:r>
    </w:p>
    <w:p w14:paraId="62DAEE9B">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质疑函范本及制作说明详见附件1。</w:t>
      </w:r>
    </w:p>
    <w:p w14:paraId="5F43352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3.2.4采购人或者代理机构应当在收到供应商的书面质疑后七个工作日内作出答复，并以书面形式通知质疑供应商和其他与质疑处理结果有利害关系的采购当事人，但答复的内容不得涉及商业秘密。</w:t>
      </w:r>
    </w:p>
    <w:p w14:paraId="530CB4E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3.2.5询问或者质疑事项可能影响采购结果的，采购人应当暂停签订合同，已经签订合同的，应当中止履行合同。</w:t>
      </w:r>
    </w:p>
    <w:p w14:paraId="1BD58E2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3.3供应商投诉</w:t>
      </w:r>
    </w:p>
    <w:p w14:paraId="1F9F3807">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3.3.1质疑供应商对采购人、代理机构的答复不满意或者采购人、代理机构未在规定的时间内作出答复的，可以在答复期满后十五个工作日内向有关部门提出投诉。</w:t>
      </w:r>
    </w:p>
    <w:p w14:paraId="1D0956C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3.3.2供应商投诉的事项不得超出已质疑事项的范围，基于质疑答复内容提出的投诉事项除外。</w:t>
      </w:r>
    </w:p>
    <w:p w14:paraId="76DF96DB">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3.3.3供应商投诉应当有明确的请求和必要的证明材料。</w:t>
      </w:r>
    </w:p>
    <w:p w14:paraId="26BFA4E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投诉书范本及制作说明详见附件2。</w:t>
      </w:r>
    </w:p>
    <w:p w14:paraId="0CD5B00F">
      <w:pPr>
        <w:pStyle w:val="6"/>
        <w:rPr>
          <w:rFonts w:ascii="宋体" w:hAnsi="宋体" w:eastAsia="宋体" w:cs="宋体"/>
          <w:color w:val="auto"/>
          <w:highlight w:val="none"/>
        </w:rPr>
      </w:pPr>
      <w:r>
        <w:rPr>
          <w:rFonts w:hint="eastAsia" w:ascii="宋体" w:hAnsi="宋体" w:eastAsia="宋体" w:cs="宋体"/>
          <w:color w:val="auto"/>
          <w:highlight w:val="none"/>
        </w:rPr>
        <w:t>二、招标文件的构成、澄清、修改</w:t>
      </w:r>
    </w:p>
    <w:p w14:paraId="598AA3F6">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4．招标文件的构成</w:t>
      </w:r>
    </w:p>
    <w:p w14:paraId="18B81F3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4.1招标文件包括下列文件及附件：</w:t>
      </w:r>
    </w:p>
    <w:p w14:paraId="05A61CCD">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4.1.1招标公告；</w:t>
      </w:r>
    </w:p>
    <w:p w14:paraId="05207AD7">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4.1.2投标人须知；</w:t>
      </w:r>
    </w:p>
    <w:p w14:paraId="152C901F">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4.1.3采购需求；</w:t>
      </w:r>
    </w:p>
    <w:p w14:paraId="7ABB96EF">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4.1.4评标办法；</w:t>
      </w:r>
    </w:p>
    <w:p w14:paraId="5A8F6EEE">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4.1.5拟签订的合同文本；</w:t>
      </w:r>
    </w:p>
    <w:p w14:paraId="3971E370">
      <w:pPr>
        <w:widowControl w:val="0"/>
        <w:adjustRightInd w:val="0"/>
        <w:spacing w:after="0" w:line="48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4.1.6应提交的有关格式范例。</w:t>
      </w:r>
    </w:p>
    <w:p w14:paraId="56CA6D4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4.2与本项目有关的澄清或者修改的内容为招标文件的组成部分。</w:t>
      </w:r>
    </w:p>
    <w:p w14:paraId="125CD22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5.招标文件的澄清、修改</w:t>
      </w:r>
    </w:p>
    <w:p w14:paraId="1641873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5.1已获取招标文件的潜在投标人，若有问题需要澄清，应于投标截止时间前，以书面形式向代理机构提出。</w:t>
      </w:r>
    </w:p>
    <w:p w14:paraId="7161A246">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5.2 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6A08447">
      <w:pPr>
        <w:pStyle w:val="6"/>
        <w:rPr>
          <w:rFonts w:ascii="宋体" w:hAnsi="宋体" w:eastAsia="宋体" w:cs="宋体"/>
          <w:color w:val="auto"/>
          <w:highlight w:val="none"/>
        </w:rPr>
      </w:pPr>
      <w:r>
        <w:rPr>
          <w:rFonts w:hint="eastAsia" w:ascii="宋体" w:hAnsi="宋体" w:eastAsia="宋体" w:cs="宋体"/>
          <w:color w:val="auto"/>
          <w:highlight w:val="none"/>
        </w:rPr>
        <w:t>三、投标</w:t>
      </w:r>
    </w:p>
    <w:p w14:paraId="243A049F">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6.招标文件的获取</w:t>
      </w:r>
    </w:p>
    <w:p w14:paraId="7401CF6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详见招标公告中获取招标文件的时间期限、地点、方式及招标文件售价。</w:t>
      </w:r>
    </w:p>
    <w:p w14:paraId="7B0F27A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7.开标前答疑会或现场考察</w:t>
      </w:r>
    </w:p>
    <w:p w14:paraId="2D0DC6A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采购人组织潜在投标人现场考察或者召开开标前答疑会的，潜在投标人按第二部分投标人须知前附表的规定参加现场考察或者开标前答疑会。</w:t>
      </w:r>
    </w:p>
    <w:p w14:paraId="56538422">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8.投标保证金</w:t>
      </w:r>
    </w:p>
    <w:p w14:paraId="4EC0B8D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本项目不需缴纳投标保证金。</w:t>
      </w:r>
    </w:p>
    <w:p w14:paraId="47D1D64B">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9.投标文件的语言</w:t>
      </w:r>
    </w:p>
    <w:p w14:paraId="1F1395F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投标文件及投标人与采购有关的来往通知、函件和文件均应使用中文。</w:t>
      </w:r>
    </w:p>
    <w:p w14:paraId="7798AAD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10.投标文件的组成</w:t>
      </w:r>
    </w:p>
    <w:p w14:paraId="4472A66F">
      <w:pPr>
        <w:widowControl w:val="0"/>
        <w:adjustRightInd w:val="0"/>
        <w:spacing w:after="0" w:line="480" w:lineRule="exact"/>
        <w:ind w:firstLine="422" w:firstLineChars="175"/>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10.1资格文件：</w:t>
      </w:r>
    </w:p>
    <w:p w14:paraId="047FAC8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10.1.1符合参加采购活动应当具备的一般条件的承诺函；</w:t>
      </w:r>
    </w:p>
    <w:p w14:paraId="7EAE8D42">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10.1.2本项目的特定资格要求。</w:t>
      </w:r>
    </w:p>
    <w:p w14:paraId="743FB51F">
      <w:pPr>
        <w:widowControl w:val="0"/>
        <w:adjustRightInd w:val="0"/>
        <w:spacing w:after="0" w:line="480" w:lineRule="exact"/>
        <w:ind w:firstLine="422" w:firstLineChars="175"/>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10.2商务技术文件：</w:t>
      </w:r>
    </w:p>
    <w:p w14:paraId="2427DA05">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10.2.1投标函； </w:t>
      </w:r>
    </w:p>
    <w:p w14:paraId="355863D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10.2.2授权委托书或法定代表人（单位负责人、自然人本人）身份证明；</w:t>
      </w:r>
    </w:p>
    <w:p w14:paraId="63AEB1F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10.2.3符合性审查资料；</w:t>
      </w:r>
    </w:p>
    <w:p w14:paraId="78A39B19">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10.2.4评标标准相应的商务技术资料；</w:t>
      </w:r>
    </w:p>
    <w:p w14:paraId="6F6592A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10.2.5投标标的清单；</w:t>
      </w:r>
    </w:p>
    <w:p w14:paraId="2B42AF3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10.2.6商务技术偏离表；</w:t>
      </w:r>
    </w:p>
    <w:p w14:paraId="6FD4E93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10.2.7采购供应商廉洁自律承诺书。</w:t>
      </w:r>
    </w:p>
    <w:p w14:paraId="1DD197CB">
      <w:pPr>
        <w:widowControl w:val="0"/>
        <w:adjustRightInd w:val="0"/>
        <w:spacing w:after="0" w:line="480" w:lineRule="exact"/>
        <w:ind w:firstLine="422" w:firstLineChars="175"/>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10.3报价文件：</w:t>
      </w:r>
    </w:p>
    <w:p w14:paraId="7E0CCF7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10.3.1开标一览表（报价表）。</w:t>
      </w:r>
    </w:p>
    <w:p w14:paraId="3D4471AA">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投标文件含有采购人不能接受的附加条件的，投标无效；</w:t>
      </w:r>
    </w:p>
    <w:p w14:paraId="17205BAB">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投标人提供虚假材料投标的，投标无效。</w:t>
      </w:r>
    </w:p>
    <w:p w14:paraId="7D981081">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11.投标文件的编制</w:t>
      </w:r>
    </w:p>
    <w:p w14:paraId="324BC6A7">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11.1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2B3B5D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11.2投标人进行电子投标应安装客户端软件—“乐采云电子交易客户端”，并按照招标文件和电子交易平台的要求编制并加密投标文件。投标人未按规定加密的投标文件，电子交易平台将拒收并提示。</w:t>
      </w:r>
    </w:p>
    <w:p w14:paraId="501D599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11.3使用“乐采云电子交易客户端”需要提前申领CA数字证书，申领流程请自行前往“</w:t>
      </w:r>
      <w:r>
        <w:rPr>
          <w:rFonts w:hint="eastAsia" w:ascii="宋体" w:hAnsi="宋体" w:eastAsia="宋体" w:cs="宋体"/>
          <w:color w:val="auto"/>
          <w:kern w:val="2"/>
          <w:highlight w:val="none"/>
          <w:lang w:eastAsia="zh-CN"/>
        </w:rPr>
        <w:t>浙江企业采购信息服务网</w:t>
      </w:r>
      <w:r>
        <w:rPr>
          <w:rFonts w:hint="eastAsia" w:ascii="宋体" w:hAnsi="宋体" w:eastAsia="宋体" w:cs="宋体"/>
          <w:color w:val="auto"/>
          <w:kern w:val="2"/>
          <w:highlight w:val="none"/>
        </w:rPr>
        <w:t>－下载专区－电子交易客户端-CA驱动和申领流程”进行查阅。</w:t>
      </w:r>
    </w:p>
    <w:p w14:paraId="3C9C1F10">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12.投标文件的签署、盖章</w:t>
      </w:r>
    </w:p>
    <w:p w14:paraId="4D6ACDEE">
      <w:pPr>
        <w:widowControl w:val="0"/>
        <w:adjustRightInd w:val="0"/>
        <w:spacing w:after="0" w:line="480" w:lineRule="exact"/>
        <w:ind w:firstLine="420" w:firstLineChars="175"/>
        <w:jc w:val="both"/>
        <w:rPr>
          <w:rFonts w:ascii="宋体" w:hAnsi="宋体" w:eastAsia="宋体" w:cs="宋体"/>
          <w:b/>
          <w:bCs/>
          <w:color w:val="auto"/>
          <w:kern w:val="2"/>
          <w:highlight w:val="none"/>
        </w:rPr>
      </w:pPr>
      <w:r>
        <w:rPr>
          <w:rFonts w:hint="eastAsia" w:ascii="宋体" w:hAnsi="宋体" w:eastAsia="宋体" w:cs="宋体"/>
          <w:color w:val="auto"/>
          <w:kern w:val="2"/>
          <w:highlight w:val="none"/>
        </w:rPr>
        <w:t>12.1投标文件按照招标文件第六部分格式要求进行签署、盖章。</w:t>
      </w:r>
      <w:r>
        <w:rPr>
          <w:rFonts w:hint="eastAsia" w:ascii="宋体" w:hAnsi="宋体" w:eastAsia="宋体" w:cs="宋体"/>
          <w:b/>
          <w:bCs/>
          <w:color w:val="auto"/>
          <w:kern w:val="2"/>
          <w:highlight w:val="none"/>
        </w:rPr>
        <w:t>▲投标人的投标文件未按照招标文件要求签署、盖章的，其投标无效。</w:t>
      </w:r>
    </w:p>
    <w:p w14:paraId="3220608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12.2招标文件对投标文件签署、盖章的要求适用于电子签名。</w:t>
      </w:r>
    </w:p>
    <w:p w14:paraId="712BE5A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13.投标文件的提交、补充、修改、撤回</w:t>
      </w:r>
    </w:p>
    <w:p w14:paraId="56F0CDD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13.1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EB25C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13.2电子交易平台收到投标文件，将妥善保存并即时向供应商发出确认回执通知。在投标截止时间前，除供应商补充、修改或者撤回投标文件外，任何单位和个人不得解密或提取投标文件。</w:t>
      </w:r>
    </w:p>
    <w:p w14:paraId="2DE9E22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13.3采购人、代理机构可以视情况延长投标文件提交的截止时间。在上述情况下，代理机构与投标人以前在投标截止期方面的全部权利、责任和义务，将适用于延长至新的投标截止期。</w:t>
      </w:r>
    </w:p>
    <w:p w14:paraId="0297EBC3">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14.备份投标文件</w:t>
      </w:r>
    </w:p>
    <w:p w14:paraId="765B7FF7">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不收取。</w:t>
      </w:r>
    </w:p>
    <w:p w14:paraId="69AB55E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15.投标文件的无效处理</w:t>
      </w:r>
    </w:p>
    <w:p w14:paraId="11B7E3E0">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有招标文件第四部分4.2规定的情形之一的，投标无效。</w:t>
      </w:r>
    </w:p>
    <w:p w14:paraId="2A0F855B">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16.投标有效期</w:t>
      </w:r>
    </w:p>
    <w:p w14:paraId="4DD33CE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16.1投标有效期为从提交投标文件的截止之日起90天。</w:t>
      </w:r>
      <w:r>
        <w:rPr>
          <w:rFonts w:hint="eastAsia" w:ascii="宋体" w:hAnsi="宋体" w:eastAsia="宋体" w:cs="宋体"/>
          <w:b/>
          <w:bCs/>
          <w:color w:val="auto"/>
          <w:kern w:val="2"/>
          <w:highlight w:val="none"/>
        </w:rPr>
        <w:t>▲投标人的投标文件中承诺的投标有效期少于招标文件中载明的投标有效期的，投标无效。</w:t>
      </w:r>
    </w:p>
    <w:p w14:paraId="00C5D28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16.2投标文件合格投递后，自投标截止日期起，在投标有效期内有效。</w:t>
      </w:r>
    </w:p>
    <w:p w14:paraId="02625FA7">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16.3在原定投标有效期满之前，如果出现特殊情况，代理机构可以以书面形式通知投标人延长投标有效期。投标人同意延长的，不得要求或被允许修改其投标文件，投标人拒绝延长的，其投标无效。</w:t>
      </w:r>
    </w:p>
    <w:p w14:paraId="0617CFC6">
      <w:pPr>
        <w:pStyle w:val="6"/>
        <w:rPr>
          <w:rFonts w:ascii="宋体" w:hAnsi="宋体" w:eastAsia="宋体" w:cs="宋体"/>
          <w:color w:val="auto"/>
          <w:highlight w:val="none"/>
        </w:rPr>
      </w:pPr>
      <w:r>
        <w:rPr>
          <w:rFonts w:hint="eastAsia" w:ascii="宋体" w:hAnsi="宋体" w:eastAsia="宋体" w:cs="宋体"/>
          <w:color w:val="auto"/>
          <w:highlight w:val="none"/>
        </w:rPr>
        <w:t>四、开标、资格审查与信用信息查询</w:t>
      </w:r>
    </w:p>
    <w:p w14:paraId="2CB3233D">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17.开标</w:t>
      </w:r>
      <w:r>
        <w:rPr>
          <w:rFonts w:hint="eastAsia" w:ascii="宋体" w:hAnsi="宋体" w:eastAsia="宋体" w:cs="宋体"/>
          <w:color w:val="auto"/>
          <w:kern w:val="2"/>
          <w:highlight w:val="none"/>
        </w:rPr>
        <w:t xml:space="preserve"> </w:t>
      </w:r>
    </w:p>
    <w:p w14:paraId="707473C2">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17.1代理机构按照招标文件规定的时间通过电子交易平台组织开标，所有投标人均应当准时在线参加。投标人不足3家的，不得开标。</w:t>
      </w:r>
    </w:p>
    <w:p w14:paraId="08F0DAC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17.2开标时，电子交易平台按开标时间自动提取所有投标文件。代理机构依托电子交易平台发起开始解密指令，投标人按照平台提示和招标文件的规定在半小时内完成在线解密。</w:t>
      </w:r>
    </w:p>
    <w:p w14:paraId="25A07B9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17.3投标文件未按时解密，视为投标文件撤回。</w:t>
      </w:r>
    </w:p>
    <w:p w14:paraId="4AB147E2">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18.资格审查</w:t>
      </w:r>
    </w:p>
    <w:p w14:paraId="66DBB0B5">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18.1开标后，采购人或代理机构将依法对投标人的资格进行审查。</w:t>
      </w:r>
    </w:p>
    <w:p w14:paraId="7BE6628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18.2采购人或代理机构依据法律法规和招标文件的规定，对投标人的基本资格条件、特定资格条件进行审查。</w:t>
      </w:r>
    </w:p>
    <w:p w14:paraId="7477601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18.3投标人未按照招标文件要求提供与基本资格条件、特定资格条件相应的有效资格证明材料的，视为投标人不具备招标文件中规定的资格要求，其投标无效。</w:t>
      </w:r>
    </w:p>
    <w:p w14:paraId="2ED8768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18.4对未通过资格审查的投标人，采购人或代理机构告知其未通过的原因。</w:t>
      </w:r>
    </w:p>
    <w:p w14:paraId="14B96ED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18.5合格投标人不足3家的，不再评标。</w:t>
      </w:r>
    </w:p>
    <w:p w14:paraId="5D282822">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19.信用信息查询</w:t>
      </w:r>
    </w:p>
    <w:p w14:paraId="016D3D4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19.1信用信息查询渠道及截止时间：代理机构将通过“信用中国”网站（www.creditchina.gov.cn)、中国政府采购网（www.ccgp.gov.cn）渠道查询投标人投标截止时间当天的信用记录。</w:t>
      </w:r>
    </w:p>
    <w:p w14:paraId="2A23289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19.2信用信息查询记录和证据留存的具体方式：现场查询的投标人的信用记录、查询结果经确认后将与采购文件一起存档。</w:t>
      </w:r>
    </w:p>
    <w:p w14:paraId="76479A56">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19.3信用信息的使用规则：经查询列入失信被执行人名单、重大税收违法案件当事人名单（税收违法黑名单）、政府采购严重违法失信行为记录名单的投标人将被拒绝参与采购活动。</w:t>
      </w:r>
    </w:p>
    <w:p w14:paraId="523ABA6E">
      <w:pPr>
        <w:pStyle w:val="6"/>
        <w:rPr>
          <w:rFonts w:ascii="宋体" w:hAnsi="宋体" w:eastAsia="宋体" w:cs="宋体"/>
          <w:color w:val="auto"/>
          <w:highlight w:val="none"/>
        </w:rPr>
      </w:pPr>
      <w:r>
        <w:rPr>
          <w:rFonts w:hint="eastAsia" w:ascii="宋体" w:hAnsi="宋体" w:eastAsia="宋体" w:cs="宋体"/>
          <w:color w:val="auto"/>
          <w:highlight w:val="none"/>
        </w:rPr>
        <w:t>五、评标</w:t>
      </w:r>
    </w:p>
    <w:p w14:paraId="1027B267">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20.评标</w:t>
      </w:r>
    </w:p>
    <w:p w14:paraId="2FE0184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14:paraId="02FE74F0">
      <w:pPr>
        <w:pStyle w:val="6"/>
        <w:rPr>
          <w:rFonts w:ascii="宋体" w:hAnsi="宋体" w:eastAsia="宋体" w:cs="宋体"/>
          <w:color w:val="auto"/>
          <w:highlight w:val="none"/>
        </w:rPr>
      </w:pPr>
      <w:r>
        <w:rPr>
          <w:rFonts w:hint="eastAsia" w:ascii="宋体" w:hAnsi="宋体" w:eastAsia="宋体" w:cs="宋体"/>
          <w:color w:val="auto"/>
          <w:highlight w:val="none"/>
        </w:rPr>
        <w:t>六、定 标</w:t>
      </w:r>
    </w:p>
    <w:p w14:paraId="2E145066">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21.确定中标供应商</w:t>
      </w:r>
    </w:p>
    <w:p w14:paraId="0F3141D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采购人将自收到评审报告之日起5个工作日内通过电子交易平台在评审报告推荐的中标候选人中按顺序确定中标供应商。</w:t>
      </w:r>
    </w:p>
    <w:p w14:paraId="2984A757">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22.中标通知与中标结果公告</w:t>
      </w:r>
    </w:p>
    <w:p w14:paraId="707B17F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22.1自中标人确定之日起2个工作日内，代理机构通过电子交易平台向中标人发出中标通知书，同时编制发布采购结果公告。代理机构也可以以纸质形式进行中标通知。</w:t>
      </w:r>
    </w:p>
    <w:p w14:paraId="3DFF8562">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22.2中标结果公告内容包括采购人及其委托的代理机构的名称、地址、联系方式，项目名称和项目编号，中标人名称、地址和中标金额。</w:t>
      </w:r>
    </w:p>
    <w:p w14:paraId="0D8A7635">
      <w:pPr>
        <w:widowControl w:val="0"/>
        <w:adjustRightInd w:val="0"/>
        <w:spacing w:after="0" w:line="480" w:lineRule="exact"/>
        <w:ind w:firstLine="420" w:firstLineChars="175"/>
        <w:jc w:val="both"/>
        <w:rPr>
          <w:rFonts w:ascii="宋体" w:hAnsi="宋体" w:eastAsia="宋体" w:cs="宋体"/>
          <w:color w:val="auto"/>
          <w:highlight w:val="none"/>
        </w:rPr>
      </w:pPr>
      <w:r>
        <w:rPr>
          <w:rFonts w:hint="eastAsia" w:ascii="宋体" w:hAnsi="宋体" w:eastAsia="宋体" w:cs="宋体"/>
          <w:color w:val="auto"/>
          <w:kern w:val="2"/>
          <w:highlight w:val="none"/>
        </w:rPr>
        <w:t>22.3公告期限为1个工作日。</w:t>
      </w:r>
    </w:p>
    <w:p w14:paraId="0050ABA5">
      <w:pPr>
        <w:pStyle w:val="6"/>
        <w:rPr>
          <w:rFonts w:ascii="宋体" w:hAnsi="宋体" w:eastAsia="宋体" w:cs="宋体"/>
          <w:color w:val="auto"/>
          <w:highlight w:val="none"/>
        </w:rPr>
      </w:pPr>
      <w:r>
        <w:rPr>
          <w:rFonts w:hint="eastAsia" w:ascii="宋体" w:hAnsi="宋体" w:eastAsia="宋体" w:cs="宋体"/>
          <w:color w:val="auto"/>
          <w:highlight w:val="none"/>
        </w:rPr>
        <w:t>七、合同授予</w:t>
      </w:r>
    </w:p>
    <w:p w14:paraId="4D6B77E4">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23.合同主要条款详见第五部分拟签订的合同文本。</w:t>
      </w:r>
    </w:p>
    <w:p w14:paraId="56421F38">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24.合同的签订</w:t>
      </w:r>
    </w:p>
    <w:p w14:paraId="2383E230">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24.1采购人与中标人应当通过电子交易平台在中标通知书发出之日起三十日内，按照招标文件确定的事项签订采购合同，并在合同签订之日起2个工作日内依法发布合同公告。</w:t>
      </w:r>
    </w:p>
    <w:p w14:paraId="3DB1009D">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24.2中标人按规定的日期、时间、地点，由法定代表人或其授权代表与采购人代表签订合同。</w:t>
      </w:r>
    </w:p>
    <w:p w14:paraId="5967D37C">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24.3如签订合同并生效后，供应商无故拒绝或延期，除按照合同条款处理外，列入不良行为记录一次，并给予通报。</w:t>
      </w:r>
    </w:p>
    <w:p w14:paraId="28899910">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24.4中标供应商拒绝与采购人签订合同的，采购人可以按照评审报告推荐的中标或者成交候选人名单排序，确定下一候选人为中标供应商，也可以重新开展政府采购活动。</w:t>
      </w:r>
    </w:p>
    <w:p w14:paraId="6EDB079F">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24.5采购合同由采购人与中标供应商根据招标文件、投标文件等内容签订。</w:t>
      </w:r>
    </w:p>
    <w:p w14:paraId="3343E40C">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25.履约保证金：</w:t>
      </w:r>
      <w:r>
        <w:rPr>
          <w:rFonts w:hint="eastAsia" w:ascii="宋体" w:hAnsi="宋体" w:eastAsia="宋体" w:cs="宋体"/>
          <w:color w:val="auto"/>
          <w:kern w:val="2"/>
          <w:highlight w:val="none"/>
        </w:rPr>
        <w:t>详见前附表。</w:t>
      </w:r>
    </w:p>
    <w:p w14:paraId="1A42B16A">
      <w:pPr>
        <w:pStyle w:val="6"/>
        <w:rPr>
          <w:rFonts w:ascii="宋体" w:hAnsi="宋体" w:eastAsia="宋体" w:cs="宋体"/>
          <w:color w:val="auto"/>
          <w:highlight w:val="none"/>
        </w:rPr>
      </w:pPr>
      <w:r>
        <w:rPr>
          <w:rFonts w:hint="eastAsia" w:ascii="宋体" w:hAnsi="宋体" w:eastAsia="宋体" w:cs="宋体"/>
          <w:color w:val="auto"/>
          <w:highlight w:val="none"/>
        </w:rPr>
        <w:t>八、电子交易活动的中止</w:t>
      </w:r>
    </w:p>
    <w:p w14:paraId="53FF00B9">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26.电子交易活动的中止。</w:t>
      </w:r>
    </w:p>
    <w:p w14:paraId="04B113DF">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采购过程中出现以下情形，导致电子交易平台无法正常运行，或者无法保证电子交易的公平、公正和安全时，代理机构可中止电子交易活动：</w:t>
      </w:r>
    </w:p>
    <w:p w14:paraId="2DCD1BE1">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26.1电子交易平台发生故障而无法登录访问的； </w:t>
      </w:r>
    </w:p>
    <w:p w14:paraId="08B399A3">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26.2电子交易平台应用或数据库出现错误，不能进行正常操作的；</w:t>
      </w:r>
    </w:p>
    <w:p w14:paraId="008FF578">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26.3电子交易平台发现严重安全漏洞，有潜在泄密危险的；</w:t>
      </w:r>
    </w:p>
    <w:p w14:paraId="7E4FB58C">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26.4病毒发作导致不能进行正常操作的； </w:t>
      </w:r>
    </w:p>
    <w:p w14:paraId="0867F722">
      <w:pPr>
        <w:widowControl w:val="0"/>
        <w:adjustRightInd w:val="0"/>
        <w:spacing w:after="0" w:line="480" w:lineRule="exact"/>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26.5其他无法保证电子交易的公平、公正和安全的情况。</w:t>
      </w:r>
    </w:p>
    <w:p w14:paraId="5D93D38E">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color w:val="auto"/>
          <w:kern w:val="2"/>
          <w:highlight w:val="none"/>
        </w:rPr>
        <w:t>27.出现以上情形，不影响采购公平、公正性的，采购组织机构可以待上述情形消除后继续组织电子交易活动，也可以决定某些环节以纸质形式进行；影响或可能影响采购公平、公正性的，应当重新采购。</w:t>
      </w:r>
    </w:p>
    <w:p w14:paraId="032D8335">
      <w:pPr>
        <w:pStyle w:val="6"/>
        <w:rPr>
          <w:rFonts w:ascii="宋体" w:hAnsi="宋体" w:eastAsia="宋体" w:cs="宋体"/>
          <w:color w:val="auto"/>
          <w:highlight w:val="none"/>
        </w:rPr>
      </w:pPr>
      <w:r>
        <w:rPr>
          <w:rFonts w:hint="eastAsia" w:ascii="宋体" w:hAnsi="宋体" w:eastAsia="宋体" w:cs="宋体"/>
          <w:color w:val="auto"/>
          <w:highlight w:val="none"/>
        </w:rPr>
        <w:t>九、验收</w:t>
      </w:r>
    </w:p>
    <w:p w14:paraId="032974C0">
      <w:pPr>
        <w:widowControl w:val="0"/>
        <w:adjustRightInd w:val="0"/>
        <w:spacing w:after="0" w:line="480" w:lineRule="exact"/>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28.验收</w:t>
      </w:r>
    </w:p>
    <w:p w14:paraId="1A824275">
      <w:pPr>
        <w:spacing w:line="276" w:lineRule="auto"/>
        <w:ind w:firstLine="480" w:firstLineChars="200"/>
        <w:rPr>
          <w:rFonts w:ascii="宋体" w:hAnsi="宋体" w:eastAsia="宋体" w:cs="宋体"/>
          <w:color w:val="auto"/>
          <w:highlight w:val="none"/>
        </w:rPr>
      </w:pPr>
      <w:r>
        <w:rPr>
          <w:rFonts w:hint="eastAsia" w:ascii="宋体" w:hAnsi="宋体" w:eastAsia="宋体" w:cs="宋体"/>
          <w:color w:val="auto"/>
          <w:kern w:val="2"/>
          <w:highlight w:val="none"/>
        </w:rPr>
        <w:t>28.1采购人应当组织对供应商履约的验收。</w:t>
      </w:r>
    </w:p>
    <w:p w14:paraId="7E80152F">
      <w:pPr>
        <w:rPr>
          <w:rFonts w:ascii="宋体" w:hAnsi="宋体" w:eastAsia="宋体" w:cs="宋体"/>
          <w:color w:val="auto"/>
          <w:highlight w:val="none"/>
        </w:rPr>
      </w:pPr>
      <w:r>
        <w:rPr>
          <w:rFonts w:hint="eastAsia" w:ascii="宋体" w:hAnsi="宋体" w:eastAsia="宋体" w:cs="宋体"/>
          <w:color w:val="auto"/>
          <w:highlight w:val="none"/>
        </w:rPr>
        <w:br w:type="page"/>
      </w:r>
    </w:p>
    <w:p w14:paraId="4025C771">
      <w:pPr>
        <w:pStyle w:val="5"/>
        <w:jc w:val="center"/>
        <w:rPr>
          <w:rFonts w:ascii="宋体" w:hAnsi="宋体" w:eastAsia="宋体" w:cs="宋体"/>
          <w:color w:val="auto"/>
          <w:highlight w:val="none"/>
        </w:rPr>
      </w:pPr>
      <w:r>
        <w:rPr>
          <w:rFonts w:hint="eastAsia" w:ascii="宋体" w:hAnsi="宋体" w:eastAsia="宋体" w:cs="宋体"/>
          <w:color w:val="auto"/>
          <w:highlight w:val="none"/>
        </w:rPr>
        <w:t>第三部分   采购需求</w:t>
      </w:r>
    </w:p>
    <w:p w14:paraId="5FCA565E">
      <w:pPr>
        <w:snapToGrid w:val="0"/>
        <w:jc w:val="center"/>
        <w:rPr>
          <w:rStyle w:val="58"/>
          <w:rFonts w:ascii="宋体" w:hAnsi="宋体" w:eastAsia="宋体" w:cs="宋体"/>
          <w:color w:val="auto"/>
          <w:highlight w:val="none"/>
        </w:rPr>
      </w:pPr>
      <w:r>
        <w:rPr>
          <w:rStyle w:val="58"/>
          <w:rFonts w:hint="eastAsia" w:ascii="宋体" w:hAnsi="宋体" w:eastAsia="宋体" w:cs="宋体"/>
          <w:i w:val="0"/>
          <w:iCs w:val="0"/>
          <w:color w:val="auto"/>
          <w:highlight w:val="none"/>
        </w:rPr>
        <w:t>属于实质性要求条款的，请用符号“▲”标明，否则属于非实质性要求</w:t>
      </w:r>
      <w:r>
        <w:rPr>
          <w:rStyle w:val="58"/>
          <w:rFonts w:hint="eastAsia" w:ascii="宋体" w:hAnsi="宋体" w:eastAsia="宋体" w:cs="宋体"/>
          <w:color w:val="auto"/>
          <w:highlight w:val="none"/>
        </w:rPr>
        <w:t>。</w:t>
      </w:r>
    </w:p>
    <w:p w14:paraId="0890B928">
      <w:pPr>
        <w:snapToGri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一、招标一览表</w:t>
      </w:r>
    </w:p>
    <w:p w14:paraId="69024808">
      <w:pPr>
        <w:pStyle w:val="2"/>
        <w:ind w:firstLine="240" w:firstLineChars="100"/>
        <w:rPr>
          <w:rFonts w:ascii="宋体" w:hAnsi="宋体" w:cs="宋体"/>
          <w:color w:val="auto"/>
          <w:highlight w:val="none"/>
        </w:rPr>
      </w:pPr>
      <w:r>
        <w:rPr>
          <w:rFonts w:hint="eastAsia" w:ascii="宋体" w:hAnsi="宋体" w:cs="宋体"/>
          <w:color w:val="auto"/>
          <w:highlight w:val="none"/>
        </w:rPr>
        <w:t>标项：</w:t>
      </w:r>
    </w:p>
    <w:tbl>
      <w:tblPr>
        <w:tblStyle w:val="30"/>
        <w:tblpPr w:leftFromText="180" w:rightFromText="180" w:vertAnchor="text" w:horzAnchor="margin" w:tblpXSpec="center" w:tblpY="63"/>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3"/>
        <w:gridCol w:w="2225"/>
        <w:gridCol w:w="582"/>
        <w:gridCol w:w="666"/>
        <w:gridCol w:w="1616"/>
        <w:gridCol w:w="1860"/>
        <w:gridCol w:w="1995"/>
      </w:tblGrid>
      <w:tr w14:paraId="2B05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4" w:hRule="atLeast"/>
          <w:jc w:val="center"/>
        </w:trPr>
        <w:tc>
          <w:tcPr>
            <w:tcW w:w="633" w:type="dxa"/>
            <w:tcMar>
              <w:top w:w="15" w:type="dxa"/>
              <w:left w:w="15" w:type="dxa"/>
              <w:bottom w:w="0" w:type="dxa"/>
              <w:right w:w="15" w:type="dxa"/>
            </w:tcMar>
            <w:vAlign w:val="center"/>
          </w:tcPr>
          <w:p w14:paraId="559D4BBE">
            <w:pPr>
              <w:tabs>
                <w:tab w:val="left" w:pos="0"/>
              </w:tabs>
              <w:adjustRightInd w:val="0"/>
              <w:snapToGrid w:val="0"/>
              <w:spacing w:after="0" w:line="24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标项</w:t>
            </w:r>
          </w:p>
        </w:tc>
        <w:tc>
          <w:tcPr>
            <w:tcW w:w="2225" w:type="dxa"/>
            <w:tcMar>
              <w:top w:w="15" w:type="dxa"/>
              <w:left w:w="15" w:type="dxa"/>
              <w:bottom w:w="0" w:type="dxa"/>
              <w:right w:w="15" w:type="dxa"/>
            </w:tcMar>
            <w:vAlign w:val="center"/>
          </w:tcPr>
          <w:p w14:paraId="24579E8D">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名称</w:t>
            </w:r>
          </w:p>
        </w:tc>
        <w:tc>
          <w:tcPr>
            <w:tcW w:w="582" w:type="dxa"/>
            <w:tcMar>
              <w:top w:w="15" w:type="dxa"/>
              <w:left w:w="15" w:type="dxa"/>
              <w:bottom w:w="0" w:type="dxa"/>
              <w:right w:w="15" w:type="dxa"/>
            </w:tcMar>
            <w:vAlign w:val="center"/>
          </w:tcPr>
          <w:p w14:paraId="3E82C771">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666" w:type="dxa"/>
            <w:tcMar>
              <w:top w:w="15" w:type="dxa"/>
              <w:left w:w="15" w:type="dxa"/>
              <w:bottom w:w="0" w:type="dxa"/>
              <w:right w:w="15" w:type="dxa"/>
            </w:tcMar>
            <w:vAlign w:val="center"/>
          </w:tcPr>
          <w:p w14:paraId="17118DC5">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单位</w:t>
            </w:r>
          </w:p>
        </w:tc>
        <w:tc>
          <w:tcPr>
            <w:tcW w:w="1616" w:type="dxa"/>
            <w:vAlign w:val="center"/>
          </w:tcPr>
          <w:p w14:paraId="72A6C10A">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预算（元）</w:t>
            </w:r>
          </w:p>
        </w:tc>
        <w:tc>
          <w:tcPr>
            <w:tcW w:w="1860" w:type="dxa"/>
            <w:vAlign w:val="center"/>
          </w:tcPr>
          <w:p w14:paraId="37C324C0">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简要规格描述或基本情况介绍</w:t>
            </w:r>
          </w:p>
        </w:tc>
        <w:tc>
          <w:tcPr>
            <w:tcW w:w="1995" w:type="dxa"/>
            <w:vAlign w:val="center"/>
          </w:tcPr>
          <w:p w14:paraId="473A14E9">
            <w:pPr>
              <w:tabs>
                <w:tab w:val="left" w:pos="0"/>
              </w:tabs>
              <w:adjustRightInd w:val="0"/>
              <w:snapToGrid w:val="0"/>
              <w:spacing w:after="0" w:line="240" w:lineRule="auto"/>
              <w:jc w:val="center"/>
              <w:rPr>
                <w:rFonts w:ascii="宋体" w:hAnsi="宋体" w:eastAsia="宋体" w:cs="宋体"/>
                <w:color w:val="auto"/>
                <w:highlight w:val="none"/>
              </w:rPr>
            </w:pPr>
            <w:r>
              <w:rPr>
                <w:rFonts w:hint="eastAsia" w:ascii="宋体" w:hAnsi="宋体" w:eastAsia="宋体" w:cs="宋体"/>
                <w:color w:val="auto"/>
                <w:highlight w:val="none"/>
              </w:rPr>
              <w:t>最高限价（元）</w:t>
            </w:r>
          </w:p>
        </w:tc>
      </w:tr>
      <w:tr w14:paraId="1FB0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2" w:hRule="atLeast"/>
          <w:jc w:val="center"/>
        </w:trPr>
        <w:tc>
          <w:tcPr>
            <w:tcW w:w="633" w:type="dxa"/>
            <w:tcMar>
              <w:top w:w="15" w:type="dxa"/>
              <w:left w:w="15" w:type="dxa"/>
              <w:bottom w:w="0" w:type="dxa"/>
              <w:right w:w="15" w:type="dxa"/>
            </w:tcMar>
            <w:vAlign w:val="center"/>
          </w:tcPr>
          <w:p w14:paraId="2669286A">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225" w:type="dxa"/>
            <w:tcMar>
              <w:top w:w="15" w:type="dxa"/>
              <w:left w:w="15" w:type="dxa"/>
              <w:bottom w:w="0" w:type="dxa"/>
              <w:right w:w="15" w:type="dxa"/>
            </w:tcMar>
            <w:vAlign w:val="center"/>
          </w:tcPr>
          <w:p w14:paraId="3F861AC2">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市北区块</w:t>
            </w:r>
            <w:r>
              <w:rPr>
                <w:rFonts w:hint="eastAsia" w:ascii="宋体" w:hAnsi="宋体" w:eastAsia="宋体" w:cs="宋体"/>
                <w:color w:val="auto"/>
                <w:highlight w:val="none"/>
                <w:lang w:eastAsia="zh-CN"/>
              </w:rPr>
              <w:t>公寓居住类家具</w:t>
            </w:r>
          </w:p>
        </w:tc>
        <w:tc>
          <w:tcPr>
            <w:tcW w:w="582" w:type="dxa"/>
            <w:tcMar>
              <w:top w:w="15" w:type="dxa"/>
              <w:left w:w="15" w:type="dxa"/>
              <w:bottom w:w="0" w:type="dxa"/>
              <w:right w:w="15" w:type="dxa"/>
            </w:tcMar>
            <w:vAlign w:val="center"/>
          </w:tcPr>
          <w:p w14:paraId="363EB158">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666" w:type="dxa"/>
            <w:tcMar>
              <w:top w:w="15" w:type="dxa"/>
              <w:left w:w="15" w:type="dxa"/>
              <w:bottom w:w="0" w:type="dxa"/>
              <w:right w:w="15" w:type="dxa"/>
            </w:tcMar>
            <w:vAlign w:val="center"/>
          </w:tcPr>
          <w:p w14:paraId="288B3C6B">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批</w:t>
            </w:r>
          </w:p>
        </w:tc>
        <w:tc>
          <w:tcPr>
            <w:tcW w:w="1616" w:type="dxa"/>
            <w:vAlign w:val="center"/>
          </w:tcPr>
          <w:p w14:paraId="7CAC023B">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12000000.00</w:t>
            </w:r>
          </w:p>
        </w:tc>
        <w:tc>
          <w:tcPr>
            <w:tcW w:w="1860" w:type="dxa"/>
            <w:vAlign w:val="center"/>
          </w:tcPr>
          <w:p w14:paraId="5499B829">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详见</w:t>
            </w:r>
            <w:r>
              <w:rPr>
                <w:rFonts w:hint="eastAsia" w:ascii="宋体" w:hAnsi="宋体" w:eastAsia="宋体" w:cs="宋体"/>
                <w:color w:val="auto"/>
                <w:highlight w:val="none"/>
              </w:rPr>
              <w:t>招标需求</w:t>
            </w:r>
          </w:p>
        </w:tc>
        <w:tc>
          <w:tcPr>
            <w:tcW w:w="1995" w:type="dxa"/>
            <w:vAlign w:val="center"/>
          </w:tcPr>
          <w:p w14:paraId="3B9C2B2D">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12000000.00</w:t>
            </w:r>
          </w:p>
        </w:tc>
      </w:tr>
      <w:tr w14:paraId="24F4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9" w:hRule="atLeast"/>
          <w:jc w:val="center"/>
        </w:trPr>
        <w:tc>
          <w:tcPr>
            <w:tcW w:w="633" w:type="dxa"/>
            <w:tcMar>
              <w:top w:w="15" w:type="dxa"/>
              <w:left w:w="15" w:type="dxa"/>
              <w:bottom w:w="0" w:type="dxa"/>
              <w:right w:w="15" w:type="dxa"/>
            </w:tcMar>
            <w:vAlign w:val="center"/>
          </w:tcPr>
          <w:p w14:paraId="5C102F6A">
            <w:pPr>
              <w:tabs>
                <w:tab w:val="left" w:pos="0"/>
              </w:tabs>
              <w:adjustRightInd w:val="0"/>
              <w:snapToGrid w:val="0"/>
              <w:spacing w:after="0" w:line="24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2225" w:type="dxa"/>
            <w:tcMar>
              <w:top w:w="15" w:type="dxa"/>
              <w:left w:w="15" w:type="dxa"/>
              <w:bottom w:w="0" w:type="dxa"/>
              <w:right w:w="15" w:type="dxa"/>
            </w:tcMar>
            <w:vAlign w:val="center"/>
          </w:tcPr>
          <w:p w14:paraId="504152F2">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科技城区块</w:t>
            </w:r>
            <w:r>
              <w:rPr>
                <w:rFonts w:hint="eastAsia" w:ascii="宋体" w:hAnsi="宋体" w:eastAsia="宋体" w:cs="宋体"/>
                <w:color w:val="auto"/>
                <w:highlight w:val="none"/>
                <w:lang w:eastAsia="zh-CN"/>
              </w:rPr>
              <w:t>公寓居住类家具</w:t>
            </w:r>
          </w:p>
        </w:tc>
        <w:tc>
          <w:tcPr>
            <w:tcW w:w="582" w:type="dxa"/>
            <w:tcMar>
              <w:top w:w="15" w:type="dxa"/>
              <w:left w:w="15" w:type="dxa"/>
              <w:bottom w:w="0" w:type="dxa"/>
              <w:right w:w="15" w:type="dxa"/>
            </w:tcMar>
            <w:vAlign w:val="center"/>
          </w:tcPr>
          <w:p w14:paraId="22298710">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666" w:type="dxa"/>
            <w:tcMar>
              <w:top w:w="15" w:type="dxa"/>
              <w:left w:w="15" w:type="dxa"/>
              <w:bottom w:w="0" w:type="dxa"/>
              <w:right w:w="15" w:type="dxa"/>
            </w:tcMar>
            <w:vAlign w:val="center"/>
          </w:tcPr>
          <w:p w14:paraId="0650EE97">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批</w:t>
            </w:r>
          </w:p>
        </w:tc>
        <w:tc>
          <w:tcPr>
            <w:tcW w:w="1616" w:type="dxa"/>
            <w:vAlign w:val="center"/>
          </w:tcPr>
          <w:p w14:paraId="74CAC636">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70</w:t>
            </w:r>
            <w:r>
              <w:rPr>
                <w:rFonts w:hint="eastAsia" w:ascii="宋体" w:hAnsi="宋体" w:eastAsia="宋体" w:cs="宋体"/>
                <w:color w:val="auto"/>
                <w:highlight w:val="none"/>
              </w:rPr>
              <w:t>00000.00</w:t>
            </w:r>
          </w:p>
        </w:tc>
        <w:tc>
          <w:tcPr>
            <w:tcW w:w="1860" w:type="dxa"/>
            <w:vAlign w:val="center"/>
          </w:tcPr>
          <w:p w14:paraId="46B7BB48">
            <w:pPr>
              <w:tabs>
                <w:tab w:val="left" w:pos="0"/>
              </w:tabs>
              <w:adjustRightInd w:val="0"/>
              <w:snapToGrid w:val="0"/>
              <w:spacing w:after="0" w:line="240" w:lineRule="auto"/>
              <w:jc w:val="center"/>
              <w:rPr>
                <w:rFonts w:hint="eastAsia" w:ascii="宋体" w:hAnsi="宋体" w:eastAsia="宋体" w:cs="宋体"/>
                <w:color w:val="auto"/>
                <w:highlight w:val="none"/>
                <w:lang w:eastAsia="zh-Hans"/>
              </w:rPr>
            </w:pPr>
            <w:r>
              <w:rPr>
                <w:rFonts w:hint="eastAsia" w:ascii="宋体" w:hAnsi="宋体" w:eastAsia="宋体" w:cs="宋体"/>
                <w:color w:val="auto"/>
                <w:highlight w:val="none"/>
                <w:lang w:val="en-US" w:eastAsia="zh-Hans"/>
              </w:rPr>
              <w:t>详见</w:t>
            </w:r>
            <w:r>
              <w:rPr>
                <w:rFonts w:hint="eastAsia" w:ascii="宋体" w:hAnsi="宋体" w:eastAsia="宋体" w:cs="宋体"/>
                <w:color w:val="auto"/>
                <w:highlight w:val="none"/>
                <w:lang w:eastAsia="zh-Hans"/>
              </w:rPr>
              <w:t>招标需求</w:t>
            </w:r>
          </w:p>
        </w:tc>
        <w:tc>
          <w:tcPr>
            <w:tcW w:w="1995" w:type="dxa"/>
            <w:vAlign w:val="center"/>
          </w:tcPr>
          <w:p w14:paraId="218E1A02">
            <w:pPr>
              <w:tabs>
                <w:tab w:val="left" w:pos="0"/>
              </w:tabs>
              <w:adjustRightInd w:val="0"/>
              <w:snapToGrid w:val="0"/>
              <w:spacing w:after="0"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000000.00</w:t>
            </w:r>
          </w:p>
        </w:tc>
      </w:tr>
    </w:tbl>
    <w:p w14:paraId="3B81C8DE">
      <w:pPr>
        <w:pStyle w:val="7"/>
        <w:keepNext w:val="0"/>
        <w:keepLines w:val="0"/>
        <w:pageBreakBefore w:val="0"/>
        <w:widowControl/>
        <w:numPr>
          <w:ilvl w:val="2"/>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注：本项目分</w:t>
      </w:r>
      <w:r>
        <w:rPr>
          <w:rFonts w:hint="eastAsia" w:ascii="宋体" w:hAnsi="宋体" w:eastAsia="宋体" w:cs="宋体"/>
          <w:color w:val="auto"/>
          <w:sz w:val="24"/>
          <w:szCs w:val="24"/>
          <w:highlight w:val="none"/>
          <w:lang w:eastAsia="zh-CN"/>
        </w:rPr>
        <w:t>为</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标项进行采购（详见招标一览表），投标人可自行选择其中1个或者多个标项响应投标，但中标只能中1个标项。评审次序按标项1、标项2的顺序进行评审。（如投标人被推荐为标项1的中标候选人，则不参与标项2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）评标委员会根据得分排名推荐每个标项的中标候选人。</w:t>
      </w:r>
    </w:p>
    <w:p w14:paraId="762A3165">
      <w:pPr>
        <w:pStyle w:val="7"/>
        <w:numPr>
          <w:ilvl w:val="2"/>
          <w:numId w:val="0"/>
        </w:numPr>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二、招标需求</w:t>
      </w:r>
    </w:p>
    <w:p w14:paraId="2D918474">
      <w:pPr>
        <w:spacing w:after="0" w:line="360" w:lineRule="auto"/>
        <w:rPr>
          <w:rFonts w:ascii="宋体" w:hAnsi="宋体" w:eastAsia="宋体" w:cs="宋体"/>
          <w:b/>
          <w:color w:val="auto"/>
          <w:highlight w:val="none"/>
        </w:rPr>
      </w:pPr>
      <w:r>
        <w:rPr>
          <w:rFonts w:hint="eastAsia" w:ascii="宋体" w:hAnsi="宋体" w:eastAsia="宋体" w:cs="宋体"/>
          <w:b/>
          <w:color w:val="auto"/>
          <w:highlight w:val="none"/>
        </w:rPr>
        <w:t>（一）技术需求</w:t>
      </w:r>
    </w:p>
    <w:p w14:paraId="2F1AC59E">
      <w:pPr>
        <w:spacing w:after="0" w:line="360" w:lineRule="auto"/>
        <w:rPr>
          <w:rFonts w:hint="default"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eastAsia="zh-CN"/>
        </w:rPr>
        <w:t>标项</w:t>
      </w:r>
      <w:r>
        <w:rPr>
          <w:rFonts w:hint="eastAsia" w:ascii="宋体" w:hAnsi="宋体" w:eastAsia="宋体" w:cs="宋体"/>
          <w:b/>
          <w:bCs w:val="0"/>
          <w:color w:val="auto"/>
          <w:highlight w:val="none"/>
          <w:lang w:val="en-US" w:eastAsia="zh-CN"/>
        </w:rPr>
        <w:t>1：</w:t>
      </w:r>
      <w:r>
        <w:rPr>
          <w:rFonts w:hint="eastAsia" w:ascii="宋体" w:hAnsi="宋体" w:eastAsia="宋体" w:cs="宋体"/>
          <w:b/>
          <w:bCs w:val="0"/>
          <w:color w:val="auto"/>
          <w:kern w:val="2"/>
          <w:highlight w:val="none"/>
        </w:rPr>
        <w:t>市北区块公寓家具</w:t>
      </w:r>
    </w:p>
    <w:p w14:paraId="3F1E61A1">
      <w:pPr>
        <w:spacing w:after="0" w:line="360" w:lineRule="auto"/>
        <w:rPr>
          <w:rFonts w:ascii="宋体" w:hAnsi="宋体" w:eastAsia="宋体" w:cs="宋体"/>
          <w:b/>
          <w:color w:val="auto"/>
          <w:highlight w:val="none"/>
        </w:rPr>
      </w:pPr>
      <w:r>
        <w:rPr>
          <w:rFonts w:hint="eastAsia" w:ascii="宋体" w:hAnsi="宋体" w:eastAsia="宋体" w:cs="宋体"/>
          <w:b/>
          <w:color w:val="auto"/>
          <w:highlight w:val="none"/>
        </w:rPr>
        <w:t>1.成品列表</w:t>
      </w:r>
    </w:p>
    <w:tbl>
      <w:tblPr>
        <w:tblStyle w:val="30"/>
        <w:tblW w:w="10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40"/>
        <w:gridCol w:w="1307"/>
        <w:gridCol w:w="733"/>
        <w:gridCol w:w="667"/>
        <w:gridCol w:w="4601"/>
        <w:gridCol w:w="1391"/>
      </w:tblGrid>
      <w:tr w14:paraId="681B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7C9C68FD">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序号</w:t>
            </w:r>
          </w:p>
        </w:tc>
        <w:tc>
          <w:tcPr>
            <w:tcW w:w="840" w:type="dxa"/>
            <w:shd w:val="clear" w:color="auto" w:fill="auto"/>
            <w:vAlign w:val="center"/>
          </w:tcPr>
          <w:p w14:paraId="23219A3D">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名称</w:t>
            </w:r>
          </w:p>
        </w:tc>
        <w:tc>
          <w:tcPr>
            <w:tcW w:w="1307" w:type="dxa"/>
            <w:shd w:val="clear" w:color="auto" w:fill="auto"/>
            <w:vAlign w:val="center"/>
          </w:tcPr>
          <w:p w14:paraId="202A3DB1">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外形尺寸（允许偏差±5mm）</w:t>
            </w:r>
          </w:p>
        </w:tc>
        <w:tc>
          <w:tcPr>
            <w:tcW w:w="733" w:type="dxa"/>
            <w:shd w:val="clear" w:color="auto" w:fill="auto"/>
            <w:vAlign w:val="center"/>
          </w:tcPr>
          <w:p w14:paraId="4CFEED0B">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数量</w:t>
            </w:r>
          </w:p>
        </w:tc>
        <w:tc>
          <w:tcPr>
            <w:tcW w:w="667" w:type="dxa"/>
            <w:shd w:val="clear" w:color="auto" w:fill="auto"/>
            <w:vAlign w:val="center"/>
          </w:tcPr>
          <w:p w14:paraId="10B78D7E">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单位</w:t>
            </w:r>
          </w:p>
        </w:tc>
        <w:tc>
          <w:tcPr>
            <w:tcW w:w="4601" w:type="dxa"/>
            <w:shd w:val="clear" w:color="auto" w:fill="auto"/>
            <w:vAlign w:val="center"/>
          </w:tcPr>
          <w:p w14:paraId="7DDCB58A">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技术参数要求</w:t>
            </w:r>
          </w:p>
        </w:tc>
        <w:tc>
          <w:tcPr>
            <w:tcW w:w="1391" w:type="dxa"/>
            <w:shd w:val="clear" w:color="auto" w:fill="auto"/>
            <w:vAlign w:val="center"/>
          </w:tcPr>
          <w:p w14:paraId="2C83B141">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参考图片</w:t>
            </w:r>
          </w:p>
        </w:tc>
      </w:tr>
      <w:tr w14:paraId="1FCA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546" w:type="dxa"/>
            <w:shd w:val="clear" w:color="auto" w:fill="auto"/>
            <w:vAlign w:val="center"/>
          </w:tcPr>
          <w:p w14:paraId="75443E5A">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w:t>
            </w:r>
          </w:p>
        </w:tc>
        <w:tc>
          <w:tcPr>
            <w:tcW w:w="840" w:type="dxa"/>
            <w:shd w:val="clear" w:color="auto" w:fill="auto"/>
            <w:vAlign w:val="center"/>
          </w:tcPr>
          <w:p w14:paraId="282973CE">
            <w:pPr>
              <w:spacing w:after="0" w:line="400" w:lineRule="exact"/>
              <w:jc w:val="center"/>
              <w:textAlignment w:val="center"/>
              <w:rPr>
                <w:rFonts w:ascii="宋体" w:hAnsi="宋体" w:eastAsia="宋体" w:cs="宋体"/>
                <w:b w:val="0"/>
                <w:bCs w:val="0"/>
                <w:color w:val="auto"/>
                <w:highlight w:val="none"/>
                <w:lang w:bidi="ar"/>
              </w:rPr>
            </w:pPr>
            <w:r>
              <w:rPr>
                <w:rFonts w:hint="eastAsia" w:ascii="宋体" w:hAnsi="宋体" w:eastAsia="宋体" w:cs="宋体"/>
                <w:b w:val="0"/>
                <w:bCs w:val="0"/>
                <w:color w:val="auto"/>
                <w:highlight w:val="none"/>
                <w:lang w:bidi="ar"/>
              </w:rPr>
              <w:t>床</w:t>
            </w:r>
          </w:p>
          <w:p w14:paraId="503C033B">
            <w:pPr>
              <w:spacing w:after="0" w:line="400" w:lineRule="exact"/>
              <w:jc w:val="center"/>
              <w:textAlignment w:val="center"/>
              <w:rPr>
                <w:rFonts w:ascii="宋体" w:hAnsi="宋体" w:eastAsia="宋体" w:cs="宋体"/>
                <w:color w:val="auto"/>
                <w:highlight w:val="none"/>
                <w:lang w:bidi="ar"/>
              </w:rPr>
            </w:pPr>
          </w:p>
        </w:tc>
        <w:tc>
          <w:tcPr>
            <w:tcW w:w="1307" w:type="dxa"/>
            <w:shd w:val="clear" w:color="auto" w:fill="auto"/>
            <w:vAlign w:val="center"/>
          </w:tcPr>
          <w:p w14:paraId="7C380FA5">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1520mm*2120mm*880mm</w:t>
            </w:r>
          </w:p>
        </w:tc>
        <w:tc>
          <w:tcPr>
            <w:tcW w:w="733" w:type="dxa"/>
            <w:shd w:val="clear" w:color="auto" w:fill="auto"/>
            <w:vAlign w:val="center"/>
          </w:tcPr>
          <w:p w14:paraId="0C97157D">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1106</w:t>
            </w:r>
          </w:p>
        </w:tc>
        <w:tc>
          <w:tcPr>
            <w:tcW w:w="667" w:type="dxa"/>
            <w:shd w:val="clear" w:color="auto" w:fill="auto"/>
            <w:vAlign w:val="center"/>
          </w:tcPr>
          <w:p w14:paraId="11E5ED13">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45AAAB79">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 xml:space="preserve">1.规格：外形1520mm*2120mm*880mm。床头整体采用橡胶木（AA等级），床边≥25*170mm，床子规格5根，28*58mm杉木；床板≥16mm厚杉木折叠床板。 </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3.底漆：采用优质环保水性底漆。</w:t>
            </w:r>
          </w:p>
          <w:p w14:paraId="28A42096">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4.面漆：采用优质环保水性面漆。</w:t>
            </w:r>
          </w:p>
          <w:p w14:paraId="12D928A7">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5.胶粘剂：采用优质白乳胶。</w:t>
            </w:r>
          </w:p>
        </w:tc>
        <w:tc>
          <w:tcPr>
            <w:tcW w:w="1391" w:type="dxa"/>
            <w:shd w:val="clear" w:color="auto" w:fill="auto"/>
            <w:vAlign w:val="center"/>
          </w:tcPr>
          <w:p w14:paraId="0E532633">
            <w:pPr>
              <w:spacing w:after="0" w:line="400" w:lineRule="exact"/>
              <w:jc w:val="center"/>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59264" behindDoc="1" locked="0" layoutInCell="1" allowOverlap="1">
                  <wp:simplePos x="0" y="0"/>
                  <wp:positionH relativeFrom="column">
                    <wp:posOffset>14605</wp:posOffset>
                  </wp:positionH>
                  <wp:positionV relativeFrom="paragraph">
                    <wp:posOffset>157480</wp:posOffset>
                  </wp:positionV>
                  <wp:extent cx="678180" cy="693420"/>
                  <wp:effectExtent l="0" t="0" r="7620" b="7620"/>
                  <wp:wrapTight wrapText="bothSides">
                    <wp:wrapPolygon>
                      <wp:start x="0" y="0"/>
                      <wp:lineTo x="0" y="21363"/>
                      <wp:lineTo x="21357" y="21363"/>
                      <wp:lineTo x="21357" y="0"/>
                      <wp:lineTo x="0" y="0"/>
                    </wp:wrapPolygon>
                  </wp:wrapTight>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7"/>
                          <a:stretch>
                            <a:fillRect/>
                          </a:stretch>
                        </pic:blipFill>
                        <pic:spPr>
                          <a:xfrm>
                            <a:off x="0" y="0"/>
                            <a:ext cx="678180" cy="693420"/>
                          </a:xfrm>
                          <a:prstGeom prst="rect">
                            <a:avLst/>
                          </a:prstGeom>
                          <a:noFill/>
                          <a:ln>
                            <a:noFill/>
                          </a:ln>
                        </pic:spPr>
                      </pic:pic>
                    </a:graphicData>
                  </a:graphic>
                </wp:anchor>
              </w:drawing>
            </w:r>
          </w:p>
        </w:tc>
      </w:tr>
      <w:tr w14:paraId="07DC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53006983">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w:t>
            </w:r>
          </w:p>
        </w:tc>
        <w:tc>
          <w:tcPr>
            <w:tcW w:w="840" w:type="dxa"/>
            <w:shd w:val="clear" w:color="auto" w:fill="auto"/>
            <w:vAlign w:val="center"/>
          </w:tcPr>
          <w:p w14:paraId="2BDFF913">
            <w:pPr>
              <w:spacing w:after="0" w:line="400" w:lineRule="exact"/>
              <w:jc w:val="center"/>
              <w:textAlignment w:val="center"/>
              <w:rPr>
                <w:rFonts w:ascii="宋体" w:hAnsi="宋体" w:eastAsia="宋体" w:cs="宋体"/>
                <w:b/>
                <w:bCs/>
                <w:color w:val="auto"/>
                <w:highlight w:val="none"/>
                <w:lang w:bidi="ar"/>
              </w:rPr>
            </w:pPr>
            <w:r>
              <w:rPr>
                <w:rFonts w:hint="eastAsia" w:ascii="宋体" w:hAnsi="宋体" w:eastAsia="宋体" w:cs="宋体"/>
                <w:color w:val="auto"/>
                <w:highlight w:val="none"/>
                <w:lang w:bidi="ar"/>
              </w:rPr>
              <w:t>床垫</w:t>
            </w:r>
          </w:p>
        </w:tc>
        <w:tc>
          <w:tcPr>
            <w:tcW w:w="1307" w:type="dxa"/>
            <w:shd w:val="clear" w:color="auto" w:fill="auto"/>
            <w:vAlign w:val="center"/>
          </w:tcPr>
          <w:p w14:paraId="71CBCED0">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1500mm*2000mm*230mm</w:t>
            </w:r>
          </w:p>
        </w:tc>
        <w:tc>
          <w:tcPr>
            <w:tcW w:w="733" w:type="dxa"/>
            <w:shd w:val="clear" w:color="auto" w:fill="auto"/>
            <w:vAlign w:val="center"/>
          </w:tcPr>
          <w:p w14:paraId="546DB1FC">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rPr>
              <w:t>1106</w:t>
            </w:r>
          </w:p>
        </w:tc>
        <w:tc>
          <w:tcPr>
            <w:tcW w:w="667" w:type="dxa"/>
            <w:shd w:val="clear" w:color="auto" w:fill="auto"/>
            <w:vAlign w:val="center"/>
          </w:tcPr>
          <w:p w14:paraId="6984702F">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1B3C7B00">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1.规格：外形1500mm*2000mm*230mm。</w:t>
            </w:r>
          </w:p>
          <w:p w14:paraId="412DDE11">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标准：采用优质防螨阻燃针织棉面，床胆内部填充用热带或亚热带地区纯天然椰棕与纯天然乳胶制作经高温、灭菌、定型三道工序而成。棕比具有超强弹力，随意折叠棕丝不变形自动回弹，长时间使用不易塌陷及变形，易保养、不易虫蛀或发霉。</w:t>
            </w:r>
          </w:p>
        </w:tc>
        <w:tc>
          <w:tcPr>
            <w:tcW w:w="1391" w:type="dxa"/>
            <w:shd w:val="clear" w:color="auto" w:fill="auto"/>
            <w:vAlign w:val="center"/>
          </w:tcPr>
          <w:p w14:paraId="05DE0311">
            <w:pPr>
              <w:spacing w:after="0" w:line="400" w:lineRule="exact"/>
              <w:jc w:val="center"/>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60288" behindDoc="1" locked="0" layoutInCell="1" allowOverlap="1">
                  <wp:simplePos x="0" y="0"/>
                  <wp:positionH relativeFrom="column">
                    <wp:posOffset>0</wp:posOffset>
                  </wp:positionH>
                  <wp:positionV relativeFrom="paragraph">
                    <wp:posOffset>243840</wp:posOffset>
                  </wp:positionV>
                  <wp:extent cx="724535" cy="424815"/>
                  <wp:effectExtent l="0" t="0" r="6985" b="1905"/>
                  <wp:wrapTight wrapText="bothSides">
                    <wp:wrapPolygon>
                      <wp:start x="0" y="0"/>
                      <wp:lineTo x="0" y="20922"/>
                      <wp:lineTo x="21354" y="20922"/>
                      <wp:lineTo x="21354" y="0"/>
                      <wp:lineTo x="0" y="0"/>
                    </wp:wrapPolygon>
                  </wp:wrapTight>
                  <wp:docPr id="35" name="图片 35" descr="170684077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6840774981"/>
                          <pic:cNvPicPr>
                            <a:picLocks noChangeAspect="1"/>
                          </pic:cNvPicPr>
                        </pic:nvPicPr>
                        <pic:blipFill>
                          <a:blip r:embed="rId8"/>
                          <a:stretch>
                            <a:fillRect/>
                          </a:stretch>
                        </pic:blipFill>
                        <pic:spPr>
                          <a:xfrm>
                            <a:off x="0" y="0"/>
                            <a:ext cx="724535" cy="424815"/>
                          </a:xfrm>
                          <a:prstGeom prst="rect">
                            <a:avLst/>
                          </a:prstGeom>
                        </pic:spPr>
                      </pic:pic>
                    </a:graphicData>
                  </a:graphic>
                </wp:anchor>
              </w:drawing>
            </w:r>
          </w:p>
        </w:tc>
      </w:tr>
      <w:tr w14:paraId="7F7E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67C7D7B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3</w:t>
            </w:r>
          </w:p>
        </w:tc>
        <w:tc>
          <w:tcPr>
            <w:tcW w:w="840" w:type="dxa"/>
            <w:shd w:val="clear" w:color="auto" w:fill="auto"/>
            <w:vAlign w:val="center"/>
          </w:tcPr>
          <w:p w14:paraId="344D8D75">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床头柜</w:t>
            </w:r>
          </w:p>
        </w:tc>
        <w:tc>
          <w:tcPr>
            <w:tcW w:w="1307" w:type="dxa"/>
            <w:shd w:val="clear" w:color="auto" w:fill="auto"/>
            <w:vAlign w:val="center"/>
          </w:tcPr>
          <w:p w14:paraId="02320FC3">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430mm*400mm*480mm</w:t>
            </w:r>
          </w:p>
        </w:tc>
        <w:tc>
          <w:tcPr>
            <w:tcW w:w="733" w:type="dxa"/>
            <w:shd w:val="clear" w:color="auto" w:fill="auto"/>
            <w:vAlign w:val="center"/>
          </w:tcPr>
          <w:p w14:paraId="40AA237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1984</w:t>
            </w:r>
          </w:p>
        </w:tc>
        <w:tc>
          <w:tcPr>
            <w:tcW w:w="667" w:type="dxa"/>
            <w:shd w:val="clear" w:color="auto" w:fill="auto"/>
            <w:vAlign w:val="center"/>
          </w:tcPr>
          <w:p w14:paraId="6096DD1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auto"/>
            <w:vAlign w:val="center"/>
          </w:tcPr>
          <w:p w14:paraId="0DA41D1A">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1.规格：外形430mm*400mm*480mm。床头柜单抽屉，四只橡胶木柜脚（AA等级），面板厚度15mm橡胶木（AA等级），背板厚度≥5mm多层实木。</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6.阻尼导轨：采用优质阻尼导轨。</w:t>
            </w:r>
          </w:p>
        </w:tc>
        <w:tc>
          <w:tcPr>
            <w:tcW w:w="1391" w:type="dxa"/>
            <w:shd w:val="clear" w:color="auto" w:fill="auto"/>
            <w:vAlign w:val="center"/>
          </w:tcPr>
          <w:p w14:paraId="792CEB30">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-15240</wp:posOffset>
                  </wp:positionH>
                  <wp:positionV relativeFrom="paragraph">
                    <wp:posOffset>121920</wp:posOffset>
                  </wp:positionV>
                  <wp:extent cx="744855" cy="876935"/>
                  <wp:effectExtent l="0" t="0" r="1905" b="6985"/>
                  <wp:wrapNone/>
                  <wp:docPr id="36" name="图片_2"/>
                  <wp:cNvGraphicFramePr/>
                  <a:graphic xmlns:a="http://schemas.openxmlformats.org/drawingml/2006/main">
                    <a:graphicData uri="http://schemas.openxmlformats.org/drawingml/2006/picture">
                      <pic:pic xmlns:pic="http://schemas.openxmlformats.org/drawingml/2006/picture">
                        <pic:nvPicPr>
                          <pic:cNvPr id="36" name="图片_2"/>
                          <pic:cNvPicPr/>
                        </pic:nvPicPr>
                        <pic:blipFill>
                          <a:blip r:embed="rId9"/>
                          <a:stretch>
                            <a:fillRect/>
                          </a:stretch>
                        </pic:blipFill>
                        <pic:spPr>
                          <a:xfrm>
                            <a:off x="0" y="0"/>
                            <a:ext cx="744855" cy="876935"/>
                          </a:xfrm>
                          <a:prstGeom prst="rect">
                            <a:avLst/>
                          </a:prstGeom>
                          <a:noFill/>
                          <a:ln>
                            <a:noFill/>
                          </a:ln>
                        </pic:spPr>
                      </pic:pic>
                    </a:graphicData>
                  </a:graphic>
                </wp:anchor>
              </w:drawing>
            </w:r>
          </w:p>
        </w:tc>
      </w:tr>
      <w:tr w14:paraId="0E53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546" w:type="dxa"/>
            <w:shd w:val="clear" w:color="auto" w:fill="auto"/>
            <w:vAlign w:val="center"/>
          </w:tcPr>
          <w:p w14:paraId="38718641">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w:t>
            </w:r>
          </w:p>
        </w:tc>
        <w:tc>
          <w:tcPr>
            <w:tcW w:w="840" w:type="dxa"/>
            <w:shd w:val="clear" w:color="auto" w:fill="auto"/>
            <w:vAlign w:val="center"/>
          </w:tcPr>
          <w:p w14:paraId="6CF1DC70">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双人位沙发</w:t>
            </w:r>
          </w:p>
        </w:tc>
        <w:tc>
          <w:tcPr>
            <w:tcW w:w="1307" w:type="dxa"/>
            <w:shd w:val="clear" w:color="auto" w:fill="auto"/>
            <w:vAlign w:val="center"/>
          </w:tcPr>
          <w:p w14:paraId="697D7BD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1400mm*770mm*760mm</w:t>
            </w:r>
          </w:p>
        </w:tc>
        <w:tc>
          <w:tcPr>
            <w:tcW w:w="733" w:type="dxa"/>
            <w:shd w:val="clear" w:color="auto" w:fill="auto"/>
            <w:vAlign w:val="center"/>
          </w:tcPr>
          <w:p w14:paraId="654DC0C2">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1095</w:t>
            </w:r>
          </w:p>
        </w:tc>
        <w:tc>
          <w:tcPr>
            <w:tcW w:w="667" w:type="dxa"/>
            <w:shd w:val="clear" w:color="auto" w:fill="auto"/>
            <w:vAlign w:val="center"/>
          </w:tcPr>
          <w:p w14:paraId="5346D4D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39AB6B06">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1.规格：外形1400mm*770mm*760mm。西皮前后双色拼接。</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2.面料：采用优质西皮。</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3.海绵：采用高弹阻燃海绵。</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4.基材：框架基材采用优质实木橡胶木（AA等级）。</w:t>
            </w:r>
          </w:p>
          <w:p w14:paraId="3457ED63">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5.脚架：采用优质钢管。</w:t>
            </w:r>
          </w:p>
        </w:tc>
        <w:tc>
          <w:tcPr>
            <w:tcW w:w="1391" w:type="dxa"/>
            <w:shd w:val="clear" w:color="auto" w:fill="auto"/>
            <w:vAlign w:val="center"/>
          </w:tcPr>
          <w:p w14:paraId="42182AA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-55880</wp:posOffset>
                  </wp:positionH>
                  <wp:positionV relativeFrom="paragraph">
                    <wp:posOffset>210185</wp:posOffset>
                  </wp:positionV>
                  <wp:extent cx="733425" cy="495300"/>
                  <wp:effectExtent l="0" t="0" r="13335" b="7620"/>
                  <wp:wrapNone/>
                  <wp:docPr id="37" name="图片_2_SpCnt_3"/>
                  <wp:cNvGraphicFramePr/>
                  <a:graphic xmlns:a="http://schemas.openxmlformats.org/drawingml/2006/main">
                    <a:graphicData uri="http://schemas.openxmlformats.org/drawingml/2006/picture">
                      <pic:pic xmlns:pic="http://schemas.openxmlformats.org/drawingml/2006/picture">
                        <pic:nvPicPr>
                          <pic:cNvPr id="37" name="图片_2_SpCnt_3"/>
                          <pic:cNvPicPr/>
                        </pic:nvPicPr>
                        <pic:blipFill>
                          <a:blip r:embed="rId10"/>
                          <a:stretch>
                            <a:fillRect/>
                          </a:stretch>
                        </pic:blipFill>
                        <pic:spPr>
                          <a:xfrm>
                            <a:off x="0" y="0"/>
                            <a:ext cx="733425" cy="495300"/>
                          </a:xfrm>
                          <a:prstGeom prst="rect">
                            <a:avLst/>
                          </a:prstGeom>
                          <a:noFill/>
                          <a:ln>
                            <a:noFill/>
                          </a:ln>
                        </pic:spPr>
                      </pic:pic>
                    </a:graphicData>
                  </a:graphic>
                </wp:anchor>
              </w:drawing>
            </w:r>
          </w:p>
        </w:tc>
      </w:tr>
      <w:tr w14:paraId="58F1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546" w:type="dxa"/>
            <w:shd w:val="clear" w:color="auto" w:fill="auto"/>
            <w:vAlign w:val="center"/>
          </w:tcPr>
          <w:p w14:paraId="77533634">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5</w:t>
            </w:r>
          </w:p>
        </w:tc>
        <w:tc>
          <w:tcPr>
            <w:tcW w:w="840" w:type="dxa"/>
            <w:shd w:val="clear" w:color="auto" w:fill="auto"/>
            <w:vAlign w:val="center"/>
          </w:tcPr>
          <w:p w14:paraId="26E079C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岩板茶几</w:t>
            </w:r>
          </w:p>
        </w:tc>
        <w:tc>
          <w:tcPr>
            <w:tcW w:w="1307" w:type="dxa"/>
            <w:shd w:val="clear" w:color="auto" w:fill="auto"/>
            <w:vAlign w:val="center"/>
          </w:tcPr>
          <w:p w14:paraId="156B97C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1100mm*600mm*450mm</w:t>
            </w:r>
          </w:p>
        </w:tc>
        <w:tc>
          <w:tcPr>
            <w:tcW w:w="733" w:type="dxa"/>
            <w:shd w:val="clear" w:color="auto" w:fill="auto"/>
            <w:vAlign w:val="center"/>
          </w:tcPr>
          <w:p w14:paraId="0676242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591</w:t>
            </w:r>
          </w:p>
        </w:tc>
        <w:tc>
          <w:tcPr>
            <w:tcW w:w="667" w:type="dxa"/>
            <w:shd w:val="clear" w:color="auto" w:fill="auto"/>
            <w:vAlign w:val="center"/>
          </w:tcPr>
          <w:p w14:paraId="198A5867">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auto"/>
            <w:vAlign w:val="center"/>
          </w:tcPr>
          <w:p w14:paraId="7A5B6DEF">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w:t>
            </w:r>
            <w:r>
              <w:rPr>
                <w:rFonts w:ascii="宋体" w:hAnsi="宋体" w:eastAsia="宋体" w:cs="宋体"/>
                <w:color w:val="auto"/>
                <w:highlight w:val="none"/>
                <w:lang w:bidi="ar"/>
              </w:rPr>
              <w:t>1100</w:t>
            </w:r>
            <w:r>
              <w:rPr>
                <w:rFonts w:hint="eastAsia" w:ascii="宋体" w:hAnsi="宋体" w:eastAsia="宋体" w:cs="宋体"/>
                <w:color w:val="auto"/>
                <w:highlight w:val="none"/>
                <w:lang w:bidi="ar"/>
              </w:rPr>
              <w:t>mm*600mm*450mm，台面岩板厚度12mm，加厚加粗钢脚架固定。</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2.面板：采用优质岩板。</w:t>
            </w:r>
          </w:p>
          <w:p w14:paraId="2269266D">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3.脚架：采用优质钢管。</w:t>
            </w:r>
          </w:p>
        </w:tc>
        <w:tc>
          <w:tcPr>
            <w:tcW w:w="1391" w:type="dxa"/>
            <w:shd w:val="clear" w:color="auto" w:fill="auto"/>
            <w:vAlign w:val="center"/>
          </w:tcPr>
          <w:p w14:paraId="0EE3A97F">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23900" cy="723900"/>
                  <wp:effectExtent l="0" t="0" r="7620" b="7620"/>
                  <wp:docPr id="38" name="图片 38" descr="岩板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岩板茶几"/>
                          <pic:cNvPicPr>
                            <a:picLocks noChangeAspect="1"/>
                          </pic:cNvPicPr>
                        </pic:nvPicPr>
                        <pic:blipFill>
                          <a:blip r:embed="rId11"/>
                          <a:stretch>
                            <a:fillRect/>
                          </a:stretch>
                        </pic:blipFill>
                        <pic:spPr>
                          <a:xfrm>
                            <a:off x="0" y="0"/>
                            <a:ext cx="723900" cy="723900"/>
                          </a:xfrm>
                          <a:prstGeom prst="rect">
                            <a:avLst/>
                          </a:prstGeom>
                        </pic:spPr>
                      </pic:pic>
                    </a:graphicData>
                  </a:graphic>
                </wp:inline>
              </w:drawing>
            </w:r>
          </w:p>
        </w:tc>
      </w:tr>
      <w:tr w14:paraId="5A34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vMerge w:val="restart"/>
            <w:shd w:val="clear" w:color="auto" w:fill="auto"/>
            <w:vAlign w:val="center"/>
          </w:tcPr>
          <w:p w14:paraId="1E54276F">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w:t>
            </w:r>
          </w:p>
        </w:tc>
        <w:tc>
          <w:tcPr>
            <w:tcW w:w="840" w:type="dxa"/>
            <w:vMerge w:val="restart"/>
            <w:shd w:val="clear" w:color="auto" w:fill="auto"/>
            <w:vAlign w:val="center"/>
          </w:tcPr>
          <w:p w14:paraId="6522F73E">
            <w:pPr>
              <w:spacing w:after="0" w:line="400" w:lineRule="exact"/>
              <w:jc w:val="center"/>
              <w:rPr>
                <w:rFonts w:ascii="宋体" w:hAnsi="宋体" w:eastAsia="宋体" w:cs="宋体"/>
                <w:color w:val="auto"/>
                <w:highlight w:val="none"/>
              </w:rPr>
            </w:pPr>
            <w:r>
              <w:rPr>
                <w:rFonts w:hint="eastAsia" w:ascii="宋体" w:hAnsi="宋体" w:eastAsia="宋体" w:cs="宋体"/>
                <w:color w:val="auto"/>
                <w:highlight w:val="none"/>
                <w:lang w:bidi="ar"/>
              </w:rPr>
              <w:t>岩板餐桌</w:t>
            </w:r>
          </w:p>
        </w:tc>
        <w:tc>
          <w:tcPr>
            <w:tcW w:w="1307" w:type="dxa"/>
            <w:shd w:val="clear" w:color="auto" w:fill="auto"/>
            <w:vAlign w:val="center"/>
          </w:tcPr>
          <w:p w14:paraId="760D6349">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600mm*600mm*750mm</w:t>
            </w:r>
          </w:p>
        </w:tc>
        <w:tc>
          <w:tcPr>
            <w:tcW w:w="733" w:type="dxa"/>
            <w:shd w:val="clear" w:color="auto" w:fill="auto"/>
            <w:vAlign w:val="center"/>
          </w:tcPr>
          <w:p w14:paraId="26F859D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630</w:t>
            </w:r>
          </w:p>
        </w:tc>
        <w:tc>
          <w:tcPr>
            <w:tcW w:w="667" w:type="dxa"/>
            <w:shd w:val="clear" w:color="auto" w:fill="auto"/>
            <w:vAlign w:val="center"/>
          </w:tcPr>
          <w:p w14:paraId="332619B5">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22192FBF">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1.规格：外形600mm*600mm*750mm。台面岩板厚度12mm，加厚加粗钢脚架固定。</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2.面板：采用优质岩板。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3.底板：采用优质实木多层板。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4.脚架：采用优质钢管。</w:t>
            </w:r>
          </w:p>
        </w:tc>
        <w:tc>
          <w:tcPr>
            <w:tcW w:w="1391" w:type="dxa"/>
            <w:vMerge w:val="restart"/>
            <w:shd w:val="clear" w:color="auto" w:fill="auto"/>
            <w:vAlign w:val="center"/>
          </w:tcPr>
          <w:p w14:paraId="11A5D85B">
            <w:pPr>
              <w:spacing w:after="0" w:line="400" w:lineRule="exact"/>
              <w:jc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8890</wp:posOffset>
                  </wp:positionH>
                  <wp:positionV relativeFrom="paragraph">
                    <wp:posOffset>1055370</wp:posOffset>
                  </wp:positionV>
                  <wp:extent cx="759460" cy="461010"/>
                  <wp:effectExtent l="0" t="0" r="2540" b="11430"/>
                  <wp:wrapNone/>
                  <wp:docPr id="39" name="图片_3"/>
                  <wp:cNvGraphicFramePr/>
                  <a:graphic xmlns:a="http://schemas.openxmlformats.org/drawingml/2006/main">
                    <a:graphicData uri="http://schemas.openxmlformats.org/drawingml/2006/picture">
                      <pic:pic xmlns:pic="http://schemas.openxmlformats.org/drawingml/2006/picture">
                        <pic:nvPicPr>
                          <pic:cNvPr id="39" name="图片_3"/>
                          <pic:cNvPicPr/>
                        </pic:nvPicPr>
                        <pic:blipFill>
                          <a:blip r:embed="rId12"/>
                          <a:stretch>
                            <a:fillRect/>
                          </a:stretch>
                        </pic:blipFill>
                        <pic:spPr>
                          <a:xfrm>
                            <a:off x="0" y="0"/>
                            <a:ext cx="759460" cy="461010"/>
                          </a:xfrm>
                          <a:prstGeom prst="rect">
                            <a:avLst/>
                          </a:prstGeom>
                          <a:noFill/>
                          <a:ln>
                            <a:noFill/>
                          </a:ln>
                        </pic:spPr>
                      </pic:pic>
                    </a:graphicData>
                  </a:graphic>
                </wp:anchor>
              </w:drawing>
            </w:r>
          </w:p>
        </w:tc>
      </w:tr>
      <w:tr w14:paraId="6B6B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vMerge w:val="continue"/>
            <w:shd w:val="clear" w:color="auto" w:fill="auto"/>
            <w:vAlign w:val="center"/>
          </w:tcPr>
          <w:p w14:paraId="1DD88D8C">
            <w:pPr>
              <w:spacing w:after="0" w:line="400" w:lineRule="exact"/>
              <w:jc w:val="center"/>
              <w:textAlignment w:val="center"/>
              <w:rPr>
                <w:rFonts w:ascii="宋体" w:hAnsi="宋体" w:eastAsia="宋体" w:cs="宋体"/>
                <w:color w:val="auto"/>
                <w:highlight w:val="none"/>
                <w:lang w:bidi="ar"/>
              </w:rPr>
            </w:pPr>
          </w:p>
        </w:tc>
        <w:tc>
          <w:tcPr>
            <w:tcW w:w="840" w:type="dxa"/>
            <w:vMerge w:val="continue"/>
            <w:shd w:val="clear" w:color="auto" w:fill="auto"/>
            <w:vAlign w:val="center"/>
          </w:tcPr>
          <w:p w14:paraId="7734887D">
            <w:pPr>
              <w:spacing w:after="0" w:line="400" w:lineRule="exact"/>
              <w:jc w:val="center"/>
              <w:rPr>
                <w:rFonts w:ascii="宋体" w:hAnsi="宋体" w:eastAsia="宋体" w:cs="宋体"/>
                <w:color w:val="auto"/>
                <w:highlight w:val="none"/>
                <w:lang w:bidi="ar"/>
              </w:rPr>
            </w:pPr>
          </w:p>
        </w:tc>
        <w:tc>
          <w:tcPr>
            <w:tcW w:w="1307" w:type="dxa"/>
            <w:shd w:val="clear" w:color="auto" w:fill="auto"/>
            <w:vAlign w:val="center"/>
          </w:tcPr>
          <w:p w14:paraId="2BF0F0FB">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1400mm*800mm*750mm</w:t>
            </w:r>
          </w:p>
        </w:tc>
        <w:tc>
          <w:tcPr>
            <w:tcW w:w="733" w:type="dxa"/>
            <w:shd w:val="clear" w:color="auto" w:fill="auto"/>
            <w:vAlign w:val="center"/>
          </w:tcPr>
          <w:p w14:paraId="5B557E62">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228</w:t>
            </w:r>
          </w:p>
        </w:tc>
        <w:tc>
          <w:tcPr>
            <w:tcW w:w="667" w:type="dxa"/>
            <w:shd w:val="clear" w:color="auto" w:fill="auto"/>
            <w:vAlign w:val="center"/>
          </w:tcPr>
          <w:p w14:paraId="1D65EF62">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5EA916C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1.规格：外形1400mm*800mm*750mm。台面岩板厚度12mm，加厚加粗钢脚架固定。</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2.面板：采用优质岩板。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3.底板：采用优质实木多层板。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4.脚架：采用优质钢管。</w:t>
            </w:r>
          </w:p>
        </w:tc>
        <w:tc>
          <w:tcPr>
            <w:tcW w:w="1391" w:type="dxa"/>
            <w:vMerge w:val="continue"/>
            <w:shd w:val="clear" w:color="auto" w:fill="auto"/>
            <w:vAlign w:val="center"/>
          </w:tcPr>
          <w:p w14:paraId="63B2CE39">
            <w:pPr>
              <w:spacing w:after="0" w:line="400" w:lineRule="exact"/>
              <w:jc w:val="center"/>
              <w:rPr>
                <w:rFonts w:ascii="宋体" w:hAnsi="宋体" w:eastAsia="宋体" w:cs="宋体"/>
                <w:color w:val="auto"/>
                <w:highlight w:val="none"/>
                <w:bdr w:val="single" w:color="000000" w:sz="4" w:space="0"/>
                <w:lang w:bidi="ar"/>
              </w:rPr>
            </w:pPr>
          </w:p>
        </w:tc>
      </w:tr>
      <w:tr w14:paraId="02D8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0B6F213A">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7</w:t>
            </w:r>
          </w:p>
        </w:tc>
        <w:tc>
          <w:tcPr>
            <w:tcW w:w="840" w:type="dxa"/>
            <w:shd w:val="clear" w:color="auto" w:fill="auto"/>
            <w:vAlign w:val="center"/>
          </w:tcPr>
          <w:p w14:paraId="5855F41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餐椅</w:t>
            </w:r>
          </w:p>
        </w:tc>
        <w:tc>
          <w:tcPr>
            <w:tcW w:w="1307" w:type="dxa"/>
            <w:shd w:val="clear" w:color="auto" w:fill="auto"/>
            <w:vAlign w:val="center"/>
          </w:tcPr>
          <w:p w14:paraId="51E638F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450mm*530mm*840mm</w:t>
            </w:r>
          </w:p>
        </w:tc>
        <w:tc>
          <w:tcPr>
            <w:tcW w:w="733" w:type="dxa"/>
            <w:shd w:val="clear" w:color="auto" w:fill="auto"/>
            <w:vAlign w:val="center"/>
          </w:tcPr>
          <w:p w14:paraId="4ACEDB9B">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2172</w:t>
            </w:r>
          </w:p>
        </w:tc>
        <w:tc>
          <w:tcPr>
            <w:tcW w:w="667" w:type="dxa"/>
            <w:shd w:val="clear" w:color="auto" w:fill="auto"/>
            <w:vAlign w:val="center"/>
          </w:tcPr>
          <w:p w14:paraId="0411F418">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485920CA">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1.规格：外形450mm*530mm*840mm。</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2.面料：采用优质西皮。</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3.海绵：采用高弹阻燃海绵。</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4.座板：采用优质曲木板。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5.脚架：采用优质钢管。</w:t>
            </w:r>
          </w:p>
        </w:tc>
        <w:tc>
          <w:tcPr>
            <w:tcW w:w="1391" w:type="dxa"/>
            <w:shd w:val="clear" w:color="auto" w:fill="auto"/>
            <w:vAlign w:val="center"/>
          </w:tcPr>
          <w:p w14:paraId="09EDE370">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86360</wp:posOffset>
                  </wp:positionH>
                  <wp:positionV relativeFrom="paragraph">
                    <wp:posOffset>162560</wp:posOffset>
                  </wp:positionV>
                  <wp:extent cx="612775" cy="559435"/>
                  <wp:effectExtent l="0" t="0" r="12065" b="4445"/>
                  <wp:wrapNone/>
                  <wp:docPr id="40" name="图片_4_SpCnt_1"/>
                  <wp:cNvGraphicFramePr/>
                  <a:graphic xmlns:a="http://schemas.openxmlformats.org/drawingml/2006/main">
                    <a:graphicData uri="http://schemas.openxmlformats.org/drawingml/2006/picture">
                      <pic:pic xmlns:pic="http://schemas.openxmlformats.org/drawingml/2006/picture">
                        <pic:nvPicPr>
                          <pic:cNvPr id="40" name="图片_4_SpCnt_1"/>
                          <pic:cNvPicPr/>
                        </pic:nvPicPr>
                        <pic:blipFill>
                          <a:blip r:embed="rId13"/>
                          <a:stretch>
                            <a:fillRect/>
                          </a:stretch>
                        </pic:blipFill>
                        <pic:spPr>
                          <a:xfrm>
                            <a:off x="0" y="0"/>
                            <a:ext cx="612775" cy="559435"/>
                          </a:xfrm>
                          <a:prstGeom prst="rect">
                            <a:avLst/>
                          </a:prstGeom>
                          <a:noFill/>
                          <a:ln>
                            <a:noFill/>
                          </a:ln>
                        </pic:spPr>
                      </pic:pic>
                    </a:graphicData>
                  </a:graphic>
                </wp:anchor>
              </w:drawing>
            </w:r>
          </w:p>
        </w:tc>
      </w:tr>
      <w:tr w14:paraId="6448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546" w:type="dxa"/>
            <w:shd w:val="clear" w:color="auto" w:fill="auto"/>
            <w:vAlign w:val="center"/>
          </w:tcPr>
          <w:p w14:paraId="03FC1A02">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8</w:t>
            </w:r>
          </w:p>
        </w:tc>
        <w:tc>
          <w:tcPr>
            <w:tcW w:w="840" w:type="dxa"/>
            <w:shd w:val="clear" w:color="auto" w:fill="auto"/>
            <w:vAlign w:val="center"/>
          </w:tcPr>
          <w:p w14:paraId="4262910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书桌</w:t>
            </w:r>
          </w:p>
        </w:tc>
        <w:tc>
          <w:tcPr>
            <w:tcW w:w="1307" w:type="dxa"/>
            <w:shd w:val="clear" w:color="auto" w:fill="auto"/>
            <w:vAlign w:val="center"/>
          </w:tcPr>
          <w:p w14:paraId="3E276BB4">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800mm*560mm*750mm</w:t>
            </w:r>
          </w:p>
        </w:tc>
        <w:tc>
          <w:tcPr>
            <w:tcW w:w="733" w:type="dxa"/>
            <w:shd w:val="clear" w:color="auto" w:fill="auto"/>
            <w:vAlign w:val="center"/>
          </w:tcPr>
          <w:p w14:paraId="0B0A7744">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808</w:t>
            </w:r>
          </w:p>
        </w:tc>
        <w:tc>
          <w:tcPr>
            <w:tcW w:w="667" w:type="dxa"/>
            <w:shd w:val="clear" w:color="auto" w:fill="auto"/>
            <w:vAlign w:val="center"/>
          </w:tcPr>
          <w:p w14:paraId="06EA3B52">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6BCF3F05">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1.规格：800mm*560mm*750mm，书桌双抽屉，四只橡胶木脚（AA等级），面板厚度18mm橡胶木（AA等级），背板厚度≥5mm多层实木。</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p>
          <w:p w14:paraId="3DBC177F">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6.阻尼导轨：采用优质阻尼导轨。</w:t>
            </w:r>
          </w:p>
        </w:tc>
        <w:tc>
          <w:tcPr>
            <w:tcW w:w="1391" w:type="dxa"/>
            <w:shd w:val="clear" w:color="auto" w:fill="auto"/>
            <w:vAlign w:val="center"/>
          </w:tcPr>
          <w:p w14:paraId="5E4BD6C4">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-43815</wp:posOffset>
                  </wp:positionH>
                  <wp:positionV relativeFrom="paragraph">
                    <wp:posOffset>404495</wp:posOffset>
                  </wp:positionV>
                  <wp:extent cx="783590" cy="616585"/>
                  <wp:effectExtent l="0" t="0" r="8890" b="8255"/>
                  <wp:wrapNone/>
                  <wp:docPr id="41" name="图片_1_SpCnt_1"/>
                  <wp:cNvGraphicFramePr/>
                  <a:graphic xmlns:a="http://schemas.openxmlformats.org/drawingml/2006/main">
                    <a:graphicData uri="http://schemas.openxmlformats.org/drawingml/2006/picture">
                      <pic:pic xmlns:pic="http://schemas.openxmlformats.org/drawingml/2006/picture">
                        <pic:nvPicPr>
                          <pic:cNvPr id="41" name="图片_1_SpCnt_1"/>
                          <pic:cNvPicPr/>
                        </pic:nvPicPr>
                        <pic:blipFill>
                          <a:blip r:embed="rId14"/>
                          <a:stretch>
                            <a:fillRect/>
                          </a:stretch>
                        </pic:blipFill>
                        <pic:spPr>
                          <a:xfrm>
                            <a:off x="0" y="0"/>
                            <a:ext cx="783590" cy="616585"/>
                          </a:xfrm>
                          <a:prstGeom prst="rect">
                            <a:avLst/>
                          </a:prstGeom>
                          <a:noFill/>
                          <a:ln>
                            <a:noFill/>
                          </a:ln>
                        </pic:spPr>
                      </pic:pic>
                    </a:graphicData>
                  </a:graphic>
                </wp:anchor>
              </w:drawing>
            </w:r>
          </w:p>
        </w:tc>
      </w:tr>
      <w:tr w14:paraId="2A44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546" w:type="dxa"/>
            <w:shd w:val="clear" w:color="auto" w:fill="auto"/>
            <w:vAlign w:val="center"/>
          </w:tcPr>
          <w:p w14:paraId="6297E171">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9</w:t>
            </w:r>
          </w:p>
        </w:tc>
        <w:tc>
          <w:tcPr>
            <w:tcW w:w="840" w:type="dxa"/>
            <w:shd w:val="clear" w:color="auto" w:fill="auto"/>
            <w:vAlign w:val="center"/>
          </w:tcPr>
          <w:p w14:paraId="31C1D5B0">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木椅</w:t>
            </w:r>
          </w:p>
        </w:tc>
        <w:tc>
          <w:tcPr>
            <w:tcW w:w="1307" w:type="dxa"/>
            <w:shd w:val="clear" w:color="auto" w:fill="auto"/>
            <w:vAlign w:val="center"/>
          </w:tcPr>
          <w:p w14:paraId="7BDB3740">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460mm*430mm*760mm</w:t>
            </w:r>
          </w:p>
        </w:tc>
        <w:tc>
          <w:tcPr>
            <w:tcW w:w="733" w:type="dxa"/>
            <w:shd w:val="clear" w:color="auto" w:fill="auto"/>
            <w:vAlign w:val="center"/>
          </w:tcPr>
          <w:p w14:paraId="55D4113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883</w:t>
            </w:r>
          </w:p>
        </w:tc>
        <w:tc>
          <w:tcPr>
            <w:tcW w:w="667" w:type="dxa"/>
            <w:shd w:val="clear" w:color="auto" w:fill="auto"/>
            <w:vAlign w:val="center"/>
          </w:tcPr>
          <w:p w14:paraId="6AF9BAB6">
            <w:pPr>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件</w:t>
            </w:r>
          </w:p>
        </w:tc>
        <w:tc>
          <w:tcPr>
            <w:tcW w:w="4601" w:type="dxa"/>
            <w:shd w:val="clear" w:color="auto" w:fill="FFFFFF"/>
            <w:vAlign w:val="center"/>
          </w:tcPr>
          <w:p w14:paraId="4688A742">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1.规格：460mm*430mm*760mm，餐椅四只橡胶木脚（AA等级），坐板厚度18mm橡胶木（AA等级）。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p>
          <w:p w14:paraId="02744027">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p>
        </w:tc>
        <w:tc>
          <w:tcPr>
            <w:tcW w:w="1391" w:type="dxa"/>
            <w:shd w:val="clear" w:color="auto" w:fill="auto"/>
            <w:vAlign w:val="center"/>
          </w:tcPr>
          <w:p w14:paraId="274DF9C1">
            <w:pPr>
              <w:spacing w:after="0" w:line="400" w:lineRule="exact"/>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56515</wp:posOffset>
                  </wp:positionH>
                  <wp:positionV relativeFrom="paragraph">
                    <wp:posOffset>125095</wp:posOffset>
                  </wp:positionV>
                  <wp:extent cx="630555" cy="662305"/>
                  <wp:effectExtent l="0" t="0" r="9525" b="8255"/>
                  <wp:wrapNone/>
                  <wp:docPr id="42" name="图片_2_SpCnt_2"/>
                  <wp:cNvGraphicFramePr/>
                  <a:graphic xmlns:a="http://schemas.openxmlformats.org/drawingml/2006/main">
                    <a:graphicData uri="http://schemas.openxmlformats.org/drawingml/2006/picture">
                      <pic:pic xmlns:pic="http://schemas.openxmlformats.org/drawingml/2006/picture">
                        <pic:nvPicPr>
                          <pic:cNvPr id="42" name="图片_2_SpCnt_2"/>
                          <pic:cNvPicPr/>
                        </pic:nvPicPr>
                        <pic:blipFill>
                          <a:blip r:embed="rId15"/>
                          <a:stretch>
                            <a:fillRect/>
                          </a:stretch>
                        </pic:blipFill>
                        <pic:spPr>
                          <a:xfrm>
                            <a:off x="0" y="0"/>
                            <a:ext cx="630555" cy="662305"/>
                          </a:xfrm>
                          <a:prstGeom prst="rect">
                            <a:avLst/>
                          </a:prstGeom>
                          <a:noFill/>
                          <a:ln>
                            <a:noFill/>
                          </a:ln>
                        </pic:spPr>
                      </pic:pic>
                    </a:graphicData>
                  </a:graphic>
                </wp:anchor>
              </w:drawing>
            </w:r>
          </w:p>
        </w:tc>
      </w:tr>
      <w:tr w14:paraId="7609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546" w:type="dxa"/>
            <w:shd w:val="clear" w:color="auto" w:fill="auto"/>
            <w:vAlign w:val="center"/>
          </w:tcPr>
          <w:p w14:paraId="14CB901A">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10</w:t>
            </w:r>
          </w:p>
        </w:tc>
        <w:tc>
          <w:tcPr>
            <w:tcW w:w="840" w:type="dxa"/>
            <w:shd w:val="clear" w:color="auto" w:fill="auto"/>
            <w:vAlign w:val="center"/>
          </w:tcPr>
          <w:p w14:paraId="21F9ECC4">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衣柜</w:t>
            </w:r>
          </w:p>
        </w:tc>
        <w:tc>
          <w:tcPr>
            <w:tcW w:w="1307" w:type="dxa"/>
            <w:shd w:val="clear" w:color="auto" w:fill="auto"/>
            <w:vAlign w:val="center"/>
          </w:tcPr>
          <w:p w14:paraId="69BDCAB0">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1500mm*600mm*2000mm</w:t>
            </w:r>
          </w:p>
        </w:tc>
        <w:tc>
          <w:tcPr>
            <w:tcW w:w="733" w:type="dxa"/>
            <w:shd w:val="clear" w:color="auto" w:fill="auto"/>
            <w:vAlign w:val="center"/>
          </w:tcPr>
          <w:p w14:paraId="33F7B63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1067</w:t>
            </w:r>
          </w:p>
        </w:tc>
        <w:tc>
          <w:tcPr>
            <w:tcW w:w="667" w:type="dxa"/>
            <w:shd w:val="clear" w:color="auto" w:fill="auto"/>
            <w:vAlign w:val="center"/>
          </w:tcPr>
          <w:p w14:paraId="404B8C57">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6534D1A5">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1.规格：外形1500mm*600mm*2000mm。顶板为25mm。层板、侧板、中竖板、门板、背板、抽面、抽侧、抽前后、脚线为16mm，抽屉底板5mm，配1个抽屉。</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2.基材：采用优质环保三聚氰胺饰面刨花板。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3.封边：采用优质封边条。</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4.热熔胶：采用优质热熔胶。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5.连接件：采用优质三合一连接件。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6.阻尼门铰：采用优质阻尼门铰。</w:t>
            </w:r>
          </w:p>
        </w:tc>
        <w:tc>
          <w:tcPr>
            <w:tcW w:w="1391" w:type="dxa"/>
            <w:shd w:val="clear" w:color="auto" w:fill="auto"/>
            <w:vAlign w:val="center"/>
          </w:tcPr>
          <w:p w14:paraId="0237BAA8">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29845</wp:posOffset>
                  </wp:positionH>
                  <wp:positionV relativeFrom="paragraph">
                    <wp:posOffset>601980</wp:posOffset>
                  </wp:positionV>
                  <wp:extent cx="721995" cy="675640"/>
                  <wp:effectExtent l="0" t="0" r="9525" b="10160"/>
                  <wp:wrapNone/>
                  <wp:docPr id="43" name="图片_1_SpCnt_4"/>
                  <wp:cNvGraphicFramePr/>
                  <a:graphic xmlns:a="http://schemas.openxmlformats.org/drawingml/2006/main">
                    <a:graphicData uri="http://schemas.openxmlformats.org/drawingml/2006/picture">
                      <pic:pic xmlns:pic="http://schemas.openxmlformats.org/drawingml/2006/picture">
                        <pic:nvPicPr>
                          <pic:cNvPr id="43" name="图片_1_SpCnt_4"/>
                          <pic:cNvPicPr/>
                        </pic:nvPicPr>
                        <pic:blipFill>
                          <a:blip r:embed="rId16"/>
                          <a:stretch>
                            <a:fillRect/>
                          </a:stretch>
                        </pic:blipFill>
                        <pic:spPr>
                          <a:xfrm>
                            <a:off x="0" y="0"/>
                            <a:ext cx="721995" cy="675640"/>
                          </a:xfrm>
                          <a:prstGeom prst="rect">
                            <a:avLst/>
                          </a:prstGeom>
                          <a:noFill/>
                          <a:ln>
                            <a:noFill/>
                          </a:ln>
                        </pic:spPr>
                      </pic:pic>
                    </a:graphicData>
                  </a:graphic>
                </wp:anchor>
              </w:drawing>
            </w:r>
          </w:p>
        </w:tc>
      </w:tr>
      <w:tr w14:paraId="78DB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22F0A6D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11</w:t>
            </w:r>
          </w:p>
        </w:tc>
        <w:tc>
          <w:tcPr>
            <w:tcW w:w="840" w:type="dxa"/>
            <w:shd w:val="clear" w:color="auto" w:fill="auto"/>
            <w:vAlign w:val="center"/>
          </w:tcPr>
          <w:p w14:paraId="19148DEF">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窗帘（含轨道）</w:t>
            </w:r>
          </w:p>
        </w:tc>
        <w:tc>
          <w:tcPr>
            <w:tcW w:w="1307" w:type="dxa"/>
            <w:shd w:val="clear" w:color="auto" w:fill="auto"/>
            <w:vAlign w:val="center"/>
          </w:tcPr>
          <w:p w14:paraId="500E3EB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val="en-US" w:eastAsia="zh-CN" w:bidi="ar"/>
              </w:rPr>
              <w:t>14000</w:t>
            </w:r>
            <w:r>
              <w:rPr>
                <w:rFonts w:hint="eastAsia" w:ascii="宋体" w:hAnsi="宋体" w:eastAsia="宋体" w:cs="宋体"/>
                <w:color w:val="auto"/>
                <w:highlight w:val="none"/>
                <w:lang w:bidi="ar"/>
              </w:rPr>
              <w:t>mm</w:t>
            </w:r>
          </w:p>
        </w:tc>
        <w:tc>
          <w:tcPr>
            <w:tcW w:w="733" w:type="dxa"/>
            <w:shd w:val="clear" w:color="auto" w:fill="auto"/>
            <w:vAlign w:val="center"/>
          </w:tcPr>
          <w:p w14:paraId="6F96B82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1067</w:t>
            </w:r>
          </w:p>
        </w:tc>
        <w:tc>
          <w:tcPr>
            <w:tcW w:w="667" w:type="dxa"/>
            <w:shd w:val="clear" w:color="auto" w:fill="auto"/>
            <w:vAlign w:val="center"/>
          </w:tcPr>
          <w:p w14:paraId="103ECC3B">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套</w:t>
            </w:r>
          </w:p>
        </w:tc>
        <w:tc>
          <w:tcPr>
            <w:tcW w:w="4601" w:type="dxa"/>
            <w:shd w:val="clear" w:color="auto" w:fill="auto"/>
            <w:vAlign w:val="center"/>
          </w:tcPr>
          <w:p w14:paraId="7A77F3B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1.幅宽:2800</w:t>
            </w:r>
            <w:r>
              <w:rPr>
                <w:rFonts w:hint="eastAsia" w:ascii="宋体" w:hAnsi="宋体" w:eastAsia="宋体" w:cs="宋体"/>
                <w:color w:val="auto"/>
                <w:highlight w:val="none"/>
                <w:lang w:val="en-US" w:eastAsia="zh-CN" w:bidi="ar"/>
              </w:rPr>
              <w:t>0</w:t>
            </w:r>
            <w:r>
              <w:rPr>
                <w:rFonts w:hint="eastAsia" w:ascii="宋体" w:hAnsi="宋体" w:eastAsia="宋体" w:cs="宋体"/>
                <w:color w:val="auto"/>
                <w:highlight w:val="none"/>
                <w:lang w:bidi="ar"/>
              </w:rPr>
              <w:t>±5(mm)，按1:2 打褶，打褶后14米。一套小公寓经初步测量，约需窗帘总长14米，需按照窗户情况实际分割，并配上足够数量的窗帘扣，不额外收费。</w:t>
            </w:r>
          </w:p>
          <w:p w14:paraId="5010849B">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2.面料：采用手感柔软的棉麻布料作为窗帘面料，抗变色性能佳。成分:90%棉麻纤维，10%永久阻燃涤纶。遮光率≥80%。</w:t>
            </w:r>
          </w:p>
          <w:p w14:paraId="4ED5C620">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3.导轨：采用超强度6063-T5挤压型材。表面烤漆处理，封口采用合金材质，美观耐用。滑轮采用四轮运行结构让整体运行更平稳，顺滑，静音。</w:t>
            </w:r>
          </w:p>
        </w:tc>
        <w:tc>
          <w:tcPr>
            <w:tcW w:w="1391" w:type="dxa"/>
            <w:shd w:val="clear" w:color="auto" w:fill="auto"/>
            <w:vAlign w:val="center"/>
          </w:tcPr>
          <w:p w14:paraId="65095FA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8480" behindDoc="1" locked="0" layoutInCell="1" allowOverlap="1">
                  <wp:simplePos x="0" y="0"/>
                  <wp:positionH relativeFrom="column">
                    <wp:posOffset>0</wp:posOffset>
                  </wp:positionH>
                  <wp:positionV relativeFrom="paragraph">
                    <wp:posOffset>285750</wp:posOffset>
                  </wp:positionV>
                  <wp:extent cx="727075" cy="796925"/>
                  <wp:effectExtent l="0" t="0" r="4445" b="10795"/>
                  <wp:wrapTight wrapText="bothSides">
                    <wp:wrapPolygon>
                      <wp:start x="0" y="0"/>
                      <wp:lineTo x="0" y="21066"/>
                      <wp:lineTo x="21279" y="21066"/>
                      <wp:lineTo x="21279" y="0"/>
                      <wp:lineTo x="0" y="0"/>
                    </wp:wrapPolygon>
                  </wp:wrapTight>
                  <wp:docPr id="44" name="图片 44" descr="f540a7e748e4c0cb7d5838741ed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540a7e748e4c0cb7d5838741ed8fd0"/>
                          <pic:cNvPicPr>
                            <a:picLocks noChangeAspect="1"/>
                          </pic:cNvPicPr>
                        </pic:nvPicPr>
                        <pic:blipFill>
                          <a:blip r:embed="rId17"/>
                          <a:stretch>
                            <a:fillRect/>
                          </a:stretch>
                        </pic:blipFill>
                        <pic:spPr>
                          <a:xfrm>
                            <a:off x="0" y="0"/>
                            <a:ext cx="727075" cy="796925"/>
                          </a:xfrm>
                          <a:prstGeom prst="rect">
                            <a:avLst/>
                          </a:prstGeom>
                        </pic:spPr>
                      </pic:pic>
                    </a:graphicData>
                  </a:graphic>
                </wp:anchor>
              </w:drawing>
            </w:r>
          </w:p>
        </w:tc>
      </w:tr>
      <w:tr w14:paraId="233F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3717DF41">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12</w:t>
            </w:r>
          </w:p>
        </w:tc>
        <w:tc>
          <w:tcPr>
            <w:tcW w:w="840" w:type="dxa"/>
            <w:shd w:val="clear" w:color="auto" w:fill="auto"/>
            <w:vAlign w:val="center"/>
          </w:tcPr>
          <w:p w14:paraId="33A14A75">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电视机柜</w:t>
            </w:r>
          </w:p>
        </w:tc>
        <w:tc>
          <w:tcPr>
            <w:tcW w:w="1307" w:type="dxa"/>
            <w:shd w:val="clear" w:color="auto" w:fill="auto"/>
            <w:vAlign w:val="center"/>
          </w:tcPr>
          <w:p w14:paraId="62BF6C87">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1800mm*400mm*450mm</w:t>
            </w:r>
          </w:p>
        </w:tc>
        <w:tc>
          <w:tcPr>
            <w:tcW w:w="733" w:type="dxa"/>
            <w:shd w:val="clear" w:color="auto" w:fill="auto"/>
            <w:vAlign w:val="center"/>
          </w:tcPr>
          <w:p w14:paraId="0E3E2E3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1095</w:t>
            </w:r>
          </w:p>
        </w:tc>
        <w:tc>
          <w:tcPr>
            <w:tcW w:w="667" w:type="dxa"/>
            <w:shd w:val="clear" w:color="auto" w:fill="auto"/>
            <w:vAlign w:val="center"/>
          </w:tcPr>
          <w:p w14:paraId="760F7917">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个</w:t>
            </w:r>
          </w:p>
        </w:tc>
        <w:tc>
          <w:tcPr>
            <w:tcW w:w="4601" w:type="dxa"/>
            <w:shd w:val="clear" w:color="auto" w:fill="auto"/>
            <w:vAlign w:val="center"/>
          </w:tcPr>
          <w:p w14:paraId="38D24A6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1.规格：外形1800mm*400mm*450mm。台面岩板厚度9mm。</w:t>
            </w:r>
          </w:p>
          <w:p w14:paraId="1681BB6E">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2.面板：采用优质岩板。</w:t>
            </w:r>
          </w:p>
          <w:p w14:paraId="6D5D60E9">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3.脚架：采用优质钢管。</w:t>
            </w:r>
          </w:p>
          <w:p w14:paraId="19F73410">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4.基材：采用优质环保密度板烤漆面板，防爆钢化玻璃柜门。</w:t>
            </w:r>
          </w:p>
          <w:p w14:paraId="0607D6A8">
            <w:pPr>
              <w:spacing w:after="0" w:line="400" w:lineRule="exact"/>
              <w:textAlignment w:val="center"/>
              <w:rPr>
                <w:rFonts w:hint="eastAsia" w:ascii="宋体" w:hAnsi="宋体" w:eastAsia="宋体" w:cs="宋体"/>
                <w:color w:val="auto"/>
                <w:highlight w:val="none"/>
                <w:lang w:val="en-US" w:eastAsia="zh-CN" w:bidi="ar"/>
              </w:rPr>
            </w:pPr>
            <w:r>
              <w:rPr>
                <w:rFonts w:hint="eastAsia" w:ascii="宋体" w:hAnsi="宋体" w:eastAsia="宋体" w:cs="宋体"/>
                <w:color w:val="auto"/>
                <w:highlight w:val="none"/>
                <w:lang w:bidi="ar"/>
              </w:rPr>
              <w:t>5</w:t>
            </w: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三合一连接件</w:t>
            </w:r>
            <w:r>
              <w:rPr>
                <w:rFonts w:hint="eastAsia" w:ascii="宋体" w:hAnsi="宋体" w:eastAsia="宋体" w:cs="宋体"/>
                <w:color w:val="auto"/>
                <w:highlight w:val="none"/>
                <w:lang w:eastAsia="zh-CN" w:bidi="ar"/>
              </w:rPr>
              <w:t>。</w:t>
            </w:r>
          </w:p>
        </w:tc>
        <w:tc>
          <w:tcPr>
            <w:tcW w:w="1391" w:type="dxa"/>
            <w:shd w:val="clear" w:color="auto" w:fill="auto"/>
            <w:vAlign w:val="center"/>
          </w:tcPr>
          <w:p w14:paraId="4772322E">
            <w:pPr>
              <w:spacing w:after="0"/>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33120" cy="399415"/>
                  <wp:effectExtent l="0" t="0" r="5080" b="635"/>
                  <wp:docPr id="2" name="图片 2" descr="微信图片_202412251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225100801"/>
                          <pic:cNvPicPr>
                            <a:picLocks noChangeAspect="1"/>
                          </pic:cNvPicPr>
                        </pic:nvPicPr>
                        <pic:blipFill>
                          <a:blip r:embed="rId18"/>
                          <a:stretch>
                            <a:fillRect/>
                          </a:stretch>
                        </pic:blipFill>
                        <pic:spPr>
                          <a:xfrm>
                            <a:off x="0" y="0"/>
                            <a:ext cx="833120" cy="399415"/>
                          </a:xfrm>
                          <a:prstGeom prst="rect">
                            <a:avLst/>
                          </a:prstGeom>
                        </pic:spPr>
                      </pic:pic>
                    </a:graphicData>
                  </a:graphic>
                </wp:inline>
              </w:drawing>
            </w:r>
          </w:p>
        </w:tc>
      </w:tr>
      <w:tr w14:paraId="0E3F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46" w:type="dxa"/>
            <w:shd w:val="clear" w:color="auto" w:fill="auto"/>
            <w:vAlign w:val="center"/>
          </w:tcPr>
          <w:p w14:paraId="155382FC">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13</w:t>
            </w:r>
          </w:p>
        </w:tc>
        <w:tc>
          <w:tcPr>
            <w:tcW w:w="840" w:type="dxa"/>
            <w:shd w:val="clear" w:color="auto" w:fill="auto"/>
            <w:vAlign w:val="center"/>
          </w:tcPr>
          <w:p w14:paraId="40BC742A">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鞋柜</w:t>
            </w:r>
          </w:p>
        </w:tc>
        <w:tc>
          <w:tcPr>
            <w:tcW w:w="1307" w:type="dxa"/>
            <w:shd w:val="clear" w:color="auto" w:fill="auto"/>
            <w:vAlign w:val="center"/>
          </w:tcPr>
          <w:p w14:paraId="6005B87A">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1000mm*430mm*900mm</w:t>
            </w:r>
          </w:p>
        </w:tc>
        <w:tc>
          <w:tcPr>
            <w:tcW w:w="733" w:type="dxa"/>
            <w:shd w:val="clear" w:color="auto" w:fill="auto"/>
            <w:vAlign w:val="center"/>
          </w:tcPr>
          <w:p w14:paraId="7C5AB982">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858</w:t>
            </w:r>
          </w:p>
        </w:tc>
        <w:tc>
          <w:tcPr>
            <w:tcW w:w="667" w:type="dxa"/>
            <w:shd w:val="clear" w:color="auto" w:fill="auto"/>
            <w:vAlign w:val="center"/>
          </w:tcPr>
          <w:p w14:paraId="365C3F5F">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17EF0725">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bidi="ar"/>
              </w:rPr>
              <w:t>1.规格：外形1000mm*430mm*900mm。顶板为25mm。层板、侧板、中竖板、门板、背板、抽面、抽侧、抽前后、脚线为16mm，抽屉底板5mm</w:t>
            </w:r>
            <w:r>
              <w:rPr>
                <w:rFonts w:hint="eastAsia" w:ascii="宋体" w:hAnsi="宋体" w:eastAsia="宋体" w:cs="宋体"/>
                <w:color w:val="auto"/>
                <w:highlight w:val="none"/>
                <w:lang w:eastAsia="zh-CN" w:bidi="ar"/>
              </w:rPr>
              <w:t>。</w:t>
            </w:r>
          </w:p>
          <w:p w14:paraId="2E87E7E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2.基材：采用优质环保三聚氰胺饰面刨花板。</w:t>
            </w:r>
          </w:p>
          <w:p w14:paraId="56F6A956">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3.封边：采用优质封边条。</w:t>
            </w:r>
          </w:p>
          <w:p w14:paraId="4AE42368">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4.热熔胶：采用优质热熔胶。</w:t>
            </w:r>
          </w:p>
          <w:p w14:paraId="60CD92A2">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bidi="ar"/>
              </w:rPr>
              <w:t>5.三合一连接件</w:t>
            </w:r>
            <w:r>
              <w:rPr>
                <w:rFonts w:hint="eastAsia" w:ascii="宋体" w:hAnsi="宋体" w:eastAsia="宋体" w:cs="宋体"/>
                <w:color w:val="auto"/>
                <w:highlight w:val="none"/>
                <w:lang w:eastAsia="zh-CN" w:bidi="ar"/>
              </w:rPr>
              <w:t>。</w:t>
            </w:r>
          </w:p>
        </w:tc>
        <w:tc>
          <w:tcPr>
            <w:tcW w:w="1391" w:type="dxa"/>
            <w:shd w:val="clear" w:color="auto" w:fill="auto"/>
            <w:vAlign w:val="center"/>
          </w:tcPr>
          <w:p w14:paraId="76A2EAF7">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3175</wp:posOffset>
                  </wp:positionV>
                  <wp:extent cx="723900" cy="823595"/>
                  <wp:effectExtent l="0" t="0" r="7620" b="14605"/>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9"/>
                          <a:stretch>
                            <a:fillRect/>
                          </a:stretch>
                        </pic:blipFill>
                        <pic:spPr>
                          <a:xfrm>
                            <a:off x="0" y="0"/>
                            <a:ext cx="723900" cy="823595"/>
                          </a:xfrm>
                          <a:prstGeom prst="rect">
                            <a:avLst/>
                          </a:prstGeom>
                          <a:noFill/>
                          <a:ln>
                            <a:noFill/>
                          </a:ln>
                        </pic:spPr>
                      </pic:pic>
                    </a:graphicData>
                  </a:graphic>
                </wp:anchor>
              </w:drawing>
            </w:r>
          </w:p>
        </w:tc>
      </w:tr>
      <w:tr w14:paraId="51BB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546" w:type="dxa"/>
            <w:shd w:val="clear" w:color="auto" w:fill="auto"/>
            <w:vAlign w:val="center"/>
          </w:tcPr>
          <w:p w14:paraId="192410E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14</w:t>
            </w:r>
          </w:p>
        </w:tc>
        <w:tc>
          <w:tcPr>
            <w:tcW w:w="840" w:type="dxa"/>
            <w:shd w:val="clear" w:color="auto" w:fill="auto"/>
            <w:vAlign w:val="center"/>
          </w:tcPr>
          <w:p w14:paraId="76B05ACD">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晾衣架</w:t>
            </w:r>
          </w:p>
        </w:tc>
        <w:tc>
          <w:tcPr>
            <w:tcW w:w="1307" w:type="dxa"/>
            <w:shd w:val="clear" w:color="auto" w:fill="auto"/>
            <w:vAlign w:val="center"/>
          </w:tcPr>
          <w:p w14:paraId="7F018AD6">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1500mm*900mm*430mm</w:t>
            </w:r>
          </w:p>
        </w:tc>
        <w:tc>
          <w:tcPr>
            <w:tcW w:w="733" w:type="dxa"/>
            <w:shd w:val="clear" w:color="auto" w:fill="auto"/>
            <w:vAlign w:val="center"/>
          </w:tcPr>
          <w:p w14:paraId="4F5DB22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237</w:t>
            </w:r>
          </w:p>
        </w:tc>
        <w:tc>
          <w:tcPr>
            <w:tcW w:w="667" w:type="dxa"/>
            <w:shd w:val="clear" w:color="auto" w:fill="auto"/>
            <w:vAlign w:val="center"/>
          </w:tcPr>
          <w:p w14:paraId="38125C53">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个</w:t>
            </w:r>
          </w:p>
        </w:tc>
        <w:tc>
          <w:tcPr>
            <w:tcW w:w="4601" w:type="dxa"/>
            <w:shd w:val="clear" w:color="auto" w:fill="auto"/>
            <w:vAlign w:val="center"/>
          </w:tcPr>
          <w:p w14:paraId="7DAB1302">
            <w:pPr>
              <w:numPr>
                <w:ilvl w:val="0"/>
                <w:numId w:val="1"/>
              </w:num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rPr>
              <w:t>规格：1500mm*900mm*430mm，收纳尺寸：1070mm*470mm*80mm。</w:t>
            </w:r>
          </w:p>
          <w:p w14:paraId="40C6EEAB">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rPr>
              <w:t>2.表面喷塑工艺，边角无毛刺。采用三层晾晒空间、23根晾晒横杆、最大晾晒高度1600mm。</w:t>
            </w:r>
          </w:p>
          <w:p w14:paraId="5B33E5BE">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rPr>
              <w:t>3.材质：整体采用碳钢材质、主体连接处采用一体冲压成型不锈钢材质</w:t>
            </w:r>
            <w:r>
              <w:rPr>
                <w:rFonts w:hint="eastAsia" w:ascii="宋体" w:hAnsi="宋体" w:eastAsia="宋体" w:cs="宋体"/>
                <w:color w:val="auto"/>
                <w:highlight w:val="none"/>
                <w:lang w:eastAsia="zh-CN"/>
              </w:rPr>
              <w:t>。</w:t>
            </w:r>
          </w:p>
        </w:tc>
        <w:tc>
          <w:tcPr>
            <w:tcW w:w="1391" w:type="dxa"/>
            <w:shd w:val="clear" w:color="auto" w:fill="auto"/>
            <w:vAlign w:val="center"/>
          </w:tcPr>
          <w:p w14:paraId="514D8BB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-137160</wp:posOffset>
                  </wp:positionV>
                  <wp:extent cx="721360" cy="721360"/>
                  <wp:effectExtent l="0" t="0" r="10160" b="10160"/>
                  <wp:wrapNone/>
                  <wp:docPr id="47" name="图片 3" descr="落地晾衣架_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落地晾衣架_三层"/>
                          <pic:cNvPicPr>
                            <a:picLocks noChangeAspect="1"/>
                          </pic:cNvPicPr>
                        </pic:nvPicPr>
                        <pic:blipFill>
                          <a:blip r:embed="rId20"/>
                          <a:stretch>
                            <a:fillRect/>
                          </a:stretch>
                        </pic:blipFill>
                        <pic:spPr>
                          <a:xfrm>
                            <a:off x="0" y="0"/>
                            <a:ext cx="721360" cy="721360"/>
                          </a:xfrm>
                          <a:prstGeom prst="rect">
                            <a:avLst/>
                          </a:prstGeom>
                          <a:noFill/>
                          <a:ln>
                            <a:noFill/>
                          </a:ln>
                        </pic:spPr>
                      </pic:pic>
                    </a:graphicData>
                  </a:graphic>
                </wp:anchor>
              </w:drawing>
            </w:r>
          </w:p>
        </w:tc>
      </w:tr>
    </w:tbl>
    <w:p w14:paraId="3F892814">
      <w:pPr>
        <w:spacing w:after="0" w:line="360" w:lineRule="auto"/>
        <w:rPr>
          <w:rFonts w:hint="default" w:ascii="宋体" w:hAnsi="宋体" w:eastAsia="宋体" w:cs="宋体"/>
          <w:b/>
          <w:color w:val="auto"/>
          <w:highlight w:val="none"/>
          <w:lang w:val="en-US" w:eastAsia="zh-CN"/>
        </w:rPr>
      </w:pPr>
      <w:r>
        <w:rPr>
          <w:rFonts w:hint="eastAsia" w:ascii="宋体" w:hAnsi="宋体" w:eastAsia="宋体" w:cs="宋体"/>
          <w:b/>
          <w:color w:val="auto"/>
          <w:highlight w:val="none"/>
          <w:lang w:eastAsia="zh-CN"/>
        </w:rPr>
        <w:t>标项</w:t>
      </w:r>
      <w:r>
        <w:rPr>
          <w:rFonts w:hint="eastAsia" w:ascii="宋体" w:hAnsi="宋体" w:eastAsia="宋体" w:cs="宋体"/>
          <w:b/>
          <w:color w:val="auto"/>
          <w:highlight w:val="none"/>
          <w:lang w:val="en-US" w:eastAsia="zh-CN"/>
        </w:rPr>
        <w:t>2：科技城区块公寓家具</w:t>
      </w:r>
    </w:p>
    <w:p w14:paraId="356D69CE">
      <w:pPr>
        <w:spacing w:after="0" w:line="360" w:lineRule="auto"/>
        <w:rPr>
          <w:rFonts w:ascii="宋体" w:hAnsi="宋体" w:eastAsia="宋体" w:cs="宋体"/>
          <w:b/>
          <w:color w:val="auto"/>
          <w:highlight w:val="none"/>
        </w:rPr>
      </w:pPr>
      <w:r>
        <w:rPr>
          <w:rFonts w:hint="eastAsia" w:ascii="宋体" w:hAnsi="宋体" w:eastAsia="宋体" w:cs="宋体"/>
          <w:b/>
          <w:color w:val="auto"/>
          <w:highlight w:val="none"/>
          <w:lang w:val="en-US" w:eastAsia="zh-CN"/>
        </w:rPr>
        <w:t>1</w:t>
      </w:r>
      <w:r>
        <w:rPr>
          <w:rFonts w:hint="eastAsia" w:ascii="宋体" w:hAnsi="宋体" w:eastAsia="宋体" w:cs="宋体"/>
          <w:b/>
          <w:color w:val="auto"/>
          <w:highlight w:val="none"/>
        </w:rPr>
        <w:t>.成品列表</w:t>
      </w:r>
    </w:p>
    <w:tbl>
      <w:tblPr>
        <w:tblStyle w:val="30"/>
        <w:tblW w:w="10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40"/>
        <w:gridCol w:w="1307"/>
        <w:gridCol w:w="733"/>
        <w:gridCol w:w="667"/>
        <w:gridCol w:w="4601"/>
        <w:gridCol w:w="1391"/>
      </w:tblGrid>
      <w:tr w14:paraId="2B47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6765915A">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序号</w:t>
            </w:r>
          </w:p>
        </w:tc>
        <w:tc>
          <w:tcPr>
            <w:tcW w:w="840" w:type="dxa"/>
            <w:shd w:val="clear" w:color="auto" w:fill="auto"/>
            <w:vAlign w:val="center"/>
          </w:tcPr>
          <w:p w14:paraId="710A1BEE">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名称</w:t>
            </w:r>
          </w:p>
        </w:tc>
        <w:tc>
          <w:tcPr>
            <w:tcW w:w="1307" w:type="dxa"/>
            <w:shd w:val="clear" w:color="auto" w:fill="auto"/>
            <w:vAlign w:val="center"/>
          </w:tcPr>
          <w:p w14:paraId="39949B04">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外形尺寸（允许偏差±5mm）</w:t>
            </w:r>
          </w:p>
        </w:tc>
        <w:tc>
          <w:tcPr>
            <w:tcW w:w="733" w:type="dxa"/>
            <w:shd w:val="clear" w:color="auto" w:fill="auto"/>
            <w:vAlign w:val="center"/>
          </w:tcPr>
          <w:p w14:paraId="2B7B156D">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数量</w:t>
            </w:r>
          </w:p>
        </w:tc>
        <w:tc>
          <w:tcPr>
            <w:tcW w:w="667" w:type="dxa"/>
            <w:shd w:val="clear" w:color="auto" w:fill="auto"/>
            <w:vAlign w:val="center"/>
          </w:tcPr>
          <w:p w14:paraId="488936AC">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单位</w:t>
            </w:r>
          </w:p>
        </w:tc>
        <w:tc>
          <w:tcPr>
            <w:tcW w:w="4601" w:type="dxa"/>
            <w:shd w:val="clear" w:color="auto" w:fill="auto"/>
            <w:vAlign w:val="center"/>
          </w:tcPr>
          <w:p w14:paraId="4A687A6B">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技术参数要求</w:t>
            </w:r>
          </w:p>
        </w:tc>
        <w:tc>
          <w:tcPr>
            <w:tcW w:w="1391" w:type="dxa"/>
            <w:shd w:val="clear" w:color="auto" w:fill="auto"/>
            <w:vAlign w:val="center"/>
          </w:tcPr>
          <w:p w14:paraId="15F2131B">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参考图片</w:t>
            </w:r>
          </w:p>
        </w:tc>
      </w:tr>
      <w:tr w14:paraId="709C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546" w:type="dxa"/>
            <w:shd w:val="clear" w:color="auto" w:fill="auto"/>
            <w:vAlign w:val="center"/>
          </w:tcPr>
          <w:p w14:paraId="2489124D">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w:t>
            </w:r>
          </w:p>
        </w:tc>
        <w:tc>
          <w:tcPr>
            <w:tcW w:w="840" w:type="dxa"/>
            <w:shd w:val="clear" w:color="auto" w:fill="auto"/>
            <w:vAlign w:val="center"/>
          </w:tcPr>
          <w:p w14:paraId="67D2BC1F">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床</w:t>
            </w:r>
          </w:p>
        </w:tc>
        <w:tc>
          <w:tcPr>
            <w:tcW w:w="1307" w:type="dxa"/>
            <w:shd w:val="clear" w:color="auto" w:fill="auto"/>
            <w:vAlign w:val="center"/>
          </w:tcPr>
          <w:p w14:paraId="73ECBD10">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1520mm*2120mm*880mm</w:t>
            </w:r>
          </w:p>
        </w:tc>
        <w:tc>
          <w:tcPr>
            <w:tcW w:w="733" w:type="dxa"/>
            <w:shd w:val="clear" w:color="auto" w:fill="auto"/>
            <w:vAlign w:val="center"/>
          </w:tcPr>
          <w:p w14:paraId="4D30684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678</w:t>
            </w:r>
          </w:p>
        </w:tc>
        <w:tc>
          <w:tcPr>
            <w:tcW w:w="667" w:type="dxa"/>
            <w:shd w:val="clear" w:color="auto" w:fill="auto"/>
            <w:vAlign w:val="center"/>
          </w:tcPr>
          <w:p w14:paraId="7759496C">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60D1C49F">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 xml:space="preserve">1.规格：外形1520mm*2120mm*880mm。床头整体采用橡胶木（AA等级），床边≥25*170mm，床子规格5根，28*58mm杉木；床板≥16mm厚杉木折叠床板。 </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3.底漆：采用优质环保水性底漆。</w:t>
            </w:r>
          </w:p>
          <w:p w14:paraId="728CB718">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4.面漆：采用优质环保水性面漆。</w:t>
            </w:r>
          </w:p>
          <w:p w14:paraId="626FC311">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5.胶粘剂：采用优质白乳胶。</w:t>
            </w:r>
          </w:p>
        </w:tc>
        <w:tc>
          <w:tcPr>
            <w:tcW w:w="1391" w:type="dxa"/>
            <w:shd w:val="clear" w:color="auto" w:fill="auto"/>
            <w:vAlign w:val="center"/>
          </w:tcPr>
          <w:p w14:paraId="07723F90">
            <w:pPr>
              <w:spacing w:after="0" w:line="400" w:lineRule="exact"/>
              <w:jc w:val="center"/>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71552" behindDoc="1" locked="0" layoutInCell="1" allowOverlap="1">
                  <wp:simplePos x="0" y="0"/>
                  <wp:positionH relativeFrom="column">
                    <wp:posOffset>14605</wp:posOffset>
                  </wp:positionH>
                  <wp:positionV relativeFrom="paragraph">
                    <wp:posOffset>157480</wp:posOffset>
                  </wp:positionV>
                  <wp:extent cx="678180" cy="693420"/>
                  <wp:effectExtent l="0" t="0" r="7620" b="7620"/>
                  <wp:wrapTight wrapText="bothSides">
                    <wp:wrapPolygon>
                      <wp:start x="0" y="0"/>
                      <wp:lineTo x="0" y="21363"/>
                      <wp:lineTo x="21357" y="21363"/>
                      <wp:lineTo x="21357" y="0"/>
                      <wp:lineTo x="0" y="0"/>
                    </wp:wrapPolygon>
                  </wp:wrapTight>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7"/>
                          <a:stretch>
                            <a:fillRect/>
                          </a:stretch>
                        </pic:blipFill>
                        <pic:spPr>
                          <a:xfrm>
                            <a:off x="0" y="0"/>
                            <a:ext cx="678180" cy="693420"/>
                          </a:xfrm>
                          <a:prstGeom prst="rect">
                            <a:avLst/>
                          </a:prstGeom>
                          <a:noFill/>
                          <a:ln>
                            <a:noFill/>
                          </a:ln>
                        </pic:spPr>
                      </pic:pic>
                    </a:graphicData>
                  </a:graphic>
                </wp:anchor>
              </w:drawing>
            </w:r>
          </w:p>
        </w:tc>
      </w:tr>
      <w:tr w14:paraId="41DD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46B158DC">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w:t>
            </w:r>
          </w:p>
        </w:tc>
        <w:tc>
          <w:tcPr>
            <w:tcW w:w="840" w:type="dxa"/>
            <w:shd w:val="clear" w:color="auto" w:fill="auto"/>
            <w:vAlign w:val="center"/>
          </w:tcPr>
          <w:p w14:paraId="78BC11AD">
            <w:pPr>
              <w:spacing w:after="0" w:line="400" w:lineRule="exact"/>
              <w:jc w:val="center"/>
              <w:textAlignment w:val="center"/>
              <w:rPr>
                <w:rFonts w:ascii="宋体" w:hAnsi="宋体" w:eastAsia="宋体" w:cs="宋体"/>
                <w:b/>
                <w:bCs/>
                <w:color w:val="auto"/>
                <w:highlight w:val="none"/>
                <w:lang w:bidi="ar"/>
              </w:rPr>
            </w:pPr>
            <w:r>
              <w:rPr>
                <w:rFonts w:hint="eastAsia" w:ascii="宋体" w:hAnsi="宋体" w:eastAsia="宋体" w:cs="宋体"/>
                <w:color w:val="auto"/>
                <w:highlight w:val="none"/>
                <w:lang w:bidi="ar"/>
              </w:rPr>
              <w:t>床垫</w:t>
            </w:r>
          </w:p>
        </w:tc>
        <w:tc>
          <w:tcPr>
            <w:tcW w:w="1307" w:type="dxa"/>
            <w:shd w:val="clear" w:color="auto" w:fill="auto"/>
            <w:vAlign w:val="center"/>
          </w:tcPr>
          <w:p w14:paraId="08C81ACB">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1500mm*2000mm*230mm</w:t>
            </w:r>
          </w:p>
        </w:tc>
        <w:tc>
          <w:tcPr>
            <w:tcW w:w="733" w:type="dxa"/>
            <w:shd w:val="clear" w:color="auto" w:fill="auto"/>
            <w:vAlign w:val="center"/>
          </w:tcPr>
          <w:p w14:paraId="0949644B">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rPr>
              <w:t>678</w:t>
            </w:r>
          </w:p>
        </w:tc>
        <w:tc>
          <w:tcPr>
            <w:tcW w:w="667" w:type="dxa"/>
            <w:shd w:val="clear" w:color="auto" w:fill="auto"/>
            <w:vAlign w:val="center"/>
          </w:tcPr>
          <w:p w14:paraId="7D82CC07">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673DAF6A">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1.规格：外形1500mm*2000mm*230mm。</w:t>
            </w:r>
          </w:p>
          <w:p w14:paraId="1110CD82">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标准：采用优质防螨阻燃针织棉面，床胆内部填充用热带或亚热带地区纯天然椰棕与纯天然乳胶制作经高温、灭菌、定型三道工序而成。棕比具有超强弹力，随意折叠棕丝不变形自动回弹，长时间使用不易塌陷及变形，易保养、不易虫蛀或发霉。</w:t>
            </w:r>
          </w:p>
        </w:tc>
        <w:tc>
          <w:tcPr>
            <w:tcW w:w="1391" w:type="dxa"/>
            <w:shd w:val="clear" w:color="auto" w:fill="auto"/>
            <w:vAlign w:val="center"/>
          </w:tcPr>
          <w:p w14:paraId="3D5493BB">
            <w:pPr>
              <w:spacing w:after="0" w:line="400" w:lineRule="exact"/>
              <w:jc w:val="center"/>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72576" behindDoc="1" locked="0" layoutInCell="1" allowOverlap="1">
                  <wp:simplePos x="0" y="0"/>
                  <wp:positionH relativeFrom="column">
                    <wp:posOffset>0</wp:posOffset>
                  </wp:positionH>
                  <wp:positionV relativeFrom="paragraph">
                    <wp:posOffset>243840</wp:posOffset>
                  </wp:positionV>
                  <wp:extent cx="724535" cy="424815"/>
                  <wp:effectExtent l="0" t="0" r="6985" b="1905"/>
                  <wp:wrapTight wrapText="bothSides">
                    <wp:wrapPolygon>
                      <wp:start x="0" y="0"/>
                      <wp:lineTo x="0" y="20922"/>
                      <wp:lineTo x="21354" y="20922"/>
                      <wp:lineTo x="21354" y="0"/>
                      <wp:lineTo x="0" y="0"/>
                    </wp:wrapPolygon>
                  </wp:wrapTight>
                  <wp:docPr id="5" name="图片 5" descr="170684077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6840774981"/>
                          <pic:cNvPicPr>
                            <a:picLocks noChangeAspect="1"/>
                          </pic:cNvPicPr>
                        </pic:nvPicPr>
                        <pic:blipFill>
                          <a:blip r:embed="rId8"/>
                          <a:stretch>
                            <a:fillRect/>
                          </a:stretch>
                        </pic:blipFill>
                        <pic:spPr>
                          <a:xfrm>
                            <a:off x="0" y="0"/>
                            <a:ext cx="724535" cy="424815"/>
                          </a:xfrm>
                          <a:prstGeom prst="rect">
                            <a:avLst/>
                          </a:prstGeom>
                        </pic:spPr>
                      </pic:pic>
                    </a:graphicData>
                  </a:graphic>
                </wp:anchor>
              </w:drawing>
            </w:r>
          </w:p>
        </w:tc>
      </w:tr>
      <w:tr w14:paraId="726E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27728614">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3</w:t>
            </w:r>
          </w:p>
        </w:tc>
        <w:tc>
          <w:tcPr>
            <w:tcW w:w="840" w:type="dxa"/>
            <w:shd w:val="clear" w:color="auto" w:fill="auto"/>
            <w:vAlign w:val="center"/>
          </w:tcPr>
          <w:p w14:paraId="43BCA59B">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床头柜</w:t>
            </w:r>
          </w:p>
        </w:tc>
        <w:tc>
          <w:tcPr>
            <w:tcW w:w="1307" w:type="dxa"/>
            <w:shd w:val="clear" w:color="auto" w:fill="auto"/>
            <w:vAlign w:val="center"/>
          </w:tcPr>
          <w:p w14:paraId="2D441F3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430mm*400mm*480mm</w:t>
            </w:r>
          </w:p>
        </w:tc>
        <w:tc>
          <w:tcPr>
            <w:tcW w:w="733" w:type="dxa"/>
            <w:shd w:val="clear" w:color="auto" w:fill="auto"/>
            <w:vAlign w:val="center"/>
          </w:tcPr>
          <w:p w14:paraId="34465701">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1356</w:t>
            </w:r>
          </w:p>
        </w:tc>
        <w:tc>
          <w:tcPr>
            <w:tcW w:w="667" w:type="dxa"/>
            <w:shd w:val="clear" w:color="auto" w:fill="auto"/>
            <w:vAlign w:val="center"/>
          </w:tcPr>
          <w:p w14:paraId="6A380D1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auto"/>
            <w:vAlign w:val="center"/>
          </w:tcPr>
          <w:p w14:paraId="37180288">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1.规格：外形430mm*400mm*480mm。床头柜单抽屉，四只橡胶木柜脚（AA等级），面板厚度15mm橡胶木（AA等级），背板厚度≥5mm多层实木。</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6.阻尼导轨：采用优质阻尼导轨。</w:t>
            </w:r>
          </w:p>
        </w:tc>
        <w:tc>
          <w:tcPr>
            <w:tcW w:w="1391" w:type="dxa"/>
            <w:shd w:val="clear" w:color="auto" w:fill="auto"/>
            <w:vAlign w:val="center"/>
          </w:tcPr>
          <w:p w14:paraId="13341C16">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-15240</wp:posOffset>
                  </wp:positionH>
                  <wp:positionV relativeFrom="paragraph">
                    <wp:posOffset>121920</wp:posOffset>
                  </wp:positionV>
                  <wp:extent cx="744855" cy="876935"/>
                  <wp:effectExtent l="0" t="0" r="1905" b="698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9"/>
                          <a:stretch>
                            <a:fillRect/>
                          </a:stretch>
                        </pic:blipFill>
                        <pic:spPr>
                          <a:xfrm>
                            <a:off x="0" y="0"/>
                            <a:ext cx="744855" cy="876935"/>
                          </a:xfrm>
                          <a:prstGeom prst="rect">
                            <a:avLst/>
                          </a:prstGeom>
                          <a:noFill/>
                          <a:ln>
                            <a:noFill/>
                          </a:ln>
                        </pic:spPr>
                      </pic:pic>
                    </a:graphicData>
                  </a:graphic>
                </wp:anchor>
              </w:drawing>
            </w:r>
          </w:p>
        </w:tc>
      </w:tr>
      <w:tr w14:paraId="1F00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4DCCC0DB">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w:t>
            </w:r>
          </w:p>
        </w:tc>
        <w:tc>
          <w:tcPr>
            <w:tcW w:w="840" w:type="dxa"/>
            <w:shd w:val="clear" w:color="auto" w:fill="auto"/>
            <w:vAlign w:val="center"/>
          </w:tcPr>
          <w:p w14:paraId="2F76D85D">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双人位沙发</w:t>
            </w:r>
          </w:p>
        </w:tc>
        <w:tc>
          <w:tcPr>
            <w:tcW w:w="1307" w:type="dxa"/>
            <w:shd w:val="clear" w:color="auto" w:fill="auto"/>
            <w:vAlign w:val="center"/>
          </w:tcPr>
          <w:p w14:paraId="24A79B63">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1400mm*770mm*760mm</w:t>
            </w:r>
          </w:p>
        </w:tc>
        <w:tc>
          <w:tcPr>
            <w:tcW w:w="733" w:type="dxa"/>
            <w:shd w:val="clear" w:color="auto" w:fill="auto"/>
            <w:vAlign w:val="center"/>
          </w:tcPr>
          <w:p w14:paraId="5E4C6CF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77E72B9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3C8CA1F3">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1.规格：外形1400mm*770mm*760mm。西皮前后双色拼接。</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2.面料：采用优质西皮。</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3.海绵：采用高弹阻燃海绵。</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4.基材：框架基材采用优质实木橡胶木（AA等级）。</w:t>
            </w:r>
          </w:p>
          <w:p w14:paraId="5742CAC0">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5.脚架：采用优质钢管。</w:t>
            </w:r>
          </w:p>
        </w:tc>
        <w:tc>
          <w:tcPr>
            <w:tcW w:w="1391" w:type="dxa"/>
            <w:shd w:val="clear" w:color="auto" w:fill="auto"/>
            <w:vAlign w:val="center"/>
          </w:tcPr>
          <w:p w14:paraId="7276210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-55880</wp:posOffset>
                  </wp:positionH>
                  <wp:positionV relativeFrom="paragraph">
                    <wp:posOffset>210185</wp:posOffset>
                  </wp:positionV>
                  <wp:extent cx="733425" cy="495300"/>
                  <wp:effectExtent l="0" t="0" r="13335" b="7620"/>
                  <wp:wrapNone/>
                  <wp:docPr id="7" name="图片_2_SpCnt_3"/>
                  <wp:cNvGraphicFramePr/>
                  <a:graphic xmlns:a="http://schemas.openxmlformats.org/drawingml/2006/main">
                    <a:graphicData uri="http://schemas.openxmlformats.org/drawingml/2006/picture">
                      <pic:pic xmlns:pic="http://schemas.openxmlformats.org/drawingml/2006/picture">
                        <pic:nvPicPr>
                          <pic:cNvPr id="7" name="图片_2_SpCnt_3"/>
                          <pic:cNvPicPr/>
                        </pic:nvPicPr>
                        <pic:blipFill>
                          <a:blip r:embed="rId10"/>
                          <a:stretch>
                            <a:fillRect/>
                          </a:stretch>
                        </pic:blipFill>
                        <pic:spPr>
                          <a:xfrm>
                            <a:off x="0" y="0"/>
                            <a:ext cx="733425" cy="495300"/>
                          </a:xfrm>
                          <a:prstGeom prst="rect">
                            <a:avLst/>
                          </a:prstGeom>
                          <a:noFill/>
                          <a:ln>
                            <a:noFill/>
                          </a:ln>
                        </pic:spPr>
                      </pic:pic>
                    </a:graphicData>
                  </a:graphic>
                </wp:anchor>
              </w:drawing>
            </w:r>
          </w:p>
        </w:tc>
      </w:tr>
      <w:tr w14:paraId="28D5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546" w:type="dxa"/>
            <w:shd w:val="clear" w:color="auto" w:fill="auto"/>
            <w:vAlign w:val="center"/>
          </w:tcPr>
          <w:p w14:paraId="600942C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5</w:t>
            </w:r>
          </w:p>
        </w:tc>
        <w:tc>
          <w:tcPr>
            <w:tcW w:w="840" w:type="dxa"/>
            <w:shd w:val="clear" w:color="auto" w:fill="auto"/>
            <w:vAlign w:val="center"/>
          </w:tcPr>
          <w:p w14:paraId="513A0C4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岩板茶几</w:t>
            </w:r>
          </w:p>
        </w:tc>
        <w:tc>
          <w:tcPr>
            <w:tcW w:w="1307" w:type="dxa"/>
            <w:shd w:val="clear" w:color="auto" w:fill="auto"/>
            <w:vAlign w:val="center"/>
          </w:tcPr>
          <w:p w14:paraId="58DEFE11">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1200mm*600mm*450mm</w:t>
            </w:r>
          </w:p>
        </w:tc>
        <w:tc>
          <w:tcPr>
            <w:tcW w:w="733" w:type="dxa"/>
            <w:shd w:val="clear" w:color="auto" w:fill="auto"/>
            <w:vAlign w:val="center"/>
          </w:tcPr>
          <w:p w14:paraId="2B71FFA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23BBCC18">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auto"/>
            <w:vAlign w:val="center"/>
          </w:tcPr>
          <w:p w14:paraId="5DDB728C">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1.规格：外形1200mm*600mm*450mm，台面岩板厚度12mm，加厚加粗钢脚架固定。</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2.面板：采用优质岩板。</w:t>
            </w:r>
          </w:p>
          <w:p w14:paraId="43DCE2E1">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bidi="ar"/>
              </w:rPr>
              <w:t>3.脚架：采用优质钢管。</w:t>
            </w:r>
          </w:p>
        </w:tc>
        <w:tc>
          <w:tcPr>
            <w:tcW w:w="1391" w:type="dxa"/>
            <w:shd w:val="clear" w:color="auto" w:fill="auto"/>
            <w:vAlign w:val="center"/>
          </w:tcPr>
          <w:p w14:paraId="5F048CE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23900" cy="723900"/>
                  <wp:effectExtent l="0" t="0" r="7620" b="7620"/>
                  <wp:docPr id="8" name="图片 8" descr="岩板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岩板茶几"/>
                          <pic:cNvPicPr>
                            <a:picLocks noChangeAspect="1"/>
                          </pic:cNvPicPr>
                        </pic:nvPicPr>
                        <pic:blipFill>
                          <a:blip r:embed="rId11"/>
                          <a:stretch>
                            <a:fillRect/>
                          </a:stretch>
                        </pic:blipFill>
                        <pic:spPr>
                          <a:xfrm>
                            <a:off x="0" y="0"/>
                            <a:ext cx="723900" cy="723900"/>
                          </a:xfrm>
                          <a:prstGeom prst="rect">
                            <a:avLst/>
                          </a:prstGeom>
                        </pic:spPr>
                      </pic:pic>
                    </a:graphicData>
                  </a:graphic>
                </wp:inline>
              </w:drawing>
            </w:r>
          </w:p>
        </w:tc>
      </w:tr>
      <w:tr w14:paraId="2BBE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481BA7B8">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w:t>
            </w:r>
          </w:p>
        </w:tc>
        <w:tc>
          <w:tcPr>
            <w:tcW w:w="840" w:type="dxa"/>
            <w:shd w:val="clear" w:color="auto" w:fill="auto"/>
            <w:vAlign w:val="center"/>
          </w:tcPr>
          <w:p w14:paraId="164BEFC8">
            <w:pPr>
              <w:spacing w:after="0" w:line="400" w:lineRule="exact"/>
              <w:jc w:val="center"/>
              <w:rPr>
                <w:rFonts w:ascii="宋体" w:hAnsi="宋体" w:eastAsia="宋体" w:cs="宋体"/>
                <w:color w:val="auto"/>
                <w:highlight w:val="none"/>
              </w:rPr>
            </w:pPr>
            <w:r>
              <w:rPr>
                <w:rFonts w:hint="eastAsia" w:ascii="宋体" w:hAnsi="宋体" w:eastAsia="宋体" w:cs="宋体"/>
                <w:color w:val="auto"/>
                <w:highlight w:val="none"/>
                <w:lang w:bidi="ar"/>
              </w:rPr>
              <w:t>岩板餐桌</w:t>
            </w:r>
          </w:p>
        </w:tc>
        <w:tc>
          <w:tcPr>
            <w:tcW w:w="1307" w:type="dxa"/>
            <w:shd w:val="clear" w:color="auto" w:fill="auto"/>
            <w:vAlign w:val="center"/>
          </w:tcPr>
          <w:p w14:paraId="7D5D89F8">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600mm*600mm*750mm</w:t>
            </w:r>
          </w:p>
        </w:tc>
        <w:tc>
          <w:tcPr>
            <w:tcW w:w="733" w:type="dxa"/>
            <w:shd w:val="clear" w:color="auto" w:fill="auto"/>
            <w:vAlign w:val="center"/>
          </w:tcPr>
          <w:p w14:paraId="023AFA61">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648</w:t>
            </w:r>
          </w:p>
        </w:tc>
        <w:tc>
          <w:tcPr>
            <w:tcW w:w="667" w:type="dxa"/>
            <w:shd w:val="clear" w:color="auto" w:fill="auto"/>
            <w:vAlign w:val="center"/>
          </w:tcPr>
          <w:p w14:paraId="36B67D1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1C3AE245">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1.规格：外形600mm*600mm*750mm。台面岩板厚度12mm，加厚加粗钢脚架固定。</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2.面板：采用优质岩板。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3.底板：采用优质实木多层板。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4.脚架：采用优质钢管。</w:t>
            </w:r>
          </w:p>
        </w:tc>
        <w:tc>
          <w:tcPr>
            <w:tcW w:w="1391" w:type="dxa"/>
            <w:shd w:val="clear" w:color="auto" w:fill="auto"/>
            <w:vAlign w:val="center"/>
          </w:tcPr>
          <w:p w14:paraId="754FAEEF">
            <w:pPr>
              <w:spacing w:after="0" w:line="400" w:lineRule="exact"/>
              <w:jc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23495</wp:posOffset>
                  </wp:positionH>
                  <wp:positionV relativeFrom="paragraph">
                    <wp:posOffset>212090</wp:posOffset>
                  </wp:positionV>
                  <wp:extent cx="759460" cy="461010"/>
                  <wp:effectExtent l="0" t="0" r="2540" b="11430"/>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12"/>
                          <a:stretch>
                            <a:fillRect/>
                          </a:stretch>
                        </pic:blipFill>
                        <pic:spPr>
                          <a:xfrm>
                            <a:off x="0" y="0"/>
                            <a:ext cx="759460" cy="461010"/>
                          </a:xfrm>
                          <a:prstGeom prst="rect">
                            <a:avLst/>
                          </a:prstGeom>
                          <a:noFill/>
                          <a:ln>
                            <a:noFill/>
                          </a:ln>
                        </pic:spPr>
                      </pic:pic>
                    </a:graphicData>
                  </a:graphic>
                </wp:anchor>
              </w:drawing>
            </w:r>
          </w:p>
        </w:tc>
      </w:tr>
      <w:tr w14:paraId="3DCB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25C6EFB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7</w:t>
            </w:r>
          </w:p>
        </w:tc>
        <w:tc>
          <w:tcPr>
            <w:tcW w:w="840" w:type="dxa"/>
            <w:shd w:val="clear" w:color="auto" w:fill="auto"/>
            <w:vAlign w:val="center"/>
          </w:tcPr>
          <w:p w14:paraId="7442D9B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餐椅</w:t>
            </w:r>
          </w:p>
        </w:tc>
        <w:tc>
          <w:tcPr>
            <w:tcW w:w="1307" w:type="dxa"/>
            <w:shd w:val="clear" w:color="auto" w:fill="auto"/>
            <w:vAlign w:val="center"/>
          </w:tcPr>
          <w:p w14:paraId="18C133C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450mm*530mm*840mm</w:t>
            </w:r>
          </w:p>
        </w:tc>
        <w:tc>
          <w:tcPr>
            <w:tcW w:w="733" w:type="dxa"/>
            <w:shd w:val="clear" w:color="auto" w:fill="auto"/>
            <w:vAlign w:val="center"/>
          </w:tcPr>
          <w:p w14:paraId="1E333CD8">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1296</w:t>
            </w:r>
          </w:p>
        </w:tc>
        <w:tc>
          <w:tcPr>
            <w:tcW w:w="667" w:type="dxa"/>
            <w:shd w:val="clear" w:color="auto" w:fill="auto"/>
            <w:vAlign w:val="center"/>
          </w:tcPr>
          <w:p w14:paraId="1B20ABA3">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42A7AC4C">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1.规格：外形450mm*530mm*840mm。</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2.面料：采用优质西皮。</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3.海绵：采用高弹阻燃海绵。</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4.座板：采用优质曲木板。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5.脚架：采用优质钢管。</w:t>
            </w:r>
          </w:p>
        </w:tc>
        <w:tc>
          <w:tcPr>
            <w:tcW w:w="1391" w:type="dxa"/>
            <w:shd w:val="clear" w:color="auto" w:fill="auto"/>
            <w:vAlign w:val="center"/>
          </w:tcPr>
          <w:p w14:paraId="1550B842">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86360</wp:posOffset>
                  </wp:positionH>
                  <wp:positionV relativeFrom="paragraph">
                    <wp:posOffset>162560</wp:posOffset>
                  </wp:positionV>
                  <wp:extent cx="612775" cy="559435"/>
                  <wp:effectExtent l="0" t="0" r="12065" b="4445"/>
                  <wp:wrapNone/>
                  <wp:docPr id="10" name="图片_4_SpCnt_1"/>
                  <wp:cNvGraphicFramePr/>
                  <a:graphic xmlns:a="http://schemas.openxmlformats.org/drawingml/2006/main">
                    <a:graphicData uri="http://schemas.openxmlformats.org/drawingml/2006/picture">
                      <pic:pic xmlns:pic="http://schemas.openxmlformats.org/drawingml/2006/picture">
                        <pic:nvPicPr>
                          <pic:cNvPr id="10" name="图片_4_SpCnt_1"/>
                          <pic:cNvPicPr/>
                        </pic:nvPicPr>
                        <pic:blipFill>
                          <a:blip r:embed="rId13"/>
                          <a:stretch>
                            <a:fillRect/>
                          </a:stretch>
                        </pic:blipFill>
                        <pic:spPr>
                          <a:xfrm>
                            <a:off x="0" y="0"/>
                            <a:ext cx="612775" cy="559435"/>
                          </a:xfrm>
                          <a:prstGeom prst="rect">
                            <a:avLst/>
                          </a:prstGeom>
                          <a:noFill/>
                          <a:ln>
                            <a:noFill/>
                          </a:ln>
                        </pic:spPr>
                      </pic:pic>
                    </a:graphicData>
                  </a:graphic>
                </wp:anchor>
              </w:drawing>
            </w:r>
          </w:p>
        </w:tc>
      </w:tr>
      <w:tr w14:paraId="3910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546" w:type="dxa"/>
            <w:shd w:val="clear" w:color="auto" w:fill="auto"/>
            <w:vAlign w:val="center"/>
          </w:tcPr>
          <w:p w14:paraId="55651811">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8</w:t>
            </w:r>
          </w:p>
        </w:tc>
        <w:tc>
          <w:tcPr>
            <w:tcW w:w="840" w:type="dxa"/>
            <w:shd w:val="clear" w:color="auto" w:fill="auto"/>
            <w:vAlign w:val="center"/>
          </w:tcPr>
          <w:p w14:paraId="06484B7B">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书桌</w:t>
            </w:r>
          </w:p>
        </w:tc>
        <w:tc>
          <w:tcPr>
            <w:tcW w:w="1307" w:type="dxa"/>
            <w:shd w:val="clear" w:color="auto" w:fill="auto"/>
            <w:vAlign w:val="center"/>
          </w:tcPr>
          <w:p w14:paraId="7A086DD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1200mm*560mm*750mm</w:t>
            </w:r>
          </w:p>
        </w:tc>
        <w:tc>
          <w:tcPr>
            <w:tcW w:w="733" w:type="dxa"/>
            <w:shd w:val="clear" w:color="auto" w:fill="auto"/>
            <w:vAlign w:val="center"/>
          </w:tcPr>
          <w:p w14:paraId="6362089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808</w:t>
            </w:r>
          </w:p>
        </w:tc>
        <w:tc>
          <w:tcPr>
            <w:tcW w:w="667" w:type="dxa"/>
            <w:shd w:val="clear" w:color="auto" w:fill="auto"/>
            <w:vAlign w:val="center"/>
          </w:tcPr>
          <w:p w14:paraId="4007BD4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14BC19C9">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1.规格：1200mm*560mm*750mm，书桌双抽屉，四只橡胶木脚（AA等级），面板厚度18mm橡胶木（AA等级），背板厚度≥5mm多层实木。</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p>
          <w:p w14:paraId="5E0B120C">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6.阻尼导轨：采用优质阻尼导轨。</w:t>
            </w:r>
          </w:p>
        </w:tc>
        <w:tc>
          <w:tcPr>
            <w:tcW w:w="1391" w:type="dxa"/>
            <w:shd w:val="clear" w:color="auto" w:fill="auto"/>
            <w:vAlign w:val="center"/>
          </w:tcPr>
          <w:p w14:paraId="4113B222">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-43815</wp:posOffset>
                  </wp:positionH>
                  <wp:positionV relativeFrom="paragraph">
                    <wp:posOffset>404495</wp:posOffset>
                  </wp:positionV>
                  <wp:extent cx="783590" cy="616585"/>
                  <wp:effectExtent l="0" t="0" r="8890" b="8255"/>
                  <wp:wrapNone/>
                  <wp:docPr id="11" name="图片_1_SpCnt_1"/>
                  <wp:cNvGraphicFramePr/>
                  <a:graphic xmlns:a="http://schemas.openxmlformats.org/drawingml/2006/main">
                    <a:graphicData uri="http://schemas.openxmlformats.org/drawingml/2006/picture">
                      <pic:pic xmlns:pic="http://schemas.openxmlformats.org/drawingml/2006/picture">
                        <pic:nvPicPr>
                          <pic:cNvPr id="11" name="图片_1_SpCnt_1"/>
                          <pic:cNvPicPr/>
                        </pic:nvPicPr>
                        <pic:blipFill>
                          <a:blip r:embed="rId14"/>
                          <a:stretch>
                            <a:fillRect/>
                          </a:stretch>
                        </pic:blipFill>
                        <pic:spPr>
                          <a:xfrm>
                            <a:off x="0" y="0"/>
                            <a:ext cx="783590" cy="616585"/>
                          </a:xfrm>
                          <a:prstGeom prst="rect">
                            <a:avLst/>
                          </a:prstGeom>
                          <a:noFill/>
                          <a:ln>
                            <a:noFill/>
                          </a:ln>
                        </pic:spPr>
                      </pic:pic>
                    </a:graphicData>
                  </a:graphic>
                </wp:anchor>
              </w:drawing>
            </w:r>
          </w:p>
        </w:tc>
      </w:tr>
      <w:tr w14:paraId="37A6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546" w:type="dxa"/>
            <w:shd w:val="clear" w:color="auto" w:fill="auto"/>
            <w:vAlign w:val="center"/>
          </w:tcPr>
          <w:p w14:paraId="5BF40077">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9</w:t>
            </w:r>
          </w:p>
        </w:tc>
        <w:tc>
          <w:tcPr>
            <w:tcW w:w="840" w:type="dxa"/>
            <w:shd w:val="clear" w:color="auto" w:fill="auto"/>
            <w:vAlign w:val="center"/>
          </w:tcPr>
          <w:p w14:paraId="150432E1">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木椅</w:t>
            </w:r>
          </w:p>
        </w:tc>
        <w:tc>
          <w:tcPr>
            <w:tcW w:w="1307" w:type="dxa"/>
            <w:shd w:val="clear" w:color="auto" w:fill="auto"/>
            <w:vAlign w:val="center"/>
          </w:tcPr>
          <w:p w14:paraId="0CDAA919">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460mm*430mm*760mm</w:t>
            </w:r>
          </w:p>
        </w:tc>
        <w:tc>
          <w:tcPr>
            <w:tcW w:w="733" w:type="dxa"/>
            <w:shd w:val="clear" w:color="auto" w:fill="auto"/>
            <w:vAlign w:val="center"/>
          </w:tcPr>
          <w:p w14:paraId="00F80224">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678</w:t>
            </w:r>
          </w:p>
        </w:tc>
        <w:tc>
          <w:tcPr>
            <w:tcW w:w="667" w:type="dxa"/>
            <w:shd w:val="clear" w:color="auto" w:fill="auto"/>
            <w:vAlign w:val="center"/>
          </w:tcPr>
          <w:p w14:paraId="77C5072F">
            <w:pPr>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件</w:t>
            </w:r>
          </w:p>
        </w:tc>
        <w:tc>
          <w:tcPr>
            <w:tcW w:w="4601" w:type="dxa"/>
            <w:shd w:val="clear" w:color="auto" w:fill="FFFFFF"/>
            <w:vAlign w:val="center"/>
          </w:tcPr>
          <w:p w14:paraId="5AF79F37">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1.规格：460mm*430mm*760mm，餐椅四只橡胶木脚（AA等级），坐板厚度18mm橡胶木（AA等级）。</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2.基材：采用优质实木橡胶木（AA等级）。</w:t>
            </w:r>
          </w:p>
          <w:p w14:paraId="1BFA0647">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3.底漆：采用优质环保水性底漆。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4.面漆：采用优质环保水性面漆。</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5.胶粘剂：采用优质白乳胶。</w:t>
            </w:r>
          </w:p>
        </w:tc>
        <w:tc>
          <w:tcPr>
            <w:tcW w:w="1391" w:type="dxa"/>
            <w:shd w:val="clear" w:color="auto" w:fill="auto"/>
            <w:vAlign w:val="center"/>
          </w:tcPr>
          <w:p w14:paraId="658810D4">
            <w:pPr>
              <w:spacing w:after="0" w:line="400" w:lineRule="exact"/>
              <w:textAlignment w:val="center"/>
              <w:rPr>
                <w:rFonts w:ascii="宋体" w:hAnsi="宋体" w:eastAsia="宋体" w:cs="宋体"/>
                <w:color w:val="auto"/>
                <w:highlight w:val="none"/>
                <w:bdr w:val="single" w:color="000000" w:sz="4" w:space="0"/>
                <w:lang w:bidi="ar"/>
              </w:rPr>
            </w:pPr>
            <w:r>
              <w:rPr>
                <w:rFonts w:hint="eastAsia" w:ascii="宋体" w:hAnsi="宋体" w:eastAsia="宋体" w:cs="宋体"/>
                <w:color w:val="auto"/>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56515</wp:posOffset>
                  </wp:positionH>
                  <wp:positionV relativeFrom="paragraph">
                    <wp:posOffset>125095</wp:posOffset>
                  </wp:positionV>
                  <wp:extent cx="630555" cy="662305"/>
                  <wp:effectExtent l="0" t="0" r="9525" b="8255"/>
                  <wp:wrapNone/>
                  <wp:docPr id="12" name="图片_2_SpCnt_2"/>
                  <wp:cNvGraphicFramePr/>
                  <a:graphic xmlns:a="http://schemas.openxmlformats.org/drawingml/2006/main">
                    <a:graphicData uri="http://schemas.openxmlformats.org/drawingml/2006/picture">
                      <pic:pic xmlns:pic="http://schemas.openxmlformats.org/drawingml/2006/picture">
                        <pic:nvPicPr>
                          <pic:cNvPr id="12" name="图片_2_SpCnt_2"/>
                          <pic:cNvPicPr/>
                        </pic:nvPicPr>
                        <pic:blipFill>
                          <a:blip r:embed="rId15"/>
                          <a:stretch>
                            <a:fillRect/>
                          </a:stretch>
                        </pic:blipFill>
                        <pic:spPr>
                          <a:xfrm>
                            <a:off x="0" y="0"/>
                            <a:ext cx="630555" cy="662305"/>
                          </a:xfrm>
                          <a:prstGeom prst="rect">
                            <a:avLst/>
                          </a:prstGeom>
                          <a:noFill/>
                          <a:ln>
                            <a:noFill/>
                          </a:ln>
                        </pic:spPr>
                      </pic:pic>
                    </a:graphicData>
                  </a:graphic>
                </wp:anchor>
              </w:drawing>
            </w:r>
          </w:p>
        </w:tc>
      </w:tr>
      <w:tr w14:paraId="7706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546" w:type="dxa"/>
            <w:vMerge w:val="restart"/>
            <w:shd w:val="clear" w:color="auto" w:fill="auto"/>
            <w:vAlign w:val="center"/>
          </w:tcPr>
          <w:p w14:paraId="7C935269">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10</w:t>
            </w:r>
          </w:p>
        </w:tc>
        <w:tc>
          <w:tcPr>
            <w:tcW w:w="840" w:type="dxa"/>
            <w:vMerge w:val="restart"/>
            <w:shd w:val="clear" w:color="auto" w:fill="auto"/>
            <w:vAlign w:val="center"/>
          </w:tcPr>
          <w:p w14:paraId="2FE9E670">
            <w:pPr>
              <w:spacing w:after="0" w:line="400" w:lineRule="exact"/>
              <w:jc w:val="center"/>
              <w:textAlignment w:val="center"/>
              <w:rPr>
                <w:rFonts w:ascii="宋体" w:hAnsi="宋体" w:eastAsia="宋体" w:cs="宋体"/>
                <w:b/>
                <w:bCs/>
                <w:color w:val="auto"/>
                <w:highlight w:val="none"/>
              </w:rPr>
            </w:pPr>
            <w:r>
              <w:rPr>
                <w:rFonts w:hint="eastAsia" w:ascii="宋体" w:hAnsi="宋体" w:eastAsia="宋体" w:cs="宋体"/>
                <w:b/>
                <w:bCs/>
                <w:color w:val="auto"/>
                <w:highlight w:val="none"/>
                <w:lang w:bidi="ar"/>
              </w:rPr>
              <w:t>衣柜</w:t>
            </w:r>
          </w:p>
        </w:tc>
        <w:tc>
          <w:tcPr>
            <w:tcW w:w="1307" w:type="dxa"/>
            <w:shd w:val="clear" w:color="auto" w:fill="auto"/>
            <w:vAlign w:val="center"/>
          </w:tcPr>
          <w:p w14:paraId="46E38B08">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1800mm*600mm*2200mm</w:t>
            </w:r>
          </w:p>
        </w:tc>
        <w:tc>
          <w:tcPr>
            <w:tcW w:w="733" w:type="dxa"/>
            <w:shd w:val="clear" w:color="auto" w:fill="auto"/>
            <w:vAlign w:val="center"/>
          </w:tcPr>
          <w:p w14:paraId="2CB8BD73">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88</w:t>
            </w:r>
          </w:p>
        </w:tc>
        <w:tc>
          <w:tcPr>
            <w:tcW w:w="667" w:type="dxa"/>
            <w:shd w:val="clear" w:color="auto" w:fill="auto"/>
            <w:vAlign w:val="center"/>
          </w:tcPr>
          <w:p w14:paraId="12158F9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件</w:t>
            </w:r>
          </w:p>
        </w:tc>
        <w:tc>
          <w:tcPr>
            <w:tcW w:w="4601" w:type="dxa"/>
            <w:shd w:val="clear" w:color="auto" w:fill="FFFFFF"/>
            <w:vAlign w:val="center"/>
          </w:tcPr>
          <w:p w14:paraId="30A8F0FC">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1.规格：外形1800mm*600mm*2200mm。顶板为25mm。层板、侧板、中竖板、门板、背板、抽面、抽侧、抽前后、脚线为16mm，抽屉底板5mm，配1个抽屉。</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2.基材：采用优质环保三聚氰胺饰面刨花板。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3.封边：采用优质封边条。</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4.热熔胶：采用优质热熔胶。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5.连接件：采用优质三合一连接件。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6.阻尼门铰：采用优质阻尼门铰。</w:t>
            </w:r>
          </w:p>
        </w:tc>
        <w:tc>
          <w:tcPr>
            <w:tcW w:w="1391" w:type="dxa"/>
            <w:vMerge w:val="restart"/>
            <w:shd w:val="clear" w:color="auto" w:fill="auto"/>
            <w:vAlign w:val="center"/>
          </w:tcPr>
          <w:p w14:paraId="7B951388">
            <w:pPr>
              <w:spacing w:after="0" w:line="400" w:lineRule="exact"/>
              <w:jc w:val="center"/>
              <w:textAlignment w:val="center"/>
              <w:rPr>
                <w:rFonts w:ascii="宋体" w:hAnsi="宋体" w:eastAsia="宋体" w:cs="宋体"/>
                <w:color w:val="auto"/>
                <w:highlight w:val="none"/>
              </w:rPr>
            </w:pPr>
          </w:p>
          <w:p w14:paraId="03E22479">
            <w:pPr>
              <w:spacing w:after="0" w:line="400" w:lineRule="exact"/>
              <w:jc w:val="center"/>
              <w:textAlignment w:val="center"/>
              <w:rPr>
                <w:rFonts w:ascii="宋体" w:hAnsi="宋体" w:eastAsia="宋体" w:cs="宋体"/>
                <w:color w:val="auto"/>
                <w:highlight w:val="none"/>
              </w:rPr>
            </w:pPr>
          </w:p>
          <w:p w14:paraId="5AA769E1">
            <w:pPr>
              <w:spacing w:after="0" w:line="400" w:lineRule="exact"/>
              <w:jc w:val="center"/>
              <w:textAlignment w:val="center"/>
              <w:rPr>
                <w:rFonts w:ascii="宋体" w:hAnsi="宋体" w:eastAsia="宋体" w:cs="宋体"/>
                <w:color w:val="auto"/>
                <w:highlight w:val="none"/>
              </w:rPr>
            </w:pPr>
          </w:p>
          <w:p w14:paraId="75586EF7">
            <w:pPr>
              <w:spacing w:after="0" w:line="400" w:lineRule="exact"/>
              <w:jc w:val="center"/>
              <w:textAlignment w:val="center"/>
              <w:rPr>
                <w:rFonts w:ascii="宋体" w:hAnsi="宋体" w:eastAsia="宋体" w:cs="宋体"/>
                <w:color w:val="auto"/>
                <w:highlight w:val="none"/>
              </w:rPr>
            </w:pPr>
          </w:p>
          <w:p w14:paraId="0755911F">
            <w:pPr>
              <w:spacing w:after="0" w:line="400" w:lineRule="exact"/>
              <w:jc w:val="center"/>
              <w:textAlignment w:val="center"/>
              <w:rPr>
                <w:rFonts w:ascii="宋体" w:hAnsi="宋体" w:eastAsia="宋体" w:cs="宋体"/>
                <w:color w:val="auto"/>
                <w:highlight w:val="none"/>
              </w:rPr>
            </w:pPr>
          </w:p>
          <w:p w14:paraId="6C185DFB">
            <w:pPr>
              <w:spacing w:after="0" w:line="400" w:lineRule="exact"/>
              <w:jc w:val="center"/>
              <w:textAlignment w:val="center"/>
              <w:rPr>
                <w:rFonts w:ascii="宋体" w:hAnsi="宋体" w:eastAsia="宋体" w:cs="宋体"/>
                <w:color w:val="auto"/>
                <w:highlight w:val="none"/>
              </w:rPr>
            </w:pPr>
          </w:p>
          <w:p w14:paraId="4A79E94D">
            <w:pPr>
              <w:spacing w:after="0" w:line="400" w:lineRule="exact"/>
              <w:jc w:val="center"/>
              <w:textAlignment w:val="center"/>
              <w:rPr>
                <w:rFonts w:ascii="宋体" w:hAnsi="宋体" w:eastAsia="宋体" w:cs="宋体"/>
                <w:color w:val="auto"/>
                <w:highlight w:val="none"/>
              </w:rPr>
            </w:pPr>
          </w:p>
          <w:p w14:paraId="76DBE1F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29845</wp:posOffset>
                  </wp:positionH>
                  <wp:positionV relativeFrom="paragraph">
                    <wp:posOffset>601980</wp:posOffset>
                  </wp:positionV>
                  <wp:extent cx="721995" cy="675640"/>
                  <wp:effectExtent l="0" t="0" r="9525" b="10160"/>
                  <wp:wrapNone/>
                  <wp:docPr id="13" name="图片_1_SpCnt_4"/>
                  <wp:cNvGraphicFramePr/>
                  <a:graphic xmlns:a="http://schemas.openxmlformats.org/drawingml/2006/main">
                    <a:graphicData uri="http://schemas.openxmlformats.org/drawingml/2006/picture">
                      <pic:pic xmlns:pic="http://schemas.openxmlformats.org/drawingml/2006/picture">
                        <pic:nvPicPr>
                          <pic:cNvPr id="13" name="图片_1_SpCnt_4"/>
                          <pic:cNvPicPr/>
                        </pic:nvPicPr>
                        <pic:blipFill>
                          <a:blip r:embed="rId16"/>
                          <a:stretch>
                            <a:fillRect/>
                          </a:stretch>
                        </pic:blipFill>
                        <pic:spPr>
                          <a:xfrm>
                            <a:off x="0" y="0"/>
                            <a:ext cx="721995" cy="675640"/>
                          </a:xfrm>
                          <a:prstGeom prst="rect">
                            <a:avLst/>
                          </a:prstGeom>
                          <a:noFill/>
                          <a:ln>
                            <a:noFill/>
                          </a:ln>
                        </pic:spPr>
                      </pic:pic>
                    </a:graphicData>
                  </a:graphic>
                </wp:anchor>
              </w:drawing>
            </w:r>
          </w:p>
        </w:tc>
      </w:tr>
      <w:tr w14:paraId="4FB2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46" w:type="dxa"/>
            <w:vMerge w:val="continue"/>
            <w:shd w:val="clear" w:color="auto" w:fill="auto"/>
            <w:vAlign w:val="center"/>
          </w:tcPr>
          <w:p w14:paraId="1AAD1899">
            <w:pPr>
              <w:spacing w:after="0" w:line="400" w:lineRule="exact"/>
              <w:jc w:val="center"/>
              <w:textAlignment w:val="center"/>
              <w:rPr>
                <w:rFonts w:ascii="宋体" w:hAnsi="宋体" w:eastAsia="宋体" w:cs="宋体"/>
                <w:color w:val="auto"/>
                <w:highlight w:val="none"/>
                <w:lang w:bidi="ar"/>
              </w:rPr>
            </w:pPr>
          </w:p>
        </w:tc>
        <w:tc>
          <w:tcPr>
            <w:tcW w:w="840" w:type="dxa"/>
            <w:vMerge w:val="continue"/>
            <w:shd w:val="clear" w:color="auto" w:fill="auto"/>
            <w:vAlign w:val="center"/>
          </w:tcPr>
          <w:p w14:paraId="3C6C5DA8">
            <w:pPr>
              <w:spacing w:after="0" w:line="400" w:lineRule="exact"/>
              <w:jc w:val="center"/>
              <w:textAlignment w:val="center"/>
              <w:rPr>
                <w:rFonts w:ascii="宋体" w:hAnsi="宋体" w:eastAsia="宋体" w:cs="宋体"/>
                <w:color w:val="auto"/>
                <w:highlight w:val="none"/>
                <w:lang w:bidi="ar"/>
              </w:rPr>
            </w:pPr>
          </w:p>
        </w:tc>
        <w:tc>
          <w:tcPr>
            <w:tcW w:w="1307" w:type="dxa"/>
            <w:shd w:val="clear" w:color="auto" w:fill="auto"/>
            <w:vAlign w:val="center"/>
          </w:tcPr>
          <w:p w14:paraId="3D0387C7">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1500mm*600mm*2200mm</w:t>
            </w:r>
          </w:p>
        </w:tc>
        <w:tc>
          <w:tcPr>
            <w:tcW w:w="733" w:type="dxa"/>
            <w:shd w:val="clear" w:color="auto" w:fill="auto"/>
            <w:vAlign w:val="center"/>
          </w:tcPr>
          <w:p w14:paraId="6D07A4DA">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590</w:t>
            </w:r>
          </w:p>
        </w:tc>
        <w:tc>
          <w:tcPr>
            <w:tcW w:w="667" w:type="dxa"/>
            <w:shd w:val="clear" w:color="auto" w:fill="auto"/>
            <w:vAlign w:val="center"/>
          </w:tcPr>
          <w:p w14:paraId="2BBB47E5">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FFFFFF"/>
            <w:vAlign w:val="center"/>
          </w:tcPr>
          <w:p w14:paraId="196AB3A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1.规格：外形1500mm*600mm*2200mm。顶板为25mm。层板、侧板、中竖板、门板、背板、抽面、抽侧、抽前后、脚线为16mm，抽屉底板5mm，配1个抽屉。</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2.基材：采用优质环保三聚氰胺饰面刨花板。</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3.封边：采用优质封边条。</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4.热熔胶：采用优质热熔胶。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5.连接件：采用优质三合一连接件。</w:t>
            </w:r>
            <w:r>
              <w:rPr>
                <w:rFonts w:hint="eastAsia" w:ascii="宋体" w:hAnsi="宋体" w:eastAsia="宋体" w:cs="宋体"/>
                <w:color w:val="auto"/>
                <w:highlight w:val="none"/>
                <w:lang w:bidi="ar"/>
              </w:rPr>
              <w:br w:type="textWrapping"/>
            </w:r>
            <w:r>
              <w:rPr>
                <w:rFonts w:hint="eastAsia" w:ascii="宋体" w:hAnsi="宋体" w:eastAsia="宋体" w:cs="宋体"/>
                <w:color w:val="auto"/>
                <w:highlight w:val="none"/>
                <w:lang w:bidi="ar"/>
              </w:rPr>
              <w:t>6.阻尼门铰：采用优质阻尼门铰。</w:t>
            </w:r>
          </w:p>
        </w:tc>
        <w:tc>
          <w:tcPr>
            <w:tcW w:w="1391" w:type="dxa"/>
            <w:vMerge w:val="continue"/>
            <w:shd w:val="clear" w:color="auto" w:fill="auto"/>
            <w:vAlign w:val="center"/>
          </w:tcPr>
          <w:p w14:paraId="7CDDF0DA">
            <w:pPr>
              <w:spacing w:after="0" w:line="400" w:lineRule="exact"/>
              <w:jc w:val="center"/>
              <w:textAlignment w:val="center"/>
              <w:rPr>
                <w:rFonts w:ascii="宋体" w:hAnsi="宋体" w:eastAsia="宋体" w:cs="宋体"/>
                <w:color w:val="auto"/>
                <w:highlight w:val="none"/>
                <w:bdr w:val="single" w:color="000000" w:sz="4" w:space="0"/>
                <w:lang w:bidi="ar"/>
              </w:rPr>
            </w:pPr>
          </w:p>
        </w:tc>
      </w:tr>
      <w:tr w14:paraId="7068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4CB3821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11</w:t>
            </w:r>
          </w:p>
        </w:tc>
        <w:tc>
          <w:tcPr>
            <w:tcW w:w="840" w:type="dxa"/>
            <w:shd w:val="clear" w:color="auto" w:fill="auto"/>
            <w:vAlign w:val="center"/>
          </w:tcPr>
          <w:p w14:paraId="0176F59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窗帘（含轨道）</w:t>
            </w:r>
          </w:p>
        </w:tc>
        <w:tc>
          <w:tcPr>
            <w:tcW w:w="1307" w:type="dxa"/>
            <w:shd w:val="clear" w:color="auto" w:fill="auto"/>
            <w:vAlign w:val="center"/>
          </w:tcPr>
          <w:p w14:paraId="54F0F806">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val="en-US" w:eastAsia="zh-CN" w:bidi="ar"/>
              </w:rPr>
              <w:t>14000</w:t>
            </w:r>
            <w:r>
              <w:rPr>
                <w:rFonts w:hint="eastAsia" w:ascii="宋体" w:hAnsi="宋体" w:eastAsia="宋体" w:cs="宋体"/>
                <w:color w:val="auto"/>
                <w:highlight w:val="none"/>
                <w:lang w:bidi="ar"/>
              </w:rPr>
              <w:t>mm</w:t>
            </w:r>
          </w:p>
        </w:tc>
        <w:tc>
          <w:tcPr>
            <w:tcW w:w="733" w:type="dxa"/>
            <w:shd w:val="clear" w:color="auto" w:fill="auto"/>
            <w:vAlign w:val="center"/>
          </w:tcPr>
          <w:p w14:paraId="5CD1796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2420F20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lang w:bidi="ar"/>
              </w:rPr>
              <w:t>套</w:t>
            </w:r>
          </w:p>
        </w:tc>
        <w:tc>
          <w:tcPr>
            <w:tcW w:w="4601" w:type="dxa"/>
            <w:shd w:val="clear" w:color="auto" w:fill="auto"/>
            <w:vAlign w:val="center"/>
          </w:tcPr>
          <w:p w14:paraId="0B61C2BC">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1.幅宽:2800</w:t>
            </w:r>
            <w:r>
              <w:rPr>
                <w:rFonts w:hint="eastAsia" w:ascii="宋体" w:hAnsi="宋体" w:eastAsia="宋体" w:cs="宋体"/>
                <w:color w:val="auto"/>
                <w:highlight w:val="none"/>
                <w:lang w:val="en-US" w:eastAsia="zh-CN" w:bidi="ar"/>
              </w:rPr>
              <w:t>0</w:t>
            </w:r>
            <w:r>
              <w:rPr>
                <w:rFonts w:hint="eastAsia" w:ascii="宋体" w:hAnsi="宋体" w:eastAsia="宋体" w:cs="宋体"/>
                <w:color w:val="auto"/>
                <w:highlight w:val="none"/>
                <w:lang w:bidi="ar"/>
              </w:rPr>
              <w:t>±5(mm)，按1:2 打褶，打褶后14米。一套小公寓经初步测量，约需窗帘总长14米，需按照窗户情况实际分割，并配上足够数量的窗帘扣，不额外收费。</w:t>
            </w:r>
          </w:p>
          <w:p w14:paraId="6134FF58">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2.面料：采用手感柔软的棉麻布料作为窗帘面料，抗变色性能佳。成分:90%棉麻纤维，10%永久阻燃涤纶。遮光率≥80%。</w:t>
            </w:r>
          </w:p>
          <w:p w14:paraId="64EA4E38">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3.导轨：采用超强度6063-T5挤压型材。表面烤漆处理，封口采用合金材质，美观耐用。滑轮采用四轮运行结构让整体运行更平稳，顺滑，静音。</w:t>
            </w:r>
          </w:p>
        </w:tc>
        <w:tc>
          <w:tcPr>
            <w:tcW w:w="1391" w:type="dxa"/>
            <w:shd w:val="clear" w:color="auto" w:fill="auto"/>
            <w:vAlign w:val="center"/>
          </w:tcPr>
          <w:p w14:paraId="5C26D1FE">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80768" behindDoc="1" locked="0" layoutInCell="1" allowOverlap="1">
                  <wp:simplePos x="0" y="0"/>
                  <wp:positionH relativeFrom="column">
                    <wp:posOffset>0</wp:posOffset>
                  </wp:positionH>
                  <wp:positionV relativeFrom="paragraph">
                    <wp:posOffset>285750</wp:posOffset>
                  </wp:positionV>
                  <wp:extent cx="727075" cy="796925"/>
                  <wp:effectExtent l="0" t="0" r="4445" b="10795"/>
                  <wp:wrapTight wrapText="bothSides">
                    <wp:wrapPolygon>
                      <wp:start x="0" y="0"/>
                      <wp:lineTo x="0" y="21066"/>
                      <wp:lineTo x="21279" y="21066"/>
                      <wp:lineTo x="21279" y="0"/>
                      <wp:lineTo x="0" y="0"/>
                    </wp:wrapPolygon>
                  </wp:wrapTight>
                  <wp:docPr id="14" name="图片 14" descr="f540a7e748e4c0cb7d5838741ed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540a7e748e4c0cb7d5838741ed8fd0"/>
                          <pic:cNvPicPr>
                            <a:picLocks noChangeAspect="1"/>
                          </pic:cNvPicPr>
                        </pic:nvPicPr>
                        <pic:blipFill>
                          <a:blip r:embed="rId17"/>
                          <a:stretch>
                            <a:fillRect/>
                          </a:stretch>
                        </pic:blipFill>
                        <pic:spPr>
                          <a:xfrm>
                            <a:off x="0" y="0"/>
                            <a:ext cx="727075" cy="796925"/>
                          </a:xfrm>
                          <a:prstGeom prst="rect">
                            <a:avLst/>
                          </a:prstGeom>
                        </pic:spPr>
                      </pic:pic>
                    </a:graphicData>
                  </a:graphic>
                </wp:anchor>
              </w:drawing>
            </w:r>
          </w:p>
        </w:tc>
      </w:tr>
      <w:tr w14:paraId="3288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shd w:val="clear" w:color="auto" w:fill="auto"/>
            <w:vAlign w:val="center"/>
          </w:tcPr>
          <w:p w14:paraId="26CDB554">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12</w:t>
            </w:r>
          </w:p>
        </w:tc>
        <w:tc>
          <w:tcPr>
            <w:tcW w:w="840" w:type="dxa"/>
            <w:shd w:val="clear" w:color="auto" w:fill="auto"/>
            <w:vAlign w:val="center"/>
          </w:tcPr>
          <w:p w14:paraId="21AE4BE3">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电视机柜</w:t>
            </w:r>
          </w:p>
        </w:tc>
        <w:tc>
          <w:tcPr>
            <w:tcW w:w="1307" w:type="dxa"/>
            <w:shd w:val="clear" w:color="auto" w:fill="auto"/>
            <w:vAlign w:val="center"/>
          </w:tcPr>
          <w:p w14:paraId="16E40204">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1500mm*400mm*450mm</w:t>
            </w:r>
          </w:p>
        </w:tc>
        <w:tc>
          <w:tcPr>
            <w:tcW w:w="733" w:type="dxa"/>
            <w:shd w:val="clear" w:color="auto" w:fill="auto"/>
            <w:vAlign w:val="center"/>
          </w:tcPr>
          <w:p w14:paraId="7B16D81B">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088ADEA9">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个</w:t>
            </w:r>
          </w:p>
        </w:tc>
        <w:tc>
          <w:tcPr>
            <w:tcW w:w="4601" w:type="dxa"/>
            <w:shd w:val="clear" w:color="auto" w:fill="auto"/>
            <w:vAlign w:val="center"/>
          </w:tcPr>
          <w:p w14:paraId="08B90B3E">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1.规格：外形1500mm*400mm*450mm。台面岩板厚度9mm。</w:t>
            </w:r>
          </w:p>
          <w:p w14:paraId="6F0E6E87">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2.面板：采用优质岩板。</w:t>
            </w:r>
          </w:p>
          <w:p w14:paraId="4B119D9E">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3.脚架：采用优质钢管。</w:t>
            </w:r>
          </w:p>
          <w:p w14:paraId="61F71E7D">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4.基材：采用优质环保密度板烤漆面板，防爆钢化玻璃柜门。</w:t>
            </w:r>
          </w:p>
          <w:p w14:paraId="1C329890">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bidi="ar"/>
              </w:rPr>
              <w:t>5三合一连接件</w:t>
            </w:r>
            <w:r>
              <w:rPr>
                <w:rFonts w:hint="eastAsia" w:ascii="宋体" w:hAnsi="宋体" w:eastAsia="宋体" w:cs="宋体"/>
                <w:color w:val="auto"/>
                <w:highlight w:val="none"/>
                <w:lang w:eastAsia="zh-CN" w:bidi="ar"/>
              </w:rPr>
              <w:t>。</w:t>
            </w:r>
          </w:p>
        </w:tc>
        <w:tc>
          <w:tcPr>
            <w:tcW w:w="1391" w:type="dxa"/>
            <w:shd w:val="clear" w:color="auto" w:fill="auto"/>
            <w:vAlign w:val="center"/>
          </w:tcPr>
          <w:p w14:paraId="77EF9D27">
            <w:pPr>
              <w:spacing w:after="0"/>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33120" cy="399415"/>
                  <wp:effectExtent l="0" t="0" r="5080" b="12065"/>
                  <wp:docPr id="15" name="图片 15" descr="微信图片_202412251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1225100801"/>
                          <pic:cNvPicPr>
                            <a:picLocks noChangeAspect="1"/>
                          </pic:cNvPicPr>
                        </pic:nvPicPr>
                        <pic:blipFill>
                          <a:blip r:embed="rId18"/>
                          <a:stretch>
                            <a:fillRect/>
                          </a:stretch>
                        </pic:blipFill>
                        <pic:spPr>
                          <a:xfrm>
                            <a:off x="0" y="0"/>
                            <a:ext cx="833120" cy="399415"/>
                          </a:xfrm>
                          <a:prstGeom prst="rect">
                            <a:avLst/>
                          </a:prstGeom>
                        </pic:spPr>
                      </pic:pic>
                    </a:graphicData>
                  </a:graphic>
                </wp:inline>
              </w:drawing>
            </w:r>
          </w:p>
        </w:tc>
      </w:tr>
      <w:tr w14:paraId="1B5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46" w:type="dxa"/>
            <w:shd w:val="clear" w:color="auto" w:fill="auto"/>
            <w:vAlign w:val="center"/>
          </w:tcPr>
          <w:p w14:paraId="134936BA">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13</w:t>
            </w:r>
          </w:p>
        </w:tc>
        <w:tc>
          <w:tcPr>
            <w:tcW w:w="840" w:type="dxa"/>
            <w:shd w:val="clear" w:color="auto" w:fill="auto"/>
            <w:vAlign w:val="center"/>
          </w:tcPr>
          <w:p w14:paraId="3889741B">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鞋柜</w:t>
            </w:r>
          </w:p>
        </w:tc>
        <w:tc>
          <w:tcPr>
            <w:tcW w:w="1307" w:type="dxa"/>
            <w:shd w:val="clear" w:color="auto" w:fill="auto"/>
            <w:vAlign w:val="center"/>
          </w:tcPr>
          <w:p w14:paraId="58BA1AC4">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1000mm*430mm*900mm</w:t>
            </w:r>
          </w:p>
        </w:tc>
        <w:tc>
          <w:tcPr>
            <w:tcW w:w="733" w:type="dxa"/>
            <w:shd w:val="clear" w:color="auto" w:fill="auto"/>
            <w:vAlign w:val="center"/>
          </w:tcPr>
          <w:p w14:paraId="1497286D">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0B950D21">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件</w:t>
            </w:r>
          </w:p>
        </w:tc>
        <w:tc>
          <w:tcPr>
            <w:tcW w:w="4601" w:type="dxa"/>
            <w:shd w:val="clear" w:color="auto" w:fill="auto"/>
            <w:vAlign w:val="center"/>
          </w:tcPr>
          <w:p w14:paraId="1A585BFE">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bidi="ar"/>
              </w:rPr>
              <w:t>1.规格：外形1000mm*430mm*900mm。顶板为25mm。层板、侧板、中竖板、门板、背板、抽面、抽侧、抽前后、脚线为16mm，抽屉底板5mm</w:t>
            </w:r>
            <w:r>
              <w:rPr>
                <w:rFonts w:hint="eastAsia" w:ascii="宋体" w:hAnsi="宋体" w:eastAsia="宋体" w:cs="宋体"/>
                <w:color w:val="auto"/>
                <w:highlight w:val="none"/>
                <w:lang w:eastAsia="zh-CN" w:bidi="ar"/>
              </w:rPr>
              <w:t>。</w:t>
            </w:r>
          </w:p>
          <w:p w14:paraId="0C9E7ABA">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2.基材：采用优质环保三聚氰胺饰面刨花板。</w:t>
            </w:r>
          </w:p>
          <w:p w14:paraId="17E40A40">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3.封边：采用优质封边条。</w:t>
            </w:r>
          </w:p>
          <w:p w14:paraId="0C2FCD36">
            <w:pPr>
              <w:spacing w:after="0" w:line="400" w:lineRule="exact"/>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4.热熔胶：采用优质热熔胶。</w:t>
            </w:r>
          </w:p>
          <w:p w14:paraId="6282B7F6">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bidi="ar"/>
              </w:rPr>
              <w:t>5.三合一连接件</w:t>
            </w:r>
            <w:r>
              <w:rPr>
                <w:rFonts w:hint="eastAsia" w:ascii="宋体" w:hAnsi="宋体" w:eastAsia="宋体" w:cs="宋体"/>
                <w:color w:val="auto"/>
                <w:highlight w:val="none"/>
                <w:lang w:eastAsia="zh-CN" w:bidi="ar"/>
              </w:rPr>
              <w:t>。</w:t>
            </w:r>
          </w:p>
        </w:tc>
        <w:tc>
          <w:tcPr>
            <w:tcW w:w="1391" w:type="dxa"/>
            <w:shd w:val="clear" w:color="auto" w:fill="auto"/>
            <w:vAlign w:val="center"/>
          </w:tcPr>
          <w:p w14:paraId="6738DB5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81792" behindDoc="0" locked="0" layoutInCell="1" allowOverlap="1">
                  <wp:simplePos x="0" y="0"/>
                  <wp:positionH relativeFrom="column">
                    <wp:posOffset>0</wp:posOffset>
                  </wp:positionH>
                  <wp:positionV relativeFrom="paragraph">
                    <wp:posOffset>3175</wp:posOffset>
                  </wp:positionV>
                  <wp:extent cx="723900" cy="823595"/>
                  <wp:effectExtent l="0" t="0" r="7620" b="14605"/>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723900" cy="823595"/>
                          </a:xfrm>
                          <a:prstGeom prst="rect">
                            <a:avLst/>
                          </a:prstGeom>
                          <a:noFill/>
                          <a:ln>
                            <a:noFill/>
                          </a:ln>
                        </pic:spPr>
                      </pic:pic>
                    </a:graphicData>
                  </a:graphic>
                </wp:anchor>
              </w:drawing>
            </w:r>
          </w:p>
        </w:tc>
      </w:tr>
      <w:tr w14:paraId="779E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546" w:type="dxa"/>
            <w:shd w:val="clear" w:color="auto" w:fill="auto"/>
            <w:vAlign w:val="center"/>
          </w:tcPr>
          <w:p w14:paraId="791C903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14</w:t>
            </w:r>
          </w:p>
        </w:tc>
        <w:tc>
          <w:tcPr>
            <w:tcW w:w="840" w:type="dxa"/>
            <w:shd w:val="clear" w:color="auto" w:fill="auto"/>
            <w:vAlign w:val="center"/>
          </w:tcPr>
          <w:p w14:paraId="0FC5CCEE">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晾衣架</w:t>
            </w:r>
          </w:p>
        </w:tc>
        <w:tc>
          <w:tcPr>
            <w:tcW w:w="1307" w:type="dxa"/>
            <w:shd w:val="clear" w:color="auto" w:fill="auto"/>
            <w:vAlign w:val="center"/>
          </w:tcPr>
          <w:p w14:paraId="2746827B">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1500mm*900mm*430mm</w:t>
            </w:r>
          </w:p>
        </w:tc>
        <w:tc>
          <w:tcPr>
            <w:tcW w:w="733" w:type="dxa"/>
            <w:shd w:val="clear" w:color="auto" w:fill="auto"/>
            <w:vAlign w:val="center"/>
          </w:tcPr>
          <w:p w14:paraId="7ED34FB5">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t>648</w:t>
            </w:r>
          </w:p>
        </w:tc>
        <w:tc>
          <w:tcPr>
            <w:tcW w:w="667" w:type="dxa"/>
            <w:shd w:val="clear" w:color="auto" w:fill="auto"/>
            <w:vAlign w:val="center"/>
          </w:tcPr>
          <w:p w14:paraId="2FEB9043">
            <w:pPr>
              <w:spacing w:after="0" w:line="400" w:lineRule="exact"/>
              <w:jc w:val="center"/>
              <w:textAlignment w:val="center"/>
              <w:rPr>
                <w:rFonts w:ascii="宋体" w:hAnsi="宋体" w:eastAsia="宋体" w:cs="宋体"/>
                <w:color w:val="auto"/>
                <w:highlight w:val="none"/>
                <w:lang w:bidi="ar"/>
              </w:rPr>
            </w:pPr>
            <w:r>
              <w:rPr>
                <w:rFonts w:hint="eastAsia" w:ascii="宋体" w:hAnsi="宋体" w:eastAsia="宋体" w:cs="宋体"/>
                <w:color w:val="auto"/>
                <w:highlight w:val="none"/>
                <w:lang w:bidi="ar"/>
              </w:rPr>
              <w:t>个</w:t>
            </w:r>
          </w:p>
        </w:tc>
        <w:tc>
          <w:tcPr>
            <w:tcW w:w="4601" w:type="dxa"/>
            <w:shd w:val="clear" w:color="auto" w:fill="auto"/>
            <w:vAlign w:val="center"/>
          </w:tcPr>
          <w:p w14:paraId="475A1889">
            <w:pPr>
              <w:numPr>
                <w:ilvl w:val="0"/>
                <w:numId w:val="0"/>
              </w:num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规格：1500mm*900mm*430mm，收纳尺寸：1070mm*470mm*80mm。</w:t>
            </w:r>
          </w:p>
          <w:p w14:paraId="30471E4E">
            <w:pPr>
              <w:spacing w:after="0" w:line="400" w:lineRule="exact"/>
              <w:textAlignment w:val="center"/>
              <w:rPr>
                <w:rFonts w:ascii="宋体" w:hAnsi="宋体" w:eastAsia="宋体" w:cs="宋体"/>
                <w:color w:val="auto"/>
                <w:highlight w:val="none"/>
              </w:rPr>
            </w:pPr>
            <w:r>
              <w:rPr>
                <w:rFonts w:hint="eastAsia" w:ascii="宋体" w:hAnsi="宋体" w:eastAsia="宋体" w:cs="宋体"/>
                <w:color w:val="auto"/>
                <w:highlight w:val="none"/>
              </w:rPr>
              <w:t>2.表面喷塑工艺，边角无毛刺。采用三层晾晒空间、23根晾晒横杆、最大晾晒高度1600mm。</w:t>
            </w:r>
          </w:p>
          <w:p w14:paraId="58D5C12A">
            <w:pPr>
              <w:spacing w:after="0" w:line="400" w:lineRule="exact"/>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rPr>
              <w:t>3.材质：整体采用碳钢材质、主体连接处采用一体冲压成型不锈钢材质</w:t>
            </w:r>
            <w:r>
              <w:rPr>
                <w:rFonts w:hint="eastAsia" w:ascii="宋体" w:hAnsi="宋体" w:eastAsia="宋体" w:cs="宋体"/>
                <w:color w:val="auto"/>
                <w:highlight w:val="none"/>
                <w:lang w:eastAsia="zh-CN"/>
              </w:rPr>
              <w:t>。</w:t>
            </w:r>
          </w:p>
        </w:tc>
        <w:tc>
          <w:tcPr>
            <w:tcW w:w="1391" w:type="dxa"/>
            <w:shd w:val="clear" w:color="auto" w:fill="auto"/>
            <w:vAlign w:val="center"/>
          </w:tcPr>
          <w:p w14:paraId="2F3DFEFC">
            <w:pPr>
              <w:spacing w:after="0" w:line="400" w:lineRule="exact"/>
              <w:jc w:val="center"/>
              <w:textAlignment w:val="center"/>
              <w:rPr>
                <w:rFonts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82816" behindDoc="0" locked="0" layoutInCell="1" allowOverlap="1">
                  <wp:simplePos x="0" y="0"/>
                  <wp:positionH relativeFrom="column">
                    <wp:posOffset>0</wp:posOffset>
                  </wp:positionH>
                  <wp:positionV relativeFrom="paragraph">
                    <wp:posOffset>-137160</wp:posOffset>
                  </wp:positionV>
                  <wp:extent cx="721360" cy="721360"/>
                  <wp:effectExtent l="0" t="0" r="10160" b="10160"/>
                  <wp:wrapNone/>
                  <wp:docPr id="17" name="图片 3" descr="落地晾衣架_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落地晾衣架_三层"/>
                          <pic:cNvPicPr>
                            <a:picLocks noChangeAspect="1"/>
                          </pic:cNvPicPr>
                        </pic:nvPicPr>
                        <pic:blipFill>
                          <a:blip r:embed="rId20"/>
                          <a:stretch>
                            <a:fillRect/>
                          </a:stretch>
                        </pic:blipFill>
                        <pic:spPr>
                          <a:xfrm>
                            <a:off x="0" y="0"/>
                            <a:ext cx="721360" cy="721360"/>
                          </a:xfrm>
                          <a:prstGeom prst="rect">
                            <a:avLst/>
                          </a:prstGeom>
                          <a:noFill/>
                          <a:ln>
                            <a:noFill/>
                          </a:ln>
                        </pic:spPr>
                      </pic:pic>
                    </a:graphicData>
                  </a:graphic>
                </wp:anchor>
              </w:drawing>
            </w:r>
          </w:p>
        </w:tc>
      </w:tr>
    </w:tbl>
    <w:p w14:paraId="7FC225F8">
      <w:pPr>
        <w:spacing w:after="0" w:line="360" w:lineRule="auto"/>
        <w:rPr>
          <w:rFonts w:hint="eastAsia" w:ascii="宋体" w:hAnsi="宋体" w:eastAsia="宋体" w:cs="宋体"/>
          <w:b/>
          <w:color w:val="auto"/>
          <w:highlight w:val="none"/>
        </w:rPr>
      </w:pPr>
    </w:p>
    <w:p w14:paraId="6ADEDD6D">
      <w:pPr>
        <w:spacing w:after="0" w:line="360" w:lineRule="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3.</w:t>
      </w:r>
      <w:r>
        <w:rPr>
          <w:rFonts w:hint="eastAsia" w:ascii="宋体" w:hAnsi="宋体" w:eastAsia="宋体" w:cs="宋体"/>
          <w:b/>
          <w:color w:val="auto"/>
          <w:highlight w:val="none"/>
          <w:lang w:eastAsia="zh-CN"/>
        </w:rPr>
        <w:t>标项</w:t>
      </w:r>
      <w:r>
        <w:rPr>
          <w:rFonts w:hint="eastAsia" w:ascii="宋体" w:hAnsi="宋体" w:eastAsia="宋体" w:cs="宋体"/>
          <w:b/>
          <w:color w:val="auto"/>
          <w:highlight w:val="none"/>
          <w:lang w:val="en-US" w:eastAsia="zh-CN"/>
        </w:rPr>
        <w:t>1、标项2</w:t>
      </w:r>
      <w:r>
        <w:rPr>
          <w:rFonts w:hint="eastAsia" w:ascii="宋体" w:hAnsi="宋体" w:eastAsia="宋体" w:cs="宋体"/>
          <w:b/>
          <w:color w:val="auto"/>
          <w:highlight w:val="none"/>
        </w:rPr>
        <w:t>原材料列表</w:t>
      </w:r>
    </w:p>
    <w:tbl>
      <w:tblPr>
        <w:tblStyle w:val="31"/>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540"/>
        <w:gridCol w:w="4669"/>
        <w:gridCol w:w="1880"/>
        <w:gridCol w:w="957"/>
      </w:tblGrid>
      <w:tr w14:paraId="21ED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03" w:type="dxa"/>
            <w:vAlign w:val="center"/>
          </w:tcPr>
          <w:p w14:paraId="5CB08815">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序号</w:t>
            </w:r>
          </w:p>
        </w:tc>
        <w:tc>
          <w:tcPr>
            <w:tcW w:w="1540" w:type="dxa"/>
            <w:vAlign w:val="center"/>
          </w:tcPr>
          <w:p w14:paraId="3A232EB5">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原材料名称</w:t>
            </w:r>
          </w:p>
        </w:tc>
        <w:tc>
          <w:tcPr>
            <w:tcW w:w="4669" w:type="dxa"/>
            <w:vAlign w:val="center"/>
          </w:tcPr>
          <w:p w14:paraId="37209480">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检测报告内容</w:t>
            </w:r>
          </w:p>
        </w:tc>
        <w:tc>
          <w:tcPr>
            <w:tcW w:w="1880" w:type="dxa"/>
            <w:vAlign w:val="center"/>
          </w:tcPr>
          <w:p w14:paraId="7B160F75">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产品</w:t>
            </w:r>
          </w:p>
        </w:tc>
        <w:tc>
          <w:tcPr>
            <w:tcW w:w="957" w:type="dxa"/>
            <w:vAlign w:val="center"/>
          </w:tcPr>
          <w:p w14:paraId="0253944A">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备注</w:t>
            </w:r>
          </w:p>
        </w:tc>
      </w:tr>
      <w:tr w14:paraId="0BF4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1189505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w:t>
            </w:r>
          </w:p>
        </w:tc>
        <w:tc>
          <w:tcPr>
            <w:tcW w:w="1540" w:type="dxa"/>
            <w:vAlign w:val="center"/>
          </w:tcPr>
          <w:p w14:paraId="2F2885B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基材（优质实木橡胶木（AA等级））</w:t>
            </w:r>
          </w:p>
        </w:tc>
        <w:tc>
          <w:tcPr>
            <w:tcW w:w="4669" w:type="dxa"/>
            <w:vAlign w:val="center"/>
          </w:tcPr>
          <w:p w14:paraId="1A6D2B77">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◆甲醛释放量≤0.1mg/L，抗弯强度≥90Mpa。</w:t>
            </w:r>
          </w:p>
        </w:tc>
        <w:tc>
          <w:tcPr>
            <w:tcW w:w="1880" w:type="dxa"/>
            <w:vAlign w:val="center"/>
          </w:tcPr>
          <w:p w14:paraId="7C3F4485">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床、</w:t>
            </w:r>
            <w:r>
              <w:rPr>
                <w:rFonts w:hint="eastAsia" w:ascii="宋体" w:hAnsi="宋体" w:eastAsia="宋体" w:cs="宋体"/>
                <w:color w:val="auto"/>
                <w:highlight w:val="none"/>
                <w:lang w:bidi="ar"/>
              </w:rPr>
              <w:t>床头柜、</w:t>
            </w:r>
            <w:r>
              <w:rPr>
                <w:rFonts w:hint="eastAsia" w:ascii="宋体" w:hAnsi="宋体" w:eastAsia="宋体" w:cs="宋体"/>
                <w:color w:val="auto"/>
                <w:kern w:val="2"/>
                <w:highlight w:val="none"/>
              </w:rPr>
              <w:t>木茶几、</w:t>
            </w:r>
            <w:r>
              <w:rPr>
                <w:rFonts w:hint="eastAsia" w:ascii="宋体" w:hAnsi="宋体" w:eastAsia="宋体" w:cs="宋体"/>
                <w:color w:val="auto"/>
                <w:highlight w:val="none"/>
                <w:lang w:bidi="ar"/>
              </w:rPr>
              <w:t>木餐桌、木椅、书桌、双人位沙发、鞋柜</w:t>
            </w:r>
          </w:p>
        </w:tc>
        <w:tc>
          <w:tcPr>
            <w:tcW w:w="957" w:type="dxa"/>
            <w:vAlign w:val="center"/>
          </w:tcPr>
          <w:p w14:paraId="3BB7AFD2">
            <w:pPr>
              <w:widowControl w:val="0"/>
              <w:spacing w:after="0" w:line="400" w:lineRule="exact"/>
              <w:jc w:val="center"/>
              <w:rPr>
                <w:rFonts w:ascii="宋体" w:hAnsi="宋体" w:eastAsia="宋体" w:cs="宋体"/>
                <w:color w:val="auto"/>
                <w:kern w:val="2"/>
                <w:highlight w:val="none"/>
              </w:rPr>
            </w:pPr>
          </w:p>
        </w:tc>
      </w:tr>
      <w:tr w14:paraId="7C29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4C5BD815">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2</w:t>
            </w:r>
          </w:p>
        </w:tc>
        <w:tc>
          <w:tcPr>
            <w:tcW w:w="1540" w:type="dxa"/>
            <w:vAlign w:val="center"/>
          </w:tcPr>
          <w:p w14:paraId="6296CB0A">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底漆/面漆</w:t>
            </w:r>
          </w:p>
        </w:tc>
        <w:tc>
          <w:tcPr>
            <w:tcW w:w="4669" w:type="dxa"/>
            <w:vAlign w:val="center"/>
          </w:tcPr>
          <w:p w14:paraId="57BE3523">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w:t>
            </w:r>
            <w:r>
              <w:rPr>
                <w:rFonts w:hint="eastAsia" w:ascii="宋体" w:hAnsi="宋体" w:eastAsia="宋体" w:cs="宋体"/>
                <w:color w:val="auto"/>
                <w:kern w:val="2"/>
                <w:highlight w:val="none"/>
              </w:rPr>
              <w:t>VOC含量未检出，甲醛含量未检出，总铅含量(限色漆、腻子和醇酸清漆)未检出，可溶性重金属含量(限色漆、腻子和醇酸清漆)镉、铬、汞含量均未检出，苯含量未检出，苯系物总和含量［限苯、甲苯、二甲苯(含乙苯)］未检出，多环芳烃总和含量(限萘、蒽)未检出，抗细菌率≥99%，防霉菌性等级达到0级或1级，乙二醇醚及其酯含量未检出。</w:t>
            </w:r>
          </w:p>
        </w:tc>
        <w:tc>
          <w:tcPr>
            <w:tcW w:w="1880" w:type="dxa"/>
            <w:vAlign w:val="center"/>
          </w:tcPr>
          <w:p w14:paraId="25B9A8F4">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床、</w:t>
            </w:r>
            <w:r>
              <w:rPr>
                <w:rFonts w:hint="eastAsia" w:ascii="宋体" w:hAnsi="宋体" w:eastAsia="宋体" w:cs="宋体"/>
                <w:color w:val="auto"/>
                <w:highlight w:val="none"/>
                <w:lang w:bidi="ar"/>
              </w:rPr>
              <w:t>床头柜、</w:t>
            </w:r>
            <w:r>
              <w:rPr>
                <w:rFonts w:hint="eastAsia" w:ascii="宋体" w:hAnsi="宋体" w:eastAsia="宋体" w:cs="宋体"/>
                <w:color w:val="auto"/>
                <w:kern w:val="2"/>
                <w:highlight w:val="none"/>
              </w:rPr>
              <w:t>木茶几、</w:t>
            </w:r>
            <w:r>
              <w:rPr>
                <w:rFonts w:hint="eastAsia" w:ascii="宋体" w:hAnsi="宋体" w:eastAsia="宋体" w:cs="宋体"/>
                <w:color w:val="auto"/>
                <w:highlight w:val="none"/>
                <w:lang w:bidi="ar"/>
              </w:rPr>
              <w:t>木餐桌、木椅、书桌</w:t>
            </w:r>
          </w:p>
        </w:tc>
        <w:tc>
          <w:tcPr>
            <w:tcW w:w="957" w:type="dxa"/>
            <w:vAlign w:val="center"/>
          </w:tcPr>
          <w:p w14:paraId="49ABE0CD">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投标文件中体现任一即可。</w:t>
            </w:r>
          </w:p>
        </w:tc>
      </w:tr>
      <w:tr w14:paraId="619D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73CE4CC7">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3</w:t>
            </w:r>
          </w:p>
        </w:tc>
        <w:tc>
          <w:tcPr>
            <w:tcW w:w="1540" w:type="dxa"/>
            <w:vAlign w:val="center"/>
          </w:tcPr>
          <w:p w14:paraId="57A2A482">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胶粘剂</w:t>
            </w:r>
          </w:p>
        </w:tc>
        <w:tc>
          <w:tcPr>
            <w:tcW w:w="4669" w:type="dxa"/>
            <w:vAlign w:val="center"/>
          </w:tcPr>
          <w:p w14:paraId="08BF9677">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◆游离甲醛未检出，苯未检出，甲苯+二甲苯未检出，总挥发性有机物≤15g/L；卤代烃未检出；水基型胶粘剂VOC含量限量未检出。</w:t>
            </w:r>
          </w:p>
        </w:tc>
        <w:tc>
          <w:tcPr>
            <w:tcW w:w="1880" w:type="dxa"/>
            <w:vAlign w:val="center"/>
          </w:tcPr>
          <w:p w14:paraId="474B1CF5">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床、</w:t>
            </w:r>
            <w:r>
              <w:rPr>
                <w:rFonts w:hint="eastAsia" w:ascii="宋体" w:hAnsi="宋体" w:eastAsia="宋体" w:cs="宋体"/>
                <w:color w:val="auto"/>
                <w:highlight w:val="none"/>
                <w:lang w:bidi="ar"/>
              </w:rPr>
              <w:t>床头柜、</w:t>
            </w:r>
            <w:r>
              <w:rPr>
                <w:rFonts w:hint="eastAsia" w:ascii="宋体" w:hAnsi="宋体" w:eastAsia="宋体" w:cs="宋体"/>
                <w:color w:val="auto"/>
                <w:kern w:val="2"/>
                <w:highlight w:val="none"/>
              </w:rPr>
              <w:t>木茶几、</w:t>
            </w:r>
            <w:r>
              <w:rPr>
                <w:rFonts w:hint="eastAsia" w:ascii="宋体" w:hAnsi="宋体" w:eastAsia="宋体" w:cs="宋体"/>
                <w:color w:val="auto"/>
                <w:highlight w:val="none"/>
                <w:lang w:bidi="ar"/>
              </w:rPr>
              <w:t>木餐桌、木椅、书桌</w:t>
            </w:r>
          </w:p>
        </w:tc>
        <w:tc>
          <w:tcPr>
            <w:tcW w:w="957" w:type="dxa"/>
            <w:vAlign w:val="center"/>
          </w:tcPr>
          <w:p w14:paraId="20D7145A">
            <w:pPr>
              <w:widowControl w:val="0"/>
              <w:spacing w:after="0" w:line="400" w:lineRule="exact"/>
              <w:jc w:val="center"/>
              <w:rPr>
                <w:rFonts w:ascii="宋体" w:hAnsi="宋体" w:eastAsia="宋体" w:cs="宋体"/>
                <w:color w:val="auto"/>
                <w:kern w:val="2"/>
                <w:highlight w:val="none"/>
              </w:rPr>
            </w:pPr>
          </w:p>
        </w:tc>
      </w:tr>
      <w:tr w14:paraId="2E4A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3" w:type="dxa"/>
            <w:vAlign w:val="center"/>
          </w:tcPr>
          <w:p w14:paraId="7212889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4</w:t>
            </w:r>
          </w:p>
        </w:tc>
        <w:tc>
          <w:tcPr>
            <w:tcW w:w="1540" w:type="dxa"/>
            <w:vAlign w:val="center"/>
          </w:tcPr>
          <w:p w14:paraId="14B7C02B">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阻尼导轨</w:t>
            </w:r>
          </w:p>
        </w:tc>
        <w:tc>
          <w:tcPr>
            <w:tcW w:w="4669" w:type="dxa"/>
            <w:vAlign w:val="center"/>
          </w:tcPr>
          <w:p w14:paraId="26AA5C2E">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◇抽屉导轨组件底部变形检测合格；抽屉导轨组件结构强度检测合格；耐久性检测≥20万次，功能无损；</w:t>
            </w:r>
            <w:r>
              <w:rPr>
                <w:rFonts w:hint="eastAsia" w:ascii="宋体" w:hAnsi="宋体" w:eastAsia="宋体" w:cs="宋体"/>
                <w:color w:val="auto"/>
                <w:kern w:val="2"/>
                <w:highlight w:val="none"/>
                <w:lang w:bidi="ar"/>
              </w:rPr>
              <w:t>中性盐雾试验（NSS）连续喷雾≥500h，镀（涂）层对基体的保护等级达到10级，镀（涂）层本身耐腐蚀等级达到10级</w:t>
            </w:r>
            <w:r>
              <w:rPr>
                <w:rFonts w:hint="eastAsia" w:ascii="宋体" w:hAnsi="宋体" w:eastAsia="宋体" w:cs="宋体"/>
                <w:color w:val="auto"/>
                <w:highlight w:val="none"/>
                <w:lang w:bidi="ar"/>
              </w:rPr>
              <w:t>；乙酸盐雾试验（ASS）连续喷雾≥500h，镀（涂）层对基体的保护等级达到10级，镀（涂）层本身耐腐蚀等级达到10级；</w:t>
            </w:r>
            <w:r>
              <w:rPr>
                <w:rFonts w:hint="eastAsia" w:ascii="宋体" w:hAnsi="宋体" w:eastAsia="宋体" w:cs="宋体"/>
                <w:color w:val="auto"/>
                <w:kern w:val="2"/>
                <w:highlight w:val="none"/>
                <w:lang w:bidi="ar"/>
              </w:rPr>
              <w:t>铜加速乙酸盐雾试验(CASS)连续喷雾≥200h，镀（涂）层对基体的保护等级达到10级，镀（涂）层本身耐腐蚀等级达到10级；铜盐加速乙酸盐雾试验(CASS)连续喷雾≥200h，镀（涂）层对基体的保护等级达到10级，镀（涂）层本身耐腐蚀等级达到10级。</w:t>
            </w:r>
          </w:p>
        </w:tc>
        <w:tc>
          <w:tcPr>
            <w:tcW w:w="1880" w:type="dxa"/>
            <w:vAlign w:val="center"/>
          </w:tcPr>
          <w:p w14:paraId="48992547">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床头柜、书桌</w:t>
            </w:r>
          </w:p>
        </w:tc>
        <w:tc>
          <w:tcPr>
            <w:tcW w:w="957" w:type="dxa"/>
            <w:vAlign w:val="center"/>
          </w:tcPr>
          <w:p w14:paraId="14947846">
            <w:pPr>
              <w:widowControl w:val="0"/>
              <w:spacing w:after="0" w:line="400" w:lineRule="exact"/>
              <w:jc w:val="center"/>
              <w:rPr>
                <w:rFonts w:ascii="宋体" w:hAnsi="宋体" w:eastAsia="宋体" w:cs="宋体"/>
                <w:color w:val="auto"/>
                <w:highlight w:val="none"/>
                <w:lang w:bidi="ar"/>
              </w:rPr>
            </w:pPr>
          </w:p>
        </w:tc>
      </w:tr>
      <w:tr w14:paraId="1A86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10D95BD0">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5</w:t>
            </w:r>
          </w:p>
        </w:tc>
        <w:tc>
          <w:tcPr>
            <w:tcW w:w="1540" w:type="dxa"/>
            <w:vAlign w:val="center"/>
          </w:tcPr>
          <w:p w14:paraId="4EF012AD">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面料</w:t>
            </w:r>
          </w:p>
        </w:tc>
        <w:tc>
          <w:tcPr>
            <w:tcW w:w="4669" w:type="dxa"/>
            <w:vAlign w:val="center"/>
          </w:tcPr>
          <w:p w14:paraId="2E1371A3">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◆游离甲醛未检出，挥发性有机物（V0C）未检出，可萃取重金属（铅、镉）均未检出，禁用偶氮染料未检出，</w:t>
            </w:r>
            <w:r>
              <w:rPr>
                <w:rFonts w:hint="eastAsia" w:ascii="宋体" w:hAnsi="宋体" w:eastAsia="宋体" w:cs="宋体"/>
                <w:color w:val="auto"/>
                <w:kern w:val="2"/>
                <w:highlight w:val="none"/>
                <w:lang w:bidi="ar"/>
              </w:rPr>
              <w:t>含氯苯酚（五氯苯酚）未检出</w:t>
            </w:r>
            <w:r>
              <w:rPr>
                <w:rFonts w:hint="eastAsia" w:ascii="宋体" w:hAnsi="宋体" w:eastAsia="宋体" w:cs="宋体"/>
                <w:color w:val="auto"/>
                <w:highlight w:val="none"/>
                <w:lang w:bidi="ar"/>
              </w:rPr>
              <w:t>。</w:t>
            </w:r>
          </w:p>
          <w:p w14:paraId="71FF24C4">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◇耐光性≥6级，涂层粘着牢度≥4N/10mm，撕裂力≥100N，防霉等级达到0级或1级。</w:t>
            </w:r>
          </w:p>
        </w:tc>
        <w:tc>
          <w:tcPr>
            <w:tcW w:w="1880" w:type="dxa"/>
            <w:vAlign w:val="center"/>
          </w:tcPr>
          <w:p w14:paraId="61B94D56">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双人位沙发、餐椅</w:t>
            </w:r>
          </w:p>
        </w:tc>
        <w:tc>
          <w:tcPr>
            <w:tcW w:w="957" w:type="dxa"/>
            <w:vAlign w:val="center"/>
          </w:tcPr>
          <w:p w14:paraId="564C86DF">
            <w:pPr>
              <w:widowControl w:val="0"/>
              <w:spacing w:after="0" w:line="400" w:lineRule="exact"/>
              <w:jc w:val="center"/>
              <w:rPr>
                <w:rFonts w:ascii="宋体" w:hAnsi="宋体" w:eastAsia="宋体" w:cs="宋体"/>
                <w:color w:val="auto"/>
                <w:highlight w:val="none"/>
                <w:lang w:bidi="ar"/>
              </w:rPr>
            </w:pPr>
          </w:p>
        </w:tc>
      </w:tr>
      <w:tr w14:paraId="072B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06143FEF">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6</w:t>
            </w:r>
          </w:p>
        </w:tc>
        <w:tc>
          <w:tcPr>
            <w:tcW w:w="1540" w:type="dxa"/>
            <w:vAlign w:val="center"/>
          </w:tcPr>
          <w:p w14:paraId="758748F1">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海绵</w:t>
            </w:r>
          </w:p>
        </w:tc>
        <w:tc>
          <w:tcPr>
            <w:tcW w:w="4669" w:type="dxa"/>
            <w:vAlign w:val="center"/>
          </w:tcPr>
          <w:p w14:paraId="5433484C">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◆甲醛释放量≤0.01mg/㎡h，TVOC未检出。</w:t>
            </w:r>
          </w:p>
          <w:p w14:paraId="5D6D1EDF">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kern w:val="2"/>
                <w:highlight w:val="none"/>
                <w:lang w:bidi="ar"/>
              </w:rPr>
              <w:t>◇通过模拟火柴火焰抗引燃特性试验</w:t>
            </w:r>
            <w:r>
              <w:rPr>
                <w:rFonts w:hint="eastAsia" w:ascii="宋体" w:hAnsi="宋体" w:eastAsia="宋体" w:cs="宋体"/>
                <w:color w:val="auto"/>
                <w:highlight w:val="none"/>
                <w:lang w:bidi="ar"/>
              </w:rPr>
              <w:t>，恒定负荷反复压陷疲劳性能≤20%，75%压缩永久变形≤3%，回弹率≥50%，拉伸强度≥170Kpa，撕裂强度≥12N/cm。</w:t>
            </w:r>
          </w:p>
        </w:tc>
        <w:tc>
          <w:tcPr>
            <w:tcW w:w="1880" w:type="dxa"/>
            <w:vAlign w:val="center"/>
          </w:tcPr>
          <w:p w14:paraId="29293F65">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lang w:bidi="ar"/>
              </w:rPr>
              <w:t>双人位沙发、餐椅</w:t>
            </w:r>
          </w:p>
        </w:tc>
        <w:tc>
          <w:tcPr>
            <w:tcW w:w="957" w:type="dxa"/>
            <w:vAlign w:val="center"/>
          </w:tcPr>
          <w:p w14:paraId="7F47D843">
            <w:pPr>
              <w:widowControl w:val="0"/>
              <w:spacing w:after="0" w:line="400" w:lineRule="exact"/>
              <w:jc w:val="center"/>
              <w:rPr>
                <w:rFonts w:ascii="宋体" w:hAnsi="宋体" w:eastAsia="宋体" w:cs="宋体"/>
                <w:color w:val="auto"/>
                <w:highlight w:val="none"/>
                <w:lang w:bidi="ar"/>
              </w:rPr>
            </w:pPr>
          </w:p>
        </w:tc>
      </w:tr>
      <w:tr w14:paraId="0390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3FE6E881">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7</w:t>
            </w:r>
          </w:p>
        </w:tc>
        <w:tc>
          <w:tcPr>
            <w:tcW w:w="1540" w:type="dxa"/>
            <w:vAlign w:val="center"/>
          </w:tcPr>
          <w:p w14:paraId="11F79350">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面板/岩板</w:t>
            </w:r>
          </w:p>
        </w:tc>
        <w:tc>
          <w:tcPr>
            <w:tcW w:w="4669" w:type="dxa"/>
            <w:vAlign w:val="center"/>
          </w:tcPr>
          <w:p w14:paraId="4971A1A5">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耐化学药品性检测合格，吸水率检测合格，耐污染性检测合格，耐磨性检测合格，落球冲击检测合格，莫氏硬度检测合格；石英石板材正面外观缺陷（缺棱、缺角、气孔、裂纹）检测合格，石英石无修补；抗细菌率≥99%，防霉等级达到0级或1级，产品表面理化性能（石材件、木制件）耐冷热温差检测合格。</w:t>
            </w:r>
          </w:p>
        </w:tc>
        <w:tc>
          <w:tcPr>
            <w:tcW w:w="1880" w:type="dxa"/>
            <w:vAlign w:val="center"/>
          </w:tcPr>
          <w:p w14:paraId="47312ED6">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岩板茶几、岩板餐桌</w:t>
            </w:r>
          </w:p>
        </w:tc>
        <w:tc>
          <w:tcPr>
            <w:tcW w:w="957" w:type="dxa"/>
            <w:vAlign w:val="center"/>
          </w:tcPr>
          <w:p w14:paraId="69109673">
            <w:pPr>
              <w:widowControl w:val="0"/>
              <w:spacing w:after="0" w:line="400" w:lineRule="exact"/>
              <w:jc w:val="center"/>
              <w:rPr>
                <w:rFonts w:ascii="宋体" w:hAnsi="宋体" w:eastAsia="宋体" w:cs="宋体"/>
                <w:color w:val="auto"/>
                <w:highlight w:val="none"/>
                <w:lang w:bidi="ar"/>
              </w:rPr>
            </w:pPr>
          </w:p>
        </w:tc>
      </w:tr>
      <w:tr w14:paraId="119E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1AB1BBCF">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8</w:t>
            </w:r>
          </w:p>
        </w:tc>
        <w:tc>
          <w:tcPr>
            <w:tcW w:w="1540" w:type="dxa"/>
            <w:vAlign w:val="center"/>
          </w:tcPr>
          <w:p w14:paraId="2E5B3D17">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底板</w:t>
            </w:r>
          </w:p>
        </w:tc>
        <w:tc>
          <w:tcPr>
            <w:tcW w:w="4669" w:type="dxa"/>
            <w:vAlign w:val="center"/>
          </w:tcPr>
          <w:p w14:paraId="7A180FB0">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甲醛释放量（1m³气候箱法）未检出，总挥发性有机化合物（TVOC）未检出，苯未检出，甲苯未检出，二甲苯未检出，五氯苯酚含量未检出，胶合强度≥1.8MPa，静曲强度（顺纹）≥40MPa，静曲强度（横纹）≥35MPa，弹性模量（顺纹）≥6000Mpa，弹性模量（横纹）≥5500Mpa，抗拉强度≥50MPa，抗细菌率≥99%，防霉菌等级达到0级或1级。</w:t>
            </w:r>
          </w:p>
        </w:tc>
        <w:tc>
          <w:tcPr>
            <w:tcW w:w="1880" w:type="dxa"/>
            <w:vAlign w:val="center"/>
          </w:tcPr>
          <w:p w14:paraId="01CD9734">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岩板餐桌</w:t>
            </w:r>
          </w:p>
        </w:tc>
        <w:tc>
          <w:tcPr>
            <w:tcW w:w="957" w:type="dxa"/>
            <w:vAlign w:val="center"/>
          </w:tcPr>
          <w:p w14:paraId="03B7A5B8">
            <w:pPr>
              <w:widowControl w:val="0"/>
              <w:spacing w:after="0" w:line="400" w:lineRule="exact"/>
              <w:jc w:val="center"/>
              <w:rPr>
                <w:rFonts w:ascii="宋体" w:hAnsi="宋体" w:eastAsia="宋体" w:cs="宋体"/>
                <w:color w:val="auto"/>
                <w:highlight w:val="none"/>
                <w:lang w:bidi="ar"/>
              </w:rPr>
            </w:pPr>
          </w:p>
        </w:tc>
      </w:tr>
      <w:tr w14:paraId="0C25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692A8DF1">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9</w:t>
            </w:r>
          </w:p>
        </w:tc>
        <w:tc>
          <w:tcPr>
            <w:tcW w:w="1540" w:type="dxa"/>
            <w:vAlign w:val="center"/>
          </w:tcPr>
          <w:p w14:paraId="10CD55F5">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基材（优质环保三聚氰胺饰面刨花板）</w:t>
            </w:r>
          </w:p>
        </w:tc>
        <w:tc>
          <w:tcPr>
            <w:tcW w:w="4669" w:type="dxa"/>
            <w:vAlign w:val="center"/>
          </w:tcPr>
          <w:p w14:paraId="21F04AB9">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◆甲醛释放量（1m³气候箱法）未检出，总挥发性有机化合物（TVOC）未检出，苯未检出，甲苯未检出，二甲苯未检出，</w:t>
            </w:r>
            <w:r>
              <w:rPr>
                <w:rFonts w:hint="eastAsia" w:ascii="宋体" w:hAnsi="宋体" w:eastAsia="宋体" w:cs="宋体"/>
                <w:color w:val="auto"/>
                <w:kern w:val="2"/>
                <w:highlight w:val="none"/>
                <w:lang w:bidi="ar"/>
              </w:rPr>
              <w:t>五氯苯酚含量未检出</w:t>
            </w:r>
            <w:r>
              <w:rPr>
                <w:rFonts w:hint="eastAsia" w:ascii="宋体" w:hAnsi="宋体" w:eastAsia="宋体" w:cs="宋体"/>
                <w:color w:val="auto"/>
                <w:highlight w:val="none"/>
                <w:lang w:bidi="ar"/>
              </w:rPr>
              <w:t>，产品表面涂层可迁移元素的限量（锑、砷、钡、镉、铬、铅、汞、硒）均未检出。</w:t>
            </w:r>
          </w:p>
          <w:p w14:paraId="5A426DA8">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kern w:val="2"/>
                <w:highlight w:val="none"/>
                <w:lang w:bidi="ar"/>
              </w:rPr>
              <w:t>◇静曲强度≥35MPa，弹性模量≥3700Mpa，内结合强度≥1.0MPa，表面胶合强度≥2.0MPa，2h吸水厚度膨胀率≤2.5%，握螺钉力（板面）≥1700N、握螺钉力（板边）≥1100N</w:t>
            </w:r>
            <w:r>
              <w:rPr>
                <w:rFonts w:hint="eastAsia" w:ascii="宋体" w:hAnsi="宋体" w:eastAsia="宋体" w:cs="宋体"/>
                <w:color w:val="auto"/>
                <w:highlight w:val="none"/>
                <w:lang w:bidi="ar"/>
              </w:rPr>
              <w:t>，抗细菌率≥99%，防霉菌等级达到0级或1级。</w:t>
            </w:r>
          </w:p>
        </w:tc>
        <w:tc>
          <w:tcPr>
            <w:tcW w:w="1880" w:type="dxa"/>
            <w:vAlign w:val="center"/>
          </w:tcPr>
          <w:p w14:paraId="10F5E483">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衣柜、鞋柜</w:t>
            </w:r>
          </w:p>
        </w:tc>
        <w:tc>
          <w:tcPr>
            <w:tcW w:w="957" w:type="dxa"/>
            <w:vAlign w:val="center"/>
          </w:tcPr>
          <w:p w14:paraId="752461AB">
            <w:pPr>
              <w:widowControl w:val="0"/>
              <w:spacing w:after="0" w:line="400" w:lineRule="exact"/>
              <w:jc w:val="center"/>
              <w:rPr>
                <w:rFonts w:ascii="宋体" w:hAnsi="宋体" w:eastAsia="宋体" w:cs="宋体"/>
                <w:color w:val="auto"/>
                <w:highlight w:val="none"/>
                <w:lang w:bidi="ar"/>
              </w:rPr>
            </w:pPr>
          </w:p>
        </w:tc>
      </w:tr>
      <w:tr w14:paraId="27EB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570352C2">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10</w:t>
            </w:r>
          </w:p>
        </w:tc>
        <w:tc>
          <w:tcPr>
            <w:tcW w:w="1540" w:type="dxa"/>
            <w:vAlign w:val="center"/>
          </w:tcPr>
          <w:p w14:paraId="655C06FC">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封边</w:t>
            </w:r>
          </w:p>
        </w:tc>
        <w:tc>
          <w:tcPr>
            <w:tcW w:w="4669" w:type="dxa"/>
            <w:vAlign w:val="center"/>
          </w:tcPr>
          <w:p w14:paraId="312D557B">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甲醛释放量未检出，氯乙烯单体未检出，可迁移元素（可溶性重金属）铅、镉、铬、汞、砷、钡、锑、硒均未检出，多溴联苯未检出，多溴联苯醚未检出，邻苯二甲酸酯的总量未检出，外观检测合格，厚度及其偏差检测合格，宽度（B）及其偏差检测合格，塑料封边条理化性能检测合格。</w:t>
            </w:r>
          </w:p>
        </w:tc>
        <w:tc>
          <w:tcPr>
            <w:tcW w:w="1880" w:type="dxa"/>
            <w:vAlign w:val="center"/>
          </w:tcPr>
          <w:p w14:paraId="7449E377">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衣柜、鞋柜</w:t>
            </w:r>
          </w:p>
        </w:tc>
        <w:tc>
          <w:tcPr>
            <w:tcW w:w="957" w:type="dxa"/>
            <w:vAlign w:val="center"/>
          </w:tcPr>
          <w:p w14:paraId="6282FACD">
            <w:pPr>
              <w:widowControl w:val="0"/>
              <w:spacing w:after="0" w:line="400" w:lineRule="exact"/>
              <w:jc w:val="center"/>
              <w:rPr>
                <w:rFonts w:ascii="宋体" w:hAnsi="宋体" w:eastAsia="宋体" w:cs="宋体"/>
                <w:color w:val="auto"/>
                <w:highlight w:val="none"/>
                <w:lang w:bidi="ar"/>
              </w:rPr>
            </w:pPr>
          </w:p>
        </w:tc>
      </w:tr>
      <w:tr w14:paraId="2D2F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17FF766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11</w:t>
            </w:r>
          </w:p>
        </w:tc>
        <w:tc>
          <w:tcPr>
            <w:tcW w:w="1540" w:type="dxa"/>
            <w:vAlign w:val="center"/>
          </w:tcPr>
          <w:p w14:paraId="60F7F4AD">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热熔胶</w:t>
            </w:r>
          </w:p>
        </w:tc>
        <w:tc>
          <w:tcPr>
            <w:tcW w:w="4669" w:type="dxa"/>
            <w:vAlign w:val="center"/>
          </w:tcPr>
          <w:p w14:paraId="6ECE299D">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◇苯未检出，甲苯+乙苯+二甲苯未检出，卤代烃未检出，总挥发性有机物≤5g/L，</w:t>
            </w:r>
            <w:r>
              <w:rPr>
                <w:rFonts w:hint="eastAsia" w:ascii="宋体" w:hAnsi="宋体" w:eastAsia="宋体" w:cs="宋体"/>
                <w:color w:val="auto"/>
                <w:kern w:val="2"/>
                <w:highlight w:val="none"/>
                <w:lang w:bidi="ar"/>
              </w:rPr>
              <w:t>溶剂型胶粘剂VOC含量限量≤5g/L</w:t>
            </w:r>
            <w:r>
              <w:rPr>
                <w:rFonts w:hint="eastAsia" w:ascii="宋体" w:hAnsi="宋体" w:eastAsia="宋体" w:cs="宋体"/>
                <w:color w:val="auto"/>
                <w:highlight w:val="none"/>
                <w:lang w:bidi="ar"/>
              </w:rPr>
              <w:t>。</w:t>
            </w:r>
          </w:p>
        </w:tc>
        <w:tc>
          <w:tcPr>
            <w:tcW w:w="1880" w:type="dxa"/>
            <w:vAlign w:val="center"/>
          </w:tcPr>
          <w:p w14:paraId="1813C2D5">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衣柜、鞋柜</w:t>
            </w:r>
          </w:p>
        </w:tc>
        <w:tc>
          <w:tcPr>
            <w:tcW w:w="957" w:type="dxa"/>
            <w:vAlign w:val="center"/>
          </w:tcPr>
          <w:p w14:paraId="282D5A74">
            <w:pPr>
              <w:widowControl w:val="0"/>
              <w:spacing w:after="0" w:line="400" w:lineRule="exact"/>
              <w:jc w:val="center"/>
              <w:rPr>
                <w:rFonts w:ascii="宋体" w:hAnsi="宋体" w:eastAsia="宋体" w:cs="宋体"/>
                <w:color w:val="auto"/>
                <w:highlight w:val="none"/>
                <w:lang w:bidi="ar"/>
              </w:rPr>
            </w:pPr>
          </w:p>
        </w:tc>
      </w:tr>
      <w:tr w14:paraId="437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77C804B6">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12</w:t>
            </w:r>
          </w:p>
        </w:tc>
        <w:tc>
          <w:tcPr>
            <w:tcW w:w="1540" w:type="dxa"/>
            <w:vAlign w:val="center"/>
          </w:tcPr>
          <w:p w14:paraId="72A7EBEB">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三合一连接件</w:t>
            </w:r>
          </w:p>
        </w:tc>
        <w:tc>
          <w:tcPr>
            <w:tcW w:w="4669" w:type="dxa"/>
            <w:vAlign w:val="center"/>
          </w:tcPr>
          <w:p w14:paraId="059A4DF2">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◇中性盐雾试验（NSS）连续喷雾≥200h，镀（涂）层对基体的保护等级达到10级，镀（涂）层本身耐腐蚀等级达到10级；</w:t>
            </w:r>
            <w:r>
              <w:rPr>
                <w:rFonts w:hint="eastAsia" w:ascii="宋体" w:hAnsi="宋体" w:eastAsia="宋体" w:cs="宋体"/>
                <w:color w:val="auto"/>
                <w:kern w:val="2"/>
                <w:highlight w:val="none"/>
                <w:lang w:bidi="ar"/>
              </w:rPr>
              <w:t>乙酸盐雾试验（ASS）连续喷雾≥200h，镀（涂）层对基体的保护等级达到10级，镀（涂）层本身耐腐蚀等级达到10级</w:t>
            </w:r>
            <w:r>
              <w:rPr>
                <w:rFonts w:hint="eastAsia" w:ascii="宋体" w:hAnsi="宋体" w:eastAsia="宋体" w:cs="宋体"/>
                <w:color w:val="auto"/>
                <w:highlight w:val="none"/>
                <w:lang w:bidi="ar"/>
              </w:rPr>
              <w:t>；铜加速乙酸盐雾试验(CASS)连续喷雾≥200h，镀（涂）层对基体的保护等级：10级，镀（涂）层本身耐腐蚀等级达到10级；铜盐加速乙酸盐雾试验(CASS)连续喷雾≥200h，镀（涂）层对基体的保护等级达到10级，镀（涂）层本身耐腐蚀等级达到10级。</w:t>
            </w:r>
          </w:p>
        </w:tc>
        <w:tc>
          <w:tcPr>
            <w:tcW w:w="1880" w:type="dxa"/>
            <w:vAlign w:val="center"/>
          </w:tcPr>
          <w:p w14:paraId="4FD2E648">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衣柜、鞋柜</w:t>
            </w:r>
          </w:p>
        </w:tc>
        <w:tc>
          <w:tcPr>
            <w:tcW w:w="957" w:type="dxa"/>
            <w:vAlign w:val="center"/>
          </w:tcPr>
          <w:p w14:paraId="6B88C1BC">
            <w:pPr>
              <w:widowControl w:val="0"/>
              <w:spacing w:after="0" w:line="400" w:lineRule="exact"/>
              <w:jc w:val="center"/>
              <w:rPr>
                <w:rFonts w:ascii="宋体" w:hAnsi="宋体" w:eastAsia="宋体" w:cs="宋体"/>
                <w:color w:val="auto"/>
                <w:highlight w:val="none"/>
                <w:lang w:bidi="ar"/>
              </w:rPr>
            </w:pPr>
          </w:p>
        </w:tc>
      </w:tr>
      <w:tr w14:paraId="7834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736C3E3F">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13</w:t>
            </w:r>
          </w:p>
        </w:tc>
        <w:tc>
          <w:tcPr>
            <w:tcW w:w="1540" w:type="dxa"/>
            <w:vAlign w:val="center"/>
          </w:tcPr>
          <w:p w14:paraId="7FAC5FC7">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阻尼门铰</w:t>
            </w:r>
          </w:p>
        </w:tc>
        <w:tc>
          <w:tcPr>
            <w:tcW w:w="4669" w:type="dxa"/>
            <w:vAlign w:val="center"/>
          </w:tcPr>
          <w:p w14:paraId="16D13068">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◇耐久性检测≥20万次，功能无损坏；</w:t>
            </w:r>
            <w:r>
              <w:rPr>
                <w:rFonts w:hint="eastAsia" w:ascii="宋体" w:hAnsi="宋体" w:eastAsia="宋体" w:cs="宋体"/>
                <w:color w:val="auto"/>
                <w:kern w:val="2"/>
                <w:highlight w:val="none"/>
                <w:lang w:bidi="ar"/>
              </w:rPr>
              <w:t>中性盐雾试验（NSS）连续喷雾≥500h，镀（涂）层对基体的保护等级达到10级，镀（涂）层本身耐腐蚀等级达到10级</w:t>
            </w:r>
            <w:r>
              <w:rPr>
                <w:rFonts w:hint="eastAsia" w:ascii="宋体" w:hAnsi="宋体" w:eastAsia="宋体" w:cs="宋体"/>
                <w:color w:val="auto"/>
                <w:highlight w:val="none"/>
                <w:lang w:bidi="ar"/>
              </w:rPr>
              <w:t>；乙酸盐雾试验（ASS）连续喷雾≥500h，镀（涂）层对基体的保护等级达到10级，镀（涂）层本身耐腐蚀等级达到10级；</w:t>
            </w:r>
            <w:r>
              <w:rPr>
                <w:rFonts w:hint="eastAsia" w:ascii="宋体" w:hAnsi="宋体" w:eastAsia="宋体" w:cs="宋体"/>
                <w:color w:val="auto"/>
                <w:kern w:val="2"/>
                <w:highlight w:val="none"/>
                <w:lang w:bidi="ar"/>
              </w:rPr>
              <w:t>铜加速乙酸盐雾试验(CASS)连续喷雾≥200h，镀（涂）层对基体的保护等级达到10级，镀（涂）层本身耐腐蚀等级达到10级；铜盐加速乙酸盐雾试验(CASS)连续喷雾≥200h，镀（涂）层对基体的保护等级达到10级，镀（涂）层本身耐腐蚀等级达到10级</w:t>
            </w:r>
            <w:r>
              <w:rPr>
                <w:rFonts w:hint="eastAsia" w:ascii="宋体" w:hAnsi="宋体" w:eastAsia="宋体" w:cs="宋体"/>
                <w:color w:val="auto"/>
                <w:highlight w:val="none"/>
                <w:lang w:bidi="ar"/>
              </w:rPr>
              <w:t>。</w:t>
            </w:r>
          </w:p>
        </w:tc>
        <w:tc>
          <w:tcPr>
            <w:tcW w:w="1880" w:type="dxa"/>
            <w:vAlign w:val="center"/>
          </w:tcPr>
          <w:p w14:paraId="7A4112C7">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衣柜、鞋柜</w:t>
            </w:r>
          </w:p>
        </w:tc>
        <w:tc>
          <w:tcPr>
            <w:tcW w:w="957" w:type="dxa"/>
            <w:vAlign w:val="center"/>
          </w:tcPr>
          <w:p w14:paraId="7BF062BF">
            <w:pPr>
              <w:widowControl w:val="0"/>
              <w:spacing w:after="0" w:line="400" w:lineRule="exact"/>
              <w:jc w:val="center"/>
              <w:rPr>
                <w:rFonts w:ascii="宋体" w:hAnsi="宋体" w:eastAsia="宋体" w:cs="宋体"/>
                <w:color w:val="auto"/>
                <w:highlight w:val="none"/>
                <w:lang w:bidi="ar"/>
              </w:rPr>
            </w:pPr>
          </w:p>
        </w:tc>
      </w:tr>
      <w:tr w14:paraId="56E1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14:paraId="4D18DA5F">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14</w:t>
            </w:r>
          </w:p>
        </w:tc>
        <w:tc>
          <w:tcPr>
            <w:tcW w:w="1540" w:type="dxa"/>
            <w:vAlign w:val="center"/>
          </w:tcPr>
          <w:p w14:paraId="41DC7A7B">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脚架</w:t>
            </w:r>
          </w:p>
        </w:tc>
        <w:tc>
          <w:tcPr>
            <w:tcW w:w="4669" w:type="dxa"/>
            <w:vAlign w:val="center"/>
          </w:tcPr>
          <w:p w14:paraId="41300897">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◇中性盐雾连续喷雾≥100小时，镀层对基体的保护等级达到10级，镀层本身的耐腐蚀等级达到10级；乙酸盐雾连续喷雾≥100小时，镀层对基体的保护等级达到10级，镀层本身的耐腐蚀等级达到10级</w:t>
            </w:r>
          </w:p>
        </w:tc>
        <w:tc>
          <w:tcPr>
            <w:tcW w:w="1880" w:type="dxa"/>
            <w:vAlign w:val="center"/>
          </w:tcPr>
          <w:p w14:paraId="56766BEA">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双人位沙发、岩板茶几、岩板餐桌、餐椅</w:t>
            </w:r>
          </w:p>
        </w:tc>
        <w:tc>
          <w:tcPr>
            <w:tcW w:w="957" w:type="dxa"/>
            <w:vAlign w:val="center"/>
          </w:tcPr>
          <w:p w14:paraId="1E89977A">
            <w:pPr>
              <w:widowControl w:val="0"/>
              <w:spacing w:after="0" w:line="400" w:lineRule="exact"/>
              <w:jc w:val="center"/>
              <w:rPr>
                <w:rFonts w:ascii="宋体" w:hAnsi="宋体" w:eastAsia="宋体" w:cs="宋体"/>
                <w:color w:val="auto"/>
                <w:highlight w:val="none"/>
                <w:lang w:bidi="ar"/>
              </w:rPr>
            </w:pPr>
          </w:p>
        </w:tc>
      </w:tr>
    </w:tbl>
    <w:p w14:paraId="65833DCC">
      <w:pPr>
        <w:widowControl w:val="0"/>
        <w:spacing w:after="0" w:line="360" w:lineRule="auto"/>
        <w:ind w:firstLine="480" w:firstLineChars="200"/>
        <w:jc w:val="both"/>
        <w:rPr>
          <w:rFonts w:ascii="宋体" w:hAnsi="宋体" w:eastAsia="宋体" w:cs="宋体"/>
          <w:color w:val="auto"/>
          <w:kern w:val="2"/>
          <w:highlight w:val="none"/>
        </w:rPr>
      </w:pPr>
      <w:r>
        <w:rPr>
          <w:rFonts w:hint="eastAsia" w:ascii="宋体" w:hAnsi="宋体" w:eastAsia="宋体" w:cs="宋体"/>
          <w:color w:val="auto"/>
          <w:kern w:val="2"/>
          <w:highlight w:val="none"/>
        </w:rPr>
        <w:t>注：要求以上标注“</w:t>
      </w:r>
      <w:r>
        <w:rPr>
          <w:rFonts w:hint="eastAsia" w:ascii="宋体" w:hAnsi="宋体" w:eastAsia="宋体" w:cs="宋体"/>
          <w:color w:val="auto"/>
          <w:highlight w:val="none"/>
          <w:lang w:bidi="ar"/>
        </w:rPr>
        <w:t>◆</w:t>
      </w:r>
      <w:r>
        <w:rPr>
          <w:rFonts w:hint="eastAsia" w:ascii="宋体" w:hAnsi="宋体" w:eastAsia="宋体" w:cs="宋体"/>
          <w:color w:val="auto"/>
          <w:kern w:val="2"/>
          <w:highlight w:val="none"/>
        </w:rPr>
        <w:t>”的原材料指标须投标人提供2023年1月1日至本项目投标截止时间之前带有“CMA和CNAS”标志国家认可的第三方质量检验检测中心出具的原材料抽样检验报告扫描件及官方网站查询截图证明</w:t>
      </w:r>
      <w:r>
        <w:rPr>
          <w:rFonts w:hint="eastAsia" w:ascii="宋体" w:hAnsi="宋体" w:eastAsia="宋体" w:cs="宋体"/>
          <w:color w:val="auto"/>
          <w:kern w:val="2"/>
          <w:highlight w:val="none"/>
          <w:lang w:eastAsia="zh-CN"/>
        </w:rPr>
        <w:t>。</w:t>
      </w:r>
      <w:r>
        <w:rPr>
          <w:rFonts w:hint="eastAsia" w:ascii="宋体" w:hAnsi="宋体" w:eastAsia="宋体" w:cs="宋体"/>
          <w:color w:val="auto"/>
          <w:kern w:val="2"/>
          <w:highlight w:val="none"/>
        </w:rPr>
        <w:t>标注◇的原材料指标要求投标人在商务技术文件中根据自己产品实际满足情况做出承诺，满足技术要求的指标承诺“满足招标文件技术要求，且在中标后提供检测报告原件”，</w:t>
      </w:r>
      <w:r>
        <w:rPr>
          <w:rFonts w:hint="eastAsia" w:ascii="宋体" w:hAnsi="宋体" w:eastAsia="宋体" w:cs="宋体"/>
          <w:color w:val="auto"/>
          <w:kern w:val="2"/>
          <w:highlight w:val="none"/>
          <w:lang w:val="en-US" w:eastAsia="zh-CN"/>
        </w:rPr>
        <w:t>在家具生产过程中应由第三方检测机构在原材料进货、生产组装及成品出厂验收等阶段，按一定比例进行质量、环保抽样检测，对不同单体的不同部位进行随机抽取检测，同一部位破坏性抽取检测不超过一次，并向采购人出具合格检验报告。</w:t>
      </w:r>
      <w:r>
        <w:rPr>
          <w:rFonts w:hint="eastAsia" w:ascii="宋体" w:hAnsi="宋体" w:eastAsia="宋体" w:cs="宋体"/>
          <w:color w:val="auto"/>
          <w:kern w:val="2"/>
          <w:highlight w:val="none"/>
        </w:rPr>
        <w:t>不满足技术要求的指标注明。</w:t>
      </w:r>
    </w:p>
    <w:p w14:paraId="1BC88BCA">
      <w:pPr>
        <w:widowControl w:val="0"/>
        <w:adjustRightInd w:val="0"/>
        <w:spacing w:after="0" w:line="480" w:lineRule="exact"/>
        <w:ind w:firstLine="482" w:firstLineChars="200"/>
        <w:jc w:val="both"/>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4</w:t>
      </w:r>
      <w:r>
        <w:rPr>
          <w:rFonts w:hint="eastAsia" w:ascii="宋体" w:hAnsi="宋体" w:eastAsia="宋体" w:cs="宋体"/>
          <w:b/>
          <w:color w:val="auto"/>
          <w:highlight w:val="none"/>
        </w:rPr>
        <w:t>.</w:t>
      </w:r>
      <w:r>
        <w:rPr>
          <w:rFonts w:hint="eastAsia" w:ascii="宋体" w:hAnsi="宋体" w:eastAsia="宋体" w:cs="宋体"/>
          <w:b/>
          <w:bCs/>
          <w:color w:val="auto"/>
          <w:kern w:val="2"/>
          <w:highlight w:val="none"/>
          <w:lang w:eastAsia="zh-CN"/>
        </w:rPr>
        <w:t>标项</w:t>
      </w:r>
      <w:r>
        <w:rPr>
          <w:rFonts w:hint="eastAsia" w:ascii="宋体" w:hAnsi="宋体" w:eastAsia="宋体" w:cs="宋体"/>
          <w:b/>
          <w:bCs/>
          <w:color w:val="auto"/>
          <w:kern w:val="2"/>
          <w:highlight w:val="none"/>
          <w:lang w:val="en-US" w:eastAsia="zh-CN"/>
        </w:rPr>
        <w:t>1、标项2</w:t>
      </w:r>
      <w:r>
        <w:rPr>
          <w:rFonts w:hint="eastAsia" w:ascii="宋体" w:hAnsi="宋体" w:eastAsia="宋体" w:cs="宋体"/>
          <w:b/>
          <w:color w:val="auto"/>
          <w:highlight w:val="none"/>
        </w:rPr>
        <w:t>成品检测要求列表</w:t>
      </w:r>
    </w:p>
    <w:tbl>
      <w:tblPr>
        <w:tblStyle w:val="31"/>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186"/>
        <w:gridCol w:w="5908"/>
        <w:gridCol w:w="840"/>
      </w:tblGrid>
      <w:tr w14:paraId="2123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09" w:type="dxa"/>
            <w:vAlign w:val="center"/>
          </w:tcPr>
          <w:p w14:paraId="1EF7C8F7">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序号</w:t>
            </w:r>
          </w:p>
        </w:tc>
        <w:tc>
          <w:tcPr>
            <w:tcW w:w="1186" w:type="dxa"/>
            <w:vAlign w:val="center"/>
          </w:tcPr>
          <w:p w14:paraId="44F2AF21">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成品名称</w:t>
            </w:r>
          </w:p>
        </w:tc>
        <w:tc>
          <w:tcPr>
            <w:tcW w:w="5908" w:type="dxa"/>
            <w:vAlign w:val="center"/>
          </w:tcPr>
          <w:p w14:paraId="5E2156FF">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检测报告内容</w:t>
            </w:r>
          </w:p>
        </w:tc>
        <w:tc>
          <w:tcPr>
            <w:tcW w:w="840" w:type="dxa"/>
            <w:vAlign w:val="center"/>
          </w:tcPr>
          <w:p w14:paraId="75A04AD7">
            <w:pPr>
              <w:widowControl w:val="0"/>
              <w:spacing w:after="0" w:line="400" w:lineRule="exact"/>
              <w:jc w:val="center"/>
              <w:rPr>
                <w:rFonts w:ascii="宋体" w:hAnsi="宋体" w:eastAsia="宋体" w:cs="宋体"/>
                <w:b/>
                <w:bCs/>
                <w:color w:val="auto"/>
                <w:kern w:val="2"/>
                <w:highlight w:val="none"/>
              </w:rPr>
            </w:pPr>
            <w:r>
              <w:rPr>
                <w:rFonts w:hint="eastAsia" w:ascii="宋体" w:hAnsi="宋体" w:eastAsia="宋体" w:cs="宋体"/>
                <w:b/>
                <w:bCs/>
                <w:color w:val="auto"/>
                <w:kern w:val="2"/>
                <w:highlight w:val="none"/>
              </w:rPr>
              <w:t>备注</w:t>
            </w:r>
          </w:p>
        </w:tc>
      </w:tr>
      <w:tr w14:paraId="02BE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6F9E250A">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w:t>
            </w:r>
          </w:p>
        </w:tc>
        <w:tc>
          <w:tcPr>
            <w:tcW w:w="1186" w:type="dxa"/>
            <w:vAlign w:val="center"/>
          </w:tcPr>
          <w:p w14:paraId="73B1E31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床</w:t>
            </w:r>
          </w:p>
        </w:tc>
        <w:tc>
          <w:tcPr>
            <w:tcW w:w="5908" w:type="dxa"/>
            <w:vAlign w:val="center"/>
          </w:tcPr>
          <w:p w14:paraId="24E613BA">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43FC13E9">
            <w:pPr>
              <w:widowControl w:val="0"/>
              <w:spacing w:after="0" w:line="400" w:lineRule="exact"/>
              <w:jc w:val="center"/>
              <w:rPr>
                <w:rFonts w:ascii="宋体" w:hAnsi="宋体" w:eastAsia="宋体" w:cs="宋体"/>
                <w:color w:val="auto"/>
                <w:kern w:val="2"/>
                <w:highlight w:val="none"/>
              </w:rPr>
            </w:pPr>
          </w:p>
        </w:tc>
      </w:tr>
      <w:tr w14:paraId="6F4F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8A07C40">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2</w:t>
            </w:r>
          </w:p>
        </w:tc>
        <w:tc>
          <w:tcPr>
            <w:tcW w:w="1186" w:type="dxa"/>
            <w:vAlign w:val="center"/>
          </w:tcPr>
          <w:p w14:paraId="5CB2AD3C">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床头柜</w:t>
            </w:r>
          </w:p>
        </w:tc>
        <w:tc>
          <w:tcPr>
            <w:tcW w:w="5908" w:type="dxa"/>
            <w:vAlign w:val="center"/>
          </w:tcPr>
          <w:p w14:paraId="4A05C45F">
            <w:pPr>
              <w:pStyle w:val="8"/>
              <w:spacing w:line="400" w:lineRule="exact"/>
              <w:rPr>
                <w:rFonts w:ascii="宋体" w:hAnsi="宋体" w:eastAsia="宋体" w:cs="宋体"/>
                <w:color w:val="auto"/>
                <w:kern w:val="2"/>
                <w:highlight w:val="none"/>
              </w:rPr>
            </w:pPr>
            <w:r>
              <w:rPr>
                <w:rFonts w:hint="eastAsia" w:ascii="宋体" w:hAnsi="宋体" w:eastAsia="宋体" w:cs="宋体"/>
                <w:b w:val="0"/>
                <w:bCs w:val="0"/>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20946F26">
            <w:pPr>
              <w:widowControl w:val="0"/>
              <w:spacing w:after="0" w:line="400" w:lineRule="exact"/>
              <w:jc w:val="center"/>
              <w:rPr>
                <w:rFonts w:ascii="宋体" w:hAnsi="宋体" w:eastAsia="宋体" w:cs="宋体"/>
                <w:color w:val="auto"/>
                <w:kern w:val="2"/>
                <w:highlight w:val="none"/>
              </w:rPr>
            </w:pPr>
          </w:p>
        </w:tc>
      </w:tr>
      <w:tr w14:paraId="0587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09" w:type="dxa"/>
            <w:vAlign w:val="center"/>
          </w:tcPr>
          <w:p w14:paraId="6ECD280B">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3</w:t>
            </w:r>
          </w:p>
        </w:tc>
        <w:tc>
          <w:tcPr>
            <w:tcW w:w="1186" w:type="dxa"/>
            <w:vAlign w:val="center"/>
          </w:tcPr>
          <w:p w14:paraId="40FF63DF">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沙发</w:t>
            </w:r>
          </w:p>
        </w:tc>
        <w:tc>
          <w:tcPr>
            <w:tcW w:w="5908" w:type="dxa"/>
            <w:vAlign w:val="center"/>
          </w:tcPr>
          <w:p w14:paraId="16110851">
            <w:pPr>
              <w:widowControl w:val="0"/>
              <w:spacing w:after="0" w:line="400" w:lineRule="exact"/>
              <w:rPr>
                <w:rFonts w:ascii="宋体" w:hAnsi="宋体" w:eastAsia="宋体" w:cs="宋体"/>
                <w:color w:val="auto"/>
                <w:highlight w:val="none"/>
              </w:rPr>
            </w:pP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p w14:paraId="04E7CA71">
            <w:pPr>
              <w:widowControl w:val="0"/>
              <w:spacing w:after="0" w:line="400" w:lineRule="exact"/>
              <w:rPr>
                <w:rFonts w:ascii="宋体" w:hAnsi="宋体" w:eastAsia="宋体" w:cs="宋体"/>
                <w:color w:val="auto"/>
                <w:highlight w:val="none"/>
              </w:rPr>
            </w:pPr>
            <w:r>
              <w:rPr>
                <w:rFonts w:hint="eastAsia" w:ascii="宋体" w:hAnsi="宋体" w:eastAsia="宋体" w:cs="宋体"/>
                <w:color w:val="auto"/>
                <w:highlight w:val="none"/>
              </w:rPr>
              <w:t>◇泡沫塑料表观密度（座面）≥45kg/m³、（其他部位）≥35kg/m³，回弹性能(除慢回弹泡沫塑料外)≥50%，压缩永久变形≤6%。</w:t>
            </w:r>
          </w:p>
        </w:tc>
        <w:tc>
          <w:tcPr>
            <w:tcW w:w="840" w:type="dxa"/>
            <w:vAlign w:val="center"/>
          </w:tcPr>
          <w:p w14:paraId="514D533E">
            <w:pPr>
              <w:widowControl w:val="0"/>
              <w:spacing w:after="0" w:line="400" w:lineRule="exact"/>
              <w:jc w:val="center"/>
              <w:rPr>
                <w:rFonts w:ascii="宋体" w:hAnsi="宋体" w:eastAsia="宋体" w:cs="宋体"/>
                <w:color w:val="auto"/>
                <w:kern w:val="2"/>
                <w:highlight w:val="none"/>
              </w:rPr>
            </w:pPr>
          </w:p>
        </w:tc>
      </w:tr>
      <w:tr w14:paraId="5177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9BCAA57">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4</w:t>
            </w:r>
          </w:p>
        </w:tc>
        <w:tc>
          <w:tcPr>
            <w:tcW w:w="1186" w:type="dxa"/>
            <w:vAlign w:val="center"/>
          </w:tcPr>
          <w:p w14:paraId="548839B3">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岩板茶几</w:t>
            </w:r>
          </w:p>
        </w:tc>
        <w:tc>
          <w:tcPr>
            <w:tcW w:w="5908" w:type="dxa"/>
            <w:vAlign w:val="center"/>
          </w:tcPr>
          <w:p w14:paraId="6922E4D0">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27ADF35B">
            <w:pPr>
              <w:widowControl w:val="0"/>
              <w:spacing w:after="0" w:line="400" w:lineRule="exact"/>
              <w:jc w:val="center"/>
              <w:rPr>
                <w:rFonts w:ascii="宋体" w:hAnsi="宋体" w:eastAsia="宋体" w:cs="宋体"/>
                <w:color w:val="auto"/>
                <w:kern w:val="2"/>
                <w:highlight w:val="none"/>
              </w:rPr>
            </w:pPr>
          </w:p>
        </w:tc>
      </w:tr>
      <w:tr w14:paraId="596A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9" w:type="dxa"/>
            <w:vAlign w:val="center"/>
          </w:tcPr>
          <w:p w14:paraId="55589D81">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5</w:t>
            </w:r>
          </w:p>
        </w:tc>
        <w:tc>
          <w:tcPr>
            <w:tcW w:w="1186" w:type="dxa"/>
            <w:vAlign w:val="center"/>
          </w:tcPr>
          <w:p w14:paraId="6576FA8E">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岩板餐桌</w:t>
            </w:r>
          </w:p>
        </w:tc>
        <w:tc>
          <w:tcPr>
            <w:tcW w:w="5908" w:type="dxa"/>
            <w:vAlign w:val="center"/>
          </w:tcPr>
          <w:p w14:paraId="4E5EDDC8">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015E0340">
            <w:pPr>
              <w:widowControl w:val="0"/>
              <w:spacing w:after="0" w:line="400" w:lineRule="exact"/>
              <w:jc w:val="center"/>
              <w:rPr>
                <w:rFonts w:ascii="宋体" w:hAnsi="宋体" w:eastAsia="宋体" w:cs="宋体"/>
                <w:color w:val="auto"/>
                <w:highlight w:val="none"/>
                <w:lang w:bidi="ar"/>
              </w:rPr>
            </w:pPr>
          </w:p>
        </w:tc>
      </w:tr>
      <w:tr w14:paraId="5D5A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5341DA80">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6</w:t>
            </w:r>
          </w:p>
        </w:tc>
        <w:tc>
          <w:tcPr>
            <w:tcW w:w="1186" w:type="dxa"/>
            <w:vAlign w:val="center"/>
          </w:tcPr>
          <w:p w14:paraId="2C556255">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highlight w:val="none"/>
              </w:rPr>
              <w:t>餐椅</w:t>
            </w:r>
          </w:p>
        </w:tc>
        <w:tc>
          <w:tcPr>
            <w:tcW w:w="5908" w:type="dxa"/>
            <w:vAlign w:val="center"/>
          </w:tcPr>
          <w:p w14:paraId="495062B9">
            <w:pPr>
              <w:widowControl w:val="0"/>
              <w:spacing w:after="0" w:line="400" w:lineRule="exact"/>
              <w:rPr>
                <w:rFonts w:ascii="宋体" w:hAnsi="宋体" w:eastAsia="宋体" w:cs="宋体"/>
                <w:color w:val="auto"/>
                <w:kern w:val="2"/>
                <w:highlight w:val="none"/>
              </w:rPr>
            </w:pPr>
            <w:r>
              <w:rPr>
                <w:rFonts w:hint="eastAsia" w:ascii="宋体" w:hAnsi="宋体" w:eastAsia="宋体" w:cs="宋体"/>
                <w:color w:val="auto"/>
                <w:kern w:val="2"/>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15366552">
            <w:pPr>
              <w:widowControl w:val="0"/>
              <w:spacing w:after="0" w:line="400" w:lineRule="exact"/>
              <w:jc w:val="center"/>
              <w:rPr>
                <w:rFonts w:ascii="宋体" w:hAnsi="宋体" w:eastAsia="宋体" w:cs="宋体"/>
                <w:color w:val="auto"/>
                <w:highlight w:val="none"/>
                <w:lang w:bidi="ar"/>
              </w:rPr>
            </w:pPr>
          </w:p>
        </w:tc>
      </w:tr>
      <w:tr w14:paraId="586C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7DFA6898">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7</w:t>
            </w:r>
          </w:p>
        </w:tc>
        <w:tc>
          <w:tcPr>
            <w:tcW w:w="1186" w:type="dxa"/>
            <w:vAlign w:val="center"/>
          </w:tcPr>
          <w:p w14:paraId="1D299EE2">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木椅</w:t>
            </w:r>
          </w:p>
        </w:tc>
        <w:tc>
          <w:tcPr>
            <w:tcW w:w="5908" w:type="dxa"/>
            <w:vAlign w:val="center"/>
          </w:tcPr>
          <w:p w14:paraId="23AF41C7">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4EA126A5">
            <w:pPr>
              <w:widowControl w:val="0"/>
              <w:spacing w:after="0" w:line="400" w:lineRule="exact"/>
              <w:jc w:val="center"/>
              <w:rPr>
                <w:rFonts w:ascii="宋体" w:hAnsi="宋体" w:eastAsia="宋体" w:cs="宋体"/>
                <w:color w:val="auto"/>
                <w:highlight w:val="none"/>
                <w:lang w:bidi="ar"/>
              </w:rPr>
            </w:pPr>
          </w:p>
        </w:tc>
      </w:tr>
      <w:tr w14:paraId="550D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5122B65B">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8</w:t>
            </w:r>
          </w:p>
        </w:tc>
        <w:tc>
          <w:tcPr>
            <w:tcW w:w="1186" w:type="dxa"/>
            <w:vAlign w:val="center"/>
          </w:tcPr>
          <w:p w14:paraId="496EE59B">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书桌</w:t>
            </w:r>
          </w:p>
        </w:tc>
        <w:tc>
          <w:tcPr>
            <w:tcW w:w="5908" w:type="dxa"/>
            <w:vAlign w:val="center"/>
          </w:tcPr>
          <w:p w14:paraId="2F7B4916">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15ABC993">
            <w:pPr>
              <w:widowControl w:val="0"/>
              <w:spacing w:after="0" w:line="400" w:lineRule="exact"/>
              <w:jc w:val="center"/>
              <w:rPr>
                <w:rFonts w:ascii="宋体" w:hAnsi="宋体" w:eastAsia="宋体" w:cs="宋体"/>
                <w:color w:val="auto"/>
                <w:highlight w:val="none"/>
                <w:lang w:bidi="ar"/>
              </w:rPr>
            </w:pPr>
          </w:p>
        </w:tc>
      </w:tr>
      <w:tr w14:paraId="0181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420E40A7">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9</w:t>
            </w:r>
          </w:p>
        </w:tc>
        <w:tc>
          <w:tcPr>
            <w:tcW w:w="1186" w:type="dxa"/>
            <w:vAlign w:val="center"/>
          </w:tcPr>
          <w:p w14:paraId="4F997E03">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衣柜</w:t>
            </w:r>
          </w:p>
        </w:tc>
        <w:tc>
          <w:tcPr>
            <w:tcW w:w="5908" w:type="dxa"/>
            <w:vAlign w:val="center"/>
          </w:tcPr>
          <w:p w14:paraId="7F418D0E">
            <w:pPr>
              <w:pStyle w:val="8"/>
              <w:spacing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b w:val="0"/>
                <w:bCs w:val="0"/>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321BFE07">
            <w:pPr>
              <w:widowControl w:val="0"/>
              <w:spacing w:after="0" w:line="400" w:lineRule="exact"/>
              <w:jc w:val="center"/>
              <w:rPr>
                <w:rFonts w:ascii="宋体" w:hAnsi="宋体" w:eastAsia="宋体" w:cs="宋体"/>
                <w:color w:val="auto"/>
                <w:highlight w:val="none"/>
                <w:lang w:bidi="ar"/>
              </w:rPr>
            </w:pPr>
          </w:p>
        </w:tc>
      </w:tr>
      <w:tr w14:paraId="4CA8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627C40A8">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10</w:t>
            </w:r>
          </w:p>
        </w:tc>
        <w:tc>
          <w:tcPr>
            <w:tcW w:w="1186" w:type="dxa"/>
            <w:vAlign w:val="center"/>
          </w:tcPr>
          <w:p w14:paraId="495F00B6">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床垫</w:t>
            </w:r>
          </w:p>
        </w:tc>
        <w:tc>
          <w:tcPr>
            <w:tcW w:w="5908" w:type="dxa"/>
            <w:vAlign w:val="center"/>
          </w:tcPr>
          <w:p w14:paraId="1CD828F3">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产品寿命（铺面，≥6万次；边部，≥1万次；耐久性试验时和试验结束后，面料无破损、无断簧、缝边无脱线、铺垫料无破损或移位）;产品有害物质（甲醛释放量、苯、甲苯、二甲苯、TVOC）均未检出。</w:t>
            </w:r>
          </w:p>
        </w:tc>
        <w:tc>
          <w:tcPr>
            <w:tcW w:w="840" w:type="dxa"/>
            <w:vAlign w:val="center"/>
          </w:tcPr>
          <w:p w14:paraId="48D61148">
            <w:pPr>
              <w:widowControl w:val="0"/>
              <w:spacing w:after="0" w:line="400" w:lineRule="exact"/>
              <w:jc w:val="center"/>
              <w:rPr>
                <w:rFonts w:ascii="宋体" w:hAnsi="宋体" w:eastAsia="宋体" w:cs="宋体"/>
                <w:color w:val="auto"/>
                <w:highlight w:val="none"/>
                <w:lang w:bidi="ar"/>
              </w:rPr>
            </w:pPr>
          </w:p>
        </w:tc>
      </w:tr>
      <w:tr w14:paraId="3987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7922DE96">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11</w:t>
            </w:r>
          </w:p>
        </w:tc>
        <w:tc>
          <w:tcPr>
            <w:tcW w:w="1186" w:type="dxa"/>
            <w:vAlign w:val="center"/>
          </w:tcPr>
          <w:p w14:paraId="37EA1200">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rPr>
              <w:t>窗帘</w:t>
            </w:r>
          </w:p>
        </w:tc>
        <w:tc>
          <w:tcPr>
            <w:tcW w:w="5908" w:type="dxa"/>
            <w:vAlign w:val="center"/>
          </w:tcPr>
          <w:p w14:paraId="6F3943FA">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rPr>
              <w:t>◇甲醛含量未检出；染色牢度（耐水、耐酸汗渍、耐碱汗渍）变色均≥4级、沾色均≥4级，耐干摩擦经向≥4级、纬向≥4级；异味检测合格；可分解致癌芳香胺染料未检出。</w:t>
            </w:r>
          </w:p>
        </w:tc>
        <w:tc>
          <w:tcPr>
            <w:tcW w:w="840" w:type="dxa"/>
            <w:vAlign w:val="center"/>
          </w:tcPr>
          <w:p w14:paraId="187D5781">
            <w:pPr>
              <w:widowControl w:val="0"/>
              <w:spacing w:after="0" w:line="400" w:lineRule="exact"/>
              <w:jc w:val="center"/>
              <w:rPr>
                <w:rFonts w:ascii="宋体" w:hAnsi="宋体" w:eastAsia="宋体" w:cs="宋体"/>
                <w:color w:val="auto"/>
                <w:highlight w:val="none"/>
                <w:lang w:bidi="ar"/>
              </w:rPr>
            </w:pPr>
          </w:p>
        </w:tc>
      </w:tr>
      <w:tr w14:paraId="1CA6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704A286D">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12</w:t>
            </w:r>
          </w:p>
        </w:tc>
        <w:tc>
          <w:tcPr>
            <w:tcW w:w="1186" w:type="dxa"/>
            <w:vAlign w:val="center"/>
          </w:tcPr>
          <w:p w14:paraId="08918BA4">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电视机柜</w:t>
            </w:r>
          </w:p>
        </w:tc>
        <w:tc>
          <w:tcPr>
            <w:tcW w:w="5908" w:type="dxa"/>
            <w:vAlign w:val="center"/>
          </w:tcPr>
          <w:p w14:paraId="7B5E6857">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279F9336">
            <w:pPr>
              <w:widowControl w:val="0"/>
              <w:spacing w:after="0" w:line="400" w:lineRule="exact"/>
              <w:jc w:val="center"/>
              <w:rPr>
                <w:rFonts w:ascii="宋体" w:hAnsi="宋体" w:eastAsia="宋体" w:cs="宋体"/>
                <w:color w:val="auto"/>
                <w:highlight w:val="none"/>
                <w:lang w:bidi="ar"/>
              </w:rPr>
            </w:pPr>
          </w:p>
        </w:tc>
      </w:tr>
      <w:tr w14:paraId="7A0F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47FDEED8">
            <w:pPr>
              <w:widowControl w:val="0"/>
              <w:spacing w:after="0" w:line="40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13</w:t>
            </w:r>
          </w:p>
        </w:tc>
        <w:tc>
          <w:tcPr>
            <w:tcW w:w="1186" w:type="dxa"/>
            <w:vAlign w:val="center"/>
          </w:tcPr>
          <w:p w14:paraId="70C6E528">
            <w:pPr>
              <w:widowControl w:val="0"/>
              <w:spacing w:after="0" w:line="400" w:lineRule="exact"/>
              <w:jc w:val="center"/>
              <w:rPr>
                <w:rFonts w:ascii="宋体" w:hAnsi="宋体" w:eastAsia="宋体" w:cs="宋体"/>
                <w:color w:val="auto"/>
                <w:highlight w:val="none"/>
                <w:lang w:bidi="ar"/>
              </w:rPr>
            </w:pPr>
            <w:r>
              <w:rPr>
                <w:rFonts w:hint="eastAsia" w:ascii="宋体" w:hAnsi="宋体" w:eastAsia="宋体" w:cs="宋体"/>
                <w:color w:val="auto"/>
                <w:highlight w:val="none"/>
                <w:lang w:bidi="ar"/>
              </w:rPr>
              <w:t>鞋柜</w:t>
            </w:r>
          </w:p>
        </w:tc>
        <w:tc>
          <w:tcPr>
            <w:tcW w:w="5908" w:type="dxa"/>
            <w:vAlign w:val="center"/>
          </w:tcPr>
          <w:p w14:paraId="73EFAF30">
            <w:pPr>
              <w:widowControl w:val="0"/>
              <w:spacing w:after="0" w:line="400" w:lineRule="exact"/>
              <w:rPr>
                <w:rFonts w:ascii="宋体" w:hAnsi="宋体" w:eastAsia="宋体" w:cs="宋体"/>
                <w:color w:val="auto"/>
                <w:highlight w:val="none"/>
                <w:lang w:bidi="ar"/>
              </w:rPr>
            </w:pPr>
            <w:r>
              <w:rPr>
                <w:rFonts w:hint="eastAsia" w:ascii="宋体" w:hAnsi="宋体" w:eastAsia="宋体" w:cs="宋体"/>
                <w:color w:val="auto"/>
                <w:highlight w:val="none"/>
                <w:lang w:bidi="ar"/>
              </w:rPr>
              <w:t>◇</w:t>
            </w:r>
            <w:r>
              <w:rPr>
                <w:rFonts w:hint="eastAsia" w:ascii="宋体" w:hAnsi="宋体" w:eastAsia="宋体" w:cs="宋体"/>
                <w:color w:val="auto"/>
                <w:highlight w:val="none"/>
              </w:rPr>
              <w:t>产品有害物质（甲醛释放量、苯、甲苯、二甲苯、TVOC)均未检出；家具涂层可迁移元素（铅、镉、铬、汞、锑、钡、硒、砷）均未检出；重金属含量（可溶性铅、可溶性镉、可溶性铬、可溶性汞）均未检出；防霉菌等级达到0级或1级；氨释放量未检出。</w:t>
            </w:r>
          </w:p>
        </w:tc>
        <w:tc>
          <w:tcPr>
            <w:tcW w:w="840" w:type="dxa"/>
            <w:vAlign w:val="center"/>
          </w:tcPr>
          <w:p w14:paraId="40BE42EC">
            <w:pPr>
              <w:widowControl w:val="0"/>
              <w:spacing w:after="0" w:line="400" w:lineRule="exact"/>
              <w:jc w:val="center"/>
              <w:rPr>
                <w:rFonts w:ascii="宋体" w:hAnsi="宋体" w:eastAsia="宋体" w:cs="宋体"/>
                <w:color w:val="auto"/>
                <w:highlight w:val="none"/>
                <w:lang w:bidi="ar"/>
              </w:rPr>
            </w:pPr>
          </w:p>
        </w:tc>
      </w:tr>
    </w:tbl>
    <w:p w14:paraId="7F0434B5">
      <w:pPr>
        <w:widowControl w:val="0"/>
        <w:spacing w:after="0" w:line="360" w:lineRule="auto"/>
        <w:ind w:firstLine="480" w:firstLineChars="200"/>
        <w:jc w:val="both"/>
        <w:rPr>
          <w:rFonts w:ascii="宋体" w:hAnsi="宋体" w:eastAsia="宋体" w:cs="宋体"/>
          <w:b/>
          <w:bCs/>
          <w:color w:val="auto"/>
          <w:highlight w:val="none"/>
          <w:lang w:bidi="ar"/>
        </w:rPr>
      </w:pPr>
      <w:r>
        <w:rPr>
          <w:rFonts w:hint="eastAsia" w:ascii="宋体" w:hAnsi="宋体" w:eastAsia="宋体" w:cs="宋体"/>
          <w:color w:val="auto"/>
          <w:kern w:val="2"/>
          <w:highlight w:val="none"/>
        </w:rPr>
        <w:t>注：要求以上标注“</w:t>
      </w:r>
      <w:r>
        <w:rPr>
          <w:rFonts w:hint="eastAsia" w:ascii="宋体" w:hAnsi="宋体" w:eastAsia="宋体" w:cs="宋体"/>
          <w:color w:val="auto"/>
          <w:highlight w:val="none"/>
          <w:lang w:bidi="ar"/>
        </w:rPr>
        <w:t>◆</w:t>
      </w:r>
      <w:r>
        <w:rPr>
          <w:rFonts w:hint="eastAsia" w:ascii="宋体" w:hAnsi="宋体" w:eastAsia="宋体" w:cs="宋体"/>
          <w:color w:val="auto"/>
          <w:kern w:val="2"/>
          <w:highlight w:val="none"/>
        </w:rPr>
        <w:t>”的成品指标须投标人提供2023年1月1日至本项目投标截止时间之前带有“CMA和CNAS”标志国家认可的第三方质量检验检测中心出具的成品抽样检验报告扫描件及官方网站查询截图证明</w:t>
      </w:r>
      <w:r>
        <w:rPr>
          <w:rFonts w:hint="eastAsia" w:ascii="宋体" w:hAnsi="宋体" w:eastAsia="宋体" w:cs="宋体"/>
          <w:color w:val="auto"/>
          <w:kern w:val="2"/>
          <w:highlight w:val="none"/>
          <w:lang w:eastAsia="zh-CN"/>
        </w:rPr>
        <w:t>。</w:t>
      </w:r>
      <w:r>
        <w:rPr>
          <w:rFonts w:hint="eastAsia" w:ascii="宋体" w:hAnsi="宋体" w:eastAsia="宋体" w:cs="宋体"/>
          <w:color w:val="auto"/>
          <w:kern w:val="2"/>
          <w:highlight w:val="none"/>
        </w:rPr>
        <w:t>标注◇的原材料指标要求投标人在商务技术文件中根据自己产品实际满足情况做出承诺，满足技术要求的指标承诺“满足招标文件技术要求，且在中标后提供检测报告原件”，</w:t>
      </w:r>
      <w:r>
        <w:rPr>
          <w:rFonts w:hint="eastAsia" w:ascii="宋体" w:hAnsi="宋体" w:eastAsia="宋体" w:cs="宋体"/>
          <w:color w:val="auto"/>
          <w:kern w:val="2"/>
          <w:highlight w:val="none"/>
          <w:lang w:val="en-US" w:eastAsia="zh-CN"/>
        </w:rPr>
        <w:t>在家具生产过程中应由第三方检测机构在原材料进货、生产组装及成品出厂验收等阶段，按一定比例进行质量、环保抽样检测，对不同单体的不同部位进行随机抽取检测，同一部位破坏性抽取检测不超过一次，并向采购人出具合格检验报告。</w:t>
      </w:r>
      <w:r>
        <w:rPr>
          <w:rFonts w:hint="eastAsia" w:ascii="宋体" w:hAnsi="宋体" w:eastAsia="宋体" w:cs="宋体"/>
          <w:color w:val="auto"/>
          <w:kern w:val="2"/>
          <w:highlight w:val="none"/>
        </w:rPr>
        <w:t>不满足技术要求的指标注明。</w:t>
      </w:r>
    </w:p>
    <w:p w14:paraId="752A96C2">
      <w:pPr>
        <w:widowControl w:val="0"/>
        <w:spacing w:after="0" w:line="360" w:lineRule="auto"/>
        <w:rPr>
          <w:rFonts w:ascii="宋体" w:hAnsi="宋体" w:eastAsia="宋体" w:cs="宋体"/>
          <w:b/>
          <w:bCs/>
          <w:color w:val="auto"/>
          <w:highlight w:val="none"/>
          <w:lang w:bidi="ar"/>
        </w:rPr>
      </w:pPr>
      <w:r>
        <w:rPr>
          <w:rFonts w:hint="eastAsia" w:ascii="宋体" w:hAnsi="宋体" w:eastAsia="宋体" w:cs="宋体"/>
          <w:b/>
          <w:bCs/>
          <w:color w:val="auto"/>
          <w:highlight w:val="none"/>
          <w:lang w:val="en-US" w:eastAsia="zh-CN" w:bidi="ar"/>
        </w:rPr>
        <w:t>5.</w:t>
      </w:r>
      <w:r>
        <w:rPr>
          <w:rFonts w:hint="eastAsia" w:ascii="宋体" w:hAnsi="宋体" w:eastAsia="宋体" w:cs="宋体"/>
          <w:b/>
          <w:bCs/>
          <w:color w:val="auto"/>
          <w:kern w:val="2"/>
          <w:highlight w:val="none"/>
          <w:lang w:eastAsia="zh-CN"/>
        </w:rPr>
        <w:t>标项</w:t>
      </w:r>
      <w:r>
        <w:rPr>
          <w:rFonts w:hint="eastAsia" w:ascii="宋体" w:hAnsi="宋体" w:eastAsia="宋体" w:cs="宋体"/>
          <w:b/>
          <w:bCs/>
          <w:color w:val="auto"/>
          <w:kern w:val="2"/>
          <w:highlight w:val="none"/>
          <w:lang w:val="en-US" w:eastAsia="zh-CN"/>
        </w:rPr>
        <w:t>1、标项2</w:t>
      </w:r>
      <w:r>
        <w:rPr>
          <w:rFonts w:hint="eastAsia" w:ascii="宋体" w:hAnsi="宋体" w:eastAsia="宋体" w:cs="宋体"/>
          <w:b/>
          <w:bCs/>
          <w:color w:val="auto"/>
          <w:highlight w:val="none"/>
          <w:lang w:bidi="ar"/>
        </w:rPr>
        <w:t>整体要求</w:t>
      </w:r>
    </w:p>
    <w:p w14:paraId="2CCD0CDF">
      <w:pPr>
        <w:widowControl w:val="0"/>
        <w:spacing w:after="0" w:line="360" w:lineRule="auto"/>
        <w:ind w:firstLine="482" w:firstLineChars="200"/>
        <w:jc w:val="both"/>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▲1</w:t>
      </w:r>
      <w:r>
        <w:rPr>
          <w:rFonts w:hint="eastAsia" w:ascii="宋体" w:hAnsi="宋体" w:eastAsia="宋体" w:cs="宋体"/>
          <w:b/>
          <w:bCs/>
          <w:color w:val="auto"/>
          <w:highlight w:val="none"/>
          <w:lang w:val="en-US" w:eastAsia="zh-CN" w:bidi="ar"/>
        </w:rPr>
        <w:t>.</w:t>
      </w:r>
      <w:r>
        <w:rPr>
          <w:rFonts w:hint="eastAsia" w:ascii="宋体" w:hAnsi="宋体" w:eastAsia="宋体" w:cs="宋体"/>
          <w:b/>
          <w:bCs/>
          <w:color w:val="auto"/>
          <w:highlight w:val="none"/>
          <w:lang w:bidi="ar"/>
        </w:rPr>
        <w:t>数量调整：采购人保留合同履行中调整部分采购方案、定购货物数量的权利，投标人须对货物明细报价，采购人按投标单价不变的前提下进行货物数量的调整</w:t>
      </w:r>
      <w:r>
        <w:rPr>
          <w:rFonts w:hint="eastAsia" w:ascii="宋体" w:hAnsi="宋体" w:eastAsia="宋体" w:cs="宋体"/>
          <w:b/>
          <w:bCs/>
          <w:color w:val="auto"/>
          <w:highlight w:val="none"/>
          <w:lang w:eastAsia="zh-CN" w:bidi="ar"/>
        </w:rPr>
        <w:t>（</w:t>
      </w:r>
      <w:r>
        <w:rPr>
          <w:rFonts w:hint="eastAsia" w:ascii="宋体" w:hAnsi="宋体" w:eastAsia="宋体" w:cs="宋体"/>
          <w:b/>
          <w:bCs/>
          <w:color w:val="auto"/>
          <w:highlight w:val="none"/>
          <w:lang w:bidi="ar"/>
        </w:rPr>
        <w:t>可能存在部分品类整体取消的情况</w:t>
      </w:r>
      <w:r>
        <w:rPr>
          <w:rFonts w:hint="eastAsia" w:ascii="宋体" w:hAnsi="宋体" w:eastAsia="宋体" w:cs="宋体"/>
          <w:b/>
          <w:bCs/>
          <w:color w:val="auto"/>
          <w:highlight w:val="none"/>
          <w:lang w:eastAsia="zh-CN" w:bidi="ar"/>
        </w:rPr>
        <w:t>）</w:t>
      </w:r>
      <w:r>
        <w:rPr>
          <w:rFonts w:hint="eastAsia" w:ascii="宋体" w:hAnsi="宋体" w:eastAsia="宋体" w:cs="宋体"/>
          <w:b/>
          <w:bCs/>
          <w:color w:val="auto"/>
          <w:highlight w:val="none"/>
          <w:lang w:bidi="ar"/>
        </w:rPr>
        <w:t>，每个标项内减少的货物总金额不超过该标项中标总额的20</w:t>
      </w:r>
      <w:r>
        <w:rPr>
          <w:rFonts w:hint="eastAsia" w:ascii="宋体" w:hAnsi="宋体" w:eastAsia="宋体" w:cs="宋体"/>
          <w:b/>
          <w:bCs/>
          <w:color w:val="auto"/>
          <w:highlight w:val="none"/>
          <w:lang w:val="en-US" w:eastAsia="zh-CN" w:bidi="ar"/>
        </w:rPr>
        <w:t>%</w:t>
      </w:r>
      <w:r>
        <w:rPr>
          <w:rFonts w:hint="eastAsia" w:ascii="宋体" w:hAnsi="宋体" w:eastAsia="宋体" w:cs="宋体"/>
          <w:b/>
          <w:bCs/>
          <w:color w:val="auto"/>
          <w:highlight w:val="none"/>
          <w:lang w:bidi="ar"/>
        </w:rPr>
        <w:t>时，投标人不得拒绝。合同最终结算金额按实际采购量乘以投标单价进行计算，但最终结算价不得高于该标项预算金额，高于该标项预算金额的，按预算金额结算。在结算总价可能高于预算金额时，中标人有义务提醒采购人并有权拒绝高于预算金额部分的供货要求，因中标人未及时提醒到位造成的按预算金额结算的损失，由中标人自行承担。</w:t>
      </w:r>
    </w:p>
    <w:p w14:paraId="60CDB01A">
      <w:pPr>
        <w:widowControl w:val="0"/>
        <w:spacing w:after="0" w:line="360" w:lineRule="auto"/>
        <w:ind w:firstLine="482" w:firstLineChars="200"/>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▲2</w:t>
      </w:r>
      <w:r>
        <w:rPr>
          <w:rFonts w:hint="eastAsia" w:ascii="宋体" w:hAnsi="宋体" w:eastAsia="宋体" w:cs="宋体"/>
          <w:b/>
          <w:bCs/>
          <w:color w:val="auto"/>
          <w:highlight w:val="none"/>
          <w:lang w:val="en-US" w:eastAsia="zh-CN" w:bidi="ar"/>
        </w:rPr>
        <w:t>.</w:t>
      </w:r>
      <w:r>
        <w:rPr>
          <w:rFonts w:hint="eastAsia" w:ascii="宋体" w:hAnsi="宋体" w:eastAsia="宋体" w:cs="宋体"/>
          <w:b/>
          <w:bCs/>
          <w:color w:val="auto"/>
          <w:highlight w:val="none"/>
          <w:lang w:bidi="ar"/>
        </w:rPr>
        <w:t>中标后所有产品的颜色由采购人指定且确认后生产。</w:t>
      </w:r>
    </w:p>
    <w:p w14:paraId="16594EC6">
      <w:pPr>
        <w:widowControl w:val="0"/>
        <w:spacing w:after="0" w:line="360" w:lineRule="auto"/>
        <w:ind w:firstLine="482" w:firstLineChars="200"/>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▲3</w:t>
      </w:r>
      <w:r>
        <w:rPr>
          <w:rFonts w:hint="eastAsia" w:ascii="宋体" w:hAnsi="宋体" w:eastAsia="宋体" w:cs="宋体"/>
          <w:b/>
          <w:bCs/>
          <w:color w:val="auto"/>
          <w:highlight w:val="none"/>
          <w:lang w:val="en-US" w:eastAsia="zh-CN" w:bidi="ar"/>
        </w:rPr>
        <w:t>.</w:t>
      </w:r>
      <w:r>
        <w:rPr>
          <w:rFonts w:hint="eastAsia" w:ascii="宋体" w:hAnsi="宋体" w:eastAsia="宋体" w:cs="宋体"/>
          <w:b/>
          <w:bCs/>
          <w:color w:val="auto"/>
          <w:highlight w:val="none"/>
          <w:lang w:bidi="ar"/>
        </w:rPr>
        <w:t>所有产品的外形尺寸偏差±10厘米以上，则做废标处理。</w:t>
      </w:r>
    </w:p>
    <w:p w14:paraId="46116421">
      <w:pPr>
        <w:widowControl w:val="0"/>
        <w:spacing w:after="0" w:line="360" w:lineRule="auto"/>
        <w:ind w:firstLine="482" w:firstLineChars="200"/>
        <w:rPr>
          <w:rFonts w:ascii="宋体" w:hAnsi="宋体" w:eastAsia="宋体" w:cs="宋体"/>
          <w:b/>
          <w:bCs/>
          <w:color w:val="auto"/>
          <w:szCs w:val="32"/>
          <w:highlight w:val="none"/>
        </w:rPr>
      </w:pPr>
      <w:r>
        <w:rPr>
          <w:rFonts w:hint="eastAsia" w:ascii="宋体" w:hAnsi="宋体" w:eastAsia="宋体" w:cs="宋体"/>
          <w:b/>
          <w:bCs/>
          <w:color w:val="auto"/>
          <w:highlight w:val="none"/>
          <w:lang w:bidi="ar"/>
        </w:rPr>
        <w:t>▲4</w:t>
      </w:r>
      <w:r>
        <w:rPr>
          <w:rFonts w:hint="eastAsia" w:ascii="宋体" w:hAnsi="宋体" w:eastAsia="宋体" w:cs="宋体"/>
          <w:b/>
          <w:bCs/>
          <w:color w:val="auto"/>
          <w:highlight w:val="none"/>
          <w:lang w:val="en-US" w:eastAsia="zh-CN" w:bidi="ar"/>
        </w:rPr>
        <w:t>.</w:t>
      </w:r>
      <w:r>
        <w:rPr>
          <w:rFonts w:hint="eastAsia" w:ascii="宋体" w:hAnsi="宋体" w:eastAsia="宋体" w:cs="宋体"/>
          <w:b/>
          <w:bCs/>
          <w:color w:val="auto"/>
          <w:highlight w:val="none"/>
          <w:lang w:bidi="ar"/>
        </w:rPr>
        <w:t>投标人承诺所有投标产品不侵犯他人专利。</w:t>
      </w:r>
    </w:p>
    <w:p w14:paraId="216602BA">
      <w:pPr>
        <w:widowControl w:val="0"/>
        <w:spacing w:after="0" w:line="360" w:lineRule="auto"/>
        <w:jc w:val="both"/>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（二）商务需求</w:t>
      </w:r>
      <w:r>
        <w:rPr>
          <w:rFonts w:hint="eastAsia" w:ascii="宋体" w:hAnsi="宋体" w:eastAsia="宋体" w:cs="宋体"/>
          <w:b/>
          <w:bCs/>
          <w:color w:val="auto"/>
          <w:kern w:val="2"/>
          <w:highlight w:val="none"/>
          <w:lang w:eastAsia="zh-CN"/>
        </w:rPr>
        <w:t>（标项</w:t>
      </w:r>
      <w:r>
        <w:rPr>
          <w:rFonts w:hint="eastAsia" w:ascii="宋体" w:hAnsi="宋体" w:eastAsia="宋体" w:cs="宋体"/>
          <w:b/>
          <w:bCs/>
          <w:color w:val="auto"/>
          <w:kern w:val="2"/>
          <w:highlight w:val="none"/>
          <w:lang w:val="en-US" w:eastAsia="zh-CN"/>
        </w:rPr>
        <w:t>1、标项2）：</w:t>
      </w:r>
    </w:p>
    <w:p w14:paraId="58A4B1C9">
      <w:pPr>
        <w:widowControl w:val="0"/>
        <w:spacing w:after="0" w:line="360" w:lineRule="auto"/>
        <w:ind w:firstLine="482" w:firstLineChars="200"/>
        <w:jc w:val="both"/>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2.1交货时间及地点</w:t>
      </w:r>
    </w:p>
    <w:p w14:paraId="1BB0C838">
      <w:pPr>
        <w:widowControl w:val="0"/>
        <w:spacing w:after="0" w:line="360" w:lineRule="auto"/>
        <w:ind w:firstLine="482" w:firstLineChars="200"/>
        <w:jc w:val="both"/>
        <w:rPr>
          <w:rFonts w:hint="eastAsia" w:ascii="宋体" w:hAnsi="宋体" w:eastAsia="宋体" w:cs="宋体"/>
          <w:color w:val="auto"/>
          <w:kern w:val="2"/>
          <w:highlight w:val="none"/>
        </w:rPr>
      </w:pPr>
      <w:r>
        <w:rPr>
          <w:rFonts w:hint="eastAsia" w:ascii="宋体" w:hAnsi="宋体" w:eastAsia="宋体" w:cs="宋体"/>
          <w:b/>
          <w:bCs/>
          <w:color w:val="auto"/>
          <w:kern w:val="2"/>
          <w:highlight w:val="none"/>
        </w:rPr>
        <w:t>▲(1)投标人应在合同签订后接到甲方通知30个日历天内完成供货、安装、调试等。</w:t>
      </w:r>
    </w:p>
    <w:p w14:paraId="20F5902D">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（2）供应商所提供的货物应符合国家相关质量标准；货物名称、型号规格、数量、颜色、外观等符合采购人要求，不得有损毁或损坏。</w:t>
      </w:r>
    </w:p>
    <w:p w14:paraId="45685843">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(3)交货地点：采购人指定地点。</w:t>
      </w:r>
    </w:p>
    <w:p w14:paraId="392B82A6">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(4)投标人提供的物品，必须符合招标文件要求、原包装送达采购人；如有不符，采购人可以无条件退货，所造成的损失由投标人承担。更换后的零部件质保期按更换日起顺延。</w:t>
      </w:r>
    </w:p>
    <w:p w14:paraId="60F3274F">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2.2质保期及售后技术服务要求</w:t>
      </w:r>
    </w:p>
    <w:p w14:paraId="2709FEC3">
      <w:pPr>
        <w:widowControl w:val="0"/>
        <w:spacing w:after="0" w:line="360" w:lineRule="auto"/>
        <w:ind w:firstLine="482" w:firstLineChars="200"/>
        <w:jc w:val="both"/>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▲(1)质保期：不少于5年。</w:t>
      </w:r>
    </w:p>
    <w:p w14:paraId="2A6E7C32">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质量保证期内提供免费上门维护、升级服务，如设备出现故障，供货单位在接到电话后，立即响应，2小时以内到现场处理，12小时内修复，现场不能修复的，必须采取无偿提供采购物品的备用件或整机等措施，保证用户单位的正常使用。</w:t>
      </w:r>
    </w:p>
    <w:p w14:paraId="3ED4D051">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(3)供应商应提供技术支持方案，内容由供应商根据实际选择以下要点：服务机构（维保点）的地址、人员状况、维修能力、联系方式、营业执照、公司资质材料、相关案例等。</w:t>
      </w:r>
    </w:p>
    <w:p w14:paraId="5440E6E5">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(4)完整准确地表述原厂家的标准售后服务承诺（范围、标准及期限等）、供应商可能增加的服务承诺等。</w:t>
      </w:r>
    </w:p>
    <w:p w14:paraId="6004FB07">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(5)明示服务承诺可能涉及的前提设定和费用，否则将被认为是无条件和免费的。</w:t>
      </w:r>
    </w:p>
    <w:p w14:paraId="5EDF9D57">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2.3项目实施计划</w:t>
      </w:r>
    </w:p>
    <w:p w14:paraId="354D2107">
      <w:pPr>
        <w:widowControl w:val="0"/>
        <w:spacing w:after="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项目实施的组织工作方案：工作时间进度表、工作程序或步骤、管理和协调方法、送货方案等。</w:t>
      </w:r>
    </w:p>
    <w:p w14:paraId="2DBE9B3F">
      <w:pPr>
        <w:widowControl w:val="0"/>
        <w:spacing w:after="0" w:line="360" w:lineRule="auto"/>
        <w:ind w:firstLine="482" w:firstLineChars="200"/>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▲2.4付款方式</w:t>
      </w:r>
    </w:p>
    <w:p w14:paraId="4B918E86">
      <w:pPr>
        <w:widowControl w:val="0"/>
        <w:spacing w:after="0" w:line="360" w:lineRule="auto"/>
        <w:ind w:firstLine="482" w:firstLineChars="200"/>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（1）合同签订后中标人支付总价的1%作为履约保证金。</w:t>
      </w:r>
    </w:p>
    <w:p w14:paraId="5BA70C12">
      <w:pPr>
        <w:widowControl w:val="0"/>
        <w:spacing w:after="0" w:line="360" w:lineRule="auto"/>
        <w:ind w:firstLine="482" w:firstLineChars="200"/>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2）合同签订以及具备实施条件后，采购人向中标人支付合同总价的40%，作为预付款。在采购人通知中标人提供的采购品目全部安装调试到位后，由中标人通知采购人验收，采购人验收合格后，按各采购品类“实际数量”乘以“中标单价”计算加总，向中标人支付剩余尾款。</w:t>
      </w:r>
    </w:p>
    <w:p w14:paraId="601FA1BF">
      <w:pPr>
        <w:widowControl w:val="0"/>
        <w:spacing w:after="0" w:line="360" w:lineRule="auto"/>
        <w:ind w:firstLine="482" w:firstLineChars="200"/>
        <w:rPr>
          <w:rFonts w:hint="eastAsia" w:ascii="宋体" w:hAnsi="宋体" w:eastAsia="宋体" w:cs="宋体"/>
          <w:b/>
          <w:bCs/>
          <w:color w:val="auto"/>
          <w:highlight w:val="none"/>
          <w:lang w:bidi="ar"/>
        </w:rPr>
      </w:pPr>
      <w:r>
        <w:rPr>
          <w:rFonts w:hint="eastAsia" w:ascii="宋体" w:hAnsi="宋体" w:eastAsia="宋体" w:cs="宋体"/>
          <w:b/>
          <w:bCs/>
          <w:color w:val="auto"/>
          <w:highlight w:val="none"/>
          <w:lang w:bidi="ar"/>
        </w:rPr>
        <w:t>（3）项目全部安装调试验收完成后采购人无息退还履约保证金。</w:t>
      </w:r>
    </w:p>
    <w:p w14:paraId="07550C75">
      <w:pPr>
        <w:pStyle w:val="2"/>
        <w:rPr>
          <w:rFonts w:hint="eastAsia" w:ascii="宋体" w:hAnsi="宋体" w:cs="宋体"/>
          <w:b/>
          <w:bCs/>
          <w:color w:val="auto"/>
          <w:highlight w:val="none"/>
          <w:lang w:val="en-US" w:eastAsia="zh-CN" w:bidi="ar"/>
        </w:rPr>
      </w:pPr>
      <w:r>
        <w:rPr>
          <w:rFonts w:hint="eastAsia" w:ascii="宋体" w:hAnsi="宋体" w:eastAsia="宋体" w:cs="宋体"/>
          <w:b/>
          <w:bCs/>
          <w:color w:val="auto"/>
          <w:highlight w:val="none"/>
          <w:lang w:bidi="ar"/>
        </w:rPr>
        <w:t>2.</w:t>
      </w:r>
      <w:r>
        <w:rPr>
          <w:rFonts w:hint="eastAsia" w:ascii="宋体" w:hAnsi="宋体" w:cs="宋体"/>
          <w:b/>
          <w:bCs/>
          <w:color w:val="auto"/>
          <w:highlight w:val="none"/>
          <w:lang w:val="en-US" w:eastAsia="zh-CN" w:bidi="ar"/>
        </w:rPr>
        <w:t>5其他要求:</w:t>
      </w:r>
    </w:p>
    <w:p w14:paraId="2DE3F889">
      <w:pPr>
        <w:pStyle w:val="2"/>
        <w:rPr>
          <w:rFonts w:hint="default" w:eastAsia="宋体"/>
          <w:color w:val="auto"/>
          <w:highlight w:val="none"/>
          <w:lang w:val="en-US" w:eastAsia="zh-CN"/>
        </w:rPr>
      </w:pPr>
      <w:r>
        <w:rPr>
          <w:rFonts w:hint="eastAsia" w:ascii="宋体" w:hAnsi="宋体" w:cs="宋体"/>
          <w:b/>
          <w:bCs/>
          <w:color w:val="auto"/>
          <w:highlight w:val="none"/>
          <w:lang w:val="en-US" w:eastAsia="zh-CN" w:bidi="ar"/>
        </w:rPr>
        <w:t>中标人应完善质量监督和保证措施，在家具生产过程中应由第三方检测机构在原材料进货、生产组装及成品出厂验收等阶段，按一定比例进行质量、环保抽样检测，对不同单体的不同部位进行随机抽取检测，同一部位破坏性抽取检测不超过一次，并向采购人出具合格检验报告。采购人可根据中标人的检测报告，决定是否委托第三方进行检测，检测不合格的，第三方检测机构检测费由中标人承担，采购人有权终止合同并追究中标人相应责任，投标人自行考虑投标风险。</w:t>
      </w:r>
    </w:p>
    <w:p w14:paraId="25730750">
      <w:pPr>
        <w:widowControl w:val="0"/>
        <w:spacing w:after="0" w:line="360" w:lineRule="auto"/>
        <w:rPr>
          <w:rFonts w:ascii="宋体" w:hAnsi="宋体" w:eastAsia="宋体" w:cs="宋体"/>
          <w:color w:val="auto"/>
          <w:highlight w:val="none"/>
          <w:lang w:bidi="ar"/>
        </w:rPr>
      </w:pPr>
    </w:p>
    <w:p w14:paraId="4A278F2D">
      <w:pPr>
        <w:widowControl w:val="0"/>
        <w:spacing w:after="0" w:line="360" w:lineRule="auto"/>
        <w:ind w:firstLine="480" w:firstLineChars="200"/>
        <w:rPr>
          <w:rFonts w:hint="eastAsia" w:ascii="宋体" w:hAnsi="宋体" w:eastAsia="宋体" w:cs="宋体"/>
          <w:color w:val="auto"/>
          <w:highlight w:val="none"/>
          <w:lang w:bidi="ar"/>
        </w:rPr>
      </w:pPr>
    </w:p>
    <w:p w14:paraId="5E06A379">
      <w:pPr>
        <w:widowControl w:val="0"/>
        <w:spacing w:after="0" w:line="360" w:lineRule="auto"/>
        <w:ind w:firstLine="480" w:firstLineChars="200"/>
        <w:rPr>
          <w:rFonts w:hint="eastAsia" w:ascii="宋体" w:hAnsi="宋体" w:eastAsia="宋体" w:cs="宋体"/>
          <w:color w:val="auto"/>
          <w:highlight w:val="none"/>
          <w:lang w:bidi="ar"/>
        </w:rPr>
      </w:pPr>
    </w:p>
    <w:p w14:paraId="32047753">
      <w:pPr>
        <w:widowControl w:val="0"/>
        <w:spacing w:after="0" w:line="360" w:lineRule="auto"/>
        <w:ind w:firstLine="480" w:firstLineChars="200"/>
        <w:rPr>
          <w:rFonts w:ascii="宋体" w:hAnsi="宋体" w:eastAsia="宋体" w:cs="宋体"/>
          <w:color w:val="auto"/>
          <w:highlight w:val="none"/>
          <w:lang w:bidi="ar"/>
        </w:rPr>
      </w:pPr>
      <w:r>
        <w:rPr>
          <w:rFonts w:hint="eastAsia" w:ascii="宋体" w:hAnsi="宋体" w:eastAsia="宋体" w:cs="宋体"/>
          <w:color w:val="auto"/>
          <w:highlight w:val="none"/>
          <w:lang w:bidi="ar"/>
        </w:rPr>
        <w:t>注：1、除采购文件标注的参考品牌外，欢迎其它能满足本项目技术需求且性能与所注品牌相当的产品参与。</w:t>
      </w:r>
    </w:p>
    <w:p w14:paraId="1E13C3AB">
      <w:pPr>
        <w:widowControl w:val="0"/>
        <w:spacing w:after="0" w:line="360" w:lineRule="auto"/>
        <w:ind w:firstLine="480" w:firstLineChars="200"/>
        <w:rPr>
          <w:rFonts w:ascii="宋体" w:hAnsi="宋体" w:eastAsia="宋体" w:cs="宋体"/>
          <w:color w:val="auto"/>
          <w:highlight w:val="none"/>
          <w:lang w:bidi="ar"/>
        </w:rPr>
      </w:pPr>
      <w:r>
        <w:rPr>
          <w:rFonts w:hint="eastAsia" w:ascii="宋体" w:hAnsi="宋体" w:eastAsia="宋体" w:cs="宋体"/>
          <w:color w:val="auto"/>
          <w:highlight w:val="none"/>
          <w:lang w:bidi="ar"/>
        </w:rPr>
        <w:t>2、如有附图，仅作参考。</w:t>
      </w:r>
    </w:p>
    <w:p w14:paraId="2242E892">
      <w:pPr>
        <w:widowControl w:val="0"/>
        <w:spacing w:after="0" w:line="360" w:lineRule="auto"/>
        <w:ind w:firstLine="480" w:firstLineChars="200"/>
        <w:rPr>
          <w:rFonts w:ascii="宋体" w:hAnsi="宋体" w:eastAsia="宋体" w:cs="宋体"/>
          <w:color w:val="auto"/>
          <w:highlight w:val="none"/>
          <w:lang w:bidi="ar"/>
        </w:rPr>
      </w:pPr>
      <w:r>
        <w:rPr>
          <w:rFonts w:hint="eastAsia" w:ascii="宋体" w:hAnsi="宋体" w:eastAsia="宋体" w:cs="宋体"/>
          <w:color w:val="auto"/>
          <w:highlight w:val="none"/>
          <w:lang w:bidi="ar"/>
        </w:rPr>
        <w:t>3、打▲内容为实质性要求，不允许有负偏离，否则将以涉及无效投标条款作无效投标。</w:t>
      </w:r>
    </w:p>
    <w:p w14:paraId="6D3E787C">
      <w:pPr>
        <w:widowControl w:val="0"/>
        <w:spacing w:after="0"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lang w:bidi="ar"/>
        </w:rPr>
        <w:t>4、中标单位所提供的货物、服务须与投标承诺一致，不得以次充好、偷工减料，若在项目验收中发现有上述情况，将向有关部门举报，根据相关规定进行处理。</w:t>
      </w:r>
    </w:p>
    <w:p w14:paraId="026A0EC0">
      <w:pPr>
        <w:widowControl w:val="0"/>
        <w:snapToGrid w:val="0"/>
        <w:spacing w:line="360" w:lineRule="exact"/>
        <w:ind w:firstLine="480" w:firstLineChars="200"/>
        <w:jc w:val="center"/>
        <w:rPr>
          <w:rFonts w:ascii="宋体" w:hAnsi="宋体" w:eastAsia="宋体" w:cs="宋体"/>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b/>
          <w:color w:val="auto"/>
          <w:sz w:val="28"/>
          <w:szCs w:val="28"/>
          <w:highlight w:val="none"/>
        </w:rPr>
        <w:t xml:space="preserve">第四部分   </w:t>
      </w:r>
      <w:bookmarkStart w:id="2" w:name="_Toc184312093"/>
      <w:bookmarkEnd w:id="2"/>
      <w:bookmarkStart w:id="3" w:name="_Toc184308055"/>
      <w:bookmarkEnd w:id="3"/>
      <w:bookmarkStart w:id="4" w:name="_Toc184313252"/>
      <w:bookmarkEnd w:id="4"/>
      <w:bookmarkStart w:id="5" w:name="_Toc184310311"/>
      <w:bookmarkEnd w:id="5"/>
      <w:bookmarkStart w:id="6" w:name="_Toc184313287"/>
      <w:bookmarkEnd w:id="6"/>
      <w:bookmarkStart w:id="7" w:name="_Toc184312124"/>
      <w:bookmarkEnd w:id="7"/>
      <w:bookmarkStart w:id="8" w:name="_Toc184310315"/>
      <w:bookmarkEnd w:id="8"/>
      <w:bookmarkStart w:id="9" w:name="_Toc184310328"/>
      <w:bookmarkEnd w:id="9"/>
      <w:bookmarkStart w:id="10" w:name="_Toc184312081"/>
      <w:bookmarkEnd w:id="10"/>
      <w:bookmarkStart w:id="11" w:name="_Toc184310343"/>
      <w:bookmarkEnd w:id="11"/>
      <w:bookmarkStart w:id="12" w:name="_Toc184313277"/>
      <w:bookmarkEnd w:id="12"/>
      <w:bookmarkStart w:id="13" w:name="_Toc184312117"/>
      <w:bookmarkEnd w:id="13"/>
      <w:bookmarkStart w:id="14" w:name="_Toc184312103"/>
      <w:bookmarkEnd w:id="14"/>
      <w:bookmarkStart w:id="15" w:name="_Toc184312092"/>
      <w:bookmarkEnd w:id="15"/>
      <w:bookmarkStart w:id="16" w:name="_Toc184308082"/>
      <w:bookmarkEnd w:id="16"/>
      <w:bookmarkStart w:id="17" w:name="_Toc184308074"/>
      <w:bookmarkEnd w:id="17"/>
      <w:bookmarkStart w:id="18" w:name="_Toc184312131"/>
      <w:bookmarkEnd w:id="18"/>
      <w:bookmarkStart w:id="19" w:name="_Toc184313263"/>
      <w:bookmarkEnd w:id="19"/>
      <w:bookmarkStart w:id="20" w:name="_Toc184313271"/>
      <w:bookmarkEnd w:id="20"/>
      <w:bookmarkStart w:id="21" w:name="_Toc184312088"/>
      <w:bookmarkEnd w:id="21"/>
      <w:bookmarkStart w:id="22" w:name="_Toc184314466"/>
      <w:bookmarkEnd w:id="22"/>
      <w:bookmarkStart w:id="23" w:name="_Toc184308056"/>
      <w:bookmarkEnd w:id="23"/>
      <w:bookmarkStart w:id="24" w:name="_Toc184312138"/>
      <w:bookmarkEnd w:id="24"/>
      <w:bookmarkStart w:id="25" w:name="_Toc184310340"/>
      <w:bookmarkEnd w:id="25"/>
      <w:bookmarkStart w:id="26" w:name="_Toc184310342"/>
      <w:bookmarkEnd w:id="26"/>
      <w:bookmarkStart w:id="27" w:name="_Toc184310298"/>
      <w:bookmarkEnd w:id="27"/>
      <w:bookmarkStart w:id="28" w:name="_Toc184308100"/>
      <w:bookmarkEnd w:id="28"/>
      <w:bookmarkStart w:id="29" w:name="_Toc184308048"/>
      <w:bookmarkEnd w:id="29"/>
      <w:bookmarkStart w:id="30" w:name="_Toc184313282"/>
      <w:bookmarkEnd w:id="30"/>
      <w:bookmarkStart w:id="31" w:name="_Toc184313305"/>
      <w:bookmarkEnd w:id="31"/>
      <w:bookmarkStart w:id="32" w:name="_Toc184310318"/>
      <w:bookmarkEnd w:id="32"/>
      <w:bookmarkStart w:id="33" w:name="_Toc184308078"/>
      <w:bookmarkEnd w:id="33"/>
      <w:bookmarkStart w:id="34" w:name="_Toc184312069"/>
      <w:bookmarkEnd w:id="34"/>
      <w:bookmarkStart w:id="35" w:name="_Toc184308043"/>
      <w:bookmarkEnd w:id="35"/>
      <w:bookmarkStart w:id="36" w:name="_Toc184313296"/>
      <w:bookmarkEnd w:id="36"/>
      <w:bookmarkStart w:id="37" w:name="_Toc184313292"/>
      <w:bookmarkEnd w:id="37"/>
      <w:bookmarkStart w:id="38" w:name="_Toc184310295"/>
      <w:bookmarkEnd w:id="38"/>
      <w:bookmarkStart w:id="39" w:name="_Toc184314467"/>
      <w:bookmarkEnd w:id="39"/>
      <w:bookmarkStart w:id="40" w:name="_Toc184312080"/>
      <w:bookmarkEnd w:id="40"/>
      <w:bookmarkStart w:id="41" w:name="_Toc184313266"/>
      <w:bookmarkEnd w:id="41"/>
      <w:bookmarkStart w:id="42" w:name="_Toc184313247"/>
      <w:bookmarkEnd w:id="42"/>
      <w:bookmarkStart w:id="43" w:name="_Toc184310283"/>
      <w:bookmarkEnd w:id="43"/>
      <w:bookmarkStart w:id="44" w:name="_Toc184313283"/>
      <w:bookmarkEnd w:id="44"/>
      <w:bookmarkStart w:id="45" w:name="_Toc184313254"/>
      <w:bookmarkEnd w:id="45"/>
      <w:bookmarkStart w:id="46" w:name="_Toc184308039"/>
      <w:bookmarkEnd w:id="46"/>
      <w:bookmarkStart w:id="47" w:name="_Toc184310329"/>
      <w:bookmarkEnd w:id="47"/>
      <w:bookmarkStart w:id="48" w:name="_Toc184314446"/>
      <w:bookmarkEnd w:id="48"/>
      <w:bookmarkStart w:id="49" w:name="_Toc184308064"/>
      <w:bookmarkEnd w:id="49"/>
      <w:bookmarkStart w:id="50" w:name="_Toc184310299"/>
      <w:bookmarkEnd w:id="50"/>
      <w:bookmarkStart w:id="51" w:name="_Toc184308053"/>
      <w:bookmarkEnd w:id="51"/>
      <w:bookmarkStart w:id="52" w:name="_Toc184312139"/>
      <w:bookmarkEnd w:id="52"/>
      <w:bookmarkStart w:id="53" w:name="_Toc184308080"/>
      <w:bookmarkEnd w:id="53"/>
      <w:bookmarkStart w:id="54" w:name="_Toc184310321"/>
      <w:bookmarkEnd w:id="54"/>
      <w:bookmarkStart w:id="55" w:name="_Toc184312113"/>
      <w:bookmarkEnd w:id="55"/>
      <w:bookmarkStart w:id="56" w:name="_Toc184308106"/>
      <w:bookmarkEnd w:id="56"/>
      <w:bookmarkStart w:id="57" w:name="_Toc184310302"/>
      <w:bookmarkEnd w:id="57"/>
      <w:bookmarkStart w:id="58" w:name="_Toc184308102"/>
      <w:bookmarkEnd w:id="58"/>
      <w:bookmarkStart w:id="59" w:name="_Toc184313280"/>
      <w:bookmarkEnd w:id="59"/>
      <w:bookmarkStart w:id="60" w:name="_Toc184314413"/>
      <w:bookmarkEnd w:id="60"/>
      <w:bookmarkStart w:id="61" w:name="_Toc184313299"/>
      <w:bookmarkEnd w:id="61"/>
      <w:bookmarkStart w:id="62" w:name="_Toc184312079"/>
      <w:bookmarkEnd w:id="62"/>
      <w:bookmarkStart w:id="63" w:name="_Toc184312100"/>
      <w:bookmarkEnd w:id="63"/>
      <w:bookmarkStart w:id="64" w:name="_Toc184312137"/>
      <w:bookmarkEnd w:id="64"/>
      <w:bookmarkStart w:id="65" w:name="_Toc184314421"/>
      <w:bookmarkEnd w:id="65"/>
      <w:bookmarkStart w:id="66" w:name="_Toc184313272"/>
      <w:bookmarkEnd w:id="66"/>
      <w:bookmarkStart w:id="67" w:name="_Toc184310289"/>
      <w:bookmarkEnd w:id="67"/>
      <w:bookmarkStart w:id="68" w:name="_Toc184312105"/>
      <w:bookmarkEnd w:id="68"/>
      <w:bookmarkStart w:id="69" w:name="_Toc184314462"/>
      <w:bookmarkEnd w:id="69"/>
      <w:bookmarkStart w:id="70" w:name="_Toc184314479"/>
      <w:bookmarkEnd w:id="70"/>
      <w:bookmarkStart w:id="71" w:name="_Toc184308088"/>
      <w:bookmarkEnd w:id="71"/>
      <w:bookmarkStart w:id="72" w:name="_Toc184310290"/>
      <w:bookmarkEnd w:id="72"/>
      <w:bookmarkStart w:id="73" w:name="_Toc184314480"/>
      <w:bookmarkEnd w:id="73"/>
      <w:bookmarkStart w:id="74" w:name="_Toc184313279"/>
      <w:bookmarkEnd w:id="74"/>
      <w:bookmarkStart w:id="75" w:name="_Toc184313276"/>
      <w:bookmarkEnd w:id="75"/>
      <w:bookmarkStart w:id="76" w:name="_Toc184314482"/>
      <w:bookmarkEnd w:id="76"/>
      <w:bookmarkStart w:id="77" w:name="_Toc184308104"/>
      <w:bookmarkEnd w:id="77"/>
      <w:bookmarkStart w:id="78" w:name="_Toc184308065"/>
      <w:bookmarkEnd w:id="78"/>
      <w:bookmarkStart w:id="79" w:name="_Toc184312084"/>
      <w:bookmarkEnd w:id="79"/>
      <w:bookmarkStart w:id="80" w:name="_Toc184313293"/>
      <w:bookmarkEnd w:id="80"/>
      <w:bookmarkStart w:id="81" w:name="_Toc184308068"/>
      <w:bookmarkEnd w:id="81"/>
      <w:bookmarkStart w:id="82" w:name="_Toc184312126"/>
      <w:bookmarkEnd w:id="82"/>
      <w:bookmarkStart w:id="83" w:name="_Toc184314445"/>
      <w:bookmarkEnd w:id="83"/>
      <w:bookmarkStart w:id="84" w:name="_Toc184314469"/>
      <w:bookmarkEnd w:id="84"/>
      <w:bookmarkStart w:id="85" w:name="_Toc184308059"/>
      <w:bookmarkEnd w:id="85"/>
      <w:bookmarkStart w:id="86" w:name="_Toc184312125"/>
      <w:bookmarkEnd w:id="86"/>
      <w:bookmarkStart w:id="87" w:name="_Toc184310320"/>
      <w:bookmarkEnd w:id="87"/>
      <w:bookmarkStart w:id="88" w:name="_Toc184313239"/>
      <w:bookmarkEnd w:id="88"/>
      <w:bookmarkStart w:id="89" w:name="_Toc184313285"/>
      <w:bookmarkEnd w:id="89"/>
      <w:bookmarkStart w:id="90" w:name="_Toc184310326"/>
      <w:bookmarkEnd w:id="90"/>
      <w:bookmarkStart w:id="91" w:name="_Toc184312122"/>
      <w:bookmarkEnd w:id="91"/>
      <w:bookmarkStart w:id="92" w:name="_Toc184312068"/>
      <w:bookmarkEnd w:id="92"/>
      <w:bookmarkStart w:id="93" w:name="_Toc184314434"/>
      <w:bookmarkEnd w:id="93"/>
      <w:bookmarkStart w:id="94" w:name="_Toc184310322"/>
      <w:bookmarkEnd w:id="94"/>
      <w:bookmarkStart w:id="95" w:name="_Toc184312115"/>
      <w:bookmarkEnd w:id="95"/>
      <w:bookmarkStart w:id="96" w:name="_Toc184308054"/>
      <w:bookmarkEnd w:id="96"/>
      <w:bookmarkStart w:id="97" w:name="_Toc184308058"/>
      <w:bookmarkEnd w:id="97"/>
      <w:bookmarkStart w:id="98" w:name="_Toc184310334"/>
      <w:bookmarkEnd w:id="98"/>
      <w:bookmarkStart w:id="99" w:name="_Toc184314432"/>
      <w:bookmarkEnd w:id="99"/>
      <w:bookmarkStart w:id="100" w:name="_Toc184313310"/>
      <w:bookmarkEnd w:id="100"/>
      <w:bookmarkStart w:id="101" w:name="_Toc184310305"/>
      <w:bookmarkEnd w:id="101"/>
      <w:bookmarkStart w:id="102" w:name="_Toc184314419"/>
      <w:bookmarkEnd w:id="102"/>
      <w:bookmarkStart w:id="103" w:name="_Toc184310306"/>
      <w:bookmarkEnd w:id="103"/>
      <w:bookmarkStart w:id="104" w:name="_Toc184310324"/>
      <w:bookmarkEnd w:id="104"/>
      <w:bookmarkStart w:id="105" w:name="_Toc184308077"/>
      <w:bookmarkEnd w:id="105"/>
      <w:bookmarkStart w:id="106" w:name="_Toc184308107"/>
      <w:bookmarkEnd w:id="106"/>
      <w:bookmarkStart w:id="107" w:name="_Toc184310317"/>
      <w:bookmarkEnd w:id="107"/>
      <w:bookmarkStart w:id="108" w:name="_Toc184314463"/>
      <w:bookmarkEnd w:id="108"/>
      <w:bookmarkStart w:id="109" w:name="_Toc184308099"/>
      <w:bookmarkEnd w:id="109"/>
      <w:bookmarkStart w:id="110" w:name="_Toc184312095"/>
      <w:bookmarkEnd w:id="110"/>
      <w:bookmarkStart w:id="111" w:name="_Toc184310280"/>
      <w:bookmarkEnd w:id="111"/>
      <w:bookmarkStart w:id="112" w:name="_Toc184314412"/>
      <w:bookmarkEnd w:id="112"/>
      <w:bookmarkStart w:id="113" w:name="_Toc184308037"/>
      <w:bookmarkEnd w:id="113"/>
      <w:bookmarkStart w:id="114" w:name="_Toc184314449"/>
      <w:bookmarkEnd w:id="114"/>
      <w:bookmarkStart w:id="115" w:name="_Toc184308050"/>
      <w:bookmarkEnd w:id="115"/>
      <w:bookmarkStart w:id="116" w:name="_Toc184313301"/>
      <w:bookmarkEnd w:id="116"/>
      <w:bookmarkStart w:id="117" w:name="_Toc184310308"/>
      <w:bookmarkEnd w:id="117"/>
      <w:bookmarkStart w:id="118" w:name="_Toc184313257"/>
      <w:bookmarkEnd w:id="118"/>
      <w:bookmarkStart w:id="119" w:name="_Toc184312077"/>
      <w:bookmarkEnd w:id="119"/>
      <w:bookmarkStart w:id="120" w:name="_Toc184308052"/>
      <w:bookmarkEnd w:id="120"/>
      <w:bookmarkStart w:id="121" w:name="_Toc184308076"/>
      <w:bookmarkEnd w:id="121"/>
      <w:bookmarkStart w:id="122" w:name="_Toc184313250"/>
      <w:bookmarkEnd w:id="122"/>
      <w:bookmarkStart w:id="123" w:name="_Toc184313256"/>
      <w:bookmarkEnd w:id="123"/>
      <w:bookmarkStart w:id="124" w:name="_Toc184308061"/>
      <w:bookmarkEnd w:id="124"/>
      <w:bookmarkStart w:id="125" w:name="_Toc184310313"/>
      <w:bookmarkEnd w:id="125"/>
      <w:bookmarkStart w:id="126" w:name="_Toc184312104"/>
      <w:bookmarkEnd w:id="126"/>
      <w:bookmarkStart w:id="127" w:name="_Toc184314475"/>
      <w:bookmarkEnd w:id="127"/>
      <w:bookmarkStart w:id="128" w:name="_Toc184308097"/>
      <w:bookmarkEnd w:id="128"/>
      <w:bookmarkStart w:id="129" w:name="_Toc184314454"/>
      <w:bookmarkEnd w:id="129"/>
      <w:bookmarkStart w:id="130" w:name="_Toc184308094"/>
      <w:bookmarkEnd w:id="130"/>
      <w:bookmarkStart w:id="131" w:name="_Toc184314428"/>
      <w:bookmarkEnd w:id="131"/>
      <w:bookmarkStart w:id="132" w:name="_Toc184312086"/>
      <w:bookmarkEnd w:id="132"/>
      <w:bookmarkStart w:id="133" w:name="_Toc184308041"/>
      <w:bookmarkEnd w:id="133"/>
      <w:bookmarkStart w:id="134" w:name="_Toc184312070"/>
      <w:bookmarkEnd w:id="134"/>
      <w:bookmarkStart w:id="135" w:name="_Toc184313246"/>
      <w:bookmarkEnd w:id="135"/>
      <w:bookmarkStart w:id="136" w:name="_Toc184310327"/>
      <w:bookmarkEnd w:id="136"/>
      <w:bookmarkStart w:id="137" w:name="_Toc184314461"/>
      <w:bookmarkEnd w:id="137"/>
      <w:bookmarkStart w:id="138" w:name="_Toc184314441"/>
      <w:bookmarkEnd w:id="138"/>
      <w:bookmarkStart w:id="139" w:name="_Toc184310287"/>
      <w:bookmarkEnd w:id="139"/>
      <w:bookmarkStart w:id="140" w:name="_Toc184314470"/>
      <w:bookmarkEnd w:id="140"/>
      <w:bookmarkStart w:id="141" w:name="_Toc184314433"/>
      <w:bookmarkEnd w:id="141"/>
      <w:bookmarkStart w:id="142" w:name="_Toc184313289"/>
      <w:bookmarkEnd w:id="142"/>
      <w:bookmarkStart w:id="143" w:name="_Toc184310337"/>
      <w:bookmarkEnd w:id="143"/>
      <w:bookmarkStart w:id="144" w:name="_Toc184312085"/>
      <w:bookmarkEnd w:id="144"/>
      <w:bookmarkStart w:id="145" w:name="_Toc184314473"/>
      <w:bookmarkEnd w:id="145"/>
      <w:bookmarkStart w:id="146" w:name="_Toc184312076"/>
      <w:bookmarkEnd w:id="146"/>
      <w:bookmarkStart w:id="147" w:name="_Toc184310288"/>
      <w:bookmarkEnd w:id="147"/>
      <w:bookmarkStart w:id="148" w:name="_Toc184313284"/>
      <w:bookmarkEnd w:id="148"/>
      <w:bookmarkStart w:id="149" w:name="_Toc184313259"/>
      <w:bookmarkEnd w:id="149"/>
      <w:bookmarkStart w:id="150" w:name="_Toc184314437"/>
      <w:bookmarkEnd w:id="150"/>
      <w:bookmarkStart w:id="151" w:name="_Toc184313269"/>
      <w:bookmarkEnd w:id="151"/>
      <w:bookmarkStart w:id="152" w:name="_Toc184313273"/>
      <w:bookmarkEnd w:id="152"/>
      <w:bookmarkStart w:id="153" w:name="_Toc184308096"/>
      <w:bookmarkEnd w:id="153"/>
      <w:bookmarkStart w:id="154" w:name="_Toc184312130"/>
      <w:bookmarkEnd w:id="154"/>
      <w:bookmarkStart w:id="155" w:name="_Toc184308036"/>
      <w:bookmarkEnd w:id="155"/>
      <w:bookmarkStart w:id="156" w:name="_Toc184313262"/>
      <w:bookmarkEnd w:id="156"/>
      <w:bookmarkStart w:id="157" w:name="_Toc184313304"/>
      <w:bookmarkEnd w:id="157"/>
      <w:bookmarkStart w:id="158" w:name="_Toc184313251"/>
      <w:bookmarkEnd w:id="158"/>
      <w:bookmarkStart w:id="159" w:name="_Toc184308067"/>
      <w:bookmarkEnd w:id="159"/>
      <w:bookmarkStart w:id="160" w:name="_Toc184313270"/>
      <w:bookmarkEnd w:id="160"/>
      <w:bookmarkStart w:id="161" w:name="_Toc184310314"/>
      <w:bookmarkEnd w:id="161"/>
      <w:bookmarkStart w:id="162" w:name="_Toc184312082"/>
      <w:bookmarkEnd w:id="162"/>
      <w:bookmarkStart w:id="163" w:name="_Toc184314417"/>
      <w:bookmarkEnd w:id="163"/>
      <w:bookmarkStart w:id="164" w:name="_Toc184313242"/>
      <w:bookmarkEnd w:id="164"/>
      <w:bookmarkStart w:id="165" w:name="_Toc184310284"/>
      <w:bookmarkEnd w:id="165"/>
      <w:bookmarkStart w:id="166" w:name="_Toc184312128"/>
      <w:bookmarkEnd w:id="166"/>
      <w:bookmarkStart w:id="167" w:name="_Toc184313274"/>
      <w:bookmarkEnd w:id="167"/>
      <w:bookmarkStart w:id="168" w:name="_Toc184308046"/>
      <w:bookmarkEnd w:id="168"/>
      <w:bookmarkStart w:id="169" w:name="_Toc184313281"/>
      <w:bookmarkEnd w:id="169"/>
      <w:bookmarkStart w:id="170" w:name="_Toc184310276"/>
      <w:bookmarkEnd w:id="170"/>
      <w:bookmarkStart w:id="171" w:name="_Toc184314451"/>
      <w:bookmarkEnd w:id="171"/>
      <w:bookmarkStart w:id="172" w:name="_Toc184310282"/>
      <w:bookmarkEnd w:id="172"/>
      <w:bookmarkStart w:id="173" w:name="_Toc184313288"/>
      <w:bookmarkEnd w:id="173"/>
      <w:bookmarkStart w:id="174" w:name="_Toc184313249"/>
      <w:bookmarkEnd w:id="174"/>
      <w:bookmarkStart w:id="175" w:name="_Toc184312098"/>
      <w:bookmarkEnd w:id="175"/>
      <w:bookmarkStart w:id="176" w:name="_Toc184310275"/>
      <w:bookmarkEnd w:id="176"/>
      <w:bookmarkStart w:id="177" w:name="_Toc184310310"/>
      <w:bookmarkEnd w:id="177"/>
      <w:bookmarkStart w:id="178" w:name="_Toc184308108"/>
      <w:bookmarkEnd w:id="178"/>
      <w:bookmarkStart w:id="179" w:name="_Toc184310278"/>
      <w:bookmarkEnd w:id="179"/>
      <w:bookmarkStart w:id="180" w:name="_Toc184314478"/>
      <w:bookmarkEnd w:id="180"/>
      <w:bookmarkStart w:id="181" w:name="_Toc184312074"/>
      <w:bookmarkEnd w:id="181"/>
      <w:bookmarkStart w:id="182" w:name="_Toc184310325"/>
      <w:bookmarkEnd w:id="182"/>
      <w:bookmarkStart w:id="183" w:name="_Toc184310338"/>
      <w:bookmarkEnd w:id="183"/>
      <w:bookmarkStart w:id="184" w:name="_Toc184314459"/>
      <w:bookmarkEnd w:id="184"/>
      <w:bookmarkStart w:id="185" w:name="_Toc184308098"/>
      <w:bookmarkEnd w:id="185"/>
      <w:bookmarkStart w:id="186" w:name="_Toc184310272"/>
      <w:bookmarkEnd w:id="186"/>
      <w:bookmarkStart w:id="187" w:name="_Toc184313290"/>
      <w:bookmarkEnd w:id="187"/>
      <w:bookmarkStart w:id="188" w:name="_Toc184310273"/>
      <w:bookmarkEnd w:id="188"/>
      <w:bookmarkStart w:id="189" w:name="_Toc184310277"/>
      <w:bookmarkEnd w:id="189"/>
      <w:bookmarkStart w:id="190" w:name="_Toc184314477"/>
      <w:bookmarkEnd w:id="190"/>
      <w:bookmarkStart w:id="191" w:name="_Toc184312089"/>
      <w:bookmarkEnd w:id="191"/>
      <w:bookmarkStart w:id="192" w:name="_Toc184308091"/>
      <w:bookmarkEnd w:id="192"/>
      <w:bookmarkStart w:id="193" w:name="_Toc184312135"/>
      <w:bookmarkEnd w:id="193"/>
      <w:bookmarkStart w:id="194" w:name="_Toc184312097"/>
      <w:bookmarkEnd w:id="194"/>
      <w:bookmarkStart w:id="195" w:name="_Toc184308081"/>
      <w:bookmarkEnd w:id="195"/>
      <w:bookmarkStart w:id="196" w:name="_Toc184314460"/>
      <w:bookmarkEnd w:id="196"/>
      <w:bookmarkStart w:id="197" w:name="_Toc184313268"/>
      <w:bookmarkEnd w:id="197"/>
      <w:bookmarkStart w:id="198" w:name="_Toc184308073"/>
      <w:bookmarkEnd w:id="198"/>
      <w:bookmarkStart w:id="199" w:name="_Toc184312111"/>
      <w:bookmarkEnd w:id="199"/>
      <w:bookmarkStart w:id="200" w:name="_Toc184313243"/>
      <w:bookmarkEnd w:id="200"/>
      <w:bookmarkStart w:id="201" w:name="_Toc184312083"/>
      <w:bookmarkEnd w:id="201"/>
      <w:bookmarkStart w:id="202" w:name="_Toc184314453"/>
      <w:bookmarkEnd w:id="202"/>
      <w:bookmarkStart w:id="203" w:name="_Toc184310279"/>
      <w:bookmarkEnd w:id="203"/>
      <w:bookmarkStart w:id="204" w:name="_Toc184314427"/>
      <w:bookmarkEnd w:id="204"/>
      <w:bookmarkStart w:id="205" w:name="_Toc184308079"/>
      <w:bookmarkEnd w:id="205"/>
      <w:bookmarkStart w:id="206" w:name="_Toc184313300"/>
      <w:bookmarkEnd w:id="206"/>
      <w:bookmarkStart w:id="207" w:name="_Toc184313308"/>
      <w:bookmarkEnd w:id="207"/>
      <w:bookmarkStart w:id="208" w:name="_Toc184308086"/>
      <w:bookmarkEnd w:id="208"/>
      <w:bookmarkStart w:id="209" w:name="_Toc184312123"/>
      <w:bookmarkEnd w:id="209"/>
      <w:bookmarkStart w:id="210" w:name="_Toc184310335"/>
      <w:bookmarkEnd w:id="210"/>
      <w:bookmarkStart w:id="211" w:name="_Toc184314423"/>
      <w:bookmarkEnd w:id="211"/>
      <w:bookmarkStart w:id="212" w:name="_Toc184313295"/>
      <w:bookmarkEnd w:id="212"/>
      <w:bookmarkStart w:id="213" w:name="_Toc184308103"/>
      <w:bookmarkEnd w:id="213"/>
      <w:bookmarkStart w:id="214" w:name="_Toc184308084"/>
      <w:bookmarkEnd w:id="214"/>
      <w:bookmarkStart w:id="215" w:name="_Toc184313240"/>
      <w:bookmarkEnd w:id="215"/>
      <w:bookmarkStart w:id="216" w:name="_Toc184310293"/>
      <w:bookmarkEnd w:id="216"/>
      <w:bookmarkStart w:id="217" w:name="_Toc184308062"/>
      <w:bookmarkEnd w:id="217"/>
      <w:bookmarkStart w:id="218" w:name="_Toc184314457"/>
      <w:bookmarkEnd w:id="218"/>
      <w:bookmarkStart w:id="219" w:name="_Toc184312071"/>
      <w:bookmarkEnd w:id="219"/>
      <w:bookmarkStart w:id="220" w:name="_Toc184314414"/>
      <w:bookmarkEnd w:id="220"/>
      <w:bookmarkStart w:id="221" w:name="_Toc184313306"/>
      <w:bookmarkEnd w:id="221"/>
      <w:bookmarkStart w:id="222" w:name="_Toc184313309"/>
      <w:bookmarkEnd w:id="222"/>
      <w:bookmarkStart w:id="223" w:name="_Toc184313261"/>
      <w:bookmarkEnd w:id="223"/>
      <w:bookmarkStart w:id="224" w:name="_Toc184308047"/>
      <w:bookmarkEnd w:id="224"/>
      <w:bookmarkStart w:id="225" w:name="_Toc184312078"/>
      <w:bookmarkEnd w:id="225"/>
      <w:bookmarkStart w:id="226" w:name="_Toc184312067"/>
      <w:bookmarkEnd w:id="226"/>
      <w:bookmarkStart w:id="227" w:name="_Toc184313255"/>
      <w:bookmarkEnd w:id="227"/>
      <w:bookmarkStart w:id="228" w:name="_Toc184314426"/>
      <w:bookmarkEnd w:id="228"/>
      <w:bookmarkStart w:id="229" w:name="_Toc184310341"/>
      <w:bookmarkEnd w:id="229"/>
      <w:bookmarkStart w:id="230" w:name="_Toc184313265"/>
      <w:bookmarkEnd w:id="230"/>
      <w:bookmarkStart w:id="231" w:name="_Toc184314435"/>
      <w:bookmarkEnd w:id="231"/>
      <w:bookmarkStart w:id="232" w:name="_Toc184310333"/>
      <w:bookmarkEnd w:id="232"/>
      <w:bookmarkStart w:id="233" w:name="_Toc184313307"/>
      <w:bookmarkEnd w:id="233"/>
      <w:bookmarkStart w:id="234" w:name="_Toc184313302"/>
      <w:bookmarkEnd w:id="234"/>
      <w:bookmarkStart w:id="235" w:name="_Toc184314430"/>
      <w:bookmarkEnd w:id="235"/>
      <w:bookmarkStart w:id="236" w:name="_Toc184314416"/>
      <w:bookmarkEnd w:id="236"/>
      <w:bookmarkStart w:id="237" w:name="_Toc184308060"/>
      <w:bookmarkEnd w:id="237"/>
      <w:bookmarkStart w:id="238" w:name="_Toc184312107"/>
      <w:bookmarkEnd w:id="238"/>
      <w:bookmarkStart w:id="239" w:name="_Toc184313264"/>
      <w:bookmarkEnd w:id="239"/>
      <w:bookmarkStart w:id="240" w:name="_Toc184308089"/>
      <w:bookmarkEnd w:id="240"/>
      <w:bookmarkStart w:id="241" w:name="_Toc184313245"/>
      <w:bookmarkEnd w:id="241"/>
      <w:bookmarkStart w:id="242" w:name="_Toc184314448"/>
      <w:bookmarkEnd w:id="242"/>
      <w:bookmarkStart w:id="243" w:name="_Toc184314464"/>
      <w:bookmarkEnd w:id="243"/>
      <w:bookmarkStart w:id="244" w:name="_Toc184314456"/>
      <w:bookmarkEnd w:id="244"/>
      <w:bookmarkStart w:id="245" w:name="_Toc184310296"/>
      <w:bookmarkEnd w:id="245"/>
      <w:bookmarkStart w:id="246" w:name="_Toc184310307"/>
      <w:bookmarkEnd w:id="246"/>
      <w:bookmarkStart w:id="247" w:name="_Toc184308075"/>
      <w:bookmarkEnd w:id="247"/>
      <w:bookmarkStart w:id="248" w:name="_Toc184308040"/>
      <w:bookmarkEnd w:id="248"/>
      <w:bookmarkStart w:id="249" w:name="_Toc184313241"/>
      <w:bookmarkEnd w:id="249"/>
      <w:bookmarkStart w:id="250" w:name="_Toc184308057"/>
      <w:bookmarkEnd w:id="250"/>
      <w:bookmarkStart w:id="251" w:name="_Toc184314429"/>
      <w:bookmarkEnd w:id="251"/>
      <w:bookmarkStart w:id="252" w:name="_Toc184310332"/>
      <w:bookmarkEnd w:id="252"/>
      <w:bookmarkStart w:id="253" w:name="_Toc184312116"/>
      <w:bookmarkEnd w:id="253"/>
      <w:bookmarkStart w:id="254" w:name="_Toc184310323"/>
      <w:bookmarkEnd w:id="254"/>
      <w:bookmarkStart w:id="255" w:name="_Toc184308093"/>
      <w:bookmarkEnd w:id="255"/>
      <w:bookmarkStart w:id="256" w:name="_Toc184308051"/>
      <w:bookmarkEnd w:id="256"/>
      <w:bookmarkStart w:id="257" w:name="_Toc184314443"/>
      <w:bookmarkEnd w:id="257"/>
      <w:bookmarkStart w:id="258" w:name="_Toc184314410"/>
      <w:bookmarkEnd w:id="258"/>
      <w:bookmarkStart w:id="259" w:name="_Toc184308063"/>
      <w:bookmarkEnd w:id="259"/>
      <w:bookmarkStart w:id="260" w:name="_Toc184314465"/>
      <w:bookmarkEnd w:id="260"/>
      <w:bookmarkStart w:id="261" w:name="_Toc184314436"/>
      <w:bookmarkEnd w:id="261"/>
      <w:bookmarkStart w:id="262" w:name="_Toc184312108"/>
      <w:bookmarkEnd w:id="262"/>
      <w:bookmarkStart w:id="263" w:name="_Toc184312090"/>
      <w:bookmarkEnd w:id="263"/>
      <w:bookmarkStart w:id="264" w:name="_Toc184310294"/>
      <w:bookmarkEnd w:id="264"/>
      <w:bookmarkStart w:id="265" w:name="_Toc184313253"/>
      <w:bookmarkEnd w:id="265"/>
      <w:bookmarkStart w:id="266" w:name="_Toc184310297"/>
      <w:bookmarkEnd w:id="266"/>
      <w:bookmarkStart w:id="267" w:name="_Toc184312073"/>
      <w:bookmarkEnd w:id="267"/>
      <w:bookmarkStart w:id="268" w:name="_Toc184310274"/>
      <w:bookmarkEnd w:id="268"/>
      <w:bookmarkStart w:id="269" w:name="_Toc184312114"/>
      <w:bookmarkEnd w:id="269"/>
      <w:bookmarkStart w:id="270" w:name="_Toc184308066"/>
      <w:bookmarkEnd w:id="270"/>
      <w:bookmarkStart w:id="271" w:name="_Toc184312087"/>
      <w:bookmarkEnd w:id="271"/>
      <w:bookmarkStart w:id="272" w:name="_Toc184310281"/>
      <w:bookmarkEnd w:id="272"/>
      <w:bookmarkStart w:id="273" w:name="_Toc184310285"/>
      <w:bookmarkEnd w:id="273"/>
      <w:bookmarkStart w:id="274" w:name="_Toc184314415"/>
      <w:bookmarkEnd w:id="274"/>
      <w:bookmarkStart w:id="275" w:name="_Toc184313291"/>
      <w:bookmarkEnd w:id="275"/>
      <w:bookmarkStart w:id="276" w:name="_Toc184313294"/>
      <w:bookmarkEnd w:id="276"/>
      <w:bookmarkStart w:id="277" w:name="_Toc184312110"/>
      <w:bookmarkEnd w:id="277"/>
      <w:bookmarkStart w:id="278" w:name="_Toc184308072"/>
      <w:bookmarkEnd w:id="278"/>
      <w:bookmarkStart w:id="279" w:name="_Toc184314411"/>
      <w:bookmarkEnd w:id="279"/>
      <w:bookmarkStart w:id="280" w:name="_Toc184314425"/>
      <w:bookmarkEnd w:id="280"/>
      <w:bookmarkStart w:id="281" w:name="_Toc184308083"/>
      <w:bookmarkEnd w:id="281"/>
      <w:bookmarkStart w:id="282" w:name="_Toc184310292"/>
      <w:bookmarkEnd w:id="282"/>
      <w:bookmarkStart w:id="283" w:name="_Toc184314458"/>
      <w:bookmarkEnd w:id="283"/>
      <w:bookmarkStart w:id="284" w:name="_Toc184308049"/>
      <w:bookmarkEnd w:id="284"/>
      <w:bookmarkStart w:id="285" w:name="_Toc184312134"/>
      <w:bookmarkEnd w:id="285"/>
      <w:bookmarkStart w:id="286" w:name="_Toc184313238"/>
      <w:bookmarkEnd w:id="286"/>
      <w:bookmarkStart w:id="287" w:name="_Toc184313258"/>
      <w:bookmarkEnd w:id="287"/>
      <w:bookmarkStart w:id="288" w:name="_Toc184310330"/>
      <w:bookmarkEnd w:id="288"/>
      <w:bookmarkStart w:id="289" w:name="_Toc184308095"/>
      <w:bookmarkEnd w:id="289"/>
      <w:bookmarkStart w:id="290" w:name="_Toc184310303"/>
      <w:bookmarkEnd w:id="290"/>
      <w:bookmarkStart w:id="291" w:name="_Toc184314420"/>
      <w:bookmarkEnd w:id="291"/>
      <w:bookmarkStart w:id="292" w:name="_Toc184308045"/>
      <w:bookmarkEnd w:id="292"/>
      <w:bookmarkStart w:id="293" w:name="_Toc184312072"/>
      <w:bookmarkEnd w:id="293"/>
      <w:bookmarkStart w:id="294" w:name="_Toc184308087"/>
      <w:bookmarkEnd w:id="294"/>
      <w:bookmarkStart w:id="295" w:name="_Toc184314450"/>
      <w:bookmarkEnd w:id="295"/>
      <w:bookmarkStart w:id="296" w:name="_Toc184308090"/>
      <w:bookmarkEnd w:id="296"/>
      <w:bookmarkStart w:id="297" w:name="_Toc184314438"/>
      <w:bookmarkEnd w:id="297"/>
      <w:bookmarkStart w:id="298" w:name="_Toc184312118"/>
      <w:bookmarkEnd w:id="298"/>
      <w:bookmarkStart w:id="299" w:name="_Toc184313298"/>
      <w:bookmarkEnd w:id="299"/>
      <w:bookmarkStart w:id="300" w:name="_Toc184314471"/>
      <w:bookmarkEnd w:id="300"/>
      <w:bookmarkStart w:id="301" w:name="_Toc184310312"/>
      <w:bookmarkEnd w:id="301"/>
      <w:bookmarkStart w:id="302" w:name="_Toc184312102"/>
      <w:bookmarkEnd w:id="302"/>
      <w:bookmarkStart w:id="303" w:name="_Toc184308101"/>
      <w:bookmarkEnd w:id="303"/>
      <w:bookmarkStart w:id="304" w:name="_Toc184312091"/>
      <w:bookmarkEnd w:id="304"/>
      <w:bookmarkStart w:id="305" w:name="_Toc184314444"/>
      <w:bookmarkEnd w:id="305"/>
      <w:bookmarkStart w:id="306" w:name="_Toc184310316"/>
      <w:bookmarkEnd w:id="306"/>
      <w:bookmarkStart w:id="307" w:name="_Toc184313286"/>
      <w:bookmarkEnd w:id="307"/>
      <w:bookmarkStart w:id="308" w:name="_Toc184310339"/>
      <w:bookmarkEnd w:id="308"/>
      <w:bookmarkStart w:id="309" w:name="_Toc184312109"/>
      <w:bookmarkEnd w:id="309"/>
      <w:bookmarkStart w:id="310" w:name="_Toc184308044"/>
      <w:bookmarkEnd w:id="310"/>
      <w:bookmarkStart w:id="311" w:name="_Toc184313248"/>
      <w:bookmarkEnd w:id="311"/>
      <w:bookmarkStart w:id="312" w:name="_Toc184313297"/>
      <w:bookmarkEnd w:id="312"/>
      <w:bookmarkStart w:id="313" w:name="_Toc184312129"/>
      <w:bookmarkEnd w:id="313"/>
      <w:bookmarkStart w:id="314" w:name="_Toc184308070"/>
      <w:bookmarkEnd w:id="314"/>
      <w:bookmarkStart w:id="315" w:name="_Toc184314476"/>
      <w:bookmarkEnd w:id="315"/>
      <w:bookmarkStart w:id="316" w:name="_Toc184314452"/>
      <w:bookmarkEnd w:id="316"/>
      <w:bookmarkStart w:id="317" w:name="_Toc184312136"/>
      <w:bookmarkEnd w:id="317"/>
      <w:bookmarkStart w:id="318" w:name="_Toc184312106"/>
      <w:bookmarkEnd w:id="318"/>
      <w:bookmarkStart w:id="319" w:name="_Toc184313267"/>
      <w:bookmarkEnd w:id="319"/>
      <w:bookmarkStart w:id="320" w:name="_Toc184314418"/>
      <w:bookmarkEnd w:id="320"/>
      <w:bookmarkStart w:id="321" w:name="_Toc184308042"/>
      <w:bookmarkEnd w:id="321"/>
      <w:bookmarkStart w:id="322" w:name="_Toc184312121"/>
      <w:bookmarkEnd w:id="322"/>
      <w:bookmarkStart w:id="323" w:name="_Toc184310291"/>
      <w:bookmarkEnd w:id="323"/>
      <w:bookmarkStart w:id="324" w:name="_Toc184312075"/>
      <w:bookmarkEnd w:id="324"/>
      <w:bookmarkStart w:id="325" w:name="_Toc184312120"/>
      <w:bookmarkEnd w:id="325"/>
      <w:bookmarkStart w:id="326" w:name="_Toc184308071"/>
      <w:bookmarkEnd w:id="326"/>
      <w:bookmarkStart w:id="327" w:name="_Toc184314455"/>
      <w:bookmarkEnd w:id="327"/>
      <w:bookmarkStart w:id="328" w:name="_Toc184310309"/>
      <w:bookmarkEnd w:id="328"/>
      <w:bookmarkStart w:id="329" w:name="_Toc184310336"/>
      <w:bookmarkEnd w:id="329"/>
      <w:bookmarkStart w:id="330" w:name="_Toc184312096"/>
      <w:bookmarkEnd w:id="330"/>
      <w:bookmarkStart w:id="331" w:name="_Toc184314442"/>
      <w:bookmarkEnd w:id="331"/>
      <w:bookmarkStart w:id="332" w:name="_Toc184313303"/>
      <w:bookmarkEnd w:id="332"/>
      <w:bookmarkStart w:id="333" w:name="_Toc184314440"/>
      <w:bookmarkEnd w:id="333"/>
      <w:bookmarkStart w:id="334" w:name="_Toc184310319"/>
      <w:bookmarkEnd w:id="334"/>
      <w:bookmarkStart w:id="335" w:name="_Toc184314424"/>
      <w:bookmarkEnd w:id="335"/>
      <w:bookmarkStart w:id="336" w:name="_Toc184312133"/>
      <w:bookmarkEnd w:id="336"/>
      <w:bookmarkStart w:id="337" w:name="_Toc184313275"/>
      <w:bookmarkEnd w:id="337"/>
      <w:bookmarkStart w:id="338" w:name="_Toc184312132"/>
      <w:bookmarkEnd w:id="338"/>
      <w:bookmarkStart w:id="339" w:name="_Toc184312094"/>
      <w:bookmarkEnd w:id="339"/>
      <w:bookmarkStart w:id="340" w:name="_Toc184314422"/>
      <w:bookmarkEnd w:id="340"/>
      <w:bookmarkStart w:id="341" w:name="_Toc184310301"/>
      <w:bookmarkEnd w:id="341"/>
      <w:bookmarkStart w:id="342" w:name="_Toc184310344"/>
      <w:bookmarkEnd w:id="342"/>
      <w:bookmarkStart w:id="343" w:name="_Toc184314468"/>
      <w:bookmarkEnd w:id="343"/>
      <w:bookmarkStart w:id="344" w:name="_Toc184308085"/>
      <w:bookmarkEnd w:id="344"/>
      <w:bookmarkStart w:id="345" w:name="_Toc184308105"/>
      <w:bookmarkEnd w:id="345"/>
      <w:bookmarkStart w:id="346" w:name="_Toc184314447"/>
      <w:bookmarkEnd w:id="346"/>
      <w:bookmarkStart w:id="347" w:name="_Toc184310300"/>
      <w:bookmarkEnd w:id="347"/>
      <w:bookmarkStart w:id="348" w:name="_Toc184314474"/>
      <w:bookmarkEnd w:id="348"/>
      <w:bookmarkStart w:id="349" w:name="_Toc184312099"/>
      <w:bookmarkEnd w:id="349"/>
      <w:bookmarkStart w:id="350" w:name="_Toc184313260"/>
      <w:bookmarkEnd w:id="350"/>
      <w:bookmarkStart w:id="351" w:name="_Toc184314439"/>
      <w:bookmarkEnd w:id="351"/>
      <w:bookmarkStart w:id="352" w:name="_Toc184312119"/>
      <w:bookmarkEnd w:id="352"/>
      <w:bookmarkStart w:id="353" w:name="_Toc184312101"/>
      <w:bookmarkEnd w:id="353"/>
      <w:bookmarkStart w:id="354" w:name="_Toc184314481"/>
      <w:bookmarkEnd w:id="354"/>
      <w:bookmarkStart w:id="355" w:name="_Toc184310286"/>
      <w:bookmarkEnd w:id="355"/>
      <w:bookmarkStart w:id="356" w:name="_Toc184312112"/>
      <w:bookmarkEnd w:id="356"/>
      <w:bookmarkStart w:id="357" w:name="_Toc184308038"/>
      <w:bookmarkEnd w:id="357"/>
      <w:bookmarkStart w:id="358" w:name="_Toc184310304"/>
      <w:bookmarkEnd w:id="358"/>
      <w:bookmarkStart w:id="359" w:name="_Toc184313278"/>
      <w:bookmarkEnd w:id="359"/>
      <w:bookmarkStart w:id="360" w:name="_Toc184313244"/>
      <w:bookmarkEnd w:id="360"/>
      <w:bookmarkStart w:id="361" w:name="_Toc184310331"/>
      <w:bookmarkEnd w:id="361"/>
      <w:bookmarkStart w:id="362" w:name="_Toc184314431"/>
      <w:bookmarkEnd w:id="362"/>
      <w:bookmarkStart w:id="363" w:name="_Toc184308069"/>
      <w:bookmarkEnd w:id="363"/>
      <w:bookmarkStart w:id="364" w:name="_Toc184312127"/>
      <w:bookmarkEnd w:id="364"/>
      <w:bookmarkStart w:id="365" w:name="_Toc184314472"/>
      <w:bookmarkEnd w:id="365"/>
      <w:bookmarkStart w:id="366" w:name="_Toc184308092"/>
      <w:bookmarkEnd w:id="366"/>
      <w:r>
        <w:rPr>
          <w:rFonts w:hint="eastAsia" w:ascii="宋体" w:hAnsi="宋体" w:eastAsia="宋体" w:cs="宋体"/>
          <w:b/>
          <w:color w:val="auto"/>
          <w:sz w:val="28"/>
          <w:szCs w:val="28"/>
          <w:highlight w:val="none"/>
        </w:rPr>
        <w:t>评标办法</w:t>
      </w:r>
    </w:p>
    <w:p w14:paraId="4F0473A5">
      <w:pPr>
        <w:pStyle w:val="6"/>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评标办法前附表</w:t>
      </w:r>
      <w:r>
        <w:rPr>
          <w:rFonts w:hint="eastAsia" w:ascii="宋体" w:hAnsi="宋体" w:eastAsia="宋体" w:cs="宋体"/>
          <w:color w:val="auto"/>
          <w:highlight w:val="none"/>
          <w:lang w:eastAsia="zh-CN"/>
        </w:rPr>
        <w:t>（标项</w:t>
      </w:r>
      <w:r>
        <w:rPr>
          <w:rFonts w:hint="eastAsia" w:ascii="宋体" w:hAnsi="宋体" w:eastAsia="宋体" w:cs="宋体"/>
          <w:color w:val="auto"/>
          <w:highlight w:val="none"/>
          <w:lang w:val="en-US" w:eastAsia="zh-CN"/>
        </w:rPr>
        <w:t>1、标项2）</w:t>
      </w:r>
    </w:p>
    <w:p w14:paraId="1ECDAC2D">
      <w:pPr>
        <w:rPr>
          <w:rFonts w:ascii="宋体" w:hAnsi="宋体" w:eastAsia="宋体" w:cs="宋体"/>
          <w:b/>
          <w:bCs/>
          <w:color w:val="auto"/>
          <w:kern w:val="2"/>
          <w:highlight w:val="none"/>
          <w:lang w:bidi="ar"/>
        </w:rPr>
      </w:pPr>
      <w:r>
        <w:rPr>
          <w:rFonts w:hint="eastAsia" w:ascii="宋体" w:hAnsi="宋体" w:eastAsia="宋体" w:cs="宋体"/>
          <w:b/>
          <w:bCs/>
          <w:color w:val="auto"/>
          <w:kern w:val="2"/>
          <w:highlight w:val="none"/>
          <w:lang w:bidi="ar"/>
        </w:rPr>
        <w:t>1、商务技术部分（70分）：</w:t>
      </w:r>
    </w:p>
    <w:tbl>
      <w:tblPr>
        <w:tblStyle w:val="30"/>
        <w:tblW w:w="55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6924"/>
        <w:gridCol w:w="891"/>
        <w:gridCol w:w="1057"/>
      </w:tblGrid>
      <w:tr w14:paraId="032F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jc w:val="center"/>
        </w:trPr>
        <w:tc>
          <w:tcPr>
            <w:tcW w:w="379" w:type="pct"/>
            <w:shd w:val="clear" w:color="auto" w:fill="auto"/>
            <w:vAlign w:val="center"/>
          </w:tcPr>
          <w:p w14:paraId="26C924D5">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序号</w:t>
            </w:r>
          </w:p>
        </w:tc>
        <w:tc>
          <w:tcPr>
            <w:tcW w:w="3605" w:type="pct"/>
            <w:shd w:val="clear" w:color="auto" w:fill="auto"/>
            <w:vAlign w:val="center"/>
          </w:tcPr>
          <w:p w14:paraId="3E12AE46">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评审条款</w:t>
            </w:r>
          </w:p>
        </w:tc>
        <w:tc>
          <w:tcPr>
            <w:tcW w:w="464" w:type="pct"/>
            <w:shd w:val="clear" w:color="auto" w:fill="auto"/>
            <w:vAlign w:val="center"/>
          </w:tcPr>
          <w:p w14:paraId="6C390897">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分值</w:t>
            </w:r>
          </w:p>
          <w:p w14:paraId="76157CC6">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区间</w:t>
            </w:r>
          </w:p>
        </w:tc>
        <w:tc>
          <w:tcPr>
            <w:tcW w:w="550" w:type="pct"/>
            <w:shd w:val="clear" w:color="auto" w:fill="auto"/>
            <w:vAlign w:val="center"/>
          </w:tcPr>
          <w:p w14:paraId="284A6E04">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主客</w:t>
            </w:r>
          </w:p>
          <w:p w14:paraId="09DE9941">
            <w:pPr>
              <w:keepNext w:val="0"/>
              <w:keepLines w:val="0"/>
              <w:pageBreakBefore w:val="0"/>
              <w:widowControl w:val="0"/>
              <w:kinsoku/>
              <w:wordWrap/>
              <w:overflowPunct/>
              <w:topLinePunct w:val="0"/>
              <w:bidi w:val="0"/>
              <w:adjustRightInd/>
              <w:snapToGrid/>
              <w:spacing w:after="0" w:line="340" w:lineRule="exact"/>
              <w:jc w:val="center"/>
              <w:textAlignment w:val="auto"/>
              <w:rPr>
                <w:rFonts w:ascii="宋体" w:hAnsi="宋体" w:eastAsia="宋体" w:cs="宋体"/>
                <w:b/>
                <w:bCs/>
                <w:color w:val="auto"/>
                <w:highlight w:val="none"/>
                <w:lang w:bidi="ar"/>
              </w:rPr>
            </w:pPr>
            <w:r>
              <w:rPr>
                <w:rFonts w:hint="eastAsia" w:ascii="宋体" w:hAnsi="宋体" w:eastAsia="宋体" w:cs="宋体"/>
                <w:b/>
                <w:bCs/>
                <w:color w:val="auto"/>
                <w:highlight w:val="none"/>
                <w:lang w:bidi="ar"/>
              </w:rPr>
              <w:t>观分</w:t>
            </w:r>
          </w:p>
        </w:tc>
      </w:tr>
      <w:tr w14:paraId="7F19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379" w:type="pct"/>
            <w:shd w:val="clear" w:color="auto" w:fill="auto"/>
            <w:vAlign w:val="center"/>
          </w:tcPr>
          <w:p w14:paraId="0D077C2D">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w:t>
            </w:r>
          </w:p>
        </w:tc>
        <w:tc>
          <w:tcPr>
            <w:tcW w:w="3605" w:type="pct"/>
            <w:shd w:val="clear" w:color="auto" w:fill="auto"/>
          </w:tcPr>
          <w:p w14:paraId="4AD749B1">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管理体系认证：</w:t>
            </w:r>
          </w:p>
          <w:p w14:paraId="0FE02507">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b w:val="0"/>
                <w:bCs w:val="0"/>
                <w:color w:val="auto"/>
                <w:highlight w:val="none"/>
              </w:rPr>
              <w:t>投标人具有有效期内的质量管理体系认证证书、环境管理体系认证证书、职业健康安全管理体系认证证书。每项符合得1分，最高得3分。（同时提供有效证书复印件及国家认监委网站查询截图。）</w:t>
            </w:r>
          </w:p>
        </w:tc>
        <w:tc>
          <w:tcPr>
            <w:tcW w:w="464" w:type="pct"/>
            <w:shd w:val="clear" w:color="auto" w:fill="auto"/>
            <w:vAlign w:val="center"/>
          </w:tcPr>
          <w:p w14:paraId="749A0F62">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0-3分</w:t>
            </w:r>
          </w:p>
        </w:tc>
        <w:tc>
          <w:tcPr>
            <w:tcW w:w="550" w:type="pct"/>
            <w:shd w:val="clear" w:color="auto" w:fill="auto"/>
            <w:vAlign w:val="center"/>
          </w:tcPr>
          <w:p w14:paraId="7C899AF9">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客观分</w:t>
            </w:r>
          </w:p>
        </w:tc>
      </w:tr>
      <w:tr w14:paraId="6E60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379" w:type="pct"/>
            <w:shd w:val="clear" w:color="auto" w:fill="auto"/>
            <w:vAlign w:val="center"/>
          </w:tcPr>
          <w:p w14:paraId="64421FDC">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2</w:t>
            </w:r>
          </w:p>
        </w:tc>
        <w:tc>
          <w:tcPr>
            <w:tcW w:w="3605" w:type="pct"/>
            <w:shd w:val="clear" w:color="auto" w:fill="auto"/>
          </w:tcPr>
          <w:p w14:paraId="33AC2F4D">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业绩经验：</w:t>
            </w:r>
          </w:p>
          <w:p w14:paraId="195BAB24">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投标人具有2021年1月1日以来，同类家具项目业绩。每个业绩得1分，最高得3分。（提供合同复印件，以合同签订时间为准。）</w:t>
            </w:r>
          </w:p>
        </w:tc>
        <w:tc>
          <w:tcPr>
            <w:tcW w:w="464" w:type="pct"/>
            <w:shd w:val="clear" w:color="auto" w:fill="auto"/>
            <w:vAlign w:val="center"/>
          </w:tcPr>
          <w:p w14:paraId="47EEAF8A">
            <w:pPr>
              <w:pStyle w:val="8"/>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0-3分</w:t>
            </w:r>
          </w:p>
        </w:tc>
        <w:tc>
          <w:tcPr>
            <w:tcW w:w="550" w:type="pct"/>
            <w:shd w:val="clear" w:color="auto" w:fill="auto"/>
            <w:vAlign w:val="center"/>
          </w:tcPr>
          <w:p w14:paraId="3E9EA1D7">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客观分</w:t>
            </w:r>
          </w:p>
        </w:tc>
      </w:tr>
      <w:tr w14:paraId="4897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79" w:type="pct"/>
            <w:shd w:val="clear" w:color="auto" w:fill="auto"/>
            <w:vAlign w:val="center"/>
          </w:tcPr>
          <w:p w14:paraId="2421FE03">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3</w:t>
            </w:r>
          </w:p>
        </w:tc>
        <w:tc>
          <w:tcPr>
            <w:tcW w:w="3605" w:type="pct"/>
            <w:shd w:val="clear" w:color="auto" w:fill="auto"/>
            <w:vAlign w:val="center"/>
          </w:tcPr>
          <w:p w14:paraId="7EBB9E00">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技术研发能力：</w:t>
            </w:r>
          </w:p>
          <w:p w14:paraId="0A51CAC3">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投标人具有与所投产品相关的发明专利、实用新型专利、外观专利等，每提供1项专利得1分，最高得3分</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（以有效专利证书复印件为准）</w:t>
            </w:r>
          </w:p>
        </w:tc>
        <w:tc>
          <w:tcPr>
            <w:tcW w:w="464" w:type="pct"/>
            <w:shd w:val="clear" w:color="auto" w:fill="auto"/>
            <w:vAlign w:val="center"/>
          </w:tcPr>
          <w:p w14:paraId="1915DA9E">
            <w:pPr>
              <w:pStyle w:val="8"/>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0-3分</w:t>
            </w:r>
          </w:p>
        </w:tc>
        <w:tc>
          <w:tcPr>
            <w:tcW w:w="550" w:type="pct"/>
            <w:shd w:val="clear" w:color="auto" w:fill="auto"/>
            <w:vAlign w:val="center"/>
          </w:tcPr>
          <w:p w14:paraId="51D179A8">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客观分</w:t>
            </w:r>
          </w:p>
        </w:tc>
      </w:tr>
      <w:tr w14:paraId="10AE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7BBE0719">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4</w:t>
            </w:r>
          </w:p>
        </w:tc>
        <w:tc>
          <w:tcPr>
            <w:tcW w:w="3605" w:type="pct"/>
            <w:shd w:val="clear" w:color="auto" w:fill="auto"/>
            <w:vAlign w:val="center"/>
          </w:tcPr>
          <w:p w14:paraId="5B18F4F4">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团队人员技术力量：</w:t>
            </w:r>
          </w:p>
          <w:p w14:paraId="5DDB26AA">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根据投标人提供的团队人员技术情况说明综合评定。包括①团队人员履历及经验；②团队人员配备分工方案；③团队人员职业技能水平。本项得分3-2-1-0分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1CFC11C0">
            <w:pPr>
              <w:pStyle w:val="8"/>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0-3分</w:t>
            </w:r>
          </w:p>
        </w:tc>
        <w:tc>
          <w:tcPr>
            <w:tcW w:w="550" w:type="pct"/>
            <w:shd w:val="clear" w:color="auto" w:fill="auto"/>
            <w:vAlign w:val="center"/>
          </w:tcPr>
          <w:p w14:paraId="7207CDB9">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主观分</w:t>
            </w:r>
          </w:p>
        </w:tc>
      </w:tr>
      <w:tr w14:paraId="1361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78BACF28">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5</w:t>
            </w:r>
          </w:p>
        </w:tc>
        <w:tc>
          <w:tcPr>
            <w:tcW w:w="3605" w:type="pct"/>
            <w:shd w:val="clear" w:color="auto" w:fill="auto"/>
          </w:tcPr>
          <w:p w14:paraId="1E3D3444">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1、技术要求（成品列表）响应情况：</w:t>
            </w:r>
          </w:p>
          <w:p w14:paraId="7007A5A2">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普通指标每有1项负偏离扣0.5分。</w:t>
            </w:r>
          </w:p>
          <w:p w14:paraId="70D66B61">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2、技术要求（原材料列表）响应情况：</w:t>
            </w:r>
          </w:p>
          <w:p w14:paraId="4E05DF27">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标</w:t>
            </w:r>
            <w:r>
              <w:rPr>
                <w:rFonts w:hint="eastAsia" w:ascii="宋体" w:hAnsi="宋体" w:eastAsia="宋体" w:cs="宋体"/>
                <w:b/>
                <w:bCs/>
                <w:color w:val="auto"/>
                <w:highlight w:val="none"/>
              </w:rPr>
              <w:t>◆</w:t>
            </w:r>
            <w:r>
              <w:rPr>
                <w:rFonts w:hint="eastAsia" w:ascii="宋体" w:hAnsi="宋体" w:eastAsia="宋体" w:cs="宋体"/>
                <w:color w:val="auto"/>
                <w:highlight w:val="none"/>
              </w:rPr>
              <w:t>的指标每有1项负偏离扣1分，标</w:t>
            </w:r>
            <w:r>
              <w:rPr>
                <w:rFonts w:hint="eastAsia" w:ascii="宋体" w:hAnsi="宋体" w:eastAsia="宋体" w:cs="宋体"/>
                <w:b/>
                <w:bCs/>
                <w:color w:val="auto"/>
                <w:highlight w:val="none"/>
              </w:rPr>
              <w:t>◇</w:t>
            </w:r>
            <w:r>
              <w:rPr>
                <w:rFonts w:hint="eastAsia" w:ascii="宋体" w:hAnsi="宋体" w:eastAsia="宋体" w:cs="宋体"/>
                <w:color w:val="auto"/>
                <w:highlight w:val="none"/>
              </w:rPr>
              <w:t>的指标每有一项负偏离扣0.5分；</w:t>
            </w:r>
          </w:p>
          <w:p w14:paraId="031E8D1D">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3、技术要求（成品检测要求列表）响应情况：</w:t>
            </w:r>
          </w:p>
          <w:p w14:paraId="78EAE0F0">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标</w:t>
            </w:r>
            <w:r>
              <w:rPr>
                <w:rFonts w:hint="eastAsia" w:ascii="宋体" w:hAnsi="宋体" w:eastAsia="宋体" w:cs="宋体"/>
                <w:b/>
                <w:bCs/>
                <w:color w:val="auto"/>
                <w:highlight w:val="none"/>
              </w:rPr>
              <w:t>◆</w:t>
            </w:r>
            <w:r>
              <w:rPr>
                <w:rFonts w:hint="eastAsia" w:ascii="宋体" w:hAnsi="宋体" w:eastAsia="宋体" w:cs="宋体"/>
                <w:color w:val="auto"/>
                <w:highlight w:val="none"/>
              </w:rPr>
              <w:t>的指标每有1项负偏离扣1分，标</w:t>
            </w:r>
            <w:r>
              <w:rPr>
                <w:rFonts w:hint="eastAsia" w:ascii="宋体" w:hAnsi="宋体" w:eastAsia="宋体" w:cs="宋体"/>
                <w:b/>
                <w:bCs/>
                <w:color w:val="auto"/>
                <w:highlight w:val="none"/>
              </w:rPr>
              <w:t>◇</w:t>
            </w:r>
            <w:r>
              <w:rPr>
                <w:rFonts w:hint="eastAsia" w:ascii="宋体" w:hAnsi="宋体" w:eastAsia="宋体" w:cs="宋体"/>
                <w:color w:val="auto"/>
                <w:highlight w:val="none"/>
              </w:rPr>
              <w:t>的指标每有一项负偏离扣0.5分；</w:t>
            </w:r>
          </w:p>
          <w:p w14:paraId="11599CEA">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以上三项总分20分，扣完为止。</w:t>
            </w:r>
          </w:p>
          <w:p w14:paraId="017CB124">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kern w:val="2"/>
                <w:highlight w:val="none"/>
              </w:rPr>
            </w:pPr>
            <w:r>
              <w:rPr>
                <w:rFonts w:hint="eastAsia" w:ascii="宋体" w:hAnsi="宋体" w:eastAsia="宋体" w:cs="宋体"/>
                <w:color w:val="auto"/>
                <w:highlight w:val="none"/>
              </w:rPr>
              <w:t>（注：标</w:t>
            </w:r>
            <w:r>
              <w:rPr>
                <w:rFonts w:hint="eastAsia" w:ascii="宋体" w:hAnsi="宋体" w:eastAsia="宋体" w:cs="宋体"/>
                <w:b/>
                <w:bCs/>
                <w:color w:val="auto"/>
                <w:highlight w:val="none"/>
              </w:rPr>
              <w:t>◆</w:t>
            </w:r>
            <w:r>
              <w:rPr>
                <w:rFonts w:hint="eastAsia" w:ascii="宋体" w:hAnsi="宋体" w:eastAsia="宋体" w:cs="宋体"/>
                <w:color w:val="auto"/>
                <w:highlight w:val="none"/>
              </w:rPr>
              <w:t>的指标须投标人提供2023年1月1日至本项目投标截止时间之前带有“CMA和CNAS”标志国家认可的第三方质量检验检测中心出具的原材料（或成品）抽样检验报告扫描件及官方网站查询截图证明，并加盖投标人公章。）</w:t>
            </w:r>
          </w:p>
        </w:tc>
        <w:tc>
          <w:tcPr>
            <w:tcW w:w="464" w:type="pct"/>
            <w:shd w:val="clear" w:color="auto" w:fill="auto"/>
            <w:vAlign w:val="center"/>
          </w:tcPr>
          <w:p w14:paraId="643FA481">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kern w:val="2"/>
                <w:highlight w:val="none"/>
              </w:rPr>
            </w:pPr>
            <w:r>
              <w:rPr>
                <w:rFonts w:hint="eastAsia" w:ascii="宋体" w:hAnsi="宋体" w:eastAsia="宋体" w:cs="宋体"/>
                <w:color w:val="auto"/>
                <w:highlight w:val="none"/>
              </w:rPr>
              <w:t>0-20分</w:t>
            </w:r>
          </w:p>
        </w:tc>
        <w:tc>
          <w:tcPr>
            <w:tcW w:w="550" w:type="pct"/>
            <w:shd w:val="clear" w:color="auto" w:fill="auto"/>
            <w:vAlign w:val="center"/>
          </w:tcPr>
          <w:p w14:paraId="5FBCE320">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kern w:val="2"/>
                <w:highlight w:val="none"/>
              </w:rPr>
            </w:pPr>
            <w:r>
              <w:rPr>
                <w:rFonts w:hint="eastAsia" w:ascii="宋体" w:hAnsi="宋体" w:eastAsia="宋体" w:cs="宋体"/>
                <w:color w:val="auto"/>
                <w:highlight w:val="none"/>
              </w:rPr>
              <w:t>客观分</w:t>
            </w:r>
          </w:p>
        </w:tc>
      </w:tr>
      <w:tr w14:paraId="2001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5A0113E3">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6</w:t>
            </w:r>
          </w:p>
        </w:tc>
        <w:tc>
          <w:tcPr>
            <w:tcW w:w="3605" w:type="pct"/>
            <w:shd w:val="clear" w:color="auto" w:fill="auto"/>
          </w:tcPr>
          <w:p w14:paraId="26114C8B">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质保承诺：</w:t>
            </w:r>
          </w:p>
          <w:p w14:paraId="77C7A247">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b w:val="0"/>
                <w:bCs w:val="0"/>
                <w:color w:val="auto"/>
                <w:highlight w:val="none"/>
              </w:rPr>
              <w:t>符合项目质保期要求的基础上，每增加1年质保期得1分，最高得2分。</w:t>
            </w:r>
          </w:p>
        </w:tc>
        <w:tc>
          <w:tcPr>
            <w:tcW w:w="464" w:type="pct"/>
            <w:shd w:val="clear" w:color="auto" w:fill="auto"/>
            <w:vAlign w:val="center"/>
          </w:tcPr>
          <w:p w14:paraId="7DA0A8E6">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0-2分</w:t>
            </w:r>
          </w:p>
        </w:tc>
        <w:tc>
          <w:tcPr>
            <w:tcW w:w="550" w:type="pct"/>
            <w:shd w:val="clear" w:color="auto" w:fill="auto"/>
            <w:vAlign w:val="center"/>
          </w:tcPr>
          <w:p w14:paraId="2421F667">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客观分</w:t>
            </w:r>
          </w:p>
        </w:tc>
      </w:tr>
      <w:tr w14:paraId="4AAE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79" w:type="pct"/>
            <w:shd w:val="clear" w:color="auto" w:fill="auto"/>
            <w:vAlign w:val="center"/>
          </w:tcPr>
          <w:p w14:paraId="71D67D9B">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7</w:t>
            </w:r>
          </w:p>
        </w:tc>
        <w:tc>
          <w:tcPr>
            <w:tcW w:w="3605" w:type="pct"/>
            <w:shd w:val="clear" w:color="auto" w:fill="auto"/>
            <w:vAlign w:val="center"/>
          </w:tcPr>
          <w:p w14:paraId="3339C5CB">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项目实施规划方案：</w:t>
            </w:r>
          </w:p>
          <w:p w14:paraId="49BE6E89">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方案包含①项目分解节点、②可跟踪实施进行描述。根据投标方案内容综合评定。本项得分4-3-2-1-0分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1B6810DB">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0-4分</w:t>
            </w:r>
          </w:p>
        </w:tc>
        <w:tc>
          <w:tcPr>
            <w:tcW w:w="550" w:type="pct"/>
            <w:shd w:val="clear" w:color="auto" w:fill="auto"/>
            <w:vAlign w:val="center"/>
          </w:tcPr>
          <w:p w14:paraId="08F5206A">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主观分</w:t>
            </w:r>
          </w:p>
        </w:tc>
      </w:tr>
      <w:tr w14:paraId="6603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shd w:val="clear" w:color="auto" w:fill="auto"/>
            <w:vAlign w:val="center"/>
          </w:tcPr>
          <w:p w14:paraId="2CD74F49">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8</w:t>
            </w:r>
          </w:p>
        </w:tc>
        <w:tc>
          <w:tcPr>
            <w:tcW w:w="3605" w:type="pct"/>
            <w:shd w:val="clear" w:color="auto" w:fill="auto"/>
            <w:vAlign w:val="center"/>
          </w:tcPr>
          <w:p w14:paraId="5852E4A2">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生产实施方案：</w:t>
            </w:r>
          </w:p>
          <w:p w14:paraId="5559B760">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方案包含①生产进度计划；②原材料采购方案；③生产投入设备方案；④突发事件预案。根据投标方案内容综合评定。本项得分3-2-1-0分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4F956376">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0-3分</w:t>
            </w:r>
          </w:p>
        </w:tc>
        <w:tc>
          <w:tcPr>
            <w:tcW w:w="550" w:type="pct"/>
            <w:shd w:val="clear" w:color="auto" w:fill="auto"/>
            <w:vAlign w:val="center"/>
          </w:tcPr>
          <w:p w14:paraId="14A5231A">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spacing w:val="5"/>
                <w:highlight w:val="none"/>
              </w:rPr>
            </w:pPr>
            <w:r>
              <w:rPr>
                <w:rFonts w:hint="eastAsia" w:ascii="宋体" w:hAnsi="宋体" w:eastAsia="宋体" w:cs="宋体"/>
                <w:color w:val="auto"/>
                <w:spacing w:val="5"/>
                <w:highlight w:val="none"/>
              </w:rPr>
              <w:t>主观分</w:t>
            </w:r>
          </w:p>
        </w:tc>
      </w:tr>
      <w:tr w14:paraId="48D8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09D9C48A">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9</w:t>
            </w:r>
          </w:p>
        </w:tc>
        <w:tc>
          <w:tcPr>
            <w:tcW w:w="3605" w:type="pct"/>
            <w:shd w:val="clear" w:color="auto" w:fill="auto"/>
            <w:vAlign w:val="center"/>
          </w:tcPr>
          <w:p w14:paraId="52CC6343">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品质管理管控方案：</w:t>
            </w:r>
          </w:p>
          <w:p w14:paraId="35ABB130">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方案包含①品管部门和品管专员配备方案；②原材料品控方案；③生产环节及成品品控方案。根据投标方案内容综合评定。本项得分3-2-1-0分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7DC02B57">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0-3分</w:t>
            </w:r>
          </w:p>
        </w:tc>
        <w:tc>
          <w:tcPr>
            <w:tcW w:w="550" w:type="pct"/>
            <w:shd w:val="clear" w:color="auto" w:fill="auto"/>
            <w:vAlign w:val="center"/>
          </w:tcPr>
          <w:p w14:paraId="13A2ADC3">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主观分</w:t>
            </w:r>
          </w:p>
        </w:tc>
      </w:tr>
      <w:tr w14:paraId="3E0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0DDE0EFD">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10</w:t>
            </w:r>
          </w:p>
        </w:tc>
        <w:tc>
          <w:tcPr>
            <w:tcW w:w="3605" w:type="pct"/>
            <w:shd w:val="clear" w:color="auto" w:fill="auto"/>
            <w:vAlign w:val="center"/>
          </w:tcPr>
          <w:p w14:paraId="318CC1CD">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安装服务实施方案：</w:t>
            </w:r>
          </w:p>
          <w:p w14:paraId="0C6343B0">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方案包含①安装方案（落实送货安装时间和人员安排）；②货物交付具体时间节点；③成品保护措施。根据投标方案内容综合评定。本项得分3-2-1-0分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470832E8">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0-3分</w:t>
            </w:r>
          </w:p>
        </w:tc>
        <w:tc>
          <w:tcPr>
            <w:tcW w:w="550" w:type="pct"/>
            <w:shd w:val="clear" w:color="auto" w:fill="auto"/>
            <w:vAlign w:val="center"/>
          </w:tcPr>
          <w:p w14:paraId="14036680">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主观分</w:t>
            </w:r>
          </w:p>
        </w:tc>
      </w:tr>
      <w:tr w14:paraId="13E0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43164D81">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11</w:t>
            </w:r>
          </w:p>
        </w:tc>
        <w:tc>
          <w:tcPr>
            <w:tcW w:w="3605" w:type="pct"/>
            <w:shd w:val="clear" w:color="auto" w:fill="auto"/>
            <w:vAlign w:val="center"/>
          </w:tcPr>
          <w:p w14:paraId="65156DE9">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售后服务方案：</w:t>
            </w:r>
          </w:p>
          <w:p w14:paraId="14727E4E">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方案包含①详细完整的“三包”措施；②售后服务措施和方案（包括服务措施、产品质量保证、回访等）；③备品备件方案；④使用或保养培训方案。根据投标方案内容综合评定。本项得分4-3-2-1-0分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33B53968">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0-4分</w:t>
            </w:r>
          </w:p>
        </w:tc>
        <w:tc>
          <w:tcPr>
            <w:tcW w:w="550" w:type="pct"/>
            <w:shd w:val="clear" w:color="auto" w:fill="auto"/>
            <w:vAlign w:val="center"/>
          </w:tcPr>
          <w:p w14:paraId="346B2A9B">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主观分</w:t>
            </w:r>
          </w:p>
        </w:tc>
      </w:tr>
      <w:tr w14:paraId="269C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0AC2DFFD">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12</w:t>
            </w:r>
          </w:p>
        </w:tc>
        <w:tc>
          <w:tcPr>
            <w:tcW w:w="3605" w:type="pct"/>
            <w:shd w:val="clear" w:color="auto" w:fill="auto"/>
            <w:vAlign w:val="center"/>
          </w:tcPr>
          <w:p w14:paraId="7CB7EEEC">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color w:val="auto"/>
                <w:highlight w:val="none"/>
              </w:rPr>
            </w:pPr>
            <w:r>
              <w:rPr>
                <w:rFonts w:hint="eastAsia" w:ascii="宋体" w:hAnsi="宋体" w:eastAsia="宋体" w:cs="宋体"/>
                <w:color w:val="auto"/>
                <w:highlight w:val="none"/>
              </w:rPr>
              <w:t>特色服务举措：</w:t>
            </w:r>
          </w:p>
          <w:p w14:paraId="749869FA">
            <w:pPr>
              <w:pStyle w:val="8"/>
              <w:keepNext w:val="0"/>
              <w:keepLines w:val="0"/>
              <w:pageBreakBefore w:val="0"/>
              <w:kinsoku/>
              <w:wordWrap/>
              <w:overflowPunct/>
              <w:topLinePunct w:val="0"/>
              <w:bidi w:val="0"/>
              <w:adjustRightInd/>
              <w:snapToGrid/>
              <w:spacing w:line="340" w:lineRule="exact"/>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根据投标人提出的针对本项目的特色服务举措（或合理化建议）综合评定。每条措施需包括①现状分析、②措施方案，本项得分4-3-2-1-0分</w:t>
            </w:r>
            <w:r>
              <w:rPr>
                <w:rFonts w:hint="eastAsia" w:ascii="宋体" w:hAnsi="宋体" w:eastAsia="宋体" w:cs="宋体"/>
                <w:b w:val="0"/>
                <w:bCs w:val="0"/>
                <w:color w:val="auto"/>
                <w:highlight w:val="none"/>
                <w:lang w:eastAsia="zh-CN"/>
              </w:rPr>
              <w:t>。</w:t>
            </w:r>
          </w:p>
        </w:tc>
        <w:tc>
          <w:tcPr>
            <w:tcW w:w="464" w:type="pct"/>
            <w:shd w:val="clear" w:color="auto" w:fill="auto"/>
            <w:vAlign w:val="center"/>
          </w:tcPr>
          <w:p w14:paraId="66AE3AB0">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0-4分</w:t>
            </w:r>
          </w:p>
        </w:tc>
        <w:tc>
          <w:tcPr>
            <w:tcW w:w="550" w:type="pct"/>
            <w:shd w:val="clear" w:color="auto" w:fill="auto"/>
            <w:vAlign w:val="center"/>
          </w:tcPr>
          <w:p w14:paraId="7C8FDA4E">
            <w:pPr>
              <w:keepNext w:val="0"/>
              <w:keepLines w:val="0"/>
              <w:pageBreakBefore w:val="0"/>
              <w:kinsoku/>
              <w:wordWrap/>
              <w:overflowPunct/>
              <w:topLinePunct w:val="0"/>
              <w:bidi w:val="0"/>
              <w:adjustRightInd/>
              <w:snapToGrid/>
              <w:spacing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主观分</w:t>
            </w:r>
          </w:p>
        </w:tc>
      </w:tr>
      <w:tr w14:paraId="5CCF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9" w:type="pct"/>
            <w:shd w:val="clear" w:color="auto" w:fill="auto"/>
            <w:vAlign w:val="center"/>
          </w:tcPr>
          <w:p w14:paraId="11553B07">
            <w:pPr>
              <w:pStyle w:val="27"/>
              <w:keepNext w:val="0"/>
              <w:keepLines w:val="0"/>
              <w:pageBreakBefore w:val="0"/>
              <w:kinsoku/>
              <w:wordWrap/>
              <w:overflowPunct/>
              <w:topLinePunct w:val="0"/>
              <w:bidi w:val="0"/>
              <w:adjustRightInd/>
              <w:snapToGrid/>
              <w:spacing w:beforeAutospacing="0" w:afterAutospacing="0" w:line="340" w:lineRule="exact"/>
              <w:jc w:val="center"/>
              <w:textAlignment w:val="auto"/>
              <w:rPr>
                <w:rFonts w:ascii="宋体" w:hAnsi="宋体" w:eastAsia="宋体" w:cs="宋体"/>
                <w:color w:val="auto"/>
                <w:highlight w:val="none"/>
              </w:rPr>
            </w:pPr>
            <w:r>
              <w:rPr>
                <w:rFonts w:hint="eastAsia" w:ascii="宋体" w:hAnsi="宋体" w:eastAsia="宋体" w:cs="宋体"/>
                <w:color w:val="auto"/>
                <w:highlight w:val="none"/>
              </w:rPr>
              <w:t>13</w:t>
            </w:r>
          </w:p>
        </w:tc>
        <w:tc>
          <w:tcPr>
            <w:tcW w:w="3605" w:type="pct"/>
            <w:shd w:val="clear" w:color="auto" w:fill="auto"/>
            <w:vAlign w:val="center"/>
          </w:tcPr>
          <w:p w14:paraId="2A620B74">
            <w:pPr>
              <w:keepNext w:val="0"/>
              <w:keepLines w:val="0"/>
              <w:pageBreakBefore w:val="0"/>
              <w:kinsoku/>
              <w:wordWrap/>
              <w:overflowPunct/>
              <w:topLinePunct w:val="0"/>
              <w:autoSpaceDE w:val="0"/>
              <w:autoSpaceDN w:val="0"/>
              <w:bidi w:val="0"/>
              <w:adjustRightInd/>
              <w:snapToGrid/>
              <w:spacing w:after="0" w:line="340" w:lineRule="exact"/>
              <w:textAlignment w:val="auto"/>
              <w:rPr>
                <w:rFonts w:ascii="宋体" w:hAnsi="宋体" w:eastAsia="宋体" w:cs="宋体"/>
                <w:color w:val="auto"/>
                <w:kern w:val="2"/>
                <w:highlight w:val="none"/>
              </w:rPr>
            </w:pPr>
            <w:r>
              <w:rPr>
                <w:rFonts w:hint="eastAsia" w:ascii="宋体" w:hAnsi="宋体" w:eastAsia="宋体" w:cs="宋体"/>
                <w:color w:val="auto"/>
                <w:highlight w:val="none"/>
              </w:rPr>
              <w:t>投标时提供</w:t>
            </w:r>
            <w:r>
              <w:rPr>
                <w:rFonts w:hint="eastAsia" w:ascii="宋体" w:hAnsi="宋体" w:eastAsia="宋体" w:cs="宋体"/>
                <w:color w:val="auto"/>
                <w:highlight w:val="none"/>
                <w:u w:val="single"/>
              </w:rPr>
              <w:t>床头柜、双人位沙发、衣柜</w:t>
            </w:r>
            <w:r>
              <w:rPr>
                <w:rFonts w:hint="eastAsia" w:ascii="宋体" w:hAnsi="宋体" w:eastAsia="宋体" w:cs="宋体"/>
                <w:color w:val="auto"/>
                <w:highlight w:val="none"/>
              </w:rPr>
              <w:t>样品进行评审。未提供样品废标，中标单位的样品封存。</w:t>
            </w:r>
          </w:p>
          <w:p w14:paraId="67336A74">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一、制作工艺及质量：</w:t>
            </w:r>
          </w:p>
          <w:p w14:paraId="101D0DC6">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从①外表结合处缝隙情况及配件结合处紧密程度、②安装扎实程度、③贴面拼贴严密及平整程度综合评分，本项得分3-2-1-0分。</w:t>
            </w:r>
          </w:p>
          <w:p w14:paraId="34703F70">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二、用材情况：</w:t>
            </w:r>
          </w:p>
          <w:p w14:paraId="6CFC9C2F">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从①主材用材情况、②五金件质量、③配件质量等方面综合评定，本项得分3-2-1-0分。</w:t>
            </w:r>
          </w:p>
          <w:p w14:paraId="4E885778">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三、细节处理程度：根据细节处理程度综合评定，本项得分3-2-1-0分。</w:t>
            </w:r>
          </w:p>
          <w:p w14:paraId="6834C6D5">
            <w:pPr>
              <w:pStyle w:val="3"/>
              <w:keepNext w:val="0"/>
              <w:keepLines w:val="0"/>
              <w:pageBreakBefore w:val="0"/>
              <w:widowControl/>
              <w:kinsoku/>
              <w:wordWrap/>
              <w:overflowPunct/>
              <w:topLinePunct w:val="0"/>
              <w:bidi w:val="0"/>
              <w:adjustRightInd/>
              <w:snapToGrid/>
              <w:spacing w:line="340" w:lineRule="exact"/>
              <w:ind w:firstLine="0" w:firstLineChars="0"/>
              <w:jc w:val="left"/>
              <w:textAlignment w:val="auto"/>
              <w:rPr>
                <w:rFonts w:cs="宋体"/>
                <w:color w:val="auto"/>
                <w:kern w:val="0"/>
                <w:highlight w:val="none"/>
              </w:rPr>
            </w:pPr>
            <w:r>
              <w:rPr>
                <w:rFonts w:hint="eastAsia" w:cs="宋体"/>
                <w:color w:val="auto"/>
                <w:kern w:val="0"/>
                <w:highlight w:val="none"/>
              </w:rPr>
              <w:t>四、功能性和实用性：根据①结构设计合理性、②使用舒适性、③功能性等方面综合评定，本项得分3-2-1-0分。</w:t>
            </w:r>
          </w:p>
          <w:p w14:paraId="2FCCF217">
            <w:pPr>
              <w:pStyle w:val="8"/>
              <w:keepNext w:val="0"/>
              <w:keepLines w:val="0"/>
              <w:pageBreakBefore w:val="0"/>
              <w:kinsoku/>
              <w:wordWrap/>
              <w:overflowPunct/>
              <w:topLinePunct w:val="0"/>
              <w:bidi w:val="0"/>
              <w:adjustRightInd/>
              <w:snapToGrid/>
              <w:spacing w:line="340" w:lineRule="exact"/>
              <w:textAlignment w:val="auto"/>
              <w:rPr>
                <w:rFonts w:ascii="宋体" w:hAnsi="宋体" w:eastAsia="宋体" w:cs="宋体"/>
                <w:b w:val="0"/>
                <w:bCs w:val="0"/>
                <w:color w:val="auto"/>
                <w:highlight w:val="none"/>
              </w:rPr>
            </w:pPr>
            <w:r>
              <w:rPr>
                <w:rFonts w:hint="eastAsia" w:ascii="宋体" w:hAnsi="宋体" w:eastAsia="宋体" w:cs="宋体"/>
                <w:b w:val="0"/>
                <w:bCs w:val="0"/>
                <w:color w:val="auto"/>
                <w:highlight w:val="none"/>
              </w:rPr>
              <w:t>五、设计能力及美观程度：根据①外观整体效果、②美观性、③设计感等方面综合评定，本项得分3-2-1-0分。</w:t>
            </w:r>
          </w:p>
        </w:tc>
        <w:tc>
          <w:tcPr>
            <w:tcW w:w="464" w:type="pct"/>
            <w:shd w:val="clear" w:color="auto" w:fill="auto"/>
            <w:vAlign w:val="center"/>
          </w:tcPr>
          <w:p w14:paraId="274EEA5B">
            <w:pPr>
              <w:keepNext w:val="0"/>
              <w:keepLines w:val="0"/>
              <w:pageBreakBefore w:val="0"/>
              <w:kinsoku/>
              <w:wordWrap/>
              <w:overflowPunct/>
              <w:topLinePunct w:val="0"/>
              <w:bidi w:val="0"/>
              <w:adjustRightInd/>
              <w:snapToGrid/>
              <w:spacing w:after="0" w:line="340" w:lineRule="exact"/>
              <w:jc w:val="center"/>
              <w:textAlignment w:val="auto"/>
              <w:rPr>
                <w:rFonts w:ascii="宋体" w:hAnsi="宋体" w:eastAsia="宋体" w:cs="宋体"/>
                <w:color w:val="auto"/>
                <w:kern w:val="2"/>
                <w:highlight w:val="none"/>
              </w:rPr>
            </w:pPr>
            <w:r>
              <w:rPr>
                <w:rFonts w:hint="eastAsia" w:ascii="宋体" w:hAnsi="宋体" w:eastAsia="宋体" w:cs="宋体"/>
                <w:color w:val="auto"/>
                <w:highlight w:val="none"/>
              </w:rPr>
              <w:t>0-15分</w:t>
            </w:r>
          </w:p>
        </w:tc>
        <w:tc>
          <w:tcPr>
            <w:tcW w:w="550" w:type="pct"/>
            <w:shd w:val="clear" w:color="auto" w:fill="auto"/>
            <w:vAlign w:val="center"/>
          </w:tcPr>
          <w:p w14:paraId="31D69590">
            <w:pPr>
              <w:keepNext w:val="0"/>
              <w:keepLines w:val="0"/>
              <w:pageBreakBefore w:val="0"/>
              <w:kinsoku/>
              <w:wordWrap/>
              <w:overflowPunct/>
              <w:topLinePunct w:val="0"/>
              <w:bidi w:val="0"/>
              <w:adjustRightInd/>
              <w:snapToGrid/>
              <w:spacing w:after="0" w:line="340" w:lineRule="exact"/>
              <w:textAlignment w:val="auto"/>
              <w:rPr>
                <w:rFonts w:ascii="宋体" w:hAnsi="宋体" w:eastAsia="宋体" w:cs="宋体"/>
                <w:color w:val="auto"/>
                <w:kern w:val="2"/>
                <w:highlight w:val="none"/>
              </w:rPr>
            </w:pPr>
            <w:r>
              <w:rPr>
                <w:rFonts w:hint="eastAsia" w:ascii="宋体" w:hAnsi="宋体" w:eastAsia="宋体" w:cs="宋体"/>
                <w:color w:val="auto"/>
                <w:highlight w:val="none"/>
              </w:rPr>
              <w:t>主观分</w:t>
            </w:r>
          </w:p>
        </w:tc>
      </w:tr>
    </w:tbl>
    <w:p w14:paraId="0CB808E0">
      <w:pPr>
        <w:rPr>
          <w:rFonts w:hint="eastAsia" w:ascii="宋体" w:hAnsi="宋体" w:eastAsia="宋体" w:cs="宋体"/>
          <w:b/>
          <w:bCs/>
          <w:color w:val="auto"/>
          <w:kern w:val="2"/>
          <w:highlight w:val="none"/>
          <w:lang w:bidi="ar"/>
        </w:rPr>
      </w:pPr>
      <w:r>
        <w:rPr>
          <w:rFonts w:hint="eastAsia" w:ascii="宋体" w:hAnsi="宋体" w:eastAsia="宋体" w:cs="宋体"/>
          <w:b/>
          <w:bCs/>
          <w:color w:val="auto"/>
          <w:kern w:val="2"/>
          <w:highlight w:val="none"/>
          <w:lang w:bidi="ar"/>
        </w:rPr>
        <w:br w:type="page"/>
      </w:r>
    </w:p>
    <w:p w14:paraId="2F92FB68">
      <w:pPr>
        <w:adjustRightInd w:val="0"/>
        <w:spacing w:after="0" w:line="360" w:lineRule="auto"/>
        <w:ind w:firstLine="482" w:firstLineChars="200"/>
        <w:jc w:val="both"/>
        <w:rPr>
          <w:rFonts w:hint="eastAsia" w:ascii="宋体" w:hAnsi="宋体" w:eastAsia="宋体" w:cs="宋体"/>
          <w:b/>
          <w:bCs/>
          <w:color w:val="auto"/>
          <w:highlight w:val="none"/>
          <w:lang w:eastAsia="zh-CN"/>
        </w:rPr>
      </w:pPr>
      <w:r>
        <w:rPr>
          <w:rFonts w:hint="eastAsia" w:ascii="宋体" w:hAnsi="宋体" w:eastAsia="宋体" w:cs="宋体"/>
          <w:b/>
          <w:bCs/>
          <w:color w:val="auto"/>
          <w:kern w:val="2"/>
          <w:highlight w:val="none"/>
          <w:lang w:bidi="ar"/>
        </w:rPr>
        <w:t>2、价格</w:t>
      </w:r>
      <w:r>
        <w:rPr>
          <w:rFonts w:hint="eastAsia" w:ascii="宋体" w:hAnsi="宋体" w:eastAsia="宋体" w:cs="宋体"/>
          <w:b/>
          <w:bCs/>
          <w:color w:val="auto"/>
          <w:kern w:val="2"/>
          <w:highlight w:val="none"/>
          <w:lang w:val="en-US" w:eastAsia="zh-CN" w:bidi="ar"/>
        </w:rPr>
        <w:t>部分</w:t>
      </w:r>
      <w:r>
        <w:rPr>
          <w:rFonts w:hint="eastAsia" w:ascii="宋体" w:hAnsi="宋体" w:eastAsia="宋体" w:cs="宋体"/>
          <w:b/>
          <w:bCs/>
          <w:color w:val="auto"/>
          <w:kern w:val="2"/>
          <w:highlight w:val="none"/>
          <w:lang w:bidi="ar"/>
        </w:rPr>
        <w:t>（30分）</w:t>
      </w:r>
      <w:r>
        <w:rPr>
          <w:rFonts w:hint="eastAsia" w:ascii="宋体" w:hAnsi="宋体" w:eastAsia="宋体" w:cs="宋体"/>
          <w:b/>
          <w:bCs/>
          <w:color w:val="auto"/>
          <w:kern w:val="2"/>
          <w:highlight w:val="none"/>
          <w:lang w:eastAsia="zh-CN" w:bidi="ar"/>
        </w:rPr>
        <w:t>：</w:t>
      </w:r>
    </w:p>
    <w:tbl>
      <w:tblPr>
        <w:tblStyle w:val="30"/>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6880"/>
      </w:tblGrid>
      <w:tr w14:paraId="556E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5BAFD86">
            <w:pPr>
              <w:widowControl w:val="0"/>
              <w:spacing w:after="0" w:line="240" w:lineRule="auto"/>
              <w:jc w:val="center"/>
              <w:rPr>
                <w:rFonts w:ascii="宋体" w:hAnsi="宋体" w:eastAsia="宋体" w:cs="宋体"/>
                <w:color w:val="auto"/>
                <w:highlight w:val="none"/>
              </w:rPr>
            </w:pPr>
            <w:r>
              <w:rPr>
                <w:rFonts w:hint="eastAsia" w:ascii="宋体" w:hAnsi="宋体" w:eastAsia="宋体" w:cs="宋体"/>
                <w:color w:val="auto"/>
                <w:kern w:val="2"/>
                <w:highlight w:val="none"/>
                <w:lang w:bidi="ar"/>
              </w:rPr>
              <w:t>价格权值</w:t>
            </w:r>
          </w:p>
        </w:tc>
        <w:tc>
          <w:tcPr>
            <w:tcW w:w="6880" w:type="dxa"/>
            <w:tcBorders>
              <w:top w:val="single" w:color="auto" w:sz="4" w:space="0"/>
              <w:left w:val="single" w:color="auto" w:sz="4" w:space="0"/>
              <w:bottom w:val="single" w:color="auto" w:sz="4" w:space="0"/>
              <w:right w:val="single" w:color="auto" w:sz="4" w:space="0"/>
            </w:tcBorders>
            <w:shd w:val="clear" w:color="auto" w:fill="auto"/>
            <w:vAlign w:val="center"/>
          </w:tcPr>
          <w:p w14:paraId="104CD5DA">
            <w:pPr>
              <w:widowControl w:val="0"/>
              <w:spacing w:after="0" w:line="240" w:lineRule="auto"/>
              <w:jc w:val="center"/>
              <w:rPr>
                <w:rFonts w:ascii="宋体" w:hAnsi="宋体" w:eastAsia="宋体" w:cs="宋体"/>
                <w:color w:val="auto"/>
                <w:highlight w:val="none"/>
              </w:rPr>
            </w:pPr>
            <w:r>
              <w:rPr>
                <w:rFonts w:hint="eastAsia" w:ascii="宋体" w:hAnsi="宋体" w:eastAsia="宋体" w:cs="宋体"/>
                <w:color w:val="auto"/>
                <w:kern w:val="2"/>
                <w:highlight w:val="none"/>
                <w:lang w:bidi="ar"/>
              </w:rPr>
              <w:t>计    算    方    法</w:t>
            </w:r>
          </w:p>
        </w:tc>
      </w:tr>
      <w:tr w14:paraId="33E5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D093B7D">
            <w:pPr>
              <w:widowControl w:val="0"/>
              <w:spacing w:after="0" w:line="240" w:lineRule="auto"/>
              <w:jc w:val="center"/>
              <w:rPr>
                <w:rFonts w:ascii="宋体" w:hAnsi="宋体" w:eastAsia="宋体" w:cs="宋体"/>
                <w:color w:val="auto"/>
                <w:highlight w:val="none"/>
              </w:rPr>
            </w:pPr>
            <w:r>
              <w:rPr>
                <w:rFonts w:hint="eastAsia" w:ascii="宋体" w:hAnsi="宋体" w:eastAsia="宋体" w:cs="宋体"/>
                <w:color w:val="auto"/>
                <w:kern w:val="2"/>
                <w:highlight w:val="none"/>
                <w:lang w:bidi="ar"/>
              </w:rPr>
              <w:t>价格权值=0.30</w:t>
            </w:r>
          </w:p>
        </w:tc>
        <w:tc>
          <w:tcPr>
            <w:tcW w:w="6880" w:type="dxa"/>
            <w:tcBorders>
              <w:top w:val="single" w:color="auto" w:sz="4" w:space="0"/>
              <w:left w:val="single" w:color="auto" w:sz="4" w:space="0"/>
              <w:bottom w:val="single" w:color="auto" w:sz="4" w:space="0"/>
              <w:right w:val="single" w:color="auto" w:sz="4" w:space="0"/>
            </w:tcBorders>
            <w:shd w:val="clear" w:color="auto" w:fill="auto"/>
            <w:vAlign w:val="center"/>
          </w:tcPr>
          <w:p w14:paraId="43446B40">
            <w:pPr>
              <w:widowControl w:val="0"/>
              <w:spacing w:after="0" w:line="240" w:lineRule="auto"/>
              <w:rPr>
                <w:rFonts w:hint="eastAsia" w:ascii="宋体" w:hAnsi="宋体" w:eastAsia="宋体" w:cs="宋体"/>
                <w:color w:val="auto"/>
                <w:kern w:val="2"/>
                <w:highlight w:val="none"/>
                <w:lang w:bidi="ar"/>
              </w:rPr>
            </w:pPr>
            <w:r>
              <w:rPr>
                <w:rFonts w:hint="eastAsia" w:ascii="宋体" w:hAnsi="宋体" w:eastAsia="宋体" w:cs="宋体"/>
                <w:color w:val="auto"/>
                <w:kern w:val="2"/>
                <w:highlight w:val="none"/>
                <w:lang w:bidi="ar"/>
              </w:rPr>
              <w:t>最低有效响应价格为评标基准价</w:t>
            </w:r>
          </w:p>
          <w:p w14:paraId="4EB89513">
            <w:pPr>
              <w:widowControl w:val="0"/>
              <w:spacing w:after="0" w:line="240" w:lineRule="auto"/>
              <w:rPr>
                <w:rFonts w:hint="eastAsia" w:ascii="宋体" w:hAnsi="宋体" w:eastAsia="宋体" w:cs="宋体"/>
                <w:color w:val="auto"/>
                <w:kern w:val="2"/>
                <w:highlight w:val="none"/>
                <w:lang w:bidi="ar"/>
              </w:rPr>
            </w:pPr>
            <w:r>
              <w:rPr>
                <w:rFonts w:hint="eastAsia" w:ascii="宋体" w:hAnsi="宋体" w:eastAsia="宋体" w:cs="宋体"/>
                <w:color w:val="auto"/>
                <w:kern w:val="2"/>
                <w:highlight w:val="none"/>
                <w:lang w:bidi="ar"/>
              </w:rPr>
              <w:t>响应报价得分=(评标基准价／响应报价)×价格权值×100</w:t>
            </w:r>
          </w:p>
          <w:p w14:paraId="3667D002">
            <w:pPr>
              <w:widowControl w:val="0"/>
              <w:spacing w:after="0" w:line="240" w:lineRule="auto"/>
              <w:rPr>
                <w:rFonts w:hint="eastAsia" w:ascii="宋体" w:hAnsi="宋体" w:eastAsia="宋体" w:cs="宋体"/>
                <w:color w:val="auto"/>
                <w:kern w:val="2"/>
                <w:highlight w:val="none"/>
                <w:lang w:bidi="ar"/>
              </w:rPr>
            </w:pPr>
            <w:r>
              <w:rPr>
                <w:rFonts w:hint="eastAsia" w:ascii="宋体" w:hAnsi="宋体" w:eastAsia="宋体" w:cs="宋体"/>
                <w:color w:val="auto"/>
                <w:kern w:val="2"/>
                <w:highlight w:val="none"/>
                <w:lang w:bidi="ar"/>
              </w:rPr>
              <w:t>（计算得分保留小数点后2位）</w:t>
            </w:r>
          </w:p>
          <w:p w14:paraId="5EE2E8F3">
            <w:pPr>
              <w:widowControl w:val="0"/>
              <w:spacing w:after="0" w:line="240" w:lineRule="auto"/>
              <w:rPr>
                <w:rFonts w:ascii="宋体" w:hAnsi="宋体" w:eastAsia="宋体" w:cs="宋体"/>
                <w:color w:val="auto"/>
                <w:highlight w:val="none"/>
              </w:rPr>
            </w:pPr>
            <w:r>
              <w:rPr>
                <w:rFonts w:hint="eastAsia" w:ascii="宋体" w:hAnsi="宋体" w:eastAsia="宋体" w:cs="宋体"/>
                <w:color w:val="auto"/>
                <w:highlight w:val="none"/>
              </w:rPr>
              <w:t>评标过程中，不得去掉报价中的最高报价和最低报价。</w:t>
            </w:r>
          </w:p>
        </w:tc>
      </w:tr>
    </w:tbl>
    <w:p w14:paraId="3B4E220B">
      <w:pPr>
        <w:tabs>
          <w:tab w:val="left" w:pos="851"/>
        </w:tabs>
        <w:adjustRightInd w:val="0"/>
        <w:snapToGrid w:val="0"/>
        <w:spacing w:after="0" w:line="460" w:lineRule="exact"/>
        <w:ind w:firstLine="480" w:firstLineChars="200"/>
        <w:jc w:val="both"/>
        <w:rPr>
          <w:rFonts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备注：1、评分条款中涉及的业绩、荣誉、人员、社保等分公司均有效。</w:t>
      </w:r>
    </w:p>
    <w:p w14:paraId="07A5D7B7">
      <w:pPr>
        <w:tabs>
          <w:tab w:val="left" w:pos="851"/>
        </w:tabs>
        <w:adjustRightInd w:val="0"/>
        <w:snapToGrid w:val="0"/>
        <w:spacing w:after="0" w:line="460" w:lineRule="exact"/>
        <w:ind w:firstLine="480" w:firstLineChars="200"/>
        <w:jc w:val="both"/>
        <w:rPr>
          <w:rFonts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7ECC8C51">
      <w:pPr>
        <w:tabs>
          <w:tab w:val="left" w:pos="851"/>
        </w:tabs>
        <w:adjustRightInd w:val="0"/>
        <w:snapToGrid w:val="0"/>
        <w:spacing w:after="0" w:line="460" w:lineRule="exact"/>
        <w:ind w:firstLine="480" w:firstLineChars="200"/>
        <w:jc w:val="both"/>
        <w:rPr>
          <w:rFonts w:ascii="宋体" w:hAnsi="宋体" w:eastAsia="宋体" w:cs="宋体"/>
          <w:color w:val="auto"/>
          <w:highlight w:val="none"/>
        </w:rPr>
      </w:pPr>
      <w:r>
        <w:rPr>
          <w:rFonts w:hint="eastAsia" w:ascii="宋体" w:hAnsi="宋体" w:eastAsia="宋体" w:cs="宋体"/>
          <w:snapToGrid w:val="0"/>
          <w:color w:val="auto"/>
          <w:kern w:val="28"/>
          <w:highlight w:val="none"/>
        </w:rPr>
        <w:t>3、投标人编制投标文件（商务技术文件部分）时，建议按此目录（序号和内容）提供评标标准相应的商务技术资料。</w:t>
      </w:r>
    </w:p>
    <w:p w14:paraId="735F8D99">
      <w:pPr>
        <w:rPr>
          <w:rFonts w:ascii="宋体" w:hAnsi="宋体" w:eastAsia="宋体" w:cs="宋体"/>
          <w:color w:val="auto"/>
          <w:highlight w:val="none"/>
        </w:rPr>
      </w:pPr>
    </w:p>
    <w:p w14:paraId="302C3AA1">
      <w:pPr>
        <w:rPr>
          <w:rFonts w:ascii="宋体" w:hAnsi="宋体" w:eastAsia="宋体" w:cs="宋体"/>
          <w:color w:val="auto"/>
          <w:highlight w:val="none"/>
        </w:rPr>
      </w:pPr>
      <w:r>
        <w:rPr>
          <w:rFonts w:hint="eastAsia" w:ascii="宋体" w:hAnsi="宋体" w:eastAsia="宋体" w:cs="宋体"/>
          <w:color w:val="auto"/>
          <w:highlight w:val="none"/>
        </w:rPr>
        <w:br w:type="page"/>
      </w:r>
    </w:p>
    <w:p w14:paraId="39C1F017">
      <w:pPr>
        <w:pStyle w:val="6"/>
        <w:rPr>
          <w:rFonts w:ascii="宋体" w:hAnsi="宋体" w:eastAsia="宋体" w:cs="宋体"/>
          <w:color w:val="auto"/>
          <w:highlight w:val="none"/>
        </w:rPr>
      </w:pPr>
      <w:r>
        <w:rPr>
          <w:rFonts w:hint="eastAsia" w:ascii="宋体" w:hAnsi="宋体" w:eastAsia="宋体" w:cs="宋体"/>
          <w:color w:val="auto"/>
          <w:highlight w:val="none"/>
        </w:rPr>
        <w:t>一、评标方法</w:t>
      </w:r>
    </w:p>
    <w:p w14:paraId="1D42BE50">
      <w:pPr>
        <w:spacing w:line="360" w:lineRule="auto"/>
        <w:ind w:firstLine="472" w:firstLineChars="196"/>
        <w:rPr>
          <w:rFonts w:ascii="宋体" w:hAnsi="宋体" w:eastAsia="宋体" w:cs="宋体"/>
          <w:color w:val="auto"/>
          <w:highlight w:val="none"/>
        </w:rPr>
      </w:pPr>
      <w:r>
        <w:rPr>
          <w:rStyle w:val="43"/>
          <w:rFonts w:hint="eastAsia" w:ascii="宋体" w:hAnsi="宋体" w:eastAsia="宋体" w:cs="宋体"/>
          <w:color w:val="auto"/>
          <w:highlight w:val="none"/>
        </w:rPr>
        <w:t>1.本项目采用综合评分法。</w:t>
      </w:r>
      <w:r>
        <w:rPr>
          <w:rFonts w:hint="eastAsia" w:ascii="宋体" w:hAnsi="宋体" w:eastAsia="宋体" w:cs="宋体"/>
          <w:color w:val="auto"/>
          <w:highlight w:val="none"/>
        </w:rPr>
        <w:t>综合评分法，是指投标文件满足招标文件全部实质性要求，且按照评审因素的量化指标评审得分最高的投标人为中标候选人的评标方法。</w:t>
      </w:r>
    </w:p>
    <w:p w14:paraId="470F7EA9">
      <w:pPr>
        <w:pStyle w:val="6"/>
        <w:rPr>
          <w:rFonts w:ascii="宋体" w:hAnsi="宋体" w:eastAsia="宋体" w:cs="宋体"/>
          <w:color w:val="auto"/>
          <w:sz w:val="24"/>
          <w:highlight w:val="none"/>
        </w:rPr>
      </w:pPr>
      <w:r>
        <w:rPr>
          <w:rFonts w:hint="eastAsia" w:ascii="宋体" w:hAnsi="宋体" w:eastAsia="宋体" w:cs="宋体"/>
          <w:color w:val="auto"/>
          <w:highlight w:val="none"/>
        </w:rPr>
        <w:t>二、评标标准</w:t>
      </w:r>
    </w:p>
    <w:p w14:paraId="0A17EE51">
      <w:pPr>
        <w:spacing w:line="360" w:lineRule="auto"/>
        <w:ind w:firstLine="482" w:firstLineChars="200"/>
        <w:rPr>
          <w:rFonts w:ascii="宋体" w:hAnsi="宋体" w:eastAsia="宋体" w:cs="宋体"/>
          <w:b/>
          <w:color w:val="auto"/>
          <w:highlight w:val="none"/>
        </w:rPr>
      </w:pPr>
      <w:r>
        <w:rPr>
          <w:rStyle w:val="43"/>
          <w:rFonts w:hint="eastAsia" w:ascii="宋体" w:hAnsi="宋体" w:eastAsia="宋体" w:cs="宋体"/>
          <w:color w:val="auto"/>
          <w:highlight w:val="none"/>
        </w:rPr>
        <w:t>2. 评标标准：</w:t>
      </w:r>
      <w:r>
        <w:rPr>
          <w:rFonts w:hint="eastAsia" w:ascii="宋体" w:hAnsi="宋体" w:eastAsia="宋体" w:cs="宋体"/>
          <w:color w:val="auto"/>
          <w:highlight w:val="none"/>
        </w:rPr>
        <w:t>见评标办法前附表。</w:t>
      </w:r>
    </w:p>
    <w:p w14:paraId="460A0A21">
      <w:pPr>
        <w:pStyle w:val="6"/>
        <w:rPr>
          <w:rFonts w:ascii="宋体" w:hAnsi="宋体" w:eastAsia="宋体" w:cs="宋体"/>
          <w:color w:val="auto"/>
          <w:highlight w:val="none"/>
        </w:rPr>
      </w:pPr>
      <w:r>
        <w:rPr>
          <w:rFonts w:hint="eastAsia" w:ascii="宋体" w:hAnsi="宋体" w:eastAsia="宋体" w:cs="宋体"/>
          <w:color w:val="auto"/>
          <w:highlight w:val="none"/>
        </w:rPr>
        <w:t>三、评标程序</w:t>
      </w:r>
    </w:p>
    <w:p w14:paraId="3506C6F5">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3.1符合性审查。</w:t>
      </w:r>
      <w:r>
        <w:rPr>
          <w:rFonts w:hint="eastAsia" w:ascii="宋体" w:hAnsi="宋体" w:eastAsia="宋体" w:cs="宋体"/>
          <w:color w:val="auto"/>
          <w:kern w:val="2"/>
          <w:highlight w:val="none"/>
        </w:rPr>
        <w:t>评标委员会应当对符合资格的投标人的投标文件进行符合性审查，以确定其是否满足招标文件的实质性要求。不满足招标文件的实质性要求的，投标无效。</w:t>
      </w:r>
    </w:p>
    <w:p w14:paraId="0C9F905F">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3.2 比较与评价。</w:t>
      </w:r>
      <w:r>
        <w:rPr>
          <w:rFonts w:hint="eastAsia" w:ascii="宋体" w:hAnsi="宋体" w:eastAsia="宋体" w:cs="宋体"/>
          <w:color w:val="auto"/>
          <w:kern w:val="2"/>
          <w:highlight w:val="none"/>
        </w:rPr>
        <w:t>评标委员会应当按照招标文件中规定的评标方法和标准，对符合性审查合格的投标文件进行商务和技术评估，综合比较与评价。</w:t>
      </w:r>
    </w:p>
    <w:p w14:paraId="001C3FE4">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3.3汇总商务技术得分。</w:t>
      </w:r>
      <w:r>
        <w:rPr>
          <w:rFonts w:hint="eastAsia" w:ascii="宋体" w:hAnsi="宋体" w:eastAsia="宋体" w:cs="宋体"/>
          <w:color w:val="auto"/>
          <w:kern w:val="2"/>
          <w:highlight w:val="none"/>
        </w:rPr>
        <w:t>评标委员会各成员应当独立对每个投标人的商务和技术文件进行评价，并汇总商务技术得分情况。</w:t>
      </w:r>
    </w:p>
    <w:p w14:paraId="40754445">
      <w:pPr>
        <w:widowControl w:val="0"/>
        <w:adjustRightInd w:val="0"/>
        <w:spacing w:after="0" w:line="480" w:lineRule="exact"/>
        <w:ind w:firstLine="422" w:firstLineChars="175"/>
        <w:jc w:val="both"/>
        <w:rPr>
          <w:rFonts w:ascii="宋体" w:hAnsi="宋体" w:eastAsia="宋体" w:cs="宋体"/>
          <w:b/>
          <w:bCs/>
          <w:color w:val="auto"/>
          <w:kern w:val="2"/>
          <w:highlight w:val="none"/>
        </w:rPr>
      </w:pPr>
      <w:r>
        <w:rPr>
          <w:rFonts w:hint="eastAsia" w:ascii="宋体" w:hAnsi="宋体" w:eastAsia="宋体" w:cs="宋体"/>
          <w:b/>
          <w:bCs/>
          <w:color w:val="auto"/>
          <w:kern w:val="2"/>
          <w:highlight w:val="none"/>
        </w:rPr>
        <w:t>3.4报价评审。</w:t>
      </w:r>
    </w:p>
    <w:p w14:paraId="5ED960C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3.4.1投标文件报价出现前后不一致的，按照下列规定修正：</w:t>
      </w:r>
    </w:p>
    <w:p w14:paraId="7CDD5E8B">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3.4.1.1投标文件中开标一览表（报价表）内容与投标文件中相应内容不一致的，以开标一览表（报价表）为准；</w:t>
      </w:r>
    </w:p>
    <w:p w14:paraId="63F68BB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3.4.1.2大写金额和小写金额不一致的，以大写金额为准；</w:t>
      </w:r>
    </w:p>
    <w:p w14:paraId="6C8D3A5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3.4.1.3单价金额小数点或者百分比有明显错位的，以开标一览表的总价为准，并修改单价；</w:t>
      </w:r>
    </w:p>
    <w:p w14:paraId="525F28F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3.4.1.4总价金额与按单价汇总金额不一致的，以单价金额计算结果为准。</w:t>
      </w:r>
    </w:p>
    <w:p w14:paraId="44C9884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3.4.1.5同时出现两种以上不一致的，按照3.4.1规定的顺序修正。修正后的报价参照财政部第87号令《政府采购货物和服务招标投标管理办法》第五十一条第二款的规定经投标人确认后产生约束力。</w:t>
      </w:r>
    </w:p>
    <w:p w14:paraId="642C626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3.4.2投标文件出现不是唯一的、有选择性投标报价的，投标无效。</w:t>
      </w:r>
    </w:p>
    <w:p w14:paraId="47EFD1E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3.4.3投标报价超过招标文件中规定的预算金额或者最高限价的，投标无效。</w:t>
      </w:r>
    </w:p>
    <w:p w14:paraId="4259673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6583B73">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3.5排序与推荐。</w:t>
      </w:r>
      <w:r>
        <w:rPr>
          <w:rFonts w:hint="eastAsia" w:ascii="宋体" w:hAnsi="宋体" w:eastAsia="宋体" w:cs="宋体"/>
          <w:color w:val="auto"/>
          <w:kern w:val="2"/>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74A3469">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3.6编写评标报告。</w:t>
      </w:r>
      <w:r>
        <w:rPr>
          <w:rFonts w:hint="eastAsia" w:ascii="宋体" w:hAnsi="宋体" w:eastAsia="宋体" w:cs="宋体"/>
          <w:color w:val="auto"/>
          <w:kern w:val="2"/>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C6F712D">
      <w:pPr>
        <w:pStyle w:val="6"/>
        <w:rPr>
          <w:rFonts w:ascii="宋体" w:hAnsi="宋体" w:eastAsia="宋体" w:cs="宋体"/>
          <w:color w:val="auto"/>
          <w:highlight w:val="none"/>
        </w:rPr>
      </w:pPr>
      <w:r>
        <w:rPr>
          <w:rFonts w:hint="eastAsia" w:ascii="宋体" w:hAnsi="宋体" w:eastAsia="宋体" w:cs="宋体"/>
          <w:color w:val="auto"/>
          <w:highlight w:val="none"/>
        </w:rPr>
        <w:t>四、评标中的其他事项</w:t>
      </w:r>
    </w:p>
    <w:p w14:paraId="25DE9E1F">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4.1投标人澄清、说明或者补正。</w:t>
      </w:r>
      <w:r>
        <w:rPr>
          <w:rFonts w:hint="eastAsia" w:ascii="宋体" w:hAnsi="宋体" w:eastAsia="宋体" w:cs="宋体"/>
          <w:color w:val="auto"/>
          <w:kern w:val="2"/>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253460">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4.2投标无效。</w:t>
      </w:r>
      <w:r>
        <w:rPr>
          <w:rFonts w:hint="eastAsia" w:ascii="宋体" w:hAnsi="宋体" w:eastAsia="宋体" w:cs="宋体"/>
          <w:color w:val="auto"/>
          <w:kern w:val="2"/>
          <w:highlight w:val="none"/>
        </w:rPr>
        <w:t>有下列情形之一的，投标无效：</w:t>
      </w:r>
    </w:p>
    <w:p w14:paraId="60831C9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4.2.1投标人不具备招标文件中规定的资格要求的（投标人未提供有效的资格文件的，视为投标人不具备招标文件中规定的资格要求）；</w:t>
      </w:r>
    </w:p>
    <w:p w14:paraId="1496796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4.2.2投标文件未按照招标文件要求签署、盖章的；</w:t>
      </w:r>
    </w:p>
    <w:p w14:paraId="6B5EB82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4.2.3投标文件含有采购人不能接受的附加条件的；</w:t>
      </w:r>
    </w:p>
    <w:p w14:paraId="47EEFCD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4.2.4投标文件中承诺的投标有效期少于招标文件中载明的投标有效期的；</w:t>
      </w:r>
    </w:p>
    <w:p w14:paraId="0E555295">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4.2.5投标文件出现不是唯一的、有选择性投标报价的；</w:t>
      </w:r>
    </w:p>
    <w:p w14:paraId="52AFE6A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4.2.6投标报价超过招标文件中规定的预算金额或者最高限价的；</w:t>
      </w:r>
    </w:p>
    <w:p w14:paraId="6EC47A2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4.2.7报价明显低于其他通过符合性审查投标人的报价，有可能影响产品质量或者不能诚信履约的，未能按要求提供书面说明或者提交相关证明材料，不能证明其报价合理性的；</w:t>
      </w:r>
    </w:p>
    <w:p w14:paraId="48C4BF78">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4.2.8投标人对根据修正原则修正后的报价不确认的；</w:t>
      </w:r>
    </w:p>
    <w:p w14:paraId="7F79C0BB">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4.2.9投标人提供虚假材料投标的；</w:t>
      </w:r>
    </w:p>
    <w:p w14:paraId="317EB99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4.2.10投标人有恶意串通、妨碍其他投标人的竞争行为、损害采购人或者其他投标人的合法权益情形的；</w:t>
      </w:r>
    </w:p>
    <w:p w14:paraId="6880C2F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4.2.11投标人未在电子交易平台传输递交投标文件的，投标无效；</w:t>
      </w:r>
    </w:p>
    <w:p w14:paraId="34D06FE6">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4.2.12投标文件不满足招标文件的其它实质性要求的；</w:t>
      </w:r>
    </w:p>
    <w:p w14:paraId="6C51BE9F">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4.2.13法律、法规、规章（适用本市的）及省级以上规范性文件（适用本市的）规定的其他无效情形。</w:t>
      </w:r>
    </w:p>
    <w:p w14:paraId="6EC237C4">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5.废标。</w:t>
      </w:r>
      <w:r>
        <w:rPr>
          <w:rFonts w:hint="eastAsia" w:ascii="宋体" w:hAnsi="宋体" w:eastAsia="宋体" w:cs="宋体"/>
          <w:color w:val="auto"/>
          <w:kern w:val="2"/>
          <w:highlight w:val="none"/>
        </w:rPr>
        <w:t>参照《中华人民共和国政府采购法》第三十六条之规定，在采购中，出现下列情形之一的，应予废标：</w:t>
      </w:r>
    </w:p>
    <w:p w14:paraId="30D30489">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5.1符合专业条件的供应商或者对招标文件作实质响应的供应商不足3家的；</w:t>
      </w:r>
    </w:p>
    <w:p w14:paraId="5384ADFA">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5.2出现影响采购公正的违法、违规行为的；</w:t>
      </w:r>
    </w:p>
    <w:p w14:paraId="3E128FE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5.3投标人的报价均超过了采购预算，</w:t>
      </w:r>
      <w:r>
        <w:rPr>
          <w:rFonts w:hint="eastAsia" w:ascii="宋体" w:hAnsi="宋体" w:eastAsia="宋体" w:cs="宋体"/>
          <w:color w:val="auto"/>
          <w:highlight w:val="none"/>
        </w:rPr>
        <w:t>采购人</w:t>
      </w:r>
      <w:r>
        <w:rPr>
          <w:rFonts w:hint="eastAsia" w:ascii="宋体" w:hAnsi="宋体" w:eastAsia="宋体" w:cs="宋体"/>
          <w:color w:val="auto"/>
          <w:kern w:val="2"/>
          <w:highlight w:val="none"/>
        </w:rPr>
        <w:t>不能支付的；</w:t>
      </w:r>
    </w:p>
    <w:p w14:paraId="06B45305">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5.4因重大变故，采购任务取消的。</w:t>
      </w:r>
    </w:p>
    <w:p w14:paraId="02CB183E">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废标后，代理机构应当将废标理由通知所有投标人。</w:t>
      </w:r>
    </w:p>
    <w:p w14:paraId="1BDE3A4F">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6.修改招标文件，重新组织采购活动。</w:t>
      </w:r>
      <w:r>
        <w:rPr>
          <w:rFonts w:hint="eastAsia" w:ascii="宋体" w:hAnsi="宋体" w:eastAsia="宋体" w:cs="宋体"/>
          <w:color w:val="auto"/>
          <w:kern w:val="2"/>
          <w:highlight w:val="none"/>
        </w:rPr>
        <w:t>评标委员会发现招标文件存在歧义、重大缺陷导致评标工作无法进行，或者招标文件内容违反国家有关强制性规定的，将停止评标工作，并与采购人、代理机构沟通并作书面记录。采购人、代理机构确认后，将修改招标文件，重新组织采购活动。</w:t>
      </w:r>
    </w:p>
    <w:p w14:paraId="64ABA416">
      <w:pPr>
        <w:widowControl w:val="0"/>
        <w:adjustRightInd w:val="0"/>
        <w:spacing w:after="0" w:line="480" w:lineRule="exact"/>
        <w:ind w:firstLine="422" w:firstLineChars="175"/>
        <w:jc w:val="both"/>
        <w:rPr>
          <w:rFonts w:ascii="宋体" w:hAnsi="宋体" w:eastAsia="宋体" w:cs="宋体"/>
          <w:color w:val="auto"/>
          <w:kern w:val="2"/>
          <w:highlight w:val="none"/>
        </w:rPr>
      </w:pPr>
      <w:r>
        <w:rPr>
          <w:rFonts w:hint="eastAsia" w:ascii="宋体" w:hAnsi="宋体" w:eastAsia="宋体" w:cs="宋体"/>
          <w:b/>
          <w:bCs/>
          <w:color w:val="auto"/>
          <w:kern w:val="2"/>
          <w:highlight w:val="none"/>
        </w:rPr>
        <w:t>7.重新开展采购。</w:t>
      </w:r>
      <w:r>
        <w:rPr>
          <w:rFonts w:hint="eastAsia" w:ascii="宋体" w:hAnsi="宋体" w:eastAsia="宋体" w:cs="宋体"/>
          <w:color w:val="auto"/>
          <w:kern w:val="2"/>
          <w:highlight w:val="none"/>
        </w:rPr>
        <w:t>有政府采购法第七十一条、第七十二条规定的违法行为之一，影响或者可能影响中标、成交结果的，依照下列规定处理：</w:t>
      </w:r>
    </w:p>
    <w:p w14:paraId="033AC251">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7.1未确定中标或者中标人的，终止本次采购活动，重新开展采购活动。</w:t>
      </w:r>
    </w:p>
    <w:p w14:paraId="658F5E1B">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7.2已确定中标或者中标人但尚未签订采购合同的，中标或者成交结果无效，从合格的中标或者成交候选人中另行确定中标或者中标人；没有合格的中标或者成交候选人的，重新开展采购活动。</w:t>
      </w:r>
    </w:p>
    <w:p w14:paraId="53DF1710">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7.3采购合同已签订但尚未履行的，撤销合同，从合格的中标或者成交候选人中另行确定中标或者中标人；没有合格的中标或者成交候选人的，重新开展采购活动。</w:t>
      </w:r>
    </w:p>
    <w:p w14:paraId="77C795D3">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7.4采购合同已经履行，给采购人、供应商造成损失的，由责任人承担赔偿责任。</w:t>
      </w:r>
    </w:p>
    <w:p w14:paraId="75F2F07C">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7.5采购当事人有其他违反政府采购法或者政府采购法实施条例等法律法规规定的行为，经改正后仍然影响或者可能影响中标、成交结果或者依法被认定为中标、成交无效的，依照7.1-7.4规定处理。</w:t>
      </w:r>
    </w:p>
    <w:p w14:paraId="09D0E563">
      <w:pPr>
        <w:spacing w:line="276" w:lineRule="auto"/>
        <w:rPr>
          <w:rFonts w:ascii="宋体" w:hAnsi="宋体" w:eastAsia="宋体" w:cs="宋体"/>
          <w:b/>
          <w:smallCaps/>
          <w:color w:val="auto"/>
          <w:spacing w:val="5"/>
          <w:sz w:val="36"/>
          <w:szCs w:val="36"/>
          <w:highlight w:val="none"/>
        </w:rPr>
      </w:pPr>
      <w:r>
        <w:rPr>
          <w:rFonts w:hint="eastAsia" w:ascii="宋体" w:hAnsi="宋体" w:eastAsia="宋体" w:cs="宋体"/>
          <w:color w:val="auto"/>
          <w:highlight w:val="none"/>
        </w:rPr>
        <w:br w:type="page"/>
      </w:r>
    </w:p>
    <w:p w14:paraId="2C20318D">
      <w:pPr>
        <w:pStyle w:val="5"/>
        <w:jc w:val="center"/>
        <w:rPr>
          <w:rFonts w:ascii="宋体" w:hAnsi="宋体" w:eastAsia="宋体" w:cs="宋体"/>
          <w:color w:val="auto"/>
          <w:kern w:val="2"/>
          <w:highlight w:val="none"/>
        </w:rPr>
      </w:pPr>
      <w:r>
        <w:rPr>
          <w:rFonts w:hint="eastAsia" w:ascii="宋体" w:hAnsi="宋体" w:eastAsia="宋体" w:cs="宋体"/>
          <w:color w:val="auto"/>
          <w:highlight w:val="none"/>
        </w:rPr>
        <w:t>第五部分 拟签订的合同文本</w:t>
      </w:r>
    </w:p>
    <w:p w14:paraId="01CE7469">
      <w:pPr>
        <w:pStyle w:val="3"/>
        <w:snapToGrid w:val="0"/>
        <w:spacing w:line="360" w:lineRule="auto"/>
        <w:ind w:firstLine="0" w:firstLineChars="0"/>
        <w:jc w:val="center"/>
        <w:rPr>
          <w:rFonts w:cs="宋体"/>
          <w:color w:val="auto"/>
          <w:highlight w:val="none"/>
        </w:rPr>
      </w:pPr>
      <w:r>
        <w:rPr>
          <w:rFonts w:hint="eastAsia" w:cs="宋体"/>
          <w:color w:val="auto"/>
          <w:highlight w:val="none"/>
        </w:rPr>
        <w:t>（货物类参考样本</w:t>
      </w:r>
      <w:r>
        <w:rPr>
          <w:rFonts w:hint="eastAsia" w:cs="宋体"/>
          <w:color w:val="auto"/>
          <w:highlight w:val="none"/>
          <w:lang w:eastAsia="zh-CN"/>
        </w:rPr>
        <w:t>，</w:t>
      </w:r>
      <w:r>
        <w:rPr>
          <w:rFonts w:hint="eastAsia" w:cs="宋体"/>
          <w:color w:val="auto"/>
          <w:highlight w:val="none"/>
          <w:lang w:val="en-US" w:eastAsia="zh-CN"/>
        </w:rPr>
        <w:t>最终以实际签订为准</w:t>
      </w:r>
      <w:r>
        <w:rPr>
          <w:rFonts w:hint="eastAsia" w:cs="宋体"/>
          <w:color w:val="auto"/>
          <w:highlight w:val="none"/>
        </w:rPr>
        <w:t>）</w:t>
      </w:r>
    </w:p>
    <w:p w14:paraId="13401338">
      <w:pPr>
        <w:pStyle w:val="3"/>
        <w:snapToGrid w:val="0"/>
        <w:spacing w:line="360" w:lineRule="auto"/>
        <w:rPr>
          <w:rFonts w:cs="宋体"/>
          <w:color w:val="auto"/>
          <w:highlight w:val="none"/>
        </w:rPr>
      </w:pPr>
      <w:r>
        <w:rPr>
          <w:rFonts w:hint="eastAsia" w:cs="宋体"/>
          <w:color w:val="auto"/>
          <w:highlight w:val="none"/>
        </w:rPr>
        <w:t>合同编号：</w:t>
      </w:r>
    </w:p>
    <w:p w14:paraId="6D13C4FA">
      <w:pPr>
        <w:pStyle w:val="3"/>
        <w:snapToGrid w:val="0"/>
        <w:spacing w:line="360" w:lineRule="auto"/>
        <w:rPr>
          <w:rFonts w:cs="宋体"/>
          <w:color w:val="auto"/>
          <w:highlight w:val="none"/>
        </w:rPr>
      </w:pPr>
      <w:r>
        <w:rPr>
          <w:rFonts w:hint="eastAsia" w:cs="宋体"/>
          <w:color w:val="auto"/>
          <w:highlight w:val="none"/>
        </w:rPr>
        <w:t>签订地点：                                  签订时间：20* 年  月  日</w:t>
      </w:r>
    </w:p>
    <w:p w14:paraId="13B29BAC">
      <w:pPr>
        <w:pStyle w:val="3"/>
        <w:snapToGrid w:val="0"/>
        <w:spacing w:line="360" w:lineRule="auto"/>
        <w:rPr>
          <w:rFonts w:cs="宋体"/>
          <w:color w:val="auto"/>
          <w:highlight w:val="none"/>
        </w:rPr>
      </w:pPr>
      <w:r>
        <w:rPr>
          <w:rFonts w:hint="eastAsia" w:cs="宋体"/>
          <w:color w:val="auto"/>
          <w:highlight w:val="none"/>
        </w:rPr>
        <w:t>项目名称：</w:t>
      </w:r>
    </w:p>
    <w:p w14:paraId="09E0325D">
      <w:pPr>
        <w:pStyle w:val="3"/>
        <w:snapToGrid w:val="0"/>
        <w:spacing w:line="360" w:lineRule="auto"/>
        <w:rPr>
          <w:rFonts w:cs="宋体"/>
          <w:color w:val="auto"/>
          <w:highlight w:val="none"/>
        </w:rPr>
      </w:pPr>
      <w:r>
        <w:rPr>
          <w:rFonts w:hint="eastAsia" w:cs="宋体"/>
          <w:color w:val="auto"/>
          <w:highlight w:val="none"/>
        </w:rPr>
        <w:t xml:space="preserve">甲方（需方）：                                     </w:t>
      </w:r>
    </w:p>
    <w:p w14:paraId="5149926B">
      <w:pPr>
        <w:pStyle w:val="3"/>
        <w:snapToGrid w:val="0"/>
        <w:spacing w:line="360" w:lineRule="auto"/>
        <w:rPr>
          <w:rFonts w:cs="宋体"/>
          <w:color w:val="auto"/>
          <w:highlight w:val="none"/>
        </w:rPr>
      </w:pPr>
      <w:r>
        <w:rPr>
          <w:rFonts w:hint="eastAsia" w:cs="宋体"/>
          <w:color w:val="auto"/>
          <w:highlight w:val="none"/>
        </w:rPr>
        <w:t xml:space="preserve">乙方（供方）：                                     </w:t>
      </w:r>
    </w:p>
    <w:p w14:paraId="7F74A161">
      <w:pPr>
        <w:pStyle w:val="3"/>
        <w:snapToGrid w:val="0"/>
        <w:spacing w:line="360" w:lineRule="auto"/>
        <w:rPr>
          <w:rFonts w:cs="宋体"/>
          <w:color w:val="auto"/>
          <w:highlight w:val="none"/>
        </w:rPr>
      </w:pPr>
      <w:r>
        <w:rPr>
          <w:rFonts w:hint="eastAsia" w:cs="宋体"/>
          <w:color w:val="auto"/>
          <w:highlight w:val="none"/>
        </w:rPr>
        <w:t>供、需双方根据杭州市萧山区                             项目（招标编号-  -  -   ）招标结果和招标文件的要求，并经双方协调一致，订立本采购合同。</w:t>
      </w:r>
    </w:p>
    <w:p w14:paraId="6B779A29">
      <w:pPr>
        <w:pStyle w:val="3"/>
        <w:snapToGrid w:val="0"/>
        <w:spacing w:line="360" w:lineRule="auto"/>
        <w:rPr>
          <w:rFonts w:cs="宋体"/>
          <w:color w:val="auto"/>
          <w:highlight w:val="none"/>
        </w:rPr>
      </w:pPr>
      <w:r>
        <w:rPr>
          <w:rFonts w:hint="eastAsia" w:cs="宋体"/>
          <w:color w:val="auto"/>
          <w:highlight w:val="none"/>
        </w:rPr>
        <w:t>一、合同文件：</w:t>
      </w:r>
    </w:p>
    <w:p w14:paraId="65E9064D">
      <w:pPr>
        <w:pStyle w:val="3"/>
        <w:snapToGrid w:val="0"/>
        <w:spacing w:line="360" w:lineRule="auto"/>
        <w:rPr>
          <w:rFonts w:cs="宋体"/>
          <w:color w:val="auto"/>
          <w:highlight w:val="none"/>
        </w:rPr>
      </w:pPr>
      <w:r>
        <w:rPr>
          <w:rFonts w:hint="eastAsia" w:cs="宋体"/>
          <w:color w:val="auto"/>
          <w:highlight w:val="none"/>
        </w:rPr>
        <w:t>1、合同条款。</w:t>
      </w:r>
    </w:p>
    <w:p w14:paraId="3036CABF">
      <w:pPr>
        <w:pStyle w:val="3"/>
        <w:snapToGrid w:val="0"/>
        <w:spacing w:line="360" w:lineRule="auto"/>
        <w:rPr>
          <w:rFonts w:cs="宋体"/>
          <w:color w:val="auto"/>
          <w:highlight w:val="none"/>
        </w:rPr>
      </w:pPr>
      <w:r>
        <w:rPr>
          <w:rFonts w:hint="eastAsia" w:cs="宋体"/>
          <w:color w:val="auto"/>
          <w:highlight w:val="none"/>
        </w:rPr>
        <w:t>2、中标通知书。</w:t>
      </w:r>
    </w:p>
    <w:p w14:paraId="39246F6C">
      <w:pPr>
        <w:pStyle w:val="3"/>
        <w:snapToGrid w:val="0"/>
        <w:spacing w:line="360" w:lineRule="auto"/>
        <w:rPr>
          <w:rFonts w:cs="宋体"/>
          <w:color w:val="auto"/>
          <w:highlight w:val="none"/>
        </w:rPr>
      </w:pPr>
      <w:r>
        <w:rPr>
          <w:rFonts w:hint="eastAsia" w:cs="宋体"/>
          <w:color w:val="auto"/>
          <w:highlight w:val="none"/>
        </w:rPr>
        <w:t>3、招标文件。</w:t>
      </w:r>
    </w:p>
    <w:p w14:paraId="6521BE65">
      <w:pPr>
        <w:pStyle w:val="3"/>
        <w:snapToGrid w:val="0"/>
        <w:spacing w:line="360" w:lineRule="auto"/>
        <w:rPr>
          <w:rFonts w:cs="宋体"/>
          <w:color w:val="auto"/>
          <w:highlight w:val="none"/>
        </w:rPr>
      </w:pPr>
      <w:r>
        <w:rPr>
          <w:rFonts w:hint="eastAsia" w:cs="宋体"/>
          <w:color w:val="auto"/>
          <w:highlight w:val="none"/>
        </w:rPr>
        <w:t>4、更正公告。</w:t>
      </w:r>
    </w:p>
    <w:p w14:paraId="649A3FAE">
      <w:pPr>
        <w:pStyle w:val="3"/>
        <w:snapToGrid w:val="0"/>
        <w:spacing w:line="360" w:lineRule="auto"/>
        <w:rPr>
          <w:rFonts w:cs="宋体"/>
          <w:color w:val="auto"/>
          <w:highlight w:val="none"/>
        </w:rPr>
      </w:pPr>
      <w:r>
        <w:rPr>
          <w:rFonts w:hint="eastAsia" w:cs="宋体"/>
          <w:color w:val="auto"/>
          <w:highlight w:val="none"/>
        </w:rPr>
        <w:t>5、中标单位投标文件。</w:t>
      </w:r>
    </w:p>
    <w:p w14:paraId="1CF805A8">
      <w:pPr>
        <w:pStyle w:val="3"/>
        <w:snapToGrid w:val="0"/>
        <w:spacing w:line="360" w:lineRule="auto"/>
        <w:rPr>
          <w:rFonts w:cs="宋体"/>
          <w:color w:val="auto"/>
          <w:highlight w:val="none"/>
        </w:rPr>
      </w:pPr>
      <w:r>
        <w:rPr>
          <w:rFonts w:hint="eastAsia" w:cs="宋体"/>
          <w:color w:val="auto"/>
          <w:highlight w:val="none"/>
        </w:rPr>
        <w:t>6、其他。</w:t>
      </w:r>
    </w:p>
    <w:p w14:paraId="0094D019">
      <w:pPr>
        <w:pStyle w:val="3"/>
        <w:snapToGrid w:val="0"/>
        <w:spacing w:line="360" w:lineRule="auto"/>
        <w:rPr>
          <w:rFonts w:cs="宋体"/>
          <w:color w:val="auto"/>
          <w:highlight w:val="none"/>
        </w:rPr>
      </w:pPr>
      <w:r>
        <w:rPr>
          <w:rFonts w:hint="eastAsia" w:cs="宋体"/>
          <w:color w:val="auto"/>
          <w:highlight w:val="none"/>
        </w:rPr>
        <w:t>二、合同金额:合同金额为(大写)_________________元（￥　　　　元）人民币。</w:t>
      </w:r>
    </w:p>
    <w:p w14:paraId="40980342">
      <w:pPr>
        <w:pStyle w:val="3"/>
        <w:snapToGrid w:val="0"/>
        <w:spacing w:line="360" w:lineRule="auto"/>
        <w:rPr>
          <w:rFonts w:cs="宋体"/>
          <w:color w:val="auto"/>
          <w:highlight w:val="none"/>
        </w:rPr>
      </w:pPr>
      <w:r>
        <w:rPr>
          <w:rFonts w:hint="eastAsia" w:cs="宋体"/>
          <w:color w:val="auto"/>
          <w:highlight w:val="none"/>
        </w:rPr>
        <w:t xml:space="preserve">附《采购项目清单内容》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532"/>
      </w:tblGrid>
      <w:tr w14:paraId="3CCD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45" w:type="dxa"/>
            <w:vAlign w:val="center"/>
          </w:tcPr>
          <w:p w14:paraId="243CE8CD">
            <w:pPr>
              <w:pStyle w:val="3"/>
              <w:snapToGrid w:val="0"/>
              <w:spacing w:line="360" w:lineRule="auto"/>
              <w:ind w:firstLine="0" w:firstLineChars="0"/>
              <w:jc w:val="center"/>
              <w:rPr>
                <w:rFonts w:cs="宋体"/>
                <w:color w:val="auto"/>
                <w:highlight w:val="none"/>
              </w:rPr>
            </w:pPr>
            <w:r>
              <w:rPr>
                <w:rFonts w:hint="eastAsia" w:cs="宋体"/>
                <w:color w:val="auto"/>
                <w:highlight w:val="none"/>
              </w:rPr>
              <w:t>序号</w:t>
            </w:r>
          </w:p>
        </w:tc>
        <w:tc>
          <w:tcPr>
            <w:tcW w:w="1692" w:type="dxa"/>
            <w:vAlign w:val="center"/>
          </w:tcPr>
          <w:p w14:paraId="17495C02">
            <w:pPr>
              <w:pStyle w:val="3"/>
              <w:snapToGrid w:val="0"/>
              <w:spacing w:line="360" w:lineRule="auto"/>
              <w:ind w:firstLine="0" w:firstLineChars="0"/>
              <w:jc w:val="center"/>
              <w:rPr>
                <w:rFonts w:cs="宋体"/>
                <w:color w:val="auto"/>
                <w:highlight w:val="none"/>
              </w:rPr>
            </w:pPr>
            <w:r>
              <w:rPr>
                <w:rFonts w:hint="eastAsia" w:cs="宋体"/>
                <w:color w:val="auto"/>
                <w:highlight w:val="none"/>
              </w:rPr>
              <w:t>采购项目</w:t>
            </w:r>
          </w:p>
        </w:tc>
        <w:tc>
          <w:tcPr>
            <w:tcW w:w="1800" w:type="dxa"/>
            <w:vAlign w:val="center"/>
          </w:tcPr>
          <w:p w14:paraId="10F6CB0C">
            <w:pPr>
              <w:pStyle w:val="3"/>
              <w:snapToGrid w:val="0"/>
              <w:spacing w:line="360" w:lineRule="auto"/>
              <w:ind w:firstLine="0" w:firstLineChars="0"/>
              <w:jc w:val="center"/>
              <w:rPr>
                <w:rFonts w:cs="宋体"/>
                <w:color w:val="auto"/>
                <w:highlight w:val="none"/>
              </w:rPr>
            </w:pPr>
            <w:r>
              <w:rPr>
                <w:rFonts w:hint="eastAsia" w:cs="宋体"/>
                <w:color w:val="auto"/>
                <w:highlight w:val="none"/>
              </w:rPr>
              <w:t>中标内容</w:t>
            </w:r>
          </w:p>
        </w:tc>
        <w:tc>
          <w:tcPr>
            <w:tcW w:w="1758" w:type="dxa"/>
            <w:vAlign w:val="center"/>
          </w:tcPr>
          <w:p w14:paraId="474A6EFE">
            <w:pPr>
              <w:pStyle w:val="3"/>
              <w:snapToGrid w:val="0"/>
              <w:spacing w:line="360" w:lineRule="auto"/>
              <w:ind w:firstLine="0" w:firstLineChars="0"/>
              <w:jc w:val="center"/>
              <w:rPr>
                <w:rFonts w:cs="宋体"/>
                <w:color w:val="auto"/>
                <w:highlight w:val="none"/>
              </w:rPr>
            </w:pPr>
            <w:r>
              <w:rPr>
                <w:rFonts w:hint="eastAsia" w:cs="宋体"/>
                <w:color w:val="auto"/>
                <w:highlight w:val="none"/>
              </w:rPr>
              <w:t>中标单价（元）</w:t>
            </w:r>
          </w:p>
        </w:tc>
        <w:tc>
          <w:tcPr>
            <w:tcW w:w="762" w:type="dxa"/>
            <w:vAlign w:val="center"/>
          </w:tcPr>
          <w:p w14:paraId="6C9660A3">
            <w:pPr>
              <w:pStyle w:val="3"/>
              <w:snapToGrid w:val="0"/>
              <w:spacing w:line="360" w:lineRule="auto"/>
              <w:ind w:firstLine="0" w:firstLineChars="0"/>
              <w:jc w:val="center"/>
              <w:rPr>
                <w:rFonts w:cs="宋体"/>
                <w:color w:val="auto"/>
                <w:highlight w:val="none"/>
              </w:rPr>
            </w:pPr>
            <w:r>
              <w:rPr>
                <w:rFonts w:hint="eastAsia" w:cs="宋体"/>
                <w:color w:val="auto"/>
                <w:highlight w:val="none"/>
              </w:rPr>
              <w:t>数量</w:t>
            </w:r>
          </w:p>
        </w:tc>
        <w:tc>
          <w:tcPr>
            <w:tcW w:w="1532" w:type="dxa"/>
            <w:vAlign w:val="center"/>
          </w:tcPr>
          <w:p w14:paraId="1940851E">
            <w:pPr>
              <w:pStyle w:val="3"/>
              <w:snapToGrid w:val="0"/>
              <w:spacing w:line="360" w:lineRule="auto"/>
              <w:ind w:firstLine="0" w:firstLineChars="0"/>
              <w:jc w:val="center"/>
              <w:rPr>
                <w:rFonts w:cs="宋体"/>
                <w:color w:val="auto"/>
                <w:highlight w:val="none"/>
              </w:rPr>
            </w:pPr>
            <w:r>
              <w:rPr>
                <w:rFonts w:hint="eastAsia" w:cs="宋体"/>
                <w:color w:val="auto"/>
                <w:highlight w:val="none"/>
              </w:rPr>
              <w:t>中标总价（元）</w:t>
            </w:r>
          </w:p>
        </w:tc>
      </w:tr>
      <w:tr w14:paraId="3867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vAlign w:val="center"/>
          </w:tcPr>
          <w:p w14:paraId="173C63F7">
            <w:pPr>
              <w:pStyle w:val="3"/>
              <w:snapToGrid w:val="0"/>
              <w:spacing w:line="360" w:lineRule="auto"/>
              <w:ind w:firstLine="0" w:firstLineChars="0"/>
              <w:jc w:val="center"/>
              <w:rPr>
                <w:rFonts w:cs="宋体"/>
                <w:color w:val="auto"/>
                <w:highlight w:val="none"/>
              </w:rPr>
            </w:pPr>
            <w:r>
              <w:rPr>
                <w:rFonts w:hint="eastAsia" w:cs="宋体"/>
                <w:color w:val="auto"/>
                <w:highlight w:val="none"/>
              </w:rPr>
              <w:t>1</w:t>
            </w:r>
          </w:p>
        </w:tc>
        <w:tc>
          <w:tcPr>
            <w:tcW w:w="1692" w:type="dxa"/>
            <w:vAlign w:val="center"/>
          </w:tcPr>
          <w:p w14:paraId="547CD341">
            <w:pPr>
              <w:pStyle w:val="3"/>
              <w:snapToGrid w:val="0"/>
              <w:spacing w:line="360" w:lineRule="auto"/>
              <w:rPr>
                <w:rFonts w:cs="宋体"/>
                <w:color w:val="auto"/>
                <w:highlight w:val="none"/>
              </w:rPr>
            </w:pPr>
          </w:p>
        </w:tc>
        <w:tc>
          <w:tcPr>
            <w:tcW w:w="1800" w:type="dxa"/>
            <w:vAlign w:val="center"/>
          </w:tcPr>
          <w:p w14:paraId="1B3EC6A6">
            <w:pPr>
              <w:pStyle w:val="3"/>
              <w:snapToGrid w:val="0"/>
              <w:spacing w:line="360" w:lineRule="auto"/>
              <w:rPr>
                <w:rFonts w:cs="宋体"/>
                <w:color w:val="auto"/>
                <w:highlight w:val="none"/>
              </w:rPr>
            </w:pPr>
          </w:p>
        </w:tc>
        <w:tc>
          <w:tcPr>
            <w:tcW w:w="1758" w:type="dxa"/>
            <w:vAlign w:val="center"/>
          </w:tcPr>
          <w:p w14:paraId="45671877">
            <w:pPr>
              <w:pStyle w:val="3"/>
              <w:snapToGrid w:val="0"/>
              <w:spacing w:line="360" w:lineRule="auto"/>
              <w:rPr>
                <w:rFonts w:cs="宋体"/>
                <w:color w:val="auto"/>
                <w:highlight w:val="none"/>
              </w:rPr>
            </w:pPr>
          </w:p>
        </w:tc>
        <w:tc>
          <w:tcPr>
            <w:tcW w:w="762" w:type="dxa"/>
            <w:vAlign w:val="center"/>
          </w:tcPr>
          <w:p w14:paraId="1D029CD6">
            <w:pPr>
              <w:pStyle w:val="3"/>
              <w:snapToGrid w:val="0"/>
              <w:spacing w:line="360" w:lineRule="auto"/>
              <w:rPr>
                <w:rFonts w:cs="宋体"/>
                <w:color w:val="auto"/>
                <w:highlight w:val="none"/>
              </w:rPr>
            </w:pPr>
          </w:p>
        </w:tc>
        <w:tc>
          <w:tcPr>
            <w:tcW w:w="1532" w:type="dxa"/>
          </w:tcPr>
          <w:p w14:paraId="55019E52">
            <w:pPr>
              <w:pStyle w:val="3"/>
              <w:snapToGrid w:val="0"/>
              <w:spacing w:line="360" w:lineRule="auto"/>
              <w:rPr>
                <w:rFonts w:cs="宋体"/>
                <w:color w:val="auto"/>
                <w:highlight w:val="none"/>
              </w:rPr>
            </w:pPr>
          </w:p>
        </w:tc>
      </w:tr>
      <w:tr w14:paraId="2762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vAlign w:val="center"/>
          </w:tcPr>
          <w:p w14:paraId="40845762">
            <w:pPr>
              <w:pStyle w:val="3"/>
              <w:snapToGrid w:val="0"/>
              <w:spacing w:line="360" w:lineRule="auto"/>
              <w:ind w:firstLine="0" w:firstLineChars="0"/>
              <w:jc w:val="center"/>
              <w:rPr>
                <w:rFonts w:cs="宋体"/>
                <w:color w:val="auto"/>
                <w:highlight w:val="none"/>
              </w:rPr>
            </w:pPr>
            <w:r>
              <w:rPr>
                <w:rFonts w:hint="eastAsia" w:cs="宋体"/>
                <w:color w:val="auto"/>
                <w:highlight w:val="none"/>
              </w:rPr>
              <w:t>2</w:t>
            </w:r>
          </w:p>
        </w:tc>
        <w:tc>
          <w:tcPr>
            <w:tcW w:w="1692" w:type="dxa"/>
            <w:vAlign w:val="center"/>
          </w:tcPr>
          <w:p w14:paraId="604142E1">
            <w:pPr>
              <w:pStyle w:val="3"/>
              <w:snapToGrid w:val="0"/>
              <w:spacing w:line="360" w:lineRule="auto"/>
              <w:rPr>
                <w:rFonts w:cs="宋体"/>
                <w:color w:val="auto"/>
                <w:highlight w:val="none"/>
              </w:rPr>
            </w:pPr>
          </w:p>
        </w:tc>
        <w:tc>
          <w:tcPr>
            <w:tcW w:w="1800" w:type="dxa"/>
            <w:vAlign w:val="center"/>
          </w:tcPr>
          <w:p w14:paraId="70993318">
            <w:pPr>
              <w:pStyle w:val="3"/>
              <w:snapToGrid w:val="0"/>
              <w:spacing w:line="360" w:lineRule="auto"/>
              <w:rPr>
                <w:rFonts w:cs="宋体"/>
                <w:color w:val="auto"/>
                <w:highlight w:val="none"/>
              </w:rPr>
            </w:pPr>
          </w:p>
        </w:tc>
        <w:tc>
          <w:tcPr>
            <w:tcW w:w="1758" w:type="dxa"/>
          </w:tcPr>
          <w:p w14:paraId="010F4B08">
            <w:pPr>
              <w:pStyle w:val="3"/>
              <w:snapToGrid w:val="0"/>
              <w:spacing w:line="360" w:lineRule="auto"/>
              <w:rPr>
                <w:rFonts w:cs="宋体"/>
                <w:color w:val="auto"/>
                <w:highlight w:val="none"/>
              </w:rPr>
            </w:pPr>
          </w:p>
        </w:tc>
        <w:tc>
          <w:tcPr>
            <w:tcW w:w="762" w:type="dxa"/>
            <w:vAlign w:val="center"/>
          </w:tcPr>
          <w:p w14:paraId="6C70F547">
            <w:pPr>
              <w:pStyle w:val="3"/>
              <w:snapToGrid w:val="0"/>
              <w:spacing w:line="360" w:lineRule="auto"/>
              <w:rPr>
                <w:rFonts w:cs="宋体"/>
                <w:color w:val="auto"/>
                <w:highlight w:val="none"/>
              </w:rPr>
            </w:pPr>
          </w:p>
        </w:tc>
        <w:tc>
          <w:tcPr>
            <w:tcW w:w="1532" w:type="dxa"/>
          </w:tcPr>
          <w:p w14:paraId="2D215728">
            <w:pPr>
              <w:pStyle w:val="3"/>
              <w:snapToGrid w:val="0"/>
              <w:spacing w:line="360" w:lineRule="auto"/>
              <w:rPr>
                <w:rFonts w:cs="宋体"/>
                <w:color w:val="auto"/>
                <w:highlight w:val="none"/>
              </w:rPr>
            </w:pPr>
          </w:p>
        </w:tc>
      </w:tr>
    </w:tbl>
    <w:p w14:paraId="6D882C7B">
      <w:pPr>
        <w:pStyle w:val="3"/>
        <w:snapToGrid w:val="0"/>
        <w:spacing w:line="360" w:lineRule="auto"/>
        <w:rPr>
          <w:rFonts w:cs="宋体"/>
          <w:color w:val="auto"/>
          <w:highlight w:val="none"/>
        </w:rPr>
      </w:pPr>
      <w:r>
        <w:rPr>
          <w:rFonts w:hint="eastAsia" w:cs="宋体"/>
          <w:color w:val="auto"/>
          <w:highlight w:val="none"/>
        </w:rPr>
        <w:t>三、质量要求及供方对质量负责条件和期限：</w:t>
      </w:r>
    </w:p>
    <w:p w14:paraId="70ABE94D">
      <w:pPr>
        <w:pStyle w:val="3"/>
        <w:snapToGrid w:val="0"/>
        <w:spacing w:line="360" w:lineRule="auto"/>
        <w:rPr>
          <w:rFonts w:cs="宋体"/>
          <w:color w:val="auto"/>
          <w:highlight w:val="none"/>
        </w:rPr>
      </w:pPr>
      <w:r>
        <w:rPr>
          <w:rFonts w:hint="eastAsia" w:cs="宋体"/>
          <w:color w:val="auto"/>
          <w:highlight w:val="none"/>
        </w:rPr>
        <w:t>1、供方提供的货物必须是现货、全新，符合招标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14:paraId="345950F5">
      <w:pPr>
        <w:pStyle w:val="3"/>
        <w:snapToGrid w:val="0"/>
        <w:spacing w:line="360" w:lineRule="auto"/>
        <w:rPr>
          <w:rFonts w:cs="宋体"/>
          <w:color w:val="auto"/>
          <w:highlight w:val="none"/>
        </w:rPr>
      </w:pPr>
      <w:r>
        <w:rPr>
          <w:rFonts w:hint="eastAsia" w:cs="宋体"/>
          <w:color w:val="auto"/>
          <w:highlight w:val="none"/>
        </w:rPr>
        <w:t>2、供方在维保期内接到用户单位的电话后，在**小时内响应，**小时以内到现场，**小时以内解决问题，不能修复的，必须采取无偿提供备品、备件或备机等措施，以保证用户单位的正常使用。</w:t>
      </w:r>
    </w:p>
    <w:p w14:paraId="2357700C">
      <w:pPr>
        <w:pStyle w:val="3"/>
        <w:snapToGrid w:val="0"/>
        <w:spacing w:line="360" w:lineRule="auto"/>
        <w:rPr>
          <w:rFonts w:cs="宋体"/>
          <w:color w:val="auto"/>
          <w:highlight w:val="none"/>
        </w:rPr>
      </w:pPr>
      <w:r>
        <w:rPr>
          <w:rFonts w:hint="eastAsia" w:cs="宋体"/>
          <w:color w:val="auto"/>
          <w:highlight w:val="none"/>
        </w:rPr>
        <w:t>四、工期时间__________________________</w:t>
      </w:r>
    </w:p>
    <w:p w14:paraId="688F1591">
      <w:pPr>
        <w:pStyle w:val="3"/>
        <w:snapToGrid w:val="0"/>
        <w:spacing w:line="360" w:lineRule="auto"/>
        <w:rPr>
          <w:rFonts w:cs="宋体"/>
          <w:color w:val="auto"/>
          <w:highlight w:val="none"/>
        </w:rPr>
      </w:pPr>
      <w:r>
        <w:rPr>
          <w:rFonts w:hint="eastAsia" w:cs="宋体"/>
          <w:color w:val="auto"/>
          <w:highlight w:val="none"/>
        </w:rPr>
        <w:t xml:space="preserve">交货地点：                                                               </w:t>
      </w:r>
    </w:p>
    <w:p w14:paraId="49D9C41C">
      <w:pPr>
        <w:pStyle w:val="3"/>
        <w:snapToGrid w:val="0"/>
        <w:spacing w:line="360" w:lineRule="auto"/>
        <w:rPr>
          <w:rFonts w:cs="宋体"/>
          <w:color w:val="auto"/>
          <w:highlight w:val="none"/>
        </w:rPr>
      </w:pPr>
      <w:r>
        <w:rPr>
          <w:rFonts w:hint="eastAsia" w:cs="宋体"/>
          <w:color w:val="auto"/>
          <w:highlight w:val="none"/>
        </w:rPr>
        <w:t>五、货款支付</w:t>
      </w:r>
    </w:p>
    <w:p w14:paraId="4B414642">
      <w:pPr>
        <w:pStyle w:val="3"/>
        <w:snapToGrid w:val="0"/>
        <w:spacing w:line="360" w:lineRule="auto"/>
        <w:rPr>
          <w:rFonts w:hint="eastAsia" w:cs="宋体"/>
          <w:color w:val="auto"/>
          <w:highlight w:val="none"/>
        </w:rPr>
      </w:pPr>
      <w:r>
        <w:rPr>
          <w:rFonts w:hint="eastAsia" w:cs="宋体"/>
          <w:color w:val="auto"/>
          <w:highlight w:val="none"/>
        </w:rPr>
        <w:t>1、付款方式：</w:t>
      </w:r>
    </w:p>
    <w:p w14:paraId="3AE83DF5">
      <w:pPr>
        <w:pStyle w:val="3"/>
        <w:snapToGrid w:val="0"/>
        <w:spacing w:line="360" w:lineRule="auto"/>
        <w:rPr>
          <w:rFonts w:hint="eastAsia" w:cs="宋体"/>
          <w:color w:val="auto"/>
          <w:highlight w:val="none"/>
        </w:rPr>
      </w:pPr>
      <w:r>
        <w:rPr>
          <w:rFonts w:hint="eastAsia" w:cs="宋体"/>
          <w:color w:val="auto"/>
          <w:highlight w:val="none"/>
        </w:rPr>
        <w:t>（1）合同签订后中标人支付总价的1%作为履约保证金。</w:t>
      </w:r>
    </w:p>
    <w:p w14:paraId="53DCD7FA">
      <w:pPr>
        <w:pStyle w:val="3"/>
        <w:snapToGrid w:val="0"/>
        <w:spacing w:line="360" w:lineRule="auto"/>
        <w:rPr>
          <w:rFonts w:hint="eastAsia" w:cs="宋体"/>
          <w:color w:val="auto"/>
          <w:highlight w:val="none"/>
        </w:rPr>
      </w:pPr>
      <w:r>
        <w:rPr>
          <w:rFonts w:hint="eastAsia" w:cs="宋体"/>
          <w:color w:val="auto"/>
          <w:highlight w:val="none"/>
        </w:rPr>
        <w:t>（2）合同签订以及具备实施条件后，采购人向中标人支付合同总价的40%，作为预付款。在采购人通知中标人提供的采购品目全部安装调试到位后，由中标人通知采购人验收，采购人验收合格后，按各采购品类“实际数量”乘以“中标单价”计算加总，向中标人支付剩余尾款。</w:t>
      </w:r>
    </w:p>
    <w:p w14:paraId="501F8C26">
      <w:pPr>
        <w:pStyle w:val="3"/>
        <w:snapToGrid w:val="0"/>
        <w:spacing w:line="360" w:lineRule="auto"/>
        <w:rPr>
          <w:rFonts w:cs="宋体"/>
          <w:color w:val="auto"/>
          <w:highlight w:val="none"/>
        </w:rPr>
      </w:pPr>
      <w:r>
        <w:rPr>
          <w:rFonts w:hint="eastAsia" w:cs="宋体"/>
          <w:color w:val="auto"/>
          <w:highlight w:val="none"/>
        </w:rPr>
        <w:t>（3）项目全部安装调试验收完成后采购人无息退还履约保证金。</w:t>
      </w:r>
    </w:p>
    <w:p w14:paraId="0CEDD005">
      <w:pPr>
        <w:pStyle w:val="3"/>
        <w:snapToGrid w:val="0"/>
        <w:spacing w:line="360" w:lineRule="auto"/>
        <w:rPr>
          <w:rFonts w:cs="宋体"/>
          <w:color w:val="auto"/>
          <w:highlight w:val="none"/>
        </w:rPr>
      </w:pPr>
      <w:r>
        <w:rPr>
          <w:rFonts w:hint="eastAsia" w:cs="宋体"/>
          <w:color w:val="auto"/>
          <w:highlight w:val="none"/>
        </w:rPr>
        <w:t>2、合同履行完毕，需方根据合同进行验收，验收合格后供应商按财政结算要求办理货款结算手续。</w:t>
      </w:r>
    </w:p>
    <w:p w14:paraId="4EB23279">
      <w:pPr>
        <w:pStyle w:val="3"/>
        <w:snapToGrid w:val="0"/>
        <w:spacing w:line="360" w:lineRule="auto"/>
        <w:rPr>
          <w:rFonts w:cs="宋体"/>
          <w:color w:val="auto"/>
          <w:highlight w:val="none"/>
        </w:rPr>
      </w:pPr>
      <w:r>
        <w:rPr>
          <w:rFonts w:hint="eastAsia" w:cs="宋体"/>
          <w:color w:val="auto"/>
          <w:highlight w:val="none"/>
        </w:rPr>
        <w:t>六、履约保证金</w:t>
      </w:r>
    </w:p>
    <w:p w14:paraId="6061F714">
      <w:pPr>
        <w:pStyle w:val="3"/>
        <w:snapToGrid w:val="0"/>
        <w:spacing w:line="360" w:lineRule="auto"/>
        <w:rPr>
          <w:rFonts w:cs="宋体"/>
          <w:color w:val="auto"/>
          <w:highlight w:val="none"/>
        </w:rPr>
      </w:pPr>
      <w:r>
        <w:rPr>
          <w:rFonts w:hint="eastAsia" w:cs="宋体"/>
          <w:color w:val="auto"/>
          <w:highlight w:val="none"/>
        </w:rPr>
        <w:t>1、履约保证金：为保证政府采购项目合同的顺利执行，供方在本合同签订之前，其中标价的    %作为履约保证金（银行汇票形式）交付采购人。待项目验收合格后，由采购人将履约保证金无息退还供方。</w:t>
      </w:r>
    </w:p>
    <w:p w14:paraId="23D14B80">
      <w:pPr>
        <w:pStyle w:val="3"/>
        <w:snapToGrid w:val="0"/>
        <w:spacing w:line="360" w:lineRule="auto"/>
        <w:rPr>
          <w:rFonts w:cs="宋体"/>
          <w:color w:val="auto"/>
          <w:highlight w:val="none"/>
        </w:rPr>
      </w:pPr>
      <w:r>
        <w:rPr>
          <w:rFonts w:hint="eastAsia" w:cs="宋体"/>
          <w:color w:val="auto"/>
          <w:highlight w:val="none"/>
        </w:rPr>
        <w:t>七、违约责任</w:t>
      </w:r>
    </w:p>
    <w:p w14:paraId="26D424CC">
      <w:pPr>
        <w:pStyle w:val="3"/>
        <w:snapToGrid w:val="0"/>
        <w:spacing w:line="360" w:lineRule="auto"/>
        <w:rPr>
          <w:rFonts w:cs="宋体"/>
          <w:color w:val="auto"/>
          <w:highlight w:val="none"/>
        </w:rPr>
      </w:pPr>
      <w:r>
        <w:rPr>
          <w:rFonts w:hint="eastAsia" w:cs="宋体"/>
          <w:color w:val="auto"/>
          <w:highlight w:val="none"/>
        </w:rPr>
        <w:t>1、乙方逾期交付货物的，乙方应按逾期交付货款总额每日千分之 六  向甲方支付违约金，由甲方从待付货款中扣除。逾期超过约定日期 10 个工作日不能交货的，甲方可解除本合同，履约保证金不予退还，如造成甲方损失超过履约保证金的，超出部分由乙方继续承担赔偿责任。</w:t>
      </w:r>
    </w:p>
    <w:p w14:paraId="6C681142">
      <w:pPr>
        <w:pStyle w:val="3"/>
        <w:snapToGrid w:val="0"/>
        <w:spacing w:line="360" w:lineRule="auto"/>
        <w:rPr>
          <w:rFonts w:cs="宋体"/>
          <w:color w:val="auto"/>
          <w:highlight w:val="none"/>
        </w:rPr>
      </w:pPr>
      <w:r>
        <w:rPr>
          <w:rFonts w:hint="eastAsia" w:cs="宋体"/>
          <w:color w:val="auto"/>
          <w:highlight w:val="none"/>
        </w:rPr>
        <w:t>2、乙方所交的货物品种、型号、规格、技术参数、质量等不符合合同规定及投标文件承诺标准，甲方有权拒收该货物，乙方愿意更换货物但逾期交货的按乙方逾期交货处理。乙方拒绝更换货物的，甲方可单方面解除合同。</w:t>
      </w:r>
    </w:p>
    <w:p w14:paraId="352A7602">
      <w:pPr>
        <w:pStyle w:val="3"/>
        <w:snapToGrid w:val="0"/>
        <w:spacing w:line="360" w:lineRule="auto"/>
        <w:rPr>
          <w:rFonts w:cs="宋体"/>
          <w:color w:val="auto"/>
          <w:highlight w:val="none"/>
        </w:rPr>
      </w:pPr>
      <w:r>
        <w:rPr>
          <w:rFonts w:hint="eastAsia" w:cs="宋体"/>
          <w:color w:val="auto"/>
          <w:highlight w:val="none"/>
        </w:rPr>
        <w:t>3、因需方原因逾期支付合同款，自逾期之日起，向供方每日偿付合同总价千分之 二的滞纳金；需方无正当理由拒付货款的，应向供方偿付合同总价百分之五的违约金。</w:t>
      </w:r>
    </w:p>
    <w:p w14:paraId="7C69682C">
      <w:pPr>
        <w:pStyle w:val="3"/>
        <w:snapToGrid w:val="0"/>
        <w:spacing w:line="360" w:lineRule="auto"/>
        <w:rPr>
          <w:rFonts w:cs="宋体"/>
          <w:color w:val="auto"/>
          <w:highlight w:val="none"/>
        </w:rPr>
      </w:pPr>
      <w:r>
        <w:rPr>
          <w:rFonts w:hint="eastAsia" w:cs="宋体"/>
          <w:color w:val="auto"/>
          <w:highlight w:val="none"/>
        </w:rPr>
        <w:t>4、如发现乙方违反招投标文件和合同的有关规定，甲方有权根据约定对乙方进行处罚，并有权提前终止合同。</w:t>
      </w:r>
    </w:p>
    <w:p w14:paraId="365E3D74">
      <w:pPr>
        <w:pStyle w:val="3"/>
        <w:snapToGrid w:val="0"/>
        <w:spacing w:line="360" w:lineRule="auto"/>
        <w:rPr>
          <w:rFonts w:cs="宋体"/>
          <w:color w:val="auto"/>
          <w:highlight w:val="none"/>
        </w:rPr>
      </w:pPr>
      <w:r>
        <w:rPr>
          <w:rFonts w:hint="eastAsia" w:cs="宋体"/>
          <w:color w:val="auto"/>
          <w:highlight w:val="none"/>
        </w:rPr>
        <w:t>八、调试和验收</w:t>
      </w:r>
    </w:p>
    <w:p w14:paraId="051AE70D">
      <w:pPr>
        <w:pStyle w:val="3"/>
        <w:snapToGrid w:val="0"/>
        <w:spacing w:line="360" w:lineRule="auto"/>
        <w:rPr>
          <w:rFonts w:cs="宋体"/>
          <w:color w:val="auto"/>
          <w:highlight w:val="none"/>
        </w:rPr>
      </w:pPr>
      <w:r>
        <w:rPr>
          <w:rFonts w:hint="eastAsia" w:cs="宋体"/>
          <w:color w:val="auto"/>
          <w:highlight w:val="none"/>
        </w:rPr>
        <w:t>九、争议的解决</w:t>
      </w:r>
    </w:p>
    <w:p w14:paraId="6AE5930E">
      <w:pPr>
        <w:pStyle w:val="3"/>
        <w:snapToGrid w:val="0"/>
        <w:spacing w:line="360" w:lineRule="auto"/>
        <w:rPr>
          <w:rFonts w:cs="宋体"/>
          <w:color w:val="auto"/>
          <w:highlight w:val="none"/>
        </w:rPr>
      </w:pPr>
      <w:r>
        <w:rPr>
          <w:rFonts w:hint="eastAsia" w:cs="宋体"/>
          <w:color w:val="auto"/>
          <w:highlight w:val="none"/>
        </w:rPr>
        <w:t>因本合同引起的或与本合同有关的任何争议，合同双方应首先通过协商解决，达成书面协议，如协商不成，可选择下列第      种方式解决。</w:t>
      </w:r>
    </w:p>
    <w:p w14:paraId="4F2E06D3">
      <w:pPr>
        <w:pStyle w:val="3"/>
        <w:snapToGrid w:val="0"/>
        <w:spacing w:line="360" w:lineRule="auto"/>
        <w:rPr>
          <w:rFonts w:cs="宋体"/>
          <w:color w:val="auto"/>
          <w:highlight w:val="none"/>
        </w:rPr>
      </w:pPr>
      <w:r>
        <w:rPr>
          <w:rFonts w:hint="eastAsia" w:cs="宋体"/>
          <w:color w:val="auto"/>
          <w:highlight w:val="none"/>
        </w:rPr>
        <w:t>（1）提请杭州仲裁委员会按照该会仲裁规则进行仲裁，仲裁裁决是终局的，对合同双方均有约束力。</w:t>
      </w:r>
    </w:p>
    <w:p w14:paraId="14630FD6">
      <w:pPr>
        <w:pStyle w:val="3"/>
        <w:snapToGrid w:val="0"/>
        <w:spacing w:line="360" w:lineRule="auto"/>
        <w:rPr>
          <w:rFonts w:cs="宋体"/>
          <w:color w:val="auto"/>
          <w:highlight w:val="none"/>
        </w:rPr>
      </w:pPr>
      <w:r>
        <w:rPr>
          <w:rFonts w:hint="eastAsia" w:cs="宋体"/>
          <w:color w:val="auto"/>
          <w:highlight w:val="none"/>
        </w:rPr>
        <w:t>（2）向有管辖权的人民法院提起诉讼。</w:t>
      </w:r>
    </w:p>
    <w:p w14:paraId="450A7536">
      <w:pPr>
        <w:pStyle w:val="3"/>
        <w:snapToGrid w:val="0"/>
        <w:spacing w:line="360" w:lineRule="auto"/>
        <w:rPr>
          <w:rFonts w:cs="宋体"/>
          <w:color w:val="auto"/>
          <w:highlight w:val="none"/>
        </w:rPr>
      </w:pPr>
      <w:r>
        <w:rPr>
          <w:rFonts w:hint="eastAsia" w:cs="宋体"/>
          <w:color w:val="auto"/>
          <w:highlight w:val="none"/>
        </w:rPr>
        <w:t>十、合同生效</w:t>
      </w:r>
    </w:p>
    <w:p w14:paraId="0D72C4A1">
      <w:pPr>
        <w:pStyle w:val="3"/>
        <w:snapToGrid w:val="0"/>
        <w:spacing w:line="360" w:lineRule="auto"/>
        <w:rPr>
          <w:rFonts w:cs="宋体"/>
          <w:color w:val="auto"/>
          <w:highlight w:val="none"/>
        </w:rPr>
      </w:pPr>
      <w:r>
        <w:rPr>
          <w:rFonts w:hint="eastAsia" w:cs="宋体"/>
          <w:color w:val="auto"/>
          <w:highlight w:val="none"/>
        </w:rPr>
        <w:t>1、中标方持中标通知书作为与需方签订合同的凭证。</w:t>
      </w:r>
    </w:p>
    <w:p w14:paraId="002251D6">
      <w:pPr>
        <w:pStyle w:val="3"/>
        <w:snapToGrid w:val="0"/>
        <w:spacing w:line="360" w:lineRule="auto"/>
        <w:rPr>
          <w:rFonts w:cs="宋体"/>
          <w:color w:val="auto"/>
          <w:highlight w:val="none"/>
        </w:rPr>
      </w:pPr>
      <w:r>
        <w:rPr>
          <w:rFonts w:hint="eastAsia" w:cs="宋体"/>
          <w:color w:val="auto"/>
          <w:highlight w:val="none"/>
        </w:rPr>
        <w:t>2、本合同经需、供双方法定代表人或其授权委托人签名并加盖单位公章后生效。</w:t>
      </w:r>
    </w:p>
    <w:p w14:paraId="79746319">
      <w:pPr>
        <w:pStyle w:val="3"/>
        <w:snapToGrid w:val="0"/>
        <w:spacing w:line="360" w:lineRule="auto"/>
        <w:rPr>
          <w:rFonts w:cs="宋体"/>
          <w:color w:val="auto"/>
          <w:highlight w:val="none"/>
        </w:rPr>
      </w:pPr>
    </w:p>
    <w:p w14:paraId="7AA59AC8">
      <w:pPr>
        <w:pStyle w:val="3"/>
        <w:snapToGrid w:val="0"/>
        <w:spacing w:line="360" w:lineRule="auto"/>
        <w:rPr>
          <w:rFonts w:cs="宋体"/>
          <w:color w:val="auto"/>
          <w:highlight w:val="none"/>
        </w:rPr>
      </w:pPr>
    </w:p>
    <w:p w14:paraId="16ECDEB8">
      <w:pPr>
        <w:pStyle w:val="3"/>
        <w:snapToGrid w:val="0"/>
        <w:spacing w:line="360" w:lineRule="auto"/>
        <w:rPr>
          <w:rFonts w:cs="宋体"/>
          <w:color w:val="auto"/>
          <w:highlight w:val="none"/>
        </w:rPr>
      </w:pPr>
      <w:r>
        <w:rPr>
          <w:rFonts w:hint="eastAsia" w:cs="宋体"/>
          <w:color w:val="auto"/>
          <w:highlight w:val="none"/>
        </w:rPr>
        <w:t>需方（加盖公章）：                 供方（加盖公章）：</w:t>
      </w:r>
    </w:p>
    <w:p w14:paraId="67F473B1">
      <w:pPr>
        <w:pStyle w:val="3"/>
        <w:snapToGrid w:val="0"/>
        <w:spacing w:line="360" w:lineRule="auto"/>
        <w:rPr>
          <w:rFonts w:cs="宋体"/>
          <w:color w:val="auto"/>
          <w:highlight w:val="none"/>
        </w:rPr>
      </w:pPr>
      <w:r>
        <w:rPr>
          <w:rFonts w:hint="eastAsia" w:cs="宋体"/>
          <w:color w:val="auto"/>
          <w:highlight w:val="none"/>
        </w:rPr>
        <w:t>地址：                             地址：</w:t>
      </w:r>
    </w:p>
    <w:p w14:paraId="1BFA2B02">
      <w:pPr>
        <w:pStyle w:val="3"/>
        <w:snapToGrid w:val="0"/>
        <w:spacing w:line="360" w:lineRule="auto"/>
        <w:rPr>
          <w:rFonts w:cs="宋体"/>
          <w:color w:val="auto"/>
          <w:highlight w:val="none"/>
        </w:rPr>
      </w:pPr>
      <w:r>
        <w:rPr>
          <w:rFonts w:hint="eastAsia" w:cs="宋体"/>
          <w:color w:val="auto"/>
          <w:highlight w:val="none"/>
        </w:rPr>
        <w:t xml:space="preserve">法定代表人（或委托代理人）签名：   法定代表人（或委托代理人）签名：                    </w:t>
      </w:r>
    </w:p>
    <w:p w14:paraId="2E4F6E0C">
      <w:pPr>
        <w:pStyle w:val="3"/>
        <w:snapToGrid w:val="0"/>
        <w:spacing w:line="360" w:lineRule="auto"/>
        <w:rPr>
          <w:rFonts w:cs="宋体"/>
          <w:color w:val="auto"/>
          <w:highlight w:val="none"/>
        </w:rPr>
      </w:pPr>
      <w:r>
        <w:rPr>
          <w:rFonts w:hint="eastAsia" w:cs="宋体"/>
          <w:color w:val="auto"/>
          <w:highlight w:val="none"/>
        </w:rPr>
        <w:t>联系电话：                         联系电话：</w:t>
      </w:r>
    </w:p>
    <w:p w14:paraId="57E7CC4C">
      <w:pPr>
        <w:pStyle w:val="3"/>
        <w:snapToGrid w:val="0"/>
        <w:spacing w:line="360" w:lineRule="auto"/>
        <w:rPr>
          <w:rFonts w:cs="宋体"/>
          <w:color w:val="auto"/>
          <w:highlight w:val="none"/>
        </w:rPr>
      </w:pPr>
      <w:r>
        <w:rPr>
          <w:rFonts w:hint="eastAsia" w:cs="宋体"/>
          <w:color w:val="auto"/>
          <w:highlight w:val="none"/>
        </w:rPr>
        <w:t>邮政编码：                         邮政编码：</w:t>
      </w:r>
    </w:p>
    <w:p w14:paraId="52466CA6">
      <w:pPr>
        <w:pStyle w:val="3"/>
        <w:snapToGrid w:val="0"/>
        <w:spacing w:line="360" w:lineRule="auto"/>
        <w:rPr>
          <w:rFonts w:cs="宋体"/>
          <w:color w:val="auto"/>
          <w:highlight w:val="none"/>
        </w:rPr>
      </w:pPr>
      <w:r>
        <w:rPr>
          <w:rFonts w:hint="eastAsia" w:cs="宋体"/>
          <w:color w:val="auto"/>
          <w:highlight w:val="none"/>
        </w:rPr>
        <w:t xml:space="preserve">开户银行：                         开户银行：    </w:t>
      </w:r>
    </w:p>
    <w:p w14:paraId="065EFD1F">
      <w:pPr>
        <w:pStyle w:val="3"/>
        <w:snapToGrid w:val="0"/>
        <w:spacing w:line="360" w:lineRule="auto"/>
        <w:rPr>
          <w:rFonts w:cs="宋体"/>
          <w:color w:val="auto"/>
          <w:kern w:val="0"/>
          <w:highlight w:val="none"/>
        </w:rPr>
      </w:pPr>
      <w:r>
        <w:rPr>
          <w:rFonts w:hint="eastAsia" w:cs="宋体"/>
          <w:color w:val="auto"/>
          <w:highlight w:val="none"/>
        </w:rPr>
        <w:t>帐号：                             帐号：</w:t>
      </w:r>
    </w:p>
    <w:p w14:paraId="589F5C01">
      <w:pPr>
        <w:spacing w:line="500" w:lineRule="exact"/>
        <w:rPr>
          <w:rFonts w:ascii="宋体" w:hAnsi="宋体" w:eastAsia="宋体" w:cs="宋体"/>
          <w:color w:val="auto"/>
          <w:highlight w:val="none"/>
        </w:rPr>
      </w:pPr>
    </w:p>
    <w:p w14:paraId="4AD142CD">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br w:type="page"/>
      </w:r>
    </w:p>
    <w:p w14:paraId="36AA07A7">
      <w:pPr>
        <w:pStyle w:val="5"/>
        <w:jc w:val="center"/>
        <w:rPr>
          <w:rFonts w:ascii="宋体" w:hAnsi="宋体" w:eastAsia="宋体" w:cs="宋体"/>
          <w:color w:val="auto"/>
          <w:highlight w:val="none"/>
        </w:rPr>
      </w:pPr>
      <w:r>
        <w:rPr>
          <w:rFonts w:hint="eastAsia" w:ascii="宋体" w:hAnsi="宋体" w:eastAsia="宋体" w:cs="宋体"/>
          <w:color w:val="auto"/>
          <w:highlight w:val="none"/>
        </w:rPr>
        <w:t>第六部分 应提交的有关格式范例</w:t>
      </w:r>
    </w:p>
    <w:p w14:paraId="2B671384">
      <w:pPr>
        <w:pStyle w:val="6"/>
        <w:rPr>
          <w:rFonts w:ascii="宋体" w:hAnsi="宋体" w:eastAsia="宋体" w:cs="宋体"/>
          <w:color w:val="auto"/>
          <w:highlight w:val="none"/>
        </w:rPr>
      </w:pPr>
      <w:r>
        <w:rPr>
          <w:rFonts w:hint="eastAsia" w:ascii="宋体" w:hAnsi="宋体" w:eastAsia="宋体" w:cs="宋体"/>
          <w:color w:val="auto"/>
          <w:highlight w:val="none"/>
        </w:rPr>
        <w:t>资格文件部分</w:t>
      </w:r>
    </w:p>
    <w:p w14:paraId="50CD044B">
      <w:pPr>
        <w:jc w:val="center"/>
        <w:rPr>
          <w:rFonts w:ascii="宋体" w:hAnsi="宋体" w:eastAsia="宋体" w:cs="宋体"/>
          <w:b/>
          <w:color w:val="auto"/>
          <w:sz w:val="40"/>
          <w:highlight w:val="none"/>
        </w:rPr>
      </w:pPr>
      <w:r>
        <w:rPr>
          <w:rFonts w:hint="eastAsia" w:ascii="宋体" w:hAnsi="宋体" w:eastAsia="宋体" w:cs="宋体"/>
          <w:b/>
          <w:color w:val="auto"/>
          <w:sz w:val="40"/>
          <w:highlight w:val="none"/>
        </w:rPr>
        <w:t>目录</w:t>
      </w:r>
    </w:p>
    <w:p w14:paraId="04470AD9">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rPr>
        <w:t>（1）符合参加采购活动应当具备的一般条件的承诺函…………………（页码）</w:t>
      </w:r>
    </w:p>
    <w:p w14:paraId="0520E73E">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rPr>
        <w:t>（2）本项目的特定资格要求………………………………………………（页码）</w:t>
      </w:r>
    </w:p>
    <w:p w14:paraId="3DB1201D">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642C0C53">
      <w:pPr>
        <w:pStyle w:val="6"/>
        <w:rPr>
          <w:rFonts w:ascii="宋体" w:hAnsi="宋体" w:eastAsia="宋体" w:cs="宋体"/>
          <w:color w:val="auto"/>
          <w:highlight w:val="none"/>
        </w:rPr>
      </w:pPr>
      <w:r>
        <w:rPr>
          <w:rFonts w:hint="eastAsia" w:ascii="宋体" w:hAnsi="宋体" w:eastAsia="宋体" w:cs="宋体"/>
          <w:color w:val="auto"/>
          <w:highlight w:val="none"/>
        </w:rPr>
        <w:t>一、 符合参加采购活动应当具备的一般条件的承诺函</w:t>
      </w:r>
    </w:p>
    <w:p w14:paraId="0A74BC2D">
      <w:pPr>
        <w:snapToGrid w:val="0"/>
        <w:spacing w:line="360" w:lineRule="auto"/>
        <w:rPr>
          <w:rFonts w:ascii="宋体" w:hAnsi="宋体" w:eastAsia="宋体" w:cs="宋体"/>
          <w:color w:val="auto"/>
          <w:highlight w:val="none"/>
        </w:rPr>
      </w:pPr>
    </w:p>
    <w:p w14:paraId="4785F894">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u w:val="single"/>
        </w:rPr>
        <w:t>（采购人）、（采购代理机构）</w:t>
      </w:r>
      <w:r>
        <w:rPr>
          <w:rFonts w:hint="eastAsia" w:ascii="宋体" w:hAnsi="宋体" w:eastAsia="宋体" w:cs="宋体"/>
          <w:color w:val="auto"/>
          <w:highlight w:val="none"/>
        </w:rPr>
        <w:t>：</w:t>
      </w:r>
    </w:p>
    <w:p w14:paraId="47AC2AAE">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我方参与（项目名称）【招标编号：（采购编号）】采购活动，郑重承诺：</w:t>
      </w:r>
    </w:p>
    <w:p w14:paraId="406D98DE">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1、具有独立承担民事责任的能力；</w:t>
      </w:r>
    </w:p>
    <w:p w14:paraId="67463EC4">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 xml:space="preserve">2、具有良好的商业信誉和健全的财务会计制度； </w:t>
      </w:r>
    </w:p>
    <w:p w14:paraId="01610DF1">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3、具有履行合同所必需的设备和专业技术能力；</w:t>
      </w:r>
    </w:p>
    <w:p w14:paraId="6A3D4D8F">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4、有依法缴纳税收和社会保障资金的良好记录；</w:t>
      </w:r>
    </w:p>
    <w:p w14:paraId="18E20FA1">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5、参加政府采购活动前三年内，在经营活动中没有重大违法记录；</w:t>
      </w:r>
    </w:p>
    <w:p w14:paraId="1AA5A153">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6、具有法律、行政法规规定的其他条件。</w:t>
      </w:r>
    </w:p>
    <w:p w14:paraId="2A90F6C2">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（二）未被信用中国(www.creditchina.gov.cn)、中国政府采购网（www.ccgp.gov.cn）列入失信被执行人、重大税收违法案件当事人名单、政府采购严重违法失信行为记录名单。</w:t>
      </w:r>
    </w:p>
    <w:p w14:paraId="3066B3AA">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（三）不存在以下情况：</w:t>
      </w:r>
    </w:p>
    <w:p w14:paraId="296E8BE9">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1、单位负责人为同一人或者存在直接控股、管理关系的不同供应商参加同一合同项下的政府采购活动的；</w:t>
      </w:r>
    </w:p>
    <w:p w14:paraId="4EF1AC2D">
      <w:pPr>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2、为采购项目提供整体设计、规范编制或者项目管理、监理、检测等服务后再参加该采购项目的其他采购活动的。</w:t>
      </w:r>
    </w:p>
    <w:p w14:paraId="0D6B2962">
      <w:pPr>
        <w:snapToGrid w:val="0"/>
        <w:spacing w:line="360" w:lineRule="auto"/>
        <w:ind w:firstLine="5520" w:firstLineChars="2300"/>
        <w:rPr>
          <w:rFonts w:ascii="宋体" w:hAnsi="宋体" w:eastAsia="宋体" w:cs="宋体"/>
          <w:color w:val="auto"/>
          <w:highlight w:val="none"/>
          <w:lang w:val="zh-CN"/>
        </w:rPr>
      </w:pPr>
    </w:p>
    <w:p w14:paraId="1DBA01E5">
      <w:pPr>
        <w:snapToGrid w:val="0"/>
        <w:spacing w:line="360" w:lineRule="auto"/>
        <w:ind w:firstLine="5520" w:firstLineChars="2300"/>
        <w:rPr>
          <w:rFonts w:ascii="宋体" w:hAnsi="宋体" w:eastAsia="宋体" w:cs="宋体"/>
          <w:color w:val="auto"/>
          <w:highlight w:val="none"/>
        </w:rPr>
      </w:pPr>
      <w:r>
        <w:rPr>
          <w:rFonts w:hint="eastAsia" w:ascii="宋体" w:hAnsi="宋体" w:eastAsia="宋体" w:cs="宋体"/>
          <w:color w:val="auto"/>
          <w:highlight w:val="none"/>
          <w:lang w:val="zh-CN"/>
        </w:rPr>
        <w:t>投标人名称（电子签名）：</w:t>
      </w:r>
    </w:p>
    <w:p w14:paraId="2F8D8CEE">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lang w:val="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日期</w:t>
      </w:r>
      <w:r>
        <w:rPr>
          <w:rFonts w:hint="eastAsia" w:ascii="宋体" w:hAnsi="宋体" w:eastAsia="宋体" w:cs="宋体"/>
          <w:color w:val="auto"/>
          <w:highlight w:val="none"/>
        </w:rPr>
        <w:t xml:space="preserve">：  年  </w:t>
      </w:r>
      <w:r>
        <w:rPr>
          <w:rFonts w:hint="eastAsia" w:ascii="宋体" w:hAnsi="宋体" w:eastAsia="宋体" w:cs="宋体"/>
          <w:color w:val="auto"/>
          <w:highlight w:val="none"/>
          <w:lang w:val="zh-CN"/>
        </w:rPr>
        <w:t>月</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日</w:t>
      </w:r>
    </w:p>
    <w:p w14:paraId="5D5E89AC">
      <w:pPr>
        <w:snapToGrid w:val="0"/>
        <w:spacing w:line="360" w:lineRule="auto"/>
        <w:ind w:right="480"/>
        <w:jc w:val="center"/>
        <w:rPr>
          <w:rFonts w:ascii="宋体" w:hAnsi="宋体" w:eastAsia="宋体" w:cs="宋体"/>
          <w:b/>
          <w:color w:val="auto"/>
          <w:sz w:val="32"/>
          <w:szCs w:val="32"/>
          <w:highlight w:val="none"/>
        </w:rPr>
      </w:pPr>
    </w:p>
    <w:p w14:paraId="45B5EDF2">
      <w:pPr>
        <w:pStyle w:val="6"/>
        <w:rPr>
          <w:rFonts w:ascii="宋体" w:hAnsi="宋体" w:eastAsia="宋体" w:cs="宋体"/>
          <w:color w:val="auto"/>
          <w:highlight w:val="none"/>
        </w:rPr>
      </w:pPr>
      <w:r>
        <w:rPr>
          <w:rFonts w:hint="eastAsia" w:ascii="宋体" w:hAnsi="宋体" w:eastAsia="宋体" w:cs="宋体"/>
          <w:color w:val="auto"/>
          <w:highlight w:val="none"/>
        </w:rPr>
        <w:t>二、本项目的特定资格要求</w:t>
      </w:r>
    </w:p>
    <w:p w14:paraId="1F777212">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（根据招标公告本项目的特定资格要求提供相应的材料；未要求的，无需提供）</w:t>
      </w:r>
    </w:p>
    <w:p w14:paraId="245487C9">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22D68CF7">
      <w:pPr>
        <w:pStyle w:val="6"/>
        <w:rPr>
          <w:rFonts w:ascii="宋体" w:hAnsi="宋体" w:eastAsia="宋体" w:cs="宋体"/>
          <w:color w:val="auto"/>
          <w:highlight w:val="none"/>
        </w:rPr>
      </w:pPr>
      <w:r>
        <w:rPr>
          <w:rFonts w:hint="eastAsia" w:ascii="宋体" w:hAnsi="宋体" w:eastAsia="宋体" w:cs="宋体"/>
          <w:color w:val="auto"/>
          <w:highlight w:val="none"/>
        </w:rPr>
        <w:t>商务技术文件部分</w:t>
      </w:r>
    </w:p>
    <w:p w14:paraId="4C35BF97">
      <w:pPr>
        <w:jc w:val="center"/>
        <w:rPr>
          <w:rFonts w:ascii="宋体" w:hAnsi="宋体" w:eastAsia="宋体" w:cs="宋体"/>
          <w:color w:val="auto"/>
          <w:sz w:val="40"/>
          <w:highlight w:val="none"/>
        </w:rPr>
      </w:pPr>
      <w:r>
        <w:rPr>
          <w:rFonts w:hint="eastAsia" w:ascii="宋体" w:hAnsi="宋体" w:eastAsia="宋体" w:cs="宋体"/>
          <w:color w:val="auto"/>
          <w:sz w:val="40"/>
          <w:highlight w:val="none"/>
        </w:rPr>
        <w:t>目录</w:t>
      </w:r>
    </w:p>
    <w:p w14:paraId="570AA690">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（1）投标函……………………………………………………………………（页码）</w:t>
      </w:r>
    </w:p>
    <w:p w14:paraId="7351E080">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（2）授权委托书或法定代表人（单位负责人、自然人本人）身份证明…（页码）</w:t>
      </w:r>
    </w:p>
    <w:p w14:paraId="7D95518D">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（3）符合性审查资料…………………………………………………………（页码）</w:t>
      </w:r>
    </w:p>
    <w:p w14:paraId="52698612">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4）评标标准相应的商务技术资料…………………………………………（页码）（5）投标标的清单……………………………………………………………（页码）（6）商务技术偏离表…………………………………………………………（页码）</w:t>
      </w:r>
    </w:p>
    <w:p w14:paraId="75252261">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lang w:val="zh-CN"/>
        </w:rPr>
        <w:t>（</w:t>
      </w:r>
      <w:r>
        <w:rPr>
          <w:rFonts w:hint="eastAsia" w:ascii="宋体" w:hAnsi="宋体" w:eastAsia="宋体" w:cs="宋体"/>
          <w:color w:val="auto"/>
          <w:kern w:val="2"/>
          <w:highlight w:val="none"/>
        </w:rPr>
        <w:t>7</w:t>
      </w:r>
      <w:r>
        <w:rPr>
          <w:rFonts w:hint="eastAsia" w:ascii="宋体" w:hAnsi="宋体" w:eastAsia="宋体" w:cs="宋体"/>
          <w:color w:val="auto"/>
          <w:kern w:val="2"/>
          <w:highlight w:val="none"/>
          <w:lang w:val="zh-CN"/>
        </w:rPr>
        <w:t>）采购供应商廉洁自律承诺书</w:t>
      </w:r>
      <w:r>
        <w:rPr>
          <w:rFonts w:hint="eastAsia" w:ascii="宋体" w:hAnsi="宋体" w:eastAsia="宋体" w:cs="宋体"/>
          <w:color w:val="auto"/>
          <w:kern w:val="2"/>
          <w:highlight w:val="none"/>
        </w:rPr>
        <w:t>……………………………………………（页码）</w:t>
      </w:r>
    </w:p>
    <w:p w14:paraId="72D7F114">
      <w:pPr>
        <w:spacing w:line="360"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5ECB7B71">
      <w:pPr>
        <w:pStyle w:val="6"/>
        <w:rPr>
          <w:rFonts w:ascii="宋体" w:hAnsi="宋体" w:eastAsia="宋体" w:cs="宋体"/>
          <w:color w:val="auto"/>
          <w:highlight w:val="none"/>
        </w:rPr>
      </w:pPr>
      <w:r>
        <w:rPr>
          <w:rFonts w:hint="eastAsia" w:ascii="宋体" w:hAnsi="宋体" w:eastAsia="宋体" w:cs="宋体"/>
          <w:color w:val="auto"/>
          <w:highlight w:val="none"/>
        </w:rPr>
        <w:t>一、投标函</w:t>
      </w:r>
    </w:p>
    <w:p w14:paraId="22548310">
      <w:pPr>
        <w:widowControl w:val="0"/>
        <w:adjustRightInd w:val="0"/>
        <w:spacing w:after="0" w:line="44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w:t>
      </w:r>
      <w:r>
        <w:rPr>
          <w:rFonts w:hint="eastAsia" w:ascii="宋体" w:hAnsi="宋体" w:eastAsia="宋体" w:cs="宋体"/>
          <w:color w:val="auto"/>
          <w:highlight w:val="none"/>
        </w:rPr>
        <w:t>采购人</w:t>
      </w:r>
      <w:r>
        <w:rPr>
          <w:rFonts w:hint="eastAsia" w:ascii="宋体" w:hAnsi="宋体" w:eastAsia="宋体" w:cs="宋体"/>
          <w:color w:val="auto"/>
          <w:kern w:val="2"/>
          <w:highlight w:val="none"/>
        </w:rPr>
        <w:t>）、（采购代理机构）：</w:t>
      </w:r>
    </w:p>
    <w:p w14:paraId="7244F717">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我方参加你方组织的（项目名称）【招标编号：（采购编号）】招标的有关活动，并对此项目进行投标。为此：</w:t>
      </w:r>
    </w:p>
    <w:p w14:paraId="4D575EB0">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1、我方承诺投标有效期从提交投标文件的截止之日起</w:t>
      </w:r>
      <w:r>
        <w:rPr>
          <w:rFonts w:hint="eastAsia" w:ascii="宋体" w:hAnsi="宋体" w:eastAsia="宋体" w:cs="宋体"/>
          <w:color w:val="auto"/>
          <w:kern w:val="2"/>
          <w:highlight w:val="none"/>
          <w:u w:val="single"/>
        </w:rPr>
        <w:t xml:space="preserve">     </w:t>
      </w:r>
      <w:r>
        <w:rPr>
          <w:rFonts w:hint="eastAsia" w:ascii="宋体" w:hAnsi="宋体" w:eastAsia="宋体" w:cs="宋体"/>
          <w:color w:val="auto"/>
          <w:kern w:val="2"/>
          <w:highlight w:val="none"/>
        </w:rPr>
        <w:t>天（不少于90天），本投标文件在投标有效期满之前均具有约束力。</w:t>
      </w:r>
    </w:p>
    <w:p w14:paraId="6DDCCD8B">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2、我方的投标文件包括以下内容：</w:t>
      </w:r>
    </w:p>
    <w:p w14:paraId="4BEC8A59">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2.1资格文件：</w:t>
      </w:r>
    </w:p>
    <w:p w14:paraId="02BFA926">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2.1.1承诺函；</w:t>
      </w:r>
    </w:p>
    <w:p w14:paraId="3CFE5E59">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2.1.2本项目的特定资格要求（如果有）。</w:t>
      </w:r>
    </w:p>
    <w:p w14:paraId="52CB89E0">
      <w:pPr>
        <w:widowControl w:val="0"/>
        <w:adjustRightInd w:val="0"/>
        <w:spacing w:after="0" w:line="440" w:lineRule="exact"/>
        <w:ind w:firstLine="420" w:firstLineChars="175"/>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rPr>
        <w:t>2</w:t>
      </w:r>
      <w:r>
        <w:rPr>
          <w:rFonts w:hint="eastAsia" w:ascii="宋体" w:hAnsi="宋体" w:eastAsia="宋体" w:cs="宋体"/>
          <w:color w:val="auto"/>
          <w:kern w:val="2"/>
          <w:highlight w:val="none"/>
          <w:lang w:val="zh-CN"/>
        </w:rPr>
        <w:t>.</w:t>
      </w:r>
      <w:r>
        <w:rPr>
          <w:rFonts w:hint="eastAsia" w:ascii="宋体" w:hAnsi="宋体" w:eastAsia="宋体" w:cs="宋体"/>
          <w:color w:val="auto"/>
          <w:kern w:val="2"/>
          <w:highlight w:val="none"/>
        </w:rPr>
        <w:t>2</w:t>
      </w:r>
      <w:r>
        <w:rPr>
          <w:rFonts w:hint="eastAsia" w:ascii="宋体" w:hAnsi="宋体" w:eastAsia="宋体" w:cs="宋体"/>
          <w:color w:val="auto"/>
          <w:kern w:val="2"/>
          <w:highlight w:val="none"/>
          <w:lang w:val="zh-CN"/>
        </w:rPr>
        <w:t xml:space="preserve"> </w:t>
      </w:r>
      <w:r>
        <w:rPr>
          <w:rFonts w:hint="eastAsia" w:ascii="宋体" w:hAnsi="宋体" w:eastAsia="宋体" w:cs="宋体"/>
          <w:color w:val="auto"/>
          <w:kern w:val="2"/>
          <w:highlight w:val="none"/>
        </w:rPr>
        <w:t>商务技术</w:t>
      </w:r>
      <w:r>
        <w:rPr>
          <w:rFonts w:hint="eastAsia" w:ascii="宋体" w:hAnsi="宋体" w:eastAsia="宋体" w:cs="宋体"/>
          <w:color w:val="auto"/>
          <w:kern w:val="2"/>
          <w:highlight w:val="none"/>
          <w:lang w:val="zh-CN"/>
        </w:rPr>
        <w:t>文件：</w:t>
      </w:r>
    </w:p>
    <w:p w14:paraId="2D2EAB9A">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2.2.1投标函；</w:t>
      </w:r>
      <w:r>
        <w:rPr>
          <w:rFonts w:hint="eastAsia" w:ascii="宋体" w:hAnsi="宋体" w:eastAsia="宋体" w:cs="宋体"/>
          <w:color w:val="auto"/>
          <w:kern w:val="2"/>
          <w:highlight w:val="none"/>
          <w:lang w:val="zh-CN"/>
        </w:rPr>
        <w:t xml:space="preserve"> </w:t>
      </w:r>
    </w:p>
    <w:p w14:paraId="798422CD">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2.2.2授权委托书或法定代表人（单位负责人）身份证明；</w:t>
      </w:r>
    </w:p>
    <w:p w14:paraId="24E97ED6">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2.2.3符合性审查资料；</w:t>
      </w:r>
    </w:p>
    <w:p w14:paraId="1745E1A5">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2.2.4评标标准相应的商务技术资料；</w:t>
      </w:r>
    </w:p>
    <w:p w14:paraId="6141BA26">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2.2.5投标标的清单；</w:t>
      </w:r>
    </w:p>
    <w:p w14:paraId="2DCB24C3">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2.2.6商务技术偏离表；</w:t>
      </w:r>
    </w:p>
    <w:p w14:paraId="48E4B815">
      <w:pPr>
        <w:widowControl w:val="0"/>
        <w:adjustRightInd w:val="0"/>
        <w:spacing w:after="0" w:line="440" w:lineRule="exact"/>
        <w:ind w:firstLine="720" w:firstLineChars="3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rPr>
        <w:t>2</w:t>
      </w:r>
      <w:r>
        <w:rPr>
          <w:rFonts w:hint="eastAsia" w:ascii="宋体" w:hAnsi="宋体" w:eastAsia="宋体" w:cs="宋体"/>
          <w:color w:val="auto"/>
          <w:kern w:val="2"/>
          <w:highlight w:val="none"/>
          <w:lang w:val="zh-CN"/>
        </w:rPr>
        <w:t>.</w:t>
      </w:r>
      <w:r>
        <w:rPr>
          <w:rFonts w:hint="eastAsia" w:ascii="宋体" w:hAnsi="宋体" w:eastAsia="宋体" w:cs="宋体"/>
          <w:color w:val="auto"/>
          <w:kern w:val="2"/>
          <w:highlight w:val="none"/>
        </w:rPr>
        <w:t>2</w:t>
      </w:r>
      <w:r>
        <w:rPr>
          <w:rFonts w:hint="eastAsia" w:ascii="宋体" w:hAnsi="宋体" w:eastAsia="宋体" w:cs="宋体"/>
          <w:color w:val="auto"/>
          <w:kern w:val="2"/>
          <w:highlight w:val="none"/>
          <w:lang w:val="zh-CN"/>
        </w:rPr>
        <w:t>.</w:t>
      </w:r>
      <w:r>
        <w:rPr>
          <w:rFonts w:hint="eastAsia" w:ascii="宋体" w:hAnsi="宋体" w:eastAsia="宋体" w:cs="宋体"/>
          <w:color w:val="auto"/>
          <w:kern w:val="2"/>
          <w:highlight w:val="none"/>
        </w:rPr>
        <w:t>7</w:t>
      </w:r>
      <w:r>
        <w:rPr>
          <w:rFonts w:hint="eastAsia" w:ascii="宋体" w:hAnsi="宋体" w:eastAsia="宋体" w:cs="宋体"/>
          <w:color w:val="auto"/>
          <w:kern w:val="2"/>
          <w:highlight w:val="none"/>
          <w:lang w:val="zh-CN"/>
        </w:rPr>
        <w:t>采购供应商廉洁自律承诺书；</w:t>
      </w:r>
    </w:p>
    <w:p w14:paraId="3A74E631">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2</w:t>
      </w:r>
      <w:r>
        <w:rPr>
          <w:rFonts w:hint="eastAsia" w:ascii="宋体" w:hAnsi="宋体" w:eastAsia="宋体" w:cs="宋体"/>
          <w:color w:val="auto"/>
          <w:kern w:val="2"/>
          <w:highlight w:val="none"/>
          <w:lang w:val="zh-CN"/>
        </w:rPr>
        <w:t>.</w:t>
      </w:r>
      <w:r>
        <w:rPr>
          <w:rFonts w:hint="eastAsia" w:ascii="宋体" w:hAnsi="宋体" w:eastAsia="宋体" w:cs="宋体"/>
          <w:color w:val="auto"/>
          <w:kern w:val="2"/>
          <w:highlight w:val="none"/>
        </w:rPr>
        <w:t>3报价文件</w:t>
      </w:r>
    </w:p>
    <w:p w14:paraId="5BCC1C94">
      <w:pPr>
        <w:widowControl w:val="0"/>
        <w:adjustRightInd w:val="0"/>
        <w:spacing w:after="0" w:line="440" w:lineRule="exact"/>
        <w:ind w:firstLine="660" w:firstLineChars="275"/>
        <w:jc w:val="both"/>
        <w:rPr>
          <w:rFonts w:ascii="宋体" w:hAnsi="宋体" w:eastAsia="宋体" w:cs="宋体"/>
          <w:color w:val="auto"/>
          <w:kern w:val="2"/>
          <w:highlight w:val="none"/>
        </w:rPr>
      </w:pPr>
      <w:r>
        <w:rPr>
          <w:rFonts w:hint="eastAsia" w:ascii="宋体" w:hAnsi="宋体" w:eastAsia="宋体" w:cs="宋体"/>
          <w:color w:val="auto"/>
          <w:kern w:val="2"/>
          <w:highlight w:val="none"/>
        </w:rPr>
        <w:t>2.3.1开标一览表（报价表）。</w:t>
      </w:r>
    </w:p>
    <w:p w14:paraId="67FFDA99">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3、我方承诺除商务技术偏离表列出的偏离外，我方响应招标文件的全部要求。</w:t>
      </w:r>
    </w:p>
    <w:p w14:paraId="3C4FC2AE">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4、如我方中标，我方承诺：</w:t>
      </w:r>
    </w:p>
    <w:p w14:paraId="7A5F8F8A">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4.1在收到中标通知书后，在中标通知书规定的期限内与你方签订合同； </w:t>
      </w:r>
    </w:p>
    <w:p w14:paraId="2540A82B">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4.2在签订合同时不向你方提出附加条件； </w:t>
      </w:r>
    </w:p>
    <w:p w14:paraId="637F81FB">
      <w:pPr>
        <w:widowControl w:val="0"/>
        <w:adjustRightInd w:val="0"/>
        <w:spacing w:after="0" w:line="440" w:lineRule="exact"/>
        <w:ind w:firstLine="720" w:firstLineChars="300"/>
        <w:jc w:val="both"/>
        <w:rPr>
          <w:rFonts w:ascii="宋体" w:hAnsi="宋体" w:eastAsia="宋体" w:cs="宋体"/>
          <w:color w:val="auto"/>
          <w:kern w:val="2"/>
          <w:highlight w:val="none"/>
        </w:rPr>
      </w:pPr>
      <w:r>
        <w:rPr>
          <w:rFonts w:hint="eastAsia" w:ascii="宋体" w:hAnsi="宋体" w:eastAsia="宋体" w:cs="宋体"/>
          <w:color w:val="auto"/>
          <w:kern w:val="2"/>
          <w:highlight w:val="none"/>
        </w:rPr>
        <w:t xml:space="preserve">4.3在合同约定的期限内完成合同规定的全部义务。 </w:t>
      </w:r>
    </w:p>
    <w:p w14:paraId="635BBADA">
      <w:pPr>
        <w:widowControl w:val="0"/>
        <w:adjustRightInd w:val="0"/>
        <w:spacing w:after="0" w:line="44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5、其他补充说明：</w:t>
      </w:r>
      <w:r>
        <w:rPr>
          <w:rFonts w:hint="eastAsia" w:ascii="宋体" w:hAnsi="宋体" w:eastAsia="宋体" w:cs="宋体"/>
          <w:color w:val="auto"/>
          <w:kern w:val="2"/>
          <w:highlight w:val="none"/>
          <w:u w:val="single"/>
        </w:rPr>
        <w:t xml:space="preserve">                                        </w:t>
      </w:r>
      <w:r>
        <w:rPr>
          <w:rFonts w:hint="eastAsia" w:ascii="宋体" w:hAnsi="宋体" w:eastAsia="宋体" w:cs="宋体"/>
          <w:color w:val="auto"/>
          <w:kern w:val="2"/>
          <w:highlight w:val="none"/>
        </w:rPr>
        <w:t>。</w:t>
      </w:r>
    </w:p>
    <w:p w14:paraId="59D30214">
      <w:pPr>
        <w:widowControl w:val="0"/>
        <w:adjustRightInd w:val="0"/>
        <w:spacing w:after="0" w:line="480" w:lineRule="exact"/>
        <w:ind w:firstLine="420" w:firstLineChars="175"/>
        <w:jc w:val="right"/>
        <w:rPr>
          <w:rFonts w:ascii="宋体" w:hAnsi="宋体" w:eastAsia="宋体" w:cs="宋体"/>
          <w:color w:val="auto"/>
          <w:kern w:val="2"/>
          <w:highlight w:val="none"/>
        </w:rPr>
      </w:pPr>
      <w:r>
        <w:rPr>
          <w:rFonts w:hint="eastAsia" w:ascii="宋体" w:hAnsi="宋体" w:eastAsia="宋体" w:cs="宋体"/>
          <w:color w:val="auto"/>
          <w:kern w:val="2"/>
          <w:highlight w:val="none"/>
        </w:rPr>
        <w:t>投标人名称（电子签名）：</w:t>
      </w:r>
    </w:p>
    <w:p w14:paraId="14DC6723">
      <w:pPr>
        <w:widowControl w:val="0"/>
        <w:adjustRightInd w:val="0"/>
        <w:spacing w:after="0" w:line="480" w:lineRule="exact"/>
        <w:ind w:firstLine="420" w:firstLineChars="175"/>
        <w:jc w:val="right"/>
        <w:rPr>
          <w:rFonts w:ascii="宋体" w:hAnsi="宋体" w:eastAsia="宋体" w:cs="宋体"/>
          <w:color w:val="auto"/>
          <w:kern w:val="2"/>
          <w:highlight w:val="none"/>
        </w:rPr>
      </w:pPr>
      <w:r>
        <w:rPr>
          <w:rFonts w:hint="eastAsia" w:ascii="宋体" w:hAnsi="宋体" w:eastAsia="宋体" w:cs="宋体"/>
          <w:color w:val="auto"/>
          <w:kern w:val="2"/>
          <w:highlight w:val="none"/>
        </w:rPr>
        <w:t>日期：  年   月   日</w:t>
      </w:r>
    </w:p>
    <w:p w14:paraId="6E7D836B">
      <w:pPr>
        <w:widowControl w:val="0"/>
        <w:adjustRightInd w:val="0"/>
        <w:spacing w:after="0" w:line="480" w:lineRule="exact"/>
        <w:ind w:firstLine="420" w:firstLineChars="175"/>
        <w:jc w:val="both"/>
        <w:rPr>
          <w:rFonts w:ascii="宋体" w:hAnsi="宋体" w:eastAsia="宋体" w:cs="宋体"/>
          <w:color w:val="auto"/>
          <w:kern w:val="2"/>
          <w:highlight w:val="none"/>
        </w:rPr>
      </w:pPr>
    </w:p>
    <w:p w14:paraId="402F82FD">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注：按本格式和要求提供。</w:t>
      </w:r>
    </w:p>
    <w:p w14:paraId="5E59A3AE">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637830D1">
      <w:pPr>
        <w:pStyle w:val="6"/>
        <w:rPr>
          <w:rFonts w:ascii="宋体" w:hAnsi="宋体" w:eastAsia="宋体" w:cs="宋体"/>
          <w:color w:val="auto"/>
          <w:highlight w:val="none"/>
          <w:lang w:val="zh-CN"/>
        </w:rPr>
      </w:pPr>
      <w:r>
        <w:rPr>
          <w:rFonts w:hint="eastAsia" w:ascii="宋体" w:hAnsi="宋体" w:eastAsia="宋体" w:cs="宋体"/>
          <w:color w:val="auto"/>
          <w:highlight w:val="none"/>
          <w:lang w:val="zh-CN"/>
        </w:rPr>
        <w:t>二、授权委托书或法定代表人（单位负责人、自然人本人）身份证明</w:t>
      </w:r>
    </w:p>
    <w:p w14:paraId="4FD4ACBB">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                                </w:t>
      </w:r>
    </w:p>
    <w:p w14:paraId="0B375CA4">
      <w:pPr>
        <w:snapToGrid w:val="0"/>
        <w:spacing w:line="360" w:lineRule="auto"/>
        <w:jc w:val="center"/>
        <w:rPr>
          <w:rFonts w:ascii="宋体" w:hAnsi="宋体" w:eastAsia="宋体" w:cs="宋体"/>
          <w:color w:val="auto"/>
          <w:highlight w:val="none"/>
        </w:rPr>
      </w:pPr>
      <w:r>
        <w:rPr>
          <w:rFonts w:hint="eastAsia" w:ascii="宋体" w:hAnsi="宋体" w:eastAsia="宋体" w:cs="宋体"/>
          <w:b/>
          <w:color w:val="auto"/>
          <w:sz w:val="32"/>
          <w:szCs w:val="32"/>
          <w:highlight w:val="none"/>
          <w:lang w:val="zh-CN"/>
        </w:rPr>
        <w:t>授权委托书（</w:t>
      </w:r>
      <w:r>
        <w:rPr>
          <w:rFonts w:hint="eastAsia" w:ascii="宋体" w:hAnsi="宋体" w:eastAsia="宋体" w:cs="宋体"/>
          <w:b/>
          <w:color w:val="auto"/>
          <w:sz w:val="32"/>
          <w:szCs w:val="32"/>
          <w:highlight w:val="none"/>
          <w:lang w:val="en-US" w:eastAsia="zh-CN"/>
        </w:rPr>
        <w:t>适用于授权委托人参加投标</w:t>
      </w:r>
      <w:r>
        <w:rPr>
          <w:rFonts w:hint="eastAsia" w:ascii="宋体" w:hAnsi="宋体" w:eastAsia="宋体" w:cs="宋体"/>
          <w:b/>
          <w:color w:val="auto"/>
          <w:sz w:val="32"/>
          <w:szCs w:val="32"/>
          <w:highlight w:val="none"/>
          <w:lang w:val="zh-CN"/>
        </w:rPr>
        <w:t>）</w:t>
      </w:r>
    </w:p>
    <w:p w14:paraId="2D427E8A">
      <w:pPr>
        <w:widowControl w:val="0"/>
        <w:adjustRightInd w:val="0"/>
        <w:spacing w:after="0" w:line="48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rPr>
        <w:t>（</w:t>
      </w:r>
      <w:r>
        <w:rPr>
          <w:rFonts w:hint="eastAsia" w:ascii="宋体" w:hAnsi="宋体" w:eastAsia="宋体" w:cs="宋体"/>
          <w:color w:val="auto"/>
          <w:highlight w:val="none"/>
        </w:rPr>
        <w:t>采购人</w:t>
      </w:r>
      <w:r>
        <w:rPr>
          <w:rFonts w:hint="eastAsia" w:ascii="宋体" w:hAnsi="宋体" w:eastAsia="宋体" w:cs="宋体"/>
          <w:color w:val="auto"/>
          <w:kern w:val="2"/>
          <w:highlight w:val="none"/>
        </w:rPr>
        <w:t>）、（采购代理机构）</w:t>
      </w:r>
      <w:r>
        <w:rPr>
          <w:rFonts w:hint="eastAsia" w:ascii="宋体" w:hAnsi="宋体" w:eastAsia="宋体" w:cs="宋体"/>
          <w:color w:val="auto"/>
          <w:kern w:val="2"/>
          <w:highlight w:val="none"/>
          <w:lang w:val="zh-CN"/>
        </w:rPr>
        <w:t>：</w:t>
      </w:r>
    </w:p>
    <w:p w14:paraId="111C1986">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rPr>
        <w:t>现</w:t>
      </w:r>
      <w:r>
        <w:rPr>
          <w:rFonts w:hint="eastAsia" w:ascii="宋体" w:hAnsi="宋体" w:eastAsia="宋体" w:cs="宋体"/>
          <w:color w:val="auto"/>
          <w:kern w:val="2"/>
          <w:highlight w:val="none"/>
          <w:lang w:val="zh-CN"/>
        </w:rPr>
        <w:t>委托</w:t>
      </w:r>
      <w:r>
        <w:rPr>
          <w:rFonts w:hint="eastAsia" w:ascii="宋体" w:hAnsi="宋体" w:eastAsia="宋体" w:cs="宋体"/>
          <w:color w:val="auto"/>
          <w:kern w:val="2"/>
          <w:highlight w:val="none"/>
          <w:u w:val="single"/>
          <w:lang w:val="zh-CN"/>
        </w:rPr>
        <w:t xml:space="preserve">          </w:t>
      </w:r>
      <w:r>
        <w:rPr>
          <w:rFonts w:hint="eastAsia" w:ascii="宋体" w:hAnsi="宋体" w:eastAsia="宋体" w:cs="宋体"/>
          <w:color w:val="auto"/>
          <w:kern w:val="2"/>
          <w:highlight w:val="none"/>
          <w:lang w:val="zh-CN"/>
        </w:rPr>
        <w:t>（姓名）为我方代理人（身份证号码：</w:t>
      </w:r>
      <w:r>
        <w:rPr>
          <w:rFonts w:hint="eastAsia" w:ascii="宋体" w:hAnsi="宋体" w:eastAsia="宋体" w:cs="宋体"/>
          <w:color w:val="auto"/>
          <w:kern w:val="2"/>
          <w:highlight w:val="none"/>
          <w:u w:val="single"/>
          <w:lang w:val="zh-CN"/>
        </w:rPr>
        <w:t xml:space="preserve">          </w:t>
      </w:r>
      <w:r>
        <w:rPr>
          <w:rFonts w:hint="eastAsia" w:ascii="宋体" w:hAnsi="宋体" w:eastAsia="宋体" w:cs="宋体"/>
          <w:color w:val="auto"/>
          <w:kern w:val="2"/>
          <w:highlight w:val="none"/>
          <w:lang w:val="zh-CN"/>
        </w:rPr>
        <w:t>，手机：</w:t>
      </w:r>
      <w:r>
        <w:rPr>
          <w:rFonts w:hint="eastAsia" w:ascii="宋体" w:hAnsi="宋体" w:eastAsia="宋体" w:cs="宋体"/>
          <w:color w:val="auto"/>
          <w:kern w:val="2"/>
          <w:highlight w:val="none"/>
          <w:u w:val="single"/>
          <w:lang w:val="zh-CN"/>
        </w:rPr>
        <w:t xml:space="preserve">          </w:t>
      </w:r>
      <w:r>
        <w:rPr>
          <w:rFonts w:hint="eastAsia" w:ascii="宋体" w:hAnsi="宋体" w:eastAsia="宋体" w:cs="宋体"/>
          <w:color w:val="auto"/>
          <w:kern w:val="2"/>
          <w:highlight w:val="none"/>
          <w:lang w:val="zh-CN"/>
        </w:rPr>
        <w:t>），以我方名义处理</w:t>
      </w:r>
      <w:r>
        <w:rPr>
          <w:rFonts w:hint="eastAsia" w:ascii="宋体" w:hAnsi="宋体" w:eastAsia="宋体" w:cs="宋体"/>
          <w:color w:val="auto"/>
          <w:kern w:val="2"/>
          <w:highlight w:val="none"/>
        </w:rPr>
        <w:t>（项目名称）【招标编号：（采购编号）】</w:t>
      </w:r>
      <w:r>
        <w:rPr>
          <w:rFonts w:hint="eastAsia" w:ascii="宋体" w:hAnsi="宋体" w:eastAsia="宋体" w:cs="宋体"/>
          <w:color w:val="auto"/>
          <w:kern w:val="2"/>
          <w:highlight w:val="none"/>
          <w:lang w:val="zh-CN"/>
        </w:rPr>
        <w:t>采购投标的一切事项，其法律后果由我方承担。</w:t>
      </w:r>
    </w:p>
    <w:p w14:paraId="15369E60">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lang w:val="zh-CN"/>
        </w:rPr>
        <w:t>委托期限</w:t>
      </w:r>
      <w:r>
        <w:rPr>
          <w:rFonts w:hint="eastAsia" w:ascii="宋体" w:hAnsi="宋体" w:eastAsia="宋体" w:cs="宋体"/>
          <w:color w:val="auto"/>
          <w:kern w:val="2"/>
          <w:highlight w:val="none"/>
        </w:rPr>
        <w:t>：</w:t>
      </w:r>
      <w:r>
        <w:rPr>
          <w:rFonts w:hint="eastAsia" w:ascii="宋体" w:hAnsi="宋体" w:eastAsia="宋体" w:cs="宋体"/>
          <w:color w:val="auto"/>
          <w:kern w:val="2"/>
          <w:highlight w:val="none"/>
          <w:lang w:val="zh-CN"/>
        </w:rPr>
        <w:t>自</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年</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月</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日起至</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年</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月</w:t>
      </w:r>
      <w:r>
        <w:rPr>
          <w:rFonts w:hint="eastAsia" w:ascii="宋体" w:hAnsi="宋体" w:eastAsia="宋体" w:cs="宋体"/>
          <w:color w:val="auto"/>
          <w:kern w:val="2"/>
          <w:highlight w:val="none"/>
        </w:rPr>
        <w:t xml:space="preserve">  </w:t>
      </w:r>
      <w:r>
        <w:rPr>
          <w:rFonts w:hint="eastAsia" w:ascii="宋体" w:hAnsi="宋体" w:eastAsia="宋体" w:cs="宋体"/>
          <w:color w:val="auto"/>
          <w:kern w:val="2"/>
          <w:highlight w:val="none"/>
          <w:lang w:val="zh-CN"/>
        </w:rPr>
        <w:t>日止。</w:t>
      </w:r>
    </w:p>
    <w:p w14:paraId="09CC9434">
      <w:pPr>
        <w:widowControl w:val="0"/>
        <w:adjustRightInd w:val="0"/>
        <w:spacing w:after="0" w:line="480" w:lineRule="exact"/>
        <w:ind w:firstLine="420" w:firstLineChars="175"/>
        <w:jc w:val="both"/>
        <w:rPr>
          <w:rFonts w:ascii="宋体" w:hAnsi="宋体" w:eastAsia="宋体" w:cs="宋体"/>
          <w:color w:val="auto"/>
          <w:kern w:val="2"/>
          <w:highlight w:val="none"/>
        </w:rPr>
      </w:pPr>
      <w:r>
        <w:rPr>
          <w:rFonts w:hint="eastAsia" w:ascii="宋体" w:hAnsi="宋体" w:eastAsia="宋体" w:cs="宋体"/>
          <w:color w:val="auto"/>
          <w:kern w:val="2"/>
          <w:highlight w:val="none"/>
          <w:lang w:val="zh-CN"/>
        </w:rPr>
        <w:t>特此告知。</w:t>
      </w:r>
    </w:p>
    <w:p w14:paraId="6C11CDA8">
      <w:pP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w:t>
      </w:r>
    </w:p>
    <w:p w14:paraId="2C270FC3">
      <w:pPr>
        <w:jc w:val="right"/>
        <w:rPr>
          <w:rFonts w:ascii="宋体" w:hAnsi="宋体" w:eastAsia="宋体" w:cs="宋体"/>
          <w:color w:val="auto"/>
          <w:highlight w:val="none"/>
        </w:rPr>
      </w:pPr>
      <w:r>
        <w:rPr>
          <w:rFonts w:hint="eastAsia" w:ascii="宋体" w:hAnsi="宋体" w:eastAsia="宋体" w:cs="宋体"/>
          <w:color w:val="auto"/>
          <w:highlight w:val="none"/>
          <w:lang w:val="zh-CN"/>
        </w:rPr>
        <w:t>投标人名称（电子签名）：</w:t>
      </w:r>
    </w:p>
    <w:p w14:paraId="30D7C5C0">
      <w:pP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签发日期：  年  月   日</w:t>
      </w:r>
    </w:p>
    <w:p w14:paraId="22D1DE94">
      <w:pPr>
        <w:spacing w:line="276" w:lineRule="auto"/>
        <w:rPr>
          <w:rFonts w:hint="eastAsia" w:ascii="宋体" w:hAnsi="宋体" w:eastAsia="宋体" w:cs="宋体"/>
          <w:color w:val="auto"/>
          <w:highlight w:val="none"/>
        </w:rPr>
      </w:pPr>
    </w:p>
    <w:p w14:paraId="67DEFC94">
      <w:pPr>
        <w:spacing w:line="276" w:lineRule="auto"/>
        <w:rPr>
          <w:rFonts w:hint="eastAsia" w:ascii="宋体" w:hAnsi="宋体" w:eastAsia="宋体" w:cs="宋体"/>
          <w:color w:val="auto"/>
          <w:highlight w:val="none"/>
        </w:rPr>
      </w:pPr>
    </w:p>
    <w:p w14:paraId="388D16C8">
      <w:pPr>
        <w:spacing w:line="276" w:lineRule="auto"/>
        <w:rPr>
          <w:rFonts w:hint="eastAsia" w:ascii="宋体" w:hAnsi="宋体" w:eastAsia="宋体" w:cs="宋体"/>
          <w:b/>
          <w:color w:val="auto"/>
          <w:sz w:val="32"/>
          <w:szCs w:val="32"/>
          <w:highlight w:val="none"/>
          <w:lang w:val="zh-CN"/>
        </w:rPr>
      </w:pPr>
      <w:r>
        <w:rPr>
          <w:rFonts w:hint="eastAsia" w:ascii="宋体" w:hAnsi="宋体" w:eastAsia="宋体" w:cs="宋体"/>
          <w:color w:val="auto"/>
          <w:highlight w:val="none"/>
        </w:rPr>
        <w:t>受委托人</w:t>
      </w:r>
      <w:r>
        <w:rPr>
          <w:rFonts w:hint="eastAsia" w:ascii="宋体" w:hAnsi="宋体" w:eastAsia="宋体" w:cs="宋体"/>
          <w:color w:val="auto"/>
          <w:highlight w:val="none"/>
          <w:lang w:val="zh-CN"/>
        </w:rPr>
        <w:t>身份证复印件：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C32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6" w:hRule="atLeast"/>
          <w:jc w:val="center"/>
        </w:trPr>
        <w:tc>
          <w:tcPr>
            <w:tcW w:w="9207" w:type="dxa"/>
          </w:tcPr>
          <w:p w14:paraId="3CEE5C4F">
            <w:pPr>
              <w:pStyle w:val="81"/>
              <w:adjustRightInd w:val="0"/>
              <w:spacing w:line="360" w:lineRule="auto"/>
              <w:rPr>
                <w:rFonts w:hAnsi="宋体" w:eastAsia="宋体" w:cs="宋体"/>
                <w:bCs/>
                <w:color w:val="auto"/>
                <w:sz w:val="24"/>
                <w:highlight w:val="none"/>
              </w:rPr>
            </w:pPr>
            <w:r>
              <w:rPr>
                <w:rFonts w:hint="eastAsia" w:hAnsi="宋体" w:eastAsia="宋体" w:cs="宋体"/>
                <w:bCs/>
                <w:color w:val="auto"/>
                <w:sz w:val="24"/>
                <w:highlight w:val="none"/>
              </w:rPr>
              <w:t>正面：                                 反面：</w:t>
            </w:r>
          </w:p>
          <w:p w14:paraId="15A60743">
            <w:pPr>
              <w:pStyle w:val="81"/>
              <w:adjustRightInd w:val="0"/>
              <w:spacing w:line="360" w:lineRule="auto"/>
              <w:rPr>
                <w:rFonts w:hAnsi="宋体" w:eastAsia="宋体" w:cs="宋体"/>
                <w:bCs/>
                <w:color w:val="auto"/>
                <w:sz w:val="24"/>
                <w:highlight w:val="none"/>
              </w:rPr>
            </w:pPr>
          </w:p>
        </w:tc>
      </w:tr>
    </w:tbl>
    <w:p w14:paraId="31351587">
      <w:pPr>
        <w:spacing w:line="276" w:lineRule="auto"/>
        <w:rPr>
          <w:rFonts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br w:type="page"/>
      </w:r>
    </w:p>
    <w:p w14:paraId="285D3E89">
      <w:pPr>
        <w:autoSpaceDE w:val="0"/>
        <w:autoSpaceDN w:val="0"/>
        <w:spacing w:line="360" w:lineRule="auto"/>
        <w:jc w:val="center"/>
        <w:rPr>
          <w:rFonts w:ascii="宋体" w:hAnsi="宋体" w:eastAsia="宋体" w:cs="宋体"/>
          <w:b/>
          <w:color w:val="auto"/>
          <w:highlight w:val="none"/>
        </w:rPr>
      </w:pPr>
      <w:r>
        <w:rPr>
          <w:rFonts w:hint="eastAsia" w:ascii="宋体" w:hAnsi="宋体" w:eastAsia="宋体" w:cs="宋体"/>
          <w:b/>
          <w:color w:val="auto"/>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088BF216">
      <w:pPr>
        <w:pStyle w:val="81"/>
        <w:spacing w:line="360" w:lineRule="auto"/>
        <w:rPr>
          <w:rFonts w:hAnsi="宋体" w:eastAsia="宋体" w:cs="宋体"/>
          <w:bCs/>
          <w:color w:val="auto"/>
          <w:sz w:val="24"/>
          <w:highlight w:val="none"/>
        </w:rPr>
      </w:pPr>
      <w:r>
        <w:rPr>
          <w:rFonts w:hint="eastAsia" w:hAnsi="宋体" w:eastAsia="宋体" w:cs="宋体"/>
          <w:bCs/>
          <w:color w:val="auto"/>
          <w:sz w:val="24"/>
          <w:highlight w:val="none"/>
        </w:rPr>
        <w:t>身份证件扫描件：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4C0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6" w:hRule="atLeast"/>
          <w:jc w:val="center"/>
        </w:trPr>
        <w:tc>
          <w:tcPr>
            <w:tcW w:w="9207" w:type="dxa"/>
          </w:tcPr>
          <w:p w14:paraId="582CA549">
            <w:pPr>
              <w:pStyle w:val="81"/>
              <w:adjustRightInd w:val="0"/>
              <w:spacing w:line="360" w:lineRule="auto"/>
              <w:rPr>
                <w:rFonts w:hAnsi="宋体" w:eastAsia="宋体" w:cs="宋体"/>
                <w:bCs/>
                <w:color w:val="auto"/>
                <w:sz w:val="24"/>
                <w:highlight w:val="none"/>
              </w:rPr>
            </w:pPr>
            <w:r>
              <w:rPr>
                <w:rFonts w:hint="eastAsia" w:hAnsi="宋体" w:eastAsia="宋体" w:cs="宋体"/>
                <w:bCs/>
                <w:color w:val="auto"/>
                <w:sz w:val="24"/>
                <w:highlight w:val="none"/>
              </w:rPr>
              <w:t>正面：                                 反面：</w:t>
            </w:r>
          </w:p>
          <w:p w14:paraId="2A8B8E36">
            <w:pPr>
              <w:pStyle w:val="81"/>
              <w:adjustRightInd w:val="0"/>
              <w:spacing w:line="360" w:lineRule="auto"/>
              <w:rPr>
                <w:rFonts w:hAnsi="宋体" w:eastAsia="宋体" w:cs="宋体"/>
                <w:bCs/>
                <w:color w:val="auto"/>
                <w:sz w:val="24"/>
                <w:highlight w:val="none"/>
              </w:rPr>
            </w:pPr>
          </w:p>
        </w:tc>
      </w:tr>
    </w:tbl>
    <w:p w14:paraId="3A3E6006">
      <w:pPr>
        <w:snapToGrid w:val="0"/>
        <w:spacing w:line="360" w:lineRule="auto"/>
        <w:ind w:firstLine="576"/>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w:t>
      </w:r>
    </w:p>
    <w:p w14:paraId="68FB3978">
      <w:pPr>
        <w:spacing w:line="360" w:lineRule="auto"/>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w:t>
      </w:r>
    </w:p>
    <w:p w14:paraId="54091913">
      <w:pPr>
        <w:spacing w:line="276" w:lineRule="auto"/>
        <w:rPr>
          <w:rFonts w:ascii="宋体" w:hAnsi="宋体" w:eastAsia="宋体" w:cs="宋体"/>
          <w:color w:val="auto"/>
          <w:highlight w:val="none"/>
          <w:lang w:val="zh-CN"/>
        </w:rPr>
      </w:pPr>
      <w:r>
        <w:rPr>
          <w:rFonts w:hint="eastAsia" w:ascii="宋体" w:hAnsi="宋体" w:eastAsia="宋体" w:cs="宋体"/>
          <w:color w:val="auto"/>
          <w:highlight w:val="none"/>
        </w:rPr>
        <w:t>营业执照扫描件：</w:t>
      </w:r>
    </w:p>
    <w:tbl>
      <w:tblPr>
        <w:tblStyle w:val="3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5"/>
      </w:tblGrid>
      <w:tr w14:paraId="6F78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8" w:hRule="atLeast"/>
          <w:jc w:val="center"/>
        </w:trPr>
        <w:tc>
          <w:tcPr>
            <w:tcW w:w="9195" w:type="dxa"/>
          </w:tcPr>
          <w:p w14:paraId="7C3DCA2B">
            <w:pPr>
              <w:pStyle w:val="81"/>
              <w:adjustRightInd w:val="0"/>
              <w:spacing w:line="360" w:lineRule="auto"/>
              <w:rPr>
                <w:rFonts w:hAnsi="宋体" w:eastAsia="宋体" w:cs="宋体"/>
                <w:bCs/>
                <w:color w:val="auto"/>
                <w:sz w:val="24"/>
                <w:highlight w:val="none"/>
              </w:rPr>
            </w:pPr>
          </w:p>
        </w:tc>
      </w:tr>
    </w:tbl>
    <w:p w14:paraId="42C17279">
      <w:pPr>
        <w:snapToGrid w:val="0"/>
        <w:spacing w:line="360" w:lineRule="auto"/>
        <w:ind w:firstLine="576"/>
        <w:jc w:val="center"/>
        <w:rPr>
          <w:rFonts w:ascii="宋体" w:hAnsi="宋体" w:eastAsia="宋体" w:cs="宋体"/>
          <w:color w:val="auto"/>
          <w:highlight w:val="none"/>
          <w:lang w:val="zh-CN"/>
        </w:rPr>
      </w:pPr>
    </w:p>
    <w:p w14:paraId="778CEF54">
      <w:pPr>
        <w:snapToGrid w:val="0"/>
        <w:spacing w:line="360" w:lineRule="auto"/>
        <w:ind w:firstLine="576"/>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投标人名称（电子签名）：</w:t>
      </w:r>
    </w:p>
    <w:p w14:paraId="7B91FBC4">
      <w:pPr>
        <w:spacing w:line="360" w:lineRule="auto"/>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日期：  年  月  日</w:t>
      </w:r>
    </w:p>
    <w:p w14:paraId="5C51327A">
      <w:pPr>
        <w:spacing w:line="276" w:lineRule="auto"/>
        <w:rPr>
          <w:rFonts w:ascii="宋体" w:hAnsi="宋体" w:eastAsia="宋体" w:cs="宋体"/>
          <w:color w:val="auto"/>
          <w:highlight w:val="none"/>
          <w:lang w:val="zh-CN"/>
        </w:rPr>
      </w:pPr>
      <w:r>
        <w:rPr>
          <w:rFonts w:hint="eastAsia" w:ascii="宋体" w:hAnsi="宋体" w:eastAsia="宋体" w:cs="宋体"/>
          <w:color w:val="auto"/>
          <w:highlight w:val="none"/>
          <w:lang w:val="zh-CN"/>
        </w:rPr>
        <w:br w:type="page"/>
      </w:r>
    </w:p>
    <w:p w14:paraId="6425DEBE">
      <w:pPr>
        <w:pStyle w:val="6"/>
        <w:rPr>
          <w:rFonts w:ascii="宋体" w:hAnsi="宋体" w:eastAsia="宋体" w:cs="宋体"/>
          <w:color w:val="auto"/>
          <w:highlight w:val="none"/>
        </w:rPr>
      </w:pPr>
      <w:r>
        <w:rPr>
          <w:rFonts w:hint="eastAsia" w:ascii="宋体" w:hAnsi="宋体" w:eastAsia="宋体" w:cs="宋体"/>
          <w:color w:val="auto"/>
          <w:highlight w:val="none"/>
        </w:rPr>
        <w:t>三、符合性审查资料</w:t>
      </w:r>
    </w:p>
    <w:tbl>
      <w:tblPr>
        <w:tblStyle w:val="3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691"/>
        <w:gridCol w:w="3859"/>
        <w:gridCol w:w="1701"/>
      </w:tblGrid>
      <w:tr w14:paraId="497A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A4BBDE4">
            <w:pPr>
              <w:snapToGrid w:val="0"/>
              <w:spacing w:line="240" w:lineRule="atLeast"/>
              <w:jc w:val="center"/>
              <w:rPr>
                <w:rFonts w:ascii="宋体" w:hAnsi="宋体" w:eastAsia="宋体" w:cs="宋体"/>
                <w:b/>
                <w:color w:val="auto"/>
                <w:highlight w:val="none"/>
              </w:rPr>
            </w:pPr>
            <w:r>
              <w:rPr>
                <w:rFonts w:hint="eastAsia" w:ascii="宋体" w:hAnsi="宋体" w:eastAsia="宋体" w:cs="宋体"/>
                <w:b/>
                <w:color w:val="auto"/>
                <w:highlight w:val="none"/>
              </w:rPr>
              <w:t>序号</w:t>
            </w:r>
          </w:p>
        </w:tc>
        <w:tc>
          <w:tcPr>
            <w:tcW w:w="2691" w:type="dxa"/>
            <w:vAlign w:val="center"/>
          </w:tcPr>
          <w:p w14:paraId="4E5C1AE5">
            <w:pPr>
              <w:snapToGrid w:val="0"/>
              <w:spacing w:line="240" w:lineRule="atLeast"/>
              <w:jc w:val="center"/>
              <w:rPr>
                <w:rFonts w:ascii="宋体" w:hAnsi="宋体" w:eastAsia="宋体" w:cs="宋体"/>
                <w:b/>
                <w:color w:val="auto"/>
                <w:highlight w:val="none"/>
              </w:rPr>
            </w:pPr>
            <w:r>
              <w:rPr>
                <w:rFonts w:hint="eastAsia" w:ascii="宋体" w:hAnsi="宋体" w:eastAsia="宋体" w:cs="宋体"/>
                <w:b/>
                <w:color w:val="auto"/>
                <w:highlight w:val="none"/>
              </w:rPr>
              <w:t>实质性要求</w:t>
            </w:r>
          </w:p>
        </w:tc>
        <w:tc>
          <w:tcPr>
            <w:tcW w:w="3859" w:type="dxa"/>
            <w:vAlign w:val="center"/>
          </w:tcPr>
          <w:p w14:paraId="7ED2E2F8">
            <w:pPr>
              <w:snapToGrid w:val="0"/>
              <w:spacing w:line="240" w:lineRule="atLeast"/>
              <w:jc w:val="center"/>
              <w:rPr>
                <w:rFonts w:ascii="宋体" w:hAnsi="宋体" w:eastAsia="宋体" w:cs="宋体"/>
                <w:b/>
                <w:color w:val="auto"/>
                <w:highlight w:val="none"/>
              </w:rPr>
            </w:pPr>
            <w:r>
              <w:rPr>
                <w:rFonts w:hint="eastAsia" w:ascii="宋体" w:hAnsi="宋体" w:eastAsia="宋体" w:cs="宋体"/>
                <w:b/>
                <w:color w:val="auto"/>
                <w:highlight w:val="none"/>
              </w:rPr>
              <w:t>需要提供的符合性审查资料</w:t>
            </w:r>
          </w:p>
        </w:tc>
        <w:tc>
          <w:tcPr>
            <w:tcW w:w="1701" w:type="dxa"/>
            <w:vAlign w:val="center"/>
          </w:tcPr>
          <w:p w14:paraId="4ABD8ACD">
            <w:pPr>
              <w:snapToGrid w:val="0"/>
              <w:spacing w:line="240" w:lineRule="atLeast"/>
              <w:jc w:val="center"/>
              <w:rPr>
                <w:rFonts w:ascii="宋体" w:hAnsi="宋体" w:eastAsia="宋体" w:cs="宋体"/>
                <w:b/>
                <w:color w:val="auto"/>
                <w:highlight w:val="none"/>
              </w:rPr>
            </w:pPr>
            <w:r>
              <w:rPr>
                <w:rFonts w:hint="eastAsia" w:ascii="宋体" w:hAnsi="宋体" w:eastAsia="宋体" w:cs="宋体"/>
                <w:b/>
                <w:color w:val="auto"/>
                <w:highlight w:val="none"/>
              </w:rPr>
              <w:t>投标文件中的</w:t>
            </w:r>
          </w:p>
          <w:p w14:paraId="2365FB67">
            <w:pPr>
              <w:snapToGrid w:val="0"/>
              <w:spacing w:line="240" w:lineRule="atLeast"/>
              <w:jc w:val="center"/>
              <w:rPr>
                <w:rFonts w:ascii="宋体" w:hAnsi="宋体" w:eastAsia="宋体" w:cs="宋体"/>
                <w:b/>
                <w:color w:val="auto"/>
                <w:highlight w:val="none"/>
              </w:rPr>
            </w:pPr>
            <w:r>
              <w:rPr>
                <w:rFonts w:hint="eastAsia" w:ascii="宋体" w:hAnsi="宋体" w:eastAsia="宋体" w:cs="宋体"/>
                <w:b/>
                <w:color w:val="auto"/>
                <w:highlight w:val="none"/>
              </w:rPr>
              <w:t>页码位置</w:t>
            </w:r>
          </w:p>
        </w:tc>
      </w:tr>
      <w:tr w14:paraId="7884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D3A818E">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2691" w:type="dxa"/>
            <w:vAlign w:val="center"/>
          </w:tcPr>
          <w:p w14:paraId="0E2A53AB">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投标文件按照招标文件要求签署、盖章。</w:t>
            </w:r>
          </w:p>
        </w:tc>
        <w:tc>
          <w:tcPr>
            <w:tcW w:w="3859" w:type="dxa"/>
            <w:vAlign w:val="center"/>
          </w:tcPr>
          <w:p w14:paraId="0A944CFE">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需要使用电子签名或者签字盖章的投标文件的组成部分</w:t>
            </w:r>
          </w:p>
        </w:tc>
        <w:tc>
          <w:tcPr>
            <w:tcW w:w="1701" w:type="dxa"/>
            <w:vAlign w:val="center"/>
          </w:tcPr>
          <w:p w14:paraId="5E1EE11F">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见投标文件</w:t>
            </w:r>
          </w:p>
          <w:p w14:paraId="6C24C764">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第</w:t>
            </w:r>
            <w:r>
              <w:rPr>
                <w:rFonts w:hint="eastAsia" w:ascii="宋体" w:hAnsi="宋体" w:eastAsia="宋体" w:cs="宋体"/>
                <w:color w:val="auto"/>
                <w:kern w:val="2"/>
                <w:highlight w:val="none"/>
                <w:u w:val="single"/>
              </w:rPr>
              <w:t xml:space="preserve">   </w:t>
            </w:r>
            <w:r>
              <w:rPr>
                <w:rFonts w:hint="eastAsia" w:ascii="宋体" w:hAnsi="宋体" w:eastAsia="宋体" w:cs="宋体"/>
                <w:color w:val="auto"/>
                <w:kern w:val="2"/>
                <w:highlight w:val="none"/>
              </w:rPr>
              <w:t>页</w:t>
            </w:r>
          </w:p>
        </w:tc>
      </w:tr>
      <w:tr w14:paraId="7656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7126569">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2691" w:type="dxa"/>
            <w:vAlign w:val="center"/>
          </w:tcPr>
          <w:p w14:paraId="7726AF1C">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投标文件中承诺的投标有效期不少于招标文件中载明的投标有效期。</w:t>
            </w:r>
          </w:p>
        </w:tc>
        <w:tc>
          <w:tcPr>
            <w:tcW w:w="3859" w:type="dxa"/>
            <w:vAlign w:val="center"/>
          </w:tcPr>
          <w:p w14:paraId="148BCD77">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投标函</w:t>
            </w:r>
          </w:p>
        </w:tc>
        <w:tc>
          <w:tcPr>
            <w:tcW w:w="1701" w:type="dxa"/>
            <w:vAlign w:val="center"/>
          </w:tcPr>
          <w:p w14:paraId="357C8016">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见投标文件</w:t>
            </w:r>
          </w:p>
          <w:p w14:paraId="536AF22D">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第</w:t>
            </w:r>
            <w:r>
              <w:rPr>
                <w:rFonts w:hint="eastAsia" w:ascii="宋体" w:hAnsi="宋体" w:eastAsia="宋体" w:cs="宋体"/>
                <w:color w:val="auto"/>
                <w:kern w:val="2"/>
                <w:highlight w:val="none"/>
                <w:u w:val="single"/>
              </w:rPr>
              <w:t xml:space="preserve">   </w:t>
            </w:r>
            <w:r>
              <w:rPr>
                <w:rFonts w:hint="eastAsia" w:ascii="宋体" w:hAnsi="宋体" w:eastAsia="宋体" w:cs="宋体"/>
                <w:color w:val="auto"/>
                <w:kern w:val="2"/>
                <w:highlight w:val="none"/>
              </w:rPr>
              <w:t>页</w:t>
            </w:r>
          </w:p>
        </w:tc>
      </w:tr>
      <w:tr w14:paraId="7FAA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0A7EB2B">
            <w:pPr>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2691" w:type="dxa"/>
            <w:vAlign w:val="center"/>
          </w:tcPr>
          <w:p w14:paraId="14131A73">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投标文件满足招标文件的其它实质性要求。</w:t>
            </w:r>
          </w:p>
        </w:tc>
        <w:tc>
          <w:tcPr>
            <w:tcW w:w="3859" w:type="dxa"/>
            <w:vAlign w:val="center"/>
          </w:tcPr>
          <w:p w14:paraId="54BE79A0">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招标文件其它实质性要求相应的材料（“▲” 系指实质性要求条款，不允许有负偏离，否则将以涉及无效响应条款作无效响应。）</w:t>
            </w:r>
          </w:p>
        </w:tc>
        <w:tc>
          <w:tcPr>
            <w:tcW w:w="1701" w:type="dxa"/>
            <w:vAlign w:val="center"/>
          </w:tcPr>
          <w:p w14:paraId="501FE5B7">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见投标文件</w:t>
            </w:r>
          </w:p>
          <w:p w14:paraId="0DDF2873">
            <w:pPr>
              <w:widowControl w:val="0"/>
              <w:adjustRightInd w:val="0"/>
              <w:spacing w:after="0" w:line="440" w:lineRule="exact"/>
              <w:jc w:val="center"/>
              <w:rPr>
                <w:rFonts w:ascii="宋体" w:hAnsi="宋体" w:eastAsia="宋体" w:cs="宋体"/>
                <w:color w:val="auto"/>
                <w:kern w:val="2"/>
                <w:highlight w:val="none"/>
              </w:rPr>
            </w:pPr>
            <w:r>
              <w:rPr>
                <w:rFonts w:hint="eastAsia" w:ascii="宋体" w:hAnsi="宋体" w:eastAsia="宋体" w:cs="宋体"/>
                <w:color w:val="auto"/>
                <w:kern w:val="2"/>
                <w:highlight w:val="none"/>
              </w:rPr>
              <w:t>第</w:t>
            </w:r>
            <w:r>
              <w:rPr>
                <w:rFonts w:hint="eastAsia" w:ascii="宋体" w:hAnsi="宋体" w:eastAsia="宋体" w:cs="宋体"/>
                <w:color w:val="auto"/>
                <w:kern w:val="2"/>
                <w:highlight w:val="none"/>
                <w:u w:val="single"/>
              </w:rPr>
              <w:t xml:space="preserve">   </w:t>
            </w:r>
            <w:r>
              <w:rPr>
                <w:rFonts w:hint="eastAsia" w:ascii="宋体" w:hAnsi="宋体" w:eastAsia="宋体" w:cs="宋体"/>
                <w:color w:val="auto"/>
                <w:kern w:val="2"/>
                <w:highlight w:val="none"/>
              </w:rPr>
              <w:t>页</w:t>
            </w:r>
          </w:p>
        </w:tc>
      </w:tr>
    </w:tbl>
    <w:p w14:paraId="00089B18">
      <w:pPr>
        <w:rPr>
          <w:rFonts w:ascii="宋体" w:hAnsi="宋体" w:eastAsia="宋体" w:cs="宋体"/>
          <w:color w:val="auto"/>
          <w:highlight w:val="none"/>
        </w:rPr>
      </w:pPr>
      <w:r>
        <w:rPr>
          <w:rFonts w:hint="eastAsia" w:ascii="宋体" w:hAnsi="宋体" w:eastAsia="宋体" w:cs="宋体"/>
          <w:color w:val="auto"/>
          <w:highlight w:val="none"/>
        </w:rPr>
        <w:t>注：按本格式和要求提供。</w:t>
      </w:r>
    </w:p>
    <w:p w14:paraId="498B46EF">
      <w:pPr>
        <w:rPr>
          <w:rFonts w:ascii="宋体" w:hAnsi="宋体" w:eastAsia="宋体" w:cs="宋体"/>
          <w:color w:val="auto"/>
          <w:highlight w:val="none"/>
        </w:rPr>
      </w:pPr>
      <w:r>
        <w:rPr>
          <w:rFonts w:hint="eastAsia" w:ascii="宋体" w:hAnsi="宋体" w:eastAsia="宋体" w:cs="宋体"/>
          <w:color w:val="auto"/>
          <w:highlight w:val="none"/>
        </w:rPr>
        <w:br w:type="page"/>
      </w:r>
    </w:p>
    <w:p w14:paraId="3ADD4AE5">
      <w:pPr>
        <w:pStyle w:val="6"/>
        <w:rPr>
          <w:rFonts w:ascii="宋体" w:hAnsi="宋体" w:eastAsia="宋体" w:cs="宋体"/>
          <w:color w:val="auto"/>
          <w:highlight w:val="none"/>
        </w:rPr>
      </w:pPr>
      <w:r>
        <w:rPr>
          <w:rFonts w:hint="eastAsia" w:ascii="宋体" w:hAnsi="宋体" w:eastAsia="宋体" w:cs="宋体"/>
          <w:color w:val="auto"/>
          <w:highlight w:val="none"/>
        </w:rPr>
        <w:t>四、评标标准相应的商务技术资料</w:t>
      </w:r>
    </w:p>
    <w:p w14:paraId="076763C6">
      <w:pPr>
        <w:snapToGrid w:val="0"/>
        <w:spacing w:line="360" w:lineRule="auto"/>
        <w:rPr>
          <w:rFonts w:ascii="宋体" w:hAnsi="宋体" w:eastAsia="宋体" w:cs="宋体"/>
          <w:b/>
          <w:color w:val="auto"/>
          <w:highlight w:val="none"/>
        </w:rPr>
      </w:pPr>
      <w:r>
        <w:rPr>
          <w:rFonts w:hint="eastAsia" w:ascii="宋体" w:hAnsi="宋体" w:eastAsia="宋体" w:cs="宋体"/>
          <w:b/>
          <w:color w:val="auto"/>
          <w:highlight w:val="none"/>
        </w:rPr>
        <w:t>（按招标文件第四部分评标办法前附表中“投标文件中评标标准相应的商务技术资料目录”提供资料。）</w:t>
      </w:r>
    </w:p>
    <w:p w14:paraId="5CD3B161">
      <w:pPr>
        <w:pStyle w:val="6"/>
        <w:rPr>
          <w:rFonts w:ascii="宋体" w:hAnsi="宋体" w:eastAsia="宋体" w:cs="宋体"/>
          <w:color w:val="auto"/>
          <w:highlight w:val="none"/>
        </w:rPr>
      </w:pPr>
    </w:p>
    <w:p w14:paraId="1430CD21">
      <w:pPr>
        <w:pStyle w:val="6"/>
        <w:rPr>
          <w:rFonts w:ascii="宋体" w:hAnsi="宋体" w:eastAsia="宋体" w:cs="宋体"/>
          <w:color w:val="auto"/>
          <w:highlight w:val="none"/>
        </w:rPr>
      </w:pPr>
    </w:p>
    <w:p w14:paraId="286E8A0C">
      <w:pPr>
        <w:pStyle w:val="6"/>
        <w:rPr>
          <w:rFonts w:ascii="宋体" w:hAnsi="宋体" w:eastAsia="宋体" w:cs="宋体"/>
          <w:color w:val="auto"/>
          <w:highlight w:val="none"/>
        </w:rPr>
      </w:pPr>
      <w:r>
        <w:rPr>
          <w:rFonts w:hint="eastAsia" w:ascii="宋体" w:hAnsi="宋体" w:eastAsia="宋体" w:cs="宋体"/>
          <w:color w:val="auto"/>
          <w:highlight w:val="none"/>
        </w:rPr>
        <w:t>五、投标标的清单</w:t>
      </w:r>
    </w:p>
    <w:tbl>
      <w:tblPr>
        <w:tblStyle w:val="30"/>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308"/>
        <w:gridCol w:w="1373"/>
        <w:gridCol w:w="2468"/>
        <w:gridCol w:w="930"/>
        <w:gridCol w:w="1526"/>
      </w:tblGrid>
      <w:tr w14:paraId="4A54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3B73F9D">
            <w:pPr>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103B7A7">
            <w:pPr>
              <w:jc w:val="center"/>
              <w:rPr>
                <w:rFonts w:ascii="宋体" w:hAnsi="宋体" w:eastAsia="宋体" w:cs="宋体"/>
                <w:color w:val="auto"/>
                <w:highlight w:val="none"/>
              </w:rPr>
            </w:pPr>
            <w:r>
              <w:rPr>
                <w:rFonts w:hint="eastAsia" w:ascii="宋体" w:hAnsi="宋体" w:eastAsia="宋体" w:cs="宋体"/>
                <w:color w:val="auto"/>
                <w:highlight w:val="none"/>
              </w:rPr>
              <w:t>名称</w:t>
            </w:r>
          </w:p>
        </w:tc>
        <w:tc>
          <w:tcPr>
            <w:tcW w:w="1308" w:type="dxa"/>
            <w:tcBorders>
              <w:top w:val="single" w:color="auto" w:sz="4" w:space="0"/>
              <w:left w:val="single" w:color="auto" w:sz="4" w:space="0"/>
              <w:bottom w:val="single" w:color="auto" w:sz="4" w:space="0"/>
              <w:right w:val="single" w:color="auto" w:sz="4" w:space="0"/>
            </w:tcBorders>
            <w:vAlign w:val="center"/>
          </w:tcPr>
          <w:p w14:paraId="489555A6">
            <w:pPr>
              <w:jc w:val="center"/>
              <w:rPr>
                <w:rFonts w:ascii="宋体" w:hAnsi="宋体" w:eastAsia="宋体" w:cs="宋体"/>
                <w:color w:val="auto"/>
                <w:highlight w:val="none"/>
              </w:rPr>
            </w:pPr>
            <w:r>
              <w:rPr>
                <w:rFonts w:hint="eastAsia" w:ascii="宋体" w:hAnsi="宋体" w:eastAsia="宋体" w:cs="宋体"/>
                <w:color w:val="auto"/>
                <w:highlight w:val="none"/>
              </w:rPr>
              <w:t>品牌</w:t>
            </w:r>
          </w:p>
        </w:tc>
        <w:tc>
          <w:tcPr>
            <w:tcW w:w="1373" w:type="dxa"/>
            <w:tcBorders>
              <w:top w:val="single" w:color="auto" w:sz="4" w:space="0"/>
              <w:left w:val="single" w:color="auto" w:sz="4" w:space="0"/>
              <w:bottom w:val="single" w:color="auto" w:sz="4" w:space="0"/>
              <w:right w:val="single" w:color="auto" w:sz="4" w:space="0"/>
            </w:tcBorders>
            <w:vAlign w:val="center"/>
          </w:tcPr>
          <w:p w14:paraId="54A7AB8B">
            <w:pPr>
              <w:jc w:val="center"/>
              <w:rPr>
                <w:rFonts w:ascii="宋体" w:hAnsi="宋体" w:eastAsia="宋体" w:cs="宋体"/>
                <w:color w:val="auto"/>
                <w:highlight w:val="none"/>
              </w:rPr>
            </w:pPr>
            <w:r>
              <w:rPr>
                <w:rFonts w:hint="eastAsia" w:ascii="宋体" w:hAnsi="宋体" w:eastAsia="宋体" w:cs="宋体"/>
                <w:color w:val="auto"/>
                <w:highlight w:val="none"/>
              </w:rPr>
              <w:t>型号</w:t>
            </w:r>
          </w:p>
          <w:p w14:paraId="747667E5">
            <w:pPr>
              <w:jc w:val="center"/>
              <w:rPr>
                <w:rFonts w:ascii="宋体" w:hAnsi="宋体" w:eastAsia="宋体" w:cs="宋体"/>
                <w:color w:val="auto"/>
                <w:highlight w:val="none"/>
              </w:rPr>
            </w:pPr>
            <w:r>
              <w:rPr>
                <w:rFonts w:hint="eastAsia" w:ascii="宋体" w:hAnsi="宋体" w:eastAsia="宋体" w:cs="宋体"/>
                <w:color w:val="auto"/>
                <w:highlight w:val="none"/>
              </w:rPr>
              <w:t>（如果有）</w:t>
            </w:r>
          </w:p>
        </w:tc>
        <w:tc>
          <w:tcPr>
            <w:tcW w:w="2468" w:type="dxa"/>
            <w:tcBorders>
              <w:top w:val="single" w:color="auto" w:sz="4" w:space="0"/>
              <w:left w:val="single" w:color="auto" w:sz="4" w:space="0"/>
              <w:bottom w:val="single" w:color="auto" w:sz="4" w:space="0"/>
              <w:right w:val="single" w:color="auto" w:sz="4" w:space="0"/>
            </w:tcBorders>
            <w:vAlign w:val="center"/>
          </w:tcPr>
          <w:p w14:paraId="233B0924">
            <w:pPr>
              <w:jc w:val="center"/>
              <w:rPr>
                <w:rFonts w:ascii="宋体" w:hAnsi="宋体" w:eastAsia="宋体" w:cs="宋体"/>
                <w:color w:val="auto"/>
                <w:highlight w:val="none"/>
              </w:rPr>
            </w:pPr>
            <w:r>
              <w:rPr>
                <w:rFonts w:hint="eastAsia" w:ascii="宋体" w:hAnsi="宋体" w:eastAsia="宋体" w:cs="宋体"/>
                <w:color w:val="auto"/>
                <w:highlight w:val="none"/>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14:paraId="5B5EA23E">
            <w:pPr>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1526" w:type="dxa"/>
            <w:tcBorders>
              <w:top w:val="single" w:color="auto" w:sz="4" w:space="0"/>
              <w:left w:val="single" w:color="auto" w:sz="4" w:space="0"/>
              <w:bottom w:val="single" w:color="auto" w:sz="4" w:space="0"/>
              <w:right w:val="single" w:color="auto" w:sz="4" w:space="0"/>
            </w:tcBorders>
            <w:vAlign w:val="center"/>
          </w:tcPr>
          <w:p w14:paraId="6D7AF9E1">
            <w:pPr>
              <w:jc w:val="center"/>
              <w:rPr>
                <w:rFonts w:ascii="宋体" w:hAnsi="宋体" w:eastAsia="宋体" w:cs="宋体"/>
                <w:color w:val="auto"/>
                <w:highlight w:val="none"/>
              </w:rPr>
            </w:pPr>
            <w:r>
              <w:rPr>
                <w:rFonts w:hint="eastAsia" w:ascii="宋体" w:hAnsi="宋体" w:eastAsia="宋体" w:cs="宋体"/>
                <w:color w:val="auto"/>
                <w:highlight w:val="none"/>
              </w:rPr>
              <w:t>备注</w:t>
            </w:r>
          </w:p>
        </w:tc>
      </w:tr>
      <w:tr w14:paraId="5CFD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CFCB8B">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A6E7C4">
            <w:pPr>
              <w:rPr>
                <w:rFonts w:ascii="宋体" w:hAnsi="宋体" w:eastAsia="宋体" w:cs="宋体"/>
                <w:color w:val="auto"/>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22D05C6E">
            <w:pPr>
              <w:rPr>
                <w:rFonts w:ascii="宋体" w:hAnsi="宋体" w:eastAsia="宋体" w:cs="宋体"/>
                <w:color w:val="auto"/>
                <w:highlight w:val="none"/>
              </w:rPr>
            </w:pPr>
          </w:p>
        </w:tc>
        <w:tc>
          <w:tcPr>
            <w:tcW w:w="1373" w:type="dxa"/>
            <w:tcBorders>
              <w:top w:val="single" w:color="auto" w:sz="4" w:space="0"/>
              <w:left w:val="single" w:color="auto" w:sz="4" w:space="0"/>
              <w:bottom w:val="single" w:color="auto" w:sz="4" w:space="0"/>
              <w:right w:val="single" w:color="auto" w:sz="4" w:space="0"/>
            </w:tcBorders>
            <w:vAlign w:val="center"/>
          </w:tcPr>
          <w:p w14:paraId="61A41702">
            <w:pPr>
              <w:rPr>
                <w:rFonts w:ascii="宋体" w:hAnsi="宋体" w:eastAsia="宋体" w:cs="宋体"/>
                <w:color w:val="auto"/>
                <w:highlight w:val="none"/>
              </w:rPr>
            </w:pPr>
          </w:p>
        </w:tc>
        <w:tc>
          <w:tcPr>
            <w:tcW w:w="2468" w:type="dxa"/>
            <w:tcBorders>
              <w:top w:val="single" w:color="auto" w:sz="4" w:space="0"/>
              <w:left w:val="single" w:color="auto" w:sz="4" w:space="0"/>
              <w:bottom w:val="single" w:color="auto" w:sz="4" w:space="0"/>
              <w:right w:val="single" w:color="auto" w:sz="4" w:space="0"/>
            </w:tcBorders>
            <w:vAlign w:val="center"/>
          </w:tcPr>
          <w:p w14:paraId="0AFB826F">
            <w:pPr>
              <w:rPr>
                <w:rFonts w:ascii="宋体" w:hAnsi="宋体" w:eastAsia="宋体" w:cs="宋体"/>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3496D4B6">
            <w:pPr>
              <w:rPr>
                <w:rFonts w:ascii="宋体" w:hAnsi="宋体" w:eastAsia="宋体" w:cs="宋体"/>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38970F81">
            <w:pPr>
              <w:rPr>
                <w:rFonts w:ascii="宋体" w:hAnsi="宋体" w:eastAsia="宋体" w:cs="宋体"/>
                <w:color w:val="auto"/>
                <w:highlight w:val="none"/>
              </w:rPr>
            </w:pPr>
          </w:p>
        </w:tc>
      </w:tr>
      <w:tr w14:paraId="4251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D19654D">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1C024871">
            <w:pPr>
              <w:rPr>
                <w:rFonts w:ascii="宋体" w:hAnsi="宋体" w:eastAsia="宋体" w:cs="宋体"/>
                <w:color w:val="auto"/>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66C38165">
            <w:pPr>
              <w:rPr>
                <w:rFonts w:ascii="宋体" w:hAnsi="宋体" w:eastAsia="宋体" w:cs="宋体"/>
                <w:color w:val="auto"/>
                <w:highlight w:val="none"/>
              </w:rPr>
            </w:pPr>
          </w:p>
        </w:tc>
        <w:tc>
          <w:tcPr>
            <w:tcW w:w="1373" w:type="dxa"/>
            <w:tcBorders>
              <w:top w:val="single" w:color="auto" w:sz="4" w:space="0"/>
              <w:left w:val="single" w:color="auto" w:sz="4" w:space="0"/>
              <w:bottom w:val="single" w:color="auto" w:sz="4" w:space="0"/>
              <w:right w:val="single" w:color="auto" w:sz="4" w:space="0"/>
            </w:tcBorders>
            <w:vAlign w:val="center"/>
          </w:tcPr>
          <w:p w14:paraId="13A53901">
            <w:pPr>
              <w:rPr>
                <w:rFonts w:ascii="宋体" w:hAnsi="宋体" w:eastAsia="宋体" w:cs="宋体"/>
                <w:color w:val="auto"/>
                <w:highlight w:val="none"/>
              </w:rPr>
            </w:pPr>
          </w:p>
        </w:tc>
        <w:tc>
          <w:tcPr>
            <w:tcW w:w="2468" w:type="dxa"/>
            <w:tcBorders>
              <w:top w:val="single" w:color="auto" w:sz="4" w:space="0"/>
              <w:left w:val="single" w:color="auto" w:sz="4" w:space="0"/>
              <w:bottom w:val="single" w:color="auto" w:sz="4" w:space="0"/>
              <w:right w:val="single" w:color="auto" w:sz="4" w:space="0"/>
            </w:tcBorders>
            <w:vAlign w:val="center"/>
          </w:tcPr>
          <w:p w14:paraId="2A918A1D">
            <w:pPr>
              <w:rPr>
                <w:rFonts w:ascii="宋体" w:hAnsi="宋体" w:eastAsia="宋体" w:cs="宋体"/>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34F47331">
            <w:pPr>
              <w:rPr>
                <w:rFonts w:ascii="宋体" w:hAnsi="宋体" w:eastAsia="宋体" w:cs="宋体"/>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7314E7B5">
            <w:pPr>
              <w:rPr>
                <w:rFonts w:ascii="宋体" w:hAnsi="宋体" w:eastAsia="宋体" w:cs="宋体"/>
                <w:color w:val="auto"/>
                <w:highlight w:val="none"/>
              </w:rPr>
            </w:pPr>
          </w:p>
        </w:tc>
      </w:tr>
      <w:tr w14:paraId="3E5B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FB0CC53">
            <w:pPr>
              <w:rPr>
                <w:rFonts w:ascii="宋体" w:hAnsi="宋体" w:eastAsia="宋体" w:cs="宋体"/>
                <w:color w:val="auto"/>
                <w:highlight w:val="none"/>
              </w:rPr>
            </w:pPr>
            <w:r>
              <w:rPr>
                <w:rFonts w:hint="eastAsia" w:ascii="宋体" w:hAnsi="宋体" w:eastAsia="宋体" w:cs="宋体"/>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C20A823">
            <w:pPr>
              <w:rPr>
                <w:rFonts w:ascii="宋体" w:hAnsi="宋体" w:eastAsia="宋体" w:cs="宋体"/>
                <w:color w:val="auto"/>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0F203026">
            <w:pPr>
              <w:rPr>
                <w:rFonts w:ascii="宋体" w:hAnsi="宋体" w:eastAsia="宋体" w:cs="宋体"/>
                <w:color w:val="auto"/>
                <w:highlight w:val="none"/>
              </w:rPr>
            </w:pPr>
          </w:p>
        </w:tc>
        <w:tc>
          <w:tcPr>
            <w:tcW w:w="1373" w:type="dxa"/>
            <w:tcBorders>
              <w:top w:val="single" w:color="auto" w:sz="4" w:space="0"/>
              <w:left w:val="single" w:color="auto" w:sz="4" w:space="0"/>
              <w:bottom w:val="single" w:color="auto" w:sz="4" w:space="0"/>
              <w:right w:val="single" w:color="auto" w:sz="4" w:space="0"/>
            </w:tcBorders>
            <w:vAlign w:val="center"/>
          </w:tcPr>
          <w:p w14:paraId="351F8706">
            <w:pPr>
              <w:rPr>
                <w:rFonts w:ascii="宋体" w:hAnsi="宋体" w:eastAsia="宋体" w:cs="宋体"/>
                <w:color w:val="auto"/>
                <w:highlight w:val="none"/>
              </w:rPr>
            </w:pPr>
          </w:p>
        </w:tc>
        <w:tc>
          <w:tcPr>
            <w:tcW w:w="2468" w:type="dxa"/>
            <w:tcBorders>
              <w:top w:val="single" w:color="auto" w:sz="4" w:space="0"/>
              <w:left w:val="single" w:color="auto" w:sz="4" w:space="0"/>
              <w:bottom w:val="single" w:color="auto" w:sz="4" w:space="0"/>
              <w:right w:val="single" w:color="auto" w:sz="4" w:space="0"/>
            </w:tcBorders>
            <w:vAlign w:val="center"/>
          </w:tcPr>
          <w:p w14:paraId="14D8ACC9">
            <w:pPr>
              <w:rPr>
                <w:rFonts w:ascii="宋体" w:hAnsi="宋体" w:eastAsia="宋体" w:cs="宋体"/>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0E202509">
            <w:pPr>
              <w:rPr>
                <w:rFonts w:ascii="宋体" w:hAnsi="宋体" w:eastAsia="宋体" w:cs="宋体"/>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0F133560">
            <w:pPr>
              <w:rPr>
                <w:rFonts w:ascii="宋体" w:hAnsi="宋体" w:eastAsia="宋体" w:cs="宋体"/>
                <w:color w:val="auto"/>
                <w:highlight w:val="none"/>
              </w:rPr>
            </w:pPr>
          </w:p>
        </w:tc>
      </w:tr>
    </w:tbl>
    <w:p w14:paraId="46D1745F">
      <w:pPr>
        <w:rPr>
          <w:rFonts w:ascii="宋体" w:hAnsi="宋体" w:eastAsia="宋体" w:cs="宋体"/>
          <w:color w:val="auto"/>
          <w:highlight w:val="none"/>
        </w:rPr>
      </w:pPr>
      <w:r>
        <w:rPr>
          <w:rFonts w:hint="eastAsia" w:ascii="宋体" w:hAnsi="宋体" w:eastAsia="宋体" w:cs="宋体"/>
          <w:color w:val="auto"/>
          <w:highlight w:val="none"/>
        </w:rPr>
        <w:t>注：按本格式和要求提供。</w:t>
      </w:r>
    </w:p>
    <w:p w14:paraId="5C99224D">
      <w:pPr>
        <w:pStyle w:val="6"/>
        <w:rPr>
          <w:rFonts w:ascii="宋体" w:hAnsi="宋体" w:eastAsia="宋体" w:cs="宋体"/>
          <w:color w:val="auto"/>
          <w:highlight w:val="none"/>
        </w:rPr>
      </w:pPr>
    </w:p>
    <w:p w14:paraId="0EF36B0A">
      <w:pPr>
        <w:pStyle w:val="6"/>
        <w:rPr>
          <w:rFonts w:ascii="宋体" w:hAnsi="宋体" w:eastAsia="宋体" w:cs="宋体"/>
          <w:color w:val="auto"/>
          <w:highlight w:val="none"/>
        </w:rPr>
      </w:pPr>
      <w:r>
        <w:rPr>
          <w:rFonts w:hint="eastAsia" w:ascii="宋体" w:hAnsi="宋体" w:eastAsia="宋体" w:cs="宋体"/>
          <w:color w:val="auto"/>
          <w:highlight w:val="none"/>
        </w:rPr>
        <w:t>六、商务技术偏离表</w:t>
      </w:r>
    </w:p>
    <w:tbl>
      <w:tblPr>
        <w:tblStyle w:val="31"/>
        <w:tblW w:w="9464"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602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59" w:type="dxa"/>
            <w:vAlign w:val="center"/>
          </w:tcPr>
          <w:p w14:paraId="3DB66EF6">
            <w:pPr>
              <w:spacing w:after="0"/>
              <w:jc w:val="center"/>
              <w:rPr>
                <w:rFonts w:ascii="宋体" w:hAnsi="宋体" w:eastAsia="宋体" w:cs="宋体"/>
                <w:b/>
                <w:bCs/>
                <w:color w:val="auto"/>
                <w:highlight w:val="none"/>
              </w:rPr>
            </w:pPr>
            <w:r>
              <w:rPr>
                <w:rFonts w:hint="eastAsia" w:ascii="宋体" w:hAnsi="宋体" w:eastAsia="宋体" w:cs="宋体"/>
                <w:b/>
                <w:bCs/>
                <w:color w:val="auto"/>
                <w:highlight w:val="none"/>
              </w:rPr>
              <w:t>序号</w:t>
            </w:r>
          </w:p>
        </w:tc>
        <w:tc>
          <w:tcPr>
            <w:tcW w:w="3683" w:type="dxa"/>
            <w:vAlign w:val="center"/>
          </w:tcPr>
          <w:p w14:paraId="15FBA787">
            <w:pPr>
              <w:spacing w:after="0"/>
              <w:jc w:val="center"/>
              <w:rPr>
                <w:rFonts w:ascii="宋体" w:hAnsi="宋体" w:eastAsia="宋体" w:cs="宋体"/>
                <w:b/>
                <w:bCs/>
                <w:color w:val="auto"/>
                <w:highlight w:val="none"/>
              </w:rPr>
            </w:pPr>
            <w:r>
              <w:rPr>
                <w:rFonts w:hint="eastAsia" w:ascii="宋体" w:hAnsi="宋体" w:eastAsia="宋体" w:cs="宋体"/>
                <w:b/>
                <w:bCs/>
                <w:color w:val="auto"/>
                <w:highlight w:val="none"/>
              </w:rPr>
              <w:t>招标文件章节及具体内容</w:t>
            </w:r>
          </w:p>
        </w:tc>
        <w:tc>
          <w:tcPr>
            <w:tcW w:w="3546" w:type="dxa"/>
            <w:vAlign w:val="center"/>
          </w:tcPr>
          <w:p w14:paraId="7B2D9699">
            <w:pPr>
              <w:spacing w:after="0"/>
              <w:jc w:val="center"/>
              <w:rPr>
                <w:rFonts w:ascii="宋体" w:hAnsi="宋体" w:eastAsia="宋体" w:cs="宋体"/>
                <w:b/>
                <w:bCs/>
                <w:color w:val="auto"/>
                <w:highlight w:val="none"/>
              </w:rPr>
            </w:pPr>
            <w:r>
              <w:rPr>
                <w:rFonts w:hint="eastAsia" w:ascii="宋体" w:hAnsi="宋体" w:eastAsia="宋体" w:cs="宋体"/>
                <w:b/>
                <w:bCs/>
                <w:color w:val="auto"/>
                <w:highlight w:val="none"/>
              </w:rPr>
              <w:t>投标文件章节及具体内容</w:t>
            </w:r>
          </w:p>
        </w:tc>
        <w:tc>
          <w:tcPr>
            <w:tcW w:w="1276" w:type="dxa"/>
            <w:vAlign w:val="center"/>
          </w:tcPr>
          <w:p w14:paraId="1D6DA8BC">
            <w:pPr>
              <w:spacing w:after="0"/>
              <w:jc w:val="center"/>
              <w:rPr>
                <w:rFonts w:ascii="宋体" w:hAnsi="宋体" w:eastAsia="宋体" w:cs="宋体"/>
                <w:b/>
                <w:bCs/>
                <w:color w:val="auto"/>
                <w:highlight w:val="none"/>
              </w:rPr>
            </w:pPr>
            <w:r>
              <w:rPr>
                <w:rFonts w:hint="eastAsia" w:ascii="宋体" w:hAnsi="宋体" w:eastAsia="宋体" w:cs="宋体"/>
                <w:b/>
                <w:bCs/>
                <w:color w:val="auto"/>
                <w:highlight w:val="none"/>
              </w:rPr>
              <w:t>偏离说明</w:t>
            </w:r>
          </w:p>
        </w:tc>
      </w:tr>
      <w:tr w14:paraId="4F64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C3DA0ED">
            <w:pPr>
              <w:spacing w:after="0"/>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3683" w:type="dxa"/>
          </w:tcPr>
          <w:p w14:paraId="3C5B13FD">
            <w:pPr>
              <w:spacing w:after="0"/>
              <w:jc w:val="center"/>
              <w:rPr>
                <w:rFonts w:ascii="宋体" w:hAnsi="宋体" w:eastAsia="宋体" w:cs="宋体"/>
                <w:b/>
                <w:color w:val="auto"/>
                <w:sz w:val="32"/>
                <w:szCs w:val="32"/>
                <w:highlight w:val="none"/>
              </w:rPr>
            </w:pPr>
          </w:p>
        </w:tc>
        <w:tc>
          <w:tcPr>
            <w:tcW w:w="3546" w:type="dxa"/>
          </w:tcPr>
          <w:p w14:paraId="77D7DEB7">
            <w:pPr>
              <w:spacing w:after="0"/>
              <w:jc w:val="center"/>
              <w:rPr>
                <w:rFonts w:ascii="宋体" w:hAnsi="宋体" w:eastAsia="宋体" w:cs="宋体"/>
                <w:b/>
                <w:color w:val="auto"/>
                <w:sz w:val="32"/>
                <w:szCs w:val="32"/>
                <w:highlight w:val="none"/>
              </w:rPr>
            </w:pPr>
          </w:p>
        </w:tc>
        <w:tc>
          <w:tcPr>
            <w:tcW w:w="1276" w:type="dxa"/>
          </w:tcPr>
          <w:p w14:paraId="12D4BE29">
            <w:pPr>
              <w:spacing w:after="0"/>
              <w:jc w:val="center"/>
              <w:rPr>
                <w:rFonts w:ascii="宋体" w:hAnsi="宋体" w:eastAsia="宋体" w:cs="宋体"/>
                <w:b/>
                <w:color w:val="auto"/>
                <w:sz w:val="32"/>
                <w:szCs w:val="32"/>
                <w:highlight w:val="none"/>
              </w:rPr>
            </w:pPr>
          </w:p>
        </w:tc>
      </w:tr>
      <w:tr w14:paraId="2094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900BC24">
            <w:pPr>
              <w:spacing w:after="0"/>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3683" w:type="dxa"/>
          </w:tcPr>
          <w:p w14:paraId="43789161">
            <w:pPr>
              <w:spacing w:after="0"/>
              <w:jc w:val="center"/>
              <w:rPr>
                <w:rFonts w:ascii="宋体" w:hAnsi="宋体" w:eastAsia="宋体" w:cs="宋体"/>
                <w:b/>
                <w:color w:val="auto"/>
                <w:sz w:val="32"/>
                <w:szCs w:val="32"/>
                <w:highlight w:val="none"/>
              </w:rPr>
            </w:pPr>
          </w:p>
        </w:tc>
        <w:tc>
          <w:tcPr>
            <w:tcW w:w="3546" w:type="dxa"/>
          </w:tcPr>
          <w:p w14:paraId="783A10FC">
            <w:pPr>
              <w:spacing w:after="0"/>
              <w:jc w:val="center"/>
              <w:rPr>
                <w:rFonts w:ascii="宋体" w:hAnsi="宋体" w:eastAsia="宋体" w:cs="宋体"/>
                <w:b/>
                <w:color w:val="auto"/>
                <w:sz w:val="32"/>
                <w:szCs w:val="32"/>
                <w:highlight w:val="none"/>
              </w:rPr>
            </w:pPr>
          </w:p>
        </w:tc>
        <w:tc>
          <w:tcPr>
            <w:tcW w:w="1276" w:type="dxa"/>
          </w:tcPr>
          <w:p w14:paraId="2F10F5D9">
            <w:pPr>
              <w:spacing w:after="0"/>
              <w:jc w:val="center"/>
              <w:rPr>
                <w:rFonts w:ascii="宋体" w:hAnsi="宋体" w:eastAsia="宋体" w:cs="宋体"/>
                <w:b/>
                <w:color w:val="auto"/>
                <w:sz w:val="32"/>
                <w:szCs w:val="32"/>
                <w:highlight w:val="none"/>
              </w:rPr>
            </w:pPr>
          </w:p>
        </w:tc>
      </w:tr>
      <w:tr w14:paraId="08CA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0F1B04">
            <w:pPr>
              <w:spacing w:after="0"/>
              <w:jc w:val="center"/>
              <w:rPr>
                <w:rFonts w:ascii="宋体" w:hAnsi="宋体" w:eastAsia="宋体" w:cs="宋体"/>
                <w:color w:val="auto"/>
                <w:highlight w:val="none"/>
              </w:rPr>
            </w:pPr>
            <w:r>
              <w:rPr>
                <w:rFonts w:hint="eastAsia" w:ascii="宋体" w:hAnsi="宋体" w:eastAsia="宋体" w:cs="宋体"/>
                <w:color w:val="auto"/>
                <w:highlight w:val="none"/>
              </w:rPr>
              <w:t>……</w:t>
            </w:r>
          </w:p>
        </w:tc>
        <w:tc>
          <w:tcPr>
            <w:tcW w:w="3683" w:type="dxa"/>
          </w:tcPr>
          <w:p w14:paraId="7AB4A6EE">
            <w:pPr>
              <w:spacing w:after="0"/>
              <w:jc w:val="center"/>
              <w:rPr>
                <w:rFonts w:ascii="宋体" w:hAnsi="宋体" w:eastAsia="宋体" w:cs="宋体"/>
                <w:b/>
                <w:color w:val="auto"/>
                <w:sz w:val="32"/>
                <w:szCs w:val="32"/>
                <w:highlight w:val="none"/>
              </w:rPr>
            </w:pPr>
          </w:p>
        </w:tc>
        <w:tc>
          <w:tcPr>
            <w:tcW w:w="3546" w:type="dxa"/>
          </w:tcPr>
          <w:p w14:paraId="0E6615A6">
            <w:pPr>
              <w:spacing w:after="0"/>
              <w:jc w:val="center"/>
              <w:rPr>
                <w:rFonts w:ascii="宋体" w:hAnsi="宋体" w:eastAsia="宋体" w:cs="宋体"/>
                <w:b/>
                <w:color w:val="auto"/>
                <w:sz w:val="32"/>
                <w:szCs w:val="32"/>
                <w:highlight w:val="none"/>
              </w:rPr>
            </w:pPr>
          </w:p>
        </w:tc>
        <w:tc>
          <w:tcPr>
            <w:tcW w:w="1276" w:type="dxa"/>
          </w:tcPr>
          <w:p w14:paraId="0248A606">
            <w:pPr>
              <w:spacing w:after="0"/>
              <w:jc w:val="center"/>
              <w:rPr>
                <w:rFonts w:ascii="宋体" w:hAnsi="宋体" w:eastAsia="宋体" w:cs="宋体"/>
                <w:b/>
                <w:color w:val="auto"/>
                <w:sz w:val="32"/>
                <w:szCs w:val="32"/>
                <w:highlight w:val="none"/>
              </w:rPr>
            </w:pPr>
          </w:p>
        </w:tc>
      </w:tr>
    </w:tbl>
    <w:p w14:paraId="486058C7">
      <w:pPr>
        <w:rPr>
          <w:rFonts w:hint="eastAsia" w:ascii="宋体" w:hAnsi="宋体" w:eastAsia="宋体" w:cs="宋体"/>
          <w:color w:val="auto"/>
          <w:highlight w:val="none"/>
          <w:lang w:eastAsia="zh-CN"/>
        </w:rPr>
      </w:pPr>
      <w:r>
        <w:rPr>
          <w:rFonts w:hint="eastAsia" w:ascii="宋体" w:hAnsi="宋体" w:eastAsia="宋体" w:cs="宋体"/>
          <w:color w:val="auto"/>
          <w:highlight w:val="none"/>
        </w:rPr>
        <w:t>投标人保证：除商务技术偏离表列出的偏离外，投标人响应招标文件的全部要求</w:t>
      </w:r>
      <w:r>
        <w:rPr>
          <w:rFonts w:hint="eastAsia" w:ascii="宋体" w:hAnsi="宋体" w:eastAsia="宋体" w:cs="宋体"/>
          <w:color w:val="auto"/>
          <w:highlight w:val="none"/>
          <w:lang w:eastAsia="zh-CN"/>
        </w:rPr>
        <w:t>。</w:t>
      </w:r>
    </w:p>
    <w:p w14:paraId="513A54D6">
      <w:pPr>
        <w:spacing w:line="360" w:lineRule="auto"/>
        <w:ind w:right="420"/>
        <w:rPr>
          <w:rFonts w:ascii="宋体" w:hAnsi="宋体" w:eastAsia="宋体" w:cs="宋体"/>
          <w:color w:val="auto"/>
          <w:highlight w:val="none"/>
        </w:rPr>
      </w:pPr>
      <w:r>
        <w:rPr>
          <w:rFonts w:hint="eastAsia" w:ascii="宋体" w:hAnsi="宋体" w:eastAsia="宋体" w:cs="宋体"/>
          <w:color w:val="auto"/>
          <w:highlight w:val="none"/>
        </w:rPr>
        <w:t>注：按本格式和要求提供。</w:t>
      </w:r>
    </w:p>
    <w:p w14:paraId="2A2F875E">
      <w:pPr>
        <w:spacing w:line="276" w:lineRule="auto"/>
        <w:rPr>
          <w:rFonts w:ascii="宋体" w:hAnsi="宋体" w:eastAsia="宋体" w:cs="宋体"/>
          <w:b/>
          <w:color w:val="auto"/>
          <w:highlight w:val="none"/>
        </w:rPr>
      </w:pPr>
      <w:r>
        <w:rPr>
          <w:rFonts w:hint="eastAsia" w:ascii="宋体" w:hAnsi="宋体" w:eastAsia="宋体" w:cs="宋体"/>
          <w:b/>
          <w:color w:val="auto"/>
          <w:highlight w:val="none"/>
        </w:rPr>
        <w:br w:type="page"/>
      </w:r>
    </w:p>
    <w:p w14:paraId="2FE6FDB4">
      <w:pPr>
        <w:pStyle w:val="6"/>
        <w:rPr>
          <w:rFonts w:ascii="宋体" w:hAnsi="宋体" w:eastAsia="宋体" w:cs="宋体"/>
          <w:color w:val="auto"/>
          <w:highlight w:val="none"/>
        </w:rPr>
      </w:pPr>
      <w:r>
        <w:rPr>
          <w:rFonts w:hint="eastAsia" w:ascii="宋体" w:hAnsi="宋体" w:eastAsia="宋体" w:cs="宋体"/>
          <w:bCs/>
          <w:color w:val="auto"/>
          <w:highlight w:val="none"/>
        </w:rPr>
        <w:t>七</w:t>
      </w:r>
      <w:r>
        <w:rPr>
          <w:rFonts w:hint="eastAsia" w:ascii="宋体" w:hAnsi="宋体" w:eastAsia="宋体" w:cs="宋体"/>
          <w:color w:val="auto"/>
          <w:highlight w:val="none"/>
        </w:rPr>
        <w:t>、</w:t>
      </w:r>
      <w:r>
        <w:rPr>
          <w:rFonts w:hint="eastAsia" w:ascii="宋体" w:hAnsi="宋体" w:eastAsia="宋体" w:cs="宋体"/>
          <w:color w:val="auto"/>
          <w:highlight w:val="none"/>
          <w:lang w:val="zh-CN"/>
        </w:rPr>
        <w:t>采购供应商廉洁自律承诺书</w:t>
      </w:r>
    </w:p>
    <w:p w14:paraId="3825F339">
      <w:pPr>
        <w:widowControl w:val="0"/>
        <w:adjustRightInd w:val="0"/>
        <w:spacing w:after="0" w:line="600" w:lineRule="exact"/>
        <w:jc w:val="both"/>
        <w:rPr>
          <w:rFonts w:ascii="宋体" w:hAnsi="宋体" w:eastAsia="宋体" w:cs="宋体"/>
          <w:color w:val="auto"/>
          <w:kern w:val="2"/>
          <w:highlight w:val="none"/>
        </w:rPr>
      </w:pPr>
      <w:r>
        <w:rPr>
          <w:rFonts w:hint="eastAsia" w:ascii="宋体" w:hAnsi="宋体" w:eastAsia="宋体" w:cs="宋体"/>
          <w:color w:val="auto"/>
          <w:kern w:val="2"/>
          <w:highlight w:val="none"/>
          <w:u w:val="single"/>
        </w:rPr>
        <w:t>（</w:t>
      </w:r>
      <w:r>
        <w:rPr>
          <w:rFonts w:hint="eastAsia" w:ascii="宋体" w:hAnsi="宋体" w:eastAsia="宋体" w:cs="宋体"/>
          <w:color w:val="auto"/>
          <w:highlight w:val="none"/>
          <w:u w:val="single"/>
        </w:rPr>
        <w:t>采购人</w:t>
      </w:r>
      <w:r>
        <w:rPr>
          <w:rFonts w:hint="eastAsia" w:ascii="宋体" w:hAnsi="宋体" w:eastAsia="宋体" w:cs="宋体"/>
          <w:color w:val="auto"/>
          <w:kern w:val="2"/>
          <w:highlight w:val="none"/>
          <w:u w:val="single"/>
        </w:rPr>
        <w:t>）、（采购代理机构）</w:t>
      </w:r>
      <w:r>
        <w:rPr>
          <w:rFonts w:hint="eastAsia" w:ascii="宋体" w:hAnsi="宋体" w:eastAsia="宋体" w:cs="宋体"/>
          <w:color w:val="auto"/>
          <w:kern w:val="2"/>
          <w:highlight w:val="none"/>
          <w:lang w:val="zh-CN"/>
        </w:rPr>
        <w:t>：</w:t>
      </w:r>
    </w:p>
    <w:p w14:paraId="3EBD9BA8">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我单位响应你</w:t>
      </w:r>
      <w:r>
        <w:rPr>
          <w:rFonts w:hint="eastAsia" w:ascii="宋体" w:hAnsi="宋体" w:eastAsia="宋体" w:cs="宋体"/>
          <w:color w:val="auto"/>
          <w:kern w:val="2"/>
          <w:highlight w:val="none"/>
        </w:rPr>
        <w:t>单位</w:t>
      </w:r>
      <w:r>
        <w:rPr>
          <w:rFonts w:hint="eastAsia" w:ascii="宋体" w:hAnsi="宋体" w:eastAsia="宋体" w:cs="宋体"/>
          <w:color w:val="auto"/>
          <w:kern w:val="2"/>
          <w:highlight w:val="none"/>
          <w:lang w:val="zh-CN"/>
        </w:rPr>
        <w:t>项目招标要求参加投标。在这次投标过程中和中标后，我们将严格遵守国家法律法规要求，并郑重承诺：</w:t>
      </w:r>
    </w:p>
    <w:p w14:paraId="0D55CAD1">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 xml:space="preserve">一、不向项目有关人员及部门赠送礼金礼物、有价证券、回扣以及中介费、介绍费、咨询费等好处费； </w:t>
      </w:r>
    </w:p>
    <w:p w14:paraId="1335D420">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 xml:space="preserve">二、不为项目有关人员及部门报销应由你方单位或个人支付的费用； </w:t>
      </w:r>
    </w:p>
    <w:p w14:paraId="7F4BEE36">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 xml:space="preserve">三、不向项目有关人员及部门提供有可能影响公正的宴请和健身娱乐等活动； </w:t>
      </w:r>
    </w:p>
    <w:p w14:paraId="56BFBDA5">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四、不为项目有关人员及部门出国（境）、旅游等提供方便；</w:t>
      </w:r>
    </w:p>
    <w:p w14:paraId="17690066">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五、不为项目有关人员个人装修住房、婚丧嫁娶、配偶子女工作安排等提供</w:t>
      </w:r>
    </w:p>
    <w:p w14:paraId="3A3D2CD8">
      <w:pPr>
        <w:widowControl w:val="0"/>
        <w:adjustRightInd w:val="0"/>
        <w:spacing w:after="0" w:line="600" w:lineRule="exact"/>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好处；</w:t>
      </w:r>
    </w:p>
    <w:p w14:paraId="57D51126">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 xml:space="preserve">六、严格遵守《中华人民共和国政府采购法》《中华人民共和国招标投标法》《中华人民共和国民法典》等法律法规，诚实守信，合法经营，坚决抵制各种违法违纪行为。 </w:t>
      </w:r>
    </w:p>
    <w:p w14:paraId="3A1E4D8F">
      <w:pPr>
        <w:widowControl w:val="0"/>
        <w:adjustRightInd w:val="0"/>
        <w:spacing w:after="0" w:line="60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如违反上述承诺，你</w:t>
      </w:r>
      <w:r>
        <w:rPr>
          <w:rFonts w:hint="eastAsia" w:ascii="宋体" w:hAnsi="宋体" w:eastAsia="宋体" w:cs="宋体"/>
          <w:color w:val="auto"/>
          <w:kern w:val="2"/>
          <w:highlight w:val="none"/>
        </w:rPr>
        <w:t>单位</w:t>
      </w:r>
      <w:r>
        <w:rPr>
          <w:rFonts w:hint="eastAsia" w:ascii="宋体" w:hAnsi="宋体" w:eastAsia="宋体" w:cs="宋体"/>
          <w:color w:val="auto"/>
          <w:kern w:val="2"/>
          <w:highlight w:val="none"/>
          <w:lang w:val="zh-CN"/>
        </w:rPr>
        <w:t>有权立即取消我单位投标、中标或在建项目的建设资格，有权拒绝我单位在一定时期内进入你</w:t>
      </w:r>
      <w:r>
        <w:rPr>
          <w:rFonts w:hint="eastAsia" w:ascii="宋体" w:hAnsi="宋体" w:eastAsia="宋体" w:cs="宋体"/>
          <w:color w:val="auto"/>
          <w:kern w:val="2"/>
          <w:highlight w:val="none"/>
        </w:rPr>
        <w:t>单位</w:t>
      </w:r>
      <w:r>
        <w:rPr>
          <w:rFonts w:hint="eastAsia" w:ascii="宋体" w:hAnsi="宋体" w:eastAsia="宋体" w:cs="宋体"/>
          <w:color w:val="auto"/>
          <w:kern w:val="2"/>
          <w:highlight w:val="none"/>
          <w:lang w:val="zh-CN"/>
        </w:rPr>
        <w:t>进行项目建设或其他经营活动，并通报市财政局。由此引起的相应损失均由我单位承担。</w:t>
      </w:r>
    </w:p>
    <w:p w14:paraId="6804EB76">
      <w:pPr>
        <w:spacing w:line="600" w:lineRule="exact"/>
        <w:rPr>
          <w:rFonts w:ascii="宋体" w:hAnsi="宋体" w:eastAsia="宋体" w:cs="宋体"/>
          <w:color w:val="auto"/>
          <w:highlight w:val="none"/>
          <w:lang w:val="zh-CN"/>
        </w:rPr>
      </w:pPr>
    </w:p>
    <w:p w14:paraId="4601CAE2">
      <w:pPr>
        <w:spacing w:line="600" w:lineRule="exact"/>
        <w:jc w:val="right"/>
        <w:rPr>
          <w:rFonts w:ascii="宋体" w:hAnsi="宋体" w:eastAsia="宋体" w:cs="宋体"/>
          <w:color w:val="auto"/>
          <w:highlight w:val="none"/>
          <w:lang w:val="zh-CN"/>
        </w:rPr>
      </w:pPr>
      <w:r>
        <w:rPr>
          <w:rFonts w:hint="eastAsia" w:ascii="宋体" w:hAnsi="宋体" w:eastAsia="宋体" w:cs="宋体"/>
          <w:color w:val="auto"/>
          <w:highlight w:val="none"/>
          <w:lang w:val="zh-CN"/>
        </w:rPr>
        <w:t>投标人名称（</w:t>
      </w:r>
      <w:r>
        <w:rPr>
          <w:rFonts w:hint="eastAsia" w:ascii="宋体" w:hAnsi="宋体" w:eastAsia="宋体" w:cs="宋体"/>
          <w:color w:val="auto"/>
          <w:highlight w:val="none"/>
        </w:rPr>
        <w:t>电子签名</w:t>
      </w:r>
      <w:r>
        <w:rPr>
          <w:rFonts w:hint="eastAsia" w:ascii="宋体" w:hAnsi="宋体" w:eastAsia="宋体" w:cs="宋体"/>
          <w:color w:val="auto"/>
          <w:highlight w:val="none"/>
          <w:lang w:val="zh-CN"/>
        </w:rPr>
        <w:t xml:space="preserve">）： </w:t>
      </w:r>
    </w:p>
    <w:p w14:paraId="0BA5528F">
      <w:pPr>
        <w:spacing w:line="600" w:lineRule="exact"/>
        <w:jc w:val="right"/>
        <w:rPr>
          <w:rFonts w:ascii="宋体" w:hAnsi="宋体" w:eastAsia="宋体" w:cs="宋体"/>
          <w:color w:val="auto"/>
          <w:highlight w:val="none"/>
        </w:rPr>
      </w:pPr>
      <w:r>
        <w:rPr>
          <w:rFonts w:hint="eastAsia" w:ascii="宋体" w:hAnsi="宋体" w:eastAsia="宋体" w:cs="宋体"/>
          <w:color w:val="auto"/>
          <w:highlight w:val="none"/>
          <w:lang w:val="zh-CN"/>
        </w:rPr>
        <w:t>日期</w:t>
      </w:r>
      <w:r>
        <w:rPr>
          <w:rFonts w:hint="eastAsia" w:ascii="宋体" w:hAnsi="宋体" w:eastAsia="宋体" w:cs="宋体"/>
          <w:color w:val="auto"/>
          <w:highlight w:val="none"/>
        </w:rPr>
        <w:t>：</w:t>
      </w:r>
      <w:r>
        <w:rPr>
          <w:rFonts w:hint="eastAsia" w:ascii="宋体" w:hAnsi="宋体" w:eastAsia="宋体" w:cs="宋体"/>
          <w:color w:val="auto"/>
          <w:highlight w:val="none"/>
          <w:lang w:val="zh-CN"/>
        </w:rPr>
        <w:t xml:space="preserve">   年   月   日</w:t>
      </w:r>
    </w:p>
    <w:p w14:paraId="422F6AC1">
      <w:pPr>
        <w:spacing w:line="600" w:lineRule="exact"/>
        <w:rPr>
          <w:rFonts w:ascii="宋体" w:hAnsi="宋体" w:eastAsia="宋体" w:cs="宋体"/>
          <w:color w:val="auto"/>
          <w:highlight w:val="none"/>
        </w:rPr>
      </w:pPr>
      <w:r>
        <w:rPr>
          <w:rFonts w:hint="eastAsia" w:ascii="宋体" w:hAnsi="宋体" w:eastAsia="宋体" w:cs="宋体"/>
          <w:color w:val="auto"/>
          <w:highlight w:val="none"/>
        </w:rPr>
        <w:t>注：按本格式和要求提供。</w:t>
      </w:r>
    </w:p>
    <w:p w14:paraId="7B1B1725">
      <w:pPr>
        <w:spacing w:line="276" w:lineRule="auto"/>
        <w:rPr>
          <w:rFonts w:ascii="宋体" w:hAnsi="宋体" w:eastAsia="宋体" w:cs="宋体"/>
          <w:color w:val="auto"/>
          <w:highlight w:val="none"/>
        </w:rPr>
      </w:pPr>
      <w:r>
        <w:rPr>
          <w:rFonts w:hint="eastAsia" w:ascii="宋体" w:hAnsi="宋体" w:eastAsia="宋体" w:cs="宋体"/>
          <w:color w:val="auto"/>
          <w:highlight w:val="none"/>
        </w:rPr>
        <w:br w:type="page"/>
      </w:r>
    </w:p>
    <w:p w14:paraId="7AD22424">
      <w:pPr>
        <w:pStyle w:val="6"/>
        <w:rPr>
          <w:rFonts w:ascii="宋体" w:hAnsi="宋体" w:eastAsia="宋体" w:cs="宋体"/>
          <w:color w:val="auto"/>
          <w:highlight w:val="none"/>
        </w:rPr>
      </w:pPr>
      <w:r>
        <w:rPr>
          <w:rFonts w:hint="eastAsia" w:ascii="宋体" w:hAnsi="宋体" w:eastAsia="宋体" w:cs="宋体"/>
          <w:color w:val="auto"/>
          <w:highlight w:val="none"/>
        </w:rPr>
        <w:t>报价文件部分</w:t>
      </w:r>
    </w:p>
    <w:p w14:paraId="44DCBA43">
      <w:pPr>
        <w:jc w:val="center"/>
        <w:rPr>
          <w:rFonts w:ascii="宋体" w:hAnsi="宋体" w:eastAsia="宋体" w:cs="宋体"/>
          <w:color w:val="auto"/>
          <w:sz w:val="40"/>
          <w:highlight w:val="none"/>
        </w:rPr>
      </w:pPr>
      <w:r>
        <w:rPr>
          <w:rFonts w:hint="eastAsia" w:ascii="宋体" w:hAnsi="宋体" w:eastAsia="宋体" w:cs="宋体"/>
          <w:color w:val="auto"/>
          <w:sz w:val="40"/>
          <w:highlight w:val="none"/>
        </w:rPr>
        <w:t>目录</w:t>
      </w:r>
    </w:p>
    <w:p w14:paraId="3F0EC771">
      <w:pPr>
        <w:rPr>
          <w:rFonts w:ascii="宋体" w:hAnsi="宋体" w:eastAsia="宋体" w:cs="宋体"/>
          <w:color w:val="auto"/>
          <w:highlight w:val="none"/>
        </w:rPr>
      </w:pPr>
      <w:r>
        <w:rPr>
          <w:rFonts w:hint="eastAsia" w:ascii="宋体" w:hAnsi="宋体" w:eastAsia="宋体" w:cs="宋体"/>
          <w:color w:val="auto"/>
          <w:highlight w:val="none"/>
        </w:rPr>
        <w:t>（1）开标一览表（报价表）…………………………………………………（页码）</w:t>
      </w:r>
    </w:p>
    <w:p w14:paraId="1E3DB81C">
      <w:pPr>
        <w:pStyle w:val="6"/>
        <w:rPr>
          <w:rFonts w:ascii="宋体" w:hAnsi="宋体" w:eastAsia="宋体" w:cs="宋体"/>
          <w:color w:val="auto"/>
          <w:highlight w:val="none"/>
        </w:rPr>
      </w:pPr>
    </w:p>
    <w:p w14:paraId="34B4C7F1">
      <w:pPr>
        <w:pStyle w:val="5"/>
        <w:tabs>
          <w:tab w:val="left" w:pos="432"/>
        </w:tabs>
        <w:jc w:val="center"/>
        <w:rPr>
          <w:rFonts w:hint="eastAsia" w:ascii="宋体" w:hAnsi="宋体" w:eastAsia="宋体" w:cs="宋体"/>
          <w:b/>
          <w:bCs w:val="0"/>
          <w:color w:val="auto"/>
          <w:highlight w:val="none"/>
          <w:lang w:eastAsia="zh-CN"/>
        </w:rPr>
        <w:sectPr>
          <w:headerReference r:id="rId4" w:type="default"/>
          <w:footerReference r:id="rId5" w:type="default"/>
          <w:pgSz w:w="11906" w:h="16838"/>
          <w:pgMar w:top="1440" w:right="1700" w:bottom="1440" w:left="1800" w:header="851" w:footer="992" w:gutter="0"/>
          <w:cols w:space="425" w:num="1"/>
          <w:docGrid w:type="lines" w:linePitch="326" w:charSpace="0"/>
        </w:sectPr>
      </w:pPr>
      <w:r>
        <w:rPr>
          <w:rFonts w:hint="eastAsia" w:ascii="宋体" w:hAnsi="宋体" w:eastAsia="宋体" w:cs="宋体"/>
          <w:b/>
          <w:bCs w:val="0"/>
          <w:color w:val="auto"/>
          <w:sz w:val="44"/>
          <w:szCs w:val="44"/>
          <w:highlight w:val="none"/>
        </w:rPr>
        <w:t>注：若多个标项响应投标时，各标项报价文件须单独制作，单独上</w:t>
      </w:r>
      <w:r>
        <w:rPr>
          <w:rFonts w:hint="eastAsia" w:ascii="宋体" w:hAnsi="宋体" w:eastAsia="宋体" w:cs="宋体"/>
          <w:b/>
          <w:bCs w:val="0"/>
          <w:color w:val="auto"/>
          <w:sz w:val="44"/>
          <w:szCs w:val="44"/>
          <w:highlight w:val="none"/>
          <w:lang w:eastAsia="zh-CN"/>
        </w:rPr>
        <w:t>传。</w:t>
      </w:r>
    </w:p>
    <w:p w14:paraId="4ECB9FA2">
      <w:pPr>
        <w:pStyle w:val="6"/>
        <w:rPr>
          <w:rFonts w:ascii="宋体" w:hAnsi="宋体" w:eastAsia="宋体" w:cs="宋体"/>
          <w:color w:val="auto"/>
          <w:highlight w:val="none"/>
        </w:rPr>
      </w:pPr>
      <w:r>
        <w:rPr>
          <w:rFonts w:hint="eastAsia" w:ascii="宋体" w:hAnsi="宋体" w:eastAsia="宋体" w:cs="宋体"/>
          <w:color w:val="auto"/>
          <w:highlight w:val="none"/>
        </w:rPr>
        <w:t>一、开标一览表（报价表）</w:t>
      </w:r>
    </w:p>
    <w:p w14:paraId="6BF6B6BF">
      <w:pPr>
        <w:widowControl w:val="0"/>
        <w:adjustRightInd w:val="0"/>
        <w:spacing w:after="0" w:line="480" w:lineRule="exact"/>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（采购人）、（采购代理机构）：</w:t>
      </w:r>
    </w:p>
    <w:p w14:paraId="4989216D">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按你方招标文件要求，我们，本投标文件签字方，谨此向你方发出要约如下：如你方接受本投标，我方承诺按照如下开标一览表（报价表）的价格完成（项目名称）【招标编号：（采购编号）】的实施。</w:t>
      </w:r>
    </w:p>
    <w:p w14:paraId="2EFCCD9F">
      <w:pPr>
        <w:widowControl w:val="0"/>
        <w:adjustRightInd w:val="0"/>
        <w:spacing w:after="0" w:line="480" w:lineRule="exact"/>
        <w:jc w:val="center"/>
        <w:rPr>
          <w:rFonts w:hint="eastAsia" w:ascii="宋体" w:hAnsi="宋体" w:eastAsia="宋体" w:cs="宋体"/>
          <w:b/>
          <w:bCs/>
          <w:color w:val="auto"/>
          <w:kern w:val="2"/>
          <w:highlight w:val="none"/>
          <w:lang w:val="en-US" w:eastAsia="zh-CN"/>
        </w:rPr>
      </w:pPr>
      <w:r>
        <w:rPr>
          <w:rFonts w:hint="eastAsia" w:ascii="宋体" w:hAnsi="宋体" w:eastAsia="宋体" w:cs="宋体"/>
          <w:b/>
          <w:bCs/>
          <w:color w:val="auto"/>
          <w:kern w:val="2"/>
          <w:highlight w:val="none"/>
          <w:lang w:val="zh-CN"/>
        </w:rPr>
        <w:t>开标一览表（报价表）(单位均为人民币元)</w:t>
      </w:r>
      <w:r>
        <w:rPr>
          <w:rFonts w:hint="eastAsia" w:ascii="宋体" w:hAnsi="宋体" w:eastAsia="宋体" w:cs="宋体"/>
          <w:b/>
          <w:bCs/>
          <w:color w:val="auto"/>
          <w:kern w:val="2"/>
          <w:highlight w:val="none"/>
          <w:lang w:val="en-US" w:eastAsia="zh-CN"/>
        </w:rPr>
        <w:t xml:space="preserve">    </w:t>
      </w:r>
      <w:r>
        <w:rPr>
          <w:rFonts w:hint="eastAsia" w:ascii="宋体" w:hAnsi="宋体" w:eastAsia="宋体" w:cs="宋体"/>
          <w:b/>
          <w:bCs/>
          <w:color w:val="auto"/>
          <w:kern w:val="2"/>
          <w:highlight w:val="none"/>
          <w:lang w:val="zh-CN"/>
        </w:rPr>
        <w:t>标项</w:t>
      </w:r>
      <w:r>
        <w:rPr>
          <w:rFonts w:hint="eastAsia" w:ascii="宋体" w:hAnsi="宋体" w:eastAsia="宋体" w:cs="宋体"/>
          <w:b/>
          <w:bCs/>
          <w:color w:val="auto"/>
          <w:kern w:val="2"/>
          <w:highlight w:val="none"/>
          <w:lang w:val="en-US" w:eastAsia="zh-CN"/>
        </w:rPr>
        <w:t>1：</w:t>
      </w:r>
      <w:r>
        <w:rPr>
          <w:rFonts w:hint="eastAsia" w:ascii="宋体" w:hAnsi="宋体" w:eastAsia="宋体" w:cs="宋体"/>
          <w:b/>
          <w:bCs/>
          <w:color w:val="auto"/>
          <w:kern w:val="2"/>
          <w:highlight w:val="none"/>
        </w:rPr>
        <w:t>市北区块公寓家具采购项目</w:t>
      </w:r>
    </w:p>
    <w:tbl>
      <w:tblPr>
        <w:tblStyle w:val="30"/>
        <w:tblW w:w="14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29"/>
        <w:gridCol w:w="1842"/>
        <w:gridCol w:w="3116"/>
        <w:gridCol w:w="992"/>
        <w:gridCol w:w="1558"/>
        <w:gridCol w:w="1983"/>
        <w:gridCol w:w="3117"/>
      </w:tblGrid>
      <w:tr w14:paraId="1E85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20" w:type="dxa"/>
            <w:vAlign w:val="center"/>
          </w:tcPr>
          <w:p w14:paraId="4A0B1CD0">
            <w:pPr>
              <w:jc w:val="center"/>
              <w:rPr>
                <w:rFonts w:ascii="宋体" w:hAnsi="宋体" w:eastAsia="宋体" w:cs="宋体"/>
                <w:b/>
                <w:color w:val="auto"/>
                <w:highlight w:val="none"/>
              </w:rPr>
            </w:pPr>
            <w:r>
              <w:rPr>
                <w:rFonts w:hint="eastAsia" w:ascii="宋体" w:hAnsi="宋体" w:eastAsia="宋体" w:cs="宋体"/>
                <w:b/>
                <w:color w:val="auto"/>
                <w:highlight w:val="none"/>
              </w:rPr>
              <w:t>序号</w:t>
            </w:r>
          </w:p>
        </w:tc>
        <w:tc>
          <w:tcPr>
            <w:tcW w:w="1229" w:type="dxa"/>
            <w:vAlign w:val="center"/>
          </w:tcPr>
          <w:p w14:paraId="278DB606">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名称</w:t>
            </w:r>
          </w:p>
        </w:tc>
        <w:tc>
          <w:tcPr>
            <w:tcW w:w="1842" w:type="dxa"/>
            <w:vAlign w:val="center"/>
          </w:tcPr>
          <w:p w14:paraId="3406B8A7">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品牌</w:t>
            </w:r>
          </w:p>
        </w:tc>
        <w:tc>
          <w:tcPr>
            <w:tcW w:w="3116" w:type="dxa"/>
            <w:vAlign w:val="center"/>
          </w:tcPr>
          <w:p w14:paraId="22BA94A1">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规格型号</w:t>
            </w:r>
          </w:p>
        </w:tc>
        <w:tc>
          <w:tcPr>
            <w:tcW w:w="992" w:type="dxa"/>
            <w:vAlign w:val="center"/>
          </w:tcPr>
          <w:p w14:paraId="1927B5BF">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数量</w:t>
            </w:r>
          </w:p>
        </w:tc>
        <w:tc>
          <w:tcPr>
            <w:tcW w:w="1558" w:type="dxa"/>
            <w:vAlign w:val="center"/>
          </w:tcPr>
          <w:p w14:paraId="5CE9A309">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单价</w:t>
            </w:r>
          </w:p>
        </w:tc>
        <w:tc>
          <w:tcPr>
            <w:tcW w:w="1983" w:type="dxa"/>
            <w:vAlign w:val="center"/>
          </w:tcPr>
          <w:p w14:paraId="0791D66B">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合计</w:t>
            </w:r>
          </w:p>
        </w:tc>
        <w:tc>
          <w:tcPr>
            <w:tcW w:w="3117" w:type="dxa"/>
            <w:vAlign w:val="center"/>
          </w:tcPr>
          <w:p w14:paraId="03901104">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备注（如果有）</w:t>
            </w:r>
          </w:p>
        </w:tc>
      </w:tr>
      <w:tr w14:paraId="109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0D8E4E4C">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29" w:type="dxa"/>
            <w:vAlign w:val="center"/>
          </w:tcPr>
          <w:p w14:paraId="6BB11C67">
            <w:pPr>
              <w:snapToGrid w:val="0"/>
              <w:jc w:val="center"/>
              <w:rPr>
                <w:rFonts w:ascii="宋体" w:hAnsi="宋体" w:eastAsia="宋体" w:cs="宋体"/>
                <w:color w:val="auto"/>
                <w:highlight w:val="none"/>
              </w:rPr>
            </w:pPr>
          </w:p>
        </w:tc>
        <w:tc>
          <w:tcPr>
            <w:tcW w:w="1842" w:type="dxa"/>
            <w:vAlign w:val="center"/>
          </w:tcPr>
          <w:p w14:paraId="2FA7A0B8">
            <w:pPr>
              <w:snapToGrid w:val="0"/>
              <w:jc w:val="center"/>
              <w:rPr>
                <w:rFonts w:ascii="宋体" w:hAnsi="宋体" w:eastAsia="宋体" w:cs="宋体"/>
                <w:color w:val="auto"/>
                <w:highlight w:val="none"/>
              </w:rPr>
            </w:pPr>
          </w:p>
        </w:tc>
        <w:tc>
          <w:tcPr>
            <w:tcW w:w="3116" w:type="dxa"/>
            <w:vAlign w:val="center"/>
          </w:tcPr>
          <w:p w14:paraId="1B39403E">
            <w:pPr>
              <w:snapToGrid w:val="0"/>
              <w:jc w:val="center"/>
              <w:rPr>
                <w:rFonts w:ascii="宋体" w:hAnsi="宋体" w:eastAsia="宋体" w:cs="宋体"/>
                <w:color w:val="auto"/>
                <w:highlight w:val="none"/>
              </w:rPr>
            </w:pPr>
          </w:p>
        </w:tc>
        <w:tc>
          <w:tcPr>
            <w:tcW w:w="992" w:type="dxa"/>
            <w:vAlign w:val="center"/>
          </w:tcPr>
          <w:p w14:paraId="51635737">
            <w:pPr>
              <w:snapToGrid w:val="0"/>
              <w:jc w:val="center"/>
              <w:rPr>
                <w:rFonts w:ascii="宋体" w:hAnsi="宋体" w:eastAsia="宋体" w:cs="宋体"/>
                <w:color w:val="auto"/>
                <w:highlight w:val="none"/>
              </w:rPr>
            </w:pPr>
          </w:p>
        </w:tc>
        <w:tc>
          <w:tcPr>
            <w:tcW w:w="1558" w:type="dxa"/>
            <w:vAlign w:val="center"/>
          </w:tcPr>
          <w:p w14:paraId="21241D30">
            <w:pPr>
              <w:jc w:val="center"/>
              <w:rPr>
                <w:rFonts w:ascii="宋体" w:hAnsi="宋体" w:eastAsia="宋体" w:cs="宋体"/>
                <w:color w:val="auto"/>
                <w:highlight w:val="none"/>
              </w:rPr>
            </w:pPr>
          </w:p>
        </w:tc>
        <w:tc>
          <w:tcPr>
            <w:tcW w:w="1983" w:type="dxa"/>
            <w:vAlign w:val="center"/>
          </w:tcPr>
          <w:p w14:paraId="135845DD">
            <w:pPr>
              <w:jc w:val="center"/>
              <w:rPr>
                <w:rFonts w:ascii="宋体" w:hAnsi="宋体" w:eastAsia="宋体" w:cs="宋体"/>
                <w:color w:val="auto"/>
                <w:highlight w:val="none"/>
              </w:rPr>
            </w:pPr>
          </w:p>
        </w:tc>
        <w:tc>
          <w:tcPr>
            <w:tcW w:w="3117" w:type="dxa"/>
            <w:vAlign w:val="center"/>
          </w:tcPr>
          <w:p w14:paraId="42BE3F9F">
            <w:pPr>
              <w:jc w:val="center"/>
              <w:rPr>
                <w:rFonts w:ascii="宋体" w:hAnsi="宋体" w:eastAsia="宋体" w:cs="宋体"/>
                <w:color w:val="auto"/>
                <w:highlight w:val="none"/>
              </w:rPr>
            </w:pPr>
          </w:p>
        </w:tc>
      </w:tr>
      <w:tr w14:paraId="6EE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690C1CCC">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29" w:type="dxa"/>
            <w:vAlign w:val="center"/>
          </w:tcPr>
          <w:p w14:paraId="15E2F9D5">
            <w:pPr>
              <w:snapToGrid w:val="0"/>
              <w:jc w:val="center"/>
              <w:rPr>
                <w:rFonts w:ascii="宋体" w:hAnsi="宋体" w:eastAsia="宋体" w:cs="宋体"/>
                <w:color w:val="auto"/>
                <w:highlight w:val="none"/>
              </w:rPr>
            </w:pPr>
          </w:p>
        </w:tc>
        <w:tc>
          <w:tcPr>
            <w:tcW w:w="1842" w:type="dxa"/>
            <w:vAlign w:val="center"/>
          </w:tcPr>
          <w:p w14:paraId="77857B0D">
            <w:pPr>
              <w:snapToGrid w:val="0"/>
              <w:jc w:val="center"/>
              <w:rPr>
                <w:rFonts w:ascii="宋体" w:hAnsi="宋体" w:eastAsia="宋体" w:cs="宋体"/>
                <w:color w:val="auto"/>
                <w:highlight w:val="none"/>
              </w:rPr>
            </w:pPr>
          </w:p>
        </w:tc>
        <w:tc>
          <w:tcPr>
            <w:tcW w:w="3116" w:type="dxa"/>
            <w:vAlign w:val="center"/>
          </w:tcPr>
          <w:p w14:paraId="753D18A9">
            <w:pPr>
              <w:snapToGrid w:val="0"/>
              <w:jc w:val="center"/>
              <w:rPr>
                <w:rFonts w:ascii="宋体" w:hAnsi="宋体" w:eastAsia="宋体" w:cs="宋体"/>
                <w:color w:val="auto"/>
                <w:highlight w:val="none"/>
              </w:rPr>
            </w:pPr>
          </w:p>
        </w:tc>
        <w:tc>
          <w:tcPr>
            <w:tcW w:w="992" w:type="dxa"/>
            <w:vAlign w:val="center"/>
          </w:tcPr>
          <w:p w14:paraId="1ED1345F">
            <w:pPr>
              <w:snapToGrid w:val="0"/>
              <w:jc w:val="center"/>
              <w:rPr>
                <w:rFonts w:ascii="宋体" w:hAnsi="宋体" w:eastAsia="宋体" w:cs="宋体"/>
                <w:color w:val="auto"/>
                <w:highlight w:val="none"/>
              </w:rPr>
            </w:pPr>
          </w:p>
        </w:tc>
        <w:tc>
          <w:tcPr>
            <w:tcW w:w="1558" w:type="dxa"/>
            <w:vAlign w:val="center"/>
          </w:tcPr>
          <w:p w14:paraId="2198CFBA">
            <w:pPr>
              <w:jc w:val="center"/>
              <w:rPr>
                <w:rFonts w:ascii="宋体" w:hAnsi="宋体" w:eastAsia="宋体" w:cs="宋体"/>
                <w:color w:val="auto"/>
                <w:highlight w:val="none"/>
              </w:rPr>
            </w:pPr>
          </w:p>
        </w:tc>
        <w:tc>
          <w:tcPr>
            <w:tcW w:w="1983" w:type="dxa"/>
            <w:vAlign w:val="center"/>
          </w:tcPr>
          <w:p w14:paraId="11AD5948">
            <w:pPr>
              <w:jc w:val="center"/>
              <w:rPr>
                <w:rFonts w:ascii="宋体" w:hAnsi="宋体" w:eastAsia="宋体" w:cs="宋体"/>
                <w:color w:val="auto"/>
                <w:highlight w:val="none"/>
              </w:rPr>
            </w:pPr>
          </w:p>
        </w:tc>
        <w:tc>
          <w:tcPr>
            <w:tcW w:w="3117" w:type="dxa"/>
            <w:vAlign w:val="center"/>
          </w:tcPr>
          <w:p w14:paraId="59332317">
            <w:pPr>
              <w:jc w:val="center"/>
              <w:rPr>
                <w:rFonts w:ascii="宋体" w:hAnsi="宋体" w:eastAsia="宋体" w:cs="宋体"/>
                <w:color w:val="auto"/>
                <w:highlight w:val="none"/>
              </w:rPr>
            </w:pPr>
          </w:p>
        </w:tc>
      </w:tr>
      <w:tr w14:paraId="5224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53BFC399">
            <w:pPr>
              <w:jc w:val="center"/>
              <w:rPr>
                <w:rFonts w:ascii="宋体" w:hAnsi="宋体" w:eastAsia="宋体" w:cs="宋体"/>
                <w:color w:val="auto"/>
                <w:highlight w:val="none"/>
              </w:rPr>
            </w:pPr>
            <w:r>
              <w:rPr>
                <w:rFonts w:hint="eastAsia" w:ascii="宋体" w:hAnsi="宋体" w:eastAsia="宋体" w:cs="宋体"/>
                <w:color w:val="auto"/>
                <w:highlight w:val="none"/>
              </w:rPr>
              <w:t>…</w:t>
            </w:r>
          </w:p>
        </w:tc>
        <w:tc>
          <w:tcPr>
            <w:tcW w:w="1229" w:type="dxa"/>
            <w:vAlign w:val="center"/>
          </w:tcPr>
          <w:p w14:paraId="3A79C4E2">
            <w:pPr>
              <w:snapToGrid w:val="0"/>
              <w:jc w:val="center"/>
              <w:rPr>
                <w:rFonts w:ascii="宋体" w:hAnsi="宋体" w:eastAsia="宋体" w:cs="宋体"/>
                <w:color w:val="auto"/>
                <w:highlight w:val="none"/>
              </w:rPr>
            </w:pPr>
          </w:p>
        </w:tc>
        <w:tc>
          <w:tcPr>
            <w:tcW w:w="1842" w:type="dxa"/>
            <w:vAlign w:val="center"/>
          </w:tcPr>
          <w:p w14:paraId="21D9E998">
            <w:pPr>
              <w:snapToGrid w:val="0"/>
              <w:jc w:val="center"/>
              <w:rPr>
                <w:rFonts w:ascii="宋体" w:hAnsi="宋体" w:eastAsia="宋体" w:cs="宋体"/>
                <w:color w:val="auto"/>
                <w:highlight w:val="none"/>
              </w:rPr>
            </w:pPr>
          </w:p>
        </w:tc>
        <w:tc>
          <w:tcPr>
            <w:tcW w:w="3116" w:type="dxa"/>
            <w:vAlign w:val="center"/>
          </w:tcPr>
          <w:p w14:paraId="425FE099">
            <w:pPr>
              <w:snapToGrid w:val="0"/>
              <w:jc w:val="center"/>
              <w:rPr>
                <w:rFonts w:ascii="宋体" w:hAnsi="宋体" w:eastAsia="宋体" w:cs="宋体"/>
                <w:color w:val="auto"/>
                <w:highlight w:val="none"/>
              </w:rPr>
            </w:pPr>
          </w:p>
        </w:tc>
        <w:tc>
          <w:tcPr>
            <w:tcW w:w="992" w:type="dxa"/>
            <w:vAlign w:val="center"/>
          </w:tcPr>
          <w:p w14:paraId="43DB5249">
            <w:pPr>
              <w:snapToGrid w:val="0"/>
              <w:jc w:val="center"/>
              <w:rPr>
                <w:rFonts w:ascii="宋体" w:hAnsi="宋体" w:eastAsia="宋体" w:cs="宋体"/>
                <w:color w:val="auto"/>
                <w:highlight w:val="none"/>
              </w:rPr>
            </w:pPr>
          </w:p>
        </w:tc>
        <w:tc>
          <w:tcPr>
            <w:tcW w:w="1558" w:type="dxa"/>
            <w:vAlign w:val="center"/>
          </w:tcPr>
          <w:p w14:paraId="11F9CB20">
            <w:pPr>
              <w:jc w:val="center"/>
              <w:rPr>
                <w:rFonts w:ascii="宋体" w:hAnsi="宋体" w:eastAsia="宋体" w:cs="宋体"/>
                <w:color w:val="auto"/>
                <w:highlight w:val="none"/>
              </w:rPr>
            </w:pPr>
          </w:p>
        </w:tc>
        <w:tc>
          <w:tcPr>
            <w:tcW w:w="1983" w:type="dxa"/>
            <w:vAlign w:val="center"/>
          </w:tcPr>
          <w:p w14:paraId="42205519">
            <w:pPr>
              <w:jc w:val="center"/>
              <w:rPr>
                <w:rFonts w:ascii="宋体" w:hAnsi="宋体" w:eastAsia="宋体" w:cs="宋体"/>
                <w:color w:val="auto"/>
                <w:highlight w:val="none"/>
              </w:rPr>
            </w:pPr>
          </w:p>
        </w:tc>
        <w:tc>
          <w:tcPr>
            <w:tcW w:w="3117" w:type="dxa"/>
            <w:vAlign w:val="center"/>
          </w:tcPr>
          <w:p w14:paraId="71DDAD04">
            <w:pPr>
              <w:jc w:val="center"/>
              <w:rPr>
                <w:rFonts w:ascii="宋体" w:hAnsi="宋体" w:eastAsia="宋体" w:cs="宋体"/>
                <w:color w:val="auto"/>
                <w:highlight w:val="none"/>
              </w:rPr>
            </w:pPr>
          </w:p>
        </w:tc>
      </w:tr>
      <w:tr w14:paraId="7F5C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6EFA3250">
            <w:pPr>
              <w:jc w:val="center"/>
              <w:rPr>
                <w:rFonts w:ascii="宋体" w:hAnsi="宋体" w:eastAsia="宋体" w:cs="宋体"/>
                <w:color w:val="auto"/>
                <w:highlight w:val="none"/>
              </w:rPr>
            </w:pPr>
          </w:p>
        </w:tc>
        <w:tc>
          <w:tcPr>
            <w:tcW w:w="1229" w:type="dxa"/>
            <w:vAlign w:val="center"/>
          </w:tcPr>
          <w:p w14:paraId="493C700A">
            <w:pPr>
              <w:snapToGrid w:val="0"/>
              <w:jc w:val="center"/>
              <w:rPr>
                <w:rFonts w:ascii="宋体" w:hAnsi="宋体" w:eastAsia="宋体" w:cs="宋体"/>
                <w:color w:val="auto"/>
                <w:highlight w:val="none"/>
              </w:rPr>
            </w:pPr>
          </w:p>
        </w:tc>
        <w:tc>
          <w:tcPr>
            <w:tcW w:w="1842" w:type="dxa"/>
            <w:vAlign w:val="center"/>
          </w:tcPr>
          <w:p w14:paraId="7FF99CB2">
            <w:pPr>
              <w:snapToGrid w:val="0"/>
              <w:jc w:val="center"/>
              <w:rPr>
                <w:rFonts w:ascii="宋体" w:hAnsi="宋体" w:eastAsia="宋体" w:cs="宋体"/>
                <w:color w:val="auto"/>
                <w:highlight w:val="none"/>
              </w:rPr>
            </w:pPr>
          </w:p>
        </w:tc>
        <w:tc>
          <w:tcPr>
            <w:tcW w:w="3116" w:type="dxa"/>
            <w:vAlign w:val="center"/>
          </w:tcPr>
          <w:p w14:paraId="5FC348B4">
            <w:pPr>
              <w:snapToGrid w:val="0"/>
              <w:jc w:val="center"/>
              <w:rPr>
                <w:rFonts w:ascii="宋体" w:hAnsi="宋体" w:eastAsia="宋体" w:cs="宋体"/>
                <w:color w:val="auto"/>
                <w:highlight w:val="none"/>
              </w:rPr>
            </w:pPr>
          </w:p>
        </w:tc>
        <w:tc>
          <w:tcPr>
            <w:tcW w:w="992" w:type="dxa"/>
            <w:vAlign w:val="center"/>
          </w:tcPr>
          <w:p w14:paraId="272D65AF">
            <w:pPr>
              <w:snapToGrid w:val="0"/>
              <w:jc w:val="center"/>
              <w:rPr>
                <w:rFonts w:ascii="宋体" w:hAnsi="宋体" w:eastAsia="宋体" w:cs="宋体"/>
                <w:color w:val="auto"/>
                <w:highlight w:val="none"/>
              </w:rPr>
            </w:pPr>
          </w:p>
        </w:tc>
        <w:tc>
          <w:tcPr>
            <w:tcW w:w="1558" w:type="dxa"/>
            <w:vAlign w:val="center"/>
          </w:tcPr>
          <w:p w14:paraId="4CB544E0">
            <w:pPr>
              <w:jc w:val="center"/>
              <w:rPr>
                <w:rFonts w:ascii="宋体" w:hAnsi="宋体" w:eastAsia="宋体" w:cs="宋体"/>
                <w:color w:val="auto"/>
                <w:highlight w:val="none"/>
              </w:rPr>
            </w:pPr>
          </w:p>
        </w:tc>
        <w:tc>
          <w:tcPr>
            <w:tcW w:w="1983" w:type="dxa"/>
            <w:vAlign w:val="center"/>
          </w:tcPr>
          <w:p w14:paraId="78595936">
            <w:pPr>
              <w:jc w:val="center"/>
              <w:rPr>
                <w:rFonts w:ascii="宋体" w:hAnsi="宋体" w:eastAsia="宋体" w:cs="宋体"/>
                <w:color w:val="auto"/>
                <w:highlight w:val="none"/>
              </w:rPr>
            </w:pPr>
          </w:p>
        </w:tc>
        <w:tc>
          <w:tcPr>
            <w:tcW w:w="3117" w:type="dxa"/>
            <w:vAlign w:val="center"/>
          </w:tcPr>
          <w:p w14:paraId="50626502">
            <w:pPr>
              <w:jc w:val="center"/>
              <w:rPr>
                <w:rFonts w:ascii="宋体" w:hAnsi="宋体" w:eastAsia="宋体" w:cs="宋体"/>
                <w:color w:val="auto"/>
                <w:highlight w:val="none"/>
              </w:rPr>
            </w:pPr>
          </w:p>
        </w:tc>
      </w:tr>
      <w:tr w14:paraId="3008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1AD6F044">
            <w:pPr>
              <w:jc w:val="center"/>
              <w:rPr>
                <w:rFonts w:ascii="宋体" w:hAnsi="宋体" w:eastAsia="宋体" w:cs="宋体"/>
                <w:color w:val="auto"/>
                <w:highlight w:val="none"/>
              </w:rPr>
            </w:pPr>
          </w:p>
        </w:tc>
        <w:tc>
          <w:tcPr>
            <w:tcW w:w="1229" w:type="dxa"/>
            <w:vAlign w:val="center"/>
          </w:tcPr>
          <w:p w14:paraId="6631B4EF">
            <w:pPr>
              <w:snapToGrid w:val="0"/>
              <w:jc w:val="center"/>
              <w:rPr>
                <w:rFonts w:ascii="宋体" w:hAnsi="宋体" w:eastAsia="宋体" w:cs="宋体"/>
                <w:color w:val="auto"/>
                <w:highlight w:val="none"/>
              </w:rPr>
            </w:pPr>
          </w:p>
        </w:tc>
        <w:tc>
          <w:tcPr>
            <w:tcW w:w="1842" w:type="dxa"/>
            <w:vAlign w:val="center"/>
          </w:tcPr>
          <w:p w14:paraId="7773E5AB">
            <w:pPr>
              <w:snapToGrid w:val="0"/>
              <w:jc w:val="center"/>
              <w:rPr>
                <w:rFonts w:ascii="宋体" w:hAnsi="宋体" w:eastAsia="宋体" w:cs="宋体"/>
                <w:color w:val="auto"/>
                <w:highlight w:val="none"/>
              </w:rPr>
            </w:pPr>
          </w:p>
        </w:tc>
        <w:tc>
          <w:tcPr>
            <w:tcW w:w="3116" w:type="dxa"/>
            <w:vAlign w:val="center"/>
          </w:tcPr>
          <w:p w14:paraId="2A3A30D9">
            <w:pPr>
              <w:snapToGrid w:val="0"/>
              <w:jc w:val="center"/>
              <w:rPr>
                <w:rFonts w:ascii="宋体" w:hAnsi="宋体" w:eastAsia="宋体" w:cs="宋体"/>
                <w:color w:val="auto"/>
                <w:highlight w:val="none"/>
              </w:rPr>
            </w:pPr>
          </w:p>
        </w:tc>
        <w:tc>
          <w:tcPr>
            <w:tcW w:w="992" w:type="dxa"/>
            <w:vAlign w:val="center"/>
          </w:tcPr>
          <w:p w14:paraId="15FDACD3">
            <w:pPr>
              <w:snapToGrid w:val="0"/>
              <w:jc w:val="center"/>
              <w:rPr>
                <w:rFonts w:ascii="宋体" w:hAnsi="宋体" w:eastAsia="宋体" w:cs="宋体"/>
                <w:color w:val="auto"/>
                <w:highlight w:val="none"/>
              </w:rPr>
            </w:pPr>
          </w:p>
        </w:tc>
        <w:tc>
          <w:tcPr>
            <w:tcW w:w="1558" w:type="dxa"/>
            <w:vAlign w:val="center"/>
          </w:tcPr>
          <w:p w14:paraId="465E6861">
            <w:pPr>
              <w:jc w:val="center"/>
              <w:rPr>
                <w:rFonts w:ascii="宋体" w:hAnsi="宋体" w:eastAsia="宋体" w:cs="宋体"/>
                <w:color w:val="auto"/>
                <w:highlight w:val="none"/>
              </w:rPr>
            </w:pPr>
          </w:p>
        </w:tc>
        <w:tc>
          <w:tcPr>
            <w:tcW w:w="1983" w:type="dxa"/>
            <w:vAlign w:val="center"/>
          </w:tcPr>
          <w:p w14:paraId="011F24F8">
            <w:pPr>
              <w:jc w:val="center"/>
              <w:rPr>
                <w:rFonts w:ascii="宋体" w:hAnsi="宋体" w:eastAsia="宋体" w:cs="宋体"/>
                <w:color w:val="auto"/>
                <w:highlight w:val="none"/>
              </w:rPr>
            </w:pPr>
          </w:p>
        </w:tc>
        <w:tc>
          <w:tcPr>
            <w:tcW w:w="3117" w:type="dxa"/>
            <w:vAlign w:val="center"/>
          </w:tcPr>
          <w:p w14:paraId="6C540F55">
            <w:pPr>
              <w:jc w:val="center"/>
              <w:rPr>
                <w:rFonts w:ascii="宋体" w:hAnsi="宋体" w:eastAsia="宋体" w:cs="宋体"/>
                <w:color w:val="auto"/>
                <w:highlight w:val="none"/>
              </w:rPr>
            </w:pPr>
          </w:p>
        </w:tc>
      </w:tr>
      <w:tr w14:paraId="1F5D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6907" w:type="dxa"/>
            <w:gridSpan w:val="4"/>
            <w:vAlign w:val="center"/>
          </w:tcPr>
          <w:p w14:paraId="1851969F">
            <w:pPr>
              <w:jc w:val="center"/>
              <w:rPr>
                <w:rFonts w:ascii="宋体" w:hAnsi="宋体" w:eastAsia="宋体" w:cs="宋体"/>
                <w:b/>
                <w:color w:val="auto"/>
                <w:highlight w:val="none"/>
              </w:rPr>
            </w:pPr>
            <w:r>
              <w:rPr>
                <w:rFonts w:hint="eastAsia" w:ascii="宋体" w:hAnsi="宋体" w:eastAsia="宋体" w:cs="宋体"/>
                <w:b/>
                <w:color w:val="auto"/>
                <w:highlight w:val="none"/>
              </w:rPr>
              <w:t>投标报价（小写）</w:t>
            </w:r>
          </w:p>
        </w:tc>
        <w:tc>
          <w:tcPr>
            <w:tcW w:w="7650" w:type="dxa"/>
            <w:gridSpan w:val="4"/>
            <w:vAlign w:val="center"/>
          </w:tcPr>
          <w:p w14:paraId="521C3559">
            <w:pPr>
              <w:jc w:val="center"/>
              <w:rPr>
                <w:rFonts w:ascii="宋体" w:hAnsi="宋体" w:eastAsia="宋体" w:cs="宋体"/>
                <w:color w:val="auto"/>
                <w:highlight w:val="none"/>
              </w:rPr>
            </w:pPr>
          </w:p>
        </w:tc>
      </w:tr>
      <w:tr w14:paraId="0A76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907" w:type="dxa"/>
            <w:gridSpan w:val="4"/>
            <w:vAlign w:val="center"/>
          </w:tcPr>
          <w:p w14:paraId="6693C72A">
            <w:pPr>
              <w:jc w:val="center"/>
              <w:rPr>
                <w:rFonts w:ascii="宋体" w:hAnsi="宋体" w:eastAsia="宋体" w:cs="宋体"/>
                <w:b/>
                <w:color w:val="auto"/>
                <w:highlight w:val="none"/>
              </w:rPr>
            </w:pPr>
            <w:r>
              <w:rPr>
                <w:rFonts w:hint="eastAsia" w:ascii="宋体" w:hAnsi="宋体" w:eastAsia="宋体" w:cs="宋体"/>
                <w:b/>
                <w:color w:val="auto"/>
                <w:highlight w:val="none"/>
              </w:rPr>
              <w:t>投标报价（大写）</w:t>
            </w:r>
          </w:p>
        </w:tc>
        <w:tc>
          <w:tcPr>
            <w:tcW w:w="7650" w:type="dxa"/>
            <w:gridSpan w:val="4"/>
            <w:vAlign w:val="center"/>
          </w:tcPr>
          <w:p w14:paraId="030A51BB">
            <w:pPr>
              <w:jc w:val="center"/>
              <w:rPr>
                <w:rFonts w:ascii="宋体" w:hAnsi="宋体" w:eastAsia="宋体" w:cs="宋体"/>
                <w:color w:val="auto"/>
                <w:highlight w:val="none"/>
              </w:rPr>
            </w:pPr>
          </w:p>
        </w:tc>
      </w:tr>
    </w:tbl>
    <w:p w14:paraId="16EB28E1">
      <w:pPr>
        <w:widowControl w:val="0"/>
        <w:adjustRightInd w:val="0"/>
        <w:spacing w:after="0" w:line="480" w:lineRule="exact"/>
        <w:ind w:firstLine="482" w:firstLineChars="200"/>
        <w:jc w:val="both"/>
        <w:rPr>
          <w:rFonts w:ascii="宋体" w:hAnsi="宋体" w:eastAsia="宋体" w:cs="宋体"/>
          <w:b/>
          <w:bCs/>
          <w:color w:val="auto"/>
          <w:kern w:val="2"/>
          <w:highlight w:val="none"/>
          <w:lang w:val="zh-CN"/>
        </w:rPr>
      </w:pPr>
      <w:r>
        <w:rPr>
          <w:rFonts w:hint="eastAsia" w:ascii="宋体" w:hAnsi="宋体" w:eastAsia="宋体" w:cs="宋体"/>
          <w:b/>
          <w:bCs/>
          <w:color w:val="auto"/>
          <w:kern w:val="2"/>
          <w:highlight w:val="none"/>
          <w:lang w:val="zh-CN"/>
        </w:rPr>
        <w:t>注：1、▲投标人需在投标(开标)一览表中明确投标报价（总价）及各分项小计报价。</w:t>
      </w:r>
    </w:p>
    <w:p w14:paraId="5B188E93">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lang w:val="zh-CN"/>
        </w:rPr>
        <w:t>、有关本项目实施所涉及的一切费用均计入报价。采购人将以合同形式有偿取得货物或服务，不接受投标人给予的赠品、回扣或者与采购无关的其他商品、服务；采购内容未包含在《开标一览表（报价表）》名称栏中，投标人不能作出合理解释的，视为投标文件含有采购人不能接受的附加条件的，投标无效。</w:t>
      </w:r>
    </w:p>
    <w:p w14:paraId="5DAE133F">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en-US" w:eastAsia="zh-CN"/>
        </w:rPr>
        <w:t>3</w:t>
      </w:r>
      <w:r>
        <w:rPr>
          <w:rFonts w:hint="eastAsia" w:ascii="宋体" w:hAnsi="宋体" w:eastAsia="宋体" w:cs="宋体"/>
          <w:color w:val="auto"/>
          <w:kern w:val="2"/>
          <w:highlight w:val="none"/>
          <w:lang w:val="zh-CN"/>
        </w:rPr>
        <w:t>、特别提示：采购代理机构将对项目名称和项目编号，中标供应商名称、地址和中标金额予以公示。</w:t>
      </w:r>
    </w:p>
    <w:p w14:paraId="0F696790">
      <w:pPr>
        <w:widowControl w:val="0"/>
        <w:adjustRightInd w:val="0"/>
        <w:spacing w:after="0" w:line="480" w:lineRule="exact"/>
        <w:ind w:firstLine="482" w:firstLineChars="200"/>
        <w:jc w:val="both"/>
        <w:rPr>
          <w:rFonts w:ascii="宋体" w:hAnsi="宋体" w:eastAsia="宋体" w:cs="宋体"/>
          <w:b/>
          <w:bCs/>
          <w:color w:val="auto"/>
          <w:kern w:val="2"/>
          <w:highlight w:val="none"/>
          <w:lang w:val="zh-CN"/>
        </w:rPr>
      </w:pPr>
      <w:r>
        <w:rPr>
          <w:rFonts w:hint="eastAsia" w:ascii="宋体" w:hAnsi="宋体" w:eastAsia="宋体" w:cs="宋体"/>
          <w:b/>
          <w:bCs/>
          <w:color w:val="auto"/>
          <w:kern w:val="2"/>
          <w:highlight w:val="none"/>
          <w:lang w:val="zh-CN"/>
        </w:rPr>
        <w:t>▲</w:t>
      </w:r>
      <w:r>
        <w:rPr>
          <w:rFonts w:hint="eastAsia" w:ascii="宋体" w:hAnsi="宋体" w:eastAsia="宋体" w:cs="宋体"/>
          <w:b/>
          <w:bCs/>
          <w:color w:val="auto"/>
          <w:kern w:val="2"/>
          <w:highlight w:val="none"/>
          <w:lang w:val="en-US" w:eastAsia="zh-CN"/>
        </w:rPr>
        <w:t>4</w:t>
      </w:r>
      <w:r>
        <w:rPr>
          <w:rFonts w:hint="eastAsia" w:ascii="宋体" w:hAnsi="宋体" w:eastAsia="宋体" w:cs="宋体"/>
          <w:b/>
          <w:bCs/>
          <w:color w:val="auto"/>
          <w:kern w:val="2"/>
          <w:highlight w:val="none"/>
          <w:lang w:val="zh-CN"/>
        </w:rPr>
        <w:t>、特别说明：供应商报价低于项目预算50%的，应当在报价文件中详细阐述不影响产品质量或者诚信履约的具体原因，未做阐述说明的，投标无效。</w:t>
      </w:r>
    </w:p>
    <w:p w14:paraId="2AD17589">
      <w:pPr>
        <w:jc w:val="right"/>
        <w:rPr>
          <w:rFonts w:ascii="宋体" w:hAnsi="宋体" w:eastAsia="宋体" w:cs="宋体"/>
          <w:color w:val="auto"/>
          <w:highlight w:val="none"/>
          <w:lang w:val="zh-CN"/>
        </w:rPr>
      </w:pPr>
    </w:p>
    <w:p w14:paraId="2515E06C">
      <w:pPr>
        <w:jc w:val="right"/>
        <w:rPr>
          <w:rFonts w:ascii="宋体" w:hAnsi="宋体" w:eastAsia="宋体" w:cs="宋体"/>
          <w:color w:val="auto"/>
          <w:highlight w:val="none"/>
          <w:lang w:val="zh-CN"/>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投标人名称（</w:t>
      </w:r>
      <w:r>
        <w:rPr>
          <w:rFonts w:hint="eastAsia" w:ascii="宋体" w:hAnsi="宋体" w:eastAsia="宋体" w:cs="宋体"/>
          <w:color w:val="auto"/>
          <w:highlight w:val="none"/>
        </w:rPr>
        <w:t>电子签名</w:t>
      </w:r>
      <w:r>
        <w:rPr>
          <w:rFonts w:hint="eastAsia" w:ascii="宋体" w:hAnsi="宋体" w:eastAsia="宋体" w:cs="宋体"/>
          <w:color w:val="auto"/>
          <w:highlight w:val="none"/>
          <w:lang w:val="zh-CN"/>
        </w:rPr>
        <w:t xml:space="preserve">）： </w:t>
      </w:r>
    </w:p>
    <w:p w14:paraId="3F985292">
      <w:pPr>
        <w:jc w:val="center"/>
        <w:rPr>
          <w:rFonts w:hint="eastAsia" w:ascii="宋体" w:hAnsi="宋体" w:eastAsia="宋体" w:cs="宋体"/>
          <w:color w:val="auto"/>
          <w:highlight w:val="none"/>
          <w:lang w:val="zh-CN"/>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日期</w:t>
      </w:r>
      <w:r>
        <w:rPr>
          <w:rFonts w:hint="eastAsia" w:ascii="宋体" w:hAnsi="宋体" w:eastAsia="宋体" w:cs="宋体"/>
          <w:color w:val="auto"/>
          <w:highlight w:val="none"/>
        </w:rPr>
        <w:t>：</w:t>
      </w:r>
      <w:r>
        <w:rPr>
          <w:rFonts w:hint="eastAsia" w:ascii="宋体" w:hAnsi="宋体" w:eastAsia="宋体" w:cs="宋体"/>
          <w:color w:val="auto"/>
          <w:highlight w:val="none"/>
          <w:lang w:val="zh-CN"/>
        </w:rPr>
        <w:t xml:space="preserve">   年   月   日</w:t>
      </w:r>
    </w:p>
    <w:p w14:paraId="0F2D58E0">
      <w:pPr>
        <w:pStyle w:val="6"/>
        <w:rPr>
          <w:rFonts w:hint="eastAsia" w:ascii="宋体" w:hAnsi="宋体" w:eastAsia="宋体" w:cs="宋体"/>
          <w:color w:val="auto"/>
          <w:highlight w:val="none"/>
        </w:rPr>
      </w:pPr>
    </w:p>
    <w:p w14:paraId="0BAC4530">
      <w:pPr>
        <w:pStyle w:val="6"/>
        <w:rPr>
          <w:rFonts w:hint="eastAsia" w:ascii="宋体" w:hAnsi="宋体" w:eastAsia="宋体" w:cs="宋体"/>
          <w:color w:val="auto"/>
          <w:highlight w:val="none"/>
        </w:rPr>
      </w:pPr>
    </w:p>
    <w:p w14:paraId="37AE993F">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D6CA0E">
      <w:pPr>
        <w:pStyle w:val="6"/>
        <w:rPr>
          <w:rFonts w:ascii="宋体" w:hAnsi="宋体" w:eastAsia="宋体" w:cs="宋体"/>
          <w:color w:val="auto"/>
          <w:highlight w:val="none"/>
        </w:rPr>
      </w:pPr>
      <w:r>
        <w:rPr>
          <w:rFonts w:hint="eastAsia" w:ascii="宋体" w:hAnsi="宋体" w:eastAsia="宋体" w:cs="宋体"/>
          <w:color w:val="auto"/>
          <w:highlight w:val="none"/>
        </w:rPr>
        <w:t>一、开标一览表（报价表）</w:t>
      </w:r>
    </w:p>
    <w:p w14:paraId="046D9195">
      <w:pPr>
        <w:widowControl w:val="0"/>
        <w:adjustRightInd w:val="0"/>
        <w:spacing w:after="0" w:line="480" w:lineRule="exact"/>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（采购人）、（采购代理机构）：</w:t>
      </w:r>
    </w:p>
    <w:p w14:paraId="38A987EE">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按你方招标文件要求，我们，本投标文件签字方，谨此向你方发出要约如下：如你方接受本投标，我方承诺按照如下开标一览表（报价表）的价格完成（项目名称）【招标编号：（采购编号）】的实施。</w:t>
      </w:r>
    </w:p>
    <w:p w14:paraId="1C69908F">
      <w:pPr>
        <w:widowControl w:val="0"/>
        <w:adjustRightInd w:val="0"/>
        <w:spacing w:after="0" w:line="480" w:lineRule="exact"/>
        <w:ind w:firstLine="482" w:firstLineChars="200"/>
        <w:jc w:val="center"/>
        <w:rPr>
          <w:rFonts w:ascii="宋体" w:hAnsi="宋体" w:eastAsia="宋体" w:cs="宋体"/>
          <w:b/>
          <w:bCs/>
          <w:color w:val="auto"/>
          <w:kern w:val="2"/>
          <w:highlight w:val="none"/>
          <w:lang w:val="zh-CN"/>
        </w:rPr>
      </w:pPr>
      <w:r>
        <w:rPr>
          <w:rFonts w:hint="eastAsia" w:ascii="宋体" w:hAnsi="宋体" w:eastAsia="宋体" w:cs="宋体"/>
          <w:b/>
          <w:bCs/>
          <w:color w:val="auto"/>
          <w:kern w:val="2"/>
          <w:highlight w:val="none"/>
          <w:lang w:val="zh-CN"/>
        </w:rPr>
        <w:t>开标一览表（报价表）(单位均为人民币元)</w:t>
      </w:r>
      <w:r>
        <w:rPr>
          <w:rFonts w:hint="eastAsia" w:ascii="宋体" w:hAnsi="宋体" w:eastAsia="宋体" w:cs="宋体"/>
          <w:b/>
          <w:bCs/>
          <w:color w:val="auto"/>
          <w:kern w:val="2"/>
          <w:highlight w:val="none"/>
          <w:lang w:val="en-US" w:eastAsia="zh-CN"/>
        </w:rPr>
        <w:t xml:space="preserve"> </w:t>
      </w:r>
      <w:r>
        <w:rPr>
          <w:rFonts w:hint="eastAsia" w:ascii="宋体" w:hAnsi="宋体" w:eastAsia="宋体" w:cs="宋体"/>
          <w:b/>
          <w:bCs/>
          <w:color w:val="auto"/>
          <w:kern w:val="2"/>
          <w:highlight w:val="none"/>
          <w:lang w:val="zh-CN"/>
        </w:rPr>
        <w:t>标项</w:t>
      </w:r>
      <w:r>
        <w:rPr>
          <w:rFonts w:hint="eastAsia" w:ascii="宋体" w:hAnsi="宋体" w:eastAsia="宋体" w:cs="宋体"/>
          <w:b/>
          <w:bCs/>
          <w:color w:val="auto"/>
          <w:kern w:val="2"/>
          <w:highlight w:val="none"/>
          <w:lang w:val="en-US" w:eastAsia="zh-CN"/>
        </w:rPr>
        <w:t>2：</w:t>
      </w:r>
      <w:r>
        <w:rPr>
          <w:rFonts w:hint="eastAsia" w:ascii="宋体" w:hAnsi="宋体" w:eastAsia="宋体" w:cs="宋体"/>
          <w:b/>
          <w:bCs/>
          <w:color w:val="auto"/>
          <w:kern w:val="2"/>
          <w:highlight w:val="none"/>
        </w:rPr>
        <w:t>科技城区块公寓家具采购项目</w:t>
      </w:r>
    </w:p>
    <w:tbl>
      <w:tblPr>
        <w:tblStyle w:val="30"/>
        <w:tblW w:w="14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29"/>
        <w:gridCol w:w="1842"/>
        <w:gridCol w:w="3116"/>
        <w:gridCol w:w="992"/>
        <w:gridCol w:w="1558"/>
        <w:gridCol w:w="1983"/>
        <w:gridCol w:w="3117"/>
      </w:tblGrid>
      <w:tr w14:paraId="01C6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20" w:type="dxa"/>
            <w:vAlign w:val="center"/>
          </w:tcPr>
          <w:p w14:paraId="23D71BA7">
            <w:pPr>
              <w:jc w:val="center"/>
              <w:rPr>
                <w:rFonts w:ascii="宋体" w:hAnsi="宋体" w:eastAsia="宋体" w:cs="宋体"/>
                <w:b/>
                <w:color w:val="auto"/>
                <w:highlight w:val="none"/>
              </w:rPr>
            </w:pPr>
            <w:r>
              <w:rPr>
                <w:rFonts w:hint="eastAsia" w:ascii="宋体" w:hAnsi="宋体" w:eastAsia="宋体" w:cs="宋体"/>
                <w:b/>
                <w:color w:val="auto"/>
                <w:highlight w:val="none"/>
              </w:rPr>
              <w:t>序号</w:t>
            </w:r>
          </w:p>
        </w:tc>
        <w:tc>
          <w:tcPr>
            <w:tcW w:w="1229" w:type="dxa"/>
            <w:vAlign w:val="center"/>
          </w:tcPr>
          <w:p w14:paraId="3C9F997A">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名称</w:t>
            </w:r>
          </w:p>
        </w:tc>
        <w:tc>
          <w:tcPr>
            <w:tcW w:w="1842" w:type="dxa"/>
            <w:vAlign w:val="center"/>
          </w:tcPr>
          <w:p w14:paraId="28DCDE75">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品牌</w:t>
            </w:r>
          </w:p>
        </w:tc>
        <w:tc>
          <w:tcPr>
            <w:tcW w:w="3116" w:type="dxa"/>
            <w:vAlign w:val="center"/>
          </w:tcPr>
          <w:p w14:paraId="48807D3F">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规格型号</w:t>
            </w:r>
          </w:p>
        </w:tc>
        <w:tc>
          <w:tcPr>
            <w:tcW w:w="992" w:type="dxa"/>
            <w:vAlign w:val="center"/>
          </w:tcPr>
          <w:p w14:paraId="59B25A5B">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数量</w:t>
            </w:r>
          </w:p>
        </w:tc>
        <w:tc>
          <w:tcPr>
            <w:tcW w:w="1558" w:type="dxa"/>
            <w:vAlign w:val="center"/>
          </w:tcPr>
          <w:p w14:paraId="7F1D2D01">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单价</w:t>
            </w:r>
          </w:p>
        </w:tc>
        <w:tc>
          <w:tcPr>
            <w:tcW w:w="1983" w:type="dxa"/>
            <w:vAlign w:val="center"/>
          </w:tcPr>
          <w:p w14:paraId="66E300DB">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合计</w:t>
            </w:r>
          </w:p>
        </w:tc>
        <w:tc>
          <w:tcPr>
            <w:tcW w:w="3117" w:type="dxa"/>
            <w:vAlign w:val="center"/>
          </w:tcPr>
          <w:p w14:paraId="49447162">
            <w:pPr>
              <w:spacing w:line="360" w:lineRule="auto"/>
              <w:jc w:val="center"/>
              <w:rPr>
                <w:rFonts w:ascii="宋体" w:hAnsi="宋体" w:eastAsia="宋体" w:cs="宋体"/>
                <w:b/>
                <w:color w:val="auto"/>
                <w:highlight w:val="none"/>
              </w:rPr>
            </w:pPr>
            <w:r>
              <w:rPr>
                <w:rFonts w:hint="eastAsia" w:ascii="宋体" w:hAnsi="宋体" w:eastAsia="宋体" w:cs="宋体"/>
                <w:b/>
                <w:color w:val="auto"/>
                <w:highlight w:val="none"/>
              </w:rPr>
              <w:t>备注（如果有）</w:t>
            </w:r>
          </w:p>
        </w:tc>
      </w:tr>
      <w:tr w14:paraId="42F6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5C1A0AFA">
            <w:pPr>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29" w:type="dxa"/>
            <w:vAlign w:val="center"/>
          </w:tcPr>
          <w:p w14:paraId="4F74A122">
            <w:pPr>
              <w:snapToGrid w:val="0"/>
              <w:jc w:val="center"/>
              <w:rPr>
                <w:rFonts w:ascii="宋体" w:hAnsi="宋体" w:eastAsia="宋体" w:cs="宋体"/>
                <w:color w:val="auto"/>
                <w:highlight w:val="none"/>
              </w:rPr>
            </w:pPr>
          </w:p>
        </w:tc>
        <w:tc>
          <w:tcPr>
            <w:tcW w:w="1842" w:type="dxa"/>
            <w:vAlign w:val="center"/>
          </w:tcPr>
          <w:p w14:paraId="11C4AA61">
            <w:pPr>
              <w:snapToGrid w:val="0"/>
              <w:jc w:val="center"/>
              <w:rPr>
                <w:rFonts w:ascii="宋体" w:hAnsi="宋体" w:eastAsia="宋体" w:cs="宋体"/>
                <w:color w:val="auto"/>
                <w:highlight w:val="none"/>
              </w:rPr>
            </w:pPr>
          </w:p>
        </w:tc>
        <w:tc>
          <w:tcPr>
            <w:tcW w:w="3116" w:type="dxa"/>
            <w:vAlign w:val="center"/>
          </w:tcPr>
          <w:p w14:paraId="388BA393">
            <w:pPr>
              <w:snapToGrid w:val="0"/>
              <w:jc w:val="center"/>
              <w:rPr>
                <w:rFonts w:ascii="宋体" w:hAnsi="宋体" w:eastAsia="宋体" w:cs="宋体"/>
                <w:color w:val="auto"/>
                <w:highlight w:val="none"/>
              </w:rPr>
            </w:pPr>
          </w:p>
        </w:tc>
        <w:tc>
          <w:tcPr>
            <w:tcW w:w="992" w:type="dxa"/>
            <w:vAlign w:val="center"/>
          </w:tcPr>
          <w:p w14:paraId="6C262C5E">
            <w:pPr>
              <w:snapToGrid w:val="0"/>
              <w:jc w:val="center"/>
              <w:rPr>
                <w:rFonts w:ascii="宋体" w:hAnsi="宋体" w:eastAsia="宋体" w:cs="宋体"/>
                <w:color w:val="auto"/>
                <w:highlight w:val="none"/>
              </w:rPr>
            </w:pPr>
          </w:p>
        </w:tc>
        <w:tc>
          <w:tcPr>
            <w:tcW w:w="1558" w:type="dxa"/>
            <w:vAlign w:val="center"/>
          </w:tcPr>
          <w:p w14:paraId="36F8AE52">
            <w:pPr>
              <w:jc w:val="center"/>
              <w:rPr>
                <w:rFonts w:ascii="宋体" w:hAnsi="宋体" w:eastAsia="宋体" w:cs="宋体"/>
                <w:color w:val="auto"/>
                <w:highlight w:val="none"/>
              </w:rPr>
            </w:pPr>
          </w:p>
        </w:tc>
        <w:tc>
          <w:tcPr>
            <w:tcW w:w="1983" w:type="dxa"/>
            <w:vAlign w:val="center"/>
          </w:tcPr>
          <w:p w14:paraId="738B4686">
            <w:pPr>
              <w:jc w:val="center"/>
              <w:rPr>
                <w:rFonts w:ascii="宋体" w:hAnsi="宋体" w:eastAsia="宋体" w:cs="宋体"/>
                <w:color w:val="auto"/>
                <w:highlight w:val="none"/>
              </w:rPr>
            </w:pPr>
          </w:p>
        </w:tc>
        <w:tc>
          <w:tcPr>
            <w:tcW w:w="3117" w:type="dxa"/>
            <w:vAlign w:val="center"/>
          </w:tcPr>
          <w:p w14:paraId="5755EBDA">
            <w:pPr>
              <w:jc w:val="center"/>
              <w:rPr>
                <w:rFonts w:ascii="宋体" w:hAnsi="宋体" w:eastAsia="宋体" w:cs="宋体"/>
                <w:color w:val="auto"/>
                <w:highlight w:val="none"/>
              </w:rPr>
            </w:pPr>
          </w:p>
        </w:tc>
      </w:tr>
      <w:tr w14:paraId="2006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5203BC61">
            <w:pPr>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29" w:type="dxa"/>
            <w:vAlign w:val="center"/>
          </w:tcPr>
          <w:p w14:paraId="03134917">
            <w:pPr>
              <w:snapToGrid w:val="0"/>
              <w:jc w:val="center"/>
              <w:rPr>
                <w:rFonts w:ascii="宋体" w:hAnsi="宋体" w:eastAsia="宋体" w:cs="宋体"/>
                <w:color w:val="auto"/>
                <w:highlight w:val="none"/>
              </w:rPr>
            </w:pPr>
          </w:p>
        </w:tc>
        <w:tc>
          <w:tcPr>
            <w:tcW w:w="1842" w:type="dxa"/>
            <w:vAlign w:val="center"/>
          </w:tcPr>
          <w:p w14:paraId="0CFF9734">
            <w:pPr>
              <w:snapToGrid w:val="0"/>
              <w:jc w:val="center"/>
              <w:rPr>
                <w:rFonts w:ascii="宋体" w:hAnsi="宋体" w:eastAsia="宋体" w:cs="宋体"/>
                <w:color w:val="auto"/>
                <w:highlight w:val="none"/>
              </w:rPr>
            </w:pPr>
          </w:p>
        </w:tc>
        <w:tc>
          <w:tcPr>
            <w:tcW w:w="3116" w:type="dxa"/>
            <w:vAlign w:val="center"/>
          </w:tcPr>
          <w:p w14:paraId="02CDA5B3">
            <w:pPr>
              <w:snapToGrid w:val="0"/>
              <w:jc w:val="center"/>
              <w:rPr>
                <w:rFonts w:ascii="宋体" w:hAnsi="宋体" w:eastAsia="宋体" w:cs="宋体"/>
                <w:color w:val="auto"/>
                <w:highlight w:val="none"/>
              </w:rPr>
            </w:pPr>
          </w:p>
        </w:tc>
        <w:tc>
          <w:tcPr>
            <w:tcW w:w="992" w:type="dxa"/>
            <w:vAlign w:val="center"/>
          </w:tcPr>
          <w:p w14:paraId="1D0E1329">
            <w:pPr>
              <w:snapToGrid w:val="0"/>
              <w:jc w:val="center"/>
              <w:rPr>
                <w:rFonts w:ascii="宋体" w:hAnsi="宋体" w:eastAsia="宋体" w:cs="宋体"/>
                <w:color w:val="auto"/>
                <w:highlight w:val="none"/>
              </w:rPr>
            </w:pPr>
          </w:p>
        </w:tc>
        <w:tc>
          <w:tcPr>
            <w:tcW w:w="1558" w:type="dxa"/>
            <w:vAlign w:val="center"/>
          </w:tcPr>
          <w:p w14:paraId="590F6A60">
            <w:pPr>
              <w:jc w:val="center"/>
              <w:rPr>
                <w:rFonts w:ascii="宋体" w:hAnsi="宋体" w:eastAsia="宋体" w:cs="宋体"/>
                <w:color w:val="auto"/>
                <w:highlight w:val="none"/>
              </w:rPr>
            </w:pPr>
          </w:p>
        </w:tc>
        <w:tc>
          <w:tcPr>
            <w:tcW w:w="1983" w:type="dxa"/>
            <w:vAlign w:val="center"/>
          </w:tcPr>
          <w:p w14:paraId="51AEDB70">
            <w:pPr>
              <w:jc w:val="center"/>
              <w:rPr>
                <w:rFonts w:ascii="宋体" w:hAnsi="宋体" w:eastAsia="宋体" w:cs="宋体"/>
                <w:color w:val="auto"/>
                <w:highlight w:val="none"/>
              </w:rPr>
            </w:pPr>
          </w:p>
        </w:tc>
        <w:tc>
          <w:tcPr>
            <w:tcW w:w="3117" w:type="dxa"/>
            <w:vAlign w:val="center"/>
          </w:tcPr>
          <w:p w14:paraId="4CADE10C">
            <w:pPr>
              <w:jc w:val="center"/>
              <w:rPr>
                <w:rFonts w:ascii="宋体" w:hAnsi="宋体" w:eastAsia="宋体" w:cs="宋体"/>
                <w:color w:val="auto"/>
                <w:highlight w:val="none"/>
              </w:rPr>
            </w:pPr>
          </w:p>
        </w:tc>
      </w:tr>
      <w:tr w14:paraId="2B80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1CBCCD70">
            <w:pPr>
              <w:jc w:val="center"/>
              <w:rPr>
                <w:rFonts w:ascii="宋体" w:hAnsi="宋体" w:eastAsia="宋体" w:cs="宋体"/>
                <w:color w:val="auto"/>
                <w:highlight w:val="none"/>
              </w:rPr>
            </w:pPr>
            <w:r>
              <w:rPr>
                <w:rFonts w:hint="eastAsia" w:ascii="宋体" w:hAnsi="宋体" w:eastAsia="宋体" w:cs="宋体"/>
                <w:color w:val="auto"/>
                <w:highlight w:val="none"/>
              </w:rPr>
              <w:t>…</w:t>
            </w:r>
          </w:p>
        </w:tc>
        <w:tc>
          <w:tcPr>
            <w:tcW w:w="1229" w:type="dxa"/>
            <w:vAlign w:val="center"/>
          </w:tcPr>
          <w:p w14:paraId="2C2C2264">
            <w:pPr>
              <w:snapToGrid w:val="0"/>
              <w:jc w:val="center"/>
              <w:rPr>
                <w:rFonts w:ascii="宋体" w:hAnsi="宋体" w:eastAsia="宋体" w:cs="宋体"/>
                <w:color w:val="auto"/>
                <w:highlight w:val="none"/>
              </w:rPr>
            </w:pPr>
          </w:p>
        </w:tc>
        <w:tc>
          <w:tcPr>
            <w:tcW w:w="1842" w:type="dxa"/>
            <w:vAlign w:val="center"/>
          </w:tcPr>
          <w:p w14:paraId="29CB601E">
            <w:pPr>
              <w:snapToGrid w:val="0"/>
              <w:jc w:val="center"/>
              <w:rPr>
                <w:rFonts w:ascii="宋体" w:hAnsi="宋体" w:eastAsia="宋体" w:cs="宋体"/>
                <w:color w:val="auto"/>
                <w:highlight w:val="none"/>
              </w:rPr>
            </w:pPr>
          </w:p>
        </w:tc>
        <w:tc>
          <w:tcPr>
            <w:tcW w:w="3116" w:type="dxa"/>
            <w:vAlign w:val="center"/>
          </w:tcPr>
          <w:p w14:paraId="7FCF6C9F">
            <w:pPr>
              <w:snapToGrid w:val="0"/>
              <w:jc w:val="center"/>
              <w:rPr>
                <w:rFonts w:ascii="宋体" w:hAnsi="宋体" w:eastAsia="宋体" w:cs="宋体"/>
                <w:color w:val="auto"/>
                <w:highlight w:val="none"/>
              </w:rPr>
            </w:pPr>
          </w:p>
        </w:tc>
        <w:tc>
          <w:tcPr>
            <w:tcW w:w="992" w:type="dxa"/>
            <w:vAlign w:val="center"/>
          </w:tcPr>
          <w:p w14:paraId="4E067612">
            <w:pPr>
              <w:snapToGrid w:val="0"/>
              <w:jc w:val="center"/>
              <w:rPr>
                <w:rFonts w:ascii="宋体" w:hAnsi="宋体" w:eastAsia="宋体" w:cs="宋体"/>
                <w:color w:val="auto"/>
                <w:highlight w:val="none"/>
              </w:rPr>
            </w:pPr>
          </w:p>
        </w:tc>
        <w:tc>
          <w:tcPr>
            <w:tcW w:w="1558" w:type="dxa"/>
            <w:vAlign w:val="center"/>
          </w:tcPr>
          <w:p w14:paraId="047CC5E1">
            <w:pPr>
              <w:jc w:val="center"/>
              <w:rPr>
                <w:rFonts w:ascii="宋体" w:hAnsi="宋体" w:eastAsia="宋体" w:cs="宋体"/>
                <w:color w:val="auto"/>
                <w:highlight w:val="none"/>
              </w:rPr>
            </w:pPr>
          </w:p>
        </w:tc>
        <w:tc>
          <w:tcPr>
            <w:tcW w:w="1983" w:type="dxa"/>
            <w:vAlign w:val="center"/>
          </w:tcPr>
          <w:p w14:paraId="7AC536EB">
            <w:pPr>
              <w:jc w:val="center"/>
              <w:rPr>
                <w:rFonts w:ascii="宋体" w:hAnsi="宋体" w:eastAsia="宋体" w:cs="宋体"/>
                <w:color w:val="auto"/>
                <w:highlight w:val="none"/>
              </w:rPr>
            </w:pPr>
          </w:p>
        </w:tc>
        <w:tc>
          <w:tcPr>
            <w:tcW w:w="3117" w:type="dxa"/>
            <w:vAlign w:val="center"/>
          </w:tcPr>
          <w:p w14:paraId="45B0997F">
            <w:pPr>
              <w:jc w:val="center"/>
              <w:rPr>
                <w:rFonts w:ascii="宋体" w:hAnsi="宋体" w:eastAsia="宋体" w:cs="宋体"/>
                <w:color w:val="auto"/>
                <w:highlight w:val="none"/>
              </w:rPr>
            </w:pPr>
          </w:p>
        </w:tc>
      </w:tr>
      <w:tr w14:paraId="0514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202C89AB">
            <w:pPr>
              <w:jc w:val="center"/>
              <w:rPr>
                <w:rFonts w:ascii="宋体" w:hAnsi="宋体" w:eastAsia="宋体" w:cs="宋体"/>
                <w:color w:val="auto"/>
                <w:highlight w:val="none"/>
              </w:rPr>
            </w:pPr>
          </w:p>
        </w:tc>
        <w:tc>
          <w:tcPr>
            <w:tcW w:w="1229" w:type="dxa"/>
            <w:vAlign w:val="center"/>
          </w:tcPr>
          <w:p w14:paraId="13BE11BE">
            <w:pPr>
              <w:snapToGrid w:val="0"/>
              <w:jc w:val="center"/>
              <w:rPr>
                <w:rFonts w:ascii="宋体" w:hAnsi="宋体" w:eastAsia="宋体" w:cs="宋体"/>
                <w:color w:val="auto"/>
                <w:highlight w:val="none"/>
              </w:rPr>
            </w:pPr>
          </w:p>
        </w:tc>
        <w:tc>
          <w:tcPr>
            <w:tcW w:w="1842" w:type="dxa"/>
            <w:vAlign w:val="center"/>
          </w:tcPr>
          <w:p w14:paraId="25859E63">
            <w:pPr>
              <w:snapToGrid w:val="0"/>
              <w:jc w:val="center"/>
              <w:rPr>
                <w:rFonts w:ascii="宋体" w:hAnsi="宋体" w:eastAsia="宋体" w:cs="宋体"/>
                <w:color w:val="auto"/>
                <w:highlight w:val="none"/>
              </w:rPr>
            </w:pPr>
          </w:p>
        </w:tc>
        <w:tc>
          <w:tcPr>
            <w:tcW w:w="3116" w:type="dxa"/>
            <w:vAlign w:val="center"/>
          </w:tcPr>
          <w:p w14:paraId="2B0FD235">
            <w:pPr>
              <w:snapToGrid w:val="0"/>
              <w:jc w:val="center"/>
              <w:rPr>
                <w:rFonts w:ascii="宋体" w:hAnsi="宋体" w:eastAsia="宋体" w:cs="宋体"/>
                <w:color w:val="auto"/>
                <w:highlight w:val="none"/>
              </w:rPr>
            </w:pPr>
          </w:p>
        </w:tc>
        <w:tc>
          <w:tcPr>
            <w:tcW w:w="992" w:type="dxa"/>
            <w:vAlign w:val="center"/>
          </w:tcPr>
          <w:p w14:paraId="1D210DFA">
            <w:pPr>
              <w:snapToGrid w:val="0"/>
              <w:jc w:val="center"/>
              <w:rPr>
                <w:rFonts w:ascii="宋体" w:hAnsi="宋体" w:eastAsia="宋体" w:cs="宋体"/>
                <w:color w:val="auto"/>
                <w:highlight w:val="none"/>
              </w:rPr>
            </w:pPr>
          </w:p>
        </w:tc>
        <w:tc>
          <w:tcPr>
            <w:tcW w:w="1558" w:type="dxa"/>
            <w:vAlign w:val="center"/>
          </w:tcPr>
          <w:p w14:paraId="309678A0">
            <w:pPr>
              <w:jc w:val="center"/>
              <w:rPr>
                <w:rFonts w:ascii="宋体" w:hAnsi="宋体" w:eastAsia="宋体" w:cs="宋体"/>
                <w:color w:val="auto"/>
                <w:highlight w:val="none"/>
              </w:rPr>
            </w:pPr>
          </w:p>
        </w:tc>
        <w:tc>
          <w:tcPr>
            <w:tcW w:w="1983" w:type="dxa"/>
            <w:vAlign w:val="center"/>
          </w:tcPr>
          <w:p w14:paraId="2F983FE1">
            <w:pPr>
              <w:jc w:val="center"/>
              <w:rPr>
                <w:rFonts w:ascii="宋体" w:hAnsi="宋体" w:eastAsia="宋体" w:cs="宋体"/>
                <w:color w:val="auto"/>
                <w:highlight w:val="none"/>
              </w:rPr>
            </w:pPr>
          </w:p>
        </w:tc>
        <w:tc>
          <w:tcPr>
            <w:tcW w:w="3117" w:type="dxa"/>
            <w:vAlign w:val="center"/>
          </w:tcPr>
          <w:p w14:paraId="48D78DEC">
            <w:pPr>
              <w:jc w:val="center"/>
              <w:rPr>
                <w:rFonts w:ascii="宋体" w:hAnsi="宋体" w:eastAsia="宋体" w:cs="宋体"/>
                <w:color w:val="auto"/>
                <w:highlight w:val="none"/>
              </w:rPr>
            </w:pPr>
          </w:p>
        </w:tc>
      </w:tr>
      <w:tr w14:paraId="4155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720" w:type="dxa"/>
            <w:vAlign w:val="center"/>
          </w:tcPr>
          <w:p w14:paraId="14EA1B2F">
            <w:pPr>
              <w:jc w:val="center"/>
              <w:rPr>
                <w:rFonts w:ascii="宋体" w:hAnsi="宋体" w:eastAsia="宋体" w:cs="宋体"/>
                <w:color w:val="auto"/>
                <w:highlight w:val="none"/>
              </w:rPr>
            </w:pPr>
          </w:p>
        </w:tc>
        <w:tc>
          <w:tcPr>
            <w:tcW w:w="1229" w:type="dxa"/>
            <w:vAlign w:val="center"/>
          </w:tcPr>
          <w:p w14:paraId="783903CC">
            <w:pPr>
              <w:snapToGrid w:val="0"/>
              <w:jc w:val="center"/>
              <w:rPr>
                <w:rFonts w:ascii="宋体" w:hAnsi="宋体" w:eastAsia="宋体" w:cs="宋体"/>
                <w:color w:val="auto"/>
                <w:highlight w:val="none"/>
              </w:rPr>
            </w:pPr>
          </w:p>
        </w:tc>
        <w:tc>
          <w:tcPr>
            <w:tcW w:w="1842" w:type="dxa"/>
            <w:vAlign w:val="center"/>
          </w:tcPr>
          <w:p w14:paraId="00CE1C54">
            <w:pPr>
              <w:snapToGrid w:val="0"/>
              <w:jc w:val="center"/>
              <w:rPr>
                <w:rFonts w:ascii="宋体" w:hAnsi="宋体" w:eastAsia="宋体" w:cs="宋体"/>
                <w:color w:val="auto"/>
                <w:highlight w:val="none"/>
              </w:rPr>
            </w:pPr>
          </w:p>
        </w:tc>
        <w:tc>
          <w:tcPr>
            <w:tcW w:w="3116" w:type="dxa"/>
            <w:vAlign w:val="center"/>
          </w:tcPr>
          <w:p w14:paraId="62B48B33">
            <w:pPr>
              <w:snapToGrid w:val="0"/>
              <w:jc w:val="center"/>
              <w:rPr>
                <w:rFonts w:ascii="宋体" w:hAnsi="宋体" w:eastAsia="宋体" w:cs="宋体"/>
                <w:color w:val="auto"/>
                <w:highlight w:val="none"/>
              </w:rPr>
            </w:pPr>
          </w:p>
        </w:tc>
        <w:tc>
          <w:tcPr>
            <w:tcW w:w="992" w:type="dxa"/>
            <w:vAlign w:val="center"/>
          </w:tcPr>
          <w:p w14:paraId="18B06C53">
            <w:pPr>
              <w:snapToGrid w:val="0"/>
              <w:jc w:val="center"/>
              <w:rPr>
                <w:rFonts w:ascii="宋体" w:hAnsi="宋体" w:eastAsia="宋体" w:cs="宋体"/>
                <w:color w:val="auto"/>
                <w:highlight w:val="none"/>
              </w:rPr>
            </w:pPr>
          </w:p>
        </w:tc>
        <w:tc>
          <w:tcPr>
            <w:tcW w:w="1558" w:type="dxa"/>
            <w:vAlign w:val="center"/>
          </w:tcPr>
          <w:p w14:paraId="397D4DC5">
            <w:pPr>
              <w:jc w:val="center"/>
              <w:rPr>
                <w:rFonts w:ascii="宋体" w:hAnsi="宋体" w:eastAsia="宋体" w:cs="宋体"/>
                <w:color w:val="auto"/>
                <w:highlight w:val="none"/>
              </w:rPr>
            </w:pPr>
          </w:p>
        </w:tc>
        <w:tc>
          <w:tcPr>
            <w:tcW w:w="1983" w:type="dxa"/>
            <w:vAlign w:val="center"/>
          </w:tcPr>
          <w:p w14:paraId="7CCF55BE">
            <w:pPr>
              <w:jc w:val="center"/>
              <w:rPr>
                <w:rFonts w:ascii="宋体" w:hAnsi="宋体" w:eastAsia="宋体" w:cs="宋体"/>
                <w:color w:val="auto"/>
                <w:highlight w:val="none"/>
              </w:rPr>
            </w:pPr>
          </w:p>
        </w:tc>
        <w:tc>
          <w:tcPr>
            <w:tcW w:w="3117" w:type="dxa"/>
            <w:vAlign w:val="center"/>
          </w:tcPr>
          <w:p w14:paraId="3D96ECC1">
            <w:pPr>
              <w:jc w:val="center"/>
              <w:rPr>
                <w:rFonts w:ascii="宋体" w:hAnsi="宋体" w:eastAsia="宋体" w:cs="宋体"/>
                <w:color w:val="auto"/>
                <w:highlight w:val="none"/>
              </w:rPr>
            </w:pPr>
          </w:p>
        </w:tc>
      </w:tr>
      <w:tr w14:paraId="1766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6907" w:type="dxa"/>
            <w:gridSpan w:val="4"/>
            <w:vAlign w:val="center"/>
          </w:tcPr>
          <w:p w14:paraId="1D1D4569">
            <w:pPr>
              <w:jc w:val="center"/>
              <w:rPr>
                <w:rFonts w:ascii="宋体" w:hAnsi="宋体" w:eastAsia="宋体" w:cs="宋体"/>
                <w:b/>
                <w:color w:val="auto"/>
                <w:highlight w:val="none"/>
              </w:rPr>
            </w:pPr>
            <w:r>
              <w:rPr>
                <w:rFonts w:hint="eastAsia" w:ascii="宋体" w:hAnsi="宋体" w:eastAsia="宋体" w:cs="宋体"/>
                <w:b/>
                <w:color w:val="auto"/>
                <w:highlight w:val="none"/>
              </w:rPr>
              <w:t>投标报价（小写）</w:t>
            </w:r>
          </w:p>
        </w:tc>
        <w:tc>
          <w:tcPr>
            <w:tcW w:w="7650" w:type="dxa"/>
            <w:gridSpan w:val="4"/>
            <w:vAlign w:val="center"/>
          </w:tcPr>
          <w:p w14:paraId="4AA4E082">
            <w:pPr>
              <w:jc w:val="center"/>
              <w:rPr>
                <w:rFonts w:ascii="宋体" w:hAnsi="宋体" w:eastAsia="宋体" w:cs="宋体"/>
                <w:color w:val="auto"/>
                <w:highlight w:val="none"/>
              </w:rPr>
            </w:pPr>
          </w:p>
        </w:tc>
      </w:tr>
      <w:tr w14:paraId="4478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907" w:type="dxa"/>
            <w:gridSpan w:val="4"/>
            <w:vAlign w:val="center"/>
          </w:tcPr>
          <w:p w14:paraId="6955C4DD">
            <w:pPr>
              <w:jc w:val="center"/>
              <w:rPr>
                <w:rFonts w:ascii="宋体" w:hAnsi="宋体" w:eastAsia="宋体" w:cs="宋体"/>
                <w:b/>
                <w:color w:val="auto"/>
                <w:highlight w:val="none"/>
              </w:rPr>
            </w:pPr>
            <w:r>
              <w:rPr>
                <w:rFonts w:hint="eastAsia" w:ascii="宋体" w:hAnsi="宋体" w:eastAsia="宋体" w:cs="宋体"/>
                <w:b/>
                <w:color w:val="auto"/>
                <w:highlight w:val="none"/>
              </w:rPr>
              <w:t>投标报价（大写）</w:t>
            </w:r>
          </w:p>
        </w:tc>
        <w:tc>
          <w:tcPr>
            <w:tcW w:w="7650" w:type="dxa"/>
            <w:gridSpan w:val="4"/>
            <w:vAlign w:val="center"/>
          </w:tcPr>
          <w:p w14:paraId="497736DC">
            <w:pPr>
              <w:jc w:val="center"/>
              <w:rPr>
                <w:rFonts w:ascii="宋体" w:hAnsi="宋体" w:eastAsia="宋体" w:cs="宋体"/>
                <w:color w:val="auto"/>
                <w:highlight w:val="none"/>
              </w:rPr>
            </w:pPr>
          </w:p>
        </w:tc>
      </w:tr>
    </w:tbl>
    <w:p w14:paraId="7E609D10">
      <w:pPr>
        <w:widowControl w:val="0"/>
        <w:adjustRightInd w:val="0"/>
        <w:spacing w:after="0" w:line="480" w:lineRule="exact"/>
        <w:ind w:firstLine="482" w:firstLineChars="200"/>
        <w:jc w:val="both"/>
        <w:rPr>
          <w:rFonts w:ascii="宋体" w:hAnsi="宋体" w:eastAsia="宋体" w:cs="宋体"/>
          <w:b/>
          <w:bCs/>
          <w:color w:val="auto"/>
          <w:kern w:val="2"/>
          <w:highlight w:val="none"/>
          <w:lang w:val="zh-CN"/>
        </w:rPr>
      </w:pPr>
      <w:r>
        <w:rPr>
          <w:rFonts w:hint="eastAsia" w:ascii="宋体" w:hAnsi="宋体" w:eastAsia="宋体" w:cs="宋体"/>
          <w:b/>
          <w:bCs/>
          <w:color w:val="auto"/>
          <w:kern w:val="2"/>
          <w:highlight w:val="none"/>
          <w:lang w:val="zh-CN"/>
        </w:rPr>
        <w:t>注：1、▲投标人需在投标(开标)一览表中明确投标报价（总价）及各分项小计报价。</w:t>
      </w:r>
    </w:p>
    <w:p w14:paraId="2F6EC53E">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lang w:val="zh-CN"/>
        </w:rPr>
        <w:t>、有关本项目实施所涉及的一切费用均计入报价。采购人将以合同形式有偿取得货物或服务，不接受投标人给予的赠品、回扣或者与采购无关的其他商品、服务；采购内容未包含在《开标一览表（报价表）》名称栏中，投标人不能作出合理解释的，视为投标文件含有采购人不能接受的附加条件的，投标无效。</w:t>
      </w:r>
    </w:p>
    <w:p w14:paraId="27A96422">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en-US" w:eastAsia="zh-CN"/>
        </w:rPr>
        <w:t>3</w:t>
      </w:r>
      <w:r>
        <w:rPr>
          <w:rFonts w:hint="eastAsia" w:ascii="宋体" w:hAnsi="宋体" w:eastAsia="宋体" w:cs="宋体"/>
          <w:color w:val="auto"/>
          <w:kern w:val="2"/>
          <w:highlight w:val="none"/>
          <w:lang w:val="zh-CN"/>
        </w:rPr>
        <w:t>、特别提示：采购代理机构将对项目名称和项目编号，中标供应商名称、地址和中标金额予以公示。</w:t>
      </w:r>
    </w:p>
    <w:p w14:paraId="133F7985">
      <w:pPr>
        <w:widowControl w:val="0"/>
        <w:adjustRightInd w:val="0"/>
        <w:spacing w:after="0" w:line="480" w:lineRule="exact"/>
        <w:ind w:firstLine="482" w:firstLineChars="200"/>
        <w:jc w:val="both"/>
        <w:rPr>
          <w:rFonts w:ascii="宋体" w:hAnsi="宋体" w:eastAsia="宋体" w:cs="宋体"/>
          <w:b/>
          <w:bCs/>
          <w:color w:val="auto"/>
          <w:kern w:val="2"/>
          <w:highlight w:val="none"/>
          <w:lang w:val="zh-CN"/>
        </w:rPr>
      </w:pPr>
      <w:r>
        <w:rPr>
          <w:rFonts w:hint="eastAsia" w:ascii="宋体" w:hAnsi="宋体" w:eastAsia="宋体" w:cs="宋体"/>
          <w:b/>
          <w:bCs/>
          <w:color w:val="auto"/>
          <w:kern w:val="2"/>
          <w:highlight w:val="none"/>
          <w:lang w:val="zh-CN"/>
        </w:rPr>
        <w:t>▲</w:t>
      </w:r>
      <w:r>
        <w:rPr>
          <w:rFonts w:hint="eastAsia" w:ascii="宋体" w:hAnsi="宋体" w:eastAsia="宋体" w:cs="宋体"/>
          <w:b/>
          <w:bCs/>
          <w:color w:val="auto"/>
          <w:kern w:val="2"/>
          <w:highlight w:val="none"/>
          <w:lang w:val="en-US" w:eastAsia="zh-CN"/>
        </w:rPr>
        <w:t>4</w:t>
      </w:r>
      <w:r>
        <w:rPr>
          <w:rFonts w:hint="eastAsia" w:ascii="宋体" w:hAnsi="宋体" w:eastAsia="宋体" w:cs="宋体"/>
          <w:b/>
          <w:bCs/>
          <w:color w:val="auto"/>
          <w:kern w:val="2"/>
          <w:highlight w:val="none"/>
          <w:lang w:val="zh-CN"/>
        </w:rPr>
        <w:t>、特别说明：供应商报价低于项目预算50%的，应当在报价文件中详细阐述不影响产品质量或者诚信履约的具体原因，未做阐述说明的，投标无效。</w:t>
      </w:r>
    </w:p>
    <w:p w14:paraId="0420A632">
      <w:pPr>
        <w:jc w:val="right"/>
        <w:rPr>
          <w:rFonts w:ascii="宋体" w:hAnsi="宋体" w:eastAsia="宋体" w:cs="宋体"/>
          <w:color w:val="auto"/>
          <w:highlight w:val="none"/>
          <w:lang w:val="zh-CN"/>
        </w:rPr>
      </w:pPr>
    </w:p>
    <w:p w14:paraId="0C7AC88E">
      <w:pPr>
        <w:jc w:val="right"/>
        <w:rPr>
          <w:rFonts w:ascii="宋体" w:hAnsi="宋体" w:eastAsia="宋体" w:cs="宋体"/>
          <w:color w:val="auto"/>
          <w:highlight w:val="none"/>
          <w:lang w:val="zh-CN"/>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投标人名称（</w:t>
      </w:r>
      <w:r>
        <w:rPr>
          <w:rFonts w:hint="eastAsia" w:ascii="宋体" w:hAnsi="宋体" w:eastAsia="宋体" w:cs="宋体"/>
          <w:color w:val="auto"/>
          <w:highlight w:val="none"/>
        </w:rPr>
        <w:t>电子签名</w:t>
      </w:r>
      <w:r>
        <w:rPr>
          <w:rFonts w:hint="eastAsia" w:ascii="宋体" w:hAnsi="宋体" w:eastAsia="宋体" w:cs="宋体"/>
          <w:color w:val="auto"/>
          <w:highlight w:val="none"/>
          <w:lang w:val="zh-CN"/>
        </w:rPr>
        <w:t xml:space="preserve">）： </w:t>
      </w:r>
    </w:p>
    <w:p w14:paraId="153EC16F">
      <w:pPr>
        <w:jc w:val="center"/>
        <w:rPr>
          <w:rFonts w:ascii="宋体" w:hAnsi="宋体" w:eastAsia="宋体" w:cs="宋体"/>
          <w:color w:val="auto"/>
          <w:highlight w:val="none"/>
          <w:lang w:val="zh-CN"/>
        </w:rPr>
        <w:sectPr>
          <w:pgSz w:w="16838" w:h="11906" w:orient="landscape"/>
          <w:pgMar w:top="1803" w:right="1440" w:bottom="1701" w:left="1440" w:header="851" w:footer="992" w:gutter="0"/>
          <w:cols w:space="0" w:num="1"/>
          <w:docGrid w:type="lines" w:linePitch="336" w:charSpace="0"/>
        </w:sect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日期</w:t>
      </w:r>
      <w:r>
        <w:rPr>
          <w:rFonts w:hint="eastAsia" w:ascii="宋体" w:hAnsi="宋体" w:eastAsia="宋体" w:cs="宋体"/>
          <w:color w:val="auto"/>
          <w:highlight w:val="none"/>
        </w:rPr>
        <w:t>：</w:t>
      </w:r>
      <w:r>
        <w:rPr>
          <w:rFonts w:hint="eastAsia" w:ascii="宋体" w:hAnsi="宋体" w:eastAsia="宋体" w:cs="宋体"/>
          <w:color w:val="auto"/>
          <w:highlight w:val="none"/>
          <w:lang w:val="zh-CN"/>
        </w:rPr>
        <w:t xml:space="preserve">   年   月   </w:t>
      </w:r>
    </w:p>
    <w:p w14:paraId="52F8C2A2">
      <w:pPr>
        <w:spacing w:line="276" w:lineRule="auto"/>
        <w:rPr>
          <w:rFonts w:ascii="宋体" w:hAnsi="宋体" w:eastAsia="宋体" w:cs="宋体"/>
          <w:b/>
          <w:smallCaps/>
          <w:color w:val="auto"/>
          <w:spacing w:val="6"/>
          <w:sz w:val="28"/>
          <w:szCs w:val="28"/>
          <w:highlight w:val="none"/>
        </w:rPr>
      </w:pPr>
      <w:r>
        <w:rPr>
          <w:rFonts w:hint="eastAsia" w:ascii="宋体" w:hAnsi="宋体" w:eastAsia="宋体" w:cs="宋体"/>
          <w:b/>
          <w:smallCaps/>
          <w:color w:val="auto"/>
          <w:spacing w:val="6"/>
          <w:sz w:val="28"/>
          <w:szCs w:val="28"/>
          <w:highlight w:val="none"/>
        </w:rPr>
        <w:t>附件1：质疑函范本及制作说明</w:t>
      </w:r>
    </w:p>
    <w:p w14:paraId="4210A1FF">
      <w:pPr>
        <w:spacing w:line="360" w:lineRule="auto"/>
        <w:jc w:val="center"/>
        <w:rPr>
          <w:rFonts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503CEA71">
      <w:pPr>
        <w:pStyle w:val="67"/>
        <w:rPr>
          <w:rFonts w:ascii="宋体" w:hAnsi="宋体" w:eastAsia="宋体" w:cs="宋体"/>
          <w:color w:val="auto"/>
          <w:highlight w:val="none"/>
        </w:rPr>
      </w:pPr>
      <w:r>
        <w:rPr>
          <w:rFonts w:hint="eastAsia" w:ascii="宋体" w:hAnsi="宋体" w:eastAsia="宋体" w:cs="宋体"/>
          <w:color w:val="auto"/>
          <w:highlight w:val="none"/>
        </w:rPr>
        <w:t>一、质疑供应商基本信息</w:t>
      </w:r>
    </w:p>
    <w:p w14:paraId="7883611D">
      <w:pPr>
        <w:pStyle w:val="67"/>
        <w:rPr>
          <w:rFonts w:ascii="宋体" w:hAnsi="宋体" w:eastAsia="宋体" w:cs="宋体"/>
          <w:color w:val="auto"/>
          <w:highlight w:val="none"/>
          <w:u w:val="dotted"/>
        </w:rPr>
      </w:pPr>
      <w:r>
        <w:rPr>
          <w:rFonts w:hint="eastAsia" w:ascii="宋体" w:hAnsi="宋体" w:eastAsia="宋体" w:cs="宋体"/>
          <w:color w:val="auto"/>
          <w:highlight w:val="none"/>
        </w:rPr>
        <w:t>质疑供应商：</w:t>
      </w:r>
      <w:r>
        <w:rPr>
          <w:rFonts w:hint="eastAsia" w:ascii="宋体" w:hAnsi="宋体" w:eastAsia="宋体" w:cs="宋体"/>
          <w:color w:val="auto"/>
          <w:highlight w:val="none"/>
          <w:u w:val="dotted"/>
        </w:rPr>
        <w:t xml:space="preserve">                                        </w:t>
      </w:r>
    </w:p>
    <w:p w14:paraId="3A233859">
      <w:pPr>
        <w:pStyle w:val="67"/>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p>
    <w:p w14:paraId="76CF3FAE">
      <w:pPr>
        <w:pStyle w:val="67"/>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p>
    <w:p w14:paraId="68B7B740">
      <w:pPr>
        <w:pStyle w:val="67"/>
        <w:rPr>
          <w:rFonts w:ascii="宋体" w:hAnsi="宋体" w:eastAsia="宋体" w:cs="宋体"/>
          <w:color w:val="auto"/>
          <w:highlight w:val="none"/>
          <w:u w:val="dotted"/>
        </w:rPr>
      </w:pPr>
      <w:r>
        <w:rPr>
          <w:rFonts w:hint="eastAsia" w:ascii="宋体" w:hAnsi="宋体" w:eastAsia="宋体" w:cs="宋体"/>
          <w:color w:val="auto"/>
          <w:highlight w:val="none"/>
        </w:rPr>
        <w:t>授权代表：</w:t>
      </w:r>
      <w:r>
        <w:rPr>
          <w:rFonts w:hint="eastAsia" w:ascii="宋体" w:hAnsi="宋体" w:eastAsia="宋体" w:cs="宋体"/>
          <w:color w:val="auto"/>
          <w:highlight w:val="none"/>
          <w:u w:val="dotted"/>
        </w:rPr>
        <w:t xml:space="preserve">                                          </w:t>
      </w:r>
    </w:p>
    <w:p w14:paraId="0EFDA150">
      <w:pPr>
        <w:pStyle w:val="67"/>
        <w:rPr>
          <w:rFonts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 xml:space="preserve"> </w:t>
      </w:r>
    </w:p>
    <w:p w14:paraId="0E61B967">
      <w:pPr>
        <w:pStyle w:val="67"/>
        <w:rPr>
          <w:rFonts w:ascii="宋体" w:hAnsi="宋体" w:eastAsia="宋体" w:cs="宋体"/>
          <w:color w:val="auto"/>
          <w:highlight w:val="none"/>
        </w:rPr>
      </w:pPr>
      <w:r>
        <w:rPr>
          <w:rFonts w:hint="eastAsia" w:ascii="宋体" w:hAnsi="宋体" w:eastAsia="宋体" w:cs="宋体"/>
          <w:color w:val="auto"/>
          <w:highlight w:val="none"/>
        </w:rPr>
        <w:t xml:space="preserve">地址： </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p>
    <w:p w14:paraId="6226A19E">
      <w:pPr>
        <w:pStyle w:val="67"/>
        <w:rPr>
          <w:rFonts w:ascii="宋体" w:hAnsi="宋体" w:eastAsia="宋体" w:cs="宋体"/>
          <w:color w:val="auto"/>
          <w:highlight w:val="none"/>
        </w:rPr>
      </w:pPr>
      <w:r>
        <w:rPr>
          <w:rFonts w:hint="eastAsia" w:ascii="宋体" w:hAnsi="宋体" w:eastAsia="宋体" w:cs="宋体"/>
          <w:color w:val="auto"/>
          <w:highlight w:val="none"/>
        </w:rPr>
        <w:t>二、质疑项目基本情况</w:t>
      </w:r>
    </w:p>
    <w:p w14:paraId="47BD7314">
      <w:pPr>
        <w:pStyle w:val="67"/>
        <w:rPr>
          <w:rFonts w:ascii="宋体" w:hAnsi="宋体" w:eastAsia="宋体" w:cs="宋体"/>
          <w:color w:val="auto"/>
          <w:highlight w:val="none"/>
        </w:rPr>
      </w:pPr>
      <w:r>
        <w:rPr>
          <w:rFonts w:hint="eastAsia" w:ascii="宋体" w:hAnsi="宋体" w:eastAsia="宋体" w:cs="宋体"/>
          <w:color w:val="auto"/>
          <w:highlight w:val="none"/>
        </w:rPr>
        <w:t>质疑项目的名称：</w:t>
      </w:r>
      <w:r>
        <w:rPr>
          <w:rFonts w:hint="eastAsia" w:ascii="宋体" w:hAnsi="宋体" w:eastAsia="宋体" w:cs="宋体"/>
          <w:color w:val="auto"/>
          <w:highlight w:val="none"/>
          <w:u w:val="dotted"/>
        </w:rPr>
        <w:t xml:space="preserve">                                      </w:t>
      </w:r>
    </w:p>
    <w:p w14:paraId="0DA86424">
      <w:pPr>
        <w:pStyle w:val="67"/>
        <w:rPr>
          <w:rFonts w:ascii="宋体" w:hAnsi="宋体" w:eastAsia="宋体" w:cs="宋体"/>
          <w:color w:val="auto"/>
          <w:highlight w:val="none"/>
        </w:rPr>
      </w:pPr>
      <w:r>
        <w:rPr>
          <w:rFonts w:hint="eastAsia" w:ascii="宋体" w:hAnsi="宋体" w:eastAsia="宋体" w:cs="宋体"/>
          <w:color w:val="auto"/>
          <w:highlight w:val="none"/>
        </w:rPr>
        <w:t>质疑项目的编号：</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dotted"/>
        </w:rPr>
        <w:t xml:space="preserve">                 </w:t>
      </w:r>
    </w:p>
    <w:p w14:paraId="3DCE37FA">
      <w:pPr>
        <w:pStyle w:val="67"/>
        <w:rPr>
          <w:rFonts w:ascii="宋体" w:hAnsi="宋体" w:eastAsia="宋体" w:cs="宋体"/>
          <w:color w:val="auto"/>
          <w:highlight w:val="none"/>
          <w:u w:val="dotted"/>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dotted"/>
        </w:rPr>
        <w:t xml:space="preserve">                                         </w:t>
      </w:r>
    </w:p>
    <w:p w14:paraId="0ACCB158">
      <w:pPr>
        <w:pStyle w:val="67"/>
        <w:rPr>
          <w:rFonts w:ascii="宋体" w:hAnsi="宋体" w:eastAsia="宋体" w:cs="宋体"/>
          <w:color w:val="auto"/>
          <w:highlight w:val="none"/>
        </w:rPr>
      </w:pPr>
      <w:r>
        <w:rPr>
          <w:rFonts w:hint="eastAsia" w:ascii="宋体" w:hAnsi="宋体" w:eastAsia="宋体" w:cs="宋体"/>
          <w:color w:val="auto"/>
          <w:highlight w:val="none"/>
        </w:rPr>
        <w:t>招标文件获取日期：</w:t>
      </w:r>
      <w:r>
        <w:rPr>
          <w:rFonts w:hint="eastAsia" w:ascii="宋体" w:hAnsi="宋体" w:eastAsia="宋体" w:cs="宋体"/>
          <w:color w:val="auto"/>
          <w:highlight w:val="none"/>
          <w:u w:val="dotted"/>
        </w:rPr>
        <w:t xml:space="preserve">                                           </w:t>
      </w:r>
    </w:p>
    <w:p w14:paraId="1489B0DB">
      <w:pPr>
        <w:pStyle w:val="67"/>
        <w:rPr>
          <w:rFonts w:ascii="宋体" w:hAnsi="宋体" w:eastAsia="宋体" w:cs="宋体"/>
          <w:color w:val="auto"/>
          <w:highlight w:val="none"/>
        </w:rPr>
      </w:pPr>
      <w:r>
        <w:rPr>
          <w:rFonts w:hint="eastAsia" w:ascii="宋体" w:hAnsi="宋体" w:eastAsia="宋体" w:cs="宋体"/>
          <w:color w:val="auto"/>
          <w:highlight w:val="none"/>
        </w:rPr>
        <w:t>三、质疑事项具体内容</w:t>
      </w:r>
    </w:p>
    <w:p w14:paraId="7DD5E374">
      <w:pPr>
        <w:pStyle w:val="67"/>
        <w:rPr>
          <w:rFonts w:ascii="宋体" w:hAnsi="宋体" w:eastAsia="宋体" w:cs="宋体"/>
          <w:color w:val="auto"/>
          <w:highlight w:val="none"/>
          <w:u w:val="dotted"/>
        </w:rPr>
      </w:pPr>
      <w:r>
        <w:rPr>
          <w:rFonts w:hint="eastAsia" w:ascii="宋体" w:hAnsi="宋体" w:eastAsia="宋体" w:cs="宋体"/>
          <w:color w:val="auto"/>
          <w:highlight w:val="none"/>
        </w:rPr>
        <w:t>质疑事项1：</w:t>
      </w:r>
      <w:r>
        <w:rPr>
          <w:rFonts w:hint="eastAsia" w:ascii="宋体" w:hAnsi="宋体" w:eastAsia="宋体" w:cs="宋体"/>
          <w:color w:val="auto"/>
          <w:highlight w:val="none"/>
          <w:u w:val="dotted"/>
        </w:rPr>
        <w:t xml:space="preserve">                                         </w:t>
      </w:r>
    </w:p>
    <w:p w14:paraId="5D579051">
      <w:pPr>
        <w:pStyle w:val="67"/>
        <w:rPr>
          <w:rFonts w:ascii="宋体" w:hAnsi="宋体" w:eastAsia="宋体" w:cs="宋体"/>
          <w:color w:val="auto"/>
          <w:highlight w:val="none"/>
          <w:u w:val="dotted"/>
        </w:rPr>
      </w:pPr>
      <w:r>
        <w:rPr>
          <w:rFonts w:hint="eastAsia" w:ascii="宋体" w:hAnsi="宋体" w:eastAsia="宋体" w:cs="宋体"/>
          <w:color w:val="auto"/>
          <w:highlight w:val="none"/>
        </w:rPr>
        <w:t>事实依据：</w:t>
      </w:r>
      <w:r>
        <w:rPr>
          <w:rFonts w:hint="eastAsia" w:ascii="宋体" w:hAnsi="宋体" w:eastAsia="宋体" w:cs="宋体"/>
          <w:color w:val="auto"/>
          <w:highlight w:val="none"/>
          <w:u w:val="dotted"/>
        </w:rPr>
        <w:t xml:space="preserve">                                          </w:t>
      </w:r>
    </w:p>
    <w:p w14:paraId="5285E8D7">
      <w:pPr>
        <w:pStyle w:val="67"/>
        <w:rPr>
          <w:rFonts w:ascii="宋体" w:hAnsi="宋体" w:eastAsia="宋体" w:cs="宋体"/>
          <w:color w:val="auto"/>
          <w:highlight w:val="none"/>
        </w:rPr>
      </w:pPr>
      <w:r>
        <w:rPr>
          <w:rFonts w:hint="eastAsia" w:ascii="宋体" w:hAnsi="宋体" w:eastAsia="宋体" w:cs="宋体"/>
          <w:color w:val="auto"/>
          <w:highlight w:val="none"/>
          <w:u w:val="dotted"/>
        </w:rPr>
        <w:t xml:space="preserve">                                                       </w:t>
      </w:r>
    </w:p>
    <w:p w14:paraId="1C9ADA09">
      <w:pPr>
        <w:pStyle w:val="67"/>
        <w:rPr>
          <w:rFonts w:ascii="宋体" w:hAnsi="宋体" w:eastAsia="宋体" w:cs="宋体"/>
          <w:color w:val="auto"/>
          <w:highlight w:val="none"/>
          <w:u w:val="dotted"/>
        </w:rPr>
      </w:pPr>
      <w:r>
        <w:rPr>
          <w:rFonts w:hint="eastAsia" w:ascii="宋体" w:hAnsi="宋体" w:eastAsia="宋体" w:cs="宋体"/>
          <w:color w:val="auto"/>
          <w:highlight w:val="none"/>
        </w:rPr>
        <w:t>法律依据：</w:t>
      </w:r>
      <w:r>
        <w:rPr>
          <w:rFonts w:hint="eastAsia" w:ascii="宋体" w:hAnsi="宋体" w:eastAsia="宋体" w:cs="宋体"/>
          <w:color w:val="auto"/>
          <w:highlight w:val="none"/>
          <w:u w:val="dotted"/>
        </w:rPr>
        <w:t xml:space="preserve">                                          </w:t>
      </w:r>
    </w:p>
    <w:p w14:paraId="50408D25">
      <w:pPr>
        <w:pStyle w:val="67"/>
        <w:rPr>
          <w:rFonts w:ascii="宋体" w:hAnsi="宋体" w:eastAsia="宋体" w:cs="宋体"/>
          <w:color w:val="auto"/>
          <w:highlight w:val="none"/>
          <w:u w:val="dotted"/>
        </w:rPr>
      </w:pPr>
      <w:r>
        <w:rPr>
          <w:rFonts w:hint="eastAsia" w:ascii="宋体" w:hAnsi="宋体" w:eastAsia="宋体" w:cs="宋体"/>
          <w:color w:val="auto"/>
          <w:highlight w:val="none"/>
          <w:u w:val="dotted"/>
        </w:rPr>
        <w:t xml:space="preserve">                                                     </w:t>
      </w:r>
    </w:p>
    <w:p w14:paraId="7058E0D7">
      <w:pPr>
        <w:pStyle w:val="67"/>
        <w:rPr>
          <w:rFonts w:ascii="宋体" w:hAnsi="宋体" w:eastAsia="宋体" w:cs="宋体"/>
          <w:color w:val="auto"/>
          <w:highlight w:val="none"/>
          <w:u w:val="dotted"/>
        </w:rPr>
      </w:pPr>
      <w:r>
        <w:rPr>
          <w:rFonts w:hint="eastAsia" w:ascii="宋体" w:hAnsi="宋体" w:eastAsia="宋体" w:cs="宋体"/>
          <w:color w:val="auto"/>
          <w:highlight w:val="none"/>
        </w:rPr>
        <w:t>质疑事项2</w:t>
      </w:r>
    </w:p>
    <w:p w14:paraId="2A7598CE">
      <w:pPr>
        <w:pStyle w:val="67"/>
        <w:rPr>
          <w:rFonts w:ascii="宋体" w:hAnsi="宋体" w:eastAsia="宋体" w:cs="宋体"/>
          <w:color w:val="auto"/>
          <w:highlight w:val="none"/>
        </w:rPr>
      </w:pPr>
      <w:r>
        <w:rPr>
          <w:rFonts w:hint="eastAsia" w:ascii="宋体" w:hAnsi="宋体" w:eastAsia="宋体" w:cs="宋体"/>
          <w:color w:val="auto"/>
          <w:highlight w:val="none"/>
        </w:rPr>
        <w:t>……</w:t>
      </w:r>
    </w:p>
    <w:p w14:paraId="2E79DF3E">
      <w:pPr>
        <w:pStyle w:val="67"/>
        <w:rPr>
          <w:rFonts w:ascii="宋体" w:hAnsi="宋体" w:eastAsia="宋体" w:cs="宋体"/>
          <w:color w:val="auto"/>
          <w:highlight w:val="none"/>
        </w:rPr>
      </w:pPr>
      <w:r>
        <w:rPr>
          <w:rFonts w:hint="eastAsia" w:ascii="宋体" w:hAnsi="宋体" w:eastAsia="宋体" w:cs="宋体"/>
          <w:color w:val="auto"/>
          <w:highlight w:val="none"/>
        </w:rPr>
        <w:t>四、与质疑事项相关的质疑请求</w:t>
      </w:r>
    </w:p>
    <w:p w14:paraId="28DDA30E">
      <w:pPr>
        <w:pStyle w:val="67"/>
        <w:rPr>
          <w:rFonts w:ascii="宋体" w:hAnsi="宋体" w:eastAsia="宋体" w:cs="宋体"/>
          <w:color w:val="auto"/>
          <w:highlight w:val="none"/>
          <w:u w:val="dotted"/>
        </w:rPr>
      </w:pPr>
      <w:r>
        <w:rPr>
          <w:rFonts w:hint="eastAsia" w:ascii="宋体" w:hAnsi="宋体" w:eastAsia="宋体" w:cs="宋体"/>
          <w:color w:val="auto"/>
          <w:highlight w:val="none"/>
        </w:rPr>
        <w:t>请求：</w:t>
      </w:r>
      <w:r>
        <w:rPr>
          <w:rFonts w:hint="eastAsia" w:ascii="宋体" w:hAnsi="宋体" w:eastAsia="宋体" w:cs="宋体"/>
          <w:color w:val="auto"/>
          <w:highlight w:val="none"/>
          <w:u w:val="dotted"/>
        </w:rPr>
        <w:t xml:space="preserve">                                               </w:t>
      </w:r>
    </w:p>
    <w:p w14:paraId="106A5173">
      <w:pPr>
        <w:pStyle w:val="67"/>
        <w:rPr>
          <w:rFonts w:ascii="宋体" w:hAnsi="宋体" w:eastAsia="宋体" w:cs="宋体"/>
          <w:color w:val="auto"/>
          <w:highlight w:val="none"/>
        </w:rPr>
      </w:pPr>
      <w:r>
        <w:rPr>
          <w:rFonts w:hint="eastAsia" w:ascii="宋体" w:hAnsi="宋体" w:eastAsia="宋体" w:cs="宋体"/>
          <w:color w:val="auto"/>
          <w:highlight w:val="none"/>
        </w:rPr>
        <w:t xml:space="preserve">签字（签章）：                   公章：                      </w:t>
      </w:r>
    </w:p>
    <w:p w14:paraId="1FC0BDAA">
      <w:pPr>
        <w:pStyle w:val="67"/>
        <w:rPr>
          <w:rFonts w:ascii="宋体" w:hAnsi="宋体" w:eastAsia="宋体" w:cs="宋体"/>
          <w:color w:val="auto"/>
          <w:highlight w:val="none"/>
        </w:rPr>
      </w:pPr>
      <w:r>
        <w:rPr>
          <w:rFonts w:hint="eastAsia" w:ascii="宋体" w:hAnsi="宋体" w:eastAsia="宋体" w:cs="宋体"/>
          <w:color w:val="auto"/>
          <w:highlight w:val="none"/>
        </w:rPr>
        <w:t xml:space="preserve">日期：    </w:t>
      </w:r>
    </w:p>
    <w:p w14:paraId="51FD7FE1">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质疑函制作说明：</w:t>
      </w:r>
    </w:p>
    <w:p w14:paraId="18504D45">
      <w:pPr>
        <w:pStyle w:val="67"/>
        <w:rPr>
          <w:rFonts w:ascii="宋体" w:hAnsi="宋体" w:eastAsia="宋体" w:cs="宋体"/>
          <w:color w:val="auto"/>
          <w:highlight w:val="none"/>
        </w:rPr>
      </w:pPr>
      <w:r>
        <w:rPr>
          <w:rFonts w:hint="eastAsia" w:ascii="宋体" w:hAnsi="宋体" w:eastAsia="宋体" w:cs="宋体"/>
          <w:color w:val="auto"/>
          <w:highlight w:val="none"/>
        </w:rPr>
        <w:t>1.供应商提出质疑时，应提交质疑函和必要的证明材料。</w:t>
      </w:r>
    </w:p>
    <w:p w14:paraId="7FF63810">
      <w:pPr>
        <w:pStyle w:val="67"/>
        <w:rPr>
          <w:rFonts w:ascii="宋体" w:hAnsi="宋体" w:eastAsia="宋体" w:cs="宋体"/>
          <w:color w:val="auto"/>
          <w:highlight w:val="none"/>
        </w:rPr>
      </w:pPr>
      <w:r>
        <w:rPr>
          <w:rFonts w:hint="eastAsia" w:ascii="宋体" w:hAnsi="宋体" w:eastAsia="宋体" w:cs="宋体"/>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1AD9126">
      <w:pPr>
        <w:pStyle w:val="67"/>
        <w:rPr>
          <w:rFonts w:ascii="宋体" w:hAnsi="宋体" w:eastAsia="宋体" w:cs="宋体"/>
          <w:color w:val="auto"/>
          <w:highlight w:val="none"/>
        </w:rPr>
      </w:pPr>
      <w:r>
        <w:rPr>
          <w:rFonts w:hint="eastAsia" w:ascii="宋体" w:hAnsi="宋体" w:eastAsia="宋体" w:cs="宋体"/>
          <w:color w:val="auto"/>
          <w:highlight w:val="none"/>
        </w:rPr>
        <w:t>3.质疑供应商若对项目的某一分包进行质疑，质疑函中应列明具体分包号。</w:t>
      </w:r>
    </w:p>
    <w:p w14:paraId="4F3717C5">
      <w:pPr>
        <w:pStyle w:val="67"/>
        <w:rPr>
          <w:rFonts w:ascii="宋体" w:hAnsi="宋体" w:eastAsia="宋体" w:cs="宋体"/>
          <w:color w:val="auto"/>
          <w:highlight w:val="none"/>
        </w:rPr>
      </w:pPr>
      <w:r>
        <w:rPr>
          <w:rFonts w:hint="eastAsia" w:ascii="宋体" w:hAnsi="宋体" w:eastAsia="宋体" w:cs="宋体"/>
          <w:color w:val="auto"/>
          <w:highlight w:val="none"/>
        </w:rPr>
        <w:t>4.质疑函的质疑事项应具体、明确，并有必要的事实依据和法律依据。</w:t>
      </w:r>
    </w:p>
    <w:p w14:paraId="57B1DFC5">
      <w:pPr>
        <w:pStyle w:val="67"/>
        <w:rPr>
          <w:rFonts w:ascii="宋体" w:hAnsi="宋体" w:eastAsia="宋体" w:cs="宋体"/>
          <w:color w:val="auto"/>
          <w:highlight w:val="none"/>
        </w:rPr>
      </w:pPr>
      <w:r>
        <w:rPr>
          <w:rFonts w:hint="eastAsia" w:ascii="宋体" w:hAnsi="宋体" w:eastAsia="宋体" w:cs="宋体"/>
          <w:color w:val="auto"/>
          <w:highlight w:val="none"/>
        </w:rPr>
        <w:t>5.质疑函的质疑请求应与质疑事项相关。</w:t>
      </w:r>
    </w:p>
    <w:p w14:paraId="4862FFCC">
      <w:pPr>
        <w:pStyle w:val="67"/>
        <w:rPr>
          <w:rFonts w:ascii="宋体" w:hAnsi="宋体" w:eastAsia="宋体" w:cs="宋体"/>
          <w:color w:val="auto"/>
          <w:highlight w:val="none"/>
        </w:rPr>
      </w:pPr>
      <w:r>
        <w:rPr>
          <w:rFonts w:hint="eastAsia" w:ascii="宋体" w:hAnsi="宋体" w:eastAsia="宋体" w:cs="宋体"/>
          <w:color w:val="auto"/>
          <w:highlight w:val="none"/>
        </w:rPr>
        <w:t>6.质疑供应商为自然人的，质疑函应由本人签字；质疑供应商为法人或者其他组织的，质疑函应由法定代表人、主要负责人，或者其授权代表签字或者盖章，并加盖公章。</w:t>
      </w:r>
    </w:p>
    <w:p w14:paraId="59419731">
      <w:pPr>
        <w:spacing w:line="360" w:lineRule="auto"/>
        <w:ind w:firstLine="600" w:firstLineChars="200"/>
        <w:rPr>
          <w:rFonts w:ascii="宋体" w:hAnsi="宋体" w:eastAsia="宋体" w:cs="宋体"/>
          <w:color w:val="auto"/>
          <w:sz w:val="30"/>
          <w:szCs w:val="30"/>
          <w:highlight w:val="none"/>
        </w:rPr>
      </w:pPr>
    </w:p>
    <w:p w14:paraId="0F646A4C">
      <w:pPr>
        <w:spacing w:line="360" w:lineRule="auto"/>
        <w:jc w:val="center"/>
        <w:rPr>
          <w:rFonts w:ascii="宋体" w:hAnsi="宋体" w:eastAsia="宋体" w:cs="宋体"/>
          <w:b/>
          <w:color w:val="auto"/>
          <w:spacing w:val="6"/>
          <w:sz w:val="32"/>
          <w:szCs w:val="32"/>
          <w:highlight w:val="none"/>
        </w:rPr>
      </w:pPr>
    </w:p>
    <w:p w14:paraId="3A4A9590">
      <w:pPr>
        <w:spacing w:line="276" w:lineRule="auto"/>
        <w:rPr>
          <w:rFonts w:ascii="宋体" w:hAnsi="宋体" w:eastAsia="宋体" w:cs="宋体"/>
          <w:b/>
          <w:smallCaps/>
          <w:color w:val="auto"/>
          <w:spacing w:val="6"/>
          <w:sz w:val="28"/>
          <w:szCs w:val="28"/>
          <w:highlight w:val="none"/>
        </w:rPr>
      </w:pPr>
      <w:r>
        <w:rPr>
          <w:rFonts w:hint="eastAsia" w:ascii="宋体" w:hAnsi="宋体" w:eastAsia="宋体" w:cs="宋体"/>
          <w:b/>
          <w:smallCaps/>
          <w:color w:val="auto"/>
          <w:spacing w:val="6"/>
          <w:sz w:val="28"/>
          <w:szCs w:val="28"/>
          <w:highlight w:val="none"/>
        </w:rPr>
        <w:t>附件2：投诉书范本及制作说明</w:t>
      </w:r>
    </w:p>
    <w:p w14:paraId="00F65F06">
      <w:pPr>
        <w:jc w:val="both"/>
        <w:rPr>
          <w:rFonts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71E37E9C">
      <w:pPr>
        <w:jc w:val="both"/>
        <w:rPr>
          <w:rFonts w:ascii="宋体" w:hAnsi="宋体" w:eastAsia="宋体" w:cs="宋体"/>
          <w:color w:val="auto"/>
          <w:highlight w:val="none"/>
        </w:rPr>
      </w:pPr>
      <w:r>
        <w:rPr>
          <w:rFonts w:hint="eastAsia" w:ascii="宋体" w:hAnsi="宋体" w:eastAsia="宋体" w:cs="宋体"/>
          <w:color w:val="auto"/>
          <w:highlight w:val="none"/>
        </w:rPr>
        <w:t>一、投诉相关主体基本情况</w:t>
      </w:r>
    </w:p>
    <w:p w14:paraId="43416A2A">
      <w:pPr>
        <w:jc w:val="both"/>
        <w:rPr>
          <w:rFonts w:ascii="宋体" w:hAnsi="宋体" w:eastAsia="宋体" w:cs="宋体"/>
          <w:color w:val="auto"/>
          <w:highlight w:val="none"/>
          <w:u w:val="dotted"/>
        </w:rPr>
      </w:pPr>
      <w:r>
        <w:rPr>
          <w:rFonts w:hint="eastAsia" w:ascii="宋体" w:hAnsi="宋体" w:eastAsia="宋体" w:cs="宋体"/>
          <w:color w:val="auto"/>
          <w:highlight w:val="none"/>
        </w:rPr>
        <w:t>投诉人：</w:t>
      </w:r>
      <w:r>
        <w:rPr>
          <w:rFonts w:hint="eastAsia" w:ascii="宋体" w:hAnsi="宋体" w:eastAsia="宋体" w:cs="宋体"/>
          <w:color w:val="auto"/>
          <w:highlight w:val="none"/>
          <w:u w:val="dotted"/>
        </w:rPr>
        <w:t xml:space="preserve">                                               </w:t>
      </w:r>
    </w:p>
    <w:p w14:paraId="02FB9135">
      <w:pPr>
        <w:jc w:val="both"/>
        <w:rPr>
          <w:rFonts w:ascii="宋体" w:hAnsi="宋体" w:eastAsia="宋体" w:cs="宋体"/>
          <w:color w:val="auto"/>
          <w:highlight w:val="none"/>
          <w:u w:val="single"/>
        </w:rPr>
      </w:pPr>
      <w:r>
        <w:rPr>
          <w:rFonts w:hint="eastAsia" w:ascii="宋体" w:hAnsi="宋体" w:eastAsia="宋体" w:cs="宋体"/>
          <w:color w:val="auto"/>
          <w:highlight w:val="none"/>
        </w:rPr>
        <w:t>地     址：</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5C1F10B5">
      <w:pPr>
        <w:tabs>
          <w:tab w:val="left" w:pos="6510"/>
        </w:tabs>
        <w:jc w:val="both"/>
        <w:rPr>
          <w:rFonts w:ascii="宋体" w:hAnsi="宋体" w:eastAsia="宋体" w:cs="宋体"/>
          <w:color w:val="auto"/>
          <w:highlight w:val="none"/>
        </w:rPr>
      </w:pPr>
      <w:r>
        <w:rPr>
          <w:rFonts w:hint="eastAsia" w:ascii="宋体" w:hAnsi="宋体" w:eastAsia="宋体" w:cs="宋体"/>
          <w:color w:val="auto"/>
          <w:highlight w:val="none"/>
        </w:rPr>
        <w:t>法定代表人/主要负责人：</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 xml:space="preserve">  </w:t>
      </w:r>
    </w:p>
    <w:p w14:paraId="158F72B9">
      <w:pPr>
        <w:tabs>
          <w:tab w:val="left" w:pos="6510"/>
        </w:tabs>
        <w:jc w:val="both"/>
        <w:rPr>
          <w:rFonts w:ascii="宋体" w:hAnsi="宋体" w:eastAsia="宋体" w:cs="宋体"/>
          <w:color w:val="auto"/>
          <w:highlight w:val="none"/>
          <w:u w:val="dotted"/>
        </w:rPr>
      </w:pP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p>
    <w:p w14:paraId="0D363AF9">
      <w:pPr>
        <w:jc w:val="both"/>
        <w:rPr>
          <w:rFonts w:ascii="宋体" w:hAnsi="宋体" w:eastAsia="宋体" w:cs="宋体"/>
          <w:color w:val="auto"/>
          <w:highlight w:val="none"/>
          <w:u w:val="dotted"/>
        </w:rPr>
      </w:pPr>
      <w:r>
        <w:rPr>
          <w:rFonts w:hint="eastAsia" w:ascii="宋体" w:hAnsi="宋体" w:eastAsia="宋体" w:cs="宋体"/>
          <w:color w:val="auto"/>
          <w:highlight w:val="none"/>
        </w:rPr>
        <w:t>授权代表：</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p>
    <w:p w14:paraId="4FAFC93B">
      <w:pPr>
        <w:jc w:val="both"/>
        <w:rPr>
          <w:rFonts w:ascii="宋体" w:hAnsi="宋体" w:eastAsia="宋体" w:cs="宋体"/>
          <w:color w:val="auto"/>
          <w:highlight w:val="none"/>
          <w:u w:val="dotted"/>
        </w:rPr>
      </w:pPr>
      <w:r>
        <w:rPr>
          <w:rFonts w:hint="eastAsia" w:ascii="宋体" w:hAnsi="宋体" w:eastAsia="宋体" w:cs="宋体"/>
          <w:color w:val="auto"/>
          <w:highlight w:val="none"/>
        </w:rPr>
        <w:t>地     址：</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dotted"/>
        </w:rPr>
        <w:t xml:space="preserve">                   </w:t>
      </w:r>
    </w:p>
    <w:p w14:paraId="7AFE9D8E">
      <w:pPr>
        <w:jc w:val="both"/>
        <w:rPr>
          <w:rFonts w:ascii="宋体" w:hAnsi="宋体" w:eastAsia="宋体" w:cs="宋体"/>
          <w:color w:val="auto"/>
          <w:highlight w:val="none"/>
          <w:u w:val="single"/>
        </w:rPr>
      </w:pPr>
      <w:r>
        <w:rPr>
          <w:rFonts w:hint="eastAsia" w:ascii="宋体" w:hAnsi="宋体" w:eastAsia="宋体" w:cs="宋体"/>
          <w:color w:val="auto"/>
          <w:highlight w:val="none"/>
        </w:rPr>
        <w:t>被投诉人1：</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132A6835">
      <w:pPr>
        <w:jc w:val="both"/>
        <w:rPr>
          <w:rFonts w:ascii="宋体" w:hAnsi="宋体" w:eastAsia="宋体" w:cs="宋体"/>
          <w:color w:val="auto"/>
          <w:highlight w:val="none"/>
          <w:u w:val="single"/>
        </w:rPr>
      </w:pPr>
      <w:r>
        <w:rPr>
          <w:rFonts w:hint="eastAsia" w:ascii="宋体" w:hAnsi="宋体" w:eastAsia="宋体" w:cs="宋体"/>
          <w:color w:val="auto"/>
          <w:highlight w:val="none"/>
        </w:rPr>
        <w:t>地     址：</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25D33EB5">
      <w:pPr>
        <w:jc w:val="both"/>
        <w:rPr>
          <w:rFonts w:ascii="宋体" w:hAnsi="宋体" w:eastAsia="宋体" w:cs="宋体"/>
          <w:color w:val="auto"/>
          <w:highlight w:val="none"/>
          <w:u w:val="single"/>
        </w:rPr>
      </w:pPr>
      <w:r>
        <w:rPr>
          <w:rFonts w:hint="eastAsia" w:ascii="宋体" w:hAnsi="宋体" w:eastAsia="宋体" w:cs="宋体"/>
          <w:color w:val="auto"/>
          <w:highlight w:val="none"/>
        </w:rPr>
        <w:t>联系人：</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4B49AAC5">
      <w:pPr>
        <w:jc w:val="both"/>
        <w:rPr>
          <w:rFonts w:ascii="宋体" w:hAnsi="宋体" w:eastAsia="宋体" w:cs="宋体"/>
          <w:color w:val="auto"/>
          <w:highlight w:val="none"/>
        </w:rPr>
      </w:pPr>
      <w:r>
        <w:rPr>
          <w:rFonts w:hint="eastAsia" w:ascii="宋体" w:hAnsi="宋体" w:eastAsia="宋体" w:cs="宋体"/>
          <w:color w:val="auto"/>
          <w:highlight w:val="none"/>
        </w:rPr>
        <w:t>被投诉人2：</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267CE98B">
      <w:pPr>
        <w:jc w:val="both"/>
        <w:rPr>
          <w:rFonts w:ascii="宋体" w:hAnsi="宋体" w:eastAsia="宋体" w:cs="宋体"/>
          <w:color w:val="auto"/>
          <w:highlight w:val="none"/>
          <w:u w:val="single"/>
        </w:rPr>
      </w:pPr>
      <w:r>
        <w:rPr>
          <w:rFonts w:hint="eastAsia" w:ascii="宋体" w:hAnsi="宋体" w:eastAsia="宋体" w:cs="宋体"/>
          <w:color w:val="auto"/>
          <w:highlight w:val="none"/>
        </w:rPr>
        <w:t>相关供应商：</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5988B9AA">
      <w:pPr>
        <w:jc w:val="both"/>
        <w:rPr>
          <w:rFonts w:ascii="宋体" w:hAnsi="宋体" w:eastAsia="宋体" w:cs="宋体"/>
          <w:color w:val="auto"/>
          <w:highlight w:val="none"/>
          <w:u w:val="single"/>
        </w:rPr>
      </w:pPr>
      <w:r>
        <w:rPr>
          <w:rFonts w:hint="eastAsia" w:ascii="宋体" w:hAnsi="宋体" w:eastAsia="宋体" w:cs="宋体"/>
          <w:color w:val="auto"/>
          <w:highlight w:val="none"/>
        </w:rPr>
        <w:t>地     址：</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0EB31F59">
      <w:pPr>
        <w:jc w:val="both"/>
        <w:rPr>
          <w:rFonts w:ascii="宋体" w:hAnsi="宋体" w:eastAsia="宋体" w:cs="宋体"/>
          <w:color w:val="auto"/>
          <w:highlight w:val="none"/>
          <w:u w:val="single"/>
        </w:rPr>
      </w:pPr>
      <w:r>
        <w:rPr>
          <w:rFonts w:hint="eastAsia" w:ascii="宋体" w:hAnsi="宋体" w:eastAsia="宋体" w:cs="宋体"/>
          <w:color w:val="auto"/>
          <w:highlight w:val="none"/>
        </w:rPr>
        <w:t>联系人：</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75C5F924">
      <w:pPr>
        <w:jc w:val="both"/>
        <w:rPr>
          <w:rFonts w:ascii="宋体" w:hAnsi="宋体" w:eastAsia="宋体" w:cs="宋体"/>
          <w:color w:val="auto"/>
          <w:highlight w:val="none"/>
        </w:rPr>
      </w:pPr>
      <w:r>
        <w:rPr>
          <w:rFonts w:hint="eastAsia" w:ascii="宋体" w:hAnsi="宋体" w:eastAsia="宋体" w:cs="宋体"/>
          <w:color w:val="auto"/>
          <w:highlight w:val="none"/>
        </w:rPr>
        <w:t>二、投诉项目基本情况</w:t>
      </w:r>
    </w:p>
    <w:p w14:paraId="0366AD05">
      <w:pPr>
        <w:jc w:val="both"/>
        <w:rPr>
          <w:rFonts w:ascii="宋体" w:hAnsi="宋体" w:eastAsia="宋体" w:cs="宋体"/>
          <w:color w:val="auto"/>
          <w:highlight w:val="none"/>
          <w:u w:val="dotted"/>
        </w:rPr>
      </w:pPr>
      <w:r>
        <w:rPr>
          <w:rFonts w:hint="eastAsia" w:ascii="宋体" w:hAnsi="宋体" w:eastAsia="宋体" w:cs="宋体"/>
          <w:color w:val="auto"/>
          <w:highlight w:val="none"/>
        </w:rPr>
        <w:t>采购项目名称：</w:t>
      </w:r>
      <w:r>
        <w:rPr>
          <w:rFonts w:hint="eastAsia" w:ascii="宋体" w:hAnsi="宋体" w:eastAsia="宋体" w:cs="宋体"/>
          <w:color w:val="auto"/>
          <w:highlight w:val="none"/>
          <w:u w:val="dotted"/>
        </w:rPr>
        <w:t xml:space="preserve">                                        </w:t>
      </w:r>
    </w:p>
    <w:p w14:paraId="62575BBC">
      <w:pPr>
        <w:jc w:val="both"/>
        <w:rPr>
          <w:rFonts w:ascii="宋体" w:hAnsi="宋体" w:eastAsia="宋体" w:cs="宋体"/>
          <w:color w:val="auto"/>
          <w:highlight w:val="none"/>
          <w:u w:val="single"/>
        </w:rPr>
      </w:pPr>
      <w:r>
        <w:rPr>
          <w:rFonts w:hint="eastAsia" w:ascii="宋体" w:hAnsi="宋体" w:eastAsia="宋体" w:cs="宋体"/>
          <w:color w:val="auto"/>
          <w:highlight w:val="none"/>
        </w:rPr>
        <w:t>项目编号：</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dotted"/>
        </w:rPr>
        <w:t xml:space="preserve">              </w:t>
      </w:r>
    </w:p>
    <w:p w14:paraId="149C8D98">
      <w:pPr>
        <w:jc w:val="both"/>
        <w:rPr>
          <w:rFonts w:ascii="宋体" w:hAnsi="宋体" w:eastAsia="宋体" w:cs="宋体"/>
          <w:color w:val="auto"/>
          <w:highlight w:val="none"/>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u w:val="single"/>
        </w:rPr>
        <w:t xml:space="preserve">  </w:t>
      </w:r>
    </w:p>
    <w:p w14:paraId="24EEBF00">
      <w:pPr>
        <w:jc w:val="both"/>
        <w:rPr>
          <w:rFonts w:ascii="宋体" w:hAnsi="宋体" w:eastAsia="宋体" w:cs="宋体"/>
          <w:color w:val="auto"/>
          <w:highlight w:val="none"/>
          <w:u w:val="single"/>
        </w:rPr>
      </w:pPr>
      <w:r>
        <w:rPr>
          <w:rFonts w:hint="eastAsia" w:ascii="宋体" w:hAnsi="宋体" w:eastAsia="宋体" w:cs="宋体"/>
          <w:color w:val="auto"/>
          <w:highlight w:val="none"/>
        </w:rPr>
        <w:t>代理机构名称：</w:t>
      </w:r>
      <w:r>
        <w:rPr>
          <w:rFonts w:hint="eastAsia" w:ascii="宋体" w:hAnsi="宋体" w:eastAsia="宋体" w:cs="宋体"/>
          <w:color w:val="auto"/>
          <w:highlight w:val="none"/>
          <w:u w:val="dotted"/>
        </w:rPr>
        <w:t xml:space="preserve">                                         </w:t>
      </w:r>
    </w:p>
    <w:p w14:paraId="47C3787A">
      <w:pPr>
        <w:jc w:val="both"/>
        <w:rPr>
          <w:rFonts w:ascii="宋体" w:hAnsi="宋体" w:eastAsia="宋体" w:cs="宋体"/>
          <w:color w:val="auto"/>
          <w:highlight w:val="none"/>
          <w:u w:val="dotted"/>
        </w:rPr>
      </w:pPr>
      <w:r>
        <w:rPr>
          <w:rFonts w:hint="eastAsia" w:ascii="宋体" w:hAnsi="宋体" w:eastAsia="宋体" w:cs="宋体"/>
          <w:color w:val="auto"/>
          <w:highlight w:val="none"/>
        </w:rPr>
        <w:t>采购文件公告：</w:t>
      </w:r>
      <w:r>
        <w:rPr>
          <w:rFonts w:hint="eastAsia" w:ascii="宋体" w:hAnsi="宋体" w:eastAsia="宋体" w:cs="宋体"/>
          <w:color w:val="auto"/>
          <w:highlight w:val="none"/>
          <w:u w:val="dotted"/>
        </w:rPr>
        <w:t xml:space="preserve">是/否 </w:t>
      </w:r>
      <w:r>
        <w:rPr>
          <w:rFonts w:hint="eastAsia" w:ascii="宋体" w:hAnsi="宋体" w:eastAsia="宋体" w:cs="宋体"/>
          <w:color w:val="auto"/>
          <w:highlight w:val="none"/>
        </w:rPr>
        <w:t>公告期限：</w:t>
      </w:r>
      <w:r>
        <w:rPr>
          <w:rFonts w:hint="eastAsia" w:ascii="宋体" w:hAnsi="宋体" w:eastAsia="宋体" w:cs="宋体"/>
          <w:color w:val="auto"/>
          <w:highlight w:val="none"/>
          <w:u w:val="dotted"/>
        </w:rPr>
        <w:t xml:space="preserve">                                 </w:t>
      </w:r>
    </w:p>
    <w:p w14:paraId="02E659BD">
      <w:pPr>
        <w:jc w:val="both"/>
        <w:rPr>
          <w:rFonts w:ascii="宋体" w:hAnsi="宋体" w:eastAsia="宋体" w:cs="宋体"/>
          <w:color w:val="auto"/>
          <w:highlight w:val="none"/>
          <w:u w:val="single"/>
        </w:rPr>
      </w:pPr>
      <w:r>
        <w:rPr>
          <w:rFonts w:hint="eastAsia" w:ascii="宋体" w:hAnsi="宋体" w:eastAsia="宋体" w:cs="宋体"/>
          <w:color w:val="auto"/>
          <w:highlight w:val="none"/>
        </w:rPr>
        <w:t>采购结果公告：</w:t>
      </w:r>
      <w:r>
        <w:rPr>
          <w:rFonts w:hint="eastAsia" w:ascii="宋体" w:hAnsi="宋体" w:eastAsia="宋体" w:cs="宋体"/>
          <w:color w:val="auto"/>
          <w:highlight w:val="none"/>
          <w:u w:val="dotted"/>
        </w:rPr>
        <w:t xml:space="preserve">是/否 </w:t>
      </w:r>
      <w:r>
        <w:rPr>
          <w:rFonts w:hint="eastAsia" w:ascii="宋体" w:hAnsi="宋体" w:eastAsia="宋体" w:cs="宋体"/>
          <w:color w:val="auto"/>
          <w:highlight w:val="none"/>
        </w:rPr>
        <w:t>公告期限：</w:t>
      </w:r>
      <w:r>
        <w:rPr>
          <w:rFonts w:hint="eastAsia" w:ascii="宋体" w:hAnsi="宋体" w:eastAsia="宋体" w:cs="宋体"/>
          <w:color w:val="auto"/>
          <w:highlight w:val="none"/>
          <w:u w:val="dotted"/>
        </w:rPr>
        <w:t xml:space="preserve">                        </w:t>
      </w:r>
    </w:p>
    <w:p w14:paraId="451ACE1D">
      <w:pPr>
        <w:jc w:val="both"/>
        <w:rPr>
          <w:rFonts w:ascii="宋体" w:hAnsi="宋体" w:eastAsia="宋体" w:cs="宋体"/>
          <w:color w:val="auto"/>
          <w:highlight w:val="none"/>
        </w:rPr>
      </w:pPr>
      <w:r>
        <w:rPr>
          <w:rFonts w:hint="eastAsia" w:ascii="宋体" w:hAnsi="宋体" w:eastAsia="宋体" w:cs="宋体"/>
          <w:color w:val="auto"/>
          <w:highlight w:val="none"/>
        </w:rPr>
        <w:t>三、质疑基本情况</w:t>
      </w:r>
    </w:p>
    <w:p w14:paraId="5DE4164E">
      <w:pPr>
        <w:ind w:firstLine="480" w:firstLineChars="200"/>
        <w:jc w:val="both"/>
        <w:rPr>
          <w:rFonts w:ascii="宋体" w:hAnsi="宋体" w:eastAsia="宋体" w:cs="宋体"/>
          <w:color w:val="auto"/>
          <w:highlight w:val="none"/>
          <w:u w:val="dotted"/>
        </w:rPr>
      </w:pPr>
      <w:r>
        <w:rPr>
          <w:rFonts w:hint="eastAsia" w:ascii="宋体" w:hAnsi="宋体" w:eastAsia="宋体" w:cs="宋体"/>
          <w:color w:val="auto"/>
          <w:highlight w:val="none"/>
        </w:rPr>
        <w:t>投诉人于</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日，向</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提出质疑，质疑事项为：</w:t>
      </w:r>
      <w:r>
        <w:rPr>
          <w:rFonts w:hint="eastAsia" w:ascii="宋体" w:hAnsi="宋体" w:eastAsia="宋体" w:cs="宋体"/>
          <w:color w:val="auto"/>
          <w:highlight w:val="none"/>
          <w:u w:val="dotted"/>
        </w:rPr>
        <w:t xml:space="preserve">                                </w:t>
      </w:r>
    </w:p>
    <w:p w14:paraId="2C25A42B">
      <w:pPr>
        <w:jc w:val="both"/>
        <w:rPr>
          <w:rFonts w:ascii="宋体" w:hAnsi="宋体" w:eastAsia="宋体" w:cs="宋体"/>
          <w:color w:val="auto"/>
          <w:highlight w:val="none"/>
          <w:u w:val="dotted"/>
        </w:rPr>
      </w:pP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 xml:space="preserve">  </w:t>
      </w:r>
    </w:p>
    <w:p w14:paraId="270B88D9">
      <w:pPr>
        <w:ind w:firstLine="360" w:firstLineChars="150"/>
        <w:jc w:val="both"/>
        <w:rPr>
          <w:rFonts w:ascii="宋体" w:hAnsi="宋体" w:eastAsia="宋体" w:cs="宋体"/>
          <w:color w:val="auto"/>
          <w:highlight w:val="none"/>
        </w:rPr>
      </w:pPr>
      <w:r>
        <w:rPr>
          <w:rFonts w:hint="eastAsia" w:ascii="宋体" w:hAnsi="宋体" w:eastAsia="宋体" w:cs="宋体"/>
          <w:color w:val="auto"/>
          <w:highlight w:val="none"/>
        </w:rPr>
        <w:t>采购人</w:t>
      </w:r>
      <w:r>
        <w:rPr>
          <w:rFonts w:hint="eastAsia" w:ascii="宋体" w:hAnsi="宋体" w:eastAsia="宋体" w:cs="宋体"/>
          <w:color w:val="auto"/>
          <w:highlight w:val="none"/>
          <w:u w:val="dotted"/>
        </w:rPr>
        <w:t>/代理机构</w:t>
      </w:r>
      <w:r>
        <w:rPr>
          <w:rFonts w:hint="eastAsia" w:ascii="宋体" w:hAnsi="宋体" w:eastAsia="宋体" w:cs="宋体"/>
          <w:color w:val="auto"/>
          <w:highlight w:val="none"/>
        </w:rPr>
        <w:t>于</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日，就质疑事项作出了答复/没有在法定期限内作出答复。</w:t>
      </w:r>
    </w:p>
    <w:p w14:paraId="2DCBC174">
      <w:pPr>
        <w:jc w:val="both"/>
        <w:rPr>
          <w:rFonts w:ascii="宋体" w:hAnsi="宋体" w:eastAsia="宋体" w:cs="宋体"/>
          <w:color w:val="auto"/>
          <w:highlight w:val="none"/>
        </w:rPr>
      </w:pPr>
      <w:r>
        <w:rPr>
          <w:rFonts w:hint="eastAsia" w:ascii="宋体" w:hAnsi="宋体" w:eastAsia="宋体" w:cs="宋体"/>
          <w:color w:val="auto"/>
          <w:highlight w:val="none"/>
        </w:rPr>
        <w:t>四、投诉事项具体内容</w:t>
      </w:r>
    </w:p>
    <w:p w14:paraId="2113F4A7">
      <w:pPr>
        <w:jc w:val="both"/>
        <w:rPr>
          <w:rFonts w:ascii="宋体" w:hAnsi="宋体" w:eastAsia="宋体" w:cs="宋体"/>
          <w:color w:val="auto"/>
          <w:highlight w:val="none"/>
          <w:u w:val="single"/>
        </w:rPr>
      </w:pPr>
      <w:r>
        <w:rPr>
          <w:rFonts w:hint="eastAsia" w:ascii="宋体" w:hAnsi="宋体" w:eastAsia="宋体" w:cs="宋体"/>
          <w:color w:val="auto"/>
          <w:highlight w:val="none"/>
        </w:rPr>
        <w:t>投诉事项 1：</w:t>
      </w:r>
      <w:r>
        <w:rPr>
          <w:rFonts w:hint="eastAsia" w:ascii="宋体" w:hAnsi="宋体" w:eastAsia="宋体" w:cs="宋体"/>
          <w:color w:val="auto"/>
          <w:highlight w:val="none"/>
          <w:u w:val="dotted"/>
        </w:rPr>
        <w:t xml:space="preserve">                                       </w:t>
      </w:r>
    </w:p>
    <w:p w14:paraId="417BE18C">
      <w:pPr>
        <w:jc w:val="both"/>
        <w:rPr>
          <w:rFonts w:ascii="宋体" w:hAnsi="宋体" w:eastAsia="宋体" w:cs="宋体"/>
          <w:color w:val="auto"/>
          <w:highlight w:val="none"/>
        </w:rPr>
      </w:pPr>
      <w:r>
        <w:rPr>
          <w:rFonts w:hint="eastAsia" w:ascii="宋体" w:hAnsi="宋体" w:eastAsia="宋体" w:cs="宋体"/>
          <w:color w:val="auto"/>
          <w:highlight w:val="none"/>
        </w:rPr>
        <w:t>事实依据：</w:t>
      </w:r>
      <w:r>
        <w:rPr>
          <w:rFonts w:hint="eastAsia" w:ascii="宋体" w:hAnsi="宋体" w:eastAsia="宋体" w:cs="宋体"/>
          <w:color w:val="auto"/>
          <w:highlight w:val="none"/>
          <w:u w:val="dotted"/>
        </w:rPr>
        <w:t xml:space="preserve">                                         </w:t>
      </w:r>
    </w:p>
    <w:p w14:paraId="3715A941">
      <w:pPr>
        <w:jc w:val="both"/>
        <w:rPr>
          <w:rFonts w:ascii="宋体" w:hAnsi="宋体" w:eastAsia="宋体" w:cs="宋体"/>
          <w:color w:val="auto"/>
          <w:highlight w:val="none"/>
          <w:u w:val="single"/>
        </w:rPr>
      </w:pPr>
      <w:r>
        <w:rPr>
          <w:rFonts w:hint="eastAsia" w:ascii="宋体" w:hAnsi="宋体" w:eastAsia="宋体" w:cs="宋体"/>
          <w:color w:val="auto"/>
          <w:highlight w:val="none"/>
        </w:rPr>
        <w:t>法律依据：</w:t>
      </w:r>
      <w:r>
        <w:rPr>
          <w:rFonts w:hint="eastAsia" w:ascii="宋体" w:hAnsi="宋体" w:eastAsia="宋体" w:cs="宋体"/>
          <w:color w:val="auto"/>
          <w:highlight w:val="none"/>
          <w:u w:val="dotted"/>
        </w:rPr>
        <w:t xml:space="preserve">                                          </w:t>
      </w:r>
    </w:p>
    <w:p w14:paraId="2ED216B9">
      <w:pPr>
        <w:jc w:val="both"/>
        <w:rPr>
          <w:rFonts w:ascii="宋体" w:hAnsi="宋体" w:eastAsia="宋体" w:cs="宋体"/>
          <w:color w:val="auto"/>
          <w:highlight w:val="none"/>
        </w:rPr>
      </w:pPr>
      <w:r>
        <w:rPr>
          <w:rFonts w:hint="eastAsia" w:ascii="宋体" w:hAnsi="宋体" w:eastAsia="宋体" w:cs="宋体"/>
          <w:color w:val="auto"/>
          <w:highlight w:val="none"/>
        </w:rPr>
        <w:t>投诉事项2</w:t>
      </w:r>
    </w:p>
    <w:p w14:paraId="6230F651">
      <w:pPr>
        <w:jc w:val="both"/>
        <w:rPr>
          <w:rFonts w:ascii="宋体" w:hAnsi="宋体" w:eastAsia="宋体" w:cs="宋体"/>
          <w:color w:val="auto"/>
          <w:highlight w:val="none"/>
          <w:u w:val="dotted"/>
        </w:rPr>
      </w:pPr>
      <w:r>
        <w:rPr>
          <w:rFonts w:hint="eastAsia" w:ascii="宋体" w:hAnsi="宋体" w:eastAsia="宋体" w:cs="宋体"/>
          <w:color w:val="auto"/>
          <w:highlight w:val="none"/>
        </w:rPr>
        <w:t>……</w:t>
      </w:r>
    </w:p>
    <w:p w14:paraId="05581703">
      <w:pPr>
        <w:jc w:val="both"/>
        <w:rPr>
          <w:rFonts w:ascii="宋体" w:hAnsi="宋体" w:eastAsia="宋体" w:cs="宋体"/>
          <w:color w:val="auto"/>
          <w:highlight w:val="none"/>
        </w:rPr>
      </w:pPr>
      <w:r>
        <w:rPr>
          <w:rFonts w:hint="eastAsia" w:ascii="宋体" w:hAnsi="宋体" w:eastAsia="宋体" w:cs="宋体"/>
          <w:color w:val="auto"/>
          <w:highlight w:val="none"/>
        </w:rPr>
        <w:t>五、与投诉事项相关的投诉请求</w:t>
      </w:r>
    </w:p>
    <w:p w14:paraId="76F52A84">
      <w:pPr>
        <w:jc w:val="both"/>
        <w:rPr>
          <w:rFonts w:ascii="宋体" w:hAnsi="宋体" w:eastAsia="宋体" w:cs="宋体"/>
          <w:color w:val="auto"/>
          <w:highlight w:val="none"/>
          <w:u w:val="single"/>
        </w:rPr>
      </w:pPr>
      <w:r>
        <w:rPr>
          <w:rFonts w:hint="eastAsia" w:ascii="宋体" w:hAnsi="宋体" w:eastAsia="宋体" w:cs="宋体"/>
          <w:color w:val="auto"/>
          <w:highlight w:val="none"/>
        </w:rPr>
        <w:t>请求：</w:t>
      </w:r>
      <w:r>
        <w:rPr>
          <w:rFonts w:hint="eastAsia" w:ascii="宋体" w:hAnsi="宋体" w:eastAsia="宋体" w:cs="宋体"/>
          <w:color w:val="auto"/>
          <w:highlight w:val="none"/>
          <w:u w:val="dotted"/>
        </w:rPr>
        <w:t xml:space="preserve">                                              </w:t>
      </w:r>
      <w:r>
        <w:rPr>
          <w:rFonts w:hint="eastAsia" w:ascii="宋体" w:hAnsi="宋体" w:eastAsia="宋体" w:cs="宋体"/>
          <w:color w:val="auto"/>
          <w:highlight w:val="none"/>
        </w:rPr>
        <w:t xml:space="preserve">           </w:t>
      </w:r>
    </w:p>
    <w:p w14:paraId="7F896F1B">
      <w:pPr>
        <w:jc w:val="both"/>
        <w:rPr>
          <w:rFonts w:ascii="宋体" w:hAnsi="宋体" w:eastAsia="宋体" w:cs="宋体"/>
          <w:color w:val="auto"/>
          <w:highlight w:val="none"/>
        </w:rPr>
      </w:pPr>
      <w:r>
        <w:rPr>
          <w:rFonts w:hint="eastAsia" w:ascii="宋体" w:hAnsi="宋体" w:eastAsia="宋体" w:cs="宋体"/>
          <w:color w:val="auto"/>
          <w:highlight w:val="none"/>
        </w:rPr>
        <w:t xml:space="preserve">签字（签章）：                   公章：                      </w:t>
      </w:r>
    </w:p>
    <w:p w14:paraId="7117EEA0">
      <w:pPr>
        <w:jc w:val="both"/>
        <w:rPr>
          <w:rFonts w:ascii="宋体" w:hAnsi="宋体" w:eastAsia="宋体" w:cs="宋体"/>
          <w:color w:val="auto"/>
          <w:highlight w:val="none"/>
        </w:rPr>
      </w:pPr>
      <w:r>
        <w:rPr>
          <w:rFonts w:hint="eastAsia" w:ascii="宋体" w:hAnsi="宋体" w:eastAsia="宋体" w:cs="宋体"/>
          <w:color w:val="auto"/>
          <w:highlight w:val="none"/>
        </w:rPr>
        <w:t xml:space="preserve">日期：    </w:t>
      </w:r>
    </w:p>
    <w:p w14:paraId="4A0BFA4A">
      <w:pPr>
        <w:jc w:val="both"/>
        <w:rPr>
          <w:rFonts w:ascii="宋体" w:hAnsi="宋体" w:eastAsia="宋体" w:cs="宋体"/>
          <w:b/>
          <w:color w:val="auto"/>
          <w:highlight w:val="none"/>
        </w:rPr>
      </w:pPr>
      <w:r>
        <w:rPr>
          <w:rFonts w:hint="eastAsia" w:ascii="宋体" w:hAnsi="宋体" w:eastAsia="宋体" w:cs="宋体"/>
          <w:b/>
          <w:color w:val="auto"/>
          <w:highlight w:val="none"/>
        </w:rPr>
        <w:t>投诉书制作说明：</w:t>
      </w:r>
    </w:p>
    <w:p w14:paraId="2B7B21B7">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1.投诉人提起投诉时，应当提交投诉书和必要的证明材料，并按照被投诉人和与投诉事项有关的供应商数量提供投诉书副本。</w:t>
      </w:r>
    </w:p>
    <w:p w14:paraId="1A4EB05C">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26D85DBA">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3.投诉人若对项目的某一分包进行投诉，投诉书应列明具体分包号。</w:t>
      </w:r>
    </w:p>
    <w:p w14:paraId="36A92D37">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4.投诉书应简要列明质疑事项，质疑函、质疑答复等作为附件材料提供。</w:t>
      </w:r>
    </w:p>
    <w:p w14:paraId="66A04A78">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5.投诉书的投诉事项应具体、明确，并有必要的事实依据和法律依据。</w:t>
      </w:r>
    </w:p>
    <w:p w14:paraId="4EAA5B91">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6.投诉书的投诉请求应与投诉事项相关。</w:t>
      </w:r>
    </w:p>
    <w:p w14:paraId="41F949E5">
      <w:pPr>
        <w:widowControl w:val="0"/>
        <w:adjustRightInd w:val="0"/>
        <w:spacing w:after="0" w:line="480" w:lineRule="exact"/>
        <w:ind w:firstLine="480" w:firstLineChars="200"/>
        <w:jc w:val="both"/>
        <w:rPr>
          <w:rFonts w:ascii="宋体" w:hAnsi="宋体" w:eastAsia="宋体" w:cs="宋体"/>
          <w:color w:val="auto"/>
          <w:kern w:val="2"/>
          <w:highlight w:val="none"/>
          <w:lang w:val="zh-CN"/>
        </w:rPr>
      </w:pPr>
      <w:r>
        <w:rPr>
          <w:rFonts w:hint="eastAsia" w:ascii="宋体" w:hAnsi="宋体" w:eastAsia="宋体" w:cs="宋体"/>
          <w:color w:val="auto"/>
          <w:kern w:val="2"/>
          <w:highlight w:val="none"/>
          <w:lang w:val="zh-CN"/>
        </w:rPr>
        <w:t>7.投诉人为自然人的，投诉书应当由本人签字；投诉人为法人或者其他组织的，投诉书应当由法定代表人、主要负责人，或者其授权代表签字或者盖章，并加盖公章。</w:t>
      </w:r>
    </w:p>
    <w:p w14:paraId="0F7D0F36">
      <w:pPr>
        <w:spacing w:line="276" w:lineRule="auto"/>
        <w:rPr>
          <w:rFonts w:ascii="宋体" w:hAnsi="宋体" w:eastAsia="宋体" w:cs="宋体"/>
          <w:b/>
          <w:color w:val="auto"/>
          <w:highlight w:val="none"/>
        </w:rPr>
      </w:pPr>
      <w:r>
        <w:rPr>
          <w:rFonts w:hint="eastAsia" w:ascii="宋体" w:hAnsi="宋体" w:eastAsia="宋体" w:cs="宋体"/>
          <w:b/>
          <w:color w:val="auto"/>
          <w:highlight w:val="none"/>
        </w:rPr>
        <w:br w:type="page"/>
      </w:r>
    </w:p>
    <w:p w14:paraId="670A3AA9">
      <w:pPr>
        <w:pStyle w:val="6"/>
        <w:jc w:val="left"/>
        <w:rPr>
          <w:rFonts w:ascii="宋体" w:hAnsi="宋体" w:eastAsia="宋体" w:cs="宋体"/>
          <w:color w:val="auto"/>
          <w:spacing w:val="6"/>
          <w:highlight w:val="none"/>
        </w:rPr>
      </w:pPr>
      <w:r>
        <w:rPr>
          <w:rFonts w:hint="eastAsia" w:ascii="宋体" w:hAnsi="宋体" w:eastAsia="宋体" w:cs="宋体"/>
          <w:color w:val="auto"/>
          <w:spacing w:val="6"/>
          <w:highlight w:val="none"/>
        </w:rPr>
        <w:t>附件3：样品授权委托书</w:t>
      </w:r>
    </w:p>
    <w:p w14:paraId="3A6FD01B">
      <w:pPr>
        <w:spacing w:line="276" w:lineRule="auto"/>
        <w:jc w:val="center"/>
        <w:rPr>
          <w:rFonts w:ascii="宋体" w:hAnsi="宋体" w:eastAsia="宋体" w:cs="宋体"/>
          <w:b/>
          <w:color w:val="auto"/>
          <w:sz w:val="32"/>
          <w:highlight w:val="none"/>
        </w:rPr>
      </w:pPr>
      <w:r>
        <w:rPr>
          <w:rFonts w:hint="eastAsia" w:ascii="宋体" w:hAnsi="宋体" w:eastAsia="宋体" w:cs="宋体"/>
          <w:b/>
          <w:color w:val="auto"/>
          <w:sz w:val="32"/>
          <w:highlight w:val="none"/>
        </w:rPr>
        <w:t>样品授权委托书</w:t>
      </w:r>
    </w:p>
    <w:p w14:paraId="37B3DA95">
      <w:pPr>
        <w:jc w:val="center"/>
        <w:rPr>
          <w:rFonts w:ascii="宋体" w:hAnsi="宋体" w:eastAsia="宋体" w:cs="宋体"/>
          <w:color w:val="auto"/>
          <w:sz w:val="40"/>
          <w:highlight w:val="none"/>
        </w:rPr>
      </w:pPr>
    </w:p>
    <w:p w14:paraId="0724CD5E">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rPr>
        <w:t>XXX（单位名称或采购机构名称）</w:t>
      </w:r>
      <w:r>
        <w:rPr>
          <w:rFonts w:hint="eastAsia" w:ascii="宋体" w:hAnsi="宋体" w:eastAsia="宋体" w:cs="宋体"/>
          <w:color w:val="auto"/>
          <w:highlight w:val="none"/>
          <w:lang w:val="zh-CN"/>
        </w:rPr>
        <w:t>：</w:t>
      </w:r>
    </w:p>
    <w:p w14:paraId="344ED099">
      <w:pPr>
        <w:snapToGrid w:val="0"/>
        <w:spacing w:line="360" w:lineRule="auto"/>
        <w:ind w:left="290" w:leftChars="121" w:firstLine="480" w:firstLineChars="200"/>
        <w:rPr>
          <w:rFonts w:ascii="宋体" w:hAnsi="宋体" w:eastAsia="宋体" w:cs="宋体"/>
          <w:color w:val="auto"/>
          <w:highlight w:val="none"/>
          <w:u w:val="single"/>
          <w:lang w:val="zh-CN"/>
        </w:rPr>
      </w:pPr>
      <w:r>
        <w:rPr>
          <w:rFonts w:hint="eastAsia" w:ascii="宋体" w:hAnsi="宋体" w:eastAsia="宋体" w:cs="宋体"/>
          <w:color w:val="auto"/>
          <w:highlight w:val="none"/>
          <w:lang w:val="zh-CN"/>
        </w:rPr>
        <w:t>兹委派</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先生/女士，身份证号：</w:t>
      </w:r>
      <w:r>
        <w:rPr>
          <w:rFonts w:hint="eastAsia" w:ascii="宋体" w:hAnsi="宋体" w:eastAsia="宋体" w:cs="宋体"/>
          <w:color w:val="auto"/>
          <w:highlight w:val="none"/>
          <w:u w:val="single"/>
          <w:lang w:val="zh-CN"/>
        </w:rPr>
        <w:t xml:space="preserve">                   </w:t>
      </w:r>
    </w:p>
    <w:p w14:paraId="2E5E623E">
      <w:pPr>
        <w:snapToGrid w:val="0"/>
        <w:spacing w:line="360" w:lineRule="auto"/>
        <w:ind w:left="290" w:leftChars="121" w:firstLine="480" w:firstLineChars="200"/>
        <w:rPr>
          <w:rFonts w:ascii="宋体" w:hAnsi="宋体" w:eastAsia="宋体" w:cs="宋体"/>
          <w:color w:val="auto"/>
          <w:highlight w:val="none"/>
        </w:rPr>
      </w:pPr>
      <w:r>
        <w:rPr>
          <w:rFonts w:hint="eastAsia" w:ascii="宋体" w:hAnsi="宋体" w:eastAsia="宋体" w:cs="宋体"/>
          <w:color w:val="auto"/>
          <w:highlight w:val="none"/>
          <w:lang w:val="zh-CN"/>
        </w:rPr>
        <w:t>手机：</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，代表我公司前来递交</w:t>
      </w:r>
      <w:r>
        <w:rPr>
          <w:rFonts w:hint="eastAsia" w:ascii="宋体" w:hAnsi="宋体" w:eastAsia="宋体" w:cs="宋体"/>
          <w:color w:val="auto"/>
          <w:highlight w:val="none"/>
          <w:u w:val="single"/>
          <w:lang w:val="zh-CN"/>
        </w:rPr>
        <w:t xml:space="preserve">                           采购项目</w:t>
      </w:r>
      <w:r>
        <w:rPr>
          <w:rFonts w:hint="eastAsia" w:ascii="宋体" w:hAnsi="宋体" w:eastAsia="宋体" w:cs="宋体"/>
          <w:color w:val="auto"/>
          <w:highlight w:val="none"/>
          <w:lang w:val="zh-CN"/>
        </w:rPr>
        <w:t>【项目编号：              】（标项号：  ）投标样品，并全权负责标后取回样品等其他处理事宜。</w:t>
      </w:r>
    </w:p>
    <w:p w14:paraId="4E435AE4">
      <w:pPr>
        <w:snapToGrid w:val="0"/>
        <w:spacing w:line="360" w:lineRule="auto"/>
        <w:rPr>
          <w:rFonts w:ascii="宋体" w:hAnsi="宋体" w:eastAsia="宋体" w:cs="宋体"/>
          <w:color w:val="auto"/>
          <w:highlight w:val="none"/>
          <w:lang w:val="zh-CN"/>
        </w:rPr>
      </w:pPr>
      <w:r>
        <w:rPr>
          <w:rFonts w:hint="eastAsia" w:ascii="宋体" w:hAnsi="宋体" w:eastAsia="宋体" w:cs="宋体"/>
          <w:color w:val="auto"/>
          <w:highlight w:val="none"/>
          <w:lang w:val="zh-CN"/>
        </w:rPr>
        <w:t xml:space="preserve">  </w:t>
      </w:r>
    </w:p>
    <w:p w14:paraId="312F0BDF">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lang w:val="zh-CN"/>
        </w:rPr>
        <w:t xml:space="preserve">    特此告知。</w:t>
      </w:r>
    </w:p>
    <w:p w14:paraId="42FE881A">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lang w:val="zh-CN"/>
        </w:rPr>
        <w:t xml:space="preserve">                                         投标人名称(公章)：</w:t>
      </w:r>
    </w:p>
    <w:p w14:paraId="22CFF8B3">
      <w:pPr>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lang w:val="zh-CN"/>
        </w:rPr>
        <w:t xml:space="preserve">                                                  </w:t>
      </w:r>
    </w:p>
    <w:p w14:paraId="7520777B">
      <w:pPr>
        <w:snapToGrid w:val="0"/>
        <w:spacing w:line="360" w:lineRule="auto"/>
        <w:ind w:right="240"/>
        <w:jc w:val="right"/>
        <w:rPr>
          <w:rFonts w:ascii="宋体" w:hAnsi="宋体" w:eastAsia="宋体" w:cs="宋体"/>
          <w:color w:val="auto"/>
          <w:highlight w:val="none"/>
          <w:lang w:val="zh-CN"/>
        </w:rPr>
      </w:pPr>
      <w:r>
        <w:rPr>
          <w:rFonts w:hint="eastAsia" w:ascii="宋体" w:hAnsi="宋体" w:eastAsia="宋体" w:cs="宋体"/>
          <w:color w:val="auto"/>
          <w:highlight w:val="none"/>
          <w:lang w:val="zh-CN"/>
        </w:rPr>
        <w:t>签发日期：  年  月   日</w:t>
      </w:r>
    </w:p>
    <w:p w14:paraId="24C34904">
      <w:pPr>
        <w:snapToGrid w:val="0"/>
        <w:spacing w:line="360" w:lineRule="auto"/>
        <w:ind w:right="240"/>
        <w:jc w:val="right"/>
        <w:rPr>
          <w:rFonts w:ascii="宋体" w:hAnsi="宋体" w:eastAsia="宋体" w:cs="宋体"/>
          <w:color w:val="auto"/>
          <w:highlight w:val="none"/>
          <w:lang w:val="zh-CN"/>
        </w:rPr>
      </w:pPr>
    </w:p>
    <w:p w14:paraId="68734D48">
      <w:pPr>
        <w:snapToGrid w:val="0"/>
        <w:spacing w:line="360" w:lineRule="auto"/>
        <w:ind w:right="240"/>
        <w:rPr>
          <w:rFonts w:ascii="宋体" w:hAnsi="宋体" w:eastAsia="宋体" w:cs="宋体"/>
          <w:color w:val="auto"/>
          <w:highlight w:val="none"/>
          <w:lang w:val="zh-CN"/>
        </w:rPr>
      </w:pPr>
      <w:r>
        <w:rPr>
          <w:rFonts w:hint="eastAsia" w:ascii="宋体" w:hAnsi="宋体" w:eastAsia="宋体" w:cs="宋体"/>
          <w:color w:val="auto"/>
          <w:highlight w:val="none"/>
        </w:rPr>
        <w:t>受委托人</w:t>
      </w:r>
      <w:r>
        <w:rPr>
          <w:rFonts w:hint="eastAsia" w:ascii="宋体" w:hAnsi="宋体" w:eastAsia="宋体" w:cs="宋体"/>
          <w:color w:val="auto"/>
          <w:highlight w:val="none"/>
          <w:lang w:val="zh-CN"/>
        </w:rPr>
        <w:t>身份证复印件：</w:t>
      </w:r>
    </w:p>
    <w:p w14:paraId="5B88AE19">
      <w:pPr>
        <w:snapToGrid w:val="0"/>
        <w:spacing w:line="360" w:lineRule="auto"/>
        <w:ind w:right="240"/>
        <w:rPr>
          <w:rFonts w:ascii="宋体" w:hAnsi="宋体" w:eastAsia="宋体" w:cs="宋体"/>
          <w:color w:val="auto"/>
          <w:highlight w:val="none"/>
          <w:lang w:val="zh-CN"/>
        </w:rPr>
      </w:pPr>
    </w:p>
    <w:p w14:paraId="299436D7">
      <w:pPr>
        <w:snapToGrid w:val="0"/>
        <w:spacing w:line="360" w:lineRule="auto"/>
        <w:ind w:right="240"/>
        <w:rPr>
          <w:rFonts w:ascii="宋体" w:hAnsi="宋体" w:eastAsia="宋体" w:cs="宋体"/>
          <w:color w:val="auto"/>
          <w:highlight w:val="none"/>
          <w:lang w:val="zh-CN"/>
        </w:rPr>
      </w:pPr>
    </w:p>
    <w:p w14:paraId="7E17EB40">
      <w:pPr>
        <w:snapToGrid w:val="0"/>
        <w:spacing w:line="360" w:lineRule="auto"/>
        <w:ind w:right="240"/>
        <w:rPr>
          <w:rFonts w:ascii="宋体" w:hAnsi="宋体" w:eastAsia="宋体" w:cs="宋体"/>
          <w:color w:val="auto"/>
          <w:highlight w:val="none"/>
          <w:lang w:val="zh-CN"/>
        </w:rPr>
      </w:pPr>
    </w:p>
    <w:p w14:paraId="50DF09EC">
      <w:pPr>
        <w:snapToGrid w:val="0"/>
        <w:spacing w:line="360" w:lineRule="auto"/>
        <w:ind w:right="240"/>
        <w:rPr>
          <w:rFonts w:ascii="宋体" w:hAnsi="宋体" w:eastAsia="宋体" w:cs="宋体"/>
          <w:color w:val="auto"/>
          <w:highlight w:val="none"/>
        </w:rPr>
      </w:pPr>
      <w:r>
        <w:rPr>
          <w:rFonts w:hint="eastAsia" w:ascii="宋体" w:hAnsi="宋体" w:eastAsia="宋体" w:cs="宋体"/>
          <w:color w:val="auto"/>
          <w:highlight w:val="none"/>
          <w:lang w:val="zh-CN"/>
        </w:rPr>
        <w:t>说明：本委托书在有样品时由受委托人携带至指定地点。</w:t>
      </w:r>
    </w:p>
    <w:sectPr>
      <w:pgSz w:w="11906" w:h="16838"/>
      <w:pgMar w:top="1440" w:right="1701" w:bottom="1440" w:left="1803" w:header="851" w:footer="992" w:gutter="0"/>
      <w:cols w:space="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4CA8E">
    <w:pPr>
      <w:pStyle w:val="23"/>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18</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62</w:t>
    </w:r>
    <w:r>
      <w:rPr>
        <w:rFonts w:hint="eastAsia" w:ascii="仿宋_GB2312" w:eastAsia="仿宋_GB2312"/>
      </w:rPr>
      <w:fldChar w:fldCharType="end"/>
    </w:r>
    <w:r>
      <w:rPr>
        <w:rFonts w:hint="eastAsia" w:ascii="仿宋_GB2312" w:eastAsia="仿宋_GB2312"/>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486A5">
    <w:pPr>
      <w:pStyle w:val="24"/>
      <w:jc w:val="right"/>
    </w:pPr>
    <w: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E71D3"/>
    <w:multiLevelType w:val="singleLevel"/>
    <w:tmpl w:val="997E71D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20"/>
  <w:drawingGridVerticalSpacing w:val="168"/>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0YTAwYWNlYjBlNjIyYzM4NjRkYjlmMDIzYzNkN2EifQ=="/>
    <w:docVar w:name="KSO_WPS_MARK_KEY" w:val="c52fb0f2-250b-4be8-9b1d-fe2556f084e7"/>
  </w:docVars>
  <w:rsids>
    <w:rsidRoot w:val="004A31C0"/>
    <w:rsid w:val="000227D2"/>
    <w:rsid w:val="00040E44"/>
    <w:rsid w:val="000506FE"/>
    <w:rsid w:val="00052F13"/>
    <w:rsid w:val="00062A5D"/>
    <w:rsid w:val="00083EEE"/>
    <w:rsid w:val="00096F3A"/>
    <w:rsid w:val="000B592B"/>
    <w:rsid w:val="000C67BA"/>
    <w:rsid w:val="000E75F8"/>
    <w:rsid w:val="00105884"/>
    <w:rsid w:val="00135AB8"/>
    <w:rsid w:val="001375DB"/>
    <w:rsid w:val="001448FA"/>
    <w:rsid w:val="001478DA"/>
    <w:rsid w:val="00173428"/>
    <w:rsid w:val="00192CBF"/>
    <w:rsid w:val="001A26AF"/>
    <w:rsid w:val="001A35C1"/>
    <w:rsid w:val="001A3CF6"/>
    <w:rsid w:val="001C24FB"/>
    <w:rsid w:val="001D4C2E"/>
    <w:rsid w:val="001E0464"/>
    <w:rsid w:val="0023424F"/>
    <w:rsid w:val="00236B06"/>
    <w:rsid w:val="00240685"/>
    <w:rsid w:val="0024401D"/>
    <w:rsid w:val="002534A7"/>
    <w:rsid w:val="00262183"/>
    <w:rsid w:val="00271A6F"/>
    <w:rsid w:val="002C4D36"/>
    <w:rsid w:val="002E02E0"/>
    <w:rsid w:val="002E4CD1"/>
    <w:rsid w:val="003075F7"/>
    <w:rsid w:val="003169BC"/>
    <w:rsid w:val="003317B1"/>
    <w:rsid w:val="00352D29"/>
    <w:rsid w:val="0035778E"/>
    <w:rsid w:val="003664CE"/>
    <w:rsid w:val="00380ED1"/>
    <w:rsid w:val="00381B1D"/>
    <w:rsid w:val="003A3435"/>
    <w:rsid w:val="003D0D07"/>
    <w:rsid w:val="00401C9C"/>
    <w:rsid w:val="004105E2"/>
    <w:rsid w:val="00420958"/>
    <w:rsid w:val="00422643"/>
    <w:rsid w:val="00424619"/>
    <w:rsid w:val="00424A1D"/>
    <w:rsid w:val="00462F9D"/>
    <w:rsid w:val="004A31C0"/>
    <w:rsid w:val="004C6C28"/>
    <w:rsid w:val="00501CA3"/>
    <w:rsid w:val="005126F1"/>
    <w:rsid w:val="00512F6D"/>
    <w:rsid w:val="00537E0F"/>
    <w:rsid w:val="00581054"/>
    <w:rsid w:val="005A325A"/>
    <w:rsid w:val="005A3BF2"/>
    <w:rsid w:val="005E08D1"/>
    <w:rsid w:val="0060320D"/>
    <w:rsid w:val="006511DA"/>
    <w:rsid w:val="00652051"/>
    <w:rsid w:val="0065383E"/>
    <w:rsid w:val="00661973"/>
    <w:rsid w:val="006657BD"/>
    <w:rsid w:val="0069662B"/>
    <w:rsid w:val="006F2568"/>
    <w:rsid w:val="006F282E"/>
    <w:rsid w:val="00706DC6"/>
    <w:rsid w:val="00711092"/>
    <w:rsid w:val="00716529"/>
    <w:rsid w:val="00725C59"/>
    <w:rsid w:val="00730BD0"/>
    <w:rsid w:val="00734973"/>
    <w:rsid w:val="00742C93"/>
    <w:rsid w:val="00744AB4"/>
    <w:rsid w:val="007A4DF9"/>
    <w:rsid w:val="007B07B1"/>
    <w:rsid w:val="00821F00"/>
    <w:rsid w:val="00822B59"/>
    <w:rsid w:val="00825212"/>
    <w:rsid w:val="00836EE4"/>
    <w:rsid w:val="00843A59"/>
    <w:rsid w:val="00852E70"/>
    <w:rsid w:val="00872DA1"/>
    <w:rsid w:val="00873B8A"/>
    <w:rsid w:val="008B1281"/>
    <w:rsid w:val="008B342A"/>
    <w:rsid w:val="008C3320"/>
    <w:rsid w:val="008D0585"/>
    <w:rsid w:val="008E1052"/>
    <w:rsid w:val="008F729B"/>
    <w:rsid w:val="009040D0"/>
    <w:rsid w:val="009064F4"/>
    <w:rsid w:val="009252FE"/>
    <w:rsid w:val="009823B1"/>
    <w:rsid w:val="009863A6"/>
    <w:rsid w:val="0098739B"/>
    <w:rsid w:val="00993A89"/>
    <w:rsid w:val="009B7259"/>
    <w:rsid w:val="009E6B47"/>
    <w:rsid w:val="00A265C9"/>
    <w:rsid w:val="00A5394E"/>
    <w:rsid w:val="00A955FA"/>
    <w:rsid w:val="00AB3C03"/>
    <w:rsid w:val="00AC5A89"/>
    <w:rsid w:val="00B12243"/>
    <w:rsid w:val="00B34428"/>
    <w:rsid w:val="00B50722"/>
    <w:rsid w:val="00B638D9"/>
    <w:rsid w:val="00B766C8"/>
    <w:rsid w:val="00BA4DC3"/>
    <w:rsid w:val="00BF0E5E"/>
    <w:rsid w:val="00BF6538"/>
    <w:rsid w:val="00C05067"/>
    <w:rsid w:val="00C315A8"/>
    <w:rsid w:val="00C33A7E"/>
    <w:rsid w:val="00C555C7"/>
    <w:rsid w:val="00CA5372"/>
    <w:rsid w:val="00CF35F3"/>
    <w:rsid w:val="00D03E3B"/>
    <w:rsid w:val="00D26E77"/>
    <w:rsid w:val="00D41990"/>
    <w:rsid w:val="00D55B54"/>
    <w:rsid w:val="00D61C6D"/>
    <w:rsid w:val="00D901E0"/>
    <w:rsid w:val="00DA79AF"/>
    <w:rsid w:val="00DE7F9D"/>
    <w:rsid w:val="00E01C27"/>
    <w:rsid w:val="00E06B99"/>
    <w:rsid w:val="00E2136E"/>
    <w:rsid w:val="00E226DC"/>
    <w:rsid w:val="00E26EE8"/>
    <w:rsid w:val="00E428C8"/>
    <w:rsid w:val="00E51F9B"/>
    <w:rsid w:val="00E81776"/>
    <w:rsid w:val="00E92316"/>
    <w:rsid w:val="00E94AF3"/>
    <w:rsid w:val="00EB6182"/>
    <w:rsid w:val="00ED389E"/>
    <w:rsid w:val="00EE2D23"/>
    <w:rsid w:val="00EF4A1A"/>
    <w:rsid w:val="00F3104A"/>
    <w:rsid w:val="00F577A9"/>
    <w:rsid w:val="00F57E5E"/>
    <w:rsid w:val="00F66F6C"/>
    <w:rsid w:val="00F7530A"/>
    <w:rsid w:val="00F82240"/>
    <w:rsid w:val="00F872C5"/>
    <w:rsid w:val="00F906B9"/>
    <w:rsid w:val="00FB1AFB"/>
    <w:rsid w:val="00FD5896"/>
    <w:rsid w:val="00FE3ACD"/>
    <w:rsid w:val="00FF515C"/>
    <w:rsid w:val="01893E76"/>
    <w:rsid w:val="01D553FA"/>
    <w:rsid w:val="02300183"/>
    <w:rsid w:val="023B599D"/>
    <w:rsid w:val="025427D0"/>
    <w:rsid w:val="02A95D00"/>
    <w:rsid w:val="02BF25B0"/>
    <w:rsid w:val="046B19E4"/>
    <w:rsid w:val="04EB5695"/>
    <w:rsid w:val="052F33E8"/>
    <w:rsid w:val="05956AD0"/>
    <w:rsid w:val="065B15E4"/>
    <w:rsid w:val="06D01B2C"/>
    <w:rsid w:val="070C39C0"/>
    <w:rsid w:val="072D7E5E"/>
    <w:rsid w:val="07A01562"/>
    <w:rsid w:val="07A2707C"/>
    <w:rsid w:val="07B2792A"/>
    <w:rsid w:val="07D47A4F"/>
    <w:rsid w:val="07DF0035"/>
    <w:rsid w:val="07FF9E3D"/>
    <w:rsid w:val="089C7D08"/>
    <w:rsid w:val="08E91C86"/>
    <w:rsid w:val="08FF26FB"/>
    <w:rsid w:val="09873EF8"/>
    <w:rsid w:val="09B52227"/>
    <w:rsid w:val="09E97993"/>
    <w:rsid w:val="0A112EE1"/>
    <w:rsid w:val="0A6038C8"/>
    <w:rsid w:val="0A7D4664"/>
    <w:rsid w:val="0A9D3533"/>
    <w:rsid w:val="0AAF2BEC"/>
    <w:rsid w:val="0B643808"/>
    <w:rsid w:val="0BC1638D"/>
    <w:rsid w:val="0C760F26"/>
    <w:rsid w:val="0DA03D99"/>
    <w:rsid w:val="0F3D3826"/>
    <w:rsid w:val="10117FE2"/>
    <w:rsid w:val="10495D89"/>
    <w:rsid w:val="106A06E7"/>
    <w:rsid w:val="107A6169"/>
    <w:rsid w:val="10BE6A2D"/>
    <w:rsid w:val="115630D4"/>
    <w:rsid w:val="11576BB2"/>
    <w:rsid w:val="11C101AE"/>
    <w:rsid w:val="11C23DE8"/>
    <w:rsid w:val="11E4196C"/>
    <w:rsid w:val="1350028A"/>
    <w:rsid w:val="13C869A0"/>
    <w:rsid w:val="14174080"/>
    <w:rsid w:val="14630D30"/>
    <w:rsid w:val="15094777"/>
    <w:rsid w:val="155C6610"/>
    <w:rsid w:val="15FB62DF"/>
    <w:rsid w:val="165D4B98"/>
    <w:rsid w:val="17182642"/>
    <w:rsid w:val="17323F30"/>
    <w:rsid w:val="17BF5E77"/>
    <w:rsid w:val="19020978"/>
    <w:rsid w:val="190725DB"/>
    <w:rsid w:val="19931D6C"/>
    <w:rsid w:val="19CC3AF7"/>
    <w:rsid w:val="1ADB440C"/>
    <w:rsid w:val="1B842B3B"/>
    <w:rsid w:val="1BC738E5"/>
    <w:rsid w:val="1C87533E"/>
    <w:rsid w:val="1CA20BBC"/>
    <w:rsid w:val="1D033CE9"/>
    <w:rsid w:val="1D1E6628"/>
    <w:rsid w:val="1E303C45"/>
    <w:rsid w:val="1EA50806"/>
    <w:rsid w:val="1EB7054F"/>
    <w:rsid w:val="1EC21DA9"/>
    <w:rsid w:val="1F1314EC"/>
    <w:rsid w:val="1F784432"/>
    <w:rsid w:val="1F876E8D"/>
    <w:rsid w:val="201D2B69"/>
    <w:rsid w:val="206B48C0"/>
    <w:rsid w:val="207B4227"/>
    <w:rsid w:val="209A46A9"/>
    <w:rsid w:val="20F26474"/>
    <w:rsid w:val="210E1C57"/>
    <w:rsid w:val="215C7C4C"/>
    <w:rsid w:val="218A20FB"/>
    <w:rsid w:val="22550D49"/>
    <w:rsid w:val="22E83BF8"/>
    <w:rsid w:val="22E97C40"/>
    <w:rsid w:val="238A4A63"/>
    <w:rsid w:val="23DC3FFC"/>
    <w:rsid w:val="23E75EE6"/>
    <w:rsid w:val="24211E03"/>
    <w:rsid w:val="247937C4"/>
    <w:rsid w:val="24924599"/>
    <w:rsid w:val="25062C63"/>
    <w:rsid w:val="254E4396"/>
    <w:rsid w:val="25625D5F"/>
    <w:rsid w:val="25A82086"/>
    <w:rsid w:val="25D907CA"/>
    <w:rsid w:val="25E17E87"/>
    <w:rsid w:val="25FA3D08"/>
    <w:rsid w:val="265754CC"/>
    <w:rsid w:val="26814C69"/>
    <w:rsid w:val="269C4CE4"/>
    <w:rsid w:val="26D12FC0"/>
    <w:rsid w:val="275742CB"/>
    <w:rsid w:val="27680CAF"/>
    <w:rsid w:val="278361B1"/>
    <w:rsid w:val="27C34C38"/>
    <w:rsid w:val="280A3483"/>
    <w:rsid w:val="2847687F"/>
    <w:rsid w:val="289E1C4B"/>
    <w:rsid w:val="28B9054D"/>
    <w:rsid w:val="2A125B9F"/>
    <w:rsid w:val="2AB76C24"/>
    <w:rsid w:val="2B012AFC"/>
    <w:rsid w:val="2BA40843"/>
    <w:rsid w:val="2BE40338"/>
    <w:rsid w:val="2BEC7109"/>
    <w:rsid w:val="2C116858"/>
    <w:rsid w:val="2CE22062"/>
    <w:rsid w:val="2D17454B"/>
    <w:rsid w:val="2D2F4DAB"/>
    <w:rsid w:val="2E3F5791"/>
    <w:rsid w:val="2E652E08"/>
    <w:rsid w:val="2F0956DB"/>
    <w:rsid w:val="2FBB32CB"/>
    <w:rsid w:val="30432CCB"/>
    <w:rsid w:val="30A97E6F"/>
    <w:rsid w:val="30CD4981"/>
    <w:rsid w:val="30E874AD"/>
    <w:rsid w:val="3138414C"/>
    <w:rsid w:val="31800433"/>
    <w:rsid w:val="31882D19"/>
    <w:rsid w:val="328F5F4B"/>
    <w:rsid w:val="32DC1AA9"/>
    <w:rsid w:val="32DC3CF3"/>
    <w:rsid w:val="33087B48"/>
    <w:rsid w:val="33661839"/>
    <w:rsid w:val="33F4376D"/>
    <w:rsid w:val="34325184"/>
    <w:rsid w:val="349C558B"/>
    <w:rsid w:val="35280D6E"/>
    <w:rsid w:val="359721BD"/>
    <w:rsid w:val="35D1477D"/>
    <w:rsid w:val="35DE7FD8"/>
    <w:rsid w:val="36AA33F6"/>
    <w:rsid w:val="36FE7510"/>
    <w:rsid w:val="37411EE6"/>
    <w:rsid w:val="374F351B"/>
    <w:rsid w:val="37CF19EA"/>
    <w:rsid w:val="37D22C05"/>
    <w:rsid w:val="382F1DE3"/>
    <w:rsid w:val="388719F4"/>
    <w:rsid w:val="38D02912"/>
    <w:rsid w:val="38E275B3"/>
    <w:rsid w:val="393C051D"/>
    <w:rsid w:val="39621CD6"/>
    <w:rsid w:val="39E95F44"/>
    <w:rsid w:val="3A21318E"/>
    <w:rsid w:val="3A2160C5"/>
    <w:rsid w:val="3A5859DF"/>
    <w:rsid w:val="3B660234"/>
    <w:rsid w:val="3C046FBC"/>
    <w:rsid w:val="3C2746A4"/>
    <w:rsid w:val="3C7A0139"/>
    <w:rsid w:val="3C955A60"/>
    <w:rsid w:val="3D69400B"/>
    <w:rsid w:val="3D800835"/>
    <w:rsid w:val="3DCC3342"/>
    <w:rsid w:val="3E7E7594"/>
    <w:rsid w:val="3E863653"/>
    <w:rsid w:val="3EA352FB"/>
    <w:rsid w:val="3EBB29A2"/>
    <w:rsid w:val="3F31363C"/>
    <w:rsid w:val="3F514D57"/>
    <w:rsid w:val="3FD555FE"/>
    <w:rsid w:val="40045D0F"/>
    <w:rsid w:val="401A783F"/>
    <w:rsid w:val="404F28CA"/>
    <w:rsid w:val="412207D2"/>
    <w:rsid w:val="41904F31"/>
    <w:rsid w:val="41AE3C6E"/>
    <w:rsid w:val="41AE7FF6"/>
    <w:rsid w:val="41FF1CA7"/>
    <w:rsid w:val="423C1A61"/>
    <w:rsid w:val="42741713"/>
    <w:rsid w:val="42EF1015"/>
    <w:rsid w:val="43476B9D"/>
    <w:rsid w:val="43C40B3F"/>
    <w:rsid w:val="43F565F9"/>
    <w:rsid w:val="4424384D"/>
    <w:rsid w:val="443754A3"/>
    <w:rsid w:val="445104BA"/>
    <w:rsid w:val="44755D39"/>
    <w:rsid w:val="44AA7C6C"/>
    <w:rsid w:val="44D501D8"/>
    <w:rsid w:val="453F2053"/>
    <w:rsid w:val="457D1534"/>
    <w:rsid w:val="45EA33F8"/>
    <w:rsid w:val="46080139"/>
    <w:rsid w:val="461B0263"/>
    <w:rsid w:val="462245EB"/>
    <w:rsid w:val="467619EE"/>
    <w:rsid w:val="46875F75"/>
    <w:rsid w:val="46C85790"/>
    <w:rsid w:val="47EC7D13"/>
    <w:rsid w:val="486E0728"/>
    <w:rsid w:val="49380D36"/>
    <w:rsid w:val="4968606E"/>
    <w:rsid w:val="4A281ED8"/>
    <w:rsid w:val="4AC83FFB"/>
    <w:rsid w:val="4B1854BE"/>
    <w:rsid w:val="4B502316"/>
    <w:rsid w:val="4C056FA8"/>
    <w:rsid w:val="4CBA2B8C"/>
    <w:rsid w:val="4CED2F9E"/>
    <w:rsid w:val="4D0E6BC2"/>
    <w:rsid w:val="4DC80128"/>
    <w:rsid w:val="4DD82EBF"/>
    <w:rsid w:val="4DFF5E51"/>
    <w:rsid w:val="4EDB4398"/>
    <w:rsid w:val="4F2E7C92"/>
    <w:rsid w:val="4FD276D7"/>
    <w:rsid w:val="502D25BD"/>
    <w:rsid w:val="508D53E8"/>
    <w:rsid w:val="509A2DA4"/>
    <w:rsid w:val="510C3561"/>
    <w:rsid w:val="516F32D3"/>
    <w:rsid w:val="51E6035F"/>
    <w:rsid w:val="52D84C59"/>
    <w:rsid w:val="53473F34"/>
    <w:rsid w:val="53512798"/>
    <w:rsid w:val="53814D20"/>
    <w:rsid w:val="539463F2"/>
    <w:rsid w:val="53F774B4"/>
    <w:rsid w:val="554035A2"/>
    <w:rsid w:val="557E039E"/>
    <w:rsid w:val="55DB3D45"/>
    <w:rsid w:val="56384123"/>
    <w:rsid w:val="56490020"/>
    <w:rsid w:val="566850E8"/>
    <w:rsid w:val="57630B4C"/>
    <w:rsid w:val="57A64ED9"/>
    <w:rsid w:val="57AD38B1"/>
    <w:rsid w:val="58B912F2"/>
    <w:rsid w:val="58F327F2"/>
    <w:rsid w:val="599E7BF0"/>
    <w:rsid w:val="59E27F9F"/>
    <w:rsid w:val="5B3A7E9F"/>
    <w:rsid w:val="5B7A0770"/>
    <w:rsid w:val="5C3A2C47"/>
    <w:rsid w:val="5CA65E1F"/>
    <w:rsid w:val="5D415FB3"/>
    <w:rsid w:val="5D7E6FEF"/>
    <w:rsid w:val="5D800180"/>
    <w:rsid w:val="5DAD189A"/>
    <w:rsid w:val="5E8C0FCE"/>
    <w:rsid w:val="5FA26523"/>
    <w:rsid w:val="61202383"/>
    <w:rsid w:val="61681BD9"/>
    <w:rsid w:val="61712499"/>
    <w:rsid w:val="61DE0DFD"/>
    <w:rsid w:val="62184B91"/>
    <w:rsid w:val="6264652D"/>
    <w:rsid w:val="62D36345"/>
    <w:rsid w:val="62EE6C9A"/>
    <w:rsid w:val="630A239A"/>
    <w:rsid w:val="631C4409"/>
    <w:rsid w:val="63341991"/>
    <w:rsid w:val="639E720A"/>
    <w:rsid w:val="64631E35"/>
    <w:rsid w:val="650869CE"/>
    <w:rsid w:val="651571B7"/>
    <w:rsid w:val="660A6E2C"/>
    <w:rsid w:val="66947A2E"/>
    <w:rsid w:val="66A95726"/>
    <w:rsid w:val="66CF0018"/>
    <w:rsid w:val="66E56FCD"/>
    <w:rsid w:val="671A02CA"/>
    <w:rsid w:val="675B2367"/>
    <w:rsid w:val="679413D5"/>
    <w:rsid w:val="68475789"/>
    <w:rsid w:val="69434F3F"/>
    <w:rsid w:val="698B6B10"/>
    <w:rsid w:val="69986DE2"/>
    <w:rsid w:val="69D64555"/>
    <w:rsid w:val="6A451B01"/>
    <w:rsid w:val="6A651842"/>
    <w:rsid w:val="6A7F45BF"/>
    <w:rsid w:val="6A8A71EB"/>
    <w:rsid w:val="6A8B3381"/>
    <w:rsid w:val="6ABA4022"/>
    <w:rsid w:val="6B47587B"/>
    <w:rsid w:val="6BE071F2"/>
    <w:rsid w:val="6C0F753A"/>
    <w:rsid w:val="6C5A100C"/>
    <w:rsid w:val="6CC91181"/>
    <w:rsid w:val="6DBB2D6F"/>
    <w:rsid w:val="6DC5584F"/>
    <w:rsid w:val="6DF65E0C"/>
    <w:rsid w:val="6DF9257E"/>
    <w:rsid w:val="6E5C3F62"/>
    <w:rsid w:val="6EDA7C28"/>
    <w:rsid w:val="6F174DC6"/>
    <w:rsid w:val="6F280B35"/>
    <w:rsid w:val="6F355BA1"/>
    <w:rsid w:val="6F36202D"/>
    <w:rsid w:val="6F4972ED"/>
    <w:rsid w:val="6F4B43EE"/>
    <w:rsid w:val="6F6E6529"/>
    <w:rsid w:val="6F7342F0"/>
    <w:rsid w:val="6F944661"/>
    <w:rsid w:val="6F96218E"/>
    <w:rsid w:val="6FE81C34"/>
    <w:rsid w:val="70453BB5"/>
    <w:rsid w:val="706863E0"/>
    <w:rsid w:val="70911016"/>
    <w:rsid w:val="709674C6"/>
    <w:rsid w:val="710C0C1C"/>
    <w:rsid w:val="71567142"/>
    <w:rsid w:val="71F2730C"/>
    <w:rsid w:val="72322114"/>
    <w:rsid w:val="73222E63"/>
    <w:rsid w:val="732C6AD1"/>
    <w:rsid w:val="73D94CA8"/>
    <w:rsid w:val="742C095F"/>
    <w:rsid w:val="746D0CD7"/>
    <w:rsid w:val="749E6039"/>
    <w:rsid w:val="754F72A3"/>
    <w:rsid w:val="756F0B5C"/>
    <w:rsid w:val="75822F62"/>
    <w:rsid w:val="75A373B3"/>
    <w:rsid w:val="75A45C9D"/>
    <w:rsid w:val="76095AAA"/>
    <w:rsid w:val="76515061"/>
    <w:rsid w:val="76BB4366"/>
    <w:rsid w:val="773B2A40"/>
    <w:rsid w:val="77427D22"/>
    <w:rsid w:val="77DA8675"/>
    <w:rsid w:val="77DE6ED4"/>
    <w:rsid w:val="7A394633"/>
    <w:rsid w:val="7AF1296F"/>
    <w:rsid w:val="7B3C1F8E"/>
    <w:rsid w:val="7B767619"/>
    <w:rsid w:val="7BA901F2"/>
    <w:rsid w:val="7BAE244D"/>
    <w:rsid w:val="7C340281"/>
    <w:rsid w:val="7CCB2C8D"/>
    <w:rsid w:val="7CD82311"/>
    <w:rsid w:val="7D30787F"/>
    <w:rsid w:val="7D3C0367"/>
    <w:rsid w:val="7D6D7FBA"/>
    <w:rsid w:val="7D86705F"/>
    <w:rsid w:val="7DE033BE"/>
    <w:rsid w:val="7E420EB3"/>
    <w:rsid w:val="7E745D9B"/>
    <w:rsid w:val="7E7E11D7"/>
    <w:rsid w:val="7F806886"/>
    <w:rsid w:val="7F853FCE"/>
    <w:rsid w:val="7FA50271"/>
    <w:rsid w:val="7FF81E1C"/>
    <w:rsid w:val="7FF93EC4"/>
    <w:rsid w:val="BEB8B0FA"/>
    <w:rsid w:val="BFFFEC7E"/>
    <w:rsid w:val="EDF72E1E"/>
    <w:rsid w:val="F35F1923"/>
    <w:rsid w:val="F5BF5C57"/>
    <w:rsid w:val="F7FC3692"/>
    <w:rsid w:val="FF3D2D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仿宋" w:hAnsi="仿宋" w:eastAsia="仿宋" w:cstheme="majorBidi"/>
      <w:sz w:val="24"/>
      <w:szCs w:val="24"/>
      <w:lang w:val="en-US" w:eastAsia="zh-CN" w:bidi="ar-SA"/>
    </w:rPr>
  </w:style>
  <w:style w:type="paragraph" w:styleId="5">
    <w:name w:val="heading 1"/>
    <w:basedOn w:val="1"/>
    <w:next w:val="1"/>
    <w:link w:val="41"/>
    <w:qFormat/>
    <w:uiPriority w:val="9"/>
    <w:pPr>
      <w:spacing w:before="480" w:after="0"/>
      <w:outlineLvl w:val="0"/>
    </w:pPr>
    <w:rPr>
      <w:rFonts w:ascii="仿宋_GB2312" w:eastAsia="仿宋_GB2312"/>
      <w:b/>
      <w:smallCaps/>
      <w:spacing w:val="5"/>
      <w:sz w:val="36"/>
      <w:szCs w:val="36"/>
    </w:rPr>
  </w:style>
  <w:style w:type="paragraph" w:styleId="6">
    <w:name w:val="heading 2"/>
    <w:basedOn w:val="1"/>
    <w:next w:val="1"/>
    <w:link w:val="42"/>
    <w:unhideWhenUsed/>
    <w:qFormat/>
    <w:uiPriority w:val="9"/>
    <w:pPr>
      <w:spacing w:before="200" w:after="0" w:line="271" w:lineRule="auto"/>
      <w:jc w:val="center"/>
      <w:outlineLvl w:val="1"/>
    </w:pPr>
    <w:rPr>
      <w:b/>
      <w:smallCaps/>
      <w:sz w:val="28"/>
      <w:szCs w:val="28"/>
    </w:rPr>
  </w:style>
  <w:style w:type="paragraph" w:styleId="7">
    <w:name w:val="heading 3"/>
    <w:basedOn w:val="1"/>
    <w:next w:val="1"/>
    <w:link w:val="43"/>
    <w:unhideWhenUsed/>
    <w:qFormat/>
    <w:uiPriority w:val="9"/>
    <w:pPr>
      <w:outlineLvl w:val="2"/>
    </w:pPr>
    <w:rPr>
      <w:b/>
    </w:rPr>
  </w:style>
  <w:style w:type="paragraph" w:styleId="8">
    <w:name w:val="heading 4"/>
    <w:basedOn w:val="1"/>
    <w:next w:val="1"/>
    <w:link w:val="44"/>
    <w:unhideWhenUsed/>
    <w:qFormat/>
    <w:uiPriority w:val="9"/>
    <w:pPr>
      <w:spacing w:after="0" w:line="271" w:lineRule="auto"/>
      <w:outlineLvl w:val="3"/>
    </w:pPr>
    <w:rPr>
      <w:b/>
      <w:bCs/>
      <w:spacing w:val="5"/>
    </w:rPr>
  </w:style>
  <w:style w:type="paragraph" w:styleId="9">
    <w:name w:val="heading 5"/>
    <w:basedOn w:val="1"/>
    <w:next w:val="1"/>
    <w:link w:val="45"/>
    <w:unhideWhenUsed/>
    <w:qFormat/>
    <w:uiPriority w:val="9"/>
    <w:pPr>
      <w:spacing w:after="0" w:line="271" w:lineRule="auto"/>
      <w:outlineLvl w:val="4"/>
    </w:pPr>
    <w:rPr>
      <w:i/>
      <w:iCs/>
    </w:rPr>
  </w:style>
  <w:style w:type="paragraph" w:styleId="10">
    <w:name w:val="heading 6"/>
    <w:basedOn w:val="1"/>
    <w:next w:val="1"/>
    <w:link w:val="46"/>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11">
    <w:name w:val="heading 7"/>
    <w:basedOn w:val="1"/>
    <w:next w:val="1"/>
    <w:link w:val="47"/>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12">
    <w:name w:val="heading 8"/>
    <w:basedOn w:val="1"/>
    <w:next w:val="1"/>
    <w:link w:val="48"/>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3">
    <w:name w:val="heading 9"/>
    <w:basedOn w:val="1"/>
    <w:next w:val="1"/>
    <w:link w:val="49"/>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tabs>
        <w:tab w:val="left" w:pos="0"/>
        <w:tab w:val="left" w:pos="993"/>
        <w:tab w:val="left" w:pos="1134"/>
      </w:tabs>
    </w:pPr>
    <w:rPr>
      <w:rFonts w:asciiTheme="minorHAnsi" w:hAnsiTheme="minorHAnsi" w:cstheme="minorBidi"/>
    </w:rPr>
  </w:style>
  <w:style w:type="paragraph" w:styleId="3">
    <w:name w:val="Body Text Indent"/>
    <w:basedOn w:val="1"/>
    <w:next w:val="4"/>
    <w:link w:val="71"/>
    <w:qFormat/>
    <w:uiPriority w:val="99"/>
    <w:pPr>
      <w:widowControl w:val="0"/>
      <w:adjustRightInd w:val="0"/>
      <w:spacing w:after="0" w:line="480" w:lineRule="exact"/>
      <w:ind w:firstLine="480" w:firstLineChars="200"/>
      <w:jc w:val="both"/>
    </w:pPr>
    <w:rPr>
      <w:rFonts w:ascii="宋体" w:hAnsi="宋体" w:eastAsia="宋体" w:cs="Times New Roman"/>
      <w:kern w:val="2"/>
    </w:rPr>
  </w:style>
  <w:style w:type="paragraph" w:styleId="4">
    <w:name w:val="Normal Indent"/>
    <w:basedOn w:val="1"/>
    <w:next w:val="1"/>
    <w:link w:val="68"/>
    <w:qFormat/>
    <w:uiPriority w:val="0"/>
    <w:pPr>
      <w:adjustRightInd w:val="0"/>
      <w:snapToGrid w:val="0"/>
      <w:spacing w:after="0" w:line="480" w:lineRule="exact"/>
      <w:ind w:firstLine="567"/>
      <w:jc w:val="both"/>
    </w:pPr>
    <w:rPr>
      <w:rFonts w:ascii="宋体" w:hAnsi="Times New Roman" w:eastAsia="宋体" w:cs="Times New Roman"/>
      <w:snapToGrid w:val="0"/>
      <w:color w:val="000000"/>
      <w:kern w:val="28"/>
      <w:sz w:val="28"/>
      <w:szCs w:val="20"/>
    </w:rPr>
  </w:style>
  <w:style w:type="paragraph" w:styleId="14">
    <w:name w:val="caption"/>
    <w:basedOn w:val="1"/>
    <w:next w:val="1"/>
    <w:semiHidden/>
    <w:unhideWhenUsed/>
    <w:qFormat/>
    <w:uiPriority w:val="35"/>
    <w:rPr>
      <w:b/>
      <w:bCs/>
      <w:caps/>
      <w:sz w:val="16"/>
      <w:szCs w:val="18"/>
    </w:rPr>
  </w:style>
  <w:style w:type="paragraph" w:styleId="15">
    <w:name w:val="Document Map"/>
    <w:basedOn w:val="1"/>
    <w:qFormat/>
    <w:uiPriority w:val="0"/>
    <w:pPr>
      <w:shd w:val="clear" w:color="auto" w:fill="000080"/>
    </w:pPr>
  </w:style>
  <w:style w:type="paragraph" w:styleId="16">
    <w:name w:val="annotation text"/>
    <w:basedOn w:val="1"/>
    <w:link w:val="88"/>
    <w:qFormat/>
    <w:uiPriority w:val="99"/>
    <w:rPr>
      <w:sz w:val="28"/>
    </w:rPr>
  </w:style>
  <w:style w:type="paragraph" w:styleId="17">
    <w:name w:val="Body Text"/>
    <w:basedOn w:val="1"/>
    <w:next w:val="18"/>
    <w:qFormat/>
    <w:uiPriority w:val="0"/>
    <w:pPr>
      <w:spacing w:after="120"/>
    </w:pPr>
    <w:rPr>
      <w:sz w:val="28"/>
    </w:rPr>
  </w:style>
  <w:style w:type="paragraph" w:styleId="18">
    <w:name w:val="Body Text First Indent"/>
    <w:basedOn w:val="17"/>
    <w:next w:val="19"/>
    <w:qFormat/>
    <w:uiPriority w:val="0"/>
    <w:pPr>
      <w:ind w:firstLine="420" w:firstLineChars="100"/>
    </w:pPr>
  </w:style>
  <w:style w:type="paragraph" w:styleId="19">
    <w:name w:val="toc 6"/>
    <w:basedOn w:val="1"/>
    <w:next w:val="1"/>
    <w:semiHidden/>
    <w:qFormat/>
    <w:uiPriority w:val="0"/>
    <w:pPr>
      <w:ind w:left="2100" w:leftChars="1000"/>
    </w:pPr>
  </w:style>
  <w:style w:type="paragraph" w:styleId="20">
    <w:name w:val="Plain Text"/>
    <w:basedOn w:val="1"/>
    <w:link w:val="69"/>
    <w:qFormat/>
    <w:uiPriority w:val="99"/>
    <w:pPr>
      <w:widowControl w:val="0"/>
      <w:adjustRightInd w:val="0"/>
      <w:spacing w:after="0"/>
      <w:jc w:val="both"/>
    </w:pPr>
    <w:rPr>
      <w:rFonts w:ascii="宋体" w:hAnsi="Courier New" w:eastAsia="宋体" w:cs="Arial"/>
      <w:snapToGrid w:val="0"/>
      <w:kern w:val="2"/>
      <w:sz w:val="21"/>
      <w:szCs w:val="21"/>
    </w:rPr>
  </w:style>
  <w:style w:type="paragraph" w:styleId="21">
    <w:name w:val="Date"/>
    <w:basedOn w:val="1"/>
    <w:next w:val="1"/>
    <w:qFormat/>
    <w:uiPriority w:val="0"/>
    <w:pPr>
      <w:ind w:left="100" w:leftChars="2500"/>
    </w:pPr>
    <w:rPr>
      <w:rFonts w:ascii="宋体"/>
      <w:szCs w:val="21"/>
      <w:lang w:val="zh-CN"/>
    </w:rPr>
  </w:style>
  <w:style w:type="paragraph" w:styleId="22">
    <w:name w:val="Balloon Text"/>
    <w:basedOn w:val="1"/>
    <w:link w:val="83"/>
    <w:semiHidden/>
    <w:unhideWhenUsed/>
    <w:qFormat/>
    <w:uiPriority w:val="99"/>
    <w:pPr>
      <w:spacing w:after="0"/>
    </w:pPr>
    <w:rPr>
      <w:sz w:val="18"/>
      <w:szCs w:val="18"/>
    </w:rPr>
  </w:style>
  <w:style w:type="paragraph" w:styleId="23">
    <w:name w:val="footer"/>
    <w:basedOn w:val="1"/>
    <w:link w:val="40"/>
    <w:unhideWhenUsed/>
    <w:qFormat/>
    <w:uiPriority w:val="99"/>
    <w:pPr>
      <w:tabs>
        <w:tab w:val="center" w:pos="4153"/>
        <w:tab w:val="right" w:pos="8306"/>
      </w:tabs>
      <w:snapToGrid w:val="0"/>
    </w:pPr>
    <w:rPr>
      <w:sz w:val="18"/>
      <w:szCs w:val="18"/>
    </w:rPr>
  </w:style>
  <w:style w:type="paragraph" w:styleId="2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Subtitle"/>
    <w:basedOn w:val="1"/>
    <w:next w:val="1"/>
    <w:link w:val="51"/>
    <w:qFormat/>
    <w:uiPriority w:val="11"/>
    <w:rPr>
      <w:i/>
      <w:iCs/>
      <w:smallCaps/>
      <w:spacing w:val="10"/>
      <w:sz w:val="28"/>
      <w:szCs w:val="28"/>
    </w:rPr>
  </w:style>
  <w:style w:type="paragraph" w:styleId="26">
    <w:name w:val="footnote text"/>
    <w:basedOn w:val="1"/>
    <w:link w:val="87"/>
    <w:semiHidden/>
    <w:unhideWhenUsed/>
    <w:qFormat/>
    <w:uiPriority w:val="99"/>
    <w:pPr>
      <w:snapToGrid w:val="0"/>
    </w:pPr>
    <w:rPr>
      <w:sz w:val="18"/>
      <w:szCs w:val="18"/>
    </w:rPr>
  </w:style>
  <w:style w:type="paragraph" w:styleId="27">
    <w:name w:val="Normal (Web)"/>
    <w:basedOn w:val="1"/>
    <w:unhideWhenUsed/>
    <w:qFormat/>
    <w:uiPriority w:val="99"/>
    <w:pPr>
      <w:spacing w:beforeAutospacing="1" w:after="0" w:afterAutospacing="1"/>
    </w:pPr>
    <w:rPr>
      <w:rFonts w:cs="Times New Roman"/>
    </w:rPr>
  </w:style>
  <w:style w:type="paragraph" w:styleId="28">
    <w:name w:val="Title"/>
    <w:basedOn w:val="1"/>
    <w:next w:val="1"/>
    <w:link w:val="50"/>
    <w:qFormat/>
    <w:uiPriority w:val="10"/>
    <w:pPr>
      <w:spacing w:after="300"/>
      <w:contextualSpacing/>
    </w:pPr>
    <w:rPr>
      <w:smallCaps/>
      <w:sz w:val="52"/>
      <w:szCs w:val="52"/>
    </w:rPr>
  </w:style>
  <w:style w:type="paragraph" w:styleId="29">
    <w:name w:val="annotation subject"/>
    <w:basedOn w:val="16"/>
    <w:next w:val="16"/>
    <w:link w:val="89"/>
    <w:semiHidden/>
    <w:unhideWhenUsed/>
    <w:qFormat/>
    <w:uiPriority w:val="99"/>
    <w:rPr>
      <w:b/>
      <w:bCs/>
      <w:sz w:val="24"/>
    </w:r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Emphasis"/>
    <w:qFormat/>
    <w:uiPriority w:val="20"/>
    <w:rPr>
      <w:b/>
      <w:bCs/>
      <w:i/>
      <w:iCs/>
      <w:spacing w:val="10"/>
    </w:rPr>
  </w:style>
  <w:style w:type="character" w:styleId="35">
    <w:name w:val="Hyperlink"/>
    <w:qFormat/>
    <w:uiPriority w:val="99"/>
    <w:rPr>
      <w:rFonts w:ascii="Arial" w:hAnsi="Arial" w:eastAsia="黑体" w:cs="Arial"/>
      <w:snapToGrid w:val="0"/>
      <w:color w:val="000000"/>
      <w:kern w:val="0"/>
      <w:sz w:val="18"/>
      <w:szCs w:val="18"/>
      <w:u w:val="none"/>
    </w:rPr>
  </w:style>
  <w:style w:type="character" w:styleId="36">
    <w:name w:val="annotation reference"/>
    <w:basedOn w:val="32"/>
    <w:semiHidden/>
    <w:unhideWhenUsed/>
    <w:qFormat/>
    <w:uiPriority w:val="99"/>
    <w:rPr>
      <w:sz w:val="21"/>
      <w:szCs w:val="21"/>
    </w:rPr>
  </w:style>
  <w:style w:type="character" w:styleId="37">
    <w:name w:val="footnote reference"/>
    <w:basedOn w:val="32"/>
    <w:semiHidden/>
    <w:unhideWhenUsed/>
    <w:qFormat/>
    <w:uiPriority w:val="99"/>
    <w:rPr>
      <w:vertAlign w:val="superscript"/>
    </w:rPr>
  </w:style>
  <w:style w:type="paragraph" w:customStyle="1" w:styleId="38">
    <w:name w:val="正文文本首行缩进 21"/>
    <w:basedOn w:val="3"/>
    <w:qFormat/>
    <w:uiPriority w:val="99"/>
    <w:pPr>
      <w:spacing w:line="200" w:lineRule="atLeast"/>
      <w:ind w:firstLine="420"/>
    </w:pPr>
    <w:rPr>
      <w:rFonts w:hAnsi="Courier New"/>
      <w:spacing w:val="-4"/>
      <w:sz w:val="18"/>
    </w:rPr>
  </w:style>
  <w:style w:type="character" w:customStyle="1" w:styleId="39">
    <w:name w:val="页眉 字符"/>
    <w:basedOn w:val="32"/>
    <w:link w:val="24"/>
    <w:qFormat/>
    <w:uiPriority w:val="99"/>
    <w:rPr>
      <w:sz w:val="18"/>
      <w:szCs w:val="18"/>
    </w:rPr>
  </w:style>
  <w:style w:type="character" w:customStyle="1" w:styleId="40">
    <w:name w:val="页脚 字符"/>
    <w:basedOn w:val="32"/>
    <w:link w:val="23"/>
    <w:qFormat/>
    <w:uiPriority w:val="99"/>
    <w:rPr>
      <w:sz w:val="18"/>
      <w:szCs w:val="18"/>
    </w:rPr>
  </w:style>
  <w:style w:type="character" w:customStyle="1" w:styleId="41">
    <w:name w:val="标题 1 字符"/>
    <w:basedOn w:val="32"/>
    <w:link w:val="5"/>
    <w:qFormat/>
    <w:uiPriority w:val="9"/>
    <w:rPr>
      <w:rFonts w:ascii="仿宋_GB2312" w:hAnsi="仿宋" w:eastAsia="仿宋_GB2312" w:cstheme="majorBidi"/>
      <w:b/>
      <w:smallCaps/>
      <w:spacing w:val="5"/>
      <w:sz w:val="36"/>
      <w:szCs w:val="36"/>
    </w:rPr>
  </w:style>
  <w:style w:type="character" w:customStyle="1" w:styleId="42">
    <w:name w:val="标题 2 字符"/>
    <w:basedOn w:val="32"/>
    <w:link w:val="6"/>
    <w:qFormat/>
    <w:uiPriority w:val="9"/>
    <w:rPr>
      <w:rFonts w:ascii="仿宋" w:hAnsi="仿宋" w:eastAsia="仿宋"/>
      <w:b/>
      <w:smallCaps/>
      <w:sz w:val="28"/>
      <w:szCs w:val="28"/>
    </w:rPr>
  </w:style>
  <w:style w:type="character" w:customStyle="1" w:styleId="43">
    <w:name w:val="标题 3 字符"/>
    <w:basedOn w:val="32"/>
    <w:link w:val="7"/>
    <w:qFormat/>
    <w:uiPriority w:val="9"/>
    <w:rPr>
      <w:rFonts w:ascii="仿宋" w:hAnsi="仿宋" w:eastAsia="仿宋"/>
      <w:b/>
      <w:sz w:val="24"/>
      <w:szCs w:val="24"/>
    </w:rPr>
  </w:style>
  <w:style w:type="character" w:customStyle="1" w:styleId="44">
    <w:name w:val="标题 4 字符"/>
    <w:basedOn w:val="32"/>
    <w:link w:val="8"/>
    <w:qFormat/>
    <w:uiPriority w:val="9"/>
    <w:rPr>
      <w:b/>
      <w:bCs/>
      <w:spacing w:val="5"/>
      <w:sz w:val="24"/>
      <w:szCs w:val="24"/>
    </w:rPr>
  </w:style>
  <w:style w:type="character" w:customStyle="1" w:styleId="45">
    <w:name w:val="标题 5 字符"/>
    <w:basedOn w:val="32"/>
    <w:link w:val="9"/>
    <w:qFormat/>
    <w:uiPriority w:val="9"/>
    <w:rPr>
      <w:i/>
      <w:iCs/>
      <w:sz w:val="24"/>
      <w:szCs w:val="24"/>
    </w:rPr>
  </w:style>
  <w:style w:type="character" w:customStyle="1" w:styleId="46">
    <w:name w:val="标题 6 字符"/>
    <w:basedOn w:val="32"/>
    <w:link w:val="10"/>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47">
    <w:name w:val="标题 7 字符"/>
    <w:basedOn w:val="32"/>
    <w:link w:val="11"/>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48">
    <w:name w:val="标题 8 字符"/>
    <w:basedOn w:val="32"/>
    <w:link w:val="12"/>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49">
    <w:name w:val="标题 9 字符"/>
    <w:basedOn w:val="32"/>
    <w:link w:val="13"/>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50">
    <w:name w:val="标题 字符"/>
    <w:basedOn w:val="32"/>
    <w:link w:val="28"/>
    <w:qFormat/>
    <w:uiPriority w:val="10"/>
    <w:rPr>
      <w:smallCaps/>
      <w:sz w:val="52"/>
      <w:szCs w:val="52"/>
    </w:rPr>
  </w:style>
  <w:style w:type="character" w:customStyle="1" w:styleId="51">
    <w:name w:val="副标题 字符"/>
    <w:basedOn w:val="32"/>
    <w:link w:val="25"/>
    <w:qFormat/>
    <w:uiPriority w:val="11"/>
    <w:rPr>
      <w:i/>
      <w:iCs/>
      <w:smallCaps/>
      <w:spacing w:val="10"/>
      <w:sz w:val="28"/>
      <w:szCs w:val="28"/>
    </w:rPr>
  </w:style>
  <w:style w:type="paragraph" w:styleId="52">
    <w:name w:val="No Spacing"/>
    <w:basedOn w:val="1"/>
    <w:link w:val="64"/>
    <w:qFormat/>
    <w:uiPriority w:val="1"/>
    <w:pPr>
      <w:spacing w:after="0"/>
    </w:pPr>
  </w:style>
  <w:style w:type="paragraph" w:styleId="53">
    <w:name w:val="List Paragraph"/>
    <w:basedOn w:val="1"/>
    <w:qFormat/>
    <w:uiPriority w:val="34"/>
    <w:pPr>
      <w:ind w:left="720"/>
      <w:contextualSpacing/>
    </w:pPr>
  </w:style>
  <w:style w:type="paragraph" w:styleId="54">
    <w:name w:val="Quote"/>
    <w:basedOn w:val="1"/>
    <w:next w:val="1"/>
    <w:link w:val="55"/>
    <w:qFormat/>
    <w:uiPriority w:val="29"/>
    <w:rPr>
      <w:i/>
      <w:iCs/>
    </w:rPr>
  </w:style>
  <w:style w:type="character" w:customStyle="1" w:styleId="55">
    <w:name w:val="引用 字符"/>
    <w:basedOn w:val="32"/>
    <w:link w:val="54"/>
    <w:qFormat/>
    <w:uiPriority w:val="29"/>
    <w:rPr>
      <w:i/>
      <w:iCs/>
    </w:rPr>
  </w:style>
  <w:style w:type="paragraph" w:styleId="56">
    <w:name w:val="Intense Quote"/>
    <w:basedOn w:val="1"/>
    <w:next w:val="1"/>
    <w:link w:val="57"/>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57">
    <w:name w:val="明显引用 字符"/>
    <w:basedOn w:val="32"/>
    <w:link w:val="56"/>
    <w:qFormat/>
    <w:uiPriority w:val="30"/>
    <w:rPr>
      <w:i/>
      <w:iCs/>
    </w:rPr>
  </w:style>
  <w:style w:type="character" w:customStyle="1" w:styleId="58">
    <w:name w:val="不明显强调1"/>
    <w:qFormat/>
    <w:uiPriority w:val="19"/>
    <w:rPr>
      <w:i/>
      <w:iCs/>
    </w:rPr>
  </w:style>
  <w:style w:type="character" w:customStyle="1" w:styleId="59">
    <w:name w:val="明显强调1"/>
    <w:qFormat/>
    <w:uiPriority w:val="21"/>
    <w:rPr>
      <w:b/>
      <w:bCs/>
      <w:i/>
      <w:iCs/>
    </w:rPr>
  </w:style>
  <w:style w:type="character" w:customStyle="1" w:styleId="60">
    <w:name w:val="不明显参考1"/>
    <w:basedOn w:val="32"/>
    <w:qFormat/>
    <w:uiPriority w:val="31"/>
    <w:rPr>
      <w:smallCaps/>
    </w:rPr>
  </w:style>
  <w:style w:type="character" w:customStyle="1" w:styleId="61">
    <w:name w:val="明显参考1"/>
    <w:qFormat/>
    <w:uiPriority w:val="32"/>
    <w:rPr>
      <w:b/>
      <w:bCs/>
      <w:smallCaps/>
    </w:rPr>
  </w:style>
  <w:style w:type="character" w:customStyle="1" w:styleId="62">
    <w:name w:val="书籍标题1"/>
    <w:basedOn w:val="32"/>
    <w:qFormat/>
    <w:uiPriority w:val="33"/>
    <w:rPr>
      <w:i/>
      <w:iCs/>
      <w:smallCaps/>
      <w:spacing w:val="5"/>
    </w:rPr>
  </w:style>
  <w:style w:type="paragraph" w:customStyle="1" w:styleId="63">
    <w:name w:val="TOC 标题1"/>
    <w:basedOn w:val="5"/>
    <w:next w:val="1"/>
    <w:semiHidden/>
    <w:unhideWhenUsed/>
    <w:qFormat/>
    <w:uiPriority w:val="39"/>
    <w:pPr>
      <w:outlineLvl w:val="9"/>
    </w:pPr>
    <w:rPr>
      <w:lang w:bidi="en-US"/>
    </w:rPr>
  </w:style>
  <w:style w:type="character" w:customStyle="1" w:styleId="64">
    <w:name w:val="无间隔 字符"/>
    <w:basedOn w:val="32"/>
    <w:link w:val="52"/>
    <w:qFormat/>
    <w:uiPriority w:val="1"/>
  </w:style>
  <w:style w:type="paragraph" w:customStyle="1" w:styleId="65">
    <w:name w:val="Personal Name"/>
    <w:basedOn w:val="28"/>
    <w:qFormat/>
    <w:uiPriority w:val="0"/>
    <w:rPr>
      <w:b/>
      <w:caps/>
      <w:color w:val="000000"/>
      <w:sz w:val="28"/>
      <w:szCs w:val="28"/>
    </w:rPr>
  </w:style>
  <w:style w:type="character" w:customStyle="1" w:styleId="66">
    <w:name w:val="正文2 Char Char"/>
    <w:link w:val="67"/>
    <w:qFormat/>
    <w:uiPriority w:val="0"/>
    <w:rPr>
      <w:rFonts w:ascii="仿宋" w:hAnsi="仿宋" w:eastAsia="仿宋"/>
      <w:sz w:val="24"/>
      <w:szCs w:val="24"/>
    </w:rPr>
  </w:style>
  <w:style w:type="paragraph" w:customStyle="1" w:styleId="67">
    <w:name w:val="正文2"/>
    <w:basedOn w:val="1"/>
    <w:link w:val="66"/>
    <w:qFormat/>
    <w:uiPriority w:val="0"/>
    <w:pPr>
      <w:spacing w:line="360" w:lineRule="auto"/>
    </w:pPr>
  </w:style>
  <w:style w:type="character" w:customStyle="1" w:styleId="68">
    <w:name w:val="正文缩进 字符"/>
    <w:link w:val="4"/>
    <w:qFormat/>
    <w:uiPriority w:val="0"/>
    <w:rPr>
      <w:rFonts w:ascii="宋体" w:hAnsi="Times New Roman" w:eastAsia="宋体" w:cs="Times New Roman"/>
      <w:snapToGrid w:val="0"/>
      <w:color w:val="000000"/>
      <w:kern w:val="28"/>
      <w:sz w:val="28"/>
      <w:szCs w:val="20"/>
    </w:rPr>
  </w:style>
  <w:style w:type="character" w:customStyle="1" w:styleId="69">
    <w:name w:val="纯文本 字符"/>
    <w:basedOn w:val="32"/>
    <w:link w:val="20"/>
    <w:qFormat/>
    <w:uiPriority w:val="99"/>
    <w:rPr>
      <w:rFonts w:ascii="宋体" w:hAnsi="Courier New" w:eastAsia="宋体" w:cs="Arial"/>
      <w:snapToGrid w:val="0"/>
      <w:kern w:val="2"/>
      <w:sz w:val="21"/>
      <w:szCs w:val="21"/>
    </w:rPr>
  </w:style>
  <w:style w:type="character" w:customStyle="1" w:styleId="70">
    <w:name w:val="正文文本缩进 Char"/>
    <w:basedOn w:val="32"/>
    <w:qFormat/>
    <w:uiPriority w:val="99"/>
    <w:rPr>
      <w:rFonts w:ascii="仿宋" w:hAnsi="仿宋" w:eastAsia="仿宋"/>
      <w:sz w:val="24"/>
      <w:szCs w:val="24"/>
    </w:rPr>
  </w:style>
  <w:style w:type="character" w:customStyle="1" w:styleId="71">
    <w:name w:val="正文文本缩进 字符"/>
    <w:link w:val="3"/>
    <w:qFormat/>
    <w:uiPriority w:val="0"/>
    <w:rPr>
      <w:rFonts w:ascii="宋体" w:hAnsi="宋体" w:eastAsia="宋体" w:cs="Times New Roman"/>
      <w:kern w:val="2"/>
      <w:sz w:val="24"/>
      <w:szCs w:val="24"/>
    </w:rPr>
  </w:style>
  <w:style w:type="character" w:customStyle="1" w:styleId="72">
    <w:name w:val="标题 Char2"/>
    <w:qFormat/>
    <w:uiPriority w:val="10"/>
    <w:rPr>
      <w:b/>
      <w:sz w:val="24"/>
      <w:lang w:val="en-GB"/>
    </w:rPr>
  </w:style>
  <w:style w:type="character" w:customStyle="1" w:styleId="73">
    <w:name w:val="纯文本 Char1"/>
    <w:link w:val="74"/>
    <w:qFormat/>
    <w:uiPriority w:val="0"/>
    <w:rPr>
      <w:rFonts w:ascii="宋体" w:hAnsi="Courier New"/>
    </w:rPr>
  </w:style>
  <w:style w:type="paragraph" w:customStyle="1" w:styleId="74">
    <w:name w:val="纯文本1"/>
    <w:basedOn w:val="1"/>
    <w:link w:val="73"/>
    <w:qFormat/>
    <w:uiPriority w:val="0"/>
    <w:pPr>
      <w:widowControl w:val="0"/>
      <w:spacing w:after="0"/>
      <w:jc w:val="both"/>
    </w:pPr>
    <w:rPr>
      <w:rFonts w:ascii="宋体" w:hAnsi="Courier New" w:eastAsiaTheme="majorEastAsia"/>
      <w:sz w:val="22"/>
      <w:szCs w:val="22"/>
    </w:rPr>
  </w:style>
  <w:style w:type="character" w:customStyle="1" w:styleId="75">
    <w:name w:val="页脚 Char2"/>
    <w:qFormat/>
    <w:locked/>
    <w:uiPriority w:val="99"/>
    <w:rPr>
      <w:kern w:val="2"/>
      <w:sz w:val="18"/>
      <w:szCs w:val="18"/>
    </w:rPr>
  </w:style>
  <w:style w:type="character" w:customStyle="1" w:styleId="76">
    <w:name w:val="页眉 Char2"/>
    <w:qFormat/>
    <w:uiPriority w:val="99"/>
    <w:rPr>
      <w:kern w:val="2"/>
      <w:sz w:val="18"/>
      <w:szCs w:val="18"/>
    </w:rPr>
  </w:style>
  <w:style w:type="paragraph" w:customStyle="1" w:styleId="77">
    <w:name w:val="索引 11"/>
    <w:basedOn w:val="1"/>
    <w:next w:val="1"/>
    <w:qFormat/>
    <w:uiPriority w:val="99"/>
    <w:pPr>
      <w:widowControl w:val="0"/>
      <w:spacing w:after="0" w:line="360" w:lineRule="auto"/>
      <w:jc w:val="both"/>
    </w:pPr>
    <w:rPr>
      <w:rFonts w:ascii="仿宋_GB2312" w:hAnsi="Times New Roman" w:eastAsia="仿宋_GB2312" w:cs="Times New Roman"/>
      <w:kern w:val="2"/>
      <w:szCs w:val="20"/>
    </w:rPr>
  </w:style>
  <w:style w:type="paragraph" w:customStyle="1" w:styleId="78">
    <w:name w:val="正文缩进1"/>
    <w:basedOn w:val="1"/>
    <w:next w:val="3"/>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Cs w:val="21"/>
    </w:rPr>
  </w:style>
  <w:style w:type="paragraph" w:customStyle="1" w:styleId="79">
    <w:name w:val="text-tag"/>
    <w:basedOn w:val="1"/>
    <w:semiHidden/>
    <w:qFormat/>
    <w:uiPriority w:val="99"/>
    <w:pPr>
      <w:spacing w:before="100" w:beforeAutospacing="1" w:after="100" w:afterAutospacing="1"/>
    </w:pPr>
    <w:rPr>
      <w:rFonts w:ascii="宋体" w:hAnsi="宋体" w:eastAsia="宋体" w:cs="宋体"/>
    </w:rPr>
  </w:style>
  <w:style w:type="character" w:customStyle="1" w:styleId="80">
    <w:name w:val="纯文本 Char_0"/>
    <w:link w:val="81"/>
    <w:qFormat/>
    <w:uiPriority w:val="0"/>
    <w:rPr>
      <w:rFonts w:ascii="宋体" w:hAnsi="Courier New"/>
      <w:kern w:val="2"/>
      <w:sz w:val="21"/>
      <w:szCs w:val="21"/>
    </w:rPr>
  </w:style>
  <w:style w:type="paragraph" w:customStyle="1" w:styleId="81">
    <w:name w:val="纯文本_0_0"/>
    <w:basedOn w:val="1"/>
    <w:link w:val="80"/>
    <w:qFormat/>
    <w:uiPriority w:val="0"/>
    <w:pPr>
      <w:widowControl w:val="0"/>
      <w:spacing w:after="0"/>
      <w:jc w:val="both"/>
    </w:pPr>
    <w:rPr>
      <w:rFonts w:ascii="宋体" w:hAnsi="Courier New" w:eastAsiaTheme="majorEastAsia"/>
      <w:kern w:val="2"/>
      <w:sz w:val="21"/>
      <w:szCs w:val="21"/>
    </w:rPr>
  </w:style>
  <w:style w:type="paragraph" w:customStyle="1" w:styleId="82">
    <w:name w:val="部分1"/>
    <w:basedOn w:val="1"/>
    <w:qFormat/>
    <w:uiPriority w:val="0"/>
    <w:pPr>
      <w:keepNext/>
      <w:pageBreakBefore/>
      <w:widowControl w:val="0"/>
      <w:tabs>
        <w:tab w:val="left" w:pos="720"/>
      </w:tabs>
      <w:adjustRightInd w:val="0"/>
      <w:spacing w:after="0" w:line="360" w:lineRule="auto"/>
      <w:jc w:val="center"/>
      <w:outlineLvl w:val="0"/>
    </w:pPr>
    <w:rPr>
      <w:rFonts w:ascii="Times New Roman" w:hAnsi="Times New Roman" w:eastAsia="黑体" w:cs="Times New Roman"/>
      <w:b/>
      <w:kern w:val="44"/>
      <w:sz w:val="36"/>
      <w:szCs w:val="20"/>
    </w:rPr>
  </w:style>
  <w:style w:type="character" w:customStyle="1" w:styleId="83">
    <w:name w:val="批注框文本 字符"/>
    <w:basedOn w:val="32"/>
    <w:link w:val="22"/>
    <w:semiHidden/>
    <w:qFormat/>
    <w:uiPriority w:val="99"/>
    <w:rPr>
      <w:rFonts w:ascii="仿宋" w:hAnsi="仿宋" w:eastAsia="仿宋"/>
      <w:sz w:val="18"/>
      <w:szCs w:val="18"/>
    </w:rPr>
  </w:style>
  <w:style w:type="paragraph" w:customStyle="1" w:styleId="84">
    <w:name w:val="☆ 正文"/>
    <w:basedOn w:val="1"/>
    <w:qFormat/>
    <w:uiPriority w:val="0"/>
    <w:rPr>
      <w:rFonts w:ascii="Calibri" w:hAnsi="Calibri"/>
      <w:szCs w:val="22"/>
    </w:rPr>
  </w:style>
  <w:style w:type="paragraph" w:customStyle="1" w:styleId="85">
    <w:name w:val="修订1"/>
    <w:hidden/>
    <w:semiHidden/>
    <w:qFormat/>
    <w:uiPriority w:val="99"/>
    <w:rPr>
      <w:rFonts w:ascii="仿宋" w:hAnsi="仿宋" w:eastAsia="仿宋" w:cstheme="majorBidi"/>
      <w:sz w:val="24"/>
      <w:szCs w:val="24"/>
      <w:lang w:val="en-US" w:eastAsia="zh-CN" w:bidi="ar-SA"/>
    </w:rPr>
  </w:style>
  <w:style w:type="paragraph" w:customStyle="1" w:styleId="86">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7">
    <w:name w:val="脚注文本 字符"/>
    <w:basedOn w:val="32"/>
    <w:link w:val="26"/>
    <w:semiHidden/>
    <w:qFormat/>
    <w:uiPriority w:val="99"/>
    <w:rPr>
      <w:rFonts w:ascii="仿宋" w:hAnsi="仿宋" w:eastAsia="仿宋" w:cstheme="majorBidi"/>
      <w:sz w:val="18"/>
      <w:szCs w:val="18"/>
    </w:rPr>
  </w:style>
  <w:style w:type="character" w:customStyle="1" w:styleId="88">
    <w:name w:val="批注文字 字符"/>
    <w:basedOn w:val="32"/>
    <w:link w:val="16"/>
    <w:qFormat/>
    <w:uiPriority w:val="99"/>
    <w:rPr>
      <w:rFonts w:ascii="仿宋" w:hAnsi="仿宋" w:eastAsia="仿宋" w:cstheme="majorBidi"/>
      <w:sz w:val="28"/>
      <w:szCs w:val="24"/>
    </w:rPr>
  </w:style>
  <w:style w:type="character" w:customStyle="1" w:styleId="89">
    <w:name w:val="批注主题 字符"/>
    <w:basedOn w:val="88"/>
    <w:link w:val="29"/>
    <w:qFormat/>
    <w:uiPriority w:val="0"/>
    <w:rPr>
      <w:rFonts w:ascii="仿宋" w:hAnsi="仿宋" w:eastAsia="仿宋" w:cstheme="majorBidi"/>
      <w:sz w:val="28"/>
      <w:szCs w:val="24"/>
    </w:rPr>
  </w:style>
  <w:style w:type="paragraph" w:customStyle="1" w:styleId="90">
    <w:name w:val="[Normal]"/>
    <w:qFormat/>
    <w:uiPriority w:val="0"/>
    <w:rPr>
      <w:rFonts w:ascii="宋体" w:hAnsi="宋体" w:eastAsia="宋体" w:cs="Times New Roman"/>
      <w:sz w:val="24"/>
      <w:szCs w:val="22"/>
      <w:lang w:val="zh-CN" w:eastAsia="zh-CN" w:bidi="ar-SA"/>
    </w:rPr>
  </w:style>
  <w:style w:type="paragraph" w:customStyle="1" w:styleId="91">
    <w:name w:val="纯文本2"/>
    <w:basedOn w:val="92"/>
    <w:qFormat/>
    <w:uiPriority w:val="0"/>
    <w:pPr>
      <w:widowControl/>
      <w:jc w:val="left"/>
    </w:pPr>
    <w:rPr>
      <w:rFonts w:ascii="宋体" w:hAnsi="Courier New"/>
    </w:rPr>
  </w:style>
  <w:style w:type="paragraph" w:customStyle="1" w:styleId="92">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3">
    <w:name w:val="Table Paragraph"/>
    <w:basedOn w:val="1"/>
    <w:qFormat/>
    <w:uiPriority w:val="1"/>
    <w:rPr>
      <w:rFonts w:ascii="Calibri" w:hAnsi="Calibri"/>
      <w:sz w:val="22"/>
      <w:szCs w:val="22"/>
      <w:lang w:eastAsia="en-US"/>
    </w:rPr>
  </w:style>
  <w:style w:type="character" w:customStyle="1" w:styleId="94">
    <w:name w:val="font11"/>
    <w:basedOn w:val="32"/>
    <w:qFormat/>
    <w:uiPriority w:val="0"/>
    <w:rPr>
      <w:rFonts w:hint="eastAsia" w:ascii="宋体" w:hAnsi="宋体" w:eastAsia="宋体" w:cs="宋体"/>
      <w:color w:val="000000"/>
      <w:sz w:val="20"/>
      <w:szCs w:val="20"/>
      <w:u w:val="none"/>
    </w:rPr>
  </w:style>
  <w:style w:type="character" w:customStyle="1" w:styleId="95">
    <w:name w:val="font51"/>
    <w:basedOn w:val="32"/>
    <w:qFormat/>
    <w:uiPriority w:val="0"/>
    <w:rPr>
      <w:rFonts w:hint="eastAsia" w:ascii="微软雅黑" w:hAnsi="微软雅黑" w:eastAsia="微软雅黑" w:cs="微软雅黑"/>
      <w:color w:val="000000"/>
      <w:sz w:val="20"/>
      <w:szCs w:val="20"/>
      <w:u w:val="none"/>
    </w:rPr>
  </w:style>
  <w:style w:type="character" w:customStyle="1" w:styleId="96">
    <w:name w:val="font61"/>
    <w:basedOn w:val="32"/>
    <w:qFormat/>
    <w:uiPriority w:val="0"/>
    <w:rPr>
      <w:rFonts w:hint="eastAsia" w:ascii="宋体" w:hAnsi="宋体" w:eastAsia="宋体" w:cs="宋体"/>
      <w:color w:val="000000"/>
      <w:sz w:val="20"/>
      <w:szCs w:val="20"/>
      <w:u w:val="none"/>
    </w:rPr>
  </w:style>
  <w:style w:type="character" w:customStyle="1" w:styleId="97">
    <w:name w:val="font31"/>
    <w:basedOn w:val="32"/>
    <w:qFormat/>
    <w:uiPriority w:val="0"/>
    <w:rPr>
      <w:rFonts w:hint="eastAsia" w:ascii="微软雅黑" w:hAnsi="微软雅黑" w:eastAsia="微软雅黑"/>
      <w:color w:val="000000"/>
      <w:sz w:val="20"/>
      <w:szCs w:val="20"/>
      <w:u w:val="none"/>
    </w:rPr>
  </w:style>
  <w:style w:type="character" w:customStyle="1" w:styleId="98">
    <w:name w:val="font71"/>
    <w:basedOn w:val="32"/>
    <w:qFormat/>
    <w:uiPriority w:val="0"/>
    <w:rPr>
      <w:rFonts w:hint="eastAsia" w:ascii="宋体" w:hAnsi="宋体" w:eastAsia="宋体" w:cs="宋体"/>
      <w:color w:val="000000"/>
      <w:sz w:val="20"/>
      <w:szCs w:val="20"/>
      <w:u w:val="single"/>
    </w:rPr>
  </w:style>
  <w:style w:type="character" w:customStyle="1" w:styleId="99">
    <w:name w:val="font81"/>
    <w:basedOn w:val="32"/>
    <w:qFormat/>
    <w:uiPriority w:val="0"/>
    <w:rPr>
      <w:rFonts w:hint="eastAsia" w:ascii="宋体" w:hAnsi="宋体" w:eastAsia="宋体" w:cs="宋体"/>
      <w:color w:val="000000"/>
      <w:sz w:val="20"/>
      <w:szCs w:val="20"/>
      <w:u w:val="double"/>
    </w:rPr>
  </w:style>
  <w:style w:type="character" w:customStyle="1" w:styleId="100">
    <w:name w:val="font91"/>
    <w:basedOn w:val="32"/>
    <w:qFormat/>
    <w:uiPriority w:val="0"/>
    <w:rPr>
      <w:rFonts w:hint="eastAsia" w:ascii="宋体" w:hAnsi="宋体" w:eastAsia="宋体" w:cs="宋体"/>
      <w:color w:val="000000"/>
      <w:sz w:val="20"/>
      <w:szCs w:val="20"/>
      <w:u w:val="single"/>
    </w:rPr>
  </w:style>
  <w:style w:type="character" w:customStyle="1" w:styleId="101">
    <w:name w:val="font101"/>
    <w:basedOn w:val="32"/>
    <w:qFormat/>
    <w:uiPriority w:val="0"/>
    <w:rPr>
      <w:rFonts w:hint="eastAsia" w:ascii="宋体" w:hAnsi="宋体" w:eastAsia="宋体" w:cs="宋体"/>
      <w:color w:val="000000"/>
      <w:sz w:val="20"/>
      <w:szCs w:val="20"/>
      <w:u w:val="double"/>
    </w:rPr>
  </w:style>
  <w:style w:type="paragraph" w:customStyle="1" w:styleId="10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3">
    <w:name w:val="首行缩进"/>
    <w:basedOn w:val="1"/>
    <w:qFormat/>
    <w:uiPriority w:val="0"/>
    <w:pPr>
      <w:spacing w:line="360" w:lineRule="auto"/>
      <w:ind w:firstLine="480" w:firstLineChars="200"/>
    </w:pPr>
    <w:rPr>
      <w:rFonts w:asci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61</Pages>
  <Words>11182</Words>
  <Characters>13401</Characters>
  <Lines>225</Lines>
  <Paragraphs>63</Paragraphs>
  <TotalTime>49</TotalTime>
  <ScaleCrop>false</ScaleCrop>
  <LinksUpToDate>false</LinksUpToDate>
  <CharactersWithSpaces>13476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2022-08-25T16:13:00Z</dcterms:created>
  <dc:creator>admin</dc:creator>
  <cp:lastModifiedBy>admin</cp:lastModifiedBy>
  <cp:lastPrinted>2024-02-02T00:42:00Z</cp:lastPrinted>
  <dcterms:modified xsi:type="dcterms:W3CDTF">2025-01-14T08:35:21Z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9D25B68D57BD4AF7BDCE4B9AE2713089_13</vt:lpwstr>
  </property>
  <property fmtid="{D5CDD505-2E9C-101B-9397-08002B2CF9AE}" pid="4" name="KSOTemplateDocerSaveRecord">
    <vt:lpwstr>eyJoZGlkIjoiMTA1MWMxZmY0MTVkNzVlZGRmNTcxNGM1NmNkZjhjYzQiLCJ1c2VySWQiOiIzNjMyMzU2MzYifQ==</vt:lpwstr>
  </property>
</Properties>
</file>