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BB575">
      <w:pPr>
        <w:spacing w:line="360" w:lineRule="auto"/>
        <w:jc w:val="center"/>
        <w:rPr>
          <w:rFonts w:ascii="宋体" w:hAnsi="宋体" w:cs="宋体"/>
          <w:b/>
          <w:color w:val="auto"/>
          <w:sz w:val="24"/>
          <w:highlight w:val="none"/>
        </w:rPr>
      </w:pPr>
    </w:p>
    <w:p w14:paraId="72FF5CA3">
      <w:pPr>
        <w:pStyle w:val="971"/>
        <w:spacing w:line="760" w:lineRule="exact"/>
        <w:rPr>
          <w:rFonts w:ascii="宋体" w:eastAsia="宋体"/>
          <w:color w:val="auto"/>
          <w:sz w:val="72"/>
          <w:szCs w:val="72"/>
          <w:highlight w:val="none"/>
        </w:rPr>
      </w:pPr>
    </w:p>
    <w:p w14:paraId="61BFF366">
      <w:pPr>
        <w:pStyle w:val="84"/>
        <w:keepNext w:val="0"/>
        <w:keepLines w:val="0"/>
        <w:pageBreakBefore w:val="0"/>
        <w:widowControl w:val="0"/>
        <w:kinsoku/>
        <w:wordWrap/>
        <w:overflowPunct/>
        <w:topLinePunct w:val="0"/>
        <w:autoSpaceDE/>
        <w:autoSpaceDN/>
        <w:bidi w:val="0"/>
        <w:adjustRightInd/>
        <w:snapToGrid/>
        <w:spacing w:line="900" w:lineRule="exact"/>
        <w:ind w:firstLine="420"/>
        <w:jc w:val="center"/>
        <w:textAlignment w:val="auto"/>
        <w:rPr>
          <w:rFonts w:hint="default"/>
          <w:b/>
          <w:bCs/>
          <w:color w:val="auto"/>
          <w:sz w:val="52"/>
          <w:szCs w:val="52"/>
          <w:highlight w:val="none"/>
          <w:lang w:val="en-US" w:eastAsia="zh-CN"/>
        </w:rPr>
      </w:pPr>
      <w:r>
        <w:rPr>
          <w:rFonts w:hint="default"/>
          <w:b/>
          <w:bCs/>
          <w:color w:val="auto"/>
          <w:sz w:val="52"/>
          <w:szCs w:val="52"/>
          <w:highlight w:val="none"/>
          <w:lang w:val="en-US" w:eastAsia="zh-CN"/>
        </w:rPr>
        <w:t>纬三路、经十路及经十一路增设电子警察和监控系统项目</w:t>
      </w:r>
    </w:p>
    <w:p w14:paraId="1A019B65">
      <w:pPr>
        <w:pStyle w:val="84"/>
        <w:rPr>
          <w:rFonts w:ascii="宋体" w:hAnsi="宋体" w:cs="宋体"/>
          <w:color w:val="auto"/>
          <w:highlight w:val="none"/>
          <w:lang w:eastAsia="zh-CN"/>
        </w:rPr>
      </w:pPr>
    </w:p>
    <w:p w14:paraId="009BD804">
      <w:pPr>
        <w:adjustRightInd/>
        <w:spacing w:line="360" w:lineRule="auto"/>
        <w:jc w:val="center"/>
        <w:rPr>
          <w:rFonts w:ascii="宋体" w:hAnsi="宋体" w:cs="宋体"/>
          <w:b/>
          <w:bCs/>
          <w:color w:val="auto"/>
          <w:sz w:val="72"/>
          <w:szCs w:val="72"/>
          <w:highlight w:val="none"/>
        </w:rPr>
      </w:pPr>
    </w:p>
    <w:p w14:paraId="249D6B0F">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w:t>
      </w:r>
    </w:p>
    <w:p w14:paraId="3328DB31">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32"/>
          <w:szCs w:val="32"/>
          <w:highlight w:val="none"/>
        </w:rPr>
        <w:t>（电子交易文件）</w:t>
      </w:r>
    </w:p>
    <w:p w14:paraId="5FD97E85">
      <w:pPr>
        <w:adjustRightInd/>
        <w:spacing w:line="360" w:lineRule="auto"/>
        <w:jc w:val="center"/>
        <w:rPr>
          <w:rFonts w:ascii="宋体" w:hAnsi="宋体" w:cs="宋体"/>
          <w:b/>
          <w:color w:val="auto"/>
          <w:sz w:val="44"/>
          <w:szCs w:val="44"/>
          <w:highlight w:val="none"/>
        </w:rPr>
      </w:pPr>
    </w:p>
    <w:p w14:paraId="4661DDBD">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交易编号：萧开</w:t>
      </w:r>
      <w:r>
        <w:rPr>
          <w:rFonts w:hint="eastAsia" w:ascii="宋体" w:hAnsi="宋体" w:cs="宋体"/>
          <w:b/>
          <w:bCs/>
          <w:color w:val="auto"/>
          <w:sz w:val="30"/>
          <w:szCs w:val="30"/>
          <w:highlight w:val="none"/>
          <w:lang w:eastAsia="zh-CN"/>
        </w:rPr>
        <w:t>企</w:t>
      </w:r>
      <w:r>
        <w:rPr>
          <w:rFonts w:hint="eastAsia" w:ascii="宋体" w:hAnsi="宋体" w:cs="宋体"/>
          <w:b/>
          <w:bCs/>
          <w:color w:val="auto"/>
          <w:sz w:val="30"/>
          <w:szCs w:val="30"/>
          <w:highlight w:val="none"/>
        </w:rPr>
        <w:t>采（202</w:t>
      </w:r>
      <w:r>
        <w:rPr>
          <w:rFonts w:hint="eastAsia" w:ascii="宋体" w:hAnsi="宋体" w:cs="宋体"/>
          <w:b/>
          <w:bCs/>
          <w:color w:val="auto"/>
          <w:sz w:val="30"/>
          <w:szCs w:val="30"/>
          <w:highlight w:val="none"/>
          <w:lang w:val="en-US" w:eastAsia="zh-CN"/>
        </w:rPr>
        <w:t>4</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33</w:t>
      </w:r>
      <w:r>
        <w:rPr>
          <w:rFonts w:hint="eastAsia" w:ascii="宋体" w:hAnsi="宋体" w:cs="宋体"/>
          <w:b/>
          <w:bCs/>
          <w:color w:val="auto"/>
          <w:sz w:val="30"/>
          <w:szCs w:val="30"/>
          <w:highlight w:val="none"/>
        </w:rPr>
        <w:t>号</w:t>
      </w:r>
    </w:p>
    <w:p w14:paraId="74BABCA8">
      <w:pPr>
        <w:adjustRightInd/>
        <w:spacing w:line="360" w:lineRule="auto"/>
        <w:rPr>
          <w:rFonts w:ascii="宋体" w:hAnsi="宋体" w:cs="宋体"/>
          <w:color w:val="auto"/>
          <w:sz w:val="28"/>
          <w:szCs w:val="20"/>
          <w:highlight w:val="none"/>
        </w:rPr>
      </w:pPr>
    </w:p>
    <w:p w14:paraId="37E08814">
      <w:pPr>
        <w:spacing w:line="360" w:lineRule="auto"/>
        <w:jc w:val="center"/>
        <w:rPr>
          <w:rFonts w:ascii="宋体" w:hAnsi="宋体" w:cs="宋体"/>
          <w:b/>
          <w:color w:val="auto"/>
          <w:sz w:val="44"/>
          <w:szCs w:val="44"/>
          <w:highlight w:val="none"/>
        </w:rPr>
      </w:pPr>
    </w:p>
    <w:p w14:paraId="126F1B1C">
      <w:pPr>
        <w:spacing w:line="360" w:lineRule="auto"/>
        <w:jc w:val="center"/>
        <w:rPr>
          <w:rFonts w:ascii="宋体" w:hAnsi="宋体" w:cs="宋体"/>
          <w:b/>
          <w:color w:val="auto"/>
          <w:sz w:val="44"/>
          <w:szCs w:val="44"/>
          <w:highlight w:val="none"/>
        </w:rPr>
      </w:pPr>
    </w:p>
    <w:p w14:paraId="7C9A741C">
      <w:pPr>
        <w:pStyle w:val="84"/>
        <w:ind w:firstLine="0"/>
        <w:rPr>
          <w:rFonts w:ascii="宋体" w:hAnsi="宋体" w:cs="宋体"/>
          <w:color w:val="auto"/>
          <w:highlight w:val="none"/>
          <w:lang w:eastAsia="zh-CN"/>
        </w:rPr>
      </w:pPr>
    </w:p>
    <w:p w14:paraId="41A22994">
      <w:pPr>
        <w:spacing w:line="360" w:lineRule="auto"/>
        <w:ind w:firstLine="964" w:firstLineChars="300"/>
        <w:rPr>
          <w:rFonts w:hint="eastAsia" w:ascii="宋体" w:hAnsi="宋体" w:cs="宋体"/>
          <w:b/>
          <w:color w:val="auto"/>
          <w:sz w:val="32"/>
          <w:szCs w:val="30"/>
          <w:highlight w:val="none"/>
        </w:rPr>
      </w:pPr>
    </w:p>
    <w:p w14:paraId="6FAC6DEA">
      <w:pPr>
        <w:spacing w:line="360" w:lineRule="auto"/>
        <w:ind w:firstLine="964" w:firstLineChars="300"/>
        <w:rPr>
          <w:rFonts w:hint="eastAsia" w:ascii="宋体" w:hAnsi="宋体" w:eastAsia="宋体" w:cs="宋体"/>
          <w:b/>
          <w:color w:val="auto"/>
          <w:spacing w:val="-20"/>
          <w:sz w:val="32"/>
          <w:szCs w:val="32"/>
          <w:highlight w:val="none"/>
          <w:lang w:eastAsia="zh-CN"/>
        </w:rPr>
      </w:pPr>
      <w:r>
        <w:rPr>
          <w:rFonts w:hint="eastAsia" w:ascii="宋体" w:hAnsi="宋体" w:cs="宋体"/>
          <w:b/>
          <w:color w:val="auto"/>
          <w:sz w:val="32"/>
          <w:szCs w:val="30"/>
          <w:highlight w:val="none"/>
        </w:rPr>
        <w:t>交易发起人：</w:t>
      </w:r>
      <w:r>
        <w:rPr>
          <w:rFonts w:hint="eastAsia" w:ascii="宋体" w:hAnsi="宋体" w:cs="宋体"/>
          <w:b/>
          <w:color w:val="auto"/>
          <w:spacing w:val="-20"/>
          <w:sz w:val="32"/>
          <w:szCs w:val="32"/>
          <w:highlight w:val="none"/>
        </w:rPr>
        <w:t>杭州萧山经济技术开发区国有</w:t>
      </w:r>
      <w:r>
        <w:rPr>
          <w:rFonts w:hint="eastAsia" w:ascii="宋体" w:hAnsi="宋体" w:cs="宋体"/>
          <w:b/>
          <w:color w:val="auto"/>
          <w:spacing w:val="-20"/>
          <w:sz w:val="32"/>
          <w:szCs w:val="32"/>
          <w:highlight w:val="none"/>
          <w:lang w:eastAsia="zh-CN"/>
        </w:rPr>
        <w:t>资产经营有限公司</w:t>
      </w:r>
    </w:p>
    <w:p w14:paraId="38873D4D">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14:paraId="38B3FCD1">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九</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eastAsia="zh-CN"/>
        </w:rPr>
        <w:t>二</w:t>
      </w:r>
      <w:r>
        <w:rPr>
          <w:rFonts w:hint="eastAsia" w:ascii="宋体" w:hAnsi="宋体" w:cs="宋体"/>
          <w:b/>
          <w:color w:val="auto"/>
          <w:sz w:val="32"/>
          <w:szCs w:val="32"/>
          <w:highlight w:val="none"/>
          <w:lang w:val="en-US" w:eastAsia="zh-CN"/>
        </w:rPr>
        <w:t>十三</w:t>
      </w:r>
      <w:r>
        <w:rPr>
          <w:rFonts w:hint="eastAsia" w:ascii="宋体" w:hAnsi="宋体" w:cs="宋体"/>
          <w:b/>
          <w:color w:val="auto"/>
          <w:sz w:val="32"/>
          <w:szCs w:val="32"/>
          <w:highlight w:val="none"/>
        </w:rPr>
        <w:t>日</w:t>
      </w:r>
    </w:p>
    <w:p w14:paraId="0205CCA1">
      <w:pPr>
        <w:jc w:val="center"/>
        <w:rPr>
          <w:rFonts w:hint="eastAsia" w:ascii="宋体" w:hAnsi="宋体" w:cs="宋体"/>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cols w:space="0" w:num="1"/>
          <w:titlePg/>
          <w:docGrid w:linePitch="312" w:charSpace="0"/>
        </w:sectPr>
      </w:pPr>
    </w:p>
    <w:p w14:paraId="0BA1314E">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C0C49DF">
      <w:pPr>
        <w:spacing w:line="360" w:lineRule="auto"/>
        <w:rPr>
          <w:rFonts w:ascii="宋体" w:hAnsi="宋体" w:cs="宋体"/>
          <w:color w:val="auto"/>
          <w:sz w:val="32"/>
          <w:szCs w:val="32"/>
          <w:highlight w:val="none"/>
        </w:rPr>
      </w:pPr>
    </w:p>
    <w:p w14:paraId="36AD9ED7">
      <w:pPr>
        <w:spacing w:line="360" w:lineRule="auto"/>
        <w:rPr>
          <w:rFonts w:ascii="宋体" w:hAnsi="宋体" w:cs="宋体"/>
          <w:color w:val="auto"/>
          <w:sz w:val="32"/>
          <w:szCs w:val="32"/>
          <w:highlight w:val="none"/>
        </w:rPr>
      </w:pPr>
    </w:p>
    <w:p w14:paraId="141B2D5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5C4910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14:paraId="6F757C5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14:paraId="2B809EC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14:paraId="6440A10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3C7AE0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2A1A896">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5BD1DDB9">
      <w:pPr>
        <w:spacing w:line="360" w:lineRule="auto"/>
        <w:ind w:firstLine="549" w:firstLineChars="229"/>
        <w:rPr>
          <w:rFonts w:ascii="宋体" w:hAnsi="宋体" w:cs="宋体"/>
          <w:color w:val="auto"/>
          <w:sz w:val="24"/>
          <w:highlight w:val="none"/>
        </w:rPr>
      </w:pPr>
    </w:p>
    <w:p w14:paraId="211D24F5">
      <w:pPr>
        <w:spacing w:line="360" w:lineRule="auto"/>
        <w:ind w:firstLine="549" w:firstLineChars="229"/>
        <w:rPr>
          <w:rFonts w:ascii="宋体" w:hAnsi="宋体" w:cs="宋体"/>
          <w:color w:val="auto"/>
          <w:sz w:val="24"/>
          <w:highlight w:val="none"/>
        </w:rPr>
      </w:pPr>
    </w:p>
    <w:p w14:paraId="63F15425">
      <w:pPr>
        <w:spacing w:line="360" w:lineRule="auto"/>
        <w:ind w:firstLine="549" w:firstLineChars="229"/>
        <w:rPr>
          <w:rFonts w:ascii="宋体" w:hAnsi="宋体" w:cs="宋体"/>
          <w:color w:val="auto"/>
          <w:sz w:val="24"/>
          <w:highlight w:val="none"/>
        </w:rPr>
      </w:pPr>
    </w:p>
    <w:p w14:paraId="3CEC259A">
      <w:pPr>
        <w:spacing w:line="360" w:lineRule="auto"/>
        <w:ind w:firstLine="549" w:firstLineChars="229"/>
        <w:rPr>
          <w:rFonts w:ascii="宋体" w:hAnsi="宋体" w:cs="宋体"/>
          <w:color w:val="auto"/>
          <w:sz w:val="24"/>
          <w:highlight w:val="none"/>
        </w:rPr>
      </w:pPr>
    </w:p>
    <w:p w14:paraId="3042B2E3">
      <w:pPr>
        <w:spacing w:line="360" w:lineRule="auto"/>
        <w:ind w:firstLine="549" w:firstLineChars="229"/>
        <w:rPr>
          <w:rFonts w:ascii="宋体" w:hAnsi="宋体" w:cs="宋体"/>
          <w:color w:val="auto"/>
          <w:sz w:val="24"/>
          <w:highlight w:val="none"/>
        </w:rPr>
      </w:pPr>
    </w:p>
    <w:p w14:paraId="44ED344F">
      <w:pPr>
        <w:spacing w:line="360" w:lineRule="auto"/>
        <w:ind w:firstLine="549" w:firstLineChars="229"/>
        <w:rPr>
          <w:rFonts w:ascii="宋体" w:hAnsi="宋体" w:cs="宋体"/>
          <w:color w:val="auto"/>
          <w:sz w:val="24"/>
          <w:highlight w:val="none"/>
        </w:rPr>
      </w:pPr>
    </w:p>
    <w:p w14:paraId="0704D9F1">
      <w:pPr>
        <w:spacing w:line="360" w:lineRule="auto"/>
        <w:ind w:firstLine="549" w:firstLineChars="229"/>
        <w:rPr>
          <w:rFonts w:ascii="宋体" w:hAnsi="宋体" w:cs="宋体"/>
          <w:color w:val="auto"/>
          <w:sz w:val="24"/>
          <w:highlight w:val="none"/>
        </w:rPr>
      </w:pPr>
    </w:p>
    <w:p w14:paraId="10DC93F5">
      <w:pPr>
        <w:spacing w:line="360" w:lineRule="auto"/>
        <w:ind w:firstLine="549" w:firstLineChars="229"/>
        <w:rPr>
          <w:rFonts w:ascii="宋体" w:hAnsi="宋体" w:cs="宋体"/>
          <w:color w:val="auto"/>
          <w:sz w:val="24"/>
          <w:highlight w:val="none"/>
        </w:rPr>
      </w:pPr>
    </w:p>
    <w:p w14:paraId="7077E33F">
      <w:pPr>
        <w:spacing w:line="360" w:lineRule="auto"/>
        <w:ind w:firstLine="549" w:firstLineChars="229"/>
        <w:rPr>
          <w:rFonts w:ascii="宋体" w:hAnsi="宋体" w:cs="宋体"/>
          <w:color w:val="auto"/>
          <w:sz w:val="24"/>
          <w:highlight w:val="none"/>
        </w:rPr>
      </w:pPr>
    </w:p>
    <w:p w14:paraId="4104D305">
      <w:pPr>
        <w:spacing w:line="360" w:lineRule="auto"/>
        <w:ind w:firstLine="549" w:firstLineChars="229"/>
        <w:rPr>
          <w:rFonts w:ascii="宋体" w:hAnsi="宋体" w:cs="宋体"/>
          <w:color w:val="auto"/>
          <w:sz w:val="24"/>
          <w:highlight w:val="none"/>
        </w:rPr>
      </w:pPr>
    </w:p>
    <w:p w14:paraId="3A05FDBA">
      <w:pPr>
        <w:spacing w:line="360" w:lineRule="auto"/>
        <w:ind w:firstLine="549" w:firstLineChars="229"/>
        <w:rPr>
          <w:rFonts w:ascii="宋体" w:hAnsi="宋体" w:cs="宋体"/>
          <w:color w:val="auto"/>
          <w:sz w:val="24"/>
          <w:highlight w:val="none"/>
        </w:rPr>
      </w:pPr>
    </w:p>
    <w:p w14:paraId="4EB7209D">
      <w:pPr>
        <w:spacing w:line="360" w:lineRule="auto"/>
        <w:ind w:firstLine="549" w:firstLineChars="229"/>
        <w:rPr>
          <w:rFonts w:ascii="宋体" w:hAnsi="宋体" w:cs="宋体"/>
          <w:color w:val="auto"/>
          <w:sz w:val="24"/>
          <w:highlight w:val="none"/>
        </w:rPr>
      </w:pPr>
    </w:p>
    <w:p w14:paraId="2B7B69DB">
      <w:pPr>
        <w:spacing w:line="360" w:lineRule="auto"/>
        <w:rPr>
          <w:rFonts w:ascii="宋体" w:hAnsi="宋体" w:cs="宋体"/>
          <w:color w:val="auto"/>
          <w:sz w:val="24"/>
          <w:highlight w:val="none"/>
        </w:rPr>
      </w:pPr>
    </w:p>
    <w:p w14:paraId="10503F64">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14:paraId="32973FB0">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14:paraId="4016EAA1">
      <w:pPr>
        <w:spacing w:line="360" w:lineRule="auto"/>
        <w:ind w:firstLine="482" w:firstLineChars="200"/>
        <w:rPr>
          <w:rFonts w:hint="eastAsia" w:ascii="宋体" w:hAnsi="宋体" w:cs="宋体"/>
          <w:b w:val="0"/>
          <w:bCs/>
          <w:color w:val="auto"/>
          <w:sz w:val="24"/>
          <w:highlight w:val="none"/>
        </w:rPr>
      </w:pPr>
      <w:r>
        <w:rPr>
          <w:rFonts w:hint="eastAsia" w:ascii="宋体" w:hAnsi="宋体" w:cs="宋体"/>
          <w:b/>
          <w:color w:val="auto"/>
          <w:sz w:val="24"/>
          <w:highlight w:val="none"/>
        </w:rPr>
        <w:t>交易编号：</w:t>
      </w:r>
      <w:r>
        <w:rPr>
          <w:rFonts w:hint="eastAsia" w:ascii="宋体" w:hAnsi="宋体" w:cs="宋体"/>
          <w:b w:val="0"/>
          <w:bCs/>
          <w:color w:val="auto"/>
          <w:sz w:val="24"/>
          <w:highlight w:val="none"/>
        </w:rPr>
        <w:t>萧开</w:t>
      </w:r>
      <w:r>
        <w:rPr>
          <w:rFonts w:hint="eastAsia" w:ascii="宋体" w:hAnsi="宋体" w:cs="宋体"/>
          <w:b w:val="0"/>
          <w:bCs/>
          <w:color w:val="auto"/>
          <w:sz w:val="24"/>
          <w:highlight w:val="none"/>
          <w:lang w:eastAsia="zh-CN"/>
        </w:rPr>
        <w:t>企</w:t>
      </w:r>
      <w:r>
        <w:rPr>
          <w:rFonts w:hint="eastAsia" w:ascii="宋体" w:hAnsi="宋体" w:cs="宋体"/>
          <w:b w:val="0"/>
          <w:bCs/>
          <w:color w:val="auto"/>
          <w:sz w:val="24"/>
          <w:highlight w:val="none"/>
        </w:rPr>
        <w:t>采（202</w:t>
      </w:r>
      <w:r>
        <w:rPr>
          <w:rFonts w:hint="eastAsia" w:ascii="宋体" w:hAnsi="宋体" w:cs="宋体"/>
          <w:b w:val="0"/>
          <w:bCs/>
          <w:color w:val="auto"/>
          <w:sz w:val="24"/>
          <w:highlight w:val="none"/>
          <w:lang w:val="en-US" w:eastAsia="zh-CN"/>
        </w:rPr>
        <w:t>4</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33</w:t>
      </w:r>
      <w:r>
        <w:rPr>
          <w:rFonts w:hint="eastAsia" w:ascii="宋体" w:hAnsi="宋体" w:cs="宋体"/>
          <w:b w:val="0"/>
          <w:bCs/>
          <w:color w:val="auto"/>
          <w:sz w:val="24"/>
          <w:highlight w:val="none"/>
        </w:rPr>
        <w:t>号</w:t>
      </w:r>
    </w:p>
    <w:p w14:paraId="7966A02A">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rPr>
        <w:t>交易名称：</w:t>
      </w:r>
      <w:r>
        <w:rPr>
          <w:rFonts w:hint="eastAsia" w:ascii="宋体" w:hAnsi="宋体" w:cs="宋体"/>
          <w:b w:val="0"/>
          <w:bCs/>
          <w:color w:val="auto"/>
          <w:sz w:val="24"/>
          <w:highlight w:val="none"/>
          <w:lang w:val="en-US" w:eastAsia="zh-CN"/>
        </w:rPr>
        <w:t>纬三路、经十路及经十一路增设电子警察和监控系统项目</w:t>
      </w:r>
    </w:p>
    <w:p w14:paraId="751D1B0E">
      <w:pPr>
        <w:spacing w:line="360" w:lineRule="auto"/>
        <w:ind w:firstLine="482" w:firstLineChars="200"/>
        <w:rPr>
          <w:rFonts w:hint="default" w:ascii="宋体" w:hAnsi="宋体" w:eastAsia="宋体" w:cs="宋体"/>
          <w:b w:val="0"/>
          <w:bCs/>
          <w:color w:val="auto"/>
          <w:sz w:val="24"/>
          <w:szCs w:val="28"/>
          <w:highlight w:val="none"/>
          <w:lang w:val="en-US" w:eastAsia="zh-CN"/>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rPr>
        <w:t>1713696</w:t>
      </w:r>
      <w:r>
        <w:rPr>
          <w:rFonts w:hint="eastAsia" w:ascii="宋体" w:hAnsi="宋体" w:cs="宋体"/>
          <w:b w:val="0"/>
          <w:bCs/>
          <w:color w:val="auto"/>
          <w:sz w:val="24"/>
          <w:szCs w:val="28"/>
          <w:highlight w:val="none"/>
        </w:rPr>
        <w:t>.00</w:t>
      </w:r>
    </w:p>
    <w:p w14:paraId="38085494">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rPr>
        <w:t>1713696</w:t>
      </w:r>
      <w:r>
        <w:rPr>
          <w:rFonts w:hint="eastAsia" w:ascii="宋体" w:hAnsi="宋体" w:cs="宋体"/>
          <w:b w:val="0"/>
          <w:bCs/>
          <w:color w:val="auto"/>
          <w:sz w:val="24"/>
          <w:szCs w:val="28"/>
          <w:highlight w:val="none"/>
        </w:rPr>
        <w:t>.00</w:t>
      </w:r>
    </w:p>
    <w:p w14:paraId="6A7F0623">
      <w:pPr>
        <w:pStyle w:val="17"/>
        <w:spacing w:line="360" w:lineRule="auto"/>
        <w:ind w:firstLine="482" w:firstLineChars="200"/>
        <w:rPr>
          <w:rFonts w:hAnsi="宋体" w:cs="宋体"/>
          <w:color w:val="auto"/>
          <w:sz w:val="24"/>
          <w:highlight w:val="none"/>
        </w:rPr>
      </w:pPr>
      <w:r>
        <w:rPr>
          <w:rFonts w:hint="eastAsia" w:hAnsi="宋体" w:cs="宋体"/>
          <w:b/>
          <w:color w:val="auto"/>
          <w:sz w:val="24"/>
          <w:highlight w:val="none"/>
        </w:rPr>
        <w:t>交易需求：</w:t>
      </w:r>
      <w:r>
        <w:rPr>
          <w:rFonts w:hint="eastAsia" w:ascii="宋体" w:hAnsi="宋体" w:cs="宋体"/>
          <w:b w:val="0"/>
          <w:bCs/>
          <w:color w:val="auto"/>
          <w:sz w:val="24"/>
          <w:highlight w:val="none"/>
          <w:lang w:val="en-US" w:eastAsia="zh-CN"/>
        </w:rPr>
        <w:t>纬三路、经十路及经十一路增设电子警察和监控系统项目</w:t>
      </w:r>
      <w:r>
        <w:rPr>
          <w:rFonts w:hint="eastAsia" w:hAnsi="宋体" w:cs="宋体"/>
          <w:color w:val="auto"/>
          <w:sz w:val="24"/>
          <w:highlight w:val="none"/>
        </w:rPr>
        <w:t>，</w:t>
      </w:r>
      <w:r>
        <w:rPr>
          <w:rFonts w:hint="eastAsia" w:hAnsi="宋体" w:cs="宋体"/>
          <w:color w:val="auto"/>
          <w:sz w:val="24"/>
          <w:highlight w:val="none"/>
          <w:lang w:val="en-US" w:eastAsia="zh-CN"/>
        </w:rPr>
        <w:t>1批，</w:t>
      </w:r>
      <w:r>
        <w:rPr>
          <w:rFonts w:hint="eastAsia" w:hAnsi="宋体" w:cs="宋体"/>
          <w:color w:val="auto"/>
          <w:sz w:val="24"/>
          <w:highlight w:val="none"/>
        </w:rPr>
        <w:t>详见交易需求。</w:t>
      </w:r>
    </w:p>
    <w:p w14:paraId="4F9C13F2">
      <w:pPr>
        <w:pStyle w:val="17"/>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14:paraId="51F13B4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Cs/>
          <w:color w:val="auto"/>
          <w:sz w:val="24"/>
          <w:highlight w:val="none"/>
        </w:rPr>
        <w:t>（ ）是；（√）否。</w:t>
      </w:r>
    </w:p>
    <w:p w14:paraId="176B50B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5528C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5F52E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7929B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66D69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9A396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0EB12F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53224587">
      <w:pPr>
        <w:pStyle w:val="26"/>
        <w:ind w:firstLine="480" w:firstLineChars="200"/>
        <w:rPr>
          <w:rFonts w:hAnsi="宋体" w:cs="宋体"/>
          <w:color w:val="auto"/>
          <w:highlight w:val="none"/>
          <w:lang w:val="en-US"/>
        </w:rPr>
      </w:pPr>
      <w:r>
        <w:rPr>
          <w:rFonts w:hint="eastAsia" w:hAnsi="宋体" w:cs="宋体"/>
          <w:color w:val="auto"/>
          <w:highlight w:val="none"/>
        </w:rPr>
        <w:t>7、本项目的特定资格要求：</w:t>
      </w:r>
      <w:r>
        <w:rPr>
          <w:rFonts w:hint="eastAsia" w:hAnsi="宋体" w:cs="宋体"/>
          <w:color w:val="auto"/>
          <w:sz w:val="24"/>
          <w:highlight w:val="none"/>
          <w:lang w:val="en-US" w:eastAsia="zh-CN"/>
        </w:rPr>
        <w:t>无</w:t>
      </w:r>
      <w:r>
        <w:rPr>
          <w:rFonts w:hint="eastAsia" w:hAnsi="宋体" w:cs="宋体"/>
          <w:color w:val="auto"/>
          <w:highlight w:val="none"/>
          <w:lang w:val="en-US"/>
        </w:rPr>
        <w:t>；</w:t>
      </w:r>
    </w:p>
    <w:p w14:paraId="02082E3C">
      <w:pPr>
        <w:pStyle w:val="26"/>
        <w:ind w:firstLine="480" w:firstLineChars="200"/>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14:paraId="48212981">
      <w:pPr>
        <w:spacing w:line="360" w:lineRule="auto"/>
        <w:rPr>
          <w:rFonts w:ascii="宋体" w:hAnsi="宋体" w:cs="宋体"/>
          <w:b/>
          <w:color w:val="auto"/>
          <w:sz w:val="24"/>
          <w:highlight w:val="none"/>
        </w:rPr>
      </w:pPr>
      <w:r>
        <w:rPr>
          <w:rFonts w:hint="eastAsia" w:ascii="宋体" w:hAnsi="宋体" w:cs="宋体"/>
          <w:b/>
          <w:color w:val="auto"/>
          <w:sz w:val="24"/>
          <w:highlight w:val="none"/>
        </w:rPr>
        <w:t>三、获取公开竞争文件</w:t>
      </w:r>
    </w:p>
    <w:p w14:paraId="20DCF2F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14:paraId="106FC1A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乐采云平台（www.lecaiyun.com）</w:t>
      </w:r>
      <w:r>
        <w:rPr>
          <w:rFonts w:hint="eastAsia" w:ascii="宋体" w:hAnsi="宋体" w:cs="宋体"/>
          <w:color w:val="auto"/>
          <w:sz w:val="24"/>
          <w:highlight w:val="none"/>
        </w:rPr>
        <w:t xml:space="preserve"> </w:t>
      </w:r>
    </w:p>
    <w:p w14:paraId="26EE476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响应人登录</w:t>
      </w:r>
      <w:r>
        <w:rPr>
          <w:rFonts w:hint="eastAsia" w:ascii="宋体" w:hAnsi="宋体" w:cs="宋体"/>
          <w:color w:val="auto"/>
          <w:sz w:val="24"/>
          <w:highlight w:val="none"/>
          <w:lang w:eastAsia="zh-CN"/>
        </w:rPr>
        <w:t>乐采云平台（www.lecaiyun.com）</w:t>
      </w:r>
      <w:r>
        <w:rPr>
          <w:rFonts w:hint="eastAsia" w:ascii="宋体" w:hAnsi="宋体" w:cs="宋体"/>
          <w:color w:val="auto"/>
          <w:sz w:val="24"/>
          <w:highlight w:val="none"/>
        </w:rPr>
        <w:t xml:space="preserve">在线申请获取公开竞争文件（进入“项目采购”应用，在获取采购文件菜单中选择项目，申请获取公开竞争文件）。 </w:t>
      </w:r>
    </w:p>
    <w:p w14:paraId="1D52325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68404F4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4A35F5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70BE222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乐采云平台（www.lecaiyun.com）</w:t>
      </w:r>
      <w:r>
        <w:rPr>
          <w:rFonts w:hint="eastAsia" w:ascii="宋体" w:hAnsi="宋体" w:cs="宋体"/>
          <w:color w:val="auto"/>
          <w:sz w:val="24"/>
          <w:highlight w:val="none"/>
        </w:rPr>
        <w:t xml:space="preserve"> </w:t>
      </w:r>
    </w:p>
    <w:p w14:paraId="7267461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p>
    <w:p w14:paraId="5FA881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lang w:eastAsia="zh-CN"/>
        </w:rPr>
        <w:t>乐采云平台（www.lecaiyun.com）</w:t>
      </w:r>
    </w:p>
    <w:p w14:paraId="4D458A8F">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14:paraId="6FA58963">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使自己的权益受到损害的，可以自获取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和代理机构提出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、代理机构的答复不满意或者</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、代理机构未在规定的时间内作出答复的，可以在答复期满后</w:t>
      </w:r>
      <w:r>
        <w:rPr>
          <w:rFonts w:hint="eastAsia" w:ascii="宋体" w:hAnsi="宋体" w:eastAsia="宋体" w:cs="宋体"/>
          <w:color w:val="auto"/>
          <w:sz w:val="24"/>
          <w:highlight w:val="none"/>
          <w:lang w:val="en-US" w:eastAsia="zh-CN"/>
        </w:rPr>
        <w:t>10日</w:t>
      </w:r>
      <w:r>
        <w:rPr>
          <w:rFonts w:hint="eastAsia" w:ascii="宋体" w:hAnsi="宋体" w:eastAsia="宋体" w:cs="宋体"/>
          <w:color w:val="auto"/>
          <w:sz w:val="24"/>
          <w:highlight w:val="none"/>
        </w:rPr>
        <w:t>内向</w:t>
      </w:r>
      <w:r>
        <w:rPr>
          <w:rFonts w:hint="eastAsia" w:ascii="宋体" w:hAnsi="宋体" w:eastAsia="宋体" w:cs="宋体"/>
          <w:color w:val="auto"/>
          <w:sz w:val="24"/>
          <w:highlight w:val="none"/>
          <w:lang w:eastAsia="zh-CN"/>
        </w:rPr>
        <w:t>基层交易</w:t>
      </w:r>
      <w:r>
        <w:rPr>
          <w:rFonts w:hint="eastAsia" w:ascii="宋体" w:hAnsi="宋体" w:eastAsia="宋体" w:cs="宋体"/>
          <w:color w:val="auto"/>
          <w:sz w:val="24"/>
          <w:highlight w:val="none"/>
        </w:rPr>
        <w:t>监督</w:t>
      </w:r>
      <w:r>
        <w:rPr>
          <w:rFonts w:hint="eastAsia" w:ascii="宋体" w:hAnsi="宋体" w:eastAsia="宋体" w:cs="宋体"/>
          <w:color w:val="auto"/>
          <w:sz w:val="24"/>
          <w:highlight w:val="none"/>
          <w:lang w:eastAsia="zh-CN"/>
        </w:rPr>
        <w:t>机构提出</w:t>
      </w:r>
      <w:r>
        <w:rPr>
          <w:rFonts w:hint="eastAsia" w:ascii="宋体" w:hAnsi="宋体" w:eastAsia="宋体" w:cs="宋体"/>
          <w:color w:val="auto"/>
          <w:sz w:val="24"/>
          <w:highlight w:val="none"/>
        </w:rPr>
        <w:t>投诉。</w:t>
      </w:r>
    </w:p>
    <w:p w14:paraId="3C8633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cs="宋体"/>
          <w:color w:val="auto"/>
          <w:sz w:val="24"/>
          <w:highlight w:val="none"/>
          <w:lang w:eastAsia="zh-CN"/>
        </w:rPr>
        <w:t>乐采云平台（www.lecaiyun.com）</w:t>
      </w:r>
      <w:r>
        <w:rPr>
          <w:rFonts w:hint="eastAsia" w:ascii="宋体" w:hAnsi="宋体" w:eastAsia="宋体" w:cs="宋体"/>
          <w:color w:val="auto"/>
          <w:sz w:val="24"/>
          <w:highlight w:val="none"/>
        </w:rPr>
        <w:t>”进行招投标活动，不接受纸质响应文件；②投标准备：注册账号--点击“商家入驻”，进行政府采购供应商资料填写；申领CA数字证书---申领流程详见“</w:t>
      </w:r>
      <w:r>
        <w:rPr>
          <w:rFonts w:hint="eastAsia" w:ascii="宋体" w:hAnsi="宋体" w:cs="宋体"/>
          <w:color w:val="auto"/>
          <w:sz w:val="24"/>
          <w:highlight w:val="none"/>
          <w:lang w:val="en-US"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电子交易客户端”----前往“</w:t>
      </w:r>
      <w:r>
        <w:rPr>
          <w:rFonts w:hint="eastAsia" w:ascii="宋体" w:hAnsi="宋体" w:cs="宋体"/>
          <w:color w:val="auto"/>
          <w:sz w:val="24"/>
          <w:highlight w:val="none"/>
          <w:lang w:val="en-US"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平台；进入“项目采购”应用，在获取采购文件菜单中选择项目，获取公开竞争文件；④响应文件的制作：在“</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电子交易客户端”中完成“填写基本信息”“导入响应文件”“标书关联”“标书检查”“电子签名”“生成电子标书”等操作；⑤交易发起人、代理机构将依托</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val="en-US" w:eastAsia="zh-CN"/>
        </w:rPr>
        <w:t>乐</w:t>
      </w:r>
      <w:r>
        <w:rPr>
          <w:rFonts w:hint="eastAsia" w:ascii="宋体" w:hAnsi="宋体" w:cs="宋体"/>
          <w:color w:val="auto"/>
          <w:sz w:val="24"/>
          <w:highlight w:val="none"/>
          <w:lang w:val="en-US" w:eastAsia="zh-CN"/>
        </w:rPr>
        <w:t>采</w:t>
      </w:r>
      <w:r>
        <w:rPr>
          <w:rFonts w:hint="eastAsia" w:ascii="宋体" w:hAnsi="宋体" w:eastAsia="宋体" w:cs="宋体"/>
          <w:color w:val="auto"/>
          <w:sz w:val="24"/>
          <w:highlight w:val="none"/>
        </w:rPr>
        <w:t>云平台；⑨响应文件的解密：响应人按照平台提示和公开竞争文件的规定在半小时内完成在线解密。通过“</w:t>
      </w:r>
      <w:r>
        <w:rPr>
          <w:rFonts w:hint="eastAsia" w:ascii="宋体" w:hAnsi="宋体" w:eastAsia="宋体" w:cs="宋体"/>
          <w:color w:val="auto"/>
          <w:sz w:val="24"/>
          <w:highlight w:val="none"/>
          <w:lang w:val="en-US" w:eastAsia="zh-CN"/>
        </w:rPr>
        <w:t>乐</w:t>
      </w:r>
      <w:r>
        <w:rPr>
          <w:rFonts w:hint="eastAsia" w:ascii="宋体" w:hAnsi="宋体" w:cs="宋体"/>
          <w:color w:val="auto"/>
          <w:sz w:val="24"/>
          <w:highlight w:val="none"/>
          <w:lang w:val="en-US" w:eastAsia="zh-CN"/>
        </w:rPr>
        <w:t>采</w:t>
      </w:r>
      <w:r>
        <w:rPr>
          <w:rFonts w:hint="eastAsia" w:ascii="宋体" w:hAnsi="宋体" w:eastAsia="宋体" w:cs="宋体"/>
          <w:color w:val="auto"/>
          <w:sz w:val="24"/>
          <w:highlight w:val="none"/>
        </w:rPr>
        <w:t>云平台”上传递交的响应文件无法按时解密，视为响应文件撤回；⑩具体操作指南：详见</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平台“服务中心-帮助文档-项目采购-操作流程-电子招投标-政府采购项目电子交易管理操作指南-供应商”。</w:t>
      </w:r>
    </w:p>
    <w:p w14:paraId="35F0A843">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14:paraId="706B1FD9">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14:paraId="3682C47E">
      <w:pPr>
        <w:spacing w:line="360" w:lineRule="auto"/>
        <w:ind w:firstLine="480" w:firstLineChars="200"/>
        <w:jc w:val="left"/>
        <w:rPr>
          <w:rFonts w:ascii="宋体" w:hAnsi="宋体" w:cs="宋体"/>
          <w:color w:val="auto"/>
          <w:sz w:val="24"/>
          <w:highlight w:val="none"/>
        </w:rPr>
      </w:pPr>
      <w:bookmarkStart w:id="10" w:name="_Toc28359086"/>
      <w:bookmarkStart w:id="11" w:name="_Toc28359009"/>
      <w:r>
        <w:rPr>
          <w:rFonts w:hint="eastAsia" w:ascii="宋体" w:hAnsi="宋体" w:cs="宋体"/>
          <w:color w:val="auto"/>
          <w:sz w:val="24"/>
          <w:highlight w:val="none"/>
        </w:rPr>
        <w:t>名称：杭州萧山经济技术开发区国有</w:t>
      </w:r>
      <w:r>
        <w:rPr>
          <w:rFonts w:hint="eastAsia" w:ascii="宋体" w:hAnsi="宋体" w:cs="宋体"/>
          <w:color w:val="auto"/>
          <w:sz w:val="24"/>
          <w:highlight w:val="none"/>
          <w:lang w:eastAsia="zh-CN"/>
        </w:rPr>
        <w:t>资产经营有限公司</w:t>
      </w:r>
    </w:p>
    <w:p w14:paraId="450A9CC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bCs/>
          <w:color w:val="auto"/>
          <w:sz w:val="24"/>
          <w:highlight w:val="none"/>
        </w:rPr>
        <w:t>杭州市萧山区市心北路99号</w:t>
      </w:r>
    </w:p>
    <w:p w14:paraId="4D283DA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szCs w:val="28"/>
          <w:highlight w:val="none"/>
          <w:lang w:val="en-US" w:eastAsia="zh-CN"/>
        </w:rPr>
        <w:t>何严佳仪</w:t>
      </w:r>
    </w:p>
    <w:p w14:paraId="32C8DC81">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highlight w:val="none"/>
        </w:rPr>
        <w:t>项目联系方式（询问）：</w:t>
      </w:r>
      <w:r>
        <w:rPr>
          <w:rFonts w:hint="eastAsia" w:ascii="宋体" w:hAnsi="宋体" w:eastAsia="宋体" w:cs="宋体"/>
          <w:color w:val="auto"/>
          <w:sz w:val="24"/>
          <w:szCs w:val="28"/>
          <w:highlight w:val="none"/>
        </w:rPr>
        <w:t>0571-</w:t>
      </w:r>
      <w:r>
        <w:rPr>
          <w:rFonts w:hint="eastAsia" w:ascii="宋体" w:hAnsi="宋体" w:cs="宋体"/>
          <w:color w:val="auto"/>
          <w:sz w:val="24"/>
          <w:szCs w:val="28"/>
          <w:highlight w:val="none"/>
          <w:lang w:val="en-US" w:eastAsia="zh-CN"/>
        </w:rPr>
        <w:t>82107537</w:t>
      </w:r>
    </w:p>
    <w:p w14:paraId="7AE1B536">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14:paraId="16C22A71">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14:paraId="7125F0ED">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14:paraId="61C9B9E1">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高华萍</w:t>
      </w:r>
    </w:p>
    <w:p w14:paraId="1AF48E7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8"/>
          <w:highlight w:val="none"/>
        </w:rPr>
        <w:t>项目联系方式（询问）：0571-838812</w:t>
      </w:r>
      <w:r>
        <w:rPr>
          <w:rFonts w:hint="eastAsia" w:ascii="宋体" w:hAnsi="宋体" w:cs="宋体"/>
          <w:color w:val="auto"/>
          <w:sz w:val="24"/>
          <w:szCs w:val="28"/>
          <w:highlight w:val="none"/>
          <w:lang w:val="en-US" w:eastAsia="zh-CN"/>
        </w:rPr>
        <w:t>1</w:t>
      </w:r>
      <w:r>
        <w:rPr>
          <w:rFonts w:hint="eastAsia" w:ascii="宋体" w:hAnsi="宋体" w:cs="宋体"/>
          <w:color w:val="auto"/>
          <w:sz w:val="24"/>
          <w:szCs w:val="28"/>
          <w:highlight w:val="none"/>
        </w:rPr>
        <w:t>8</w:t>
      </w:r>
    </w:p>
    <w:p w14:paraId="0930D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3.采购监督管理部门：</w:t>
      </w:r>
    </w:p>
    <w:p w14:paraId="5E4F6C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名称：开发区财政局</w:t>
      </w:r>
    </w:p>
    <w:p w14:paraId="0F6774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地址：杭州市萧山区市心北路99号</w:t>
      </w:r>
    </w:p>
    <w:p w14:paraId="6B2E7180">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王先生</w:t>
      </w:r>
      <w:bookmarkStart w:id="384" w:name="_GoBack"/>
      <w:bookmarkEnd w:id="384"/>
    </w:p>
    <w:p w14:paraId="4E04E63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监督投诉电话：0571-8</w:t>
      </w:r>
      <w:r>
        <w:rPr>
          <w:rFonts w:hint="eastAsia" w:ascii="宋体" w:hAnsi="宋体" w:cs="宋体"/>
          <w:color w:val="auto"/>
          <w:sz w:val="24"/>
          <w:highlight w:val="none"/>
          <w:lang w:val="en-US" w:eastAsia="zh-CN"/>
        </w:rPr>
        <w:t>2866806</w:t>
      </w:r>
    </w:p>
    <w:p w14:paraId="471E7347">
      <w:pPr>
        <w:spacing w:line="360" w:lineRule="auto"/>
        <w:ind w:firstLine="480" w:firstLineChars="200"/>
        <w:rPr>
          <w:rFonts w:ascii="宋体" w:hAnsi="宋体" w:cs="宋体"/>
          <w:color w:val="auto"/>
          <w:sz w:val="24"/>
          <w:highlight w:val="none"/>
        </w:rPr>
      </w:pPr>
    </w:p>
    <w:p w14:paraId="6556BE07">
      <w:pPr>
        <w:spacing w:line="360" w:lineRule="auto"/>
        <w:ind w:firstLine="480" w:firstLineChars="200"/>
        <w:rPr>
          <w:rFonts w:ascii="宋体" w:hAnsi="宋体" w:cs="宋体"/>
          <w:color w:val="auto"/>
          <w:sz w:val="24"/>
          <w:highlight w:val="none"/>
        </w:rPr>
      </w:pPr>
    </w:p>
    <w:p w14:paraId="613901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w:t>
      </w:r>
      <w:r>
        <w:rPr>
          <w:rFonts w:hint="eastAsia" w:ascii="宋体" w:hAnsi="宋体" w:eastAsia="宋体" w:cs="宋体"/>
          <w:color w:val="auto"/>
          <w:sz w:val="24"/>
          <w:highlight w:val="none"/>
        </w:rPr>
        <w:t>乐采云平台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采云服务热线95763获取热线服务帮助。</w:t>
      </w:r>
    </w:p>
    <w:p w14:paraId="747426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321D60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响应人须知</w:t>
      </w:r>
      <w:bookmarkEnd w:id="8"/>
    </w:p>
    <w:p w14:paraId="38788C5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288FA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94C06F7">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FBCC990">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49290CE4">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89F5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37D02C">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F119A18">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56751E05">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14:paraId="2D4A6C29">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14:paraId="5A574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E95CC94">
            <w:pPr>
              <w:snapToGrid w:val="0"/>
              <w:jc w:val="center"/>
              <w:rPr>
                <w:rFonts w:ascii="宋体" w:hAnsi="宋体" w:cs="宋体"/>
                <w:color w:val="auto"/>
                <w:sz w:val="24"/>
                <w:highlight w:val="none"/>
              </w:rPr>
            </w:pPr>
          </w:p>
          <w:p w14:paraId="47D12556">
            <w:pPr>
              <w:snapToGrid w:val="0"/>
              <w:jc w:val="center"/>
              <w:rPr>
                <w:rFonts w:ascii="宋体" w:hAnsi="宋体" w:cs="宋体"/>
                <w:color w:val="auto"/>
                <w:sz w:val="24"/>
                <w:highlight w:val="none"/>
              </w:rPr>
            </w:pPr>
          </w:p>
          <w:p w14:paraId="2F790223">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EDBC504">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7E817CCF">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14:paraId="200D4495">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14:paraId="63A81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E97E71">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F53EE8">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4B9E640D">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14:paraId="7E784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7AC49E">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B83CE12">
            <w:pPr>
              <w:snapToGrid w:val="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6D728649">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14:paraId="54885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E9A7945">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4BBFF0">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62B65A71">
            <w:pPr>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14:paraId="5F624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FF8D3CC">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AA17E35">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2CDAB005">
            <w:pPr>
              <w:rPr>
                <w:rFonts w:ascii="宋体" w:hAnsi="宋体" w:cs="宋体"/>
                <w:bCs/>
                <w:color w:val="auto"/>
                <w:sz w:val="24"/>
                <w:highlight w:val="none"/>
              </w:rPr>
            </w:pPr>
            <w:r>
              <w:rPr>
                <w:rFonts w:hint="eastAsia" w:ascii="宋体" w:hAnsi="宋体" w:cs="宋体"/>
                <w:bCs/>
                <w:color w:val="auto"/>
                <w:sz w:val="24"/>
                <w:highlight w:val="none"/>
              </w:rPr>
              <w:t>（√）A不要求提供。</w:t>
            </w:r>
          </w:p>
        </w:tc>
      </w:tr>
      <w:tr w14:paraId="3AFDB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C7A919A">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C315E6">
            <w:pPr>
              <w:snapToGrid w:val="0"/>
              <w:jc w:val="center"/>
              <w:rPr>
                <w:rFonts w:ascii="宋体" w:hAnsi="宋体" w:cs="宋体"/>
                <w:color w:val="auto"/>
                <w:sz w:val="24"/>
                <w:highlight w:val="none"/>
              </w:rPr>
            </w:pPr>
            <w:r>
              <w:rPr>
                <w:rFonts w:hint="eastAsia" w:ascii="宋体" w:hAnsi="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0CEB5E49">
            <w:pPr>
              <w:snapToGrid w:val="0"/>
              <w:rPr>
                <w:rFonts w:ascii="宋体" w:hAnsi="宋体" w:cs="宋体"/>
                <w:color w:val="auto"/>
                <w:sz w:val="24"/>
                <w:highlight w:val="none"/>
              </w:rPr>
            </w:pPr>
            <w:r>
              <w:rPr>
                <w:rFonts w:hint="eastAsia" w:ascii="宋体" w:hAnsi="宋体" w:cs="宋体"/>
                <w:color w:val="auto"/>
                <w:sz w:val="24"/>
                <w:highlight w:val="none"/>
              </w:rPr>
              <w:t>（√）A不组织。</w:t>
            </w:r>
          </w:p>
          <w:p w14:paraId="76F54CB5">
            <w:pPr>
              <w:snapToGrid w:val="0"/>
              <w:rPr>
                <w:rFonts w:ascii="宋体" w:hAnsi="宋体" w:cs="宋体"/>
                <w:color w:val="auto"/>
                <w:highlight w:val="none"/>
              </w:rPr>
            </w:pPr>
            <w:r>
              <w:rPr>
                <w:rFonts w:hint="eastAsia" w:ascii="宋体" w:hAnsi="宋体" w:cs="宋体"/>
                <w:color w:val="auto"/>
                <w:sz w:val="24"/>
                <w:highlight w:val="none"/>
              </w:rPr>
              <w:t>（  ）B组织。</w:t>
            </w:r>
          </w:p>
        </w:tc>
      </w:tr>
      <w:tr w14:paraId="70E2C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7F721B79">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35E7F0B8">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66B908B5">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14:paraId="2F423C52">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14:paraId="6293E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11D73E7F">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765CED90">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6C46B48E">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14:paraId="155B07CA">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14:paraId="159D01C4">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14:paraId="14549A15">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14:paraId="11B9BAF4">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6F5F462F">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14:paraId="4559E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6D459B4">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2CCF3E5">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03C29ED0">
            <w:pPr>
              <w:pStyle w:val="35"/>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14:paraId="09088C9E">
            <w:pPr>
              <w:pStyle w:val="35"/>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成交单位在成交后提供纸质响应文件一正二副。</w:t>
            </w:r>
          </w:p>
        </w:tc>
      </w:tr>
      <w:tr w14:paraId="63B51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AFB5CDD">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93CA90A">
            <w:pPr>
              <w:snapToGrid w:val="0"/>
              <w:jc w:val="center"/>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4E1F23DA">
            <w:pPr>
              <w:snapToGrid w:val="0"/>
              <w:rPr>
                <w:rFonts w:ascii="宋体" w:hAnsi="宋体" w:cs="宋体"/>
                <w:bCs/>
                <w:color w:val="auto"/>
                <w:kern w:val="0"/>
                <w:sz w:val="24"/>
                <w:highlight w:val="none"/>
              </w:rPr>
            </w:pPr>
            <w:r>
              <w:rPr>
                <w:rFonts w:hint="eastAsia" w:ascii="宋体" w:hAnsi="宋体" w:cs="宋体"/>
                <w:bCs/>
                <w:color w:val="auto"/>
                <w:kern w:val="0"/>
                <w:sz w:val="24"/>
                <w:highlight w:val="none"/>
                <w:lang w:val="zh-CN" w:eastAsia="zh-CN"/>
              </w:rPr>
              <w:t>本项目代理服务费由</w:t>
            </w:r>
            <w:r>
              <w:rPr>
                <w:rFonts w:hint="eastAsia" w:ascii="宋体" w:hAnsi="宋体" w:cs="宋体"/>
                <w:bCs/>
                <w:color w:val="auto"/>
                <w:kern w:val="0"/>
                <w:sz w:val="24"/>
                <w:highlight w:val="none"/>
                <w:lang w:val="en-US" w:eastAsia="zh-CN"/>
              </w:rPr>
              <w:t>交易发起人</w:t>
            </w:r>
            <w:r>
              <w:rPr>
                <w:rFonts w:hint="eastAsia" w:ascii="宋体" w:hAnsi="宋体" w:cs="宋体"/>
                <w:bCs/>
                <w:color w:val="auto"/>
                <w:kern w:val="0"/>
                <w:sz w:val="24"/>
                <w:highlight w:val="none"/>
                <w:lang w:val="zh-CN" w:eastAsia="zh-CN"/>
              </w:rPr>
              <w:t>支付。</w:t>
            </w:r>
          </w:p>
        </w:tc>
      </w:tr>
      <w:tr w14:paraId="349D4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5478ABF">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5763F35">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1839B8C0">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履约保证金</w:t>
            </w:r>
            <w:r>
              <w:rPr>
                <w:rFonts w:hint="eastAsia" w:ascii="宋体" w:hAnsi="宋体" w:cs="宋体"/>
                <w:bCs/>
                <w:color w:val="auto"/>
                <w:kern w:val="0"/>
                <w:sz w:val="24"/>
                <w:highlight w:val="none"/>
                <w:lang w:val="en-US" w:eastAsia="zh-CN"/>
              </w:rPr>
              <w:t>:1%</w:t>
            </w:r>
            <w:r>
              <w:rPr>
                <w:rFonts w:hint="eastAsia" w:ascii="宋体" w:hAnsi="宋体" w:cs="宋体"/>
                <w:bCs/>
                <w:color w:val="auto"/>
                <w:kern w:val="0"/>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应当以支票</w:t>
            </w:r>
            <w:r>
              <w:rPr>
                <w:rFonts w:hint="eastAsia" w:hAnsi="宋体" w:cs="宋体"/>
                <w:color w:val="auto"/>
                <w:sz w:val="24"/>
                <w:highlight w:val="none"/>
                <w:lang w:eastAsia="zh-CN"/>
              </w:rPr>
              <w:t>或</w:t>
            </w:r>
            <w:r>
              <w:rPr>
                <w:rFonts w:hint="eastAsia" w:ascii="宋体" w:hAnsi="宋体" w:eastAsia="宋体" w:cs="宋体"/>
                <w:color w:val="auto"/>
                <w:sz w:val="24"/>
                <w:highlight w:val="none"/>
              </w:rPr>
              <w:t>汇票等非现金形式提交。</w:t>
            </w:r>
          </w:p>
        </w:tc>
      </w:tr>
      <w:tr w14:paraId="3FC03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FFA2575">
            <w:pPr>
              <w:snapToGrid w:val="0"/>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E602B07">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725379B6">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14:paraId="77F5B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6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AF9D436">
            <w:pPr>
              <w:snapToGrid w:val="0"/>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90BAB18">
            <w:pPr>
              <w:snapToGrid w:val="0"/>
              <w:jc w:val="center"/>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5190ABBC">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范梦迪</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0571-83881208</w:t>
            </w:r>
          </w:p>
          <w:p w14:paraId="59239F1A">
            <w:pPr>
              <w:snapToGrid w:val="0"/>
              <w:spacing w:line="500" w:lineRule="exac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14:paraId="595B640B">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邮箱：</w:t>
            </w:r>
            <w:r>
              <w:rPr>
                <w:color w:val="auto"/>
                <w:highlight w:val="none"/>
              </w:rPr>
              <w:fldChar w:fldCharType="begin"/>
            </w:r>
            <w:r>
              <w:rPr>
                <w:color w:val="auto"/>
                <w:highlight w:val="none"/>
              </w:rPr>
              <w:instrText xml:space="preserve"> HYPERLINK "mailto:382733636@qq.com" </w:instrText>
            </w:r>
            <w:r>
              <w:rPr>
                <w:color w:val="auto"/>
                <w:highlight w:val="none"/>
              </w:rPr>
              <w:fldChar w:fldCharType="separate"/>
            </w:r>
            <w:r>
              <w:rPr>
                <w:rFonts w:hint="eastAsia" w:ascii="仿宋" w:hAnsi="仿宋" w:eastAsia="仿宋" w:cs="仿宋"/>
                <w:color w:val="auto"/>
                <w:sz w:val="24"/>
                <w:highlight w:val="none"/>
                <w:u w:val="single"/>
              </w:rPr>
              <w:t>492477800@qq.com</w:t>
            </w:r>
            <w:r>
              <w:rPr>
                <w:rFonts w:hint="eastAsia" w:ascii="仿宋" w:hAnsi="仿宋" w:eastAsia="仿宋" w:cs="仿宋"/>
                <w:color w:val="auto"/>
                <w:sz w:val="24"/>
                <w:highlight w:val="none"/>
                <w:u w:val="single"/>
              </w:rPr>
              <w:fldChar w:fldCharType="end"/>
            </w:r>
          </w:p>
          <w:p w14:paraId="024B3302">
            <w:pPr>
              <w:snapToGrid w:val="0"/>
              <w:spacing w:line="400" w:lineRule="exact"/>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），盖章扫描后发送，异议的受理按答复主体划分以交易发起人或代理机构邮箱回复确认受理为准。</w:t>
            </w:r>
          </w:p>
          <w:p w14:paraId="5B3756E5">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14:paraId="0809D9B7">
            <w:pPr>
              <w:pStyle w:val="35"/>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14:paraId="1DBB2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6F9CCC1">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344E281">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60745309">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14:paraId="704CD0BF">
      <w:pPr>
        <w:snapToGrid w:val="0"/>
        <w:spacing w:line="360" w:lineRule="auto"/>
        <w:jc w:val="center"/>
        <w:rPr>
          <w:rFonts w:ascii="宋体" w:hAnsi="宋体" w:cs="宋体"/>
          <w:b/>
          <w:color w:val="auto"/>
          <w:sz w:val="32"/>
          <w:szCs w:val="20"/>
          <w:highlight w:val="none"/>
        </w:rPr>
      </w:pPr>
    </w:p>
    <w:bookmarkEnd w:id="9"/>
    <w:p w14:paraId="736FEF45">
      <w:pPr>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14:paraId="16B6CF2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AA919EB">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7BCF32A3">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14:paraId="7D22B2AF">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14:paraId="6F4FAD39">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14:paraId="730B1982">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14:paraId="0D346F98">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2.3“响应人”系指响应招标、参加投标竞争的法人、其他组织或者自然人。</w:t>
      </w:r>
    </w:p>
    <w:p w14:paraId="4BF615B7">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10F2D8E6">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1D7A434B">
      <w:pPr>
        <w:keepNext w:val="0"/>
        <w:keepLines w:val="0"/>
        <w:pageBreakBefore w:val="0"/>
        <w:kinsoku/>
        <w:wordWrap/>
        <w:overflowPunct/>
        <w:topLinePunct w:val="0"/>
        <w:bidi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r>
        <w:rPr>
          <w:rFonts w:hint="eastAsia" w:ascii="宋体" w:hAnsi="宋体" w:cs="宋体"/>
          <w:color w:val="auto"/>
          <w:sz w:val="24"/>
          <w:highlight w:val="none"/>
        </w:rPr>
        <w:t>“电子交易平台”是指本项目交易活动所依托的</w:t>
      </w:r>
      <w:r>
        <w:rPr>
          <w:rFonts w:hint="eastAsia" w:ascii="宋体" w:hAnsi="宋体" w:eastAsia="宋体" w:cs="宋体"/>
          <w:color w:val="auto"/>
          <w:sz w:val="24"/>
          <w:highlight w:val="none"/>
        </w:rPr>
        <w:t>乐采云平台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026595A1">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08A39919">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14:paraId="6561CBFE">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14:paraId="1B2E44DD">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073D9F1E">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14:paraId="61ED01A8">
      <w:pPr>
        <w:pStyle w:val="35"/>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14:paraId="317F9D5C">
      <w:pPr>
        <w:pStyle w:val="35"/>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14:paraId="2BD4C666">
      <w:pPr>
        <w:pStyle w:val="35"/>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14:paraId="4D46D3A5">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14:paraId="215BBB30">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14:paraId="02C152B0">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14:paraId="283619E9">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14:paraId="6973957E">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14:paraId="6D7298A8">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14:paraId="7AF87DBB">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14:paraId="63111C05">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73C4B180">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14:paraId="37E52EE3">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76E50CD9">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14:paraId="629912F5">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14:paraId="4CA86A17">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14:paraId="34E90375">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14:paraId="036E74C6">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14:paraId="27B1EA83">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14:paraId="43D4DEAB">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14:paraId="093DB610">
      <w:pPr>
        <w:pStyle w:val="139"/>
        <w:snapToGrid w:val="0"/>
        <w:spacing w:before="0" w:line="460" w:lineRule="exact"/>
        <w:ind w:firstLine="360"/>
        <w:rPr>
          <w:rFonts w:ascii="宋体" w:hAnsi="宋体" w:cs="宋体"/>
          <w:color w:val="auto"/>
          <w:sz w:val="18"/>
          <w:szCs w:val="18"/>
          <w:highlight w:val="none"/>
        </w:rPr>
      </w:pPr>
    </w:p>
    <w:p w14:paraId="6E8EE17B">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14:paraId="2F78729A">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14:paraId="79ABA3E6">
      <w:pPr>
        <w:pStyle w:val="3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14:paraId="11DBB817">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14:paraId="21A0B26C">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14:paraId="325988E6">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14:paraId="2C00432D">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14:paraId="5881D349">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14:paraId="0C3813E2">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14:paraId="48D7707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14:paraId="4D2818EE">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14:paraId="77EC2BA4">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14:paraId="767CA898">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593ADB5F">
      <w:pPr>
        <w:adjustRightInd/>
        <w:spacing w:line="460" w:lineRule="exact"/>
        <w:jc w:val="center"/>
        <w:outlineLvl w:val="0"/>
        <w:rPr>
          <w:rFonts w:ascii="宋体" w:hAnsi="宋体" w:cs="宋体"/>
          <w:b/>
          <w:color w:val="auto"/>
          <w:sz w:val="30"/>
          <w:szCs w:val="20"/>
          <w:highlight w:val="none"/>
        </w:rPr>
      </w:pPr>
    </w:p>
    <w:p w14:paraId="5690CAD6">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14:paraId="1458DDA7">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14:paraId="0D49E87A">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14:paraId="25BC5ECC">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14:paraId="297B2D20">
      <w:pPr>
        <w:pStyle w:val="3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本项目不组织交易前答疑会或现场考察。</w:t>
      </w:r>
    </w:p>
    <w:p w14:paraId="149AA4C1">
      <w:pPr>
        <w:pStyle w:val="35"/>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14:paraId="28022043">
      <w:pPr>
        <w:pStyle w:val="17"/>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39098AAD">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14:paraId="7E7756DD">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14:paraId="0E7B7A0A">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14:paraId="372A1F0E">
      <w:pPr>
        <w:snapToGrid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10.1资格文件：</w:t>
      </w:r>
    </w:p>
    <w:p w14:paraId="1C188C80">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14:paraId="44EA5614">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14:paraId="262029FD">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549889B1">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14:paraId="7B3CE7EE">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14:paraId="6F197C74">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14:paraId="146AA667">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14:paraId="01ADA9AA">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14:paraId="36E5C60D">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14:paraId="1FFECA4F">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14:paraId="796775F1">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31CA6511">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14:paraId="74D88F0F">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14:paraId="5FDF7F08">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14:paraId="604748E4">
      <w:pPr>
        <w:pStyle w:val="139"/>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14:paraId="70C9D9EA">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69C1A64B">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.2响应人进行电子投标应安装客户端软件—“</w:t>
      </w:r>
      <w:r>
        <w:rPr>
          <w:rFonts w:hint="eastAsia" w:ascii="宋体" w:hAnsi="宋体" w:cs="宋体"/>
          <w:color w:val="auto"/>
          <w:kern w:val="0"/>
          <w:sz w:val="24"/>
          <w:highlight w:val="none"/>
          <w:lang w:val="en-US" w:eastAsia="zh-CN"/>
        </w:rPr>
        <w:t>乐采</w:t>
      </w:r>
      <w:r>
        <w:rPr>
          <w:rFonts w:hint="eastAsia" w:ascii="宋体" w:hAnsi="宋体" w:eastAsia="宋体" w:cs="宋体"/>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5E834F90">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w:t>
      </w:r>
      <w:r>
        <w:rPr>
          <w:rFonts w:hint="eastAsia" w:ascii="宋体" w:hAnsi="宋体" w:cs="宋体"/>
          <w:color w:val="auto"/>
          <w:kern w:val="0"/>
          <w:sz w:val="24"/>
          <w:highlight w:val="none"/>
          <w:lang w:val="en-US" w:eastAsia="zh-CN"/>
        </w:rPr>
        <w:t>乐采</w:t>
      </w:r>
      <w:r>
        <w:rPr>
          <w:rFonts w:hint="eastAsia" w:ascii="宋体" w:hAnsi="宋体" w:eastAsia="宋体" w:cs="宋体"/>
          <w:color w:val="auto"/>
          <w:kern w:val="0"/>
          <w:sz w:val="24"/>
          <w:highlight w:val="none"/>
          <w:lang w:val="zh-CN"/>
        </w:rPr>
        <w:t>云电子交易客户端”需要提前申领CA数字证书，申领流程请自行前往“</w:t>
      </w:r>
      <w:r>
        <w:rPr>
          <w:rFonts w:hint="eastAsia" w:ascii="宋体" w:hAnsi="宋体" w:cs="宋体"/>
          <w:color w:val="auto"/>
          <w:sz w:val="24"/>
          <w:highlight w:val="none"/>
          <w:lang w:val="en-US" w:eastAsia="zh-CN"/>
        </w:rPr>
        <w:t>浙江企业采购信息服务网</w:t>
      </w:r>
      <w:r>
        <w:rPr>
          <w:rFonts w:hint="eastAsia" w:ascii="宋体" w:hAnsi="宋体" w:eastAsia="宋体" w:cs="宋体"/>
          <w:color w:val="auto"/>
          <w:sz w:val="24"/>
          <w:highlight w:val="none"/>
        </w:rPr>
        <w:t>-下载专区-电子交易客户端</w:t>
      </w:r>
      <w:r>
        <w:rPr>
          <w:rFonts w:hint="eastAsia" w:ascii="宋体" w:hAnsi="宋体" w:eastAsia="宋体" w:cs="宋体"/>
          <w:color w:val="auto"/>
          <w:kern w:val="0"/>
          <w:sz w:val="24"/>
          <w:highlight w:val="none"/>
          <w:lang w:val="zh-CN"/>
        </w:rPr>
        <w:t>-CA驱动和申领流程”进行查阅。</w:t>
      </w:r>
    </w:p>
    <w:p w14:paraId="09BFFA43">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14:paraId="7363A57E">
      <w:pPr>
        <w:pStyle w:val="139"/>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14:paraId="0667BFE0">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w:t>
      </w:r>
      <w:r>
        <w:rPr>
          <w:rFonts w:hint="eastAsia" w:ascii="宋体" w:hAnsi="宋体" w:cs="宋体"/>
          <w:color w:val="auto"/>
          <w:highlight w:val="none"/>
          <w:lang w:val="en-US" w:eastAsia="zh-CN"/>
        </w:rPr>
        <w:t>乐采</w:t>
      </w:r>
      <w:r>
        <w:rPr>
          <w:rFonts w:hint="eastAsia" w:ascii="宋体" w:hAnsi="宋体" w:eastAsia="宋体" w:cs="宋体"/>
          <w:color w:val="auto"/>
          <w:highlight w:val="none"/>
        </w:rPr>
        <w:t>云平台</w:t>
      </w:r>
      <w:r>
        <w:rPr>
          <w:rFonts w:hint="eastAsia" w:ascii="宋体" w:hAnsi="宋体" w:cs="宋体"/>
          <w:color w:val="auto"/>
          <w:highlight w:val="none"/>
        </w:rPr>
        <w:t>”的身份认证，确保在电子投标过程中能够对相关数据电文进行加密和使用电子签名。</w:t>
      </w:r>
    </w:p>
    <w:p w14:paraId="33D9414A">
      <w:pPr>
        <w:pStyle w:val="139"/>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14:paraId="7309F0A4">
      <w:pPr>
        <w:pStyle w:val="139"/>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14:paraId="79B08F4B">
      <w:pPr>
        <w:pStyle w:val="139"/>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04573375">
      <w:pPr>
        <w:pStyle w:val="139"/>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06416E4A">
      <w:pPr>
        <w:pStyle w:val="139"/>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06CAA7ED">
      <w:pPr>
        <w:pStyle w:val="35"/>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14:paraId="5342B1A2">
      <w:pPr>
        <w:pStyle w:val="35"/>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14:paraId="28A4DC46">
      <w:pPr>
        <w:pStyle w:val="139"/>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14:paraId="619FD110">
      <w:pPr>
        <w:pStyle w:val="27"/>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14:paraId="625DF145">
      <w:pPr>
        <w:pStyle w:val="139"/>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14:paraId="4F556F53">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14:paraId="01D1099C">
      <w:pPr>
        <w:pStyle w:val="139"/>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14:paraId="4A2761B0">
      <w:pPr>
        <w:pStyle w:val="139"/>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761393D1">
      <w:pPr>
        <w:pStyle w:val="139"/>
        <w:spacing w:before="0" w:line="460" w:lineRule="exact"/>
        <w:ind w:firstLine="643"/>
        <w:rPr>
          <w:rFonts w:ascii="宋体" w:hAnsi="宋体" w:cs="宋体"/>
          <w:b/>
          <w:color w:val="auto"/>
          <w:sz w:val="32"/>
          <w:highlight w:val="none"/>
        </w:rPr>
      </w:pPr>
    </w:p>
    <w:p w14:paraId="78ED97FE">
      <w:pPr>
        <w:pStyle w:val="139"/>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14:paraId="4A647351">
      <w:pPr>
        <w:pStyle w:val="564"/>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14:paraId="23D3BCF6">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14:paraId="6CAE04B5">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716C04E">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14:paraId="7448FCF6">
      <w:pPr>
        <w:pStyle w:val="27"/>
        <w:spacing w:line="460" w:lineRule="exact"/>
        <w:ind w:left="479" w:hanging="479" w:hangingChars="199"/>
        <w:rPr>
          <w:rFonts w:cs="宋体"/>
          <w:b/>
          <w:color w:val="auto"/>
          <w:highlight w:val="none"/>
        </w:rPr>
      </w:pPr>
      <w:r>
        <w:rPr>
          <w:rFonts w:hint="eastAsia" w:cs="宋体"/>
          <w:b/>
          <w:color w:val="auto"/>
          <w:highlight w:val="none"/>
        </w:rPr>
        <w:t>18、资格审查</w:t>
      </w:r>
    </w:p>
    <w:p w14:paraId="4E711B89">
      <w:pPr>
        <w:pStyle w:val="139"/>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14:paraId="0FE98D1D">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14:paraId="1B207FF6">
      <w:pPr>
        <w:pStyle w:val="139"/>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14:paraId="382ACAFC">
      <w:pPr>
        <w:pStyle w:val="139"/>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14:paraId="0AC3B2F0">
      <w:pPr>
        <w:pStyle w:val="139"/>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14:paraId="5CD91C3D">
      <w:pPr>
        <w:pStyle w:val="139"/>
        <w:spacing w:before="0" w:line="460" w:lineRule="exact"/>
        <w:ind w:firstLine="0" w:firstLineChars="0"/>
        <w:rPr>
          <w:rFonts w:ascii="宋体" w:hAnsi="宋体" w:cs="宋体"/>
          <w:color w:val="auto"/>
          <w:kern w:val="0"/>
          <w:szCs w:val="24"/>
          <w:highlight w:val="none"/>
        </w:rPr>
      </w:pPr>
    </w:p>
    <w:p w14:paraId="212A6B16">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14:paraId="5C1E8E4E">
      <w:pPr>
        <w:spacing w:line="460" w:lineRule="exact"/>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5625FF97">
      <w:pPr>
        <w:spacing w:line="460" w:lineRule="exact"/>
        <w:rPr>
          <w:rFonts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14:paraId="3928F3F8">
      <w:pPr>
        <w:spacing w:line="460" w:lineRule="exact"/>
        <w:rPr>
          <w:rFonts w:ascii="宋体" w:hAnsi="宋体" w:cs="宋体"/>
          <w:b/>
          <w:color w:val="auto"/>
          <w:sz w:val="24"/>
          <w:highlight w:val="none"/>
        </w:rPr>
      </w:pPr>
    </w:p>
    <w:p w14:paraId="5811F958">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12C13CF2">
      <w:pPr>
        <w:pStyle w:val="27"/>
        <w:spacing w:line="460" w:lineRule="exact"/>
        <w:ind w:left="479" w:hanging="479" w:hangingChars="199"/>
        <w:rPr>
          <w:rFonts w:cs="宋体"/>
          <w:b/>
          <w:color w:val="auto"/>
          <w:highlight w:val="none"/>
        </w:rPr>
      </w:pPr>
      <w:r>
        <w:rPr>
          <w:rFonts w:hint="eastAsia" w:cs="宋体"/>
          <w:b/>
          <w:color w:val="auto"/>
          <w:highlight w:val="none"/>
        </w:rPr>
        <w:t>20.确定成交响应人</w:t>
      </w:r>
    </w:p>
    <w:p w14:paraId="0648A216">
      <w:pPr>
        <w:pStyle w:val="139"/>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14:paraId="7A582458">
      <w:pPr>
        <w:pStyle w:val="139"/>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14:paraId="2801C3EC">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3065AB77">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14:paraId="49BF8BF3">
      <w:pPr>
        <w:snapToGrid w:val="0"/>
        <w:spacing w:line="460" w:lineRule="exact"/>
        <w:ind w:left="120" w:leftChars="57" w:firstLine="482" w:firstLineChars="150"/>
        <w:jc w:val="center"/>
        <w:rPr>
          <w:rFonts w:ascii="宋体" w:hAnsi="宋体" w:cs="宋体"/>
          <w:b/>
          <w:color w:val="auto"/>
          <w:sz w:val="32"/>
          <w:highlight w:val="none"/>
        </w:rPr>
      </w:pPr>
    </w:p>
    <w:p w14:paraId="3BCEC2F2">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9CF197F">
      <w:pPr>
        <w:pStyle w:val="27"/>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14:paraId="28A787F7">
      <w:pPr>
        <w:pStyle w:val="27"/>
        <w:spacing w:line="460" w:lineRule="exact"/>
        <w:ind w:left="479" w:hanging="479" w:hangingChars="199"/>
        <w:rPr>
          <w:rFonts w:cs="宋体"/>
          <w:b/>
          <w:color w:val="auto"/>
          <w:highlight w:val="none"/>
        </w:rPr>
      </w:pPr>
      <w:r>
        <w:rPr>
          <w:rFonts w:hint="eastAsia" w:cs="宋体"/>
          <w:b/>
          <w:color w:val="auto"/>
          <w:highlight w:val="none"/>
        </w:rPr>
        <w:t>23.合同的签订</w:t>
      </w:r>
    </w:p>
    <w:p w14:paraId="29584066">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交易发起人与成交人应当通过电子交易平台在成交通知书发出之日起三十日内，按照公开竞争文件确定的事项签订书面合同。</w:t>
      </w:r>
    </w:p>
    <w:p w14:paraId="4596B211">
      <w:pPr>
        <w:pStyle w:val="139"/>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4854B35F">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14:paraId="0F74F10A">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14:paraId="3D459825">
      <w:pPr>
        <w:pStyle w:val="139"/>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14:paraId="415B3D14">
      <w:pPr>
        <w:pStyle w:val="27"/>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cs="宋体"/>
          <w:bCs/>
          <w:color w:val="auto"/>
          <w:highlight w:val="none"/>
          <w:lang w:val="en-US" w:eastAsia="zh-CN"/>
        </w:rPr>
        <w:t>详见前附表</w:t>
      </w:r>
      <w:r>
        <w:rPr>
          <w:rFonts w:hint="eastAsia" w:cs="宋体"/>
          <w:bCs/>
          <w:color w:val="auto"/>
          <w:highlight w:val="none"/>
        </w:rPr>
        <w:t>。</w:t>
      </w:r>
    </w:p>
    <w:p w14:paraId="642F75EA">
      <w:pPr>
        <w:snapToGrid w:val="0"/>
        <w:spacing w:line="460" w:lineRule="exact"/>
        <w:ind w:firstLine="3357" w:firstLineChars="1045"/>
        <w:rPr>
          <w:rFonts w:ascii="宋体" w:hAnsi="宋体" w:cs="宋体"/>
          <w:b/>
          <w:color w:val="auto"/>
          <w:sz w:val="32"/>
          <w:highlight w:val="none"/>
        </w:rPr>
      </w:pPr>
    </w:p>
    <w:p w14:paraId="63CA5D5F">
      <w:pPr>
        <w:snapToGrid w:val="0"/>
        <w:spacing w:line="460" w:lineRule="exact"/>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DAFB8DD">
      <w:pPr>
        <w:pStyle w:val="139"/>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14:paraId="5EF864F8">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6E74F436">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3DA1B040">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68247558">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3430F8B0">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10E5209B">
      <w:pPr>
        <w:pStyle w:val="139"/>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534B6209">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8076859">
      <w:pPr>
        <w:pStyle w:val="27"/>
        <w:spacing w:line="460" w:lineRule="exact"/>
        <w:ind w:firstLine="0" w:firstLineChars="0"/>
        <w:rPr>
          <w:rFonts w:cs="宋体"/>
          <w:b/>
          <w:color w:val="auto"/>
          <w:highlight w:val="none"/>
        </w:rPr>
      </w:pPr>
      <w:r>
        <w:rPr>
          <w:rFonts w:hint="eastAsia" w:cs="宋体"/>
          <w:b/>
          <w:color w:val="auto"/>
          <w:highlight w:val="none"/>
        </w:rPr>
        <w:t>27.验收</w:t>
      </w:r>
    </w:p>
    <w:p w14:paraId="796C46E5">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14:paraId="4F60132C">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14:paraId="2140D5A1">
      <w:pPr>
        <w:jc w:val="center"/>
        <w:rPr>
          <w:rFonts w:ascii="宋体" w:hAnsi="宋体" w:cs="宋体"/>
          <w:color w:val="auto"/>
          <w:sz w:val="24"/>
          <w:highlight w:val="none"/>
        </w:rPr>
      </w:pPr>
      <w:r>
        <w:rPr>
          <w:rFonts w:hint="eastAsia" w:ascii="宋体" w:hAnsi="宋体" w:cs="宋体"/>
          <w:b/>
          <w:color w:val="auto"/>
          <w:sz w:val="36"/>
          <w:szCs w:val="36"/>
          <w:highlight w:val="none"/>
        </w:rPr>
        <w:t>第三部分   交易需求</w:t>
      </w:r>
    </w:p>
    <w:p w14:paraId="601CC36D">
      <w:pPr>
        <w:snapToGrid w:val="0"/>
        <w:spacing w:line="360" w:lineRule="auto"/>
        <w:jc w:val="center"/>
        <w:rPr>
          <w:rFonts w:hint="eastAsia" w:ascii="宋体" w:hAnsi="宋体" w:cs="宋体"/>
          <w:color w:val="auto"/>
          <w:sz w:val="24"/>
          <w:highlight w:val="none"/>
        </w:rPr>
      </w:pPr>
    </w:p>
    <w:p w14:paraId="7299A1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14:paraId="258D9619">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一、</w:t>
      </w:r>
      <w:r>
        <w:rPr>
          <w:rFonts w:hint="eastAsia" w:ascii="宋体" w:hAnsi="宋体" w:cs="宋体"/>
          <w:b/>
          <w:color w:val="auto"/>
          <w:sz w:val="28"/>
          <w:szCs w:val="28"/>
          <w:highlight w:val="none"/>
        </w:rPr>
        <w:t>交易一览表</w:t>
      </w:r>
    </w:p>
    <w:p w14:paraId="1E20B151">
      <w:pPr>
        <w:spacing w:after="120"/>
        <w:ind w:firstLine="480" w:firstLineChars="200"/>
        <w:rPr>
          <w:rFonts w:ascii="宋体" w:hAnsi="宋体" w:cs="宋体"/>
          <w:color w:val="auto"/>
          <w:highlight w:val="none"/>
        </w:rPr>
      </w:pPr>
      <w:r>
        <w:rPr>
          <w:rFonts w:hint="eastAsia" w:ascii="宋体" w:hAnsi="宋体" w:cs="宋体"/>
          <w:color w:val="auto"/>
          <w:sz w:val="24"/>
          <w:highlight w:val="none"/>
        </w:rPr>
        <w:t>标项：1</w:t>
      </w:r>
    </w:p>
    <w:tbl>
      <w:tblPr>
        <w:tblStyle w:val="65"/>
        <w:tblW w:w="9370" w:type="dxa"/>
        <w:jc w:val="center"/>
        <w:tblLayout w:type="fixed"/>
        <w:tblCellMar>
          <w:top w:w="0" w:type="dxa"/>
          <w:left w:w="0" w:type="dxa"/>
          <w:bottom w:w="0" w:type="dxa"/>
          <w:right w:w="0" w:type="dxa"/>
        </w:tblCellMar>
      </w:tblPr>
      <w:tblGrid>
        <w:gridCol w:w="732"/>
        <w:gridCol w:w="4253"/>
        <w:gridCol w:w="2058"/>
        <w:gridCol w:w="781"/>
        <w:gridCol w:w="773"/>
        <w:gridCol w:w="773"/>
      </w:tblGrid>
      <w:tr w14:paraId="0A26FFEF">
        <w:tblPrEx>
          <w:tblCellMar>
            <w:top w:w="0" w:type="dxa"/>
            <w:left w:w="0" w:type="dxa"/>
            <w:bottom w:w="0" w:type="dxa"/>
            <w:right w:w="0" w:type="dxa"/>
          </w:tblCellMar>
        </w:tblPrEx>
        <w:trPr>
          <w:cantSplit/>
          <w:trHeight w:val="699" w:hRule="atLeast"/>
          <w:jc w:val="center"/>
        </w:trPr>
        <w:tc>
          <w:tcPr>
            <w:tcW w:w="7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A80B07">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序号</w:t>
            </w:r>
          </w:p>
        </w:tc>
        <w:tc>
          <w:tcPr>
            <w:tcW w:w="425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E1D6D0A">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20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A0BB3D8">
            <w:pPr>
              <w:jc w:val="center"/>
              <w:rPr>
                <w:rFonts w:ascii="宋体" w:hAnsi="宋体" w:cs="宋体"/>
                <w:color w:val="auto"/>
                <w:sz w:val="24"/>
                <w:highlight w:val="none"/>
              </w:rPr>
            </w:pPr>
            <w:r>
              <w:rPr>
                <w:rFonts w:hint="eastAsia" w:ascii="宋体" w:hAnsi="宋体" w:cs="宋体"/>
                <w:color w:val="auto"/>
                <w:sz w:val="24"/>
                <w:highlight w:val="none"/>
              </w:rPr>
              <w:t>具体</w:t>
            </w:r>
            <w:r>
              <w:rPr>
                <w:rFonts w:hint="eastAsia" w:ascii="宋体" w:hAnsi="宋体" w:cs="宋体"/>
                <w:color w:val="auto"/>
                <w:sz w:val="24"/>
                <w:highlight w:val="none"/>
                <w:lang w:eastAsia="zh-CN"/>
              </w:rPr>
              <w:t>参数</w:t>
            </w:r>
            <w:r>
              <w:rPr>
                <w:rFonts w:hint="eastAsia" w:ascii="宋体" w:hAnsi="宋体" w:cs="宋体"/>
                <w:color w:val="auto"/>
                <w:sz w:val="24"/>
                <w:highlight w:val="none"/>
              </w:rPr>
              <w:t>要求</w:t>
            </w:r>
          </w:p>
        </w:tc>
        <w:tc>
          <w:tcPr>
            <w:tcW w:w="7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99DB58">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7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A446C9">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773" w:type="dxa"/>
            <w:tcBorders>
              <w:top w:val="single" w:color="auto" w:sz="4" w:space="0"/>
              <w:left w:val="nil"/>
              <w:bottom w:val="single" w:color="auto" w:sz="4" w:space="0"/>
              <w:right w:val="single" w:color="auto" w:sz="4" w:space="0"/>
            </w:tcBorders>
            <w:noWrap w:val="0"/>
            <w:vAlign w:val="center"/>
          </w:tcPr>
          <w:p w14:paraId="5354E765">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7ECF12E6">
        <w:tblPrEx>
          <w:tblCellMar>
            <w:top w:w="0" w:type="dxa"/>
            <w:left w:w="0" w:type="dxa"/>
            <w:bottom w:w="0" w:type="dxa"/>
            <w:right w:w="0" w:type="dxa"/>
          </w:tblCellMar>
        </w:tblPrEx>
        <w:trPr>
          <w:cantSplit/>
          <w:trHeight w:val="735" w:hRule="atLeast"/>
          <w:jc w:val="center"/>
        </w:trPr>
        <w:tc>
          <w:tcPr>
            <w:tcW w:w="7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88768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25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10422E5">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纬三路、经十路及经十一路增设电子警察和监控系统项目</w:t>
            </w:r>
          </w:p>
        </w:tc>
        <w:tc>
          <w:tcPr>
            <w:tcW w:w="20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43D692D">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7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BD3D67">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批</w:t>
            </w:r>
          </w:p>
        </w:tc>
        <w:tc>
          <w:tcPr>
            <w:tcW w:w="7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96675A1">
            <w:pPr>
              <w:jc w:val="center"/>
              <w:rPr>
                <w:rFonts w:ascii="宋体" w:hAnsi="宋体" w:cs="宋体"/>
                <w:color w:val="auto"/>
                <w:sz w:val="24"/>
                <w:highlight w:val="none"/>
              </w:rPr>
            </w:pPr>
            <w:r>
              <w:rPr>
                <w:rFonts w:hint="eastAsia" w:ascii="宋体" w:hAnsi="宋体" w:cs="宋体"/>
                <w:color w:val="auto"/>
                <w:sz w:val="24"/>
                <w:highlight w:val="none"/>
              </w:rPr>
              <w:t>1</w:t>
            </w:r>
          </w:p>
        </w:tc>
        <w:tc>
          <w:tcPr>
            <w:tcW w:w="773" w:type="dxa"/>
            <w:tcBorders>
              <w:top w:val="single" w:color="auto" w:sz="4" w:space="0"/>
              <w:left w:val="nil"/>
              <w:bottom w:val="single" w:color="auto" w:sz="4" w:space="0"/>
              <w:right w:val="single" w:color="auto" w:sz="4" w:space="0"/>
            </w:tcBorders>
            <w:noWrap w:val="0"/>
            <w:vAlign w:val="center"/>
          </w:tcPr>
          <w:p w14:paraId="4D842DF0">
            <w:pPr>
              <w:rPr>
                <w:rFonts w:ascii="宋体" w:hAnsi="宋体" w:cs="宋体"/>
                <w:color w:val="auto"/>
                <w:sz w:val="24"/>
                <w:highlight w:val="none"/>
              </w:rPr>
            </w:pPr>
          </w:p>
        </w:tc>
      </w:tr>
    </w:tbl>
    <w:p w14:paraId="3C7620D8">
      <w:pPr>
        <w:spacing w:line="360" w:lineRule="auto"/>
        <w:jc w:val="center"/>
        <w:rPr>
          <w:rFonts w:ascii="宋体" w:hAnsi="宋体" w:cs="宋体"/>
          <w:b/>
          <w:color w:val="auto"/>
          <w:sz w:val="24"/>
          <w:highlight w:val="none"/>
        </w:rPr>
      </w:pPr>
    </w:p>
    <w:p w14:paraId="26D9A442">
      <w:pPr>
        <w:spacing w:line="360" w:lineRule="auto"/>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二、交易需求</w:t>
      </w:r>
    </w:p>
    <w:p w14:paraId="4E447DA6">
      <w:pPr>
        <w:pStyle w:val="139"/>
        <w:keepNext w:val="0"/>
        <w:keepLines w:val="0"/>
        <w:pageBreakBefore w:val="0"/>
        <w:widowControl w:val="0"/>
        <w:kinsoku/>
        <w:wordWrap/>
        <w:overflowPunct/>
        <w:topLinePunct w:val="0"/>
        <w:bidi w:val="0"/>
        <w:adjustRightInd w:val="0"/>
        <w:snapToGrid/>
        <w:spacing w:before="0" w:beforeLines="0" w:line="360" w:lineRule="auto"/>
        <w:ind w:left="0" w:leftChars="0" w:firstLine="0" w:firstLineChars="0"/>
        <w:textAlignment w:val="auto"/>
        <w:outlineLvl w:val="2"/>
        <w:rPr>
          <w:rFonts w:hint="eastAsia" w:asciiTheme="minorEastAsia" w:hAnsiTheme="minorEastAsia" w:eastAsiaTheme="minorEastAsia" w:cstheme="minorEastAsia"/>
          <w:b/>
          <w:bCs/>
          <w:color w:val="auto"/>
          <w:szCs w:val="24"/>
          <w:highlight w:val="none"/>
          <w:lang w:val="en-US" w:eastAsia="zh-CN"/>
        </w:rPr>
      </w:pPr>
      <w:r>
        <w:rPr>
          <w:rFonts w:hint="eastAsia" w:asciiTheme="minorEastAsia" w:hAnsiTheme="minorEastAsia" w:eastAsiaTheme="minorEastAsia" w:cstheme="minorEastAsia"/>
          <w:b/>
          <w:bCs/>
          <w:color w:val="auto"/>
          <w:szCs w:val="24"/>
          <w:highlight w:val="none"/>
          <w:lang w:eastAsia="zh-CN"/>
        </w:rPr>
        <w:t>（</w:t>
      </w:r>
      <w:r>
        <w:rPr>
          <w:rFonts w:hint="eastAsia" w:asciiTheme="minorEastAsia" w:hAnsiTheme="minorEastAsia" w:eastAsiaTheme="minorEastAsia" w:cstheme="minorEastAsia"/>
          <w:b/>
          <w:bCs/>
          <w:color w:val="auto"/>
          <w:szCs w:val="24"/>
          <w:highlight w:val="none"/>
          <w:lang w:val="en-US" w:eastAsia="zh-CN"/>
        </w:rPr>
        <w:t>一</w:t>
      </w:r>
      <w:r>
        <w:rPr>
          <w:rFonts w:hint="eastAsia" w:asciiTheme="minorEastAsia" w:hAnsiTheme="minorEastAsia" w:eastAsiaTheme="minorEastAsia" w:cstheme="minorEastAsia"/>
          <w:b/>
          <w:bCs/>
          <w:color w:val="auto"/>
          <w:szCs w:val="24"/>
          <w:highlight w:val="none"/>
          <w:lang w:eastAsia="zh-CN"/>
        </w:rPr>
        <w:t>）</w:t>
      </w:r>
      <w:r>
        <w:rPr>
          <w:rFonts w:hint="eastAsia" w:asciiTheme="minorEastAsia" w:hAnsiTheme="minorEastAsia" w:eastAsiaTheme="minorEastAsia" w:cstheme="minorEastAsia"/>
          <w:b/>
          <w:bCs/>
          <w:color w:val="auto"/>
          <w:szCs w:val="24"/>
          <w:highlight w:val="none"/>
          <w:lang w:val="en-US" w:eastAsia="zh-CN"/>
        </w:rPr>
        <w:t>技术需求</w:t>
      </w:r>
    </w:p>
    <w:p w14:paraId="71ECEC46">
      <w:pPr>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rPr>
        <w:t>一、工程概况</w:t>
      </w:r>
    </w:p>
    <w:p w14:paraId="0A93C0E7">
      <w:pPr>
        <w:pageBreakBefore w:val="0"/>
        <w:widowControl w:val="0"/>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b w:val="0"/>
          <w:bCs/>
          <w:color w:val="auto"/>
          <w:kern w:val="2"/>
          <w:sz w:val="24"/>
          <w:szCs w:val="24"/>
          <w:highlight w:val="none"/>
        </w:rPr>
      </w:pPr>
      <w:bookmarkStart w:id="16" w:name="_Hlk8999612"/>
      <w:r>
        <w:rPr>
          <w:rFonts w:hint="eastAsia" w:ascii="宋体" w:hAnsi="宋体" w:eastAsia="宋体" w:cs="宋体"/>
          <w:b w:val="0"/>
          <w:bCs/>
          <w:color w:val="auto"/>
          <w:kern w:val="2"/>
          <w:sz w:val="24"/>
          <w:szCs w:val="24"/>
          <w:highlight w:val="none"/>
        </w:rPr>
        <w:t>本次设计为纬三路、经十路及经十一路增设电子警察和监控系统项目，</w:t>
      </w:r>
      <w:bookmarkEnd w:id="16"/>
      <w:r>
        <w:rPr>
          <w:rFonts w:hint="eastAsia" w:ascii="宋体" w:hAnsi="宋体" w:eastAsia="宋体" w:cs="宋体"/>
          <w:b w:val="0"/>
          <w:bCs/>
          <w:color w:val="auto"/>
          <w:kern w:val="2"/>
          <w:sz w:val="24"/>
          <w:szCs w:val="24"/>
          <w:highlight w:val="none"/>
        </w:rPr>
        <w:t>本项目共涉及3条道路，涉及5个交叉口和3个基地出入口智能设备的新增；5个交叉口分别为纬三路-宁东路交叉口、纬三路-经十路交叉口、纬三路-宁税路交叉口、经十路-建设三路交叉口和经十一路-建设一路交叉口，除经十一路-建设一路交叉口为右进右出交叉口外，其余4个交叉口均为信号灯控制交叉口，现状交叉口已安装交通信号灯，需新增电子警察及监控设施。</w:t>
      </w:r>
    </w:p>
    <w:p w14:paraId="334841C7">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bCs w:val="0"/>
          <w:color w:val="auto"/>
          <w:kern w:val="2"/>
          <w:sz w:val="24"/>
          <w:szCs w:val="24"/>
          <w:highlight w:val="none"/>
          <w:lang w:val="zh-CN" w:eastAsia="zh-CN" w:bidi="ar-SA"/>
        </w:rPr>
      </w:pPr>
      <w:r>
        <w:rPr>
          <w:rFonts w:hint="eastAsia" w:ascii="宋体" w:hAnsi="宋体" w:eastAsia="宋体" w:cs="宋体"/>
          <w:b/>
          <w:bCs w:val="0"/>
          <w:color w:val="auto"/>
          <w:kern w:val="2"/>
          <w:sz w:val="24"/>
          <w:szCs w:val="24"/>
          <w:highlight w:val="none"/>
          <w:lang w:val="zh-CN" w:eastAsia="zh-CN" w:bidi="ar-SA"/>
        </w:rPr>
        <w:t>二、设计依据</w:t>
      </w:r>
    </w:p>
    <w:p w14:paraId="64ECB3B0">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（1）</w:t>
      </w:r>
      <w:r>
        <w:rPr>
          <w:rFonts w:hint="eastAsia" w:ascii="宋体" w:hAnsi="宋体" w:cs="宋体"/>
          <w:b w:val="0"/>
          <w:bCs/>
          <w:color w:val="auto"/>
          <w:kern w:val="2"/>
          <w:sz w:val="24"/>
          <w:szCs w:val="24"/>
          <w:highlight w:val="none"/>
          <w:lang w:val="en-US" w:eastAsia="zh-CN" w:bidi="ar-SA"/>
        </w:rPr>
        <w:t xml:space="preserve"> </w:t>
      </w:r>
      <w:r>
        <w:rPr>
          <w:rFonts w:hint="eastAsia" w:ascii="宋体" w:hAnsi="宋体" w:eastAsia="宋体" w:cs="宋体"/>
          <w:b w:val="0"/>
          <w:bCs/>
          <w:color w:val="auto"/>
          <w:kern w:val="2"/>
          <w:sz w:val="24"/>
          <w:szCs w:val="24"/>
          <w:highlight w:val="none"/>
          <w:lang w:val="zh-CN" w:eastAsia="zh-CN" w:bidi="ar-SA"/>
        </w:rPr>
        <w:t>纬三路、经十路和经十一路交通安全设施施工图</w:t>
      </w:r>
    </w:p>
    <w:p w14:paraId="232FC908">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（2）《城市道路交通设施设计规范》（GB50688-2011）</w:t>
      </w:r>
    </w:p>
    <w:p w14:paraId="6B2FD0CF">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（3）《道路交通信号灯》（GB14887-2011）</w:t>
      </w:r>
    </w:p>
    <w:p w14:paraId="6860377E">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（4）《道路交通信号灯的设置与安装规范》（</w:t>
      </w:r>
      <w:r>
        <w:rPr>
          <w:rFonts w:hint="eastAsia" w:ascii="宋体" w:hAnsi="宋体" w:eastAsia="宋体" w:cs="宋体"/>
          <w:b w:val="0"/>
          <w:bCs/>
          <w:color w:val="auto"/>
          <w:kern w:val="2"/>
          <w:sz w:val="24"/>
          <w:szCs w:val="24"/>
          <w:highlight w:val="none"/>
          <w:lang w:val="zh-CN" w:eastAsia="zh-CN" w:bidi="ar-SA"/>
        </w:rPr>
        <w:fldChar w:fldCharType="begin"/>
      </w:r>
      <w:r>
        <w:rPr>
          <w:rFonts w:hint="eastAsia" w:ascii="宋体" w:hAnsi="宋体" w:eastAsia="宋体" w:cs="宋体"/>
          <w:b w:val="0"/>
          <w:bCs/>
          <w:color w:val="auto"/>
          <w:kern w:val="2"/>
          <w:sz w:val="24"/>
          <w:szCs w:val="24"/>
          <w:highlight w:val="none"/>
          <w:lang w:val="zh-CN" w:eastAsia="zh-CN" w:bidi="ar-SA"/>
        </w:rPr>
        <w:instrText xml:space="preserve"> HYPERLINK "http://www.baidu.com/link?url=lSW7LWd70IEvww-ExEkcyKOjUsDe88f5uzIskBixsKcSZ-TFTP4i-Sias6pxMAWxpoX61_eQ7iqMbwKD4JTZ4_" \t "_blank" </w:instrText>
      </w:r>
      <w:r>
        <w:rPr>
          <w:rFonts w:hint="eastAsia" w:ascii="宋体" w:hAnsi="宋体" w:eastAsia="宋体" w:cs="宋体"/>
          <w:b w:val="0"/>
          <w:bCs/>
          <w:color w:val="auto"/>
          <w:kern w:val="2"/>
          <w:sz w:val="24"/>
          <w:szCs w:val="24"/>
          <w:highlight w:val="none"/>
          <w:lang w:val="zh-CN" w:eastAsia="zh-CN" w:bidi="ar-SA"/>
        </w:rPr>
        <w:fldChar w:fldCharType="separate"/>
      </w:r>
      <w:r>
        <w:rPr>
          <w:rFonts w:hint="eastAsia" w:ascii="宋体" w:hAnsi="宋体" w:eastAsia="宋体" w:cs="宋体"/>
          <w:b w:val="0"/>
          <w:bCs/>
          <w:color w:val="auto"/>
          <w:kern w:val="2"/>
          <w:sz w:val="24"/>
          <w:szCs w:val="24"/>
          <w:highlight w:val="none"/>
          <w:lang w:val="zh-CN" w:eastAsia="zh-CN" w:bidi="ar-SA"/>
        </w:rPr>
        <w:t>GB14886-2006</w:t>
      </w:r>
      <w:r>
        <w:rPr>
          <w:rFonts w:hint="eastAsia" w:ascii="宋体" w:hAnsi="宋体" w:eastAsia="宋体" w:cs="宋体"/>
          <w:b w:val="0"/>
          <w:bCs/>
          <w:color w:val="auto"/>
          <w:kern w:val="2"/>
          <w:sz w:val="24"/>
          <w:szCs w:val="24"/>
          <w:highlight w:val="none"/>
          <w:lang w:val="zh-CN" w:eastAsia="zh-CN" w:bidi="ar-SA"/>
        </w:rPr>
        <w:fldChar w:fldCharType="end"/>
      </w:r>
      <w:r>
        <w:rPr>
          <w:rFonts w:hint="eastAsia" w:ascii="宋体" w:hAnsi="宋体" w:eastAsia="宋体" w:cs="宋体"/>
          <w:b w:val="0"/>
          <w:bCs/>
          <w:color w:val="auto"/>
          <w:kern w:val="2"/>
          <w:sz w:val="24"/>
          <w:szCs w:val="24"/>
          <w:highlight w:val="none"/>
          <w:lang w:val="zh-CN" w:eastAsia="zh-CN" w:bidi="ar-SA"/>
        </w:rPr>
        <w:t>）</w:t>
      </w:r>
    </w:p>
    <w:p w14:paraId="32507FC9">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（5）《</w:t>
      </w:r>
      <w:r>
        <w:rPr>
          <w:rFonts w:hint="eastAsia" w:ascii="宋体" w:hAnsi="宋体" w:eastAsia="宋体" w:cs="宋体"/>
          <w:b w:val="0"/>
          <w:bCs/>
          <w:color w:val="auto"/>
          <w:kern w:val="2"/>
          <w:sz w:val="24"/>
          <w:szCs w:val="24"/>
          <w:highlight w:val="none"/>
          <w:lang w:val="zh-CN" w:eastAsia="zh-CN" w:bidi="ar-SA"/>
        </w:rPr>
        <w:fldChar w:fldCharType="begin"/>
      </w:r>
      <w:r>
        <w:rPr>
          <w:rFonts w:hint="eastAsia" w:ascii="宋体" w:hAnsi="宋体" w:eastAsia="宋体" w:cs="宋体"/>
          <w:b w:val="0"/>
          <w:bCs/>
          <w:color w:val="auto"/>
          <w:kern w:val="2"/>
          <w:sz w:val="24"/>
          <w:szCs w:val="24"/>
          <w:highlight w:val="none"/>
          <w:lang w:val="zh-CN" w:eastAsia="zh-CN" w:bidi="ar-SA"/>
        </w:rPr>
        <w:instrText xml:space="preserve"> HYPERLINK "http://www.baidu.com/link?url=NfJriaagHx2Dy5aD6uwO3SW9lT3Wv2zZ8qPXT0qfSXqD1qHyOKLriLlU9E-_7acVijCA1HDnW2WMV8cFrn_bIS7F9YFZNB-FYNWz1Hmb8Jm" \t "_blank" </w:instrText>
      </w:r>
      <w:r>
        <w:rPr>
          <w:rFonts w:hint="eastAsia" w:ascii="宋体" w:hAnsi="宋体" w:eastAsia="宋体" w:cs="宋体"/>
          <w:b w:val="0"/>
          <w:bCs/>
          <w:color w:val="auto"/>
          <w:kern w:val="2"/>
          <w:sz w:val="24"/>
          <w:szCs w:val="24"/>
          <w:highlight w:val="none"/>
          <w:lang w:val="zh-CN" w:eastAsia="zh-CN" w:bidi="ar-SA"/>
        </w:rPr>
        <w:fldChar w:fldCharType="separate"/>
      </w:r>
      <w:r>
        <w:rPr>
          <w:rFonts w:hint="eastAsia" w:ascii="宋体" w:hAnsi="宋体" w:eastAsia="宋体" w:cs="宋体"/>
          <w:b w:val="0"/>
          <w:bCs/>
          <w:color w:val="auto"/>
          <w:kern w:val="2"/>
          <w:sz w:val="24"/>
          <w:szCs w:val="24"/>
          <w:highlight w:val="none"/>
          <w:lang w:val="zh-CN" w:eastAsia="zh-CN" w:bidi="ar-SA"/>
        </w:rPr>
        <w:t>城市道路交通信号控制方式适用规范</w:t>
      </w:r>
      <w:r>
        <w:rPr>
          <w:rFonts w:hint="eastAsia" w:ascii="宋体" w:hAnsi="宋体" w:eastAsia="宋体" w:cs="宋体"/>
          <w:b w:val="0"/>
          <w:bCs/>
          <w:color w:val="auto"/>
          <w:kern w:val="2"/>
          <w:sz w:val="24"/>
          <w:szCs w:val="24"/>
          <w:highlight w:val="none"/>
          <w:lang w:val="zh-CN" w:eastAsia="zh-CN" w:bidi="ar-SA"/>
        </w:rPr>
        <w:fldChar w:fldCharType="end"/>
      </w:r>
      <w:r>
        <w:rPr>
          <w:rFonts w:hint="eastAsia" w:ascii="宋体" w:hAnsi="宋体" w:eastAsia="宋体" w:cs="宋体"/>
          <w:b w:val="0"/>
          <w:bCs/>
          <w:color w:val="auto"/>
          <w:kern w:val="2"/>
          <w:sz w:val="24"/>
          <w:szCs w:val="24"/>
          <w:highlight w:val="none"/>
          <w:lang w:val="zh-CN" w:eastAsia="zh-CN" w:bidi="ar-SA"/>
        </w:rPr>
        <w:t>》（GA527-2005）</w:t>
      </w:r>
    </w:p>
    <w:p w14:paraId="580868D7">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（6）《城市道路车道交通信号控制机》（GB/T 30502-2014）</w:t>
      </w:r>
    </w:p>
    <w:p w14:paraId="3048465C">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（7）《闯红灯自动记录系统通用技术条件》（GAT496-2014）</w:t>
      </w:r>
    </w:p>
    <w:p w14:paraId="016DC8B7">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（8）《公路车辆智能检测记录系统通用技术条件》（GA/T497-2009）</w:t>
      </w:r>
    </w:p>
    <w:p w14:paraId="2693D69C">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（9）《交通技术监控成像补光装置通用技术规范》（GAT1202-2014）</w:t>
      </w:r>
    </w:p>
    <w:p w14:paraId="373F5671">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（10）《道路交通安全违法行为图像取证技术规范》（GAT832-2014）</w:t>
      </w:r>
    </w:p>
    <w:p w14:paraId="1E6D280B">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（11）《机动车号牌图像自动识别技术规范》（GA/T833-2009）</w:t>
      </w:r>
    </w:p>
    <w:p w14:paraId="5CEF4A79">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（12）《交通设施管理系统通信协议》（GAT1049.8-2014）</w:t>
      </w:r>
    </w:p>
    <w:p w14:paraId="2F2DE58E">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（13）《交通事件采集系统通信协议》（GAT1049.9-2014）</w:t>
      </w:r>
    </w:p>
    <w:p w14:paraId="24619031">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（14）《机动车缉查布控系统通信协议》（GAT1049.10-2014）</w:t>
      </w:r>
    </w:p>
    <w:p w14:paraId="36287C0B">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bCs w:val="0"/>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（15）《治安动态网络监控系统技术规范》（杭公科[2004]16号）</w:t>
      </w:r>
    </w:p>
    <w:p w14:paraId="37F89A95">
      <w:pPr>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b/>
          <w:bCs w:val="0"/>
          <w:color w:val="auto"/>
          <w:kern w:val="2"/>
          <w:sz w:val="24"/>
          <w:szCs w:val="24"/>
          <w:highlight w:val="none"/>
          <w:lang w:val="zh-CN" w:eastAsia="zh-CN"/>
        </w:rPr>
      </w:pPr>
      <w:r>
        <w:rPr>
          <w:rFonts w:hint="eastAsia" w:ascii="宋体" w:hAnsi="宋体" w:eastAsia="宋体" w:cs="宋体"/>
          <w:b/>
          <w:bCs w:val="0"/>
          <w:color w:val="auto"/>
          <w:kern w:val="2"/>
          <w:sz w:val="24"/>
          <w:szCs w:val="24"/>
          <w:highlight w:val="none"/>
          <w:lang w:val="zh-CN" w:eastAsia="zh-CN"/>
        </w:rPr>
        <w:t>三、智能交通系统设计</w:t>
      </w:r>
    </w:p>
    <w:p w14:paraId="53FE0D99">
      <w:pPr>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b/>
          <w:bCs w:val="0"/>
          <w:color w:val="auto"/>
          <w:kern w:val="2"/>
          <w:sz w:val="24"/>
          <w:szCs w:val="24"/>
          <w:highlight w:val="none"/>
          <w:lang w:val="zh-CN" w:eastAsia="zh-CN"/>
        </w:rPr>
      </w:pPr>
      <w:r>
        <w:rPr>
          <w:rFonts w:hint="eastAsia" w:ascii="宋体" w:hAnsi="宋体" w:eastAsia="宋体" w:cs="宋体"/>
          <w:b/>
          <w:bCs w:val="0"/>
          <w:color w:val="auto"/>
          <w:kern w:val="2"/>
          <w:sz w:val="24"/>
          <w:szCs w:val="24"/>
          <w:highlight w:val="none"/>
          <w:lang w:val="zh-CN" w:eastAsia="zh-CN"/>
        </w:rPr>
        <w:t>1、信号控制系统</w:t>
      </w:r>
    </w:p>
    <w:p w14:paraId="33A8188E">
      <w:pPr>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信号控制系统建设方案如下。</w:t>
      </w:r>
    </w:p>
    <w:p w14:paraId="4F72419E">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信号控制系统建设一览表</w:t>
      </w:r>
    </w:p>
    <w:tbl>
      <w:tblPr>
        <w:tblStyle w:val="65"/>
        <w:tblW w:w="838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3"/>
        <w:gridCol w:w="2992"/>
        <w:gridCol w:w="2390"/>
        <w:gridCol w:w="2252"/>
      </w:tblGrid>
      <w:tr w14:paraId="1AE699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noWrap w:val="0"/>
            <w:vAlign w:val="center"/>
          </w:tcPr>
          <w:p w14:paraId="6420C3B1">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编号</w:t>
            </w:r>
          </w:p>
        </w:tc>
        <w:tc>
          <w:tcPr>
            <w:tcW w:w="2992" w:type="dxa"/>
            <w:noWrap w:val="0"/>
            <w:vAlign w:val="center"/>
          </w:tcPr>
          <w:p w14:paraId="11B2E5DB">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交叉口名称</w:t>
            </w:r>
          </w:p>
        </w:tc>
        <w:tc>
          <w:tcPr>
            <w:tcW w:w="2390" w:type="dxa"/>
            <w:noWrap w:val="0"/>
            <w:vAlign w:val="center"/>
          </w:tcPr>
          <w:p w14:paraId="4EE58EFD">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建设方案</w:t>
            </w:r>
          </w:p>
        </w:tc>
        <w:tc>
          <w:tcPr>
            <w:tcW w:w="2252" w:type="dxa"/>
            <w:noWrap w:val="0"/>
            <w:vAlign w:val="top"/>
          </w:tcPr>
          <w:p w14:paraId="6BF2BC29">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建设内容</w:t>
            </w:r>
          </w:p>
        </w:tc>
      </w:tr>
      <w:tr w14:paraId="2244BE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3" w:type="dxa"/>
            <w:noWrap w:val="0"/>
            <w:vAlign w:val="center"/>
          </w:tcPr>
          <w:p w14:paraId="3761F2F2">
            <w:pPr>
              <w:pageBreakBefore w:val="0"/>
              <w:widowControl w:val="0"/>
              <w:kinsoku/>
              <w:wordWrap/>
              <w:overflowPunct/>
              <w:topLinePunct w:val="0"/>
              <w:autoSpaceDE/>
              <w:autoSpaceDN/>
              <w:bidi w:val="0"/>
              <w:snapToGrid/>
              <w:spacing w:line="500" w:lineRule="exact"/>
              <w:jc w:val="center"/>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1</w:t>
            </w:r>
          </w:p>
        </w:tc>
        <w:tc>
          <w:tcPr>
            <w:tcW w:w="2992" w:type="dxa"/>
            <w:noWrap w:val="0"/>
            <w:vAlign w:val="center"/>
          </w:tcPr>
          <w:p w14:paraId="480FB0DA">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纬三路--宁东路</w:t>
            </w:r>
          </w:p>
        </w:tc>
        <w:tc>
          <w:tcPr>
            <w:tcW w:w="2390" w:type="dxa"/>
            <w:noWrap w:val="0"/>
            <w:vAlign w:val="center"/>
          </w:tcPr>
          <w:p w14:paraId="57B0398D">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已建信号灯控</w:t>
            </w:r>
          </w:p>
        </w:tc>
        <w:tc>
          <w:tcPr>
            <w:tcW w:w="2252" w:type="dxa"/>
            <w:noWrap w:val="0"/>
            <w:vAlign w:val="top"/>
          </w:tcPr>
          <w:p w14:paraId="3362CEC8">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利用现状</w:t>
            </w:r>
          </w:p>
        </w:tc>
      </w:tr>
      <w:tr w14:paraId="201A7C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753" w:type="dxa"/>
            <w:noWrap w:val="0"/>
            <w:vAlign w:val="center"/>
          </w:tcPr>
          <w:p w14:paraId="4A89572E">
            <w:pPr>
              <w:pageBreakBefore w:val="0"/>
              <w:widowControl w:val="0"/>
              <w:kinsoku/>
              <w:wordWrap/>
              <w:overflowPunct/>
              <w:topLinePunct w:val="0"/>
              <w:autoSpaceDE/>
              <w:autoSpaceDN/>
              <w:bidi w:val="0"/>
              <w:snapToGrid/>
              <w:spacing w:line="500" w:lineRule="exact"/>
              <w:jc w:val="center"/>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2</w:t>
            </w:r>
          </w:p>
        </w:tc>
        <w:tc>
          <w:tcPr>
            <w:tcW w:w="2992" w:type="dxa"/>
            <w:noWrap w:val="0"/>
            <w:vAlign w:val="center"/>
          </w:tcPr>
          <w:p w14:paraId="58188A48">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纬三路--经十路</w:t>
            </w:r>
          </w:p>
        </w:tc>
        <w:tc>
          <w:tcPr>
            <w:tcW w:w="2390" w:type="dxa"/>
            <w:noWrap w:val="0"/>
            <w:vAlign w:val="center"/>
          </w:tcPr>
          <w:p w14:paraId="11085424">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已建信号灯控</w:t>
            </w:r>
          </w:p>
        </w:tc>
        <w:tc>
          <w:tcPr>
            <w:tcW w:w="2252" w:type="dxa"/>
            <w:noWrap w:val="0"/>
            <w:vAlign w:val="top"/>
          </w:tcPr>
          <w:p w14:paraId="3F24B7D4">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利用现状</w:t>
            </w:r>
          </w:p>
        </w:tc>
      </w:tr>
      <w:tr w14:paraId="727114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53" w:type="dxa"/>
            <w:noWrap w:val="0"/>
            <w:vAlign w:val="center"/>
          </w:tcPr>
          <w:p w14:paraId="59B9E792">
            <w:pPr>
              <w:pageBreakBefore w:val="0"/>
              <w:widowControl w:val="0"/>
              <w:kinsoku/>
              <w:wordWrap/>
              <w:overflowPunct/>
              <w:topLinePunct w:val="0"/>
              <w:autoSpaceDE/>
              <w:autoSpaceDN/>
              <w:bidi w:val="0"/>
              <w:snapToGrid/>
              <w:spacing w:line="500" w:lineRule="exact"/>
              <w:jc w:val="center"/>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3</w:t>
            </w:r>
          </w:p>
        </w:tc>
        <w:tc>
          <w:tcPr>
            <w:tcW w:w="2992" w:type="dxa"/>
            <w:noWrap w:val="0"/>
            <w:vAlign w:val="center"/>
          </w:tcPr>
          <w:p w14:paraId="5677B032">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纬三路--宁税路</w:t>
            </w:r>
          </w:p>
        </w:tc>
        <w:tc>
          <w:tcPr>
            <w:tcW w:w="2390" w:type="dxa"/>
            <w:noWrap w:val="0"/>
            <w:vAlign w:val="center"/>
          </w:tcPr>
          <w:p w14:paraId="108B5BDB">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已建信号灯控</w:t>
            </w:r>
          </w:p>
        </w:tc>
        <w:tc>
          <w:tcPr>
            <w:tcW w:w="2252" w:type="dxa"/>
            <w:noWrap w:val="0"/>
            <w:vAlign w:val="top"/>
          </w:tcPr>
          <w:p w14:paraId="3FE6504A">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利用现状</w:t>
            </w:r>
          </w:p>
        </w:tc>
      </w:tr>
      <w:tr w14:paraId="23FFFD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53" w:type="dxa"/>
            <w:noWrap w:val="0"/>
            <w:vAlign w:val="center"/>
          </w:tcPr>
          <w:p w14:paraId="0716AA00">
            <w:pPr>
              <w:pageBreakBefore w:val="0"/>
              <w:widowControl w:val="0"/>
              <w:kinsoku/>
              <w:wordWrap/>
              <w:overflowPunct/>
              <w:topLinePunct w:val="0"/>
              <w:autoSpaceDE/>
              <w:autoSpaceDN/>
              <w:bidi w:val="0"/>
              <w:snapToGrid/>
              <w:spacing w:line="500" w:lineRule="exact"/>
              <w:jc w:val="center"/>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4</w:t>
            </w:r>
          </w:p>
        </w:tc>
        <w:tc>
          <w:tcPr>
            <w:tcW w:w="2992" w:type="dxa"/>
            <w:noWrap w:val="0"/>
            <w:vAlign w:val="center"/>
          </w:tcPr>
          <w:p w14:paraId="79E28DB1">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经十路-建设三路</w:t>
            </w:r>
          </w:p>
        </w:tc>
        <w:tc>
          <w:tcPr>
            <w:tcW w:w="2390" w:type="dxa"/>
            <w:noWrap w:val="0"/>
            <w:vAlign w:val="center"/>
          </w:tcPr>
          <w:p w14:paraId="65DDBDC7">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已建信号灯控</w:t>
            </w:r>
          </w:p>
        </w:tc>
        <w:tc>
          <w:tcPr>
            <w:tcW w:w="2252" w:type="dxa"/>
            <w:noWrap w:val="0"/>
            <w:vAlign w:val="top"/>
          </w:tcPr>
          <w:p w14:paraId="127C05C9">
            <w:pPr>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利用现状</w:t>
            </w:r>
          </w:p>
        </w:tc>
      </w:tr>
    </w:tbl>
    <w:p w14:paraId="17A938CC">
      <w:pPr>
        <w:pageBreakBefore w:val="0"/>
        <w:widowControl w:val="0"/>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现状交叉口信号灯控制系统均已建成，且为远程控制系统，本次设计均可利用现状。</w:t>
      </w:r>
    </w:p>
    <w:p w14:paraId="75058E1C">
      <w:pPr>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b w:val="0"/>
          <w:bCs/>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每个灯控路口各接入一根运营商的裸光纤，开通一至两芯传输电警及监控等数据至交警大队控制中心，信号控制采用VPN专网。</w:t>
      </w:r>
    </w:p>
    <w:p w14:paraId="1E5343E4">
      <w:pPr>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b/>
          <w:bCs w:val="0"/>
          <w:color w:val="auto"/>
          <w:kern w:val="2"/>
          <w:sz w:val="24"/>
          <w:szCs w:val="24"/>
          <w:highlight w:val="none"/>
          <w:lang w:val="zh-CN" w:eastAsia="zh-CN"/>
        </w:rPr>
      </w:pPr>
      <w:r>
        <w:rPr>
          <w:rFonts w:hint="eastAsia" w:ascii="宋体" w:hAnsi="宋体" w:eastAsia="宋体" w:cs="宋体"/>
          <w:b/>
          <w:bCs w:val="0"/>
          <w:color w:val="auto"/>
          <w:kern w:val="2"/>
          <w:sz w:val="24"/>
          <w:szCs w:val="24"/>
          <w:highlight w:val="none"/>
          <w:lang w:val="zh-CN" w:eastAsia="zh-CN"/>
        </w:rPr>
        <w:t>2、电子警察</w:t>
      </w:r>
    </w:p>
    <w:p w14:paraId="258DC8D9">
      <w:pPr>
        <w:pageBreakBefore w:val="0"/>
        <w:widowControl w:val="0"/>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b/>
          <w:bCs w:val="0"/>
          <w:color w:val="auto"/>
          <w:kern w:val="2"/>
          <w:sz w:val="24"/>
          <w:szCs w:val="24"/>
          <w:highlight w:val="none"/>
          <w:lang w:val="zh-CN" w:eastAsia="zh-CN"/>
        </w:rPr>
      </w:pPr>
      <w:r>
        <w:rPr>
          <w:rFonts w:hint="eastAsia" w:ascii="宋体" w:hAnsi="宋体" w:eastAsia="宋体" w:cs="宋体"/>
          <w:b w:val="0"/>
          <w:bCs/>
          <w:color w:val="auto"/>
          <w:kern w:val="2"/>
          <w:sz w:val="24"/>
          <w:szCs w:val="24"/>
          <w:highlight w:val="none"/>
          <w:lang w:val="zh-CN" w:eastAsia="zh-CN"/>
        </w:rPr>
        <w:t>信号灯控路口全部建设电子警察，对闯红灯、实线变道、压黄线、逆向行驶等违章行为进行识别并自动抓拍，系统接入交警大队控制平台。</w:t>
      </w:r>
    </w:p>
    <w:p w14:paraId="5F432BB3">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电子警察系统建设一览表</w:t>
      </w:r>
    </w:p>
    <w:tbl>
      <w:tblPr>
        <w:tblStyle w:val="65"/>
        <w:tblW w:w="896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1"/>
        <w:gridCol w:w="2666"/>
        <w:gridCol w:w="2390"/>
        <w:gridCol w:w="2871"/>
      </w:tblGrid>
      <w:tr w14:paraId="541B01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41" w:type="dxa"/>
            <w:noWrap w:val="0"/>
            <w:vAlign w:val="center"/>
          </w:tcPr>
          <w:p w14:paraId="210E9693">
            <w:pPr>
              <w:ind w:firstLine="240" w:firstLineChars="100"/>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编号</w:t>
            </w:r>
          </w:p>
        </w:tc>
        <w:tc>
          <w:tcPr>
            <w:tcW w:w="2666" w:type="dxa"/>
            <w:noWrap w:val="0"/>
            <w:vAlign w:val="center"/>
          </w:tcPr>
          <w:p w14:paraId="558DAD4E">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交叉口名称</w:t>
            </w:r>
          </w:p>
        </w:tc>
        <w:tc>
          <w:tcPr>
            <w:tcW w:w="2390" w:type="dxa"/>
            <w:noWrap w:val="0"/>
            <w:vAlign w:val="center"/>
          </w:tcPr>
          <w:p w14:paraId="24009B69">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建设方案</w:t>
            </w:r>
          </w:p>
        </w:tc>
        <w:tc>
          <w:tcPr>
            <w:tcW w:w="2871" w:type="dxa"/>
            <w:noWrap w:val="0"/>
            <w:vAlign w:val="top"/>
          </w:tcPr>
          <w:p w14:paraId="1A00515A">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建设内容</w:t>
            </w:r>
          </w:p>
        </w:tc>
      </w:tr>
      <w:tr w14:paraId="4DA0DB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041" w:type="dxa"/>
            <w:noWrap w:val="0"/>
            <w:vAlign w:val="center"/>
          </w:tcPr>
          <w:p w14:paraId="046DFE8F">
            <w:pPr>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1</w:t>
            </w:r>
          </w:p>
        </w:tc>
        <w:tc>
          <w:tcPr>
            <w:tcW w:w="2666" w:type="dxa"/>
            <w:noWrap w:val="0"/>
            <w:vAlign w:val="center"/>
          </w:tcPr>
          <w:p w14:paraId="0A73B7FB">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纬三路--宁东路</w:t>
            </w:r>
          </w:p>
        </w:tc>
        <w:tc>
          <w:tcPr>
            <w:tcW w:w="2390" w:type="dxa"/>
            <w:noWrap w:val="0"/>
            <w:vAlign w:val="center"/>
          </w:tcPr>
          <w:p w14:paraId="6BEA5C7F">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新建</w:t>
            </w:r>
          </w:p>
        </w:tc>
        <w:tc>
          <w:tcPr>
            <w:tcW w:w="2871" w:type="dxa"/>
            <w:noWrap w:val="0"/>
            <w:vAlign w:val="top"/>
          </w:tcPr>
          <w:p w14:paraId="4E0F1586">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南、北、东3个方向</w:t>
            </w:r>
          </w:p>
        </w:tc>
      </w:tr>
      <w:tr w14:paraId="2857D1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041" w:type="dxa"/>
            <w:noWrap w:val="0"/>
            <w:vAlign w:val="center"/>
          </w:tcPr>
          <w:p w14:paraId="0D75FFA0">
            <w:pPr>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2</w:t>
            </w:r>
          </w:p>
        </w:tc>
        <w:tc>
          <w:tcPr>
            <w:tcW w:w="2666" w:type="dxa"/>
            <w:noWrap w:val="0"/>
            <w:vAlign w:val="center"/>
          </w:tcPr>
          <w:p w14:paraId="52E0388E">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纬三路--宁税路</w:t>
            </w:r>
          </w:p>
        </w:tc>
        <w:tc>
          <w:tcPr>
            <w:tcW w:w="2390" w:type="dxa"/>
            <w:noWrap w:val="0"/>
            <w:vAlign w:val="center"/>
          </w:tcPr>
          <w:p w14:paraId="09F9A7BC">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新建</w:t>
            </w:r>
          </w:p>
        </w:tc>
        <w:tc>
          <w:tcPr>
            <w:tcW w:w="2871" w:type="dxa"/>
            <w:noWrap w:val="0"/>
            <w:vAlign w:val="top"/>
          </w:tcPr>
          <w:p w14:paraId="3B9F11B0">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南、北、西3个方向</w:t>
            </w:r>
          </w:p>
        </w:tc>
      </w:tr>
      <w:tr w14:paraId="7CE6C8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041" w:type="dxa"/>
            <w:noWrap w:val="0"/>
            <w:vAlign w:val="center"/>
          </w:tcPr>
          <w:p w14:paraId="39814AB9">
            <w:pPr>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3</w:t>
            </w:r>
          </w:p>
        </w:tc>
        <w:tc>
          <w:tcPr>
            <w:tcW w:w="2666" w:type="dxa"/>
            <w:noWrap w:val="0"/>
            <w:vAlign w:val="center"/>
          </w:tcPr>
          <w:p w14:paraId="4FBDB804">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纬三路-经十路</w:t>
            </w:r>
          </w:p>
        </w:tc>
        <w:tc>
          <w:tcPr>
            <w:tcW w:w="2390" w:type="dxa"/>
            <w:noWrap w:val="0"/>
            <w:vAlign w:val="center"/>
          </w:tcPr>
          <w:p w14:paraId="5AC3920A">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新建</w:t>
            </w:r>
          </w:p>
        </w:tc>
        <w:tc>
          <w:tcPr>
            <w:tcW w:w="2871" w:type="dxa"/>
            <w:noWrap w:val="0"/>
            <w:vAlign w:val="top"/>
          </w:tcPr>
          <w:p w14:paraId="73E666D1">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南、东、西3个方向</w:t>
            </w:r>
          </w:p>
        </w:tc>
      </w:tr>
      <w:tr w14:paraId="64A42B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041" w:type="dxa"/>
            <w:noWrap w:val="0"/>
            <w:vAlign w:val="center"/>
          </w:tcPr>
          <w:p w14:paraId="0808B67B">
            <w:pPr>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4</w:t>
            </w:r>
          </w:p>
        </w:tc>
        <w:tc>
          <w:tcPr>
            <w:tcW w:w="2666" w:type="dxa"/>
            <w:noWrap w:val="0"/>
            <w:vAlign w:val="center"/>
          </w:tcPr>
          <w:p w14:paraId="133A47E3">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经十路-建设三路</w:t>
            </w:r>
          </w:p>
        </w:tc>
        <w:tc>
          <w:tcPr>
            <w:tcW w:w="2390" w:type="dxa"/>
            <w:noWrap w:val="0"/>
            <w:vAlign w:val="center"/>
          </w:tcPr>
          <w:p w14:paraId="05472880">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北口新建</w:t>
            </w:r>
          </w:p>
        </w:tc>
        <w:tc>
          <w:tcPr>
            <w:tcW w:w="2871" w:type="dxa"/>
            <w:noWrap w:val="0"/>
            <w:vAlign w:val="top"/>
          </w:tcPr>
          <w:p w14:paraId="7A23AA3B">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其余3个方向已建</w:t>
            </w:r>
          </w:p>
        </w:tc>
      </w:tr>
    </w:tbl>
    <w:p w14:paraId="2704847A">
      <w:pPr>
        <w:rPr>
          <w:rFonts w:hint="eastAsia" w:ascii="宋体" w:hAnsi="宋体" w:eastAsia="宋体" w:cs="宋体"/>
          <w:b/>
          <w:bCs w:val="0"/>
          <w:color w:val="auto"/>
          <w:kern w:val="2"/>
          <w:sz w:val="24"/>
          <w:szCs w:val="24"/>
          <w:highlight w:val="none"/>
          <w:lang w:val="zh-CN" w:eastAsia="zh-CN" w:bidi="ar-SA"/>
        </w:rPr>
      </w:pPr>
      <w:r>
        <w:rPr>
          <w:rFonts w:hint="eastAsia" w:ascii="宋体" w:hAnsi="宋体" w:eastAsia="宋体" w:cs="宋体"/>
          <w:b/>
          <w:bCs w:val="0"/>
          <w:color w:val="auto"/>
          <w:kern w:val="2"/>
          <w:sz w:val="24"/>
          <w:szCs w:val="24"/>
          <w:highlight w:val="none"/>
          <w:lang w:val="zh-CN" w:eastAsia="zh-CN" w:bidi="ar-SA"/>
        </w:rPr>
        <w:t>3、监视系统</w:t>
      </w:r>
    </w:p>
    <w:p w14:paraId="4F08D80A">
      <w:pP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采用枪球一体机实现对路况的实时监控，汇总如下表。</w:t>
      </w:r>
    </w:p>
    <w:p w14:paraId="7A4E995C">
      <w:pPr>
        <w:jc w:val="center"/>
        <w:rPr>
          <w:rFonts w:hint="eastAsia" w:ascii="宋体" w:hAnsi="宋体" w:eastAsia="宋体" w:cs="宋体"/>
          <w:b/>
          <w:bCs w:val="0"/>
          <w:color w:val="auto"/>
          <w:kern w:val="2"/>
          <w:sz w:val="24"/>
          <w:szCs w:val="24"/>
          <w:highlight w:val="none"/>
          <w:lang w:val="zh-CN" w:eastAsia="zh-CN" w:bidi="ar-SA"/>
        </w:rPr>
      </w:pPr>
      <w:r>
        <w:rPr>
          <w:rFonts w:hint="eastAsia" w:ascii="宋体" w:hAnsi="宋体" w:eastAsia="宋体" w:cs="宋体"/>
          <w:b/>
          <w:bCs w:val="0"/>
          <w:color w:val="auto"/>
          <w:kern w:val="2"/>
          <w:sz w:val="24"/>
          <w:szCs w:val="24"/>
          <w:highlight w:val="none"/>
          <w:lang w:val="zh-CN" w:eastAsia="zh-CN" w:bidi="ar-SA"/>
        </w:rPr>
        <w:t>交通监视系统建设一览表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6"/>
        <w:gridCol w:w="2992"/>
        <w:gridCol w:w="3273"/>
      </w:tblGrid>
      <w:tr w14:paraId="0718A4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086" w:type="dxa"/>
            <w:noWrap w:val="0"/>
            <w:vAlign w:val="center"/>
          </w:tcPr>
          <w:p w14:paraId="244BC900">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编号</w:t>
            </w:r>
          </w:p>
        </w:tc>
        <w:tc>
          <w:tcPr>
            <w:tcW w:w="2992" w:type="dxa"/>
            <w:noWrap w:val="0"/>
            <w:vAlign w:val="center"/>
          </w:tcPr>
          <w:p w14:paraId="16CAEA21">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交叉口名称</w:t>
            </w:r>
          </w:p>
        </w:tc>
        <w:tc>
          <w:tcPr>
            <w:tcW w:w="3273" w:type="dxa"/>
            <w:noWrap w:val="0"/>
            <w:vAlign w:val="center"/>
          </w:tcPr>
          <w:p w14:paraId="1336E578">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建设内容</w:t>
            </w:r>
          </w:p>
        </w:tc>
      </w:tr>
      <w:tr w14:paraId="6F0193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086" w:type="dxa"/>
            <w:noWrap w:val="0"/>
            <w:vAlign w:val="center"/>
          </w:tcPr>
          <w:p w14:paraId="40997178">
            <w:pPr>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1</w:t>
            </w:r>
          </w:p>
        </w:tc>
        <w:tc>
          <w:tcPr>
            <w:tcW w:w="2992" w:type="dxa"/>
            <w:noWrap w:val="0"/>
            <w:vAlign w:val="center"/>
          </w:tcPr>
          <w:p w14:paraId="5EFC14BA">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纬三路--宁东路</w:t>
            </w:r>
          </w:p>
        </w:tc>
        <w:tc>
          <w:tcPr>
            <w:tcW w:w="3273" w:type="dxa"/>
            <w:noWrap w:val="0"/>
            <w:vAlign w:val="center"/>
          </w:tcPr>
          <w:p w14:paraId="43CE4E22">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新建2套</w:t>
            </w:r>
          </w:p>
        </w:tc>
      </w:tr>
      <w:tr w14:paraId="1E1DAB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086" w:type="dxa"/>
            <w:noWrap w:val="0"/>
            <w:vAlign w:val="center"/>
          </w:tcPr>
          <w:p w14:paraId="6FEC2612">
            <w:pPr>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2</w:t>
            </w:r>
          </w:p>
        </w:tc>
        <w:tc>
          <w:tcPr>
            <w:tcW w:w="2992" w:type="dxa"/>
            <w:noWrap w:val="0"/>
            <w:vAlign w:val="center"/>
          </w:tcPr>
          <w:p w14:paraId="19D74670">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纬三路K0+170</w:t>
            </w:r>
          </w:p>
          <w:p w14:paraId="07996C4C">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小区出入口</w:t>
            </w:r>
          </w:p>
        </w:tc>
        <w:tc>
          <w:tcPr>
            <w:tcW w:w="3273" w:type="dxa"/>
            <w:noWrap w:val="0"/>
            <w:vAlign w:val="center"/>
          </w:tcPr>
          <w:p w14:paraId="6D9C5495">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新建1套</w:t>
            </w:r>
          </w:p>
        </w:tc>
      </w:tr>
      <w:tr w14:paraId="5054DB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086" w:type="dxa"/>
            <w:noWrap w:val="0"/>
            <w:vAlign w:val="center"/>
          </w:tcPr>
          <w:p w14:paraId="2F214FA2">
            <w:pPr>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3</w:t>
            </w:r>
          </w:p>
        </w:tc>
        <w:tc>
          <w:tcPr>
            <w:tcW w:w="2992" w:type="dxa"/>
            <w:noWrap w:val="0"/>
            <w:vAlign w:val="center"/>
          </w:tcPr>
          <w:p w14:paraId="67FA83D5">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纬三路--经十路</w:t>
            </w:r>
          </w:p>
        </w:tc>
        <w:tc>
          <w:tcPr>
            <w:tcW w:w="3273" w:type="dxa"/>
            <w:noWrap w:val="0"/>
            <w:vAlign w:val="center"/>
          </w:tcPr>
          <w:p w14:paraId="7FA9917C">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新建1套</w:t>
            </w:r>
          </w:p>
        </w:tc>
      </w:tr>
      <w:tr w14:paraId="4C6BF6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086" w:type="dxa"/>
            <w:noWrap w:val="0"/>
            <w:vAlign w:val="center"/>
          </w:tcPr>
          <w:p w14:paraId="106CE918">
            <w:pPr>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4</w:t>
            </w:r>
          </w:p>
        </w:tc>
        <w:tc>
          <w:tcPr>
            <w:tcW w:w="2992" w:type="dxa"/>
            <w:noWrap w:val="0"/>
            <w:vAlign w:val="center"/>
          </w:tcPr>
          <w:p w14:paraId="6B1CD60B">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纬三路--宁税路</w:t>
            </w:r>
          </w:p>
        </w:tc>
        <w:tc>
          <w:tcPr>
            <w:tcW w:w="3273" w:type="dxa"/>
            <w:noWrap w:val="0"/>
            <w:vAlign w:val="center"/>
          </w:tcPr>
          <w:p w14:paraId="7A68A95B">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新建2套</w:t>
            </w:r>
          </w:p>
        </w:tc>
      </w:tr>
      <w:tr w14:paraId="0295B2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086" w:type="dxa"/>
            <w:noWrap w:val="0"/>
            <w:vAlign w:val="center"/>
          </w:tcPr>
          <w:p w14:paraId="7303D9F6">
            <w:pPr>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5</w:t>
            </w:r>
          </w:p>
        </w:tc>
        <w:tc>
          <w:tcPr>
            <w:tcW w:w="2992" w:type="dxa"/>
            <w:noWrap w:val="0"/>
            <w:vAlign w:val="center"/>
          </w:tcPr>
          <w:p w14:paraId="6494F886">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经十路K0+160</w:t>
            </w:r>
          </w:p>
          <w:p w14:paraId="738DF11A">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小区出入口</w:t>
            </w:r>
          </w:p>
        </w:tc>
        <w:tc>
          <w:tcPr>
            <w:tcW w:w="3273" w:type="dxa"/>
            <w:noWrap w:val="0"/>
            <w:vAlign w:val="center"/>
          </w:tcPr>
          <w:p w14:paraId="44612008">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新建1套</w:t>
            </w:r>
          </w:p>
        </w:tc>
      </w:tr>
      <w:tr w14:paraId="2D90C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086" w:type="dxa"/>
            <w:noWrap w:val="0"/>
            <w:vAlign w:val="center"/>
          </w:tcPr>
          <w:p w14:paraId="6E91730B">
            <w:pPr>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6</w:t>
            </w:r>
          </w:p>
        </w:tc>
        <w:tc>
          <w:tcPr>
            <w:tcW w:w="2992" w:type="dxa"/>
            <w:noWrap w:val="0"/>
            <w:vAlign w:val="center"/>
          </w:tcPr>
          <w:p w14:paraId="77C5E997">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经十路-建设三路</w:t>
            </w:r>
          </w:p>
        </w:tc>
        <w:tc>
          <w:tcPr>
            <w:tcW w:w="3273" w:type="dxa"/>
            <w:noWrap w:val="0"/>
            <w:vAlign w:val="center"/>
          </w:tcPr>
          <w:p w14:paraId="7857653E">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新建1套</w:t>
            </w:r>
          </w:p>
        </w:tc>
      </w:tr>
      <w:tr w14:paraId="36948A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086" w:type="dxa"/>
            <w:noWrap w:val="0"/>
            <w:vAlign w:val="center"/>
          </w:tcPr>
          <w:p w14:paraId="20CA6DA4">
            <w:pPr>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7</w:t>
            </w:r>
          </w:p>
        </w:tc>
        <w:tc>
          <w:tcPr>
            <w:tcW w:w="2992" w:type="dxa"/>
            <w:noWrap w:val="0"/>
            <w:vAlign w:val="center"/>
          </w:tcPr>
          <w:p w14:paraId="55943E86">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经十一路-建设一路</w:t>
            </w:r>
          </w:p>
        </w:tc>
        <w:tc>
          <w:tcPr>
            <w:tcW w:w="3273" w:type="dxa"/>
            <w:noWrap w:val="0"/>
            <w:vAlign w:val="center"/>
          </w:tcPr>
          <w:p w14:paraId="41D06E23">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新建1套</w:t>
            </w:r>
          </w:p>
        </w:tc>
      </w:tr>
      <w:tr w14:paraId="14B33D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086" w:type="dxa"/>
            <w:noWrap w:val="0"/>
            <w:vAlign w:val="center"/>
          </w:tcPr>
          <w:p w14:paraId="323B70A2">
            <w:pPr>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8</w:t>
            </w:r>
          </w:p>
        </w:tc>
        <w:tc>
          <w:tcPr>
            <w:tcW w:w="2992" w:type="dxa"/>
            <w:noWrap w:val="0"/>
            <w:vAlign w:val="center"/>
          </w:tcPr>
          <w:p w14:paraId="269B56C7">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经十一路K0+100</w:t>
            </w:r>
          </w:p>
          <w:p w14:paraId="242CA8E5">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幼儿园出入口</w:t>
            </w:r>
          </w:p>
        </w:tc>
        <w:tc>
          <w:tcPr>
            <w:tcW w:w="3273" w:type="dxa"/>
            <w:noWrap w:val="0"/>
            <w:vAlign w:val="center"/>
          </w:tcPr>
          <w:p w14:paraId="021FD56F">
            <w:pPr>
              <w:jc w:val="center"/>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新建1套</w:t>
            </w:r>
          </w:p>
        </w:tc>
      </w:tr>
    </w:tbl>
    <w:p w14:paraId="043A426B">
      <w:pPr>
        <w:rPr>
          <w:rFonts w:hint="eastAsia" w:ascii="宋体" w:hAnsi="宋体" w:eastAsia="宋体" w:cs="宋体"/>
          <w:b/>
          <w:bCs w:val="0"/>
          <w:color w:val="auto"/>
          <w:kern w:val="2"/>
          <w:sz w:val="24"/>
          <w:szCs w:val="24"/>
          <w:highlight w:val="none"/>
          <w:lang w:val="zh-CN" w:eastAsia="zh-CN" w:bidi="ar-SA"/>
        </w:rPr>
      </w:pPr>
    </w:p>
    <w:p w14:paraId="44EF26C6">
      <w:pPr>
        <w:jc w:val="both"/>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五、杆件结构及施工要求</w:t>
      </w:r>
    </w:p>
    <w:p w14:paraId="4B5D9EB9">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eastAsia" w:ascii="宋体" w:hAnsi="宋体"/>
          <w:b/>
          <w:bCs w:val="0"/>
          <w:color w:val="auto"/>
          <w:sz w:val="24"/>
          <w:szCs w:val="24"/>
          <w:highlight w:val="none"/>
          <w:lang w:eastAsia="zh-CN"/>
        </w:rPr>
      </w:pPr>
      <w:r>
        <w:rPr>
          <w:rFonts w:hint="eastAsia" w:ascii="宋体" w:hAnsi="宋体"/>
          <w:b/>
          <w:bCs w:val="0"/>
          <w:color w:val="auto"/>
          <w:sz w:val="24"/>
          <w:szCs w:val="24"/>
          <w:highlight w:val="none"/>
          <w:lang w:eastAsia="zh-CN"/>
        </w:rPr>
        <w:t>（一）</w:t>
      </w:r>
      <w:r>
        <w:rPr>
          <w:rFonts w:hint="eastAsia" w:ascii="宋体" w:hAnsi="宋体"/>
          <w:b/>
          <w:bCs w:val="0"/>
          <w:color w:val="auto"/>
          <w:sz w:val="24"/>
          <w:szCs w:val="24"/>
          <w:highlight w:val="none"/>
          <w:lang w:eastAsia="zh-CN"/>
        </w:rPr>
        <w:tab/>
      </w:r>
      <w:r>
        <w:rPr>
          <w:rFonts w:hint="eastAsia" w:ascii="宋体" w:hAnsi="宋体"/>
          <w:b/>
          <w:bCs w:val="0"/>
          <w:color w:val="auto"/>
          <w:sz w:val="24"/>
          <w:szCs w:val="24"/>
          <w:highlight w:val="none"/>
          <w:lang w:eastAsia="zh-CN"/>
        </w:rPr>
        <w:t>设计依据</w:t>
      </w:r>
    </w:p>
    <w:p w14:paraId="66739B29">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lang w:eastAsia="zh-CN"/>
        </w:rPr>
        <w:t>设计遵循的主要规范、规定</w:t>
      </w:r>
    </w:p>
    <w:p w14:paraId="6F9C476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《公路工程技术标准》（JTG B01-2014）；</w:t>
      </w:r>
    </w:p>
    <w:p w14:paraId="73FB1E5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《道路交通标志和标线》（GB 5768-2009）；</w:t>
      </w:r>
    </w:p>
    <w:p w14:paraId="1AE07D2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《城市道路交通设施设计规范》（GB 50688-2011）；</w:t>
      </w:r>
    </w:p>
    <w:p w14:paraId="1A26197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《建筑结构荷载规范》（GB50009-2001）</w:t>
      </w:r>
    </w:p>
    <w:p w14:paraId="2BF026B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《钢结构设计规范》（GB50017-2003）</w:t>
      </w:r>
    </w:p>
    <w:p w14:paraId="14ECB932">
      <w:pPr>
        <w:jc w:val="both"/>
        <w:rPr>
          <w:rFonts w:hint="eastAsia" w:ascii="宋体" w:hAnsi="宋体"/>
          <w:b/>
          <w:bCs w:val="0"/>
          <w:color w:val="auto"/>
          <w:sz w:val="24"/>
          <w:szCs w:val="24"/>
          <w:highlight w:val="none"/>
          <w:lang w:eastAsia="zh-CN"/>
        </w:rPr>
      </w:pPr>
      <w:r>
        <w:rPr>
          <w:rFonts w:hint="eastAsia" w:ascii="宋体" w:hAnsi="宋体"/>
          <w:b/>
          <w:bCs w:val="0"/>
          <w:color w:val="auto"/>
          <w:sz w:val="24"/>
          <w:szCs w:val="24"/>
          <w:highlight w:val="none"/>
          <w:lang w:eastAsia="zh-CN"/>
        </w:rPr>
        <w:t>（二）</w:t>
      </w:r>
      <w:r>
        <w:rPr>
          <w:rFonts w:hint="eastAsia" w:ascii="宋体" w:hAnsi="宋体"/>
          <w:b/>
          <w:bCs w:val="0"/>
          <w:color w:val="auto"/>
          <w:sz w:val="24"/>
          <w:szCs w:val="24"/>
          <w:highlight w:val="none"/>
          <w:lang w:eastAsia="zh-CN"/>
        </w:rPr>
        <w:tab/>
      </w:r>
      <w:r>
        <w:rPr>
          <w:rFonts w:hint="eastAsia" w:ascii="宋体" w:hAnsi="宋体"/>
          <w:b/>
          <w:bCs w:val="0"/>
          <w:color w:val="auto"/>
          <w:sz w:val="24"/>
          <w:szCs w:val="24"/>
          <w:highlight w:val="none"/>
          <w:lang w:eastAsia="zh-CN"/>
        </w:rPr>
        <w:t>主要结构材料：</w:t>
      </w:r>
    </w:p>
    <w:p w14:paraId="0612B1E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1、钢材（钢管、钢板、型钢）：材质为Q345B,质量符合《低合金高强度结构钢》GB/T1591的规定，厚度小于16mm的钢板抗拉强度设计值310kN/m , 焊接结构应有碳含量的合格保证。</w:t>
      </w:r>
    </w:p>
    <w:p w14:paraId="4EF745F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2、焊接材料</w:t>
      </w:r>
    </w:p>
    <w:p w14:paraId="28C6841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焊接方法</w:t>
      </w:r>
      <w:r>
        <w:rPr>
          <w:rFonts w:hint="eastAsia" w:ascii="宋体" w:hAnsi="宋体"/>
          <w:b w:val="0"/>
          <w:bCs/>
          <w:color w:val="auto"/>
          <w:sz w:val="24"/>
          <w:szCs w:val="24"/>
          <w:highlight w:val="none"/>
          <w:lang w:eastAsia="zh-CN"/>
        </w:rPr>
        <w:tab/>
      </w:r>
      <w:r>
        <w:rPr>
          <w:rFonts w:hint="eastAsia" w:ascii="宋体" w:hAnsi="宋体"/>
          <w:b w:val="0"/>
          <w:bCs/>
          <w:color w:val="auto"/>
          <w:sz w:val="24"/>
          <w:szCs w:val="24"/>
          <w:highlight w:val="none"/>
          <w:lang w:eastAsia="zh-CN"/>
        </w:rPr>
        <w:t>钢号</w:t>
      </w:r>
      <w:r>
        <w:rPr>
          <w:rFonts w:hint="eastAsia" w:ascii="宋体" w:hAnsi="宋体"/>
          <w:b w:val="0"/>
          <w:bCs/>
          <w:color w:val="auto"/>
          <w:sz w:val="24"/>
          <w:szCs w:val="24"/>
          <w:highlight w:val="none"/>
          <w:lang w:eastAsia="zh-CN"/>
        </w:rPr>
        <w:tab/>
      </w:r>
      <w:r>
        <w:rPr>
          <w:rFonts w:hint="eastAsia" w:ascii="宋体" w:hAnsi="宋体"/>
          <w:b w:val="0"/>
          <w:bCs/>
          <w:color w:val="auto"/>
          <w:sz w:val="24"/>
          <w:szCs w:val="24"/>
          <w:highlight w:val="none"/>
          <w:lang w:eastAsia="zh-CN"/>
        </w:rPr>
        <w:t>焊接材料</w:t>
      </w:r>
    </w:p>
    <w:p w14:paraId="060DE7A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手工电弧焊</w:t>
      </w:r>
      <w:r>
        <w:rPr>
          <w:rFonts w:hint="eastAsia" w:ascii="宋体" w:hAnsi="宋体"/>
          <w:b w:val="0"/>
          <w:bCs/>
          <w:color w:val="auto"/>
          <w:sz w:val="24"/>
          <w:szCs w:val="24"/>
          <w:highlight w:val="none"/>
          <w:lang w:eastAsia="zh-CN"/>
        </w:rPr>
        <w:tab/>
      </w:r>
      <w:r>
        <w:rPr>
          <w:rFonts w:hint="eastAsia" w:ascii="宋体" w:hAnsi="宋体"/>
          <w:b w:val="0"/>
          <w:bCs/>
          <w:color w:val="auto"/>
          <w:sz w:val="24"/>
          <w:szCs w:val="24"/>
          <w:highlight w:val="none"/>
          <w:lang w:eastAsia="zh-CN"/>
        </w:rPr>
        <w:t>Q345</w:t>
      </w:r>
      <w:r>
        <w:rPr>
          <w:rFonts w:hint="eastAsia" w:ascii="宋体" w:hAnsi="宋体"/>
          <w:b w:val="0"/>
          <w:bCs/>
          <w:color w:val="auto"/>
          <w:sz w:val="24"/>
          <w:szCs w:val="24"/>
          <w:highlight w:val="none"/>
          <w:lang w:eastAsia="zh-CN"/>
        </w:rPr>
        <w:tab/>
      </w:r>
      <w:r>
        <w:rPr>
          <w:rFonts w:hint="eastAsia" w:ascii="宋体" w:hAnsi="宋体"/>
          <w:b w:val="0"/>
          <w:bCs/>
          <w:color w:val="auto"/>
          <w:sz w:val="24"/>
          <w:szCs w:val="24"/>
          <w:highlight w:val="none"/>
          <w:lang w:eastAsia="zh-CN"/>
        </w:rPr>
        <w:t>焊条：E50系列</w:t>
      </w:r>
    </w:p>
    <w:p w14:paraId="49BCD1A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埋弧自动焊</w:t>
      </w:r>
      <w:r>
        <w:rPr>
          <w:rFonts w:hint="eastAsia" w:ascii="宋体" w:hAnsi="宋体"/>
          <w:b w:val="0"/>
          <w:bCs/>
          <w:color w:val="auto"/>
          <w:sz w:val="24"/>
          <w:szCs w:val="24"/>
          <w:highlight w:val="none"/>
          <w:lang w:eastAsia="zh-CN"/>
        </w:rPr>
        <w:tab/>
      </w:r>
      <w:r>
        <w:rPr>
          <w:rFonts w:hint="eastAsia" w:ascii="宋体" w:hAnsi="宋体"/>
          <w:b w:val="0"/>
          <w:bCs/>
          <w:color w:val="auto"/>
          <w:sz w:val="24"/>
          <w:szCs w:val="24"/>
          <w:highlight w:val="none"/>
          <w:lang w:eastAsia="zh-CN"/>
        </w:rPr>
        <w:tab/>
      </w:r>
      <w:r>
        <w:rPr>
          <w:rFonts w:hint="eastAsia" w:ascii="宋体" w:hAnsi="宋体"/>
          <w:b w:val="0"/>
          <w:bCs/>
          <w:color w:val="auto"/>
          <w:sz w:val="24"/>
          <w:szCs w:val="24"/>
          <w:highlight w:val="none"/>
          <w:lang w:eastAsia="zh-CN"/>
        </w:rPr>
        <w:t>焊剂与焊丝：HJ402-H08A</w:t>
      </w:r>
    </w:p>
    <w:p w14:paraId="401E6DC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CO2气体保护电弧焊</w:t>
      </w:r>
      <w:r>
        <w:rPr>
          <w:rFonts w:hint="eastAsia" w:ascii="宋体" w:hAnsi="宋体"/>
          <w:b w:val="0"/>
          <w:bCs/>
          <w:color w:val="auto"/>
          <w:sz w:val="24"/>
          <w:szCs w:val="24"/>
          <w:highlight w:val="none"/>
          <w:lang w:eastAsia="zh-CN"/>
        </w:rPr>
        <w:tab/>
      </w:r>
      <w:r>
        <w:rPr>
          <w:rFonts w:hint="eastAsia" w:ascii="宋体" w:hAnsi="宋体"/>
          <w:b w:val="0"/>
          <w:bCs/>
          <w:color w:val="auto"/>
          <w:sz w:val="24"/>
          <w:szCs w:val="24"/>
          <w:highlight w:val="none"/>
          <w:lang w:eastAsia="zh-CN"/>
        </w:rPr>
        <w:t>焊丝：H08Mn2Si</w:t>
      </w:r>
    </w:p>
    <w:p w14:paraId="4B3A187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自动焊和半自动焊所采用的焊丝和焊剂,应保证其熔敷金属的力学性能不低于《埋弧焊用碳钢焊丝和焊剂》GB/T5293和《低合金钢埋弧焊用焊剂》GB/T12470中的有关规定。</w:t>
      </w:r>
    </w:p>
    <w:p w14:paraId="041D6B8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3、高强螺栓</w:t>
      </w:r>
    </w:p>
    <w:p w14:paraId="47226FF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1）螺栓性能等级 10.9S承压型高强度螺栓，材质 20MnTiB。</w:t>
      </w:r>
    </w:p>
    <w:p w14:paraId="234718F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2）质量标准应符合《钢结构用高强度大六角头螺栓》GB/T 1228、《钢结构用高强度垫圈》GB/T1230、《钢结构用高强度大六角头螺栓,大六角螺母,垫圈技术条件》GB/T1231的规定。</w:t>
      </w:r>
    </w:p>
    <w:p w14:paraId="544EBC5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3）承压型连接高强度螺栓抗拉强度设计值500kN/m , 抗剪强度设计值310kN/m , 联结副表面抛丸除锈,除锈质量等级要求达到Sa2(1/2)级标准(GB8923-88)， 摩擦系数0.45。</w:t>
      </w:r>
    </w:p>
    <w:p w14:paraId="2A8C97F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4、普通螺栓：</w:t>
      </w:r>
    </w:p>
    <w:p w14:paraId="439ADCC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1）材质：Q235 按《碳素结构钢》(GB700-88) 钢材须保证抗拉强度、伸长率、屈服点、冷弯试验四项要求。</w:t>
      </w:r>
    </w:p>
    <w:p w14:paraId="40F6DB7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2）规格：普通螺栓采用《六角头螺栓 c级》GB/T5780，性能等级4.6S，C级I型，《六角头螺母》GB/T 5782。</w:t>
      </w:r>
    </w:p>
    <w:p w14:paraId="18AFEA9B">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eastAsia" w:ascii="宋体" w:hAnsi="宋体"/>
          <w:b/>
          <w:bCs w:val="0"/>
          <w:color w:val="auto"/>
          <w:sz w:val="24"/>
          <w:szCs w:val="24"/>
          <w:highlight w:val="none"/>
          <w:lang w:eastAsia="zh-CN"/>
        </w:rPr>
      </w:pPr>
      <w:r>
        <w:rPr>
          <w:rFonts w:hint="eastAsia" w:ascii="宋体" w:hAnsi="宋体"/>
          <w:b/>
          <w:bCs w:val="0"/>
          <w:color w:val="auto"/>
          <w:sz w:val="24"/>
          <w:szCs w:val="24"/>
          <w:highlight w:val="none"/>
          <w:lang w:eastAsia="zh-CN"/>
        </w:rPr>
        <w:t>（三）</w:t>
      </w:r>
      <w:r>
        <w:rPr>
          <w:rFonts w:hint="eastAsia" w:ascii="宋体" w:hAnsi="宋体"/>
          <w:b/>
          <w:bCs w:val="0"/>
          <w:color w:val="auto"/>
          <w:sz w:val="24"/>
          <w:szCs w:val="24"/>
          <w:highlight w:val="none"/>
          <w:lang w:eastAsia="zh-CN"/>
        </w:rPr>
        <w:tab/>
      </w:r>
      <w:r>
        <w:rPr>
          <w:rFonts w:hint="eastAsia" w:ascii="宋体" w:hAnsi="宋体"/>
          <w:b/>
          <w:bCs w:val="0"/>
          <w:color w:val="auto"/>
          <w:sz w:val="24"/>
          <w:szCs w:val="24"/>
          <w:highlight w:val="none"/>
          <w:lang w:eastAsia="zh-CN"/>
        </w:rPr>
        <w:t>结构构造、制作</w:t>
      </w:r>
    </w:p>
    <w:p w14:paraId="1A88712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1、施工应遵循的主要规范、规定</w:t>
      </w:r>
    </w:p>
    <w:p w14:paraId="76A2162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 xml:space="preserve">《钢结构工程施工及验收规范》(GB50205-2001) </w:t>
      </w:r>
    </w:p>
    <w:p w14:paraId="4193D7F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《建筑钢结构焊接规程》(JGJ81-2002)</w:t>
      </w:r>
    </w:p>
    <w:p w14:paraId="43AC9C1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2、结构构造、制作</w:t>
      </w:r>
    </w:p>
    <w:p w14:paraId="570876A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1）本工程除加劲板采用角焊外，钢构全部要求采用相贯对接焊，焊缝高度同板厚。</w:t>
      </w:r>
    </w:p>
    <w:p w14:paraId="49FA51D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2）焊接质量的检验等级：构件主材的对接焊缝，其焊接外观检查及无损检验应符合二级质量标准；其他焊缝按三级质量标准控制。</w:t>
      </w:r>
    </w:p>
    <w:p w14:paraId="53B8441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3）构件的放样应按施工图的图形和尺寸绘出1：1大样，并制作样板和样杆核对无误后，方能进行批量制作。</w:t>
      </w:r>
    </w:p>
    <w:p w14:paraId="2D9E2AD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4）钢材加工前应进行矫正，使之平直，以免影响制作精度。施焊前应严格检查焊件部位的组装和表面清理的质量。对非密闭的隐藏部位，应按设计要求进行除锈、涂漆处理后方可进行组装。</w:t>
      </w:r>
    </w:p>
    <w:p w14:paraId="2457E0A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5）不应在焊缝以外的母材上打火引弧，焊接完毕后，必须用火焰切除被焊工件上的引弧、引出板和其他卡具, 并沿受力方向修磨平整, 严禁用锤击落。</w:t>
      </w:r>
    </w:p>
    <w:p w14:paraId="2B64B07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6）施焊时应选择合理的焊接顺序，以减小焊接变形和焊接应力。减小焊接变形还可采用反变形措施；减小焊接应力还可采用预热、锤击和整体回火等方法。</w:t>
      </w:r>
    </w:p>
    <w:p w14:paraId="23D1160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7）因焊接而变形的构件，可采用机械（冷矫）或在严格控制温度的条件下加热（热矫）的方法进行矫正。</w:t>
      </w:r>
    </w:p>
    <w:p w14:paraId="056AFF03">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eastAsia" w:ascii="宋体" w:hAnsi="宋体"/>
          <w:b/>
          <w:bCs w:val="0"/>
          <w:color w:val="auto"/>
          <w:sz w:val="24"/>
          <w:szCs w:val="24"/>
          <w:highlight w:val="none"/>
          <w:lang w:eastAsia="zh-CN"/>
        </w:rPr>
      </w:pPr>
      <w:r>
        <w:rPr>
          <w:rFonts w:hint="eastAsia" w:ascii="宋体" w:hAnsi="宋体"/>
          <w:b/>
          <w:bCs w:val="0"/>
          <w:color w:val="auto"/>
          <w:sz w:val="24"/>
          <w:szCs w:val="24"/>
          <w:highlight w:val="none"/>
          <w:lang w:eastAsia="zh-CN"/>
        </w:rPr>
        <w:t>（四）</w:t>
      </w:r>
      <w:r>
        <w:rPr>
          <w:rFonts w:hint="eastAsia" w:ascii="宋体" w:hAnsi="宋体"/>
          <w:b/>
          <w:bCs w:val="0"/>
          <w:color w:val="auto"/>
          <w:sz w:val="24"/>
          <w:szCs w:val="24"/>
          <w:highlight w:val="none"/>
          <w:lang w:eastAsia="zh-CN"/>
        </w:rPr>
        <w:tab/>
      </w:r>
      <w:r>
        <w:rPr>
          <w:rFonts w:hint="eastAsia" w:ascii="宋体" w:hAnsi="宋体"/>
          <w:b/>
          <w:bCs w:val="0"/>
          <w:color w:val="auto"/>
          <w:sz w:val="24"/>
          <w:szCs w:val="24"/>
          <w:highlight w:val="none"/>
          <w:lang w:eastAsia="zh-CN"/>
        </w:rPr>
        <w:t>涂装</w:t>
      </w:r>
    </w:p>
    <w:p w14:paraId="684E90E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1、所有标杆均须热涂锌后喷塑，表面颜色为青黑色（由厂家提供色板进行选择）。</w:t>
      </w:r>
    </w:p>
    <w:p w14:paraId="3A088A1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2、在喷涂防锈蚀涂料前,必须将构件表面的毛刺、铁锈、油污及附着物清除干净,使钢材的表面露出银灰色，除锈质量等级要求达到Sa2(1/2)级标准(GB8923-88)。</w:t>
      </w:r>
    </w:p>
    <w:p w14:paraId="6E19D81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3、钢材经除锈处理后应立即清理表层锈垢,并采用镀锌处理，干膜厚度：主构件不小于60um,其他主构不小于40um。</w:t>
      </w:r>
    </w:p>
    <w:p w14:paraId="3E9B4A9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4、钢结构在使用过程中应定期进行油漆维护。</w:t>
      </w:r>
    </w:p>
    <w:p w14:paraId="0A82B500">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eastAsia" w:ascii="宋体" w:hAnsi="宋体"/>
          <w:b/>
          <w:bCs w:val="0"/>
          <w:color w:val="auto"/>
          <w:sz w:val="24"/>
          <w:szCs w:val="24"/>
          <w:highlight w:val="none"/>
          <w:lang w:eastAsia="zh-CN"/>
        </w:rPr>
      </w:pPr>
      <w:r>
        <w:rPr>
          <w:rFonts w:hint="eastAsia" w:ascii="宋体" w:hAnsi="宋体"/>
          <w:b/>
          <w:bCs w:val="0"/>
          <w:color w:val="auto"/>
          <w:sz w:val="24"/>
          <w:szCs w:val="24"/>
          <w:highlight w:val="none"/>
          <w:lang w:eastAsia="zh-CN"/>
        </w:rPr>
        <w:t>（五）</w:t>
      </w:r>
      <w:r>
        <w:rPr>
          <w:rFonts w:hint="eastAsia" w:ascii="宋体" w:hAnsi="宋体"/>
          <w:b/>
          <w:bCs w:val="0"/>
          <w:color w:val="auto"/>
          <w:sz w:val="24"/>
          <w:szCs w:val="24"/>
          <w:highlight w:val="none"/>
          <w:lang w:eastAsia="zh-CN"/>
        </w:rPr>
        <w:tab/>
      </w:r>
      <w:r>
        <w:rPr>
          <w:rFonts w:hint="eastAsia" w:ascii="宋体" w:hAnsi="宋体"/>
          <w:b/>
          <w:bCs w:val="0"/>
          <w:color w:val="auto"/>
          <w:sz w:val="24"/>
          <w:szCs w:val="24"/>
          <w:highlight w:val="none"/>
          <w:lang w:eastAsia="zh-CN"/>
        </w:rPr>
        <w:t>结构安装</w:t>
      </w:r>
    </w:p>
    <w:p w14:paraId="74B45D8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1、构件在厂内完成焊接及油漆，现场进行拼装。</w:t>
      </w:r>
    </w:p>
    <w:p w14:paraId="39542C6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2、构件运输过程中要妥善绑扎，以防止变形和损伤。</w:t>
      </w:r>
    </w:p>
    <w:p w14:paraId="4B57DF6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3、结构安装前应对构件进行全面检查:如构件的数量、长度、垂落度、安装接头处螺栓孔之间的尺寸是否符合设计要求。</w:t>
      </w:r>
    </w:p>
    <w:p w14:paraId="5DEDC04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4、在安装钢柱前应检查柱脚锚栓之间的尺寸、露出基础顶面的尺寸、基础顶面的标高是否符合设计要求,以及柱脚锚栓的螺纹是否有损伤(基础施工时注意保护)。</w:t>
      </w:r>
    </w:p>
    <w:p w14:paraId="4F848B4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5、结构吊装时，应采取适当措施，防止产生过大的弯扭变形。</w:t>
      </w:r>
    </w:p>
    <w:p w14:paraId="46581CD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6、当结构就位完毕后，应及时安装支撑和其他连系构件，保证结构的稳定性。</w:t>
      </w:r>
    </w:p>
    <w:p w14:paraId="5110B17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7、施工单位可选用合适的吊装方案，将有关构件组合成安装单元。在地面进行现场组装后整体吊装,以减少高空现场组装量。</w:t>
      </w:r>
    </w:p>
    <w:p w14:paraId="6D4BF77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8、高强螺栓的施工要求：</w:t>
      </w:r>
    </w:p>
    <w:p w14:paraId="00447DD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1）为了使构件紧密的结合,在连接处构件接触面上严禁有电焊、气割污点、毛刺等不洁物。</w:t>
      </w:r>
    </w:p>
    <w:p w14:paraId="0F1353C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2）安装前，将螺栓和螺母配套，并在螺母内涂抹少量矿物油。</w:t>
      </w:r>
    </w:p>
    <w:p w14:paraId="4F73C8B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3）高强螺栓应采用钻成孔，高强螺栓连接处构件接触面采用喷砂处理。</w:t>
      </w:r>
    </w:p>
    <w:p w14:paraId="301CF665">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eastAsia" w:ascii="宋体" w:hAnsi="宋体"/>
          <w:b/>
          <w:bCs w:val="0"/>
          <w:color w:val="auto"/>
          <w:sz w:val="24"/>
          <w:szCs w:val="24"/>
          <w:highlight w:val="none"/>
          <w:lang w:eastAsia="zh-CN"/>
        </w:rPr>
      </w:pPr>
      <w:r>
        <w:rPr>
          <w:rFonts w:hint="eastAsia" w:ascii="宋体" w:hAnsi="宋体"/>
          <w:b/>
          <w:bCs w:val="0"/>
          <w:color w:val="auto"/>
          <w:sz w:val="24"/>
          <w:szCs w:val="24"/>
          <w:highlight w:val="none"/>
          <w:lang w:eastAsia="zh-CN"/>
        </w:rPr>
        <w:t>（六）其它</w:t>
      </w:r>
    </w:p>
    <w:p w14:paraId="234B9A3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为确保道路美观，所有交通安全设施基座应埋入地面以下，不外露。如标志在绿化带中，其上必须有20cm覆土；如基座在人行道上，其上应满足铺设人行道地砖的要求，标志杆立柱钢管在制作时应相应加长，确保道路净空满足要求。</w:t>
      </w:r>
    </w:p>
    <w:p w14:paraId="5E691DB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2、说明未予强调的事项均见现行施工验收规范及有关的标准和规定；本说明未予明确的特殊要求，请详见有关的施工图,植筋由专业队伍施工,并进行拉拔试验合格后方可进行钢构安装。</w:t>
      </w:r>
    </w:p>
    <w:p w14:paraId="4892D1E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3、严格按照国家现行有关规范验收,每一阶段验收合格后，方可进行下一阶段的施工工作。</w:t>
      </w:r>
    </w:p>
    <w:p w14:paraId="139153DA">
      <w:pPr>
        <w:jc w:val="both"/>
        <w:rPr>
          <w:rFonts w:hint="eastAsia" w:ascii="宋体" w:hAnsi="宋体"/>
          <w:b/>
          <w:color w:val="auto"/>
          <w:sz w:val="24"/>
          <w:szCs w:val="24"/>
          <w:highlight w:val="none"/>
          <w:lang w:eastAsia="zh-CN"/>
        </w:rPr>
      </w:pPr>
    </w:p>
    <w:p w14:paraId="4C17F5EB">
      <w:pPr>
        <w:jc w:val="both"/>
        <w:rPr>
          <w:rFonts w:hint="eastAsia" w:ascii="宋体" w:hAnsi="宋体"/>
          <w:b/>
          <w:color w:val="auto"/>
          <w:sz w:val="24"/>
          <w:szCs w:val="24"/>
          <w:highlight w:val="none"/>
        </w:rPr>
      </w:pPr>
      <w:r>
        <w:rPr>
          <w:rFonts w:hint="eastAsia" w:ascii="宋体" w:hAnsi="宋体"/>
          <w:b/>
          <w:color w:val="auto"/>
          <w:sz w:val="24"/>
          <w:szCs w:val="24"/>
          <w:highlight w:val="none"/>
          <w:lang w:eastAsia="zh-CN"/>
        </w:rPr>
        <w:t>五、采购</w:t>
      </w:r>
      <w:r>
        <w:rPr>
          <w:rFonts w:hint="eastAsia" w:ascii="宋体" w:hAnsi="宋体"/>
          <w:b/>
          <w:color w:val="auto"/>
          <w:sz w:val="24"/>
          <w:szCs w:val="24"/>
          <w:highlight w:val="none"/>
        </w:rPr>
        <w:t>清单</w:t>
      </w:r>
    </w:p>
    <w:p w14:paraId="1901C5B6">
      <w:pPr>
        <w:tabs>
          <w:tab w:val="left" w:pos="0"/>
        </w:tabs>
        <w:ind w:firstLineChars="0"/>
        <w:jc w:val="center"/>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lang w:val="en-US" w:eastAsia="zh-CN"/>
        </w:rPr>
        <w:t>电子警察</w:t>
      </w:r>
      <w:r>
        <w:rPr>
          <w:rFonts w:hint="eastAsia" w:ascii="宋体" w:hAnsi="宋体" w:eastAsia="宋体"/>
          <w:b/>
          <w:bCs/>
          <w:color w:val="auto"/>
          <w:sz w:val="24"/>
          <w:szCs w:val="24"/>
          <w:highlight w:val="none"/>
        </w:rPr>
        <w:t>系统</w:t>
      </w:r>
      <w:r>
        <w:rPr>
          <w:rFonts w:hint="eastAsia" w:ascii="宋体" w:hAnsi="宋体"/>
          <w:b/>
          <w:bCs/>
          <w:color w:val="auto"/>
          <w:sz w:val="24"/>
          <w:szCs w:val="24"/>
          <w:highlight w:val="none"/>
          <w:lang w:eastAsia="zh-CN"/>
        </w:rPr>
        <w:t>清单</w:t>
      </w:r>
    </w:p>
    <w:tbl>
      <w:tblPr>
        <w:tblStyle w:val="65"/>
        <w:tblW w:w="9166" w:type="dxa"/>
        <w:tblInd w:w="113" w:type="dxa"/>
        <w:tblLayout w:type="autofit"/>
        <w:tblCellMar>
          <w:top w:w="0" w:type="dxa"/>
          <w:left w:w="108" w:type="dxa"/>
          <w:bottom w:w="0" w:type="dxa"/>
          <w:right w:w="108" w:type="dxa"/>
        </w:tblCellMar>
      </w:tblPr>
      <w:tblGrid>
        <w:gridCol w:w="457"/>
        <w:gridCol w:w="813"/>
        <w:gridCol w:w="6576"/>
        <w:gridCol w:w="624"/>
        <w:gridCol w:w="696"/>
      </w:tblGrid>
      <w:tr w14:paraId="01E0535B">
        <w:tblPrEx>
          <w:tblCellMar>
            <w:top w:w="0" w:type="dxa"/>
            <w:left w:w="108" w:type="dxa"/>
            <w:bottom w:w="0" w:type="dxa"/>
            <w:right w:w="108" w:type="dxa"/>
          </w:tblCellMar>
        </w:tblPrEx>
        <w:trPr>
          <w:trHeight w:val="399"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2E728CA1">
            <w:pPr>
              <w:widowControl/>
              <w:adjustRightInd/>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813" w:type="dxa"/>
            <w:tcBorders>
              <w:top w:val="single" w:color="auto" w:sz="4" w:space="0"/>
              <w:left w:val="nil"/>
              <w:bottom w:val="single" w:color="auto" w:sz="4" w:space="0"/>
              <w:right w:val="single" w:color="auto" w:sz="4" w:space="0"/>
            </w:tcBorders>
            <w:noWrap/>
            <w:vAlign w:val="center"/>
          </w:tcPr>
          <w:p w14:paraId="2E96170E">
            <w:pPr>
              <w:widowControl/>
              <w:adjustRightInd/>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设备名称</w:t>
            </w:r>
          </w:p>
        </w:tc>
        <w:tc>
          <w:tcPr>
            <w:tcW w:w="6576" w:type="dxa"/>
            <w:tcBorders>
              <w:top w:val="single" w:color="auto" w:sz="4" w:space="0"/>
              <w:left w:val="nil"/>
              <w:bottom w:val="single" w:color="auto" w:sz="4" w:space="0"/>
              <w:right w:val="single" w:color="auto" w:sz="4" w:space="0"/>
            </w:tcBorders>
            <w:noWrap/>
            <w:vAlign w:val="center"/>
          </w:tcPr>
          <w:p w14:paraId="03DE1F8E">
            <w:pPr>
              <w:widowControl/>
              <w:adjustRightInd/>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规格要求</w:t>
            </w:r>
          </w:p>
        </w:tc>
        <w:tc>
          <w:tcPr>
            <w:tcW w:w="624" w:type="dxa"/>
            <w:tcBorders>
              <w:top w:val="single" w:color="auto" w:sz="4" w:space="0"/>
              <w:left w:val="nil"/>
              <w:bottom w:val="single" w:color="auto" w:sz="4" w:space="0"/>
              <w:right w:val="single" w:color="auto" w:sz="4" w:space="0"/>
            </w:tcBorders>
            <w:noWrap/>
            <w:vAlign w:val="center"/>
          </w:tcPr>
          <w:p w14:paraId="7A3EFC86">
            <w:pPr>
              <w:widowControl/>
              <w:adjustRightInd/>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单位</w:t>
            </w:r>
          </w:p>
        </w:tc>
        <w:tc>
          <w:tcPr>
            <w:tcW w:w="696" w:type="dxa"/>
            <w:tcBorders>
              <w:top w:val="single" w:color="auto" w:sz="4" w:space="0"/>
              <w:left w:val="nil"/>
              <w:bottom w:val="single" w:color="auto" w:sz="4" w:space="0"/>
              <w:right w:val="single" w:color="auto" w:sz="4" w:space="0"/>
            </w:tcBorders>
            <w:noWrap/>
            <w:vAlign w:val="center"/>
          </w:tcPr>
          <w:p w14:paraId="67E20E90">
            <w:pPr>
              <w:widowControl/>
              <w:adjustRightInd/>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r>
      <w:tr w14:paraId="2C74A2BB">
        <w:tblPrEx>
          <w:tblCellMar>
            <w:top w:w="0" w:type="dxa"/>
            <w:left w:w="108" w:type="dxa"/>
            <w:bottom w:w="0" w:type="dxa"/>
            <w:right w:w="108" w:type="dxa"/>
          </w:tblCellMar>
        </w:tblPrEx>
        <w:trPr>
          <w:trHeight w:val="399" w:hRule="atLeast"/>
        </w:trPr>
        <w:tc>
          <w:tcPr>
            <w:tcW w:w="9166" w:type="dxa"/>
            <w:gridSpan w:val="5"/>
            <w:tcBorders>
              <w:top w:val="single" w:color="auto" w:sz="4" w:space="0"/>
              <w:left w:val="single" w:color="auto" w:sz="4" w:space="0"/>
              <w:bottom w:val="single" w:color="auto" w:sz="4" w:space="0"/>
              <w:right w:val="single" w:color="000000" w:sz="4" w:space="0"/>
            </w:tcBorders>
            <w:noWrap/>
            <w:vAlign w:val="center"/>
          </w:tcPr>
          <w:p w14:paraId="44647A66">
            <w:pPr>
              <w:widowControl/>
              <w:adjustRightInd/>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电子警察系统</w:t>
            </w:r>
          </w:p>
        </w:tc>
      </w:tr>
      <w:tr w14:paraId="76D0407E">
        <w:tblPrEx>
          <w:tblCellMar>
            <w:top w:w="0" w:type="dxa"/>
            <w:left w:w="108" w:type="dxa"/>
            <w:bottom w:w="0" w:type="dxa"/>
            <w:right w:w="108" w:type="dxa"/>
          </w:tblCellMar>
        </w:tblPrEx>
        <w:trPr>
          <w:trHeight w:val="399"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16D879A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813" w:type="dxa"/>
            <w:tcBorders>
              <w:top w:val="single" w:color="auto" w:sz="4" w:space="0"/>
              <w:left w:val="single" w:color="auto" w:sz="4" w:space="0"/>
              <w:bottom w:val="single" w:color="auto" w:sz="4" w:space="0"/>
              <w:right w:val="single" w:color="auto" w:sz="4" w:space="0"/>
            </w:tcBorders>
            <w:noWrap/>
            <w:vAlign w:val="center"/>
          </w:tcPr>
          <w:p w14:paraId="3F90200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900 万环保电子警察抓拍单元</w:t>
            </w:r>
          </w:p>
        </w:tc>
        <w:tc>
          <w:tcPr>
            <w:tcW w:w="6576" w:type="dxa"/>
            <w:tcBorders>
              <w:top w:val="single" w:color="auto" w:sz="4" w:space="0"/>
              <w:left w:val="single" w:color="auto" w:sz="4" w:space="0"/>
              <w:bottom w:val="single" w:color="auto" w:sz="4" w:space="0"/>
              <w:right w:val="single" w:color="auto" w:sz="4" w:space="0"/>
            </w:tcBorders>
            <w:noWrap w:val="0"/>
            <w:vAlign w:val="top"/>
          </w:tcPr>
          <w:p w14:paraId="5E0F04A6">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1、夜间无需使用白光爆闪灯或无需外加频闪灯（正常环境光路口，电警可仅采用下挂灯）即可输出高质量全彩图像，解决夜间光污染、避免“麻雀杆”现象。</w:t>
            </w:r>
          </w:p>
          <w:p w14:paraId="12BF5F83">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2、采用交通专用高性能 1 英寸 GS-CMOS 图像传感器，最大输出 4096×2820@50fps 高清图像，50fps 高帧率、高信噪比、高宽动态，全天候呈现逼真场景图像；</w:t>
            </w:r>
          </w:p>
          <w:p w14:paraId="47C77520">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3、采用高性能 AI 处理器，加载深度学习算法，支持多目标混合场景应用，实时提取机动车、非机动车、人体、人脸数十种全结构化信息</w:t>
            </w:r>
          </w:p>
          <w:p w14:paraId="656F9CC9">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◆4、支持检测并跟踪指定区域内不少于 245 个目标，目标包括机动车、非机动车以及行人</w:t>
            </w:r>
            <w:r>
              <w:rPr>
                <w:rFonts w:hint="eastAsia" w:ascii="宋体" w:hAnsi="宋体" w:cs="宋体"/>
                <w:color w:val="auto"/>
                <w:kern w:val="0"/>
                <w:sz w:val="24"/>
                <w:highlight w:val="none"/>
                <w:lang w:eastAsia="zh-CN"/>
              </w:rPr>
              <w:t>（提供公安部有效检测报告）</w:t>
            </w:r>
            <w:r>
              <w:rPr>
                <w:rFonts w:hint="eastAsia" w:ascii="宋体" w:hAnsi="宋体" w:cs="宋体"/>
                <w:color w:val="auto"/>
                <w:kern w:val="0"/>
                <w:sz w:val="24"/>
                <w:highlight w:val="none"/>
              </w:rPr>
              <w:t>；</w:t>
            </w:r>
          </w:p>
          <w:p w14:paraId="1A513F6F">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5、满足 GB 35114-A 级加密标准；采用一体化结构设计，内置防雷模块，IP66 防护等级。</w:t>
            </w:r>
          </w:p>
          <w:p w14:paraId="4EBDA86A">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6、支持双码流，满足 H.265&amp;H.264 编码</w:t>
            </w:r>
          </w:p>
          <w:p w14:paraId="51291710">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7、支持自动白平衡、自动电子快门、自动光圈。</w:t>
            </w:r>
          </w:p>
          <w:p w14:paraId="236AC910">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8、支持 1~4 车道车辆抓拍、车牌识别和车辆结构化信息提取</w:t>
            </w:r>
          </w:p>
          <w:p w14:paraId="0435F7A3">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9、支持单快门、全息双快门、三快门</w:t>
            </w:r>
          </w:p>
          <w:p w14:paraId="3A143902">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10、支持机动车、非机动车和行人目标检测、人脸检测、车牌识别、车辆类型识别、非机动车违法抓拍、机动车违法抓拍、车身颜色识别、视频结构化抓拍、图片合成、OSD 信息叠加</w:t>
            </w:r>
          </w:p>
          <w:p w14:paraId="6208E5AD">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11、支持车辆逆行、拥堵、停车、行人等交通事件的检测，支持车辆流量、平均速度、占有率、平均车头时距、平均排队长度、道路状态等流量信息采集，支持视频检测、雷达、线圈三种触发方式</w:t>
            </w:r>
          </w:p>
          <w:p w14:paraId="6A594C2E">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12、2 个网口具有独立的 MAC 地址，可以独立设置 IP 地址信息。</w:t>
            </w:r>
          </w:p>
          <w:p w14:paraId="19E31018">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13、最大支持 50 段语音文件导入。</w:t>
            </w:r>
          </w:p>
          <w:p w14:paraId="7FECB8C2">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14、支持 8 块感兴趣区域（ROI）增强编码功能。</w:t>
            </w:r>
          </w:p>
          <w:p w14:paraId="564DFBCB">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15、具有抓拍快门、视频快门、识别快门等三种模式，支持快门自适应，1/1s~1/100000s 可调。</w:t>
            </w:r>
          </w:p>
          <w:p w14:paraId="33BDEFCE">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16、支持最大 256G TF 卡本地存储，抓拍图片可断网续传</w:t>
            </w:r>
          </w:p>
          <w:p w14:paraId="662ECA28">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17、支持网络接口、模拟输出接口、USB 接口、RS-485 接口、RS-232接口、I/O 接口、报警输入输出、音频输入输出、外置灯接口、支持电源返送</w:t>
            </w:r>
          </w:p>
          <w:p w14:paraId="3EDC37CE">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◆18、网络直连情况下，在只输出主码流、分辨率设置为1920 × 1080、帧率设置为25fps, 码率设置为1Mbps，网络协议为UDP、最短延时、智能分析关闭时，视频图像传输至客户端的延时时间小于等于70ms</w:t>
            </w:r>
            <w:r>
              <w:rPr>
                <w:rFonts w:hint="eastAsia" w:ascii="宋体" w:hAnsi="宋体" w:cs="宋体"/>
                <w:color w:val="auto"/>
                <w:kern w:val="0"/>
                <w:sz w:val="24"/>
                <w:highlight w:val="none"/>
                <w:lang w:eastAsia="zh-CN"/>
              </w:rPr>
              <w:t>（提供公安部有效检测报告）；</w:t>
            </w:r>
          </w:p>
          <w:p w14:paraId="12F9B449">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19、具有网络防雷和防浪涌功能，含支架，镜头根据需要配备</w:t>
            </w:r>
          </w:p>
          <w:p w14:paraId="741A8595">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20、GMOS，1 英寸</w:t>
            </w:r>
          </w:p>
          <w:p w14:paraId="0A323979">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21、抓图分辨率可达 4096*2160(不含 OSD)，4096*4208(含 OSD)</w:t>
            </w:r>
          </w:p>
          <w:p w14:paraId="0CB03691">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22、具有抓拍快门、视频快门、识别快门等三种模式，支持快门自适应，1/1s~1/100000s 可调</w:t>
            </w:r>
          </w:p>
          <w:p w14:paraId="418EA3E1">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23、具有 2 个 100M/1000M 以太网口，1 个 RS232 接口，3 个 RS485 接口，1 个 TF 卡槽，1 路 DC 12V 电源输出接口，1 个外同步输入接口，7 个闪光灯/LED 频闪灯同步接口。</w:t>
            </w:r>
          </w:p>
          <w:p w14:paraId="39798A74">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24、支持扩展不同类型补光灯，可支持白光爆闪、红外爆闪、白光频闪和红外频闪等补光模式。</w:t>
            </w:r>
          </w:p>
          <w:p w14:paraId="1DAE34DD">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◆25支持设置车辆抓拍位置到立杆的架设距离、设备架设高度，并在视频图像中显示位置信息</w:t>
            </w:r>
            <w:r>
              <w:rPr>
                <w:rFonts w:hint="eastAsia" w:ascii="宋体" w:hAnsi="宋体" w:cs="宋体"/>
                <w:color w:val="auto"/>
                <w:kern w:val="0"/>
                <w:sz w:val="24"/>
                <w:highlight w:val="none"/>
                <w:lang w:eastAsia="zh-CN"/>
              </w:rPr>
              <w:t>（提供公安部有效检测报告）。</w:t>
            </w:r>
          </w:p>
        </w:tc>
        <w:tc>
          <w:tcPr>
            <w:tcW w:w="624" w:type="dxa"/>
            <w:tcBorders>
              <w:top w:val="single" w:color="auto" w:sz="4" w:space="0"/>
              <w:left w:val="single" w:color="auto" w:sz="4" w:space="0"/>
              <w:bottom w:val="single" w:color="auto" w:sz="4" w:space="0"/>
              <w:right w:val="single" w:color="auto" w:sz="4" w:space="0"/>
            </w:tcBorders>
            <w:noWrap/>
            <w:vAlign w:val="center"/>
          </w:tcPr>
          <w:p w14:paraId="5CFCB73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696" w:type="dxa"/>
            <w:tcBorders>
              <w:top w:val="single" w:color="auto" w:sz="4" w:space="0"/>
              <w:left w:val="single" w:color="auto" w:sz="4" w:space="0"/>
              <w:bottom w:val="single" w:color="auto" w:sz="4" w:space="0"/>
              <w:right w:val="single" w:color="auto" w:sz="4" w:space="0"/>
            </w:tcBorders>
            <w:noWrap/>
            <w:vAlign w:val="center"/>
          </w:tcPr>
          <w:p w14:paraId="50FDD39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2CA57D0D">
        <w:tblPrEx>
          <w:tblCellMar>
            <w:top w:w="0" w:type="dxa"/>
            <w:left w:w="108" w:type="dxa"/>
            <w:bottom w:w="0" w:type="dxa"/>
            <w:right w:w="108" w:type="dxa"/>
          </w:tblCellMar>
        </w:tblPrEx>
        <w:trPr>
          <w:trHeight w:val="399"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7C6F958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813" w:type="dxa"/>
            <w:tcBorders>
              <w:top w:val="single" w:color="auto" w:sz="4" w:space="0"/>
              <w:left w:val="nil"/>
              <w:bottom w:val="single" w:color="auto" w:sz="4" w:space="0"/>
              <w:right w:val="single" w:color="auto" w:sz="4" w:space="0"/>
            </w:tcBorders>
            <w:noWrap/>
            <w:vAlign w:val="center"/>
          </w:tcPr>
          <w:p w14:paraId="2BEF51F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LED频闪灯</w:t>
            </w:r>
          </w:p>
        </w:tc>
        <w:tc>
          <w:tcPr>
            <w:tcW w:w="6576" w:type="dxa"/>
            <w:tcBorders>
              <w:top w:val="single" w:color="auto" w:sz="4" w:space="0"/>
              <w:left w:val="nil"/>
              <w:bottom w:val="single" w:color="auto" w:sz="4" w:space="0"/>
              <w:right w:val="single" w:color="auto" w:sz="4" w:space="0"/>
            </w:tcBorders>
            <w:noWrap w:val="0"/>
            <w:vAlign w:val="top"/>
          </w:tcPr>
          <w:p w14:paraId="37710389">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1、光源类型：大功率 LED，单车道环境补光</w:t>
            </w:r>
          </w:p>
          <w:p w14:paraId="5BA0A4A1">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2、LED 灯珠数量：16 颗</w:t>
            </w:r>
          </w:p>
          <w:p w14:paraId="6DC0249F">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3、发光角度：10°</w:t>
            </w:r>
          </w:p>
          <w:p w14:paraId="4CFA5EAB">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4、最佳补光距离：16 米-25 米</w:t>
            </w:r>
          </w:p>
          <w:p w14:paraId="7B355374">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5、触发方式：电平量触发(可选配开关量触发)</w:t>
            </w:r>
          </w:p>
          <w:p w14:paraId="619B9380">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6、响应时间：小于 20us</w:t>
            </w:r>
          </w:p>
          <w:p w14:paraId="4FB34DBD">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7、日夜功能：支持环境亮度监测,低照度下自动开启(可选配)</w:t>
            </w:r>
          </w:p>
          <w:p w14:paraId="752F1503">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8、触发信号电平：4V-6V</w:t>
            </w:r>
          </w:p>
          <w:p w14:paraId="1D2E4DB6">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9、防护等级：IP66</w:t>
            </w:r>
          </w:p>
          <w:p w14:paraId="52621EC9">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10、功率：最大功率 36W(实际功率与控制方式有关)</w:t>
            </w:r>
          </w:p>
        </w:tc>
        <w:tc>
          <w:tcPr>
            <w:tcW w:w="624" w:type="dxa"/>
            <w:tcBorders>
              <w:top w:val="single" w:color="auto" w:sz="4" w:space="0"/>
              <w:left w:val="nil"/>
              <w:bottom w:val="single" w:color="auto" w:sz="4" w:space="0"/>
              <w:right w:val="single" w:color="auto" w:sz="4" w:space="0"/>
            </w:tcBorders>
            <w:noWrap/>
            <w:vAlign w:val="center"/>
          </w:tcPr>
          <w:p w14:paraId="6F27F6F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696" w:type="dxa"/>
            <w:tcBorders>
              <w:top w:val="single" w:color="auto" w:sz="4" w:space="0"/>
              <w:left w:val="nil"/>
              <w:bottom w:val="single" w:color="auto" w:sz="4" w:space="0"/>
              <w:right w:val="single" w:color="auto" w:sz="4" w:space="0"/>
            </w:tcBorders>
            <w:noWrap/>
            <w:vAlign w:val="center"/>
          </w:tcPr>
          <w:p w14:paraId="2CDF1DA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19</w:t>
            </w:r>
          </w:p>
        </w:tc>
      </w:tr>
      <w:tr w14:paraId="3803EFBF">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4F17EC2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813" w:type="dxa"/>
            <w:tcBorders>
              <w:top w:val="nil"/>
              <w:left w:val="nil"/>
              <w:bottom w:val="single" w:color="auto" w:sz="4" w:space="0"/>
              <w:right w:val="single" w:color="auto" w:sz="4" w:space="0"/>
            </w:tcBorders>
            <w:noWrap/>
            <w:vAlign w:val="center"/>
          </w:tcPr>
          <w:p w14:paraId="1CC7D13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信号灯检测器</w:t>
            </w:r>
          </w:p>
        </w:tc>
        <w:tc>
          <w:tcPr>
            <w:tcW w:w="6576" w:type="dxa"/>
            <w:tcBorders>
              <w:top w:val="nil"/>
              <w:left w:val="nil"/>
              <w:bottom w:val="single" w:color="auto" w:sz="4" w:space="0"/>
              <w:right w:val="single" w:color="auto" w:sz="4" w:space="0"/>
            </w:tcBorders>
            <w:noWrap w:val="0"/>
            <w:vAlign w:val="top"/>
          </w:tcPr>
          <w:p w14:paraId="54E52FE8">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1、16路信号灯交流信号输入接口，可扩展22路</w:t>
            </w:r>
          </w:p>
          <w:p w14:paraId="5D06A72A">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2、4个RS485输出接口</w:t>
            </w:r>
          </w:p>
          <w:p w14:paraId="09E60398">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3、1路100M网口输出</w:t>
            </w:r>
          </w:p>
          <w:p w14:paraId="27233F74">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4、1个5VDC输出接口</w:t>
            </w:r>
          </w:p>
          <w:p w14:paraId="6667536A">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5、5路拨码开关，用来设置波特率、地址和上传模式</w:t>
            </w:r>
          </w:p>
          <w:p w14:paraId="49B17CA6">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6、16路交通灯状态指示，可扩展22路</w:t>
            </w:r>
          </w:p>
          <w:p w14:paraId="29A1A7A6">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7、检测、通讯单元采用微控制器设计，稳定可靠</w:t>
            </w:r>
          </w:p>
          <w:p w14:paraId="317BCD9C">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8、输入接口采用压电保护、光电隔离等防护措施</w:t>
            </w:r>
          </w:p>
          <w:p w14:paraId="19479639">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9、实时输出交通灯信号状态</w:t>
            </w:r>
          </w:p>
          <w:p w14:paraId="0260D941">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10、工作温度：温度-30℃~70℃</w:t>
            </w:r>
          </w:p>
          <w:p w14:paraId="06BA1BCD">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11、电源：AC220V±10%</w:t>
            </w:r>
          </w:p>
          <w:p w14:paraId="1141437C">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12、工作湿度：湿度5%~95%@40℃，无凝结</w:t>
            </w:r>
          </w:p>
          <w:p w14:paraId="4CD01ADE">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13、功耗：＜5W</w:t>
            </w:r>
          </w:p>
        </w:tc>
        <w:tc>
          <w:tcPr>
            <w:tcW w:w="624" w:type="dxa"/>
            <w:tcBorders>
              <w:top w:val="nil"/>
              <w:left w:val="nil"/>
              <w:bottom w:val="single" w:color="auto" w:sz="4" w:space="0"/>
              <w:right w:val="single" w:color="auto" w:sz="4" w:space="0"/>
            </w:tcBorders>
            <w:noWrap/>
            <w:vAlign w:val="center"/>
          </w:tcPr>
          <w:p w14:paraId="3489B12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696" w:type="dxa"/>
            <w:tcBorders>
              <w:top w:val="nil"/>
              <w:left w:val="nil"/>
              <w:bottom w:val="single" w:color="auto" w:sz="4" w:space="0"/>
              <w:right w:val="single" w:color="auto" w:sz="4" w:space="0"/>
            </w:tcBorders>
            <w:noWrap/>
            <w:vAlign w:val="center"/>
          </w:tcPr>
          <w:p w14:paraId="562632D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r>
      <w:tr w14:paraId="2D53C994">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13F39F9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813" w:type="dxa"/>
            <w:tcBorders>
              <w:top w:val="nil"/>
              <w:left w:val="nil"/>
              <w:bottom w:val="single" w:color="auto" w:sz="4" w:space="0"/>
              <w:right w:val="single" w:color="auto" w:sz="4" w:space="0"/>
            </w:tcBorders>
            <w:noWrap/>
            <w:vAlign w:val="center"/>
          </w:tcPr>
          <w:p w14:paraId="293C721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网络信号防雷器</w:t>
            </w:r>
          </w:p>
        </w:tc>
        <w:tc>
          <w:tcPr>
            <w:tcW w:w="6576" w:type="dxa"/>
            <w:tcBorders>
              <w:top w:val="nil"/>
              <w:left w:val="nil"/>
              <w:bottom w:val="single" w:color="auto" w:sz="4" w:space="0"/>
              <w:right w:val="single" w:color="auto" w:sz="4" w:space="0"/>
            </w:tcBorders>
            <w:noWrap w:val="0"/>
            <w:vAlign w:val="top"/>
          </w:tcPr>
          <w:p w14:paraId="77C77DA7">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最大持续运行电压 Uc 6.5V</w:t>
            </w:r>
          </w:p>
          <w:p w14:paraId="62020367">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最大通流容量 Imax(8/20) 5kA</w:t>
            </w:r>
          </w:p>
          <w:p w14:paraId="64590C09">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电压保护水平 Up ＜30V</w:t>
            </w:r>
          </w:p>
          <w:p w14:paraId="775BBF97">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响应时间 Ta ≤1ns</w:t>
            </w:r>
          </w:p>
          <w:p w14:paraId="5ED32FA7">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插入损耗 ≤0.5dB</w:t>
            </w:r>
          </w:p>
          <w:p w14:paraId="76F72EFC">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传输速率 100M</w:t>
            </w:r>
          </w:p>
        </w:tc>
        <w:tc>
          <w:tcPr>
            <w:tcW w:w="624" w:type="dxa"/>
            <w:tcBorders>
              <w:top w:val="nil"/>
              <w:left w:val="nil"/>
              <w:bottom w:val="single" w:color="auto" w:sz="4" w:space="0"/>
              <w:right w:val="single" w:color="auto" w:sz="4" w:space="0"/>
            </w:tcBorders>
            <w:noWrap/>
            <w:vAlign w:val="center"/>
          </w:tcPr>
          <w:p w14:paraId="2889714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696" w:type="dxa"/>
            <w:tcBorders>
              <w:top w:val="nil"/>
              <w:left w:val="nil"/>
              <w:bottom w:val="single" w:color="auto" w:sz="4" w:space="0"/>
              <w:right w:val="single" w:color="auto" w:sz="4" w:space="0"/>
            </w:tcBorders>
            <w:noWrap/>
            <w:vAlign w:val="center"/>
          </w:tcPr>
          <w:p w14:paraId="1B83C3A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1B737ECD">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6497FB5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813" w:type="dxa"/>
            <w:tcBorders>
              <w:top w:val="nil"/>
              <w:left w:val="nil"/>
              <w:bottom w:val="single" w:color="auto" w:sz="4" w:space="0"/>
              <w:right w:val="single" w:color="auto" w:sz="4" w:space="0"/>
            </w:tcBorders>
            <w:noWrap/>
            <w:vAlign w:val="center"/>
          </w:tcPr>
          <w:p w14:paraId="119DB7A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电源防雷模块</w:t>
            </w:r>
          </w:p>
        </w:tc>
        <w:tc>
          <w:tcPr>
            <w:tcW w:w="6576" w:type="dxa"/>
            <w:tcBorders>
              <w:top w:val="nil"/>
              <w:left w:val="nil"/>
              <w:bottom w:val="single" w:color="auto" w:sz="4" w:space="0"/>
              <w:right w:val="single" w:color="auto" w:sz="4" w:space="0"/>
            </w:tcBorders>
            <w:noWrap w:val="0"/>
            <w:vAlign w:val="top"/>
          </w:tcPr>
          <w:p w14:paraId="448F34FC">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双向避雷，雷电通流量（8/20us）≥20 KA，电压保护水平（8/20us</w:t>
            </w:r>
          </w:p>
          <w:p w14:paraId="289536C3">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20 KA）≤2KV，电压保护水平（8/20us 3 KA） ≤1KV，工作电压：220V</w:t>
            </w:r>
          </w:p>
        </w:tc>
        <w:tc>
          <w:tcPr>
            <w:tcW w:w="624" w:type="dxa"/>
            <w:tcBorders>
              <w:top w:val="nil"/>
              <w:left w:val="nil"/>
              <w:bottom w:val="single" w:color="auto" w:sz="4" w:space="0"/>
              <w:right w:val="single" w:color="auto" w:sz="4" w:space="0"/>
            </w:tcBorders>
            <w:noWrap/>
            <w:vAlign w:val="center"/>
          </w:tcPr>
          <w:p w14:paraId="6539790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个</w:t>
            </w:r>
          </w:p>
        </w:tc>
        <w:tc>
          <w:tcPr>
            <w:tcW w:w="696" w:type="dxa"/>
            <w:tcBorders>
              <w:top w:val="nil"/>
              <w:left w:val="nil"/>
              <w:bottom w:val="single" w:color="auto" w:sz="4" w:space="0"/>
              <w:right w:val="single" w:color="auto" w:sz="4" w:space="0"/>
            </w:tcBorders>
            <w:noWrap/>
            <w:vAlign w:val="center"/>
          </w:tcPr>
          <w:p w14:paraId="4C397C3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2C0C821C">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3B72EE4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813" w:type="dxa"/>
            <w:tcBorders>
              <w:top w:val="nil"/>
              <w:left w:val="nil"/>
              <w:bottom w:val="single" w:color="auto" w:sz="4" w:space="0"/>
              <w:right w:val="single" w:color="auto" w:sz="4" w:space="0"/>
            </w:tcBorders>
            <w:noWrap/>
            <w:vAlign w:val="center"/>
          </w:tcPr>
          <w:p w14:paraId="305B5B3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智能终端服务器</w:t>
            </w:r>
          </w:p>
        </w:tc>
        <w:tc>
          <w:tcPr>
            <w:tcW w:w="6576" w:type="dxa"/>
            <w:tcBorders>
              <w:top w:val="nil"/>
              <w:left w:val="nil"/>
              <w:bottom w:val="single" w:color="auto" w:sz="4" w:space="0"/>
              <w:right w:val="single" w:color="auto" w:sz="4" w:space="0"/>
            </w:tcBorders>
            <w:noWrap w:val="0"/>
            <w:vAlign w:val="top"/>
          </w:tcPr>
          <w:p w14:paraId="24060E4E">
            <w:pPr>
              <w:widowControl/>
              <w:numPr>
                <w:ilvl w:val="0"/>
                <w:numId w:val="0"/>
              </w:numPr>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配 4×4T 硬盘；</w:t>
            </w:r>
          </w:p>
          <w:p w14:paraId="275A2747">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可添加不少于24路IP摄像机，总码率不小于350Mbps；支持对接入摄像机进行实时预览与录像存储，支持对图片进行实时预览和存储，并可将IP摄像机的视频图像通过网络传输至客户端</w:t>
            </w:r>
            <w:r>
              <w:rPr>
                <w:rFonts w:hint="eastAsia" w:ascii="宋体" w:hAnsi="宋体" w:cs="宋体"/>
                <w:color w:val="auto"/>
                <w:kern w:val="0"/>
                <w:sz w:val="24"/>
                <w:highlight w:val="none"/>
                <w:lang w:eastAsia="zh-CN"/>
              </w:rPr>
              <w:t>（提供公安部有效检测报告）；</w:t>
            </w:r>
          </w:p>
          <w:p w14:paraId="4A00B9E8">
            <w:pPr>
              <w:widowControl/>
              <w:numPr>
                <w:ilvl w:val="0"/>
                <w:numId w:val="0"/>
              </w:numPr>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支持模拟视频录像防篡改功能：通过水印设置防止模拟视频录像被篡改</w:t>
            </w:r>
          </w:p>
          <w:p w14:paraId="63374FEF">
            <w:pPr>
              <w:widowControl/>
              <w:numPr>
                <w:ilvl w:val="0"/>
                <w:numId w:val="0"/>
              </w:numPr>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支持 12 路图片、16 路录像实时预览及存储功能</w:t>
            </w:r>
          </w:p>
          <w:p w14:paraId="1DCA397B">
            <w:pPr>
              <w:widowControl/>
              <w:numPr>
                <w:ilvl w:val="0"/>
                <w:numId w:val="0"/>
              </w:numPr>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支持违章图片合成，支持合成顺序及特写位置选择</w:t>
            </w:r>
          </w:p>
          <w:p w14:paraId="57DD9CC6">
            <w:pPr>
              <w:widowControl/>
              <w:numPr>
                <w:ilvl w:val="0"/>
                <w:numId w:val="0"/>
              </w:numPr>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支持故障自动恢复功能，故障前的信息不丢失</w:t>
            </w:r>
          </w:p>
          <w:p w14:paraId="1FD798E7">
            <w:pPr>
              <w:widowControl/>
              <w:numPr>
                <w:ilvl w:val="0"/>
                <w:numId w:val="0"/>
              </w:numPr>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支持图片、关联录像上传，支持 3 个 FTP 服务器存储</w:t>
            </w:r>
          </w:p>
          <w:p w14:paraId="72DB1739">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支持将原始图片、特写图片、合成图片、车牌抠图、关联录像、主驾驶人脸图片、副驾驶人脸图片、行人人脸图片、非机动车人脸图片上传至FTP服务器</w:t>
            </w:r>
            <w:r>
              <w:rPr>
                <w:rFonts w:hint="eastAsia" w:ascii="宋体" w:hAnsi="宋体" w:cs="宋体"/>
                <w:color w:val="auto"/>
                <w:kern w:val="0"/>
                <w:sz w:val="24"/>
                <w:highlight w:val="none"/>
                <w:lang w:eastAsia="zh-CN"/>
              </w:rPr>
              <w:t>（提供公安部有效检测报告）</w:t>
            </w:r>
          </w:p>
          <w:p w14:paraId="537C4761">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9、支持断网续传，当设备与平台断开，重连后设备将上传断开时间段的图片继续传给平台</w:t>
            </w:r>
          </w:p>
          <w:p w14:paraId="05C42669">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◆10、支持图像化展示设备所连通道的在线、离线、未启用状态，支持展示各通道上线、离线时间；支持查看通道状态统计信息</w:t>
            </w:r>
            <w:r>
              <w:rPr>
                <w:rFonts w:hint="eastAsia" w:ascii="宋体" w:hAnsi="宋体" w:cs="宋体"/>
                <w:color w:val="auto"/>
                <w:kern w:val="0"/>
                <w:sz w:val="24"/>
                <w:highlight w:val="none"/>
                <w:lang w:eastAsia="zh-CN"/>
              </w:rPr>
              <w:t>（提供公安部有效检测报告）</w:t>
            </w:r>
          </w:p>
          <w:p w14:paraId="59D280C0">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11、支持宽温下工作：-40℃～+70℃</w:t>
            </w:r>
          </w:p>
          <w:p w14:paraId="11E9CBDF">
            <w:pPr>
              <w:widowControl/>
              <w:numPr>
                <w:ilvl w:val="0"/>
                <w:numId w:val="0"/>
              </w:numPr>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12、支持通行记录存储、图片存储、视频存储、数据上传、视频流转发、前端设备管理; 存储时间要求 30 天以上。</w:t>
            </w:r>
          </w:p>
        </w:tc>
        <w:tc>
          <w:tcPr>
            <w:tcW w:w="624" w:type="dxa"/>
            <w:tcBorders>
              <w:top w:val="nil"/>
              <w:left w:val="nil"/>
              <w:bottom w:val="single" w:color="auto" w:sz="4" w:space="0"/>
              <w:right w:val="single" w:color="auto" w:sz="4" w:space="0"/>
            </w:tcBorders>
            <w:noWrap/>
            <w:vAlign w:val="center"/>
          </w:tcPr>
          <w:p w14:paraId="78872FA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696" w:type="dxa"/>
            <w:tcBorders>
              <w:top w:val="nil"/>
              <w:left w:val="nil"/>
              <w:bottom w:val="single" w:color="auto" w:sz="4" w:space="0"/>
              <w:right w:val="single" w:color="auto" w:sz="4" w:space="0"/>
            </w:tcBorders>
            <w:noWrap/>
            <w:vAlign w:val="center"/>
          </w:tcPr>
          <w:p w14:paraId="68EF515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r>
      <w:tr w14:paraId="35C41488">
        <w:tblPrEx>
          <w:tblCellMar>
            <w:top w:w="0" w:type="dxa"/>
            <w:left w:w="108" w:type="dxa"/>
            <w:bottom w:w="0" w:type="dxa"/>
            <w:right w:w="108" w:type="dxa"/>
          </w:tblCellMar>
        </w:tblPrEx>
        <w:trPr>
          <w:trHeight w:val="399"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19A42E7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AFC74C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工业级路口交换机</w:t>
            </w:r>
          </w:p>
        </w:tc>
        <w:tc>
          <w:tcPr>
            <w:tcW w:w="6576" w:type="dxa"/>
            <w:tcBorders>
              <w:top w:val="single" w:color="auto" w:sz="4" w:space="0"/>
              <w:left w:val="single" w:color="auto" w:sz="4" w:space="0"/>
              <w:bottom w:val="single" w:color="auto" w:sz="4" w:space="0"/>
              <w:right w:val="single" w:color="auto" w:sz="4" w:space="0"/>
            </w:tcBorders>
            <w:noWrap w:val="0"/>
            <w:vAlign w:val="center"/>
          </w:tcPr>
          <w:p w14:paraId="42B6365B">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安装、接线、调试，要求可管理，适应不同路口条件，带网管功能</w:t>
            </w:r>
          </w:p>
        </w:tc>
        <w:tc>
          <w:tcPr>
            <w:tcW w:w="624" w:type="dxa"/>
            <w:tcBorders>
              <w:top w:val="single" w:color="auto" w:sz="4" w:space="0"/>
              <w:left w:val="single" w:color="auto" w:sz="4" w:space="0"/>
              <w:bottom w:val="single" w:color="auto" w:sz="4" w:space="0"/>
              <w:right w:val="single" w:color="auto" w:sz="4" w:space="0"/>
            </w:tcBorders>
            <w:noWrap/>
            <w:vAlign w:val="center"/>
          </w:tcPr>
          <w:p w14:paraId="6CC6629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696" w:type="dxa"/>
            <w:tcBorders>
              <w:top w:val="single" w:color="auto" w:sz="4" w:space="0"/>
              <w:left w:val="single" w:color="auto" w:sz="4" w:space="0"/>
              <w:bottom w:val="single" w:color="auto" w:sz="4" w:space="0"/>
              <w:right w:val="single" w:color="auto" w:sz="4" w:space="0"/>
            </w:tcBorders>
            <w:noWrap/>
            <w:vAlign w:val="center"/>
          </w:tcPr>
          <w:p w14:paraId="662416E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r>
      <w:tr w14:paraId="34482506">
        <w:tblPrEx>
          <w:tblCellMar>
            <w:top w:w="0" w:type="dxa"/>
            <w:left w:w="108" w:type="dxa"/>
            <w:bottom w:w="0" w:type="dxa"/>
            <w:right w:w="108" w:type="dxa"/>
          </w:tblCellMar>
        </w:tblPrEx>
        <w:trPr>
          <w:trHeight w:val="399"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29343E5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813" w:type="dxa"/>
            <w:tcBorders>
              <w:top w:val="single" w:color="auto" w:sz="4" w:space="0"/>
              <w:left w:val="single" w:color="auto" w:sz="4" w:space="0"/>
              <w:bottom w:val="single" w:color="auto" w:sz="4" w:space="0"/>
              <w:right w:val="single" w:color="auto" w:sz="4" w:space="0"/>
            </w:tcBorders>
            <w:noWrap/>
            <w:vAlign w:val="center"/>
          </w:tcPr>
          <w:p w14:paraId="6604A5A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光纤收发器</w:t>
            </w:r>
          </w:p>
        </w:tc>
        <w:tc>
          <w:tcPr>
            <w:tcW w:w="6576" w:type="dxa"/>
            <w:tcBorders>
              <w:top w:val="single" w:color="auto" w:sz="4" w:space="0"/>
              <w:left w:val="single" w:color="auto" w:sz="4" w:space="0"/>
              <w:bottom w:val="single" w:color="auto" w:sz="4" w:space="0"/>
              <w:right w:val="single" w:color="auto" w:sz="4" w:space="0"/>
            </w:tcBorders>
            <w:noWrap w:val="0"/>
            <w:vAlign w:val="center"/>
          </w:tcPr>
          <w:p w14:paraId="42D2DEFD">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1 光 4 电工业级百兆光纤收发器</w:t>
            </w:r>
          </w:p>
        </w:tc>
        <w:tc>
          <w:tcPr>
            <w:tcW w:w="624" w:type="dxa"/>
            <w:tcBorders>
              <w:top w:val="single" w:color="auto" w:sz="4" w:space="0"/>
              <w:left w:val="single" w:color="auto" w:sz="4" w:space="0"/>
              <w:bottom w:val="single" w:color="auto" w:sz="4" w:space="0"/>
              <w:right w:val="single" w:color="auto" w:sz="4" w:space="0"/>
            </w:tcBorders>
            <w:noWrap/>
            <w:vAlign w:val="center"/>
          </w:tcPr>
          <w:p w14:paraId="06DD5A3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个</w:t>
            </w:r>
          </w:p>
        </w:tc>
        <w:tc>
          <w:tcPr>
            <w:tcW w:w="696" w:type="dxa"/>
            <w:tcBorders>
              <w:top w:val="single" w:color="auto" w:sz="4" w:space="0"/>
              <w:left w:val="single" w:color="auto" w:sz="4" w:space="0"/>
              <w:bottom w:val="single" w:color="auto" w:sz="4" w:space="0"/>
              <w:right w:val="single" w:color="auto" w:sz="4" w:space="0"/>
            </w:tcBorders>
            <w:noWrap/>
            <w:vAlign w:val="center"/>
          </w:tcPr>
          <w:p w14:paraId="160A5E0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3C51135A">
        <w:tblPrEx>
          <w:tblCellMar>
            <w:top w:w="0" w:type="dxa"/>
            <w:left w:w="108" w:type="dxa"/>
            <w:bottom w:w="0" w:type="dxa"/>
            <w:right w:w="108" w:type="dxa"/>
          </w:tblCellMar>
        </w:tblPrEx>
        <w:trPr>
          <w:trHeight w:val="399"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2C37DB6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F5E3BF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智能型抱杆机箱</w:t>
            </w:r>
          </w:p>
        </w:tc>
        <w:tc>
          <w:tcPr>
            <w:tcW w:w="6576" w:type="dxa"/>
            <w:tcBorders>
              <w:top w:val="single" w:color="auto" w:sz="4" w:space="0"/>
              <w:left w:val="single" w:color="auto" w:sz="4" w:space="0"/>
              <w:bottom w:val="single" w:color="auto" w:sz="4" w:space="0"/>
              <w:right w:val="single" w:color="auto" w:sz="4" w:space="0"/>
            </w:tcBorders>
            <w:noWrap w:val="0"/>
            <w:vAlign w:val="top"/>
          </w:tcPr>
          <w:p w14:paraId="336705F9">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 抱杆机箱适合户外环境使用，材质采用 201 不锈钢喷塑，箱体厚度≥1.2mm；箱体尺寸：400mm(宽)×500mm(高)×200mm(深)、</w:t>
            </w:r>
          </w:p>
          <w:p w14:paraId="769FF656">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 箱内电气部分采用导轨式安装，接线方便，每个单元均可独立更换；机箱内部右侧预留 DIN 导轨，用于运营商光端机固定。</w:t>
            </w:r>
          </w:p>
          <w:p w14:paraId="3D40FFE0">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 具有支持供电电压、电流检测，可通过客户端显示；具有过压、欠压、漏电、短路、过流保护、自动合闸功能；当供电断开时，在客户端上提示供电异常告警。</w:t>
            </w:r>
          </w:p>
          <w:p w14:paraId="31A1DDAB">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 内置液晶显示功能，显示电压、电流、温湿度、防雷状态、雷击次数、IP 地址等信息</w:t>
            </w:r>
          </w:p>
          <w:p w14:paraId="2B210D1B">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 可通过客户端显示补光灯工作状态并设置定时/手动开启。</w:t>
            </w:r>
          </w:p>
          <w:p w14:paraId="685C4CB8">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6） 提供≥5 路 AC220V 交流输出，最大支持功率≥2000W，提供≥3 路12V 直流输出、2 路干接点输入接口、1 路 10M/100M 电口、3 路 RS485接口。</w:t>
            </w:r>
          </w:p>
          <w:p w14:paraId="292523A3">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 支持通过 4G 无线方式进行数据传输，数据传输模式支持无线模式、有线模式、有线无线自动切换模式；有线和无线方式支持不同端口、不同服务 IP 传输。</w:t>
            </w:r>
          </w:p>
          <w:p w14:paraId="12257AC6">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8） 当箱体受到倾斜时，提示箱体倾斜异常，并显示倾斜角度</w:t>
            </w:r>
          </w:p>
          <w:p w14:paraId="39C03F6F">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 当箱体受到撞击时，提示箱体撞击异常</w:t>
            </w:r>
          </w:p>
          <w:p w14:paraId="3715C83E">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10）当箱体受到震动时，提示箱体震动告警</w:t>
            </w:r>
          </w:p>
          <w:p w14:paraId="144578E4">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11）能够区分补光灯白天异常亮起或晚上无法开启。</w:t>
            </w:r>
          </w:p>
          <w:p w14:paraId="50B7CEF6">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12）支持电子钥匙开启功能，启动电子钥匙与手机 APP 连接，连接成功后将钥匙插入电子锁锁芯处，顺时针旋转打开箱门</w:t>
            </w:r>
          </w:p>
          <w:p w14:paraId="41FF374B">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13）支持温度检测、防雷状态检测、风扇工作状态检测，支持通过客户端显示箱门状态并设置箱门布防撤防。</w:t>
            </w:r>
          </w:p>
          <w:p w14:paraId="0B4488F1">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14）交流输出接口具有定时控制、远程控制功能，可远程设定工作模式。</w:t>
            </w:r>
          </w:p>
          <w:p w14:paraId="69F700F3">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15）支持通过 WEB/客户端软件直接查看实时数据、配置 IP 地址、客户端地址、传输模式、进行远程固件升级。</w:t>
            </w:r>
          </w:p>
          <w:p w14:paraId="62A783B1">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16）工作温度范围-25℃～+80℃，工作湿度≤90%RH。</w:t>
            </w:r>
          </w:p>
          <w:p w14:paraId="55F54928">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配套运维管理平台需提供智能弱电网络设备箱相配套的智慧运维管理平台软件（含管理授权）。智慧运维管理平台软件系统应基于 B/S 架构，支持基于电子地图信息显示设备管理方式，为监控系统运行提供高度集成化、高可靠性、易维护的设备运行状态、告警显示、状态统计、维护管理、工单管理等功能。具体功能要求如下：</w:t>
            </w:r>
          </w:p>
          <w:p w14:paraId="270559CF">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 具有在电子地图上标识展示位置信息，并显示设备信息、工作状态，包括正常、异常、离线等情况功能。</w:t>
            </w:r>
          </w:p>
          <w:p w14:paraId="764036FC">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 具有详细了解单个点位供电情况、环境温度情况及设备工作状态功能，可远程控制设备断电重启、设定设备参数。</w:t>
            </w:r>
          </w:p>
          <w:p w14:paraId="7FA71078">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 具有声音通知告警信息、支持设定各种告警的告警等级、支持分区域设定不同告警的处理时效功能。</w:t>
            </w:r>
          </w:p>
          <w:p w14:paraId="76698E10">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4) 具有自动派单和手动派单功能，工单记录故障产生时间、派单时间及修复时长等信息。</w:t>
            </w:r>
          </w:p>
        </w:tc>
        <w:tc>
          <w:tcPr>
            <w:tcW w:w="624" w:type="dxa"/>
            <w:tcBorders>
              <w:top w:val="single" w:color="auto" w:sz="4" w:space="0"/>
              <w:left w:val="single" w:color="auto" w:sz="4" w:space="0"/>
              <w:bottom w:val="single" w:color="auto" w:sz="4" w:space="0"/>
              <w:right w:val="single" w:color="auto" w:sz="4" w:space="0"/>
            </w:tcBorders>
            <w:noWrap/>
            <w:vAlign w:val="center"/>
          </w:tcPr>
          <w:p w14:paraId="762CF7E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个</w:t>
            </w:r>
          </w:p>
        </w:tc>
        <w:tc>
          <w:tcPr>
            <w:tcW w:w="696" w:type="dxa"/>
            <w:tcBorders>
              <w:top w:val="single" w:color="auto" w:sz="4" w:space="0"/>
              <w:left w:val="single" w:color="auto" w:sz="4" w:space="0"/>
              <w:bottom w:val="single" w:color="auto" w:sz="4" w:space="0"/>
              <w:right w:val="single" w:color="auto" w:sz="4" w:space="0"/>
            </w:tcBorders>
            <w:noWrap/>
            <w:vAlign w:val="center"/>
          </w:tcPr>
          <w:p w14:paraId="075BB7C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5A3346D5">
        <w:tblPrEx>
          <w:tblCellMar>
            <w:top w:w="0" w:type="dxa"/>
            <w:left w:w="108" w:type="dxa"/>
            <w:bottom w:w="0" w:type="dxa"/>
            <w:right w:w="108" w:type="dxa"/>
          </w:tblCellMar>
        </w:tblPrEx>
        <w:trPr>
          <w:trHeight w:val="399"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670A4B5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813" w:type="dxa"/>
            <w:tcBorders>
              <w:top w:val="single" w:color="auto" w:sz="4" w:space="0"/>
              <w:left w:val="nil"/>
              <w:bottom w:val="single" w:color="auto" w:sz="4" w:space="0"/>
              <w:right w:val="single" w:color="auto" w:sz="4" w:space="0"/>
            </w:tcBorders>
            <w:noWrap/>
            <w:vAlign w:val="center"/>
          </w:tcPr>
          <w:p w14:paraId="41FAEF4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光纤终端盒</w:t>
            </w:r>
          </w:p>
        </w:tc>
        <w:tc>
          <w:tcPr>
            <w:tcW w:w="6576" w:type="dxa"/>
            <w:tcBorders>
              <w:top w:val="single" w:color="auto" w:sz="4" w:space="0"/>
              <w:left w:val="nil"/>
              <w:bottom w:val="single" w:color="auto" w:sz="4" w:space="0"/>
              <w:right w:val="single" w:color="auto" w:sz="4" w:space="0"/>
            </w:tcBorders>
            <w:noWrap w:val="0"/>
            <w:vAlign w:val="center"/>
          </w:tcPr>
          <w:p w14:paraId="2D54E5F6">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4 口 FC 光缆终端盒</w:t>
            </w:r>
          </w:p>
        </w:tc>
        <w:tc>
          <w:tcPr>
            <w:tcW w:w="624" w:type="dxa"/>
            <w:tcBorders>
              <w:top w:val="single" w:color="auto" w:sz="4" w:space="0"/>
              <w:left w:val="nil"/>
              <w:bottom w:val="single" w:color="auto" w:sz="4" w:space="0"/>
              <w:right w:val="single" w:color="auto" w:sz="4" w:space="0"/>
            </w:tcBorders>
            <w:noWrap/>
            <w:vAlign w:val="center"/>
          </w:tcPr>
          <w:p w14:paraId="02BBDAA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个</w:t>
            </w:r>
          </w:p>
        </w:tc>
        <w:tc>
          <w:tcPr>
            <w:tcW w:w="696" w:type="dxa"/>
            <w:tcBorders>
              <w:top w:val="single" w:color="auto" w:sz="4" w:space="0"/>
              <w:left w:val="nil"/>
              <w:bottom w:val="single" w:color="auto" w:sz="4" w:space="0"/>
              <w:right w:val="single" w:color="auto" w:sz="4" w:space="0"/>
            </w:tcBorders>
            <w:noWrap/>
            <w:vAlign w:val="center"/>
          </w:tcPr>
          <w:p w14:paraId="34A90D0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1441A7CF">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7F06474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813" w:type="dxa"/>
            <w:tcBorders>
              <w:top w:val="nil"/>
              <w:left w:val="nil"/>
              <w:bottom w:val="single" w:color="auto" w:sz="4" w:space="0"/>
              <w:right w:val="single" w:color="auto" w:sz="4" w:space="0"/>
            </w:tcBorders>
            <w:noWrap/>
            <w:vAlign w:val="center"/>
          </w:tcPr>
          <w:p w14:paraId="1B60CD2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光纤终端盒</w:t>
            </w:r>
          </w:p>
        </w:tc>
        <w:tc>
          <w:tcPr>
            <w:tcW w:w="6576" w:type="dxa"/>
            <w:tcBorders>
              <w:top w:val="nil"/>
              <w:left w:val="nil"/>
              <w:bottom w:val="single" w:color="auto" w:sz="4" w:space="0"/>
              <w:right w:val="single" w:color="auto" w:sz="4" w:space="0"/>
            </w:tcBorders>
            <w:noWrap w:val="0"/>
            <w:vAlign w:val="center"/>
          </w:tcPr>
          <w:p w14:paraId="0C0B7869">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24 口 FC 光缆终端盒</w:t>
            </w:r>
          </w:p>
        </w:tc>
        <w:tc>
          <w:tcPr>
            <w:tcW w:w="624" w:type="dxa"/>
            <w:tcBorders>
              <w:top w:val="nil"/>
              <w:left w:val="nil"/>
              <w:bottom w:val="single" w:color="auto" w:sz="4" w:space="0"/>
              <w:right w:val="single" w:color="auto" w:sz="4" w:space="0"/>
            </w:tcBorders>
            <w:noWrap/>
            <w:vAlign w:val="center"/>
          </w:tcPr>
          <w:p w14:paraId="6260928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个</w:t>
            </w:r>
          </w:p>
        </w:tc>
        <w:tc>
          <w:tcPr>
            <w:tcW w:w="696" w:type="dxa"/>
            <w:tcBorders>
              <w:top w:val="nil"/>
              <w:left w:val="nil"/>
              <w:bottom w:val="single" w:color="auto" w:sz="4" w:space="0"/>
              <w:right w:val="single" w:color="auto" w:sz="4" w:space="0"/>
            </w:tcBorders>
            <w:noWrap/>
            <w:vAlign w:val="center"/>
          </w:tcPr>
          <w:p w14:paraId="11CCDC6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r>
      <w:tr w14:paraId="7A7C6159">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1956FB3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813" w:type="dxa"/>
            <w:tcBorders>
              <w:top w:val="nil"/>
              <w:left w:val="nil"/>
              <w:bottom w:val="single" w:color="auto" w:sz="4" w:space="0"/>
              <w:right w:val="single" w:color="auto" w:sz="4" w:space="0"/>
            </w:tcBorders>
            <w:noWrap/>
            <w:vAlign w:val="center"/>
          </w:tcPr>
          <w:p w14:paraId="0296620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光纤铺设</w:t>
            </w:r>
          </w:p>
        </w:tc>
        <w:tc>
          <w:tcPr>
            <w:tcW w:w="6576" w:type="dxa"/>
            <w:tcBorders>
              <w:top w:val="nil"/>
              <w:left w:val="nil"/>
              <w:bottom w:val="single" w:color="auto" w:sz="4" w:space="0"/>
              <w:right w:val="single" w:color="auto" w:sz="4" w:space="0"/>
            </w:tcBorders>
            <w:noWrap w:val="0"/>
            <w:vAlign w:val="center"/>
          </w:tcPr>
          <w:p w14:paraId="000F663E">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4 芯单模光纤线</w:t>
            </w:r>
          </w:p>
        </w:tc>
        <w:tc>
          <w:tcPr>
            <w:tcW w:w="624" w:type="dxa"/>
            <w:tcBorders>
              <w:top w:val="nil"/>
              <w:left w:val="nil"/>
              <w:bottom w:val="single" w:color="auto" w:sz="4" w:space="0"/>
              <w:right w:val="single" w:color="auto" w:sz="4" w:space="0"/>
            </w:tcBorders>
            <w:noWrap/>
            <w:vAlign w:val="center"/>
          </w:tcPr>
          <w:p w14:paraId="2E39001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696" w:type="dxa"/>
            <w:tcBorders>
              <w:top w:val="nil"/>
              <w:left w:val="nil"/>
              <w:bottom w:val="single" w:color="auto" w:sz="4" w:space="0"/>
              <w:right w:val="single" w:color="auto" w:sz="4" w:space="0"/>
            </w:tcBorders>
            <w:noWrap/>
            <w:vAlign w:val="center"/>
          </w:tcPr>
          <w:p w14:paraId="1A784BD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1000</w:t>
            </w:r>
          </w:p>
        </w:tc>
      </w:tr>
      <w:tr w14:paraId="5B9F9FC2">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128DE11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813" w:type="dxa"/>
            <w:tcBorders>
              <w:top w:val="nil"/>
              <w:left w:val="nil"/>
              <w:bottom w:val="single" w:color="auto" w:sz="4" w:space="0"/>
              <w:right w:val="single" w:color="auto" w:sz="4" w:space="0"/>
            </w:tcBorders>
            <w:noWrap/>
            <w:vAlign w:val="center"/>
          </w:tcPr>
          <w:p w14:paraId="1264E3B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L 型立杆 3</w:t>
            </w:r>
          </w:p>
        </w:tc>
        <w:tc>
          <w:tcPr>
            <w:tcW w:w="6576" w:type="dxa"/>
            <w:tcBorders>
              <w:top w:val="nil"/>
              <w:left w:val="nil"/>
              <w:bottom w:val="single" w:color="auto" w:sz="4" w:space="0"/>
              <w:right w:val="single" w:color="auto" w:sz="4" w:space="0"/>
            </w:tcBorders>
            <w:noWrap w:val="0"/>
            <w:vAlign w:val="top"/>
          </w:tcPr>
          <w:p w14:paraId="196E85FC">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电子警察杆及杆件基础：</w:t>
            </w:r>
            <w:r>
              <w:rPr>
                <w:rFonts w:hint="eastAsia" w:ascii="宋体" w:hAnsi="宋体" w:cs="宋体"/>
                <w:color w:val="auto"/>
                <w:kern w:val="0"/>
                <w:sz w:val="24"/>
                <w:highlight w:val="none"/>
              </w:rPr>
              <w:t>横挑 7 米。含基础、</w:t>
            </w:r>
            <w:r>
              <w:rPr>
                <w:rFonts w:hint="eastAsia" w:ascii="宋体" w:hAnsi="宋体" w:cs="宋体"/>
                <w:color w:val="auto"/>
                <w:kern w:val="0"/>
                <w:sz w:val="24"/>
                <w:highlight w:val="none"/>
                <w:lang w:val="en-US" w:eastAsia="zh-CN"/>
              </w:rPr>
              <w:t>原人行道和路面开挖及修复、挖填土及土方外运；</w:t>
            </w:r>
            <w:r>
              <w:rPr>
                <w:rFonts w:hint="eastAsia" w:ascii="宋体" w:hAnsi="宋体" w:cs="宋体"/>
                <w:color w:val="auto"/>
                <w:kern w:val="0"/>
                <w:sz w:val="24"/>
                <w:highlight w:val="none"/>
              </w:rPr>
              <w:t>摄像机与灯光共杆</w:t>
            </w:r>
          </w:p>
        </w:tc>
        <w:tc>
          <w:tcPr>
            <w:tcW w:w="624" w:type="dxa"/>
            <w:tcBorders>
              <w:top w:val="nil"/>
              <w:left w:val="nil"/>
              <w:bottom w:val="single" w:color="auto" w:sz="4" w:space="0"/>
              <w:right w:val="single" w:color="auto" w:sz="4" w:space="0"/>
            </w:tcBorders>
            <w:noWrap/>
            <w:vAlign w:val="center"/>
          </w:tcPr>
          <w:p w14:paraId="5AD6484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根</w:t>
            </w:r>
          </w:p>
        </w:tc>
        <w:tc>
          <w:tcPr>
            <w:tcW w:w="696" w:type="dxa"/>
            <w:tcBorders>
              <w:top w:val="nil"/>
              <w:left w:val="nil"/>
              <w:bottom w:val="single" w:color="auto" w:sz="4" w:space="0"/>
              <w:right w:val="single" w:color="auto" w:sz="4" w:space="0"/>
            </w:tcBorders>
            <w:noWrap/>
            <w:vAlign w:val="center"/>
          </w:tcPr>
          <w:p w14:paraId="450DD01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r>
      <w:tr w14:paraId="5EF3F471">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013E360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813" w:type="dxa"/>
            <w:tcBorders>
              <w:top w:val="nil"/>
              <w:left w:val="nil"/>
              <w:bottom w:val="single" w:color="auto" w:sz="4" w:space="0"/>
              <w:right w:val="single" w:color="auto" w:sz="4" w:space="0"/>
            </w:tcBorders>
            <w:noWrap/>
            <w:vAlign w:val="center"/>
          </w:tcPr>
          <w:p w14:paraId="70953D9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L 型立杆 4</w:t>
            </w:r>
          </w:p>
        </w:tc>
        <w:tc>
          <w:tcPr>
            <w:tcW w:w="6576" w:type="dxa"/>
            <w:tcBorders>
              <w:top w:val="nil"/>
              <w:left w:val="nil"/>
              <w:bottom w:val="single" w:color="auto" w:sz="4" w:space="0"/>
              <w:right w:val="single" w:color="auto" w:sz="4" w:space="0"/>
            </w:tcBorders>
            <w:noWrap w:val="0"/>
            <w:vAlign w:val="top"/>
          </w:tcPr>
          <w:p w14:paraId="11ADFCE1">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电子警察杆及杆件基础：</w:t>
            </w:r>
            <w:r>
              <w:rPr>
                <w:rFonts w:hint="eastAsia" w:ascii="宋体" w:hAnsi="宋体" w:cs="宋体"/>
                <w:color w:val="auto"/>
                <w:kern w:val="0"/>
                <w:sz w:val="24"/>
                <w:highlight w:val="none"/>
              </w:rPr>
              <w:t xml:space="preserve">横挑 </w:t>
            </w:r>
            <w:r>
              <w:rPr>
                <w:rFonts w:hint="eastAsia" w:ascii="宋体" w:hAnsi="宋体" w:cs="宋体"/>
                <w:color w:val="auto"/>
                <w:kern w:val="0"/>
                <w:sz w:val="24"/>
                <w:highlight w:val="none"/>
                <w:lang w:val="en-US" w:eastAsia="zh-CN"/>
              </w:rPr>
              <w:t xml:space="preserve">9 </w:t>
            </w:r>
            <w:r>
              <w:rPr>
                <w:rFonts w:hint="eastAsia" w:ascii="宋体" w:hAnsi="宋体" w:cs="宋体"/>
                <w:color w:val="auto"/>
                <w:kern w:val="0"/>
                <w:sz w:val="24"/>
                <w:highlight w:val="none"/>
              </w:rPr>
              <w:t>米。含基础、</w:t>
            </w:r>
            <w:r>
              <w:rPr>
                <w:rFonts w:hint="eastAsia" w:ascii="宋体" w:hAnsi="宋体" w:cs="宋体"/>
                <w:color w:val="auto"/>
                <w:kern w:val="0"/>
                <w:sz w:val="24"/>
                <w:highlight w:val="none"/>
                <w:lang w:val="en-US" w:eastAsia="zh-CN"/>
              </w:rPr>
              <w:t>原人行道和路面开挖及修复、挖填土及土方外运；</w:t>
            </w:r>
            <w:r>
              <w:rPr>
                <w:rFonts w:hint="eastAsia" w:ascii="宋体" w:hAnsi="宋体" w:cs="宋体"/>
                <w:color w:val="auto"/>
                <w:kern w:val="0"/>
                <w:sz w:val="24"/>
                <w:highlight w:val="none"/>
              </w:rPr>
              <w:t>摄像机与灯光共杆</w:t>
            </w:r>
          </w:p>
        </w:tc>
        <w:tc>
          <w:tcPr>
            <w:tcW w:w="624" w:type="dxa"/>
            <w:tcBorders>
              <w:top w:val="nil"/>
              <w:left w:val="nil"/>
              <w:bottom w:val="single" w:color="auto" w:sz="4" w:space="0"/>
              <w:right w:val="single" w:color="auto" w:sz="4" w:space="0"/>
            </w:tcBorders>
            <w:noWrap/>
            <w:vAlign w:val="center"/>
          </w:tcPr>
          <w:p w14:paraId="5741038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根</w:t>
            </w:r>
          </w:p>
        </w:tc>
        <w:tc>
          <w:tcPr>
            <w:tcW w:w="696" w:type="dxa"/>
            <w:tcBorders>
              <w:top w:val="nil"/>
              <w:left w:val="nil"/>
              <w:bottom w:val="single" w:color="auto" w:sz="4" w:space="0"/>
              <w:right w:val="single" w:color="auto" w:sz="4" w:space="0"/>
            </w:tcBorders>
            <w:noWrap/>
            <w:vAlign w:val="center"/>
          </w:tcPr>
          <w:p w14:paraId="4298879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r>
      <w:tr w14:paraId="77A892B9">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221BF2F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813" w:type="dxa"/>
            <w:tcBorders>
              <w:top w:val="nil"/>
              <w:left w:val="nil"/>
              <w:bottom w:val="single" w:color="auto" w:sz="4" w:space="0"/>
              <w:right w:val="single" w:color="auto" w:sz="4" w:space="0"/>
            </w:tcBorders>
            <w:noWrap/>
            <w:vAlign w:val="center"/>
          </w:tcPr>
          <w:p w14:paraId="73D5EDE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室外屏蔽网线</w:t>
            </w:r>
          </w:p>
        </w:tc>
        <w:tc>
          <w:tcPr>
            <w:tcW w:w="6576" w:type="dxa"/>
            <w:tcBorders>
              <w:top w:val="nil"/>
              <w:left w:val="nil"/>
              <w:bottom w:val="single" w:color="auto" w:sz="4" w:space="0"/>
              <w:right w:val="single" w:color="auto" w:sz="4" w:space="0"/>
            </w:tcBorders>
            <w:noWrap w:val="0"/>
            <w:vAlign w:val="center"/>
          </w:tcPr>
          <w:p w14:paraId="49AC729F">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屏蔽网线,STP/Y 4*2*0.5,黑</w:t>
            </w:r>
          </w:p>
        </w:tc>
        <w:tc>
          <w:tcPr>
            <w:tcW w:w="624" w:type="dxa"/>
            <w:tcBorders>
              <w:top w:val="nil"/>
              <w:left w:val="nil"/>
              <w:bottom w:val="single" w:color="auto" w:sz="4" w:space="0"/>
              <w:right w:val="single" w:color="auto" w:sz="4" w:space="0"/>
            </w:tcBorders>
            <w:noWrap/>
            <w:vAlign w:val="center"/>
          </w:tcPr>
          <w:p w14:paraId="60FA072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696" w:type="dxa"/>
            <w:tcBorders>
              <w:top w:val="nil"/>
              <w:left w:val="nil"/>
              <w:bottom w:val="single" w:color="auto" w:sz="4" w:space="0"/>
              <w:right w:val="single" w:color="auto" w:sz="4" w:space="0"/>
            </w:tcBorders>
            <w:noWrap/>
            <w:vAlign w:val="center"/>
          </w:tcPr>
          <w:p w14:paraId="1DC57EB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r>
      <w:tr w14:paraId="5B213B47">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2E3F962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813" w:type="dxa"/>
            <w:tcBorders>
              <w:top w:val="nil"/>
              <w:left w:val="nil"/>
              <w:bottom w:val="single" w:color="auto" w:sz="4" w:space="0"/>
              <w:right w:val="single" w:color="auto" w:sz="4" w:space="0"/>
            </w:tcBorders>
            <w:noWrap/>
            <w:vAlign w:val="center"/>
          </w:tcPr>
          <w:p w14:paraId="587BC78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双绞屏蔽线</w:t>
            </w:r>
          </w:p>
        </w:tc>
        <w:tc>
          <w:tcPr>
            <w:tcW w:w="6576" w:type="dxa"/>
            <w:tcBorders>
              <w:top w:val="nil"/>
              <w:left w:val="nil"/>
              <w:bottom w:val="single" w:color="auto" w:sz="4" w:space="0"/>
              <w:right w:val="single" w:color="auto" w:sz="4" w:space="0"/>
            </w:tcBorders>
            <w:noWrap w:val="0"/>
            <w:vAlign w:val="center"/>
          </w:tcPr>
          <w:p w14:paraId="28E427EA">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蔽双绞线,RVSP2*0.5 黑-红-蓝</w:t>
            </w:r>
          </w:p>
        </w:tc>
        <w:tc>
          <w:tcPr>
            <w:tcW w:w="624" w:type="dxa"/>
            <w:tcBorders>
              <w:top w:val="nil"/>
              <w:left w:val="nil"/>
              <w:bottom w:val="single" w:color="auto" w:sz="4" w:space="0"/>
              <w:right w:val="single" w:color="auto" w:sz="4" w:space="0"/>
            </w:tcBorders>
            <w:noWrap/>
            <w:vAlign w:val="center"/>
          </w:tcPr>
          <w:p w14:paraId="30237DE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696" w:type="dxa"/>
            <w:tcBorders>
              <w:top w:val="nil"/>
              <w:left w:val="nil"/>
              <w:bottom w:val="single" w:color="auto" w:sz="4" w:space="0"/>
              <w:right w:val="single" w:color="auto" w:sz="4" w:space="0"/>
            </w:tcBorders>
            <w:noWrap/>
            <w:vAlign w:val="center"/>
          </w:tcPr>
          <w:p w14:paraId="567D9F8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r>
      <w:tr w14:paraId="405A5176">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568763C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813" w:type="dxa"/>
            <w:tcBorders>
              <w:top w:val="nil"/>
              <w:left w:val="nil"/>
              <w:bottom w:val="single" w:color="auto" w:sz="4" w:space="0"/>
              <w:right w:val="single" w:color="auto" w:sz="4" w:space="0"/>
            </w:tcBorders>
            <w:noWrap/>
            <w:vAlign w:val="center"/>
          </w:tcPr>
          <w:p w14:paraId="60A8195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补光灯控制线</w:t>
            </w:r>
          </w:p>
        </w:tc>
        <w:tc>
          <w:tcPr>
            <w:tcW w:w="6576" w:type="dxa"/>
            <w:tcBorders>
              <w:top w:val="nil"/>
              <w:left w:val="nil"/>
              <w:bottom w:val="single" w:color="auto" w:sz="4" w:space="0"/>
              <w:right w:val="single" w:color="auto" w:sz="4" w:space="0"/>
            </w:tcBorders>
            <w:noWrap w:val="0"/>
            <w:vAlign w:val="center"/>
          </w:tcPr>
          <w:p w14:paraId="766F659E">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RVVP2*1 黑-红-蓝/屏蔽线</w:t>
            </w:r>
          </w:p>
        </w:tc>
        <w:tc>
          <w:tcPr>
            <w:tcW w:w="624" w:type="dxa"/>
            <w:tcBorders>
              <w:top w:val="nil"/>
              <w:left w:val="nil"/>
              <w:bottom w:val="single" w:color="auto" w:sz="4" w:space="0"/>
              <w:right w:val="single" w:color="auto" w:sz="4" w:space="0"/>
            </w:tcBorders>
            <w:noWrap/>
            <w:vAlign w:val="center"/>
          </w:tcPr>
          <w:p w14:paraId="439D9D2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696" w:type="dxa"/>
            <w:tcBorders>
              <w:top w:val="nil"/>
              <w:left w:val="nil"/>
              <w:bottom w:val="single" w:color="auto" w:sz="4" w:space="0"/>
              <w:right w:val="single" w:color="auto" w:sz="4" w:space="0"/>
            </w:tcBorders>
            <w:noWrap/>
            <w:vAlign w:val="center"/>
          </w:tcPr>
          <w:p w14:paraId="7B652F2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1200</w:t>
            </w:r>
          </w:p>
        </w:tc>
      </w:tr>
      <w:tr w14:paraId="19F072C1">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47FEE49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813" w:type="dxa"/>
            <w:tcBorders>
              <w:top w:val="nil"/>
              <w:left w:val="nil"/>
              <w:bottom w:val="single" w:color="auto" w:sz="4" w:space="0"/>
              <w:right w:val="single" w:color="auto" w:sz="4" w:space="0"/>
            </w:tcBorders>
            <w:noWrap/>
            <w:vAlign w:val="center"/>
          </w:tcPr>
          <w:p w14:paraId="4F5654D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220 电源线</w:t>
            </w:r>
          </w:p>
        </w:tc>
        <w:tc>
          <w:tcPr>
            <w:tcW w:w="6576" w:type="dxa"/>
            <w:tcBorders>
              <w:top w:val="nil"/>
              <w:left w:val="nil"/>
              <w:bottom w:val="single" w:color="auto" w:sz="4" w:space="0"/>
              <w:right w:val="single" w:color="auto" w:sz="4" w:space="0"/>
            </w:tcBorders>
            <w:noWrap w:val="0"/>
            <w:vAlign w:val="center"/>
          </w:tcPr>
          <w:p w14:paraId="6AA83524">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电源线,RVV3*1 黑-红-黑-黄绿</w:t>
            </w:r>
          </w:p>
        </w:tc>
        <w:tc>
          <w:tcPr>
            <w:tcW w:w="624" w:type="dxa"/>
            <w:tcBorders>
              <w:top w:val="nil"/>
              <w:left w:val="nil"/>
              <w:bottom w:val="single" w:color="auto" w:sz="4" w:space="0"/>
              <w:right w:val="single" w:color="auto" w:sz="4" w:space="0"/>
            </w:tcBorders>
            <w:noWrap/>
            <w:vAlign w:val="center"/>
          </w:tcPr>
          <w:p w14:paraId="71DB1A6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696" w:type="dxa"/>
            <w:tcBorders>
              <w:top w:val="nil"/>
              <w:left w:val="nil"/>
              <w:bottom w:val="single" w:color="auto" w:sz="4" w:space="0"/>
              <w:right w:val="single" w:color="auto" w:sz="4" w:space="0"/>
            </w:tcBorders>
            <w:noWrap/>
            <w:vAlign w:val="center"/>
          </w:tcPr>
          <w:p w14:paraId="6AEFE25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1200</w:t>
            </w:r>
          </w:p>
        </w:tc>
      </w:tr>
      <w:tr w14:paraId="057AC031">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194F7A5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19</w:t>
            </w:r>
          </w:p>
        </w:tc>
        <w:tc>
          <w:tcPr>
            <w:tcW w:w="813" w:type="dxa"/>
            <w:tcBorders>
              <w:top w:val="nil"/>
              <w:left w:val="nil"/>
              <w:bottom w:val="single" w:color="auto" w:sz="4" w:space="0"/>
              <w:right w:val="single" w:color="auto" w:sz="4" w:space="0"/>
            </w:tcBorders>
            <w:noWrap/>
            <w:vAlign w:val="center"/>
          </w:tcPr>
          <w:p w14:paraId="5F753EC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稳压电源</w:t>
            </w:r>
          </w:p>
        </w:tc>
        <w:tc>
          <w:tcPr>
            <w:tcW w:w="6576" w:type="dxa"/>
            <w:tcBorders>
              <w:top w:val="nil"/>
              <w:left w:val="nil"/>
              <w:bottom w:val="single" w:color="auto" w:sz="4" w:space="0"/>
              <w:right w:val="single" w:color="auto" w:sz="4" w:space="0"/>
            </w:tcBorders>
            <w:noWrap w:val="0"/>
            <w:vAlign w:val="center"/>
          </w:tcPr>
          <w:p w14:paraId="1DDB1EB8">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1KVA</w:t>
            </w:r>
          </w:p>
        </w:tc>
        <w:tc>
          <w:tcPr>
            <w:tcW w:w="624" w:type="dxa"/>
            <w:tcBorders>
              <w:top w:val="nil"/>
              <w:left w:val="nil"/>
              <w:bottom w:val="single" w:color="auto" w:sz="4" w:space="0"/>
              <w:right w:val="single" w:color="auto" w:sz="4" w:space="0"/>
            </w:tcBorders>
            <w:noWrap/>
            <w:vAlign w:val="center"/>
          </w:tcPr>
          <w:p w14:paraId="725BC40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696" w:type="dxa"/>
            <w:tcBorders>
              <w:top w:val="nil"/>
              <w:left w:val="nil"/>
              <w:bottom w:val="single" w:color="auto" w:sz="4" w:space="0"/>
              <w:right w:val="single" w:color="auto" w:sz="4" w:space="0"/>
            </w:tcBorders>
            <w:noWrap/>
            <w:vAlign w:val="center"/>
          </w:tcPr>
          <w:p w14:paraId="7231F40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r>
      <w:tr w14:paraId="7543045E">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12FB3A2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813" w:type="dxa"/>
            <w:tcBorders>
              <w:top w:val="nil"/>
              <w:left w:val="nil"/>
              <w:bottom w:val="single" w:color="auto" w:sz="4" w:space="0"/>
              <w:right w:val="single" w:color="auto" w:sz="4" w:space="0"/>
            </w:tcBorders>
            <w:noWrap/>
            <w:vAlign w:val="center"/>
          </w:tcPr>
          <w:p w14:paraId="0567193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智能型室外机柜及基础</w:t>
            </w:r>
          </w:p>
        </w:tc>
        <w:tc>
          <w:tcPr>
            <w:tcW w:w="6576" w:type="dxa"/>
            <w:tcBorders>
              <w:top w:val="nil"/>
              <w:left w:val="nil"/>
              <w:bottom w:val="single" w:color="auto" w:sz="4" w:space="0"/>
              <w:right w:val="single" w:color="auto" w:sz="4" w:space="0"/>
            </w:tcBorders>
            <w:noWrap w:val="0"/>
            <w:vAlign w:val="top"/>
          </w:tcPr>
          <w:p w14:paraId="4E7C4E24">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1）落地机箱适合户外环境使用，材质采用 201 不锈钢喷塑，箱体厚度≥1.5mm；箱体尺寸：600mm(宽)×1450mm(高)×450mm(深)。</w:t>
            </w:r>
          </w:p>
          <w:p w14:paraId="33D25315">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 箱内电器采用机架式安装，接线方便，每个单元均可独立更换。</w:t>
            </w:r>
          </w:p>
          <w:p w14:paraId="151734A8">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 具有机箱市电电压、电流检测，提供≥6 路 AC220V 交流输出,总功率≥2000W,每一路支持远程控制。</w:t>
            </w:r>
          </w:p>
          <w:p w14:paraId="5B1B74B3">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 支持温湿度采集，当温湿度超过设定阈值时，通知告警信息，可远程设定温湿度阈值。</w:t>
            </w:r>
          </w:p>
          <w:p w14:paraId="4740586A">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 支持指示灯显示电源、运行、网络状态指示。</w:t>
            </w:r>
          </w:p>
          <w:p w14:paraId="57FD03CE">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6） 提供 2 个 10/100M RJ45 双网段网口、4 路 RS485 接口，3 路 RS232,其中 1 个调试串口，2 个预留串口。</w:t>
            </w:r>
          </w:p>
          <w:p w14:paraId="4FE26F81">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 支持 8 路 4~20mA 标准模拟量采集接口，可接入不同类型传感器。</w:t>
            </w:r>
          </w:p>
          <w:p w14:paraId="6DEAE266">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8） 支持 6 路报警输入、6 路报警输出。</w:t>
            </w:r>
          </w:p>
          <w:p w14:paraId="1F039B65">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 支持 12V 箱体风扇接口，支持风扇工作状态监测，当箱内温度超过设定值时，自动启动风扇进行降温；支持检测风扇工作状态。</w:t>
            </w:r>
          </w:p>
          <w:p w14:paraId="6E56419B">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10）支持断电、断网、网络设备异常、视频设备异常分析，支持异常原因上报；箱内网络传输设备状态监测功能，故障自动修复。</w:t>
            </w:r>
          </w:p>
          <w:p w14:paraId="44430E67">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11) 支持箱体姿态检测，撞击、震动、水浸检测报警；开箱照明指示灯。</w:t>
            </w:r>
          </w:p>
          <w:p w14:paraId="08D91A1B">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12) 支持多路补光灯检测，支持补光灯功率自学习功能，能够区分补光灯白天异常亮起和晚上无法开启。</w:t>
            </w:r>
          </w:p>
          <w:p w14:paraId="2987975D">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13) 具有机箱断电续航回传告警信息功能，断电续航时间≥50s，仅供主机本身续航，不包括外部设备续航。</w:t>
            </w:r>
          </w:p>
          <w:p w14:paraId="142D5562">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14) 支持 NTP 时钟同步功能，同步时间间隔可设置、支持 GPS 时钟同步功能，同步时间间隔可设置。</w:t>
            </w:r>
          </w:p>
          <w:p w14:paraId="111867AB">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15) 支持多用户登录系统进行操作；可以同时支持用户以控制台，中心管理软件/Web 软件方式登陆系统进行操作；支持在 WEB 上直接查看实时数据，配置 IP 地址、客户端地址、传输模式；支持通过 TFTP 进行远程固件升级。</w:t>
            </w:r>
          </w:p>
          <w:p w14:paraId="648342A5">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16) 支持通过 4G 无线方式进行数据传输，数据传输模式支持无线模式、有线模式、有线无线自动切换模式；有线和无线方式支持不同端口、不同服务 IP传输。</w:t>
            </w:r>
          </w:p>
          <w:p w14:paraId="7E184B94">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17）具有开关控制功能、柜门状态检测、柜门自动布防和临时撤防功能。</w:t>
            </w:r>
          </w:p>
          <w:p w14:paraId="6183BAB2">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18）工作温度范围-40℃～+80℃，工作湿度≤90%RH；工作电压范围AC100～AC250V。配套运维管理平台</w:t>
            </w:r>
          </w:p>
          <w:p w14:paraId="367F93C1">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需提供机箱相配套的智慧运维管理平台软件（含管理授权）。智慧运维管理平台软件系统应基于 B/S 架构，支持基于电子地图信息显示设备管理方式，为监控系统运行提供高度集成化、高可靠性、易维护的设备运行状态、告警显示、状态统计、维护管理、工单管理等功能。具体功能要求如下：</w:t>
            </w:r>
          </w:p>
          <w:p w14:paraId="3EB32D16">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 具有在电子地图上标识展示位置信息，并显示设备信息、工作状态，</w:t>
            </w:r>
          </w:p>
          <w:p w14:paraId="36DEB9BC">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包括正常、异常、离线等情况功能。</w:t>
            </w:r>
          </w:p>
          <w:p w14:paraId="5806A5DD">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 具有详细了解单个点位供电情况、环境温度情况及设备工作状态功能，可远程控制设备断电重启、设定设备参数。</w:t>
            </w:r>
          </w:p>
          <w:p w14:paraId="48CE0141">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 具有声音通知告警信息、支持设定各种告警的告警等级、支持分区域设定不同告警的处理时效功能。</w:t>
            </w:r>
          </w:p>
          <w:p w14:paraId="210A61A0">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4) 具有自动派单和手动派单功能，工单记录故障产生时间、派单时间及修复时长等信息。</w:t>
            </w:r>
          </w:p>
        </w:tc>
        <w:tc>
          <w:tcPr>
            <w:tcW w:w="624" w:type="dxa"/>
            <w:tcBorders>
              <w:top w:val="nil"/>
              <w:left w:val="nil"/>
              <w:bottom w:val="single" w:color="auto" w:sz="4" w:space="0"/>
              <w:right w:val="single" w:color="auto" w:sz="4" w:space="0"/>
            </w:tcBorders>
            <w:noWrap/>
            <w:vAlign w:val="center"/>
          </w:tcPr>
          <w:p w14:paraId="0A4A903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696" w:type="dxa"/>
            <w:tcBorders>
              <w:top w:val="nil"/>
              <w:left w:val="nil"/>
              <w:bottom w:val="single" w:color="auto" w:sz="4" w:space="0"/>
              <w:right w:val="single" w:color="auto" w:sz="4" w:space="0"/>
            </w:tcBorders>
            <w:noWrap/>
            <w:vAlign w:val="center"/>
          </w:tcPr>
          <w:p w14:paraId="2FD82D5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r>
      <w:tr w14:paraId="6918A9C9">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1F7F62C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813" w:type="dxa"/>
            <w:tcBorders>
              <w:top w:val="nil"/>
              <w:left w:val="nil"/>
              <w:bottom w:val="single" w:color="auto" w:sz="4" w:space="0"/>
              <w:right w:val="single" w:color="auto" w:sz="4" w:space="0"/>
            </w:tcBorders>
            <w:noWrap/>
            <w:vAlign w:val="center"/>
          </w:tcPr>
          <w:p w14:paraId="5DE8B74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电源电缆</w:t>
            </w:r>
          </w:p>
        </w:tc>
        <w:tc>
          <w:tcPr>
            <w:tcW w:w="6576" w:type="dxa"/>
            <w:tcBorders>
              <w:top w:val="nil"/>
              <w:left w:val="nil"/>
              <w:bottom w:val="single" w:color="auto" w:sz="4" w:space="0"/>
              <w:right w:val="single" w:color="auto" w:sz="4" w:space="0"/>
            </w:tcBorders>
            <w:noWrap w:val="0"/>
            <w:vAlign w:val="center"/>
          </w:tcPr>
          <w:p w14:paraId="786E6C0E">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YJV-0.6/1KV-3×6</w:t>
            </w:r>
          </w:p>
        </w:tc>
        <w:tc>
          <w:tcPr>
            <w:tcW w:w="624" w:type="dxa"/>
            <w:tcBorders>
              <w:top w:val="nil"/>
              <w:left w:val="nil"/>
              <w:bottom w:val="single" w:color="auto" w:sz="4" w:space="0"/>
              <w:right w:val="single" w:color="auto" w:sz="4" w:space="0"/>
            </w:tcBorders>
            <w:noWrap/>
            <w:vAlign w:val="center"/>
          </w:tcPr>
          <w:p w14:paraId="2A6199C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696" w:type="dxa"/>
            <w:tcBorders>
              <w:top w:val="nil"/>
              <w:left w:val="nil"/>
              <w:bottom w:val="single" w:color="auto" w:sz="4" w:space="0"/>
              <w:right w:val="single" w:color="auto" w:sz="4" w:space="0"/>
            </w:tcBorders>
            <w:noWrap/>
            <w:vAlign w:val="center"/>
          </w:tcPr>
          <w:p w14:paraId="45F299D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r>
      <w:tr w14:paraId="17F56444">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522485D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w:t>
            </w:r>
          </w:p>
        </w:tc>
        <w:tc>
          <w:tcPr>
            <w:tcW w:w="813" w:type="dxa"/>
            <w:tcBorders>
              <w:top w:val="nil"/>
              <w:left w:val="nil"/>
              <w:bottom w:val="single" w:color="auto" w:sz="4" w:space="0"/>
              <w:right w:val="single" w:color="auto" w:sz="4" w:space="0"/>
            </w:tcBorders>
            <w:noWrap/>
            <w:vAlign w:val="center"/>
          </w:tcPr>
          <w:p w14:paraId="39D4EB8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第三方检测费</w:t>
            </w:r>
          </w:p>
        </w:tc>
        <w:tc>
          <w:tcPr>
            <w:tcW w:w="6576" w:type="dxa"/>
            <w:tcBorders>
              <w:top w:val="nil"/>
              <w:left w:val="nil"/>
              <w:bottom w:val="single" w:color="auto" w:sz="4" w:space="0"/>
              <w:right w:val="single" w:color="auto" w:sz="4" w:space="0"/>
            </w:tcBorders>
            <w:noWrap w:val="0"/>
            <w:vAlign w:val="center"/>
          </w:tcPr>
          <w:p w14:paraId="4B5E1320">
            <w:pPr>
              <w:widowControl/>
              <w:adjustRightInd/>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包含功能性和安全性检测</w:t>
            </w:r>
          </w:p>
        </w:tc>
        <w:tc>
          <w:tcPr>
            <w:tcW w:w="624" w:type="dxa"/>
            <w:tcBorders>
              <w:top w:val="nil"/>
              <w:left w:val="nil"/>
              <w:bottom w:val="single" w:color="auto" w:sz="4" w:space="0"/>
              <w:right w:val="single" w:color="auto" w:sz="4" w:space="0"/>
            </w:tcBorders>
            <w:noWrap/>
            <w:vAlign w:val="center"/>
          </w:tcPr>
          <w:p w14:paraId="7856F1B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项</w:t>
            </w:r>
          </w:p>
        </w:tc>
        <w:tc>
          <w:tcPr>
            <w:tcW w:w="696" w:type="dxa"/>
            <w:tcBorders>
              <w:top w:val="nil"/>
              <w:left w:val="nil"/>
              <w:bottom w:val="single" w:color="auto" w:sz="4" w:space="0"/>
              <w:right w:val="single" w:color="auto" w:sz="4" w:space="0"/>
            </w:tcBorders>
            <w:noWrap/>
            <w:vAlign w:val="center"/>
          </w:tcPr>
          <w:p w14:paraId="1FD8534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r>
      <w:tr w14:paraId="24D6ECCC">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3F44250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23</w:t>
            </w:r>
          </w:p>
        </w:tc>
        <w:tc>
          <w:tcPr>
            <w:tcW w:w="813" w:type="dxa"/>
            <w:tcBorders>
              <w:top w:val="nil"/>
              <w:left w:val="nil"/>
              <w:bottom w:val="single" w:color="auto" w:sz="4" w:space="0"/>
              <w:right w:val="single" w:color="auto" w:sz="4" w:space="0"/>
            </w:tcBorders>
            <w:noWrap/>
            <w:vAlign w:val="center"/>
          </w:tcPr>
          <w:p w14:paraId="6FF06ED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安装调试费</w:t>
            </w:r>
          </w:p>
        </w:tc>
        <w:tc>
          <w:tcPr>
            <w:tcW w:w="6576" w:type="dxa"/>
            <w:tcBorders>
              <w:top w:val="nil"/>
              <w:left w:val="nil"/>
              <w:bottom w:val="single" w:color="auto" w:sz="4" w:space="0"/>
              <w:right w:val="single" w:color="auto" w:sz="4" w:space="0"/>
            </w:tcBorders>
            <w:noWrap w:val="0"/>
            <w:vAlign w:val="center"/>
          </w:tcPr>
          <w:p w14:paraId="45002248">
            <w:pPr>
              <w:widowControl/>
              <w:adjustRightInd/>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系统联试，系统试运行，与现有系统无缝对接</w:t>
            </w:r>
          </w:p>
        </w:tc>
        <w:tc>
          <w:tcPr>
            <w:tcW w:w="624" w:type="dxa"/>
            <w:tcBorders>
              <w:top w:val="nil"/>
              <w:left w:val="nil"/>
              <w:bottom w:val="single" w:color="auto" w:sz="4" w:space="0"/>
              <w:right w:val="single" w:color="auto" w:sz="4" w:space="0"/>
            </w:tcBorders>
            <w:noWrap/>
            <w:vAlign w:val="center"/>
          </w:tcPr>
          <w:p w14:paraId="4BC7CBE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项</w:t>
            </w:r>
          </w:p>
        </w:tc>
        <w:tc>
          <w:tcPr>
            <w:tcW w:w="696" w:type="dxa"/>
            <w:tcBorders>
              <w:top w:val="nil"/>
              <w:left w:val="nil"/>
              <w:bottom w:val="single" w:color="auto" w:sz="4" w:space="0"/>
              <w:right w:val="single" w:color="auto" w:sz="4" w:space="0"/>
            </w:tcBorders>
            <w:noWrap/>
            <w:vAlign w:val="center"/>
          </w:tcPr>
          <w:p w14:paraId="2B7FD50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r>
      <w:tr w14:paraId="0AA02F46">
        <w:tblPrEx>
          <w:tblCellMar>
            <w:top w:w="0" w:type="dxa"/>
            <w:left w:w="108" w:type="dxa"/>
            <w:bottom w:w="0" w:type="dxa"/>
            <w:right w:w="108" w:type="dxa"/>
          </w:tblCellMar>
        </w:tblPrEx>
        <w:trPr>
          <w:trHeight w:val="399" w:hRule="atLeast"/>
        </w:trPr>
        <w:tc>
          <w:tcPr>
            <w:tcW w:w="9166" w:type="dxa"/>
            <w:gridSpan w:val="5"/>
            <w:tcBorders>
              <w:top w:val="single" w:color="auto" w:sz="4" w:space="0"/>
              <w:left w:val="single" w:color="auto" w:sz="4" w:space="0"/>
              <w:bottom w:val="single" w:color="auto" w:sz="4" w:space="0"/>
              <w:right w:val="single" w:color="000000" w:sz="4" w:space="0"/>
            </w:tcBorders>
            <w:noWrap/>
            <w:vAlign w:val="center"/>
          </w:tcPr>
          <w:p w14:paraId="217DD754">
            <w:pPr>
              <w:widowControl/>
              <w:adjustRightInd/>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监视系统</w:t>
            </w:r>
          </w:p>
        </w:tc>
      </w:tr>
      <w:tr w14:paraId="08B95A54">
        <w:tblPrEx>
          <w:tblCellMar>
            <w:top w:w="0" w:type="dxa"/>
            <w:left w:w="108" w:type="dxa"/>
            <w:bottom w:w="0" w:type="dxa"/>
            <w:right w:w="108" w:type="dxa"/>
          </w:tblCellMar>
        </w:tblPrEx>
        <w:trPr>
          <w:trHeight w:val="399"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68995CA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813" w:type="dxa"/>
            <w:tcBorders>
              <w:top w:val="single" w:color="auto" w:sz="4" w:space="0"/>
              <w:left w:val="single" w:color="auto" w:sz="4" w:space="0"/>
              <w:bottom w:val="single" w:color="auto" w:sz="4" w:space="0"/>
              <w:right w:val="single" w:color="auto" w:sz="4" w:space="0"/>
            </w:tcBorders>
            <w:noWrap/>
            <w:vAlign w:val="center"/>
          </w:tcPr>
          <w:p w14:paraId="317ECB6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枪球一体机</w:t>
            </w:r>
          </w:p>
        </w:tc>
        <w:tc>
          <w:tcPr>
            <w:tcW w:w="6576" w:type="dxa"/>
            <w:tcBorders>
              <w:top w:val="single" w:color="auto" w:sz="4" w:space="0"/>
              <w:left w:val="single" w:color="auto" w:sz="4" w:space="0"/>
              <w:bottom w:val="single" w:color="auto" w:sz="4" w:space="0"/>
              <w:right w:val="single" w:color="auto" w:sz="4" w:space="0"/>
            </w:tcBorders>
            <w:noWrap w:val="0"/>
            <w:vAlign w:val="top"/>
          </w:tcPr>
          <w:p w14:paraId="4D371D55">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◆1、设备内置3个GPU芯片，不少于4个8GB eMMc</w:t>
            </w:r>
            <w:r>
              <w:rPr>
                <w:rFonts w:hint="eastAsia" w:ascii="宋体" w:hAnsi="宋体" w:cs="宋体"/>
                <w:color w:val="auto"/>
                <w:kern w:val="0"/>
                <w:sz w:val="24"/>
                <w:highlight w:val="none"/>
                <w:lang w:eastAsia="zh-CN"/>
              </w:rPr>
              <w:t>（提供公安部有效检测报告）</w:t>
            </w:r>
          </w:p>
          <w:p w14:paraId="195EA866">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枪机和球机通道同时支持违章取证、交通事件检测、交通数据采集、车辆检测功能，且两个通道可同时开启a）违章取证：球机通道支持违停、逆行、压线、变道、机占非、掉头六种违章事件检测；枪机通道支持逆行、压线、变道、机占非、掉头五种违章事件检测 b）交通事件检测：球机通道支持抛洒物检测、行人检测、拥堵检测、路障检测、施工检测、交通事故检测、浓雾检测；枪机通道支持抛洒物检测、行人检测、停车检测、拥堵检测、路障检测、施工检测、交通事故检测、浓雾检测 c）交通数据采集：支持车流量、车道平均速度、车头时距、车头间距、车道时间占有率、车道空间占有率信息采集</w:t>
            </w:r>
          </w:p>
          <w:p w14:paraId="45B8232C">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3、车辆检测：支持过车抓拍，进行牌识，并对车辆进行全结构化分析</w:t>
            </w:r>
            <w:r>
              <w:rPr>
                <w:rFonts w:hint="eastAsia" w:ascii="宋体" w:hAnsi="宋体" w:cs="宋体"/>
                <w:color w:val="auto"/>
                <w:kern w:val="0"/>
                <w:sz w:val="24"/>
                <w:highlight w:val="none"/>
                <w:lang w:eastAsia="zh-CN"/>
              </w:rPr>
              <w:t>。</w:t>
            </w:r>
          </w:p>
          <w:p w14:paraId="1584B007">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4、球机通道自带白光灯，支持针对车牌进行白光补光，提升产品适应范围</w:t>
            </w:r>
            <w:r>
              <w:rPr>
                <w:rFonts w:hint="eastAsia" w:ascii="宋体" w:hAnsi="宋体" w:cs="宋体"/>
                <w:color w:val="auto"/>
                <w:kern w:val="0"/>
                <w:sz w:val="24"/>
                <w:highlight w:val="none"/>
                <w:lang w:eastAsia="zh-CN"/>
              </w:rPr>
              <w:t>。</w:t>
            </w:r>
          </w:p>
          <w:p w14:paraId="6D70E52E">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5、支持自动标定：内嵌多套枪机视场角参数和畸变参数，枪机在任意角度，任意焦距位置，均可以进行自动标定</w:t>
            </w:r>
            <w:r>
              <w:rPr>
                <w:rFonts w:hint="eastAsia" w:ascii="宋体" w:hAnsi="宋体" w:cs="宋体"/>
                <w:color w:val="auto"/>
                <w:kern w:val="0"/>
                <w:sz w:val="24"/>
                <w:highlight w:val="none"/>
                <w:lang w:eastAsia="zh-CN"/>
              </w:rPr>
              <w:t>。</w:t>
            </w:r>
          </w:p>
          <w:p w14:paraId="1D3E8726">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6、采用一体化设计，单 IP、单网线、单电源、免服务器，安装便捷车辆布控跟踪：支持前端实时建模比对，对授权和非授权名单车辆进行布控跟踪，跟踪过程中目标经纬度信息实时上传，构建时空域场景</w:t>
            </w:r>
            <w:r>
              <w:rPr>
                <w:rFonts w:hint="eastAsia" w:ascii="宋体" w:hAnsi="宋体" w:cs="宋体"/>
                <w:color w:val="auto"/>
                <w:kern w:val="0"/>
                <w:sz w:val="24"/>
                <w:highlight w:val="none"/>
                <w:lang w:eastAsia="zh-CN"/>
              </w:rPr>
              <w:t>。</w:t>
            </w:r>
          </w:p>
          <w:p w14:paraId="17422760">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7、支持 GB35114 安全加密</w:t>
            </w:r>
            <w:r>
              <w:rPr>
                <w:rFonts w:hint="eastAsia" w:ascii="宋体" w:hAnsi="宋体" w:cs="宋体"/>
                <w:color w:val="auto"/>
                <w:kern w:val="0"/>
                <w:sz w:val="24"/>
                <w:highlight w:val="none"/>
                <w:lang w:eastAsia="zh-CN"/>
              </w:rPr>
              <w:t>。</w:t>
            </w:r>
          </w:p>
          <w:p w14:paraId="6E6BFD09">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8、传感器类型:【全景】1/1.8＂ progressivescan CMOS【细节】1/1.8＂ progressive scan CMOS</w:t>
            </w:r>
            <w:r>
              <w:rPr>
                <w:rFonts w:hint="eastAsia" w:ascii="宋体" w:hAnsi="宋体" w:cs="宋体"/>
                <w:color w:val="auto"/>
                <w:kern w:val="0"/>
                <w:sz w:val="24"/>
                <w:highlight w:val="none"/>
                <w:lang w:eastAsia="zh-CN"/>
              </w:rPr>
              <w:t>。</w:t>
            </w:r>
          </w:p>
          <w:p w14:paraId="388CE57B">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9、最低照度: 【全景】彩色 0.0005Lux @ (F1.7，AGC ON)，黑白0.0001Lux @(F1.7，AGC ON)， 0Luxwith IR【细节】彩色 0.0005Lux@ (F1.2，AGC ON)，黑白 0.0001Lux @(F1.2，AGC ON)， 0Lux with IR</w:t>
            </w:r>
            <w:r>
              <w:rPr>
                <w:rFonts w:hint="eastAsia" w:ascii="宋体" w:hAnsi="宋体" w:cs="宋体"/>
                <w:color w:val="auto"/>
                <w:kern w:val="0"/>
                <w:sz w:val="24"/>
                <w:highlight w:val="none"/>
                <w:lang w:eastAsia="zh-CN"/>
              </w:rPr>
              <w:t>。</w:t>
            </w:r>
          </w:p>
          <w:p w14:paraId="3F9F86B9">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10、宽动态: 120dB 超宽动态</w:t>
            </w:r>
            <w:r>
              <w:rPr>
                <w:rFonts w:hint="eastAsia" w:ascii="宋体" w:hAnsi="宋体" w:cs="宋体"/>
                <w:color w:val="auto"/>
                <w:kern w:val="0"/>
                <w:sz w:val="24"/>
                <w:highlight w:val="none"/>
                <w:lang w:eastAsia="zh-CN"/>
              </w:rPr>
              <w:t>。</w:t>
            </w:r>
          </w:p>
          <w:p w14:paraId="0A3F2437">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光学变倍: 40 倍</w:t>
            </w:r>
          </w:p>
          <w:p w14:paraId="494CE86C">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11、焦距: 【全景】2.8-12mm；【细节】6.0-240mm</w:t>
            </w:r>
          </w:p>
          <w:p w14:paraId="1BC22F65">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12、水平范围: 【全景】180°；【细节】0-360°</w:t>
            </w:r>
          </w:p>
          <w:p w14:paraId="22932A1C">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13、垂直范围: 【全景】-5-180°；【细节】-20-90°</w:t>
            </w:r>
          </w:p>
          <w:p w14:paraId="199E0933">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14、水平速度: 【全景】 水平监控速度：0.1°-20°/s，速度可设；【细节】水平键控速度：0.1°-210°/s，速度可设，水平预置点速度：280°/s</w:t>
            </w:r>
          </w:p>
          <w:p w14:paraId="46D439A2">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15、垂直速度:【全景】垂直键控速度：0.1°-20°/s,速度可设；【细节】垂直键控速度：0.1°-150°/s，速度可设；垂直预置点速度：250°/s</w:t>
            </w:r>
          </w:p>
          <w:p w14:paraId="29136C25">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16、主码流帧率分辨率: 50 Hz：25 fps（2560 × 1440，1920 × 1080，1280 × 960，1280 × 720）；60 Hz：30 fps（2560 × 1440，1920 × 1080，1280 × 960，1280 × 720）</w:t>
            </w:r>
          </w:p>
          <w:p w14:paraId="27F597F3">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17、视频压缩标准:H.265,H.264,MJPEG</w:t>
            </w:r>
          </w:p>
          <w:p w14:paraId="521B6C3C">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18、网络存储: NAS (NFS, SMB/ CIFS),ANR</w:t>
            </w:r>
          </w:p>
          <w:p w14:paraId="3294EFB2">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19、网络接口: RJ45 网口,自适应 10M/100M/1000M 网络数据</w:t>
            </w:r>
          </w:p>
          <w:p w14:paraId="5C078EF2">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20、SD 卡扩展: 【选配】支持内置 Micro SD 卡槽，Micro SD 卡(即 TF 卡)需出厂前预安装</w:t>
            </w:r>
          </w:p>
          <w:p w14:paraId="4F41D183">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21、报警输入: 7 路报警输入</w:t>
            </w:r>
          </w:p>
          <w:p w14:paraId="70BB250E">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22、报警输出: 2 路报警输出</w:t>
            </w:r>
          </w:p>
          <w:p w14:paraId="55603835">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23、音频输入:1 路音频输入</w:t>
            </w:r>
          </w:p>
          <w:p w14:paraId="2352FD1C">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24、音频输出: 1 路音频输出</w:t>
            </w:r>
          </w:p>
          <w:p w14:paraId="3EA2139E">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25、补光: 白光照射距离 【全景】警戒30 m；【细节】车牌80 ； 红外照射距离 【全景】50 m；【细节】250 m</w:t>
            </w:r>
          </w:p>
          <w:p w14:paraId="6568A45D">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26、防补光过曝: 支持</w:t>
            </w:r>
          </w:p>
          <w:p w14:paraId="7DD46BE3">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27、供电方式: DC36V</w:t>
            </w:r>
          </w:p>
          <w:p w14:paraId="7A3F3382">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28、电源接口类型: 直流供电</w:t>
            </w:r>
          </w:p>
          <w:p w14:paraId="3AC7626C">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29、工作温湿度: -40℃-70℃；湿度小于 95%</w:t>
            </w:r>
          </w:p>
          <w:p w14:paraId="48E86675">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◆30、支持违章取证、交通事件、交通数据采集、车辆检测配置页面间相互切换，切换后设备不重启</w:t>
            </w:r>
            <w:r>
              <w:rPr>
                <w:rFonts w:hint="eastAsia" w:ascii="宋体" w:hAnsi="宋体" w:cs="宋体"/>
                <w:color w:val="auto"/>
                <w:kern w:val="0"/>
                <w:sz w:val="24"/>
                <w:highlight w:val="none"/>
                <w:lang w:eastAsia="zh-CN"/>
              </w:rPr>
              <w:t>（提供公安部有效检测报告）</w:t>
            </w:r>
          </w:p>
          <w:p w14:paraId="1797FCA5">
            <w:pPr>
              <w:widowControl/>
              <w:numPr>
                <w:ilvl w:val="0"/>
                <w:numId w:val="0"/>
              </w:numPr>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◆31支持对违停、逆行、掉头、压线、变道、机占非6种违章事件进行检测取证。支持违章取证图片合成功能，可将违章取证图片单张或多张合成上传，合成图片的数量可配置</w:t>
            </w:r>
            <w:r>
              <w:rPr>
                <w:rFonts w:hint="eastAsia" w:ascii="宋体" w:hAnsi="宋体" w:cs="宋体"/>
                <w:color w:val="auto"/>
                <w:kern w:val="0"/>
                <w:sz w:val="24"/>
                <w:highlight w:val="none"/>
                <w:lang w:eastAsia="zh-CN"/>
              </w:rPr>
              <w:t>（提供公安部有效检测报告）。</w:t>
            </w:r>
          </w:p>
        </w:tc>
        <w:tc>
          <w:tcPr>
            <w:tcW w:w="624" w:type="dxa"/>
            <w:tcBorders>
              <w:top w:val="single" w:color="auto" w:sz="4" w:space="0"/>
              <w:left w:val="single" w:color="auto" w:sz="4" w:space="0"/>
              <w:bottom w:val="single" w:color="auto" w:sz="4" w:space="0"/>
              <w:right w:val="single" w:color="auto" w:sz="4" w:space="0"/>
            </w:tcBorders>
            <w:noWrap/>
            <w:vAlign w:val="center"/>
          </w:tcPr>
          <w:p w14:paraId="00190B8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696" w:type="dxa"/>
            <w:tcBorders>
              <w:top w:val="single" w:color="auto" w:sz="4" w:space="0"/>
              <w:left w:val="single" w:color="auto" w:sz="4" w:space="0"/>
              <w:bottom w:val="single" w:color="auto" w:sz="4" w:space="0"/>
              <w:right w:val="single" w:color="auto" w:sz="4" w:space="0"/>
            </w:tcBorders>
            <w:noWrap/>
            <w:vAlign w:val="center"/>
          </w:tcPr>
          <w:p w14:paraId="0E22268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6D6239EE">
        <w:tblPrEx>
          <w:tblCellMar>
            <w:top w:w="0" w:type="dxa"/>
            <w:left w:w="108" w:type="dxa"/>
            <w:bottom w:w="0" w:type="dxa"/>
            <w:right w:w="108" w:type="dxa"/>
          </w:tblCellMar>
        </w:tblPrEx>
        <w:trPr>
          <w:trHeight w:val="399"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07CF178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813" w:type="dxa"/>
            <w:tcBorders>
              <w:top w:val="single" w:color="auto" w:sz="4" w:space="0"/>
              <w:left w:val="nil"/>
              <w:bottom w:val="single" w:color="auto" w:sz="4" w:space="0"/>
              <w:right w:val="single" w:color="auto" w:sz="4" w:space="0"/>
            </w:tcBorders>
            <w:noWrap/>
            <w:vAlign w:val="center"/>
          </w:tcPr>
          <w:p w14:paraId="5473AC0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电源避雷器</w:t>
            </w:r>
          </w:p>
        </w:tc>
        <w:tc>
          <w:tcPr>
            <w:tcW w:w="6576" w:type="dxa"/>
            <w:tcBorders>
              <w:top w:val="single" w:color="auto" w:sz="4" w:space="0"/>
              <w:left w:val="nil"/>
              <w:bottom w:val="single" w:color="auto" w:sz="4" w:space="0"/>
              <w:right w:val="single" w:color="auto" w:sz="4" w:space="0"/>
            </w:tcBorders>
            <w:noWrap w:val="0"/>
            <w:vAlign w:val="top"/>
          </w:tcPr>
          <w:p w14:paraId="480464E5">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电源避雷器，双向避雷，雷电通流量（8/20us）≥20 KA，电压保护水平（8/20us 20 KA）≤2KV，电压保护水平（8/20us 3 KA） ≤1KV，工作电压：220V</w:t>
            </w:r>
          </w:p>
        </w:tc>
        <w:tc>
          <w:tcPr>
            <w:tcW w:w="624" w:type="dxa"/>
            <w:tcBorders>
              <w:top w:val="single" w:color="auto" w:sz="4" w:space="0"/>
              <w:left w:val="nil"/>
              <w:bottom w:val="single" w:color="auto" w:sz="4" w:space="0"/>
              <w:right w:val="single" w:color="auto" w:sz="4" w:space="0"/>
            </w:tcBorders>
            <w:noWrap/>
            <w:vAlign w:val="center"/>
          </w:tcPr>
          <w:p w14:paraId="1D253D6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696" w:type="dxa"/>
            <w:tcBorders>
              <w:top w:val="single" w:color="auto" w:sz="4" w:space="0"/>
              <w:left w:val="nil"/>
              <w:bottom w:val="single" w:color="auto" w:sz="4" w:space="0"/>
              <w:right w:val="single" w:color="auto" w:sz="4" w:space="0"/>
            </w:tcBorders>
            <w:noWrap/>
            <w:vAlign w:val="center"/>
          </w:tcPr>
          <w:p w14:paraId="5217CA6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69E6AA62">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5370743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813" w:type="dxa"/>
            <w:tcBorders>
              <w:top w:val="nil"/>
              <w:left w:val="nil"/>
              <w:bottom w:val="single" w:color="auto" w:sz="4" w:space="0"/>
              <w:right w:val="single" w:color="auto" w:sz="4" w:space="0"/>
            </w:tcBorders>
            <w:noWrap/>
            <w:vAlign w:val="center"/>
          </w:tcPr>
          <w:p w14:paraId="54B56F5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视频避雷器</w:t>
            </w:r>
          </w:p>
        </w:tc>
        <w:tc>
          <w:tcPr>
            <w:tcW w:w="6576" w:type="dxa"/>
            <w:tcBorders>
              <w:top w:val="nil"/>
              <w:left w:val="nil"/>
              <w:bottom w:val="single" w:color="auto" w:sz="4" w:space="0"/>
              <w:right w:val="single" w:color="auto" w:sz="4" w:space="0"/>
            </w:tcBorders>
            <w:noWrap w:val="0"/>
            <w:vAlign w:val="top"/>
          </w:tcPr>
          <w:p w14:paraId="73C81BFB">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视频避雷器，双向避雷，特性阻抗（Ω）：75，工作电压（V）：25，l 电压保护水平 Up（V）线与线：≤90V，l 电压保护水平 Up（V）线与地：≤90V，l 雷电通流量（8/20us）≥10 KA</w:t>
            </w:r>
          </w:p>
        </w:tc>
        <w:tc>
          <w:tcPr>
            <w:tcW w:w="624" w:type="dxa"/>
            <w:tcBorders>
              <w:top w:val="nil"/>
              <w:left w:val="nil"/>
              <w:bottom w:val="single" w:color="auto" w:sz="4" w:space="0"/>
              <w:right w:val="single" w:color="auto" w:sz="4" w:space="0"/>
            </w:tcBorders>
            <w:noWrap/>
            <w:vAlign w:val="center"/>
          </w:tcPr>
          <w:p w14:paraId="7680FC5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696" w:type="dxa"/>
            <w:tcBorders>
              <w:top w:val="nil"/>
              <w:left w:val="nil"/>
              <w:bottom w:val="single" w:color="auto" w:sz="4" w:space="0"/>
              <w:right w:val="single" w:color="auto" w:sz="4" w:space="0"/>
            </w:tcBorders>
            <w:noWrap/>
            <w:vAlign w:val="center"/>
          </w:tcPr>
          <w:p w14:paraId="0728DD3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5FFB0D7E">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1A1DEA8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813" w:type="dxa"/>
            <w:tcBorders>
              <w:top w:val="nil"/>
              <w:left w:val="nil"/>
              <w:bottom w:val="single" w:color="auto" w:sz="4" w:space="0"/>
              <w:right w:val="single" w:color="auto" w:sz="4" w:space="0"/>
            </w:tcBorders>
            <w:noWrap/>
            <w:vAlign w:val="center"/>
          </w:tcPr>
          <w:p w14:paraId="38EB54D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控制信号避雷器</w:t>
            </w:r>
          </w:p>
        </w:tc>
        <w:tc>
          <w:tcPr>
            <w:tcW w:w="6576" w:type="dxa"/>
            <w:tcBorders>
              <w:top w:val="nil"/>
              <w:left w:val="nil"/>
              <w:bottom w:val="single" w:color="auto" w:sz="4" w:space="0"/>
              <w:right w:val="single" w:color="auto" w:sz="4" w:space="0"/>
            </w:tcBorders>
            <w:noWrap w:val="0"/>
            <w:vAlign w:val="top"/>
          </w:tcPr>
          <w:p w14:paraId="1C53930A">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控制信号避雷器 ，双向避雷，特性阻抗（Ω）：75，工作电压（V）：25，l 电压保护水平 Up（V）线与线：≤90V，l 电压保护水平 Up（V）线与地：≤90V，l 雷电通流量（8/20us）≥10 KA</w:t>
            </w:r>
          </w:p>
        </w:tc>
        <w:tc>
          <w:tcPr>
            <w:tcW w:w="624" w:type="dxa"/>
            <w:tcBorders>
              <w:top w:val="nil"/>
              <w:left w:val="nil"/>
              <w:bottom w:val="single" w:color="auto" w:sz="4" w:space="0"/>
              <w:right w:val="single" w:color="auto" w:sz="4" w:space="0"/>
            </w:tcBorders>
            <w:noWrap/>
            <w:vAlign w:val="center"/>
          </w:tcPr>
          <w:p w14:paraId="1696576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696" w:type="dxa"/>
            <w:tcBorders>
              <w:top w:val="nil"/>
              <w:left w:val="nil"/>
              <w:bottom w:val="single" w:color="auto" w:sz="4" w:space="0"/>
              <w:right w:val="single" w:color="auto" w:sz="4" w:space="0"/>
            </w:tcBorders>
            <w:noWrap/>
            <w:vAlign w:val="center"/>
          </w:tcPr>
          <w:p w14:paraId="01E3C4B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792E7157">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603A152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813" w:type="dxa"/>
            <w:tcBorders>
              <w:top w:val="nil"/>
              <w:left w:val="nil"/>
              <w:bottom w:val="single" w:color="auto" w:sz="4" w:space="0"/>
              <w:right w:val="single" w:color="auto" w:sz="4" w:space="0"/>
            </w:tcBorders>
            <w:noWrap/>
            <w:vAlign w:val="center"/>
          </w:tcPr>
          <w:p w14:paraId="6C22B95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管内穿线</w:t>
            </w:r>
          </w:p>
        </w:tc>
        <w:tc>
          <w:tcPr>
            <w:tcW w:w="6576" w:type="dxa"/>
            <w:tcBorders>
              <w:top w:val="nil"/>
              <w:left w:val="nil"/>
              <w:bottom w:val="single" w:color="auto" w:sz="4" w:space="0"/>
              <w:right w:val="single" w:color="auto" w:sz="4" w:space="0"/>
            </w:tcBorders>
            <w:noWrap w:val="0"/>
            <w:vAlign w:val="center"/>
          </w:tcPr>
          <w:p w14:paraId="0B64974C">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视频线 SYV75-5 或室外屏蔽网线，含部分保留点位的改线量</w:t>
            </w:r>
          </w:p>
        </w:tc>
        <w:tc>
          <w:tcPr>
            <w:tcW w:w="624" w:type="dxa"/>
            <w:tcBorders>
              <w:top w:val="nil"/>
              <w:left w:val="nil"/>
              <w:bottom w:val="single" w:color="auto" w:sz="4" w:space="0"/>
              <w:right w:val="single" w:color="auto" w:sz="4" w:space="0"/>
            </w:tcBorders>
            <w:noWrap/>
            <w:vAlign w:val="center"/>
          </w:tcPr>
          <w:p w14:paraId="3D8511C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696" w:type="dxa"/>
            <w:tcBorders>
              <w:top w:val="nil"/>
              <w:left w:val="nil"/>
              <w:bottom w:val="single" w:color="auto" w:sz="4" w:space="0"/>
              <w:right w:val="single" w:color="auto" w:sz="4" w:space="0"/>
            </w:tcBorders>
            <w:noWrap/>
            <w:vAlign w:val="center"/>
          </w:tcPr>
          <w:p w14:paraId="549DA1C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800</w:t>
            </w:r>
          </w:p>
        </w:tc>
      </w:tr>
      <w:tr w14:paraId="094C40F1">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79B1581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813" w:type="dxa"/>
            <w:tcBorders>
              <w:top w:val="nil"/>
              <w:left w:val="nil"/>
              <w:bottom w:val="single" w:color="auto" w:sz="4" w:space="0"/>
              <w:right w:val="single" w:color="auto" w:sz="4" w:space="0"/>
            </w:tcBorders>
            <w:noWrap/>
            <w:vAlign w:val="center"/>
          </w:tcPr>
          <w:p w14:paraId="2059CE1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管内穿线</w:t>
            </w:r>
          </w:p>
        </w:tc>
        <w:tc>
          <w:tcPr>
            <w:tcW w:w="6576" w:type="dxa"/>
            <w:tcBorders>
              <w:top w:val="nil"/>
              <w:left w:val="nil"/>
              <w:bottom w:val="single" w:color="auto" w:sz="4" w:space="0"/>
              <w:right w:val="single" w:color="auto" w:sz="4" w:space="0"/>
            </w:tcBorders>
            <w:noWrap w:val="0"/>
            <w:vAlign w:val="center"/>
          </w:tcPr>
          <w:p w14:paraId="3033CD00">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控制线 RVVP 10*0.75，含部分保留点位的改线量</w:t>
            </w:r>
          </w:p>
        </w:tc>
        <w:tc>
          <w:tcPr>
            <w:tcW w:w="624" w:type="dxa"/>
            <w:tcBorders>
              <w:top w:val="nil"/>
              <w:left w:val="nil"/>
              <w:bottom w:val="single" w:color="auto" w:sz="4" w:space="0"/>
              <w:right w:val="single" w:color="auto" w:sz="4" w:space="0"/>
            </w:tcBorders>
            <w:noWrap/>
            <w:vAlign w:val="center"/>
          </w:tcPr>
          <w:p w14:paraId="5C3DD5A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696" w:type="dxa"/>
            <w:tcBorders>
              <w:top w:val="nil"/>
              <w:left w:val="nil"/>
              <w:bottom w:val="single" w:color="auto" w:sz="4" w:space="0"/>
              <w:right w:val="single" w:color="auto" w:sz="4" w:space="0"/>
            </w:tcBorders>
            <w:noWrap/>
            <w:vAlign w:val="center"/>
          </w:tcPr>
          <w:p w14:paraId="6298BA4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800</w:t>
            </w:r>
          </w:p>
        </w:tc>
      </w:tr>
      <w:tr w14:paraId="54A125B6">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0B4795C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813" w:type="dxa"/>
            <w:tcBorders>
              <w:top w:val="nil"/>
              <w:left w:val="nil"/>
              <w:bottom w:val="single" w:color="auto" w:sz="4" w:space="0"/>
              <w:right w:val="single" w:color="auto" w:sz="4" w:space="0"/>
            </w:tcBorders>
            <w:noWrap/>
            <w:vAlign w:val="center"/>
          </w:tcPr>
          <w:p w14:paraId="0243ED0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电源线缆及辅材</w:t>
            </w:r>
          </w:p>
        </w:tc>
        <w:tc>
          <w:tcPr>
            <w:tcW w:w="6576" w:type="dxa"/>
            <w:tcBorders>
              <w:top w:val="nil"/>
              <w:left w:val="nil"/>
              <w:bottom w:val="single" w:color="auto" w:sz="4" w:space="0"/>
              <w:right w:val="single" w:color="auto" w:sz="4" w:space="0"/>
            </w:tcBorders>
            <w:noWrap w:val="0"/>
            <w:vAlign w:val="center"/>
          </w:tcPr>
          <w:p w14:paraId="6D43B884">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电源线缆及辅材</w:t>
            </w:r>
          </w:p>
        </w:tc>
        <w:tc>
          <w:tcPr>
            <w:tcW w:w="624" w:type="dxa"/>
            <w:tcBorders>
              <w:top w:val="nil"/>
              <w:left w:val="nil"/>
              <w:bottom w:val="single" w:color="auto" w:sz="4" w:space="0"/>
              <w:right w:val="single" w:color="auto" w:sz="4" w:space="0"/>
            </w:tcBorders>
            <w:noWrap/>
            <w:vAlign w:val="center"/>
          </w:tcPr>
          <w:p w14:paraId="0F4BA84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696" w:type="dxa"/>
            <w:tcBorders>
              <w:top w:val="nil"/>
              <w:left w:val="nil"/>
              <w:bottom w:val="single" w:color="auto" w:sz="4" w:space="0"/>
              <w:right w:val="single" w:color="auto" w:sz="4" w:space="0"/>
            </w:tcBorders>
            <w:noWrap/>
            <w:vAlign w:val="center"/>
          </w:tcPr>
          <w:p w14:paraId="7348314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5B4B5A43">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0EB6331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813" w:type="dxa"/>
            <w:tcBorders>
              <w:top w:val="nil"/>
              <w:left w:val="nil"/>
              <w:bottom w:val="single" w:color="auto" w:sz="4" w:space="0"/>
              <w:right w:val="single" w:color="auto" w:sz="4" w:space="0"/>
            </w:tcBorders>
            <w:noWrap/>
            <w:vAlign w:val="center"/>
          </w:tcPr>
          <w:p w14:paraId="1084D37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球机挑臂</w:t>
            </w:r>
          </w:p>
        </w:tc>
        <w:tc>
          <w:tcPr>
            <w:tcW w:w="6576" w:type="dxa"/>
            <w:tcBorders>
              <w:top w:val="nil"/>
              <w:left w:val="nil"/>
              <w:bottom w:val="single" w:color="auto" w:sz="4" w:space="0"/>
              <w:right w:val="single" w:color="auto" w:sz="4" w:space="0"/>
            </w:tcBorders>
            <w:noWrap w:val="0"/>
            <w:vAlign w:val="center"/>
          </w:tcPr>
          <w:p w14:paraId="28CACBF2">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附着安装辅材</w:t>
            </w:r>
          </w:p>
        </w:tc>
        <w:tc>
          <w:tcPr>
            <w:tcW w:w="624" w:type="dxa"/>
            <w:tcBorders>
              <w:top w:val="nil"/>
              <w:left w:val="nil"/>
              <w:bottom w:val="single" w:color="auto" w:sz="4" w:space="0"/>
              <w:right w:val="single" w:color="auto" w:sz="4" w:space="0"/>
            </w:tcBorders>
            <w:noWrap/>
            <w:vAlign w:val="center"/>
          </w:tcPr>
          <w:p w14:paraId="3D8CA00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696" w:type="dxa"/>
            <w:tcBorders>
              <w:top w:val="nil"/>
              <w:left w:val="nil"/>
              <w:bottom w:val="single" w:color="auto" w:sz="4" w:space="0"/>
              <w:right w:val="single" w:color="auto" w:sz="4" w:space="0"/>
            </w:tcBorders>
            <w:noWrap/>
            <w:vAlign w:val="center"/>
          </w:tcPr>
          <w:p w14:paraId="2754D53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55D37C45">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72CDD43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813" w:type="dxa"/>
            <w:tcBorders>
              <w:top w:val="nil"/>
              <w:left w:val="nil"/>
              <w:bottom w:val="single" w:color="auto" w:sz="4" w:space="0"/>
              <w:right w:val="single" w:color="auto" w:sz="4" w:space="0"/>
            </w:tcBorders>
            <w:noWrap/>
            <w:vAlign w:val="center"/>
          </w:tcPr>
          <w:p w14:paraId="6314E22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智能抱杆机箱</w:t>
            </w:r>
          </w:p>
        </w:tc>
        <w:tc>
          <w:tcPr>
            <w:tcW w:w="6576" w:type="dxa"/>
            <w:tcBorders>
              <w:top w:val="nil"/>
              <w:left w:val="nil"/>
              <w:bottom w:val="single" w:color="auto" w:sz="4" w:space="0"/>
              <w:right w:val="single" w:color="auto" w:sz="4" w:space="0"/>
            </w:tcBorders>
            <w:noWrap w:val="0"/>
            <w:vAlign w:val="top"/>
          </w:tcPr>
          <w:p w14:paraId="4272D3E8">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定制，W*D*H=400*300*500；箱体，方孔条，托盘采用 2.0mm 优质冷扎钢板制作，箱门采用 1.5mm 优质冷轧钢板制作；表面采用脱脂、酸洗、磷化、静电喷塑厚度≥80μm。含电源防雷模块、网络防雷模块</w:t>
            </w:r>
          </w:p>
        </w:tc>
        <w:tc>
          <w:tcPr>
            <w:tcW w:w="624" w:type="dxa"/>
            <w:tcBorders>
              <w:top w:val="nil"/>
              <w:left w:val="nil"/>
              <w:bottom w:val="single" w:color="auto" w:sz="4" w:space="0"/>
              <w:right w:val="single" w:color="auto" w:sz="4" w:space="0"/>
            </w:tcBorders>
            <w:noWrap/>
            <w:vAlign w:val="center"/>
          </w:tcPr>
          <w:p w14:paraId="3E9675B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696" w:type="dxa"/>
            <w:tcBorders>
              <w:top w:val="nil"/>
              <w:left w:val="nil"/>
              <w:bottom w:val="single" w:color="auto" w:sz="4" w:space="0"/>
              <w:right w:val="single" w:color="auto" w:sz="4" w:space="0"/>
            </w:tcBorders>
            <w:noWrap/>
            <w:vAlign w:val="center"/>
          </w:tcPr>
          <w:p w14:paraId="5FDC1A3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7E3D300B">
        <w:tblPrEx>
          <w:tblCellMar>
            <w:top w:w="0" w:type="dxa"/>
            <w:left w:w="108" w:type="dxa"/>
            <w:bottom w:w="0" w:type="dxa"/>
            <w:right w:w="108" w:type="dxa"/>
          </w:tblCellMar>
        </w:tblPrEx>
        <w:trPr>
          <w:trHeight w:val="399"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6A63D5F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813" w:type="dxa"/>
            <w:tcBorders>
              <w:top w:val="single" w:color="auto" w:sz="4" w:space="0"/>
              <w:left w:val="single" w:color="auto" w:sz="4" w:space="0"/>
              <w:bottom w:val="single" w:color="auto" w:sz="4" w:space="0"/>
              <w:right w:val="single" w:color="auto" w:sz="4" w:space="0"/>
            </w:tcBorders>
            <w:noWrap/>
            <w:vAlign w:val="center"/>
          </w:tcPr>
          <w:p w14:paraId="360F7DB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第三方检测费</w:t>
            </w:r>
          </w:p>
        </w:tc>
        <w:tc>
          <w:tcPr>
            <w:tcW w:w="6576" w:type="dxa"/>
            <w:tcBorders>
              <w:top w:val="single" w:color="auto" w:sz="4" w:space="0"/>
              <w:left w:val="single" w:color="auto" w:sz="4" w:space="0"/>
              <w:bottom w:val="single" w:color="auto" w:sz="4" w:space="0"/>
              <w:right w:val="single" w:color="auto" w:sz="4" w:space="0"/>
            </w:tcBorders>
            <w:noWrap w:val="0"/>
            <w:vAlign w:val="center"/>
          </w:tcPr>
          <w:p w14:paraId="529A8ECC">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包含功能性和安全性检测</w:t>
            </w:r>
          </w:p>
        </w:tc>
        <w:tc>
          <w:tcPr>
            <w:tcW w:w="624" w:type="dxa"/>
            <w:tcBorders>
              <w:top w:val="single" w:color="auto" w:sz="4" w:space="0"/>
              <w:left w:val="single" w:color="auto" w:sz="4" w:space="0"/>
              <w:bottom w:val="single" w:color="auto" w:sz="4" w:space="0"/>
              <w:right w:val="single" w:color="auto" w:sz="4" w:space="0"/>
            </w:tcBorders>
            <w:noWrap/>
            <w:vAlign w:val="center"/>
          </w:tcPr>
          <w:p w14:paraId="2B0E6EA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项</w:t>
            </w:r>
          </w:p>
        </w:tc>
        <w:tc>
          <w:tcPr>
            <w:tcW w:w="696" w:type="dxa"/>
            <w:tcBorders>
              <w:top w:val="single" w:color="auto" w:sz="4" w:space="0"/>
              <w:left w:val="single" w:color="auto" w:sz="4" w:space="0"/>
              <w:bottom w:val="single" w:color="auto" w:sz="4" w:space="0"/>
              <w:right w:val="single" w:color="auto" w:sz="4" w:space="0"/>
            </w:tcBorders>
            <w:noWrap/>
            <w:vAlign w:val="center"/>
          </w:tcPr>
          <w:p w14:paraId="361DB8D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5C512EAF">
        <w:tblPrEx>
          <w:tblCellMar>
            <w:top w:w="0" w:type="dxa"/>
            <w:left w:w="108" w:type="dxa"/>
            <w:bottom w:w="0" w:type="dxa"/>
            <w:right w:w="108" w:type="dxa"/>
          </w:tblCellMar>
        </w:tblPrEx>
        <w:trPr>
          <w:trHeight w:val="399"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0A71395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813" w:type="dxa"/>
            <w:tcBorders>
              <w:top w:val="single" w:color="auto" w:sz="4" w:space="0"/>
              <w:left w:val="single" w:color="auto" w:sz="4" w:space="0"/>
              <w:bottom w:val="single" w:color="auto" w:sz="4" w:space="0"/>
              <w:right w:val="single" w:color="auto" w:sz="4" w:space="0"/>
            </w:tcBorders>
            <w:noWrap/>
            <w:vAlign w:val="center"/>
          </w:tcPr>
          <w:p w14:paraId="7D4E8A6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安装调试费</w:t>
            </w:r>
          </w:p>
        </w:tc>
        <w:tc>
          <w:tcPr>
            <w:tcW w:w="6576" w:type="dxa"/>
            <w:tcBorders>
              <w:top w:val="single" w:color="auto" w:sz="4" w:space="0"/>
              <w:left w:val="single" w:color="auto" w:sz="4" w:space="0"/>
              <w:bottom w:val="single" w:color="auto" w:sz="4" w:space="0"/>
              <w:right w:val="single" w:color="auto" w:sz="4" w:space="0"/>
            </w:tcBorders>
            <w:noWrap w:val="0"/>
            <w:vAlign w:val="center"/>
          </w:tcPr>
          <w:p w14:paraId="0AFBBFA9">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系统联试，系统试运行，与现有系统无缝对接</w:t>
            </w:r>
          </w:p>
        </w:tc>
        <w:tc>
          <w:tcPr>
            <w:tcW w:w="624" w:type="dxa"/>
            <w:tcBorders>
              <w:top w:val="single" w:color="auto" w:sz="4" w:space="0"/>
              <w:left w:val="single" w:color="auto" w:sz="4" w:space="0"/>
              <w:bottom w:val="single" w:color="auto" w:sz="4" w:space="0"/>
              <w:right w:val="single" w:color="auto" w:sz="4" w:space="0"/>
            </w:tcBorders>
            <w:noWrap/>
            <w:vAlign w:val="center"/>
          </w:tcPr>
          <w:p w14:paraId="420A6A0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项</w:t>
            </w:r>
          </w:p>
        </w:tc>
        <w:tc>
          <w:tcPr>
            <w:tcW w:w="696" w:type="dxa"/>
            <w:tcBorders>
              <w:top w:val="single" w:color="auto" w:sz="4" w:space="0"/>
              <w:left w:val="single" w:color="auto" w:sz="4" w:space="0"/>
              <w:bottom w:val="single" w:color="auto" w:sz="4" w:space="0"/>
              <w:right w:val="single" w:color="auto" w:sz="4" w:space="0"/>
            </w:tcBorders>
            <w:noWrap/>
            <w:vAlign w:val="center"/>
          </w:tcPr>
          <w:p w14:paraId="4F96883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7038E5BA">
        <w:tblPrEx>
          <w:tblCellMar>
            <w:top w:w="0" w:type="dxa"/>
            <w:left w:w="108" w:type="dxa"/>
            <w:bottom w:w="0" w:type="dxa"/>
            <w:right w:w="108" w:type="dxa"/>
          </w:tblCellMar>
        </w:tblPrEx>
        <w:trPr>
          <w:trHeight w:val="399"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2001871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813" w:type="dxa"/>
            <w:tcBorders>
              <w:top w:val="single" w:color="auto" w:sz="4" w:space="0"/>
              <w:left w:val="nil"/>
              <w:bottom w:val="single" w:color="auto" w:sz="4" w:space="0"/>
              <w:right w:val="single" w:color="auto" w:sz="4" w:space="0"/>
            </w:tcBorders>
            <w:noWrap/>
            <w:vAlign w:val="center"/>
          </w:tcPr>
          <w:p w14:paraId="17A85F5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复用光端机</w:t>
            </w:r>
          </w:p>
        </w:tc>
        <w:tc>
          <w:tcPr>
            <w:tcW w:w="6576" w:type="dxa"/>
            <w:tcBorders>
              <w:top w:val="single" w:color="auto" w:sz="4" w:space="0"/>
              <w:left w:val="nil"/>
              <w:bottom w:val="single" w:color="auto" w:sz="4" w:space="0"/>
              <w:right w:val="single" w:color="auto" w:sz="4" w:space="0"/>
            </w:tcBorders>
            <w:noWrap w:val="0"/>
            <w:vAlign w:val="top"/>
          </w:tcPr>
          <w:p w14:paraId="52B15CD0">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1V+1D+4E(千兆网口)，VAR3S 远端光接入模块-LC 单模单纤-独立式-20KM-1 路正向 SDI 视频通道或者 1 路正向标清视频通道-1 路反向 RS486 数据通道-4 路1000M 以太网端口。安装；调试。</w:t>
            </w:r>
          </w:p>
        </w:tc>
        <w:tc>
          <w:tcPr>
            <w:tcW w:w="624" w:type="dxa"/>
            <w:tcBorders>
              <w:top w:val="single" w:color="auto" w:sz="4" w:space="0"/>
              <w:left w:val="nil"/>
              <w:bottom w:val="single" w:color="auto" w:sz="4" w:space="0"/>
              <w:right w:val="single" w:color="auto" w:sz="4" w:space="0"/>
            </w:tcBorders>
            <w:noWrap/>
            <w:vAlign w:val="center"/>
          </w:tcPr>
          <w:p w14:paraId="06743C6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696" w:type="dxa"/>
            <w:tcBorders>
              <w:top w:val="single" w:color="auto" w:sz="4" w:space="0"/>
              <w:left w:val="nil"/>
              <w:bottom w:val="single" w:color="auto" w:sz="4" w:space="0"/>
              <w:right w:val="single" w:color="auto" w:sz="4" w:space="0"/>
            </w:tcBorders>
            <w:noWrap/>
            <w:vAlign w:val="center"/>
          </w:tcPr>
          <w:p w14:paraId="41FE922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50BE0FE3">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146C94B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813" w:type="dxa"/>
            <w:tcBorders>
              <w:top w:val="nil"/>
              <w:left w:val="nil"/>
              <w:bottom w:val="single" w:color="auto" w:sz="4" w:space="0"/>
              <w:right w:val="single" w:color="auto" w:sz="4" w:space="0"/>
            </w:tcBorders>
            <w:noWrap/>
            <w:vAlign w:val="center"/>
          </w:tcPr>
          <w:p w14:paraId="0F77828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光纤终端盒</w:t>
            </w:r>
          </w:p>
        </w:tc>
        <w:tc>
          <w:tcPr>
            <w:tcW w:w="6576" w:type="dxa"/>
            <w:tcBorders>
              <w:top w:val="nil"/>
              <w:left w:val="nil"/>
              <w:bottom w:val="single" w:color="auto" w:sz="4" w:space="0"/>
              <w:right w:val="single" w:color="auto" w:sz="4" w:space="0"/>
            </w:tcBorders>
            <w:noWrap w:val="0"/>
            <w:vAlign w:val="center"/>
          </w:tcPr>
          <w:p w14:paraId="2EE38DB9">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4 口 FC 光缆终端盒</w:t>
            </w:r>
          </w:p>
        </w:tc>
        <w:tc>
          <w:tcPr>
            <w:tcW w:w="624" w:type="dxa"/>
            <w:tcBorders>
              <w:top w:val="nil"/>
              <w:left w:val="nil"/>
              <w:bottom w:val="single" w:color="auto" w:sz="4" w:space="0"/>
              <w:right w:val="single" w:color="auto" w:sz="4" w:space="0"/>
            </w:tcBorders>
            <w:noWrap/>
            <w:vAlign w:val="center"/>
          </w:tcPr>
          <w:p w14:paraId="7B0E6AD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个</w:t>
            </w:r>
          </w:p>
        </w:tc>
        <w:tc>
          <w:tcPr>
            <w:tcW w:w="696" w:type="dxa"/>
            <w:tcBorders>
              <w:top w:val="nil"/>
              <w:left w:val="nil"/>
              <w:bottom w:val="single" w:color="auto" w:sz="4" w:space="0"/>
              <w:right w:val="single" w:color="auto" w:sz="4" w:space="0"/>
            </w:tcBorders>
            <w:noWrap/>
            <w:vAlign w:val="center"/>
          </w:tcPr>
          <w:p w14:paraId="5D3F257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645DC069">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49E541B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813" w:type="dxa"/>
            <w:tcBorders>
              <w:top w:val="nil"/>
              <w:left w:val="nil"/>
              <w:bottom w:val="single" w:color="auto" w:sz="4" w:space="0"/>
              <w:right w:val="single" w:color="auto" w:sz="4" w:space="0"/>
            </w:tcBorders>
            <w:noWrap/>
            <w:vAlign w:val="center"/>
          </w:tcPr>
          <w:p w14:paraId="7287A25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监控摄像机电源线</w:t>
            </w:r>
          </w:p>
        </w:tc>
        <w:tc>
          <w:tcPr>
            <w:tcW w:w="6576" w:type="dxa"/>
            <w:tcBorders>
              <w:top w:val="nil"/>
              <w:left w:val="nil"/>
              <w:bottom w:val="single" w:color="auto" w:sz="4" w:space="0"/>
              <w:right w:val="single" w:color="auto" w:sz="4" w:space="0"/>
            </w:tcBorders>
            <w:noWrap w:val="0"/>
            <w:vAlign w:val="center"/>
          </w:tcPr>
          <w:p w14:paraId="1F6781B6">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RVV-3*1.5</w:t>
            </w:r>
          </w:p>
        </w:tc>
        <w:tc>
          <w:tcPr>
            <w:tcW w:w="624" w:type="dxa"/>
            <w:tcBorders>
              <w:top w:val="nil"/>
              <w:left w:val="nil"/>
              <w:bottom w:val="single" w:color="auto" w:sz="4" w:space="0"/>
              <w:right w:val="single" w:color="auto" w:sz="4" w:space="0"/>
            </w:tcBorders>
            <w:noWrap/>
            <w:vAlign w:val="center"/>
          </w:tcPr>
          <w:p w14:paraId="0BDE656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696" w:type="dxa"/>
            <w:tcBorders>
              <w:top w:val="nil"/>
              <w:left w:val="nil"/>
              <w:bottom w:val="single" w:color="auto" w:sz="4" w:space="0"/>
              <w:right w:val="single" w:color="auto" w:sz="4" w:space="0"/>
            </w:tcBorders>
            <w:noWrap/>
            <w:vAlign w:val="center"/>
          </w:tcPr>
          <w:p w14:paraId="348DC46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800</w:t>
            </w:r>
          </w:p>
        </w:tc>
      </w:tr>
      <w:tr w14:paraId="0F0BC0D3">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3C4CB07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813" w:type="dxa"/>
            <w:tcBorders>
              <w:top w:val="nil"/>
              <w:left w:val="nil"/>
              <w:bottom w:val="single" w:color="auto" w:sz="4" w:space="0"/>
              <w:right w:val="single" w:color="auto" w:sz="4" w:space="0"/>
            </w:tcBorders>
            <w:noWrap/>
            <w:vAlign w:val="center"/>
          </w:tcPr>
          <w:p w14:paraId="24EF2FF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光缆敷设</w:t>
            </w:r>
          </w:p>
        </w:tc>
        <w:tc>
          <w:tcPr>
            <w:tcW w:w="6576" w:type="dxa"/>
            <w:tcBorders>
              <w:top w:val="nil"/>
              <w:left w:val="nil"/>
              <w:bottom w:val="single" w:color="auto" w:sz="4" w:space="0"/>
              <w:right w:val="single" w:color="auto" w:sz="4" w:space="0"/>
            </w:tcBorders>
            <w:noWrap w:val="0"/>
            <w:vAlign w:val="center"/>
          </w:tcPr>
          <w:p w14:paraId="32690B34">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4 芯室外单模光缆</w:t>
            </w:r>
          </w:p>
        </w:tc>
        <w:tc>
          <w:tcPr>
            <w:tcW w:w="624" w:type="dxa"/>
            <w:tcBorders>
              <w:top w:val="nil"/>
              <w:left w:val="nil"/>
              <w:bottom w:val="single" w:color="auto" w:sz="4" w:space="0"/>
              <w:right w:val="single" w:color="auto" w:sz="4" w:space="0"/>
            </w:tcBorders>
            <w:noWrap/>
            <w:vAlign w:val="center"/>
          </w:tcPr>
          <w:p w14:paraId="5D23796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696" w:type="dxa"/>
            <w:tcBorders>
              <w:top w:val="nil"/>
              <w:left w:val="nil"/>
              <w:bottom w:val="single" w:color="auto" w:sz="4" w:space="0"/>
              <w:right w:val="single" w:color="auto" w:sz="4" w:space="0"/>
            </w:tcBorders>
            <w:noWrap/>
            <w:vAlign w:val="center"/>
          </w:tcPr>
          <w:p w14:paraId="5C30243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400</w:t>
            </w:r>
          </w:p>
        </w:tc>
      </w:tr>
      <w:tr w14:paraId="47406EA5">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1812521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813" w:type="dxa"/>
            <w:tcBorders>
              <w:top w:val="nil"/>
              <w:left w:val="nil"/>
              <w:bottom w:val="single" w:color="auto" w:sz="4" w:space="0"/>
              <w:right w:val="single" w:color="auto" w:sz="4" w:space="0"/>
            </w:tcBorders>
            <w:noWrap/>
            <w:vAlign w:val="center"/>
          </w:tcPr>
          <w:p w14:paraId="279DD16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光纤收发器</w:t>
            </w:r>
          </w:p>
        </w:tc>
        <w:tc>
          <w:tcPr>
            <w:tcW w:w="6576" w:type="dxa"/>
            <w:tcBorders>
              <w:top w:val="nil"/>
              <w:left w:val="nil"/>
              <w:bottom w:val="single" w:color="auto" w:sz="4" w:space="0"/>
              <w:right w:val="single" w:color="auto" w:sz="4" w:space="0"/>
            </w:tcBorders>
            <w:noWrap w:val="0"/>
            <w:vAlign w:val="center"/>
          </w:tcPr>
          <w:p w14:paraId="1ECFB787">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1 光 4 电工业级百兆光纤收发器</w:t>
            </w:r>
          </w:p>
        </w:tc>
        <w:tc>
          <w:tcPr>
            <w:tcW w:w="624" w:type="dxa"/>
            <w:tcBorders>
              <w:top w:val="nil"/>
              <w:left w:val="nil"/>
              <w:bottom w:val="single" w:color="auto" w:sz="4" w:space="0"/>
              <w:right w:val="single" w:color="auto" w:sz="4" w:space="0"/>
            </w:tcBorders>
            <w:noWrap/>
            <w:vAlign w:val="center"/>
          </w:tcPr>
          <w:p w14:paraId="672EDE8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对</w:t>
            </w:r>
          </w:p>
        </w:tc>
        <w:tc>
          <w:tcPr>
            <w:tcW w:w="696" w:type="dxa"/>
            <w:tcBorders>
              <w:top w:val="nil"/>
              <w:left w:val="nil"/>
              <w:bottom w:val="single" w:color="auto" w:sz="4" w:space="0"/>
              <w:right w:val="single" w:color="auto" w:sz="4" w:space="0"/>
            </w:tcBorders>
            <w:noWrap/>
            <w:vAlign w:val="center"/>
          </w:tcPr>
          <w:p w14:paraId="1228CE7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0D58BB59">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2067172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813" w:type="dxa"/>
            <w:tcBorders>
              <w:top w:val="nil"/>
              <w:left w:val="nil"/>
              <w:bottom w:val="single" w:color="auto" w:sz="4" w:space="0"/>
              <w:right w:val="single" w:color="auto" w:sz="4" w:space="0"/>
            </w:tcBorders>
            <w:noWrap/>
            <w:vAlign w:val="center"/>
          </w:tcPr>
          <w:p w14:paraId="0E869DA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交换机</w:t>
            </w:r>
          </w:p>
        </w:tc>
        <w:tc>
          <w:tcPr>
            <w:tcW w:w="6576" w:type="dxa"/>
            <w:tcBorders>
              <w:top w:val="nil"/>
              <w:left w:val="nil"/>
              <w:bottom w:val="single" w:color="auto" w:sz="4" w:space="0"/>
              <w:right w:val="single" w:color="auto" w:sz="4" w:space="0"/>
            </w:tcBorders>
            <w:noWrap w:val="0"/>
            <w:vAlign w:val="top"/>
          </w:tcPr>
          <w:p w14:paraId="3335FBD1">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安装、接线、调试，要求可管理，适应不同路口条件，带网管功能</w:t>
            </w:r>
          </w:p>
        </w:tc>
        <w:tc>
          <w:tcPr>
            <w:tcW w:w="624" w:type="dxa"/>
            <w:tcBorders>
              <w:top w:val="nil"/>
              <w:left w:val="nil"/>
              <w:bottom w:val="single" w:color="auto" w:sz="4" w:space="0"/>
              <w:right w:val="single" w:color="auto" w:sz="4" w:space="0"/>
            </w:tcBorders>
            <w:noWrap/>
            <w:vAlign w:val="center"/>
          </w:tcPr>
          <w:p w14:paraId="3650EA4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696" w:type="dxa"/>
            <w:tcBorders>
              <w:top w:val="nil"/>
              <w:left w:val="nil"/>
              <w:bottom w:val="single" w:color="auto" w:sz="4" w:space="0"/>
              <w:right w:val="single" w:color="auto" w:sz="4" w:space="0"/>
            </w:tcBorders>
            <w:noWrap/>
            <w:vAlign w:val="center"/>
          </w:tcPr>
          <w:p w14:paraId="76300A8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19D328D3">
        <w:tblPrEx>
          <w:tblCellMar>
            <w:top w:w="0" w:type="dxa"/>
            <w:left w:w="108" w:type="dxa"/>
            <w:bottom w:w="0" w:type="dxa"/>
            <w:right w:w="108" w:type="dxa"/>
          </w:tblCellMar>
        </w:tblPrEx>
        <w:trPr>
          <w:trHeight w:val="399" w:hRule="atLeast"/>
        </w:trPr>
        <w:tc>
          <w:tcPr>
            <w:tcW w:w="9166" w:type="dxa"/>
            <w:gridSpan w:val="5"/>
            <w:tcBorders>
              <w:top w:val="single" w:color="auto" w:sz="4" w:space="0"/>
              <w:left w:val="single" w:color="auto" w:sz="4" w:space="0"/>
              <w:bottom w:val="single" w:color="auto" w:sz="4" w:space="0"/>
              <w:right w:val="single" w:color="000000" w:sz="4" w:space="0"/>
            </w:tcBorders>
            <w:noWrap/>
            <w:vAlign w:val="center"/>
          </w:tcPr>
          <w:p w14:paraId="273D0AF9">
            <w:pPr>
              <w:widowControl/>
              <w:adjustRightInd/>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通信供电系统</w:t>
            </w:r>
          </w:p>
        </w:tc>
      </w:tr>
      <w:tr w14:paraId="7D99E383">
        <w:tblPrEx>
          <w:tblCellMar>
            <w:top w:w="0" w:type="dxa"/>
            <w:left w:w="108" w:type="dxa"/>
            <w:bottom w:w="0" w:type="dxa"/>
            <w:right w:w="108" w:type="dxa"/>
          </w:tblCellMar>
        </w:tblPrEx>
        <w:trPr>
          <w:trHeight w:val="399"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5F994D5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813" w:type="dxa"/>
            <w:tcBorders>
              <w:top w:val="single" w:color="auto" w:sz="4" w:space="0"/>
              <w:left w:val="single" w:color="auto" w:sz="4" w:space="0"/>
              <w:bottom w:val="single" w:color="auto" w:sz="4" w:space="0"/>
              <w:right w:val="single" w:color="auto" w:sz="4" w:space="0"/>
            </w:tcBorders>
            <w:noWrap/>
            <w:vAlign w:val="center"/>
          </w:tcPr>
          <w:p w14:paraId="3059E71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 路复合视频光输入卡</w:t>
            </w:r>
          </w:p>
        </w:tc>
        <w:tc>
          <w:tcPr>
            <w:tcW w:w="6576" w:type="dxa"/>
            <w:tcBorders>
              <w:top w:val="single" w:color="auto" w:sz="4" w:space="0"/>
              <w:left w:val="single" w:color="auto" w:sz="4" w:space="0"/>
              <w:bottom w:val="single" w:color="auto" w:sz="4" w:space="0"/>
              <w:right w:val="single" w:color="auto" w:sz="4" w:space="0"/>
            </w:tcBorders>
            <w:noWrap w:val="0"/>
            <w:vAlign w:val="top"/>
          </w:tcPr>
          <w:p w14:paraId="72A91F9C">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接入大队已建中威光交换平台。</w:t>
            </w:r>
          </w:p>
          <w:p w14:paraId="03F21D6F">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1、支持高清 IPC 网络视频、高清 HD-SDI视频、标清模拟 BNC 视频，BNC、VGA、HDMI、HD-SDI、DVI、RJ45 图像接口；</w:t>
            </w:r>
          </w:p>
          <w:p w14:paraId="64D350F3">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2、接入板卡容量：各类板卡单板接入能力达到 16 路高清/标清接入能力；</w:t>
            </w:r>
          </w:p>
          <w:p w14:paraId="31D74798">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3、接入模式多样：点对点光纤接入、级联光纤接入、自愈环网光纤接入、IP 网络接入；</w:t>
            </w:r>
          </w:p>
          <w:p w14:paraId="11DCB8D5">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4、业务接口：高清视频、标清视频、数字视频、模拟视频、音频、数据、以太网、电话、E1、报警接口等；</w:t>
            </w:r>
          </w:p>
          <w:p w14:paraId="56FC402A">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5、单机交换能力达 800G，支持标清、高清图像信号的同时交换输出，支持高清 HD-SDI 信号、模拟视频信号、数字非压缩标清信号的无损伤、无延时交换输出，支持超高分辨率(3840*2400)信号的交换输出处理，支持数字视频流的交换输出；</w:t>
            </w:r>
          </w:p>
          <w:p w14:paraId="45EB08B6">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6、支持无缝实时切换功能，单机框最大支持 72 个显示单元拼接，支持多组 M*N 任意屏幕组合功能，支持 1、2、4、9、16 多画面分割显示功能；</w:t>
            </w:r>
          </w:p>
          <w:p w14:paraId="1A8E38D2">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7、支持H.264/RTSP/RTP 标准网络视频的解码处理，支持从 QCIF～HD1080P 的数字视频的自适应解码，单机框具备 256 路 D1(4CIF)解码、64 路 1080P 高清视频编码解码能力；</w:t>
            </w:r>
          </w:p>
          <w:p w14:paraId="1A7D4E64">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8、支持主流厂家的网络摄像机的解码接入能力。</w:t>
            </w:r>
          </w:p>
        </w:tc>
        <w:tc>
          <w:tcPr>
            <w:tcW w:w="624" w:type="dxa"/>
            <w:tcBorders>
              <w:top w:val="single" w:color="auto" w:sz="4" w:space="0"/>
              <w:left w:val="single" w:color="auto" w:sz="4" w:space="0"/>
              <w:bottom w:val="single" w:color="auto" w:sz="4" w:space="0"/>
              <w:right w:val="single" w:color="auto" w:sz="4" w:space="0"/>
            </w:tcBorders>
            <w:noWrap/>
            <w:vAlign w:val="center"/>
          </w:tcPr>
          <w:p w14:paraId="5D19B43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696" w:type="dxa"/>
            <w:tcBorders>
              <w:top w:val="single" w:color="auto" w:sz="4" w:space="0"/>
              <w:left w:val="single" w:color="auto" w:sz="4" w:space="0"/>
              <w:bottom w:val="single" w:color="auto" w:sz="4" w:space="0"/>
              <w:right w:val="single" w:color="auto" w:sz="4" w:space="0"/>
            </w:tcBorders>
            <w:noWrap/>
            <w:vAlign w:val="center"/>
          </w:tcPr>
          <w:p w14:paraId="6629DAE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r>
      <w:tr w14:paraId="3AD14F7C">
        <w:tblPrEx>
          <w:tblCellMar>
            <w:top w:w="0" w:type="dxa"/>
            <w:left w:w="108" w:type="dxa"/>
            <w:bottom w:w="0" w:type="dxa"/>
            <w:right w:w="108" w:type="dxa"/>
          </w:tblCellMar>
        </w:tblPrEx>
        <w:trPr>
          <w:trHeight w:val="399"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7A5EAA7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813" w:type="dxa"/>
            <w:tcBorders>
              <w:top w:val="single" w:color="auto" w:sz="4" w:space="0"/>
              <w:left w:val="nil"/>
              <w:bottom w:val="single" w:color="auto" w:sz="4" w:space="0"/>
              <w:right w:val="single" w:color="auto" w:sz="4" w:space="0"/>
            </w:tcBorders>
            <w:noWrap/>
            <w:vAlign w:val="center"/>
          </w:tcPr>
          <w:p w14:paraId="1A9CB4F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云存储数据存储节点</w:t>
            </w:r>
          </w:p>
        </w:tc>
        <w:tc>
          <w:tcPr>
            <w:tcW w:w="6576" w:type="dxa"/>
            <w:tcBorders>
              <w:top w:val="single" w:color="auto" w:sz="4" w:space="0"/>
              <w:left w:val="single" w:color="auto" w:sz="4" w:space="0"/>
              <w:bottom w:val="single" w:color="auto" w:sz="4" w:space="0"/>
              <w:right w:val="single" w:color="auto" w:sz="4" w:space="0"/>
            </w:tcBorders>
            <w:noWrap w:val="0"/>
            <w:vAlign w:val="top"/>
          </w:tcPr>
          <w:p w14:paraId="6820010A">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新建的云存储系统可在</w:t>
            </w:r>
            <w:r>
              <w:rPr>
                <w:rFonts w:hint="eastAsia" w:ascii="宋体" w:hAnsi="宋体" w:cs="宋体"/>
                <w:color w:val="auto"/>
                <w:kern w:val="0"/>
                <w:sz w:val="24"/>
                <w:highlight w:val="none"/>
                <w:lang w:val="en-US" w:eastAsia="zh-CN"/>
              </w:rPr>
              <w:t>交通主管部门</w:t>
            </w:r>
            <w:r>
              <w:rPr>
                <w:rFonts w:hint="eastAsia" w:ascii="宋体" w:hAnsi="宋体" w:cs="宋体"/>
                <w:color w:val="auto"/>
                <w:kern w:val="0"/>
                <w:sz w:val="24"/>
                <w:highlight w:val="none"/>
              </w:rPr>
              <w:t>原有的云存储系统上进行扩容，实现无缝对接；</w:t>
            </w:r>
          </w:p>
          <w:p w14:paraId="3F8A2423">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支持基于云原生架构和容器化技术，支持网络、CPU、存储空间、SSD等多种资源虚拟化、进行统一管理和调度；</w:t>
            </w:r>
          </w:p>
          <w:p w14:paraId="577214F6">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支持基于 CPU、GPU、容器业务类型、超融合节点类型等多种复杂调度策略。</w:t>
            </w:r>
          </w:p>
          <w:p w14:paraId="375790D8">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基于容器化进行智能化负载均衡管理。</w:t>
            </w:r>
          </w:p>
          <w:p w14:paraId="6BD3F21F">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支持数据库、数据存储、智能分析、平台应用等多种业务模型进行统一调度和管理。</w:t>
            </w:r>
          </w:p>
          <w:p w14:paraId="7CEC8B2D">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支持单台服务器构建超融合云存储系统，支持单台扩展为多台超融合集群系统；</w:t>
            </w:r>
          </w:p>
          <w:p w14:paraId="0CA97C46">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用主流的对象存储架构、先进的容错算法、智能化的资源调度技术，提供了基于分布式文件系统的数据存储能力，具备大容量、高可靠、高性能、使用简单、自动化管理等特点，保障数据的电信级安全可靠，支持集群横向扩展，满足海量大数据、云计算业务的庞大需求；</w:t>
            </w:r>
          </w:p>
          <w:p w14:paraId="0F1DF94B">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采用 ErasureCode 冗余技术，数据分片后存储至多台节点中，支持设备级、硬盘级容错；</w:t>
            </w:r>
          </w:p>
          <w:p w14:paraId="76C14347">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支持 N+M 多种容错模式（N+1，N+2，N+3，N+4），磁盘利用率为 N/（N+M）；</w:t>
            </w:r>
          </w:p>
          <w:p w14:paraId="2838F246">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支持录像业务级别按空间、时间的循环覆盖；</w:t>
            </w:r>
          </w:p>
          <w:p w14:paraId="26D37784">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支持融合存储，支持视频、图片、文档等数据混合存储；</w:t>
            </w:r>
          </w:p>
          <w:p w14:paraId="5F43A608">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支持视频录像能以文件方式被第三方应用从云存储中直接读取；</w:t>
            </w:r>
          </w:p>
          <w:p w14:paraId="5891F0ED">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支持存储节点间基于性能和容量的负载均衡，节点内部基于硬盘性能和容量的负载均衡；</w:t>
            </w:r>
          </w:p>
          <w:p w14:paraId="3C10E35C">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 80%磁盘利用率下，最大容忍四台存储节点同时故障，历史录像不丢失。</w:t>
            </w:r>
          </w:p>
          <w:p w14:paraId="5D977C08">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外形规格：4U 机架；</w:t>
            </w:r>
          </w:p>
          <w:p w14:paraId="2D40BA03">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主处理器：高性能六核处理器；</w:t>
            </w:r>
          </w:p>
          <w:p w14:paraId="2DB81A7A">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操作系统：嵌入式 LINUX 系统；</w:t>
            </w:r>
          </w:p>
          <w:p w14:paraId="3DA19ED7">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高速缓存：16GBDDR4 主频 2666MHz；</w:t>
            </w:r>
          </w:p>
          <w:p w14:paraId="072AA8D2">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电源冗余：1+1 冗余电源；</w:t>
            </w:r>
          </w:p>
          <w:p w14:paraId="037E3C2F">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网络接口：6个千兆数据电口；</w:t>
            </w:r>
          </w:p>
          <w:p w14:paraId="270C88DD">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硬盘个数：标配内置 1 块 2.5 英寸 SATA240G 企业级固态硬盘最大支持36 个 2.5"或 3.5"的 SATA 硬盘或者 SAS 硬盘；</w:t>
            </w:r>
          </w:p>
          <w:p w14:paraId="70DDC6CC">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供电方式：800W；100V~240V，50/60Hz，支持热插拔；</w:t>
            </w:r>
          </w:p>
          <w:p w14:paraId="48D410C5">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功耗：600W（含硬盘）</w:t>
            </w:r>
          </w:p>
        </w:tc>
        <w:tc>
          <w:tcPr>
            <w:tcW w:w="624" w:type="dxa"/>
            <w:tcBorders>
              <w:top w:val="single" w:color="auto" w:sz="4" w:space="0"/>
              <w:left w:val="single" w:color="auto" w:sz="4" w:space="0"/>
              <w:bottom w:val="single" w:color="auto" w:sz="4" w:space="0"/>
              <w:right w:val="single" w:color="auto" w:sz="4" w:space="0"/>
            </w:tcBorders>
            <w:noWrap/>
            <w:vAlign w:val="center"/>
          </w:tcPr>
          <w:p w14:paraId="4E2494B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696" w:type="dxa"/>
            <w:tcBorders>
              <w:top w:val="single" w:color="auto" w:sz="4" w:space="0"/>
              <w:left w:val="single" w:color="auto" w:sz="4" w:space="0"/>
              <w:bottom w:val="single" w:color="auto" w:sz="4" w:space="0"/>
              <w:right w:val="single" w:color="auto" w:sz="4" w:space="0"/>
            </w:tcBorders>
            <w:noWrap/>
            <w:vAlign w:val="center"/>
          </w:tcPr>
          <w:p w14:paraId="610A155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r>
      <w:tr w14:paraId="1D1D33DE">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6FB1AA8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813" w:type="dxa"/>
            <w:tcBorders>
              <w:top w:val="nil"/>
              <w:left w:val="nil"/>
              <w:bottom w:val="single" w:color="auto" w:sz="4" w:space="0"/>
              <w:right w:val="single" w:color="auto" w:sz="4" w:space="0"/>
            </w:tcBorders>
            <w:noWrap/>
            <w:vAlign w:val="center"/>
          </w:tcPr>
          <w:p w14:paraId="7C2E675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企业级存储硬盘</w:t>
            </w:r>
          </w:p>
        </w:tc>
        <w:tc>
          <w:tcPr>
            <w:tcW w:w="6576" w:type="dxa"/>
            <w:tcBorders>
              <w:top w:val="single" w:color="auto" w:sz="4" w:space="0"/>
              <w:left w:val="nil"/>
              <w:bottom w:val="single" w:color="auto" w:sz="4" w:space="0"/>
              <w:right w:val="single" w:color="auto" w:sz="4" w:space="0"/>
            </w:tcBorders>
            <w:noWrap/>
            <w:vAlign w:val="center"/>
          </w:tcPr>
          <w:p w14:paraId="43772C0D">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6TB 7200 转 128M SATA 6GB/s 企业级硬盘</w:t>
            </w:r>
          </w:p>
        </w:tc>
        <w:tc>
          <w:tcPr>
            <w:tcW w:w="624" w:type="dxa"/>
            <w:tcBorders>
              <w:top w:val="single" w:color="auto" w:sz="4" w:space="0"/>
              <w:left w:val="nil"/>
              <w:bottom w:val="single" w:color="auto" w:sz="4" w:space="0"/>
              <w:right w:val="single" w:color="auto" w:sz="4" w:space="0"/>
            </w:tcBorders>
            <w:noWrap/>
            <w:vAlign w:val="center"/>
          </w:tcPr>
          <w:p w14:paraId="11BE623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696" w:type="dxa"/>
            <w:tcBorders>
              <w:top w:val="single" w:color="auto" w:sz="4" w:space="0"/>
              <w:left w:val="nil"/>
              <w:bottom w:val="single" w:color="auto" w:sz="4" w:space="0"/>
              <w:right w:val="single" w:color="auto" w:sz="4" w:space="0"/>
            </w:tcBorders>
            <w:noWrap/>
            <w:vAlign w:val="center"/>
          </w:tcPr>
          <w:p w14:paraId="5B73803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36</w:t>
            </w:r>
          </w:p>
        </w:tc>
      </w:tr>
      <w:tr w14:paraId="0C80F211">
        <w:tblPrEx>
          <w:tblCellMar>
            <w:top w:w="0" w:type="dxa"/>
            <w:left w:w="108" w:type="dxa"/>
            <w:bottom w:w="0" w:type="dxa"/>
            <w:right w:w="108" w:type="dxa"/>
          </w:tblCellMar>
        </w:tblPrEx>
        <w:trPr>
          <w:trHeight w:val="399"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7B5B981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813" w:type="dxa"/>
            <w:tcBorders>
              <w:top w:val="single" w:color="auto" w:sz="4" w:space="0"/>
              <w:left w:val="single" w:color="auto" w:sz="4" w:space="0"/>
              <w:bottom w:val="single" w:color="auto" w:sz="4" w:space="0"/>
              <w:right w:val="single" w:color="auto" w:sz="4" w:space="0"/>
            </w:tcBorders>
            <w:noWrap/>
            <w:vAlign w:val="center"/>
          </w:tcPr>
          <w:p w14:paraId="6069167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SFP+万兆模块</w:t>
            </w:r>
          </w:p>
        </w:tc>
        <w:tc>
          <w:tcPr>
            <w:tcW w:w="6576" w:type="dxa"/>
            <w:tcBorders>
              <w:top w:val="single" w:color="auto" w:sz="4" w:space="0"/>
              <w:left w:val="single" w:color="auto" w:sz="4" w:space="0"/>
              <w:bottom w:val="single" w:color="auto" w:sz="4" w:space="0"/>
              <w:right w:val="single" w:color="auto" w:sz="4" w:space="0"/>
            </w:tcBorders>
            <w:noWrap/>
            <w:vAlign w:val="top"/>
          </w:tcPr>
          <w:p w14:paraId="7BCBFD1E">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接口封装：SFP*：速率：10GE：中心波长（n・）: 850 标准：10GBASE-SR：接头类型：LC：多模光纤 （OM3） : 0. 3ka：发送光功率（dBn） : -7. 3~ -1.0：支持在线诊断功能</w:t>
            </w:r>
          </w:p>
        </w:tc>
        <w:tc>
          <w:tcPr>
            <w:tcW w:w="624" w:type="dxa"/>
            <w:tcBorders>
              <w:top w:val="single" w:color="auto" w:sz="4" w:space="0"/>
              <w:left w:val="single" w:color="auto" w:sz="4" w:space="0"/>
              <w:bottom w:val="single" w:color="auto" w:sz="4" w:space="0"/>
              <w:right w:val="single" w:color="auto" w:sz="4" w:space="0"/>
            </w:tcBorders>
            <w:noWrap/>
            <w:vAlign w:val="center"/>
          </w:tcPr>
          <w:p w14:paraId="43346CF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696" w:type="dxa"/>
            <w:tcBorders>
              <w:top w:val="single" w:color="auto" w:sz="4" w:space="0"/>
              <w:left w:val="single" w:color="auto" w:sz="4" w:space="0"/>
              <w:bottom w:val="single" w:color="auto" w:sz="4" w:space="0"/>
              <w:right w:val="single" w:color="auto" w:sz="4" w:space="0"/>
            </w:tcBorders>
            <w:noWrap/>
            <w:vAlign w:val="center"/>
          </w:tcPr>
          <w:p w14:paraId="0F93299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r>
      <w:tr w14:paraId="71C46FDC">
        <w:tblPrEx>
          <w:tblCellMar>
            <w:top w:w="0" w:type="dxa"/>
            <w:left w:w="108" w:type="dxa"/>
            <w:bottom w:w="0" w:type="dxa"/>
            <w:right w:w="108" w:type="dxa"/>
          </w:tblCellMar>
        </w:tblPrEx>
        <w:trPr>
          <w:trHeight w:val="399" w:hRule="atLeast"/>
        </w:trPr>
        <w:tc>
          <w:tcPr>
            <w:tcW w:w="457" w:type="dxa"/>
            <w:tcBorders>
              <w:top w:val="single" w:color="auto" w:sz="4" w:space="0"/>
              <w:left w:val="single" w:color="auto" w:sz="4" w:space="0"/>
              <w:bottom w:val="single" w:color="auto" w:sz="4" w:space="0"/>
              <w:right w:val="single" w:color="auto" w:sz="4" w:space="0"/>
            </w:tcBorders>
            <w:noWrap/>
            <w:vAlign w:val="center"/>
          </w:tcPr>
          <w:p w14:paraId="2936191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813" w:type="dxa"/>
            <w:tcBorders>
              <w:top w:val="single" w:color="auto" w:sz="4" w:space="0"/>
              <w:left w:val="nil"/>
              <w:bottom w:val="single" w:color="auto" w:sz="4" w:space="0"/>
              <w:right w:val="single" w:color="auto" w:sz="4" w:space="0"/>
            </w:tcBorders>
            <w:noWrap/>
            <w:vAlign w:val="center"/>
          </w:tcPr>
          <w:p w14:paraId="56A65E6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尾纤</w:t>
            </w:r>
          </w:p>
        </w:tc>
        <w:tc>
          <w:tcPr>
            <w:tcW w:w="6576" w:type="dxa"/>
            <w:tcBorders>
              <w:top w:val="single" w:color="auto" w:sz="4" w:space="0"/>
              <w:left w:val="nil"/>
              <w:bottom w:val="single" w:color="auto" w:sz="4" w:space="0"/>
              <w:right w:val="single" w:color="auto" w:sz="4" w:space="0"/>
            </w:tcBorders>
            <w:noWrap/>
            <w:vAlign w:val="top"/>
          </w:tcPr>
          <w:p w14:paraId="76D12B47">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多模万兆连接尾纤 LC-LC 接口 双纤 5 米-10 米不等</w:t>
            </w:r>
          </w:p>
        </w:tc>
        <w:tc>
          <w:tcPr>
            <w:tcW w:w="624" w:type="dxa"/>
            <w:tcBorders>
              <w:top w:val="single" w:color="auto" w:sz="4" w:space="0"/>
              <w:left w:val="nil"/>
              <w:bottom w:val="single" w:color="auto" w:sz="4" w:space="0"/>
              <w:right w:val="single" w:color="auto" w:sz="4" w:space="0"/>
            </w:tcBorders>
            <w:noWrap/>
            <w:vAlign w:val="center"/>
          </w:tcPr>
          <w:p w14:paraId="03C105A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对</w:t>
            </w:r>
          </w:p>
        </w:tc>
        <w:tc>
          <w:tcPr>
            <w:tcW w:w="696" w:type="dxa"/>
            <w:tcBorders>
              <w:top w:val="single" w:color="auto" w:sz="4" w:space="0"/>
              <w:left w:val="nil"/>
              <w:bottom w:val="single" w:color="auto" w:sz="4" w:space="0"/>
              <w:right w:val="single" w:color="auto" w:sz="4" w:space="0"/>
            </w:tcBorders>
            <w:noWrap/>
            <w:vAlign w:val="center"/>
          </w:tcPr>
          <w:p w14:paraId="5D8D82F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r>
      <w:tr w14:paraId="75B17AF0">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142EBED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813" w:type="dxa"/>
            <w:tcBorders>
              <w:top w:val="nil"/>
              <w:left w:val="nil"/>
              <w:bottom w:val="single" w:color="auto" w:sz="4" w:space="0"/>
              <w:right w:val="single" w:color="auto" w:sz="4" w:space="0"/>
            </w:tcBorders>
            <w:noWrap/>
            <w:vAlign w:val="center"/>
          </w:tcPr>
          <w:p w14:paraId="19B9429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48 口万兆交换机</w:t>
            </w:r>
          </w:p>
        </w:tc>
        <w:tc>
          <w:tcPr>
            <w:tcW w:w="6576" w:type="dxa"/>
            <w:tcBorders>
              <w:top w:val="nil"/>
              <w:left w:val="nil"/>
              <w:bottom w:val="single" w:color="auto" w:sz="4" w:space="0"/>
              <w:right w:val="single" w:color="auto" w:sz="4" w:space="0"/>
            </w:tcBorders>
            <w:noWrap w:val="0"/>
            <w:vAlign w:val="top"/>
          </w:tcPr>
          <w:p w14:paraId="120C109B">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传输速率 10/100/1000Mbps</w:t>
            </w:r>
          </w:p>
          <w:p w14:paraId="4BDB17CD">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交换方式存储-转发</w:t>
            </w:r>
          </w:p>
          <w:p w14:paraId="74CB51D5">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背板带宽 256Gbps</w:t>
            </w:r>
          </w:p>
          <w:p w14:paraId="68C0FC2D">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包转发率 132Mpps</w:t>
            </w:r>
          </w:p>
          <w:p w14:paraId="652555AE">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MAC 地址表 32K</w:t>
            </w:r>
          </w:p>
          <w:p w14:paraId="27AE0398">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端口结构非模块化</w:t>
            </w:r>
          </w:p>
          <w:p w14:paraId="75B5E77F">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端口数量 48 个</w:t>
            </w:r>
          </w:p>
          <w:p w14:paraId="5A3449F7">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端口描述 48 个 10/100/1000Base-T 端口</w:t>
            </w:r>
          </w:p>
          <w:p w14:paraId="688D7872">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扩展模块 2 个扩展插槽</w:t>
            </w:r>
          </w:p>
          <w:p w14:paraId="3D5C24E4">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电源电压 AC 100-240V，50-60Hz</w:t>
            </w:r>
          </w:p>
          <w:p w14:paraId="2CA885EC">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DC 48--60V</w:t>
            </w:r>
          </w:p>
          <w:p w14:paraId="5DFA6E12">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产品尺寸 442×420×43.6mm</w:t>
            </w:r>
          </w:p>
          <w:p w14:paraId="6E1A0D0B">
            <w:pPr>
              <w:widowControl/>
              <w:adjustRightInd/>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环境标准工作温度：0-50℃</w:t>
            </w:r>
          </w:p>
          <w:p w14:paraId="5072FF40">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相对湿度：10%-90%</w:t>
            </w:r>
          </w:p>
        </w:tc>
        <w:tc>
          <w:tcPr>
            <w:tcW w:w="624" w:type="dxa"/>
            <w:tcBorders>
              <w:top w:val="nil"/>
              <w:left w:val="nil"/>
              <w:bottom w:val="single" w:color="auto" w:sz="4" w:space="0"/>
              <w:right w:val="single" w:color="auto" w:sz="4" w:space="0"/>
            </w:tcBorders>
            <w:noWrap/>
            <w:vAlign w:val="center"/>
          </w:tcPr>
          <w:p w14:paraId="58E518B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696" w:type="dxa"/>
            <w:tcBorders>
              <w:top w:val="nil"/>
              <w:left w:val="nil"/>
              <w:bottom w:val="single" w:color="auto" w:sz="4" w:space="0"/>
              <w:right w:val="single" w:color="auto" w:sz="4" w:space="0"/>
            </w:tcBorders>
            <w:noWrap/>
            <w:vAlign w:val="center"/>
          </w:tcPr>
          <w:p w14:paraId="167957C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r>
      <w:tr w14:paraId="266561E2">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38ACDF5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813" w:type="dxa"/>
            <w:tcBorders>
              <w:top w:val="nil"/>
              <w:left w:val="nil"/>
              <w:bottom w:val="single" w:color="auto" w:sz="4" w:space="0"/>
              <w:right w:val="single" w:color="auto" w:sz="4" w:space="0"/>
            </w:tcBorders>
            <w:noWrap/>
            <w:vAlign w:val="center"/>
          </w:tcPr>
          <w:p w14:paraId="17956CE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AC 电源模块</w:t>
            </w:r>
          </w:p>
        </w:tc>
        <w:tc>
          <w:tcPr>
            <w:tcW w:w="6576" w:type="dxa"/>
            <w:tcBorders>
              <w:top w:val="nil"/>
              <w:left w:val="nil"/>
              <w:bottom w:val="single" w:color="auto" w:sz="4" w:space="0"/>
              <w:right w:val="single" w:color="auto" w:sz="4" w:space="0"/>
            </w:tcBorders>
            <w:noWrap/>
            <w:vAlign w:val="center"/>
          </w:tcPr>
          <w:p w14:paraId="4B729AD8">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直流电源模块组件</w:t>
            </w:r>
          </w:p>
        </w:tc>
        <w:tc>
          <w:tcPr>
            <w:tcW w:w="624" w:type="dxa"/>
            <w:tcBorders>
              <w:top w:val="nil"/>
              <w:left w:val="nil"/>
              <w:bottom w:val="single" w:color="auto" w:sz="4" w:space="0"/>
              <w:right w:val="single" w:color="auto" w:sz="4" w:space="0"/>
            </w:tcBorders>
            <w:noWrap/>
            <w:vAlign w:val="center"/>
          </w:tcPr>
          <w:p w14:paraId="6B7BEB6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696" w:type="dxa"/>
            <w:tcBorders>
              <w:top w:val="nil"/>
              <w:left w:val="nil"/>
              <w:bottom w:val="single" w:color="auto" w:sz="4" w:space="0"/>
              <w:right w:val="single" w:color="auto" w:sz="4" w:space="0"/>
            </w:tcBorders>
            <w:noWrap/>
            <w:vAlign w:val="center"/>
          </w:tcPr>
          <w:p w14:paraId="75944DE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r>
      <w:tr w14:paraId="7519733B">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0B9E4C6D">
            <w:pPr>
              <w:widowControl/>
              <w:adjustRightInd/>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813" w:type="dxa"/>
            <w:tcBorders>
              <w:top w:val="nil"/>
              <w:left w:val="nil"/>
              <w:bottom w:val="single" w:color="auto" w:sz="4" w:space="0"/>
              <w:right w:val="single" w:color="auto" w:sz="4" w:space="0"/>
            </w:tcBorders>
            <w:noWrap w:val="0"/>
            <w:vAlign w:val="center"/>
          </w:tcPr>
          <w:p w14:paraId="1273464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新建电警网络接入</w:t>
            </w:r>
          </w:p>
        </w:tc>
        <w:tc>
          <w:tcPr>
            <w:tcW w:w="6576" w:type="dxa"/>
            <w:tcBorders>
              <w:top w:val="nil"/>
              <w:left w:val="nil"/>
              <w:bottom w:val="single" w:color="auto" w:sz="4" w:space="0"/>
              <w:right w:val="single" w:color="auto" w:sz="4" w:space="0"/>
            </w:tcBorders>
            <w:noWrap/>
            <w:vAlign w:val="center"/>
          </w:tcPr>
          <w:p w14:paraId="2346F1A7">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一次性买断 10 年光纤使用权</w:t>
            </w:r>
          </w:p>
        </w:tc>
        <w:tc>
          <w:tcPr>
            <w:tcW w:w="624" w:type="dxa"/>
            <w:tcBorders>
              <w:top w:val="nil"/>
              <w:left w:val="nil"/>
              <w:bottom w:val="single" w:color="auto" w:sz="4" w:space="0"/>
              <w:right w:val="single" w:color="auto" w:sz="4" w:space="0"/>
            </w:tcBorders>
            <w:noWrap/>
            <w:vAlign w:val="center"/>
          </w:tcPr>
          <w:p w14:paraId="0A88A66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个</w:t>
            </w:r>
          </w:p>
        </w:tc>
        <w:tc>
          <w:tcPr>
            <w:tcW w:w="696" w:type="dxa"/>
            <w:tcBorders>
              <w:top w:val="nil"/>
              <w:left w:val="nil"/>
              <w:bottom w:val="single" w:color="auto" w:sz="4" w:space="0"/>
              <w:right w:val="single" w:color="auto" w:sz="4" w:space="0"/>
            </w:tcBorders>
            <w:noWrap/>
            <w:vAlign w:val="center"/>
          </w:tcPr>
          <w:p w14:paraId="26FA1CC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r>
      <w:tr w14:paraId="0261788A">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6F69FB0C">
            <w:pPr>
              <w:widowControl/>
              <w:adjustRightInd/>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813" w:type="dxa"/>
            <w:tcBorders>
              <w:top w:val="nil"/>
              <w:left w:val="nil"/>
              <w:bottom w:val="single" w:color="auto" w:sz="4" w:space="0"/>
              <w:right w:val="single" w:color="auto" w:sz="4" w:space="0"/>
            </w:tcBorders>
            <w:noWrap/>
            <w:vAlign w:val="center"/>
          </w:tcPr>
          <w:p w14:paraId="5E51EB0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监控网络接入</w:t>
            </w:r>
          </w:p>
        </w:tc>
        <w:tc>
          <w:tcPr>
            <w:tcW w:w="6576" w:type="dxa"/>
            <w:tcBorders>
              <w:top w:val="nil"/>
              <w:left w:val="nil"/>
              <w:bottom w:val="single" w:color="auto" w:sz="4" w:space="0"/>
              <w:right w:val="single" w:color="auto" w:sz="4" w:space="0"/>
            </w:tcBorders>
            <w:noWrap/>
            <w:vAlign w:val="center"/>
          </w:tcPr>
          <w:p w14:paraId="5BC6DC7E">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一次性买断 10 年光纤使用权</w:t>
            </w:r>
          </w:p>
        </w:tc>
        <w:tc>
          <w:tcPr>
            <w:tcW w:w="624" w:type="dxa"/>
            <w:tcBorders>
              <w:top w:val="nil"/>
              <w:left w:val="nil"/>
              <w:bottom w:val="single" w:color="auto" w:sz="4" w:space="0"/>
              <w:right w:val="single" w:color="auto" w:sz="4" w:space="0"/>
            </w:tcBorders>
            <w:noWrap/>
            <w:vAlign w:val="center"/>
          </w:tcPr>
          <w:p w14:paraId="1C5A3DA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个</w:t>
            </w:r>
          </w:p>
        </w:tc>
        <w:tc>
          <w:tcPr>
            <w:tcW w:w="696" w:type="dxa"/>
            <w:tcBorders>
              <w:top w:val="nil"/>
              <w:left w:val="nil"/>
              <w:bottom w:val="single" w:color="auto" w:sz="4" w:space="0"/>
              <w:right w:val="single" w:color="auto" w:sz="4" w:space="0"/>
            </w:tcBorders>
            <w:noWrap/>
            <w:vAlign w:val="center"/>
          </w:tcPr>
          <w:p w14:paraId="5F9C811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r>
      <w:tr w14:paraId="7D1F8E54">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2DED2121">
            <w:pPr>
              <w:widowControl/>
              <w:adjustRightInd/>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0</w:t>
            </w:r>
          </w:p>
        </w:tc>
        <w:tc>
          <w:tcPr>
            <w:tcW w:w="813" w:type="dxa"/>
            <w:tcBorders>
              <w:top w:val="nil"/>
              <w:left w:val="nil"/>
              <w:bottom w:val="single" w:color="auto" w:sz="4" w:space="0"/>
              <w:right w:val="single" w:color="auto" w:sz="4" w:space="0"/>
            </w:tcBorders>
            <w:noWrap/>
            <w:vAlign w:val="center"/>
          </w:tcPr>
          <w:p w14:paraId="6267908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 口网络交换机</w:t>
            </w:r>
          </w:p>
        </w:tc>
        <w:tc>
          <w:tcPr>
            <w:tcW w:w="6576" w:type="dxa"/>
            <w:tcBorders>
              <w:top w:val="nil"/>
              <w:left w:val="nil"/>
              <w:bottom w:val="single" w:color="auto" w:sz="4" w:space="0"/>
              <w:right w:val="single" w:color="auto" w:sz="4" w:space="0"/>
            </w:tcBorders>
            <w:noWrap/>
            <w:vAlign w:val="center"/>
          </w:tcPr>
          <w:p w14:paraId="72B840DF">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上行 1000M,下行 100M，安装、接线、调试</w:t>
            </w:r>
          </w:p>
        </w:tc>
        <w:tc>
          <w:tcPr>
            <w:tcW w:w="624" w:type="dxa"/>
            <w:tcBorders>
              <w:top w:val="nil"/>
              <w:left w:val="nil"/>
              <w:bottom w:val="single" w:color="auto" w:sz="4" w:space="0"/>
              <w:right w:val="single" w:color="auto" w:sz="4" w:space="0"/>
            </w:tcBorders>
            <w:noWrap/>
            <w:vAlign w:val="center"/>
          </w:tcPr>
          <w:p w14:paraId="6F49374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696" w:type="dxa"/>
            <w:tcBorders>
              <w:top w:val="nil"/>
              <w:left w:val="nil"/>
              <w:bottom w:val="single" w:color="auto" w:sz="4" w:space="0"/>
              <w:right w:val="single" w:color="auto" w:sz="4" w:space="0"/>
            </w:tcBorders>
            <w:noWrap/>
            <w:vAlign w:val="center"/>
          </w:tcPr>
          <w:p w14:paraId="6CE67F5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r>
      <w:tr w14:paraId="6CCF2403">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44E4812F">
            <w:pPr>
              <w:widowControl/>
              <w:adjustRightInd/>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1</w:t>
            </w:r>
          </w:p>
        </w:tc>
        <w:tc>
          <w:tcPr>
            <w:tcW w:w="813" w:type="dxa"/>
            <w:tcBorders>
              <w:top w:val="nil"/>
              <w:left w:val="nil"/>
              <w:bottom w:val="single" w:color="auto" w:sz="4" w:space="0"/>
              <w:right w:val="single" w:color="auto" w:sz="4" w:space="0"/>
            </w:tcBorders>
            <w:noWrap/>
            <w:vAlign w:val="center"/>
          </w:tcPr>
          <w:p w14:paraId="46CC8AE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窨井</w:t>
            </w:r>
          </w:p>
        </w:tc>
        <w:tc>
          <w:tcPr>
            <w:tcW w:w="6576" w:type="dxa"/>
            <w:tcBorders>
              <w:top w:val="nil"/>
              <w:left w:val="nil"/>
              <w:bottom w:val="single" w:color="auto" w:sz="4" w:space="0"/>
              <w:right w:val="single" w:color="auto" w:sz="4" w:space="0"/>
            </w:tcBorders>
            <w:noWrap/>
            <w:vAlign w:val="top"/>
          </w:tcPr>
          <w:p w14:paraId="6A7C5811">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贯通管及设备箱旁，500×500</w:t>
            </w:r>
          </w:p>
        </w:tc>
        <w:tc>
          <w:tcPr>
            <w:tcW w:w="624" w:type="dxa"/>
            <w:tcBorders>
              <w:top w:val="nil"/>
              <w:left w:val="nil"/>
              <w:bottom w:val="single" w:color="auto" w:sz="4" w:space="0"/>
              <w:right w:val="single" w:color="auto" w:sz="4" w:space="0"/>
            </w:tcBorders>
            <w:noWrap/>
            <w:vAlign w:val="center"/>
          </w:tcPr>
          <w:p w14:paraId="5A2AFCE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个</w:t>
            </w:r>
          </w:p>
        </w:tc>
        <w:tc>
          <w:tcPr>
            <w:tcW w:w="696" w:type="dxa"/>
            <w:tcBorders>
              <w:top w:val="nil"/>
              <w:left w:val="nil"/>
              <w:bottom w:val="single" w:color="auto" w:sz="4" w:space="0"/>
              <w:right w:val="single" w:color="auto" w:sz="4" w:space="0"/>
            </w:tcBorders>
            <w:noWrap/>
            <w:vAlign w:val="center"/>
          </w:tcPr>
          <w:p w14:paraId="5669B8B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r>
      <w:tr w14:paraId="2CAFCFFC">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709B34D3">
            <w:pPr>
              <w:widowControl/>
              <w:adjustRightInd/>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2</w:t>
            </w:r>
          </w:p>
        </w:tc>
        <w:tc>
          <w:tcPr>
            <w:tcW w:w="813" w:type="dxa"/>
            <w:tcBorders>
              <w:top w:val="nil"/>
              <w:left w:val="nil"/>
              <w:bottom w:val="single" w:color="auto" w:sz="4" w:space="0"/>
              <w:right w:val="single" w:color="auto" w:sz="4" w:space="0"/>
            </w:tcBorders>
            <w:noWrap/>
            <w:vAlign w:val="center"/>
          </w:tcPr>
          <w:p w14:paraId="4780E40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窨井</w:t>
            </w:r>
          </w:p>
        </w:tc>
        <w:tc>
          <w:tcPr>
            <w:tcW w:w="6576" w:type="dxa"/>
            <w:tcBorders>
              <w:top w:val="nil"/>
              <w:left w:val="nil"/>
              <w:bottom w:val="single" w:color="auto" w:sz="4" w:space="0"/>
              <w:right w:val="single" w:color="auto" w:sz="4" w:space="0"/>
            </w:tcBorders>
            <w:noWrap/>
            <w:vAlign w:val="top"/>
          </w:tcPr>
          <w:p w14:paraId="134C9938">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设备杆件旁，350×350</w:t>
            </w:r>
          </w:p>
        </w:tc>
        <w:tc>
          <w:tcPr>
            <w:tcW w:w="624" w:type="dxa"/>
            <w:tcBorders>
              <w:top w:val="nil"/>
              <w:left w:val="nil"/>
              <w:bottom w:val="single" w:color="auto" w:sz="4" w:space="0"/>
              <w:right w:val="single" w:color="auto" w:sz="4" w:space="0"/>
            </w:tcBorders>
            <w:noWrap/>
            <w:vAlign w:val="center"/>
          </w:tcPr>
          <w:p w14:paraId="53EF76D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个</w:t>
            </w:r>
          </w:p>
        </w:tc>
        <w:tc>
          <w:tcPr>
            <w:tcW w:w="696" w:type="dxa"/>
            <w:tcBorders>
              <w:top w:val="nil"/>
              <w:left w:val="nil"/>
              <w:bottom w:val="single" w:color="auto" w:sz="4" w:space="0"/>
              <w:right w:val="single" w:color="auto" w:sz="4" w:space="0"/>
            </w:tcBorders>
            <w:noWrap/>
            <w:vAlign w:val="center"/>
          </w:tcPr>
          <w:p w14:paraId="7B2A486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r>
      <w:tr w14:paraId="63D44915">
        <w:tblPrEx>
          <w:tblCellMar>
            <w:top w:w="0" w:type="dxa"/>
            <w:left w:w="108" w:type="dxa"/>
            <w:bottom w:w="0" w:type="dxa"/>
            <w:right w:w="108" w:type="dxa"/>
          </w:tblCellMar>
        </w:tblPrEx>
        <w:trPr>
          <w:trHeight w:val="399" w:hRule="atLeast"/>
        </w:trPr>
        <w:tc>
          <w:tcPr>
            <w:tcW w:w="457" w:type="dxa"/>
            <w:tcBorders>
              <w:top w:val="nil"/>
              <w:left w:val="single" w:color="auto" w:sz="4" w:space="0"/>
              <w:bottom w:val="single" w:color="auto" w:sz="4" w:space="0"/>
              <w:right w:val="single" w:color="auto" w:sz="4" w:space="0"/>
            </w:tcBorders>
            <w:noWrap/>
            <w:vAlign w:val="center"/>
          </w:tcPr>
          <w:p w14:paraId="3F2EC26F">
            <w:pPr>
              <w:widowControl/>
              <w:adjustRightInd/>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3</w:t>
            </w:r>
          </w:p>
        </w:tc>
        <w:tc>
          <w:tcPr>
            <w:tcW w:w="813" w:type="dxa"/>
            <w:tcBorders>
              <w:top w:val="nil"/>
              <w:left w:val="nil"/>
              <w:bottom w:val="single" w:color="auto" w:sz="4" w:space="0"/>
              <w:right w:val="single" w:color="auto" w:sz="4" w:space="0"/>
            </w:tcBorders>
            <w:noWrap w:val="0"/>
            <w:vAlign w:val="center"/>
          </w:tcPr>
          <w:p w14:paraId="598FA84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中心机房机柜租赁费用</w:t>
            </w:r>
          </w:p>
        </w:tc>
        <w:tc>
          <w:tcPr>
            <w:tcW w:w="6576" w:type="dxa"/>
            <w:tcBorders>
              <w:top w:val="nil"/>
              <w:left w:val="nil"/>
              <w:bottom w:val="single" w:color="auto" w:sz="4" w:space="0"/>
              <w:right w:val="single" w:color="auto" w:sz="4" w:space="0"/>
            </w:tcBorders>
            <w:noWrap/>
            <w:vAlign w:val="center"/>
          </w:tcPr>
          <w:p w14:paraId="5DB26211">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机房机柜租赁费，</w:t>
            </w:r>
            <w:r>
              <w:rPr>
                <w:rFonts w:hint="eastAsia" w:ascii="宋体" w:hAnsi="宋体" w:cs="宋体"/>
                <w:color w:val="auto"/>
                <w:kern w:val="0"/>
                <w:sz w:val="24"/>
                <w:highlight w:val="none"/>
                <w:lang w:val="en-US" w:eastAsia="zh-CN"/>
              </w:rPr>
              <w:t>租赁期3年</w:t>
            </w:r>
            <w:r>
              <w:rPr>
                <w:rFonts w:hint="eastAsia" w:ascii="宋体" w:hAnsi="宋体" w:cs="宋体"/>
                <w:color w:val="auto"/>
                <w:kern w:val="0"/>
                <w:sz w:val="24"/>
                <w:highlight w:val="none"/>
              </w:rPr>
              <w:t>。</w:t>
            </w:r>
          </w:p>
        </w:tc>
        <w:tc>
          <w:tcPr>
            <w:tcW w:w="624" w:type="dxa"/>
            <w:tcBorders>
              <w:top w:val="nil"/>
              <w:left w:val="nil"/>
              <w:bottom w:val="single" w:color="auto" w:sz="4" w:space="0"/>
              <w:right w:val="single" w:color="auto" w:sz="4" w:space="0"/>
            </w:tcBorders>
            <w:noWrap/>
            <w:vAlign w:val="center"/>
          </w:tcPr>
          <w:p w14:paraId="44866C8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年</w:t>
            </w:r>
          </w:p>
        </w:tc>
        <w:tc>
          <w:tcPr>
            <w:tcW w:w="696" w:type="dxa"/>
            <w:tcBorders>
              <w:top w:val="nil"/>
              <w:left w:val="nil"/>
              <w:bottom w:val="single" w:color="auto" w:sz="4" w:space="0"/>
              <w:right w:val="single" w:color="auto" w:sz="4" w:space="0"/>
            </w:tcBorders>
            <w:noWrap/>
            <w:vAlign w:val="center"/>
          </w:tcPr>
          <w:p w14:paraId="423B5CE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r>
    </w:tbl>
    <w:p w14:paraId="19D48C2C">
      <w:pPr>
        <w:spacing w:line="48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注：1、设计说明中部分交通信号灯及杆件、电缆保护管及接线手井等已由其他工程计量，上表仅计本工程实施部分工程数量。本次招标以上述清单为准，</w:t>
      </w:r>
      <w:r>
        <w:rPr>
          <w:rFonts w:hint="eastAsia" w:ascii="宋体" w:hAnsi="宋体" w:eastAsia="宋体" w:cs="宋体"/>
          <w:b/>
          <w:bCs/>
          <w:color w:val="auto"/>
          <w:sz w:val="24"/>
          <w:highlight w:val="none"/>
          <w:lang w:eastAsia="zh-CN"/>
        </w:rPr>
        <w:t>供应商自行根据消耗情况合理考虑，今后不作调整。供应商负责将原有遗留设施设备并网联通，相关更换电缆、联机调试等费用纳入响应报价中综合考虑，供应商自行承担风险。</w:t>
      </w:r>
    </w:p>
    <w:p w14:paraId="71B2E4F3">
      <w:pPr>
        <w:spacing w:line="480" w:lineRule="exact"/>
        <w:ind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2、设备要求自带相应正版软件，</w:t>
      </w:r>
      <w:r>
        <w:rPr>
          <w:rFonts w:hint="eastAsia" w:ascii="宋体" w:hAnsi="宋体" w:eastAsia="宋体" w:cs="宋体"/>
          <w:b/>
          <w:bCs/>
          <w:color w:val="auto"/>
          <w:sz w:val="24"/>
          <w:highlight w:val="none"/>
          <w:lang w:val="en-US" w:eastAsia="zh-CN"/>
        </w:rPr>
        <w:t>成交人</w:t>
      </w:r>
      <w:r>
        <w:rPr>
          <w:rFonts w:hint="eastAsia" w:ascii="宋体" w:hAnsi="宋体" w:eastAsia="宋体" w:cs="宋体"/>
          <w:b/>
          <w:bCs/>
          <w:color w:val="auto"/>
          <w:sz w:val="24"/>
          <w:highlight w:val="none"/>
        </w:rPr>
        <w:t>必须无条件满足使用方的实际需求。</w:t>
      </w:r>
    </w:p>
    <w:p w14:paraId="2225696C">
      <w:pPr>
        <w:spacing w:line="480" w:lineRule="exact"/>
        <w:ind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3、本系统需通过交警大队验收合格，作为最终验收的标准。</w:t>
      </w:r>
    </w:p>
    <w:p w14:paraId="36022B52">
      <w:pPr>
        <w:spacing w:line="480" w:lineRule="exact"/>
        <w:ind w:firstLine="422" w:firstLineChars="175"/>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4、现状道路已完成施工，本次招标包含所有开挖后的垃圾外运及修复工作。</w:t>
      </w:r>
    </w:p>
    <w:p w14:paraId="6EC5F500">
      <w:pPr>
        <w:spacing w:line="480" w:lineRule="exact"/>
        <w:ind w:firstLine="422" w:firstLineChars="175"/>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5、供应商因充分考虑现场实际情况，保证所有设施设备正常运行，费用均考虑在本次招标范围内。</w:t>
      </w:r>
    </w:p>
    <w:p w14:paraId="5641E9C1">
      <w:pPr>
        <w:spacing w:line="336" w:lineRule="auto"/>
        <w:ind w:firstLine="480" w:firstLineChars="200"/>
        <w:rPr>
          <w:rFonts w:hint="eastAsia" w:ascii="宋体" w:hAnsi="宋体" w:eastAsia="宋体" w:cs="宋体"/>
          <w:color w:val="auto"/>
          <w:sz w:val="24"/>
          <w:highlight w:val="none"/>
        </w:rPr>
      </w:pPr>
    </w:p>
    <w:p w14:paraId="6A0BFA3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2、商务需求：</w:t>
      </w:r>
    </w:p>
    <w:p w14:paraId="410875C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交货时间及地点</w:t>
      </w:r>
    </w:p>
    <w:p w14:paraId="2103217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应在合同签订后</w:t>
      </w:r>
      <w:r>
        <w:rPr>
          <w:rFonts w:hint="eastAsia" w:ascii="宋体" w:hAnsi="宋体" w:eastAsia="宋体" w:cs="宋体"/>
          <w:color w:val="auto"/>
          <w:sz w:val="24"/>
          <w:szCs w:val="24"/>
          <w:highlight w:val="none"/>
          <w:lang w:val="en-US" w:eastAsia="zh-CN"/>
        </w:rPr>
        <w:t>30日历天</w:t>
      </w:r>
      <w:r>
        <w:rPr>
          <w:rFonts w:hint="eastAsia" w:ascii="宋体" w:hAnsi="宋体" w:eastAsia="宋体" w:cs="宋体"/>
          <w:color w:val="auto"/>
          <w:sz w:val="24"/>
          <w:szCs w:val="24"/>
          <w:highlight w:val="none"/>
        </w:rPr>
        <w:t>内供货、安装、调试完成。</w:t>
      </w:r>
    </w:p>
    <w:p w14:paraId="4CC3731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指定地点。</w:t>
      </w:r>
    </w:p>
    <w:p w14:paraId="4453987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物品，必须符合本</w:t>
      </w:r>
      <w:r>
        <w:rPr>
          <w:rFonts w:hint="eastAsia" w:ascii="宋体" w:hAnsi="宋体" w:eastAsia="宋体" w:cs="宋体"/>
          <w:color w:val="auto"/>
          <w:sz w:val="24"/>
          <w:szCs w:val="24"/>
          <w:highlight w:val="none"/>
          <w:lang w:val="en-US" w:eastAsia="zh-CN"/>
        </w:rPr>
        <w:t>公开竞争文件</w:t>
      </w:r>
      <w:r>
        <w:rPr>
          <w:rFonts w:hint="eastAsia" w:ascii="宋体" w:hAnsi="宋体" w:eastAsia="宋体" w:cs="宋体"/>
          <w:color w:val="auto"/>
          <w:sz w:val="24"/>
          <w:szCs w:val="24"/>
          <w:highlight w:val="none"/>
        </w:rPr>
        <w:t>要求、原包装送达</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；如有不符，</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可以无条件退货，所造成的损失由</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承担。更换后的零部件质保期按更换日起顺延。</w:t>
      </w:r>
    </w:p>
    <w:p w14:paraId="21E443A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质保期及售后技术服务要求</w:t>
      </w:r>
    </w:p>
    <w:p w14:paraId="52AD322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▲(1)质保期：</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p w14:paraId="7DEBC40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质量保证期内提供免费上门维护、升级服务，如设备出现故障，供货单位在接到电话后，立即响应，2小时以内到现场处理，12小时内修复，现场不能修复的，必须采取无偿提供采购物品的备用件或整机等措施，保证用户单位的正常使用。</w:t>
      </w:r>
    </w:p>
    <w:p w14:paraId="791A39E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应提供技术支持方案，内容由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根据实际选择以下要点：服务机构（维保点）的地址、人员状况、维修能力、联系方式、营业执照、公司资质材料、相关案例等。</w:t>
      </w:r>
    </w:p>
    <w:p w14:paraId="2C2CB72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(4)完整准确地表述原厂家的标准售后服务承诺（范围、标准及期限等）、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可能增加的服务承诺等。</w:t>
      </w:r>
    </w:p>
    <w:p w14:paraId="445B513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(5)明示服务承诺可能涉及的前提设定和费用，否则将被认为是无条件和免费的。</w:t>
      </w:r>
    </w:p>
    <w:p w14:paraId="3F259A3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项目实施计划</w:t>
      </w:r>
    </w:p>
    <w:p w14:paraId="5E93CDD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项目实施的组织工作方案：工作时间进度表、工作程序或步骤、管理和协调方法、送货方案等。</w:t>
      </w:r>
    </w:p>
    <w:p w14:paraId="54E1235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付款方式</w:t>
      </w:r>
    </w:p>
    <w:p w14:paraId="009CA6E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供应商支付总价的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w:t>
      </w:r>
      <w:r>
        <w:rPr>
          <w:rFonts w:hint="eastAsia" w:ascii="宋体" w:hAnsi="宋体" w:eastAsia="宋体" w:cs="宋体"/>
          <w:color w:val="auto"/>
          <w:sz w:val="24"/>
          <w:szCs w:val="24"/>
          <w:highlight w:val="none"/>
          <w:lang w:eastAsia="zh-CN"/>
        </w:rPr>
        <w:t>。</w:t>
      </w:r>
    </w:p>
    <w:p w14:paraId="4925EE8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履约保证缴纳后，交易发起人向成交人支付合同价的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0%，作为预付款。</w:t>
      </w:r>
    </w:p>
    <w:p w14:paraId="54D5B0B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（3）设备安装调试完成后，交易发起人向成交人支付至合同价的</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eastAsia="zh-CN"/>
        </w:rPr>
        <w:t>%。</w:t>
      </w:r>
    </w:p>
    <w:p w14:paraId="24D24E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（4）项目验收完成后，交易发起人向成交人支付至合同款的100%。同时交易发起人无息退还履约保证金。</w:t>
      </w:r>
    </w:p>
    <w:p w14:paraId="67628C59">
      <w:pPr>
        <w:spacing w:line="360" w:lineRule="auto"/>
        <w:ind w:firstLine="480" w:firstLineChars="200"/>
        <w:rPr>
          <w:rFonts w:hint="eastAsia" w:ascii="宋体" w:hAnsi="宋体" w:eastAsia="宋体" w:cs="宋体"/>
          <w:color w:val="auto"/>
          <w:sz w:val="24"/>
          <w:szCs w:val="24"/>
          <w:highlight w:val="none"/>
        </w:rPr>
      </w:pPr>
    </w:p>
    <w:p w14:paraId="4078CD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E3CD3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1、除公开竞争文件注</w:t>
      </w:r>
      <w:r>
        <w:rPr>
          <w:rFonts w:hint="eastAsia" w:ascii="宋体" w:hAnsi="宋体" w:eastAsia="宋体" w:cs="宋体"/>
          <w:color w:val="auto"/>
          <w:sz w:val="24"/>
          <w:szCs w:val="24"/>
          <w:highlight w:val="none"/>
          <w:lang w:eastAsia="zh-CN"/>
        </w:rPr>
        <w:t>明</w:t>
      </w:r>
      <w:r>
        <w:rPr>
          <w:rFonts w:hint="eastAsia" w:ascii="宋体" w:hAnsi="宋体" w:eastAsia="宋体" w:cs="宋体"/>
          <w:color w:val="auto"/>
          <w:sz w:val="24"/>
          <w:szCs w:val="24"/>
          <w:highlight w:val="none"/>
        </w:rPr>
        <w:t>的参考品牌外，欢迎其它能满足本项目技术需求且性能与所注品牌相当的产品参与。</w:t>
      </w:r>
    </w:p>
    <w:p w14:paraId="669924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2、如有附图，仅作参考。</w:t>
      </w:r>
    </w:p>
    <w:p w14:paraId="482C40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3、公开竞争文件中打▲内容为实质性要求，不允许有负偏离，否则将以涉及无效响应条款作无效响应。</w:t>
      </w:r>
    </w:p>
    <w:p w14:paraId="17F851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供应商所提供的货物、服务须与</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承诺一致，不得以次充好、偷工减料，若在项目验收中发现有上述情况，将向有关部门举报，根据相关规定进行处理。</w:t>
      </w:r>
    </w:p>
    <w:p w14:paraId="04BD4EF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p>
    <w:p w14:paraId="7343B761">
      <w:pPr>
        <w:rPr>
          <w:rFonts w:hint="eastAsia" w:ascii="宋体" w:hAnsi="宋体" w:cs="宋体"/>
          <w:b/>
          <w:color w:val="auto"/>
          <w:sz w:val="36"/>
          <w:szCs w:val="36"/>
          <w:highlight w:val="none"/>
        </w:rPr>
      </w:pPr>
    </w:p>
    <w:p w14:paraId="5248F8D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BC35E20">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7" w:name="_Toc184313243"/>
      <w:bookmarkEnd w:id="17"/>
      <w:bookmarkStart w:id="18" w:name="_Toc184312069"/>
      <w:bookmarkEnd w:id="18"/>
      <w:bookmarkStart w:id="19" w:name="_Toc184313309"/>
      <w:bookmarkEnd w:id="19"/>
      <w:bookmarkStart w:id="20" w:name="_Toc184308048"/>
      <w:bookmarkEnd w:id="20"/>
      <w:bookmarkStart w:id="21" w:name="_Toc184310329"/>
      <w:bookmarkEnd w:id="21"/>
      <w:bookmarkStart w:id="22" w:name="_Toc184308099"/>
      <w:bookmarkEnd w:id="22"/>
      <w:bookmarkStart w:id="23" w:name="_Toc184310272"/>
      <w:bookmarkEnd w:id="23"/>
      <w:bookmarkStart w:id="24" w:name="_Toc184314424"/>
      <w:bookmarkEnd w:id="24"/>
      <w:bookmarkStart w:id="25" w:name="_Toc184310308"/>
      <w:bookmarkEnd w:id="25"/>
      <w:bookmarkStart w:id="26" w:name="_Toc184312111"/>
      <w:bookmarkEnd w:id="26"/>
      <w:bookmarkStart w:id="27" w:name="_Toc184310283"/>
      <w:bookmarkEnd w:id="27"/>
      <w:bookmarkStart w:id="28" w:name="_Toc184308070"/>
      <w:bookmarkEnd w:id="28"/>
      <w:bookmarkStart w:id="29" w:name="_Toc184313310"/>
      <w:bookmarkEnd w:id="29"/>
      <w:bookmarkStart w:id="30" w:name="_Toc184314476"/>
      <w:bookmarkEnd w:id="30"/>
      <w:bookmarkStart w:id="31" w:name="_Toc184308049"/>
      <w:bookmarkEnd w:id="31"/>
      <w:bookmarkStart w:id="32" w:name="_Toc184310324"/>
      <w:bookmarkEnd w:id="32"/>
      <w:bookmarkStart w:id="33" w:name="_Toc184312136"/>
      <w:bookmarkEnd w:id="33"/>
      <w:bookmarkStart w:id="34" w:name="_Toc184312129"/>
      <w:bookmarkEnd w:id="34"/>
      <w:bookmarkStart w:id="35" w:name="_Toc184314482"/>
      <w:bookmarkEnd w:id="35"/>
      <w:bookmarkStart w:id="36" w:name="_Toc184308096"/>
      <w:bookmarkEnd w:id="36"/>
      <w:bookmarkStart w:id="37" w:name="_Toc184310335"/>
      <w:bookmarkEnd w:id="37"/>
      <w:bookmarkStart w:id="38" w:name="_Toc184312106"/>
      <w:bookmarkEnd w:id="38"/>
      <w:bookmarkStart w:id="39" w:name="_Toc184308102"/>
      <w:bookmarkEnd w:id="39"/>
      <w:bookmarkStart w:id="40" w:name="_Toc184308084"/>
      <w:bookmarkEnd w:id="40"/>
      <w:bookmarkStart w:id="41" w:name="_Toc184310333"/>
      <w:bookmarkEnd w:id="41"/>
      <w:bookmarkStart w:id="42" w:name="_Toc184308101"/>
      <w:bookmarkEnd w:id="42"/>
      <w:bookmarkStart w:id="43" w:name="_Toc184312113"/>
      <w:bookmarkEnd w:id="43"/>
      <w:bookmarkStart w:id="44" w:name="_Toc184314412"/>
      <w:bookmarkEnd w:id="44"/>
      <w:bookmarkStart w:id="45" w:name="_Toc184308094"/>
      <w:bookmarkEnd w:id="45"/>
      <w:bookmarkStart w:id="46" w:name="_Toc184312138"/>
      <w:bookmarkEnd w:id="46"/>
      <w:bookmarkStart w:id="47" w:name="_Toc184313284"/>
      <w:bookmarkEnd w:id="47"/>
      <w:bookmarkStart w:id="48" w:name="_Toc184310273"/>
      <w:bookmarkEnd w:id="48"/>
      <w:bookmarkStart w:id="49" w:name="_Toc184312092"/>
      <w:bookmarkEnd w:id="49"/>
      <w:bookmarkStart w:id="50" w:name="_Toc184313292"/>
      <w:bookmarkEnd w:id="50"/>
      <w:bookmarkStart w:id="51" w:name="_Toc184314414"/>
      <w:bookmarkEnd w:id="51"/>
      <w:bookmarkStart w:id="52" w:name="_Toc184314441"/>
      <w:bookmarkEnd w:id="52"/>
      <w:bookmarkStart w:id="53" w:name="_Toc184314410"/>
      <w:bookmarkEnd w:id="53"/>
      <w:bookmarkStart w:id="54" w:name="_Toc184308082"/>
      <w:bookmarkEnd w:id="54"/>
      <w:bookmarkStart w:id="55" w:name="_Toc184310344"/>
      <w:bookmarkEnd w:id="55"/>
      <w:bookmarkStart w:id="56" w:name="_Toc184308038"/>
      <w:bookmarkEnd w:id="56"/>
      <w:bookmarkStart w:id="57" w:name="_Toc184312075"/>
      <w:bookmarkEnd w:id="57"/>
      <w:bookmarkStart w:id="58" w:name="_Toc184310313"/>
      <w:bookmarkEnd w:id="58"/>
      <w:bookmarkStart w:id="59" w:name="_Toc184312094"/>
      <w:bookmarkEnd w:id="59"/>
      <w:bookmarkStart w:id="60" w:name="_Toc184312095"/>
      <w:bookmarkEnd w:id="60"/>
      <w:bookmarkStart w:id="61" w:name="_Toc184313287"/>
      <w:bookmarkEnd w:id="61"/>
      <w:bookmarkStart w:id="62" w:name="_Toc184308085"/>
      <w:bookmarkEnd w:id="62"/>
      <w:bookmarkStart w:id="63" w:name="_Toc184314462"/>
      <w:bookmarkEnd w:id="63"/>
      <w:bookmarkStart w:id="64" w:name="_Toc184313254"/>
      <w:bookmarkEnd w:id="64"/>
      <w:bookmarkStart w:id="65" w:name="_Toc184312103"/>
      <w:bookmarkEnd w:id="65"/>
      <w:bookmarkStart w:id="66" w:name="_Toc184313255"/>
      <w:bookmarkEnd w:id="66"/>
      <w:bookmarkStart w:id="67" w:name="_Toc184308076"/>
      <w:bookmarkEnd w:id="67"/>
      <w:bookmarkStart w:id="68" w:name="_Toc184312085"/>
      <w:bookmarkEnd w:id="68"/>
      <w:bookmarkStart w:id="69" w:name="_Toc184308071"/>
      <w:bookmarkEnd w:id="69"/>
      <w:bookmarkStart w:id="70" w:name="_Toc184314445"/>
      <w:bookmarkEnd w:id="70"/>
      <w:bookmarkStart w:id="71" w:name="_Toc184308072"/>
      <w:bookmarkEnd w:id="71"/>
      <w:bookmarkStart w:id="72" w:name="_Toc184314455"/>
      <w:bookmarkEnd w:id="72"/>
      <w:bookmarkStart w:id="73" w:name="_Toc184313286"/>
      <w:bookmarkEnd w:id="73"/>
      <w:bookmarkStart w:id="74" w:name="_Toc184312122"/>
      <w:bookmarkEnd w:id="74"/>
      <w:bookmarkStart w:id="75" w:name="_Toc184313279"/>
      <w:bookmarkEnd w:id="75"/>
      <w:bookmarkStart w:id="76" w:name="_Toc184312083"/>
      <w:bookmarkEnd w:id="76"/>
      <w:bookmarkStart w:id="77" w:name="_Toc184313290"/>
      <w:bookmarkEnd w:id="77"/>
      <w:bookmarkStart w:id="78" w:name="_Toc184310275"/>
      <w:bookmarkEnd w:id="78"/>
      <w:bookmarkStart w:id="79" w:name="_Toc184310332"/>
      <w:bookmarkEnd w:id="79"/>
      <w:bookmarkStart w:id="80" w:name="_Toc184314432"/>
      <w:bookmarkEnd w:id="80"/>
      <w:bookmarkStart w:id="81" w:name="_Toc184314461"/>
      <w:bookmarkEnd w:id="81"/>
      <w:bookmarkStart w:id="82" w:name="_Toc184314450"/>
      <w:bookmarkEnd w:id="82"/>
      <w:bookmarkStart w:id="83" w:name="_Toc184310297"/>
      <w:bookmarkEnd w:id="83"/>
      <w:bookmarkStart w:id="84" w:name="_Toc184312132"/>
      <w:bookmarkEnd w:id="84"/>
      <w:bookmarkStart w:id="85" w:name="_Toc184312078"/>
      <w:bookmarkEnd w:id="85"/>
      <w:bookmarkStart w:id="86" w:name="_Toc184314449"/>
      <w:bookmarkEnd w:id="86"/>
      <w:bookmarkStart w:id="87" w:name="_Toc184308103"/>
      <w:bookmarkEnd w:id="87"/>
      <w:bookmarkStart w:id="88" w:name="_Toc184308050"/>
      <w:bookmarkEnd w:id="88"/>
      <w:bookmarkStart w:id="89" w:name="_Toc184313268"/>
      <w:bookmarkEnd w:id="89"/>
      <w:bookmarkStart w:id="90" w:name="_Toc184310306"/>
      <w:bookmarkEnd w:id="90"/>
      <w:bookmarkStart w:id="91" w:name="_Toc184312115"/>
      <w:bookmarkEnd w:id="91"/>
      <w:bookmarkStart w:id="92" w:name="_Toc184310299"/>
      <w:bookmarkEnd w:id="92"/>
      <w:bookmarkStart w:id="93" w:name="_Toc184310301"/>
      <w:bookmarkEnd w:id="93"/>
      <w:bookmarkStart w:id="94" w:name="_Toc184314418"/>
      <w:bookmarkEnd w:id="94"/>
      <w:bookmarkStart w:id="95" w:name="_Toc184312081"/>
      <w:bookmarkEnd w:id="95"/>
      <w:bookmarkStart w:id="96" w:name="_Toc184314429"/>
      <w:bookmarkEnd w:id="96"/>
      <w:bookmarkStart w:id="97" w:name="_Toc184313296"/>
      <w:bookmarkEnd w:id="97"/>
      <w:bookmarkStart w:id="98" w:name="_Toc184314444"/>
      <w:bookmarkEnd w:id="98"/>
      <w:bookmarkStart w:id="99" w:name="_Toc184313280"/>
      <w:bookmarkEnd w:id="99"/>
      <w:bookmarkStart w:id="100" w:name="_Toc184308078"/>
      <w:bookmarkEnd w:id="100"/>
      <w:bookmarkStart w:id="101" w:name="_Toc184314456"/>
      <w:bookmarkEnd w:id="101"/>
      <w:bookmarkStart w:id="102" w:name="_Toc184314411"/>
      <w:bookmarkEnd w:id="102"/>
      <w:bookmarkStart w:id="103" w:name="_Toc184312076"/>
      <w:bookmarkEnd w:id="103"/>
      <w:bookmarkStart w:id="104" w:name="_Toc184313293"/>
      <w:bookmarkEnd w:id="104"/>
      <w:bookmarkStart w:id="105" w:name="_Toc184314464"/>
      <w:bookmarkEnd w:id="105"/>
      <w:bookmarkStart w:id="106" w:name="_Toc184310342"/>
      <w:bookmarkEnd w:id="106"/>
      <w:bookmarkStart w:id="107" w:name="_Toc184310285"/>
      <w:bookmarkEnd w:id="107"/>
      <w:bookmarkStart w:id="108" w:name="_Toc184312072"/>
      <w:bookmarkEnd w:id="108"/>
      <w:bookmarkStart w:id="109" w:name="_Toc184308097"/>
      <w:bookmarkEnd w:id="109"/>
      <w:bookmarkStart w:id="110" w:name="_Toc184310330"/>
      <w:bookmarkEnd w:id="110"/>
      <w:bookmarkStart w:id="111" w:name="_Toc184314480"/>
      <w:bookmarkEnd w:id="111"/>
      <w:bookmarkStart w:id="112" w:name="_Toc184312086"/>
      <w:bookmarkEnd w:id="112"/>
      <w:bookmarkStart w:id="113" w:name="_Toc184310291"/>
      <w:bookmarkEnd w:id="113"/>
      <w:bookmarkStart w:id="114" w:name="_Toc184313274"/>
      <w:bookmarkEnd w:id="114"/>
      <w:bookmarkStart w:id="115" w:name="_Toc184308077"/>
      <w:bookmarkEnd w:id="115"/>
      <w:bookmarkStart w:id="116" w:name="_Toc184314452"/>
      <w:bookmarkEnd w:id="116"/>
      <w:bookmarkStart w:id="117" w:name="_Toc184308107"/>
      <w:bookmarkEnd w:id="117"/>
      <w:bookmarkStart w:id="118" w:name="_Toc184314448"/>
      <w:bookmarkEnd w:id="118"/>
      <w:bookmarkStart w:id="119" w:name="_Toc184310310"/>
      <w:bookmarkEnd w:id="119"/>
      <w:bookmarkStart w:id="120" w:name="_Toc184313267"/>
      <w:bookmarkEnd w:id="120"/>
      <w:bookmarkStart w:id="121" w:name="_Toc184310286"/>
      <w:bookmarkEnd w:id="121"/>
      <w:bookmarkStart w:id="122" w:name="_Toc184312102"/>
      <w:bookmarkEnd w:id="122"/>
      <w:bookmarkStart w:id="123" w:name="_Toc184308059"/>
      <w:bookmarkEnd w:id="123"/>
      <w:bookmarkStart w:id="124" w:name="_Toc184308056"/>
      <w:bookmarkEnd w:id="124"/>
      <w:bookmarkStart w:id="125" w:name="_Toc184312096"/>
      <w:bookmarkEnd w:id="125"/>
      <w:bookmarkStart w:id="126" w:name="_Toc184310314"/>
      <w:bookmarkEnd w:id="126"/>
      <w:bookmarkStart w:id="127" w:name="_Toc184310274"/>
      <w:bookmarkEnd w:id="127"/>
      <w:bookmarkStart w:id="128" w:name="_Toc184308060"/>
      <w:bookmarkEnd w:id="128"/>
      <w:bookmarkStart w:id="129" w:name="_Toc184313266"/>
      <w:bookmarkEnd w:id="129"/>
      <w:bookmarkStart w:id="130" w:name="_Toc184308054"/>
      <w:bookmarkEnd w:id="130"/>
      <w:bookmarkStart w:id="131" w:name="_Toc184314416"/>
      <w:bookmarkEnd w:id="131"/>
      <w:bookmarkStart w:id="132" w:name="_Toc184308065"/>
      <w:bookmarkEnd w:id="132"/>
      <w:bookmarkStart w:id="133" w:name="_Toc184310340"/>
      <w:bookmarkEnd w:id="133"/>
      <w:bookmarkStart w:id="134" w:name="_Toc184312107"/>
      <w:bookmarkEnd w:id="134"/>
      <w:bookmarkStart w:id="135" w:name="_Toc184310300"/>
      <w:bookmarkEnd w:id="135"/>
      <w:bookmarkStart w:id="136" w:name="_Toc184314420"/>
      <w:bookmarkEnd w:id="136"/>
      <w:bookmarkStart w:id="137" w:name="_Toc184314431"/>
      <w:bookmarkEnd w:id="137"/>
      <w:bookmarkStart w:id="138" w:name="_Toc184312077"/>
      <w:bookmarkEnd w:id="138"/>
      <w:bookmarkStart w:id="139" w:name="_Toc184313298"/>
      <w:bookmarkEnd w:id="139"/>
      <w:bookmarkStart w:id="140" w:name="_Toc184314460"/>
      <w:bookmarkEnd w:id="140"/>
      <w:bookmarkStart w:id="141" w:name="_Toc184310338"/>
      <w:bookmarkEnd w:id="141"/>
      <w:bookmarkStart w:id="142" w:name="_Toc184314479"/>
      <w:bookmarkEnd w:id="142"/>
      <w:bookmarkStart w:id="143" w:name="_Toc184314454"/>
      <w:bookmarkEnd w:id="143"/>
      <w:bookmarkStart w:id="144" w:name="_Toc184314428"/>
      <w:bookmarkEnd w:id="144"/>
      <w:bookmarkStart w:id="145" w:name="_Toc184313283"/>
      <w:bookmarkEnd w:id="145"/>
      <w:bookmarkStart w:id="146" w:name="_Toc184310328"/>
      <w:bookmarkEnd w:id="146"/>
      <w:bookmarkStart w:id="147" w:name="_Toc184312067"/>
      <w:bookmarkEnd w:id="147"/>
      <w:bookmarkStart w:id="148" w:name="_Toc184310302"/>
      <w:bookmarkEnd w:id="148"/>
      <w:bookmarkStart w:id="149" w:name="_Toc184312098"/>
      <w:bookmarkEnd w:id="149"/>
      <w:bookmarkStart w:id="150" w:name="_Toc184310325"/>
      <w:bookmarkEnd w:id="150"/>
      <w:bookmarkStart w:id="151" w:name="_Toc184310331"/>
      <w:bookmarkEnd w:id="151"/>
      <w:bookmarkStart w:id="152" w:name="_Toc184312110"/>
      <w:bookmarkEnd w:id="152"/>
      <w:bookmarkStart w:id="153" w:name="_Toc184313261"/>
      <w:bookmarkEnd w:id="153"/>
      <w:bookmarkStart w:id="154" w:name="_Toc184308051"/>
      <w:bookmarkEnd w:id="154"/>
      <w:bookmarkStart w:id="155" w:name="_Toc184314481"/>
      <w:bookmarkEnd w:id="155"/>
      <w:bookmarkStart w:id="156" w:name="_Toc184308052"/>
      <w:bookmarkEnd w:id="156"/>
      <w:bookmarkStart w:id="157" w:name="_Toc184308063"/>
      <w:bookmarkEnd w:id="157"/>
      <w:bookmarkStart w:id="158" w:name="_Toc184313291"/>
      <w:bookmarkEnd w:id="158"/>
      <w:bookmarkStart w:id="159" w:name="_Toc184310290"/>
      <w:bookmarkEnd w:id="159"/>
      <w:bookmarkStart w:id="160" w:name="_Toc184312070"/>
      <w:bookmarkEnd w:id="160"/>
      <w:bookmarkStart w:id="161" w:name="_Toc184308098"/>
      <w:bookmarkEnd w:id="161"/>
      <w:bookmarkStart w:id="162" w:name="_Toc184313245"/>
      <w:bookmarkEnd w:id="162"/>
      <w:bookmarkStart w:id="163" w:name="_Toc184310305"/>
      <w:bookmarkEnd w:id="163"/>
      <w:bookmarkStart w:id="164" w:name="_Toc184313270"/>
      <w:bookmarkEnd w:id="164"/>
      <w:bookmarkStart w:id="165" w:name="_Toc184314442"/>
      <w:bookmarkEnd w:id="165"/>
      <w:bookmarkStart w:id="166" w:name="_Toc184308105"/>
      <w:bookmarkEnd w:id="166"/>
      <w:bookmarkStart w:id="167" w:name="_Toc184313250"/>
      <w:bookmarkEnd w:id="167"/>
      <w:bookmarkStart w:id="168" w:name="_Toc184310280"/>
      <w:bookmarkEnd w:id="168"/>
      <w:bookmarkStart w:id="169" w:name="_Toc184308045"/>
      <w:bookmarkEnd w:id="169"/>
      <w:bookmarkStart w:id="170" w:name="_Toc184313257"/>
      <w:bookmarkEnd w:id="170"/>
      <w:bookmarkStart w:id="171" w:name="_Toc184310303"/>
      <w:bookmarkEnd w:id="171"/>
      <w:bookmarkStart w:id="172" w:name="_Toc184310321"/>
      <w:bookmarkEnd w:id="172"/>
      <w:bookmarkStart w:id="173" w:name="_Toc184313306"/>
      <w:bookmarkEnd w:id="173"/>
      <w:bookmarkStart w:id="174" w:name="_Toc184310320"/>
      <w:bookmarkEnd w:id="174"/>
      <w:bookmarkStart w:id="175" w:name="_Toc184312112"/>
      <w:bookmarkEnd w:id="175"/>
      <w:bookmarkStart w:id="176" w:name="_Toc184314435"/>
      <w:bookmarkEnd w:id="176"/>
      <w:bookmarkStart w:id="177" w:name="_Toc184313273"/>
      <w:bookmarkEnd w:id="177"/>
      <w:bookmarkStart w:id="178" w:name="_Toc184312108"/>
      <w:bookmarkEnd w:id="178"/>
      <w:bookmarkStart w:id="179" w:name="_Toc184314425"/>
      <w:bookmarkEnd w:id="179"/>
      <w:bookmarkStart w:id="180" w:name="_Toc184313239"/>
      <w:bookmarkEnd w:id="180"/>
      <w:bookmarkStart w:id="181" w:name="_Toc184314417"/>
      <w:bookmarkEnd w:id="181"/>
      <w:bookmarkStart w:id="182" w:name="_Toc184314457"/>
      <w:bookmarkEnd w:id="182"/>
      <w:bookmarkStart w:id="183" w:name="_Toc184308047"/>
      <w:bookmarkEnd w:id="183"/>
      <w:bookmarkStart w:id="184" w:name="_Toc184314434"/>
      <w:bookmarkEnd w:id="184"/>
      <w:bookmarkStart w:id="185" w:name="_Toc184313281"/>
      <w:bookmarkEnd w:id="185"/>
      <w:bookmarkStart w:id="186" w:name="_Toc184308064"/>
      <w:bookmarkEnd w:id="186"/>
      <w:bookmarkStart w:id="187" w:name="_Toc184314447"/>
      <w:bookmarkEnd w:id="187"/>
      <w:bookmarkStart w:id="188" w:name="_Toc184313301"/>
      <w:bookmarkEnd w:id="188"/>
      <w:bookmarkStart w:id="189" w:name="_Toc184314415"/>
      <w:bookmarkEnd w:id="189"/>
      <w:bookmarkStart w:id="190" w:name="_Toc184308041"/>
      <w:bookmarkEnd w:id="190"/>
      <w:bookmarkStart w:id="191" w:name="_Toc184312100"/>
      <w:bookmarkEnd w:id="191"/>
      <w:bookmarkStart w:id="192" w:name="_Toc184312123"/>
      <w:bookmarkEnd w:id="192"/>
      <w:bookmarkStart w:id="193" w:name="_Toc184308093"/>
      <w:bookmarkEnd w:id="193"/>
      <w:bookmarkStart w:id="194" w:name="_Toc184310334"/>
      <w:bookmarkEnd w:id="194"/>
      <w:bookmarkStart w:id="195" w:name="_Toc184314477"/>
      <w:bookmarkEnd w:id="195"/>
      <w:bookmarkStart w:id="196" w:name="_Toc184310298"/>
      <w:bookmarkEnd w:id="196"/>
      <w:bookmarkStart w:id="197" w:name="_Toc184308039"/>
      <w:bookmarkEnd w:id="197"/>
      <w:bookmarkStart w:id="198" w:name="_Toc184312104"/>
      <w:bookmarkEnd w:id="198"/>
      <w:bookmarkStart w:id="199" w:name="_Toc184314471"/>
      <w:bookmarkEnd w:id="199"/>
      <w:bookmarkStart w:id="200" w:name="_Toc184310295"/>
      <w:bookmarkEnd w:id="200"/>
      <w:bookmarkStart w:id="201" w:name="_Toc184312079"/>
      <w:bookmarkEnd w:id="201"/>
      <w:bookmarkStart w:id="202" w:name="_Toc184313238"/>
      <w:bookmarkEnd w:id="202"/>
      <w:bookmarkStart w:id="203" w:name="_Toc184310281"/>
      <w:bookmarkEnd w:id="203"/>
      <w:bookmarkStart w:id="204" w:name="_Toc184312130"/>
      <w:bookmarkEnd w:id="204"/>
      <w:bookmarkStart w:id="205" w:name="_Toc184310315"/>
      <w:bookmarkEnd w:id="205"/>
      <w:bookmarkStart w:id="206" w:name="_Toc184310312"/>
      <w:bookmarkEnd w:id="206"/>
      <w:bookmarkStart w:id="207" w:name="_Toc184313294"/>
      <w:bookmarkEnd w:id="207"/>
      <w:bookmarkStart w:id="208" w:name="_Toc184308062"/>
      <w:bookmarkEnd w:id="208"/>
      <w:bookmarkStart w:id="209" w:name="_Toc184308042"/>
      <w:bookmarkEnd w:id="209"/>
      <w:bookmarkStart w:id="210" w:name="_Toc184314438"/>
      <w:bookmarkEnd w:id="210"/>
      <w:bookmarkStart w:id="211" w:name="_Toc184308088"/>
      <w:bookmarkEnd w:id="211"/>
      <w:bookmarkStart w:id="212" w:name="_Toc184312068"/>
      <w:bookmarkEnd w:id="212"/>
      <w:bookmarkStart w:id="213" w:name="_Toc184312091"/>
      <w:bookmarkEnd w:id="213"/>
      <w:bookmarkStart w:id="214" w:name="_Toc184313276"/>
      <w:bookmarkEnd w:id="214"/>
      <w:bookmarkStart w:id="215" w:name="_Toc184313271"/>
      <w:bookmarkEnd w:id="215"/>
      <w:bookmarkStart w:id="216" w:name="_Toc184310278"/>
      <w:bookmarkEnd w:id="216"/>
      <w:bookmarkStart w:id="217" w:name="_Toc184310304"/>
      <w:bookmarkEnd w:id="217"/>
      <w:bookmarkStart w:id="218" w:name="_Toc184314466"/>
      <w:bookmarkEnd w:id="218"/>
      <w:bookmarkStart w:id="219" w:name="_Toc184308079"/>
      <w:bookmarkEnd w:id="219"/>
      <w:bookmarkStart w:id="220" w:name="_Toc184312088"/>
      <w:bookmarkEnd w:id="220"/>
      <w:bookmarkStart w:id="221" w:name="_Toc184314430"/>
      <w:bookmarkEnd w:id="221"/>
      <w:bookmarkStart w:id="222" w:name="_Toc184314467"/>
      <w:bookmarkEnd w:id="222"/>
      <w:bookmarkStart w:id="223" w:name="_Toc184308037"/>
      <w:bookmarkEnd w:id="223"/>
      <w:bookmarkStart w:id="224" w:name="_Toc184308046"/>
      <w:bookmarkEnd w:id="224"/>
      <w:bookmarkStart w:id="225" w:name="_Toc184312109"/>
      <w:bookmarkEnd w:id="225"/>
      <w:bookmarkStart w:id="226" w:name="_Toc184312135"/>
      <w:bookmarkEnd w:id="226"/>
      <w:bookmarkStart w:id="227" w:name="_Toc184308067"/>
      <w:bookmarkEnd w:id="227"/>
      <w:bookmarkStart w:id="228" w:name="_Toc184314422"/>
      <w:bookmarkEnd w:id="228"/>
      <w:bookmarkStart w:id="229" w:name="_Toc184313247"/>
      <w:bookmarkEnd w:id="229"/>
      <w:bookmarkStart w:id="230" w:name="_Toc184310327"/>
      <w:bookmarkEnd w:id="230"/>
      <w:bookmarkStart w:id="231" w:name="_Toc184313289"/>
      <w:bookmarkEnd w:id="231"/>
      <w:bookmarkStart w:id="232" w:name="_Toc184308043"/>
      <w:bookmarkEnd w:id="232"/>
      <w:bookmarkStart w:id="233" w:name="_Toc184312071"/>
      <w:bookmarkEnd w:id="233"/>
      <w:bookmarkStart w:id="234" w:name="_Toc184313264"/>
      <w:bookmarkEnd w:id="234"/>
      <w:bookmarkStart w:id="235" w:name="_Toc184314426"/>
      <w:bookmarkEnd w:id="235"/>
      <w:bookmarkStart w:id="236" w:name="_Toc184314440"/>
      <w:bookmarkEnd w:id="236"/>
      <w:bookmarkStart w:id="237" w:name="_Toc184310279"/>
      <w:bookmarkEnd w:id="237"/>
      <w:bookmarkStart w:id="238" w:name="_Toc184312116"/>
      <w:bookmarkEnd w:id="238"/>
      <w:bookmarkStart w:id="239" w:name="_Toc184310341"/>
      <w:bookmarkEnd w:id="239"/>
      <w:bookmarkStart w:id="240" w:name="_Toc184308081"/>
      <w:bookmarkEnd w:id="240"/>
      <w:bookmarkStart w:id="241" w:name="_Toc184313260"/>
      <w:bookmarkEnd w:id="241"/>
      <w:bookmarkStart w:id="242" w:name="_Toc184308100"/>
      <w:bookmarkEnd w:id="242"/>
      <w:bookmarkStart w:id="243" w:name="_Toc184312134"/>
      <w:bookmarkEnd w:id="243"/>
      <w:bookmarkStart w:id="244" w:name="_Toc184310276"/>
      <w:bookmarkEnd w:id="244"/>
      <w:bookmarkStart w:id="245" w:name="_Toc184313249"/>
      <w:bookmarkEnd w:id="245"/>
      <w:bookmarkStart w:id="246" w:name="_Toc184312133"/>
      <w:bookmarkEnd w:id="246"/>
      <w:bookmarkStart w:id="247" w:name="_Toc184310326"/>
      <w:bookmarkEnd w:id="247"/>
      <w:bookmarkStart w:id="248" w:name="_Toc184314469"/>
      <w:bookmarkEnd w:id="248"/>
      <w:bookmarkStart w:id="249" w:name="_Toc184310277"/>
      <w:bookmarkEnd w:id="249"/>
      <w:bookmarkStart w:id="250" w:name="_Toc184308092"/>
      <w:bookmarkEnd w:id="250"/>
      <w:bookmarkStart w:id="251" w:name="_Toc184308073"/>
      <w:bookmarkEnd w:id="251"/>
      <w:bookmarkStart w:id="252" w:name="_Toc184310287"/>
      <w:bookmarkEnd w:id="252"/>
      <w:bookmarkStart w:id="253" w:name="_Toc184308087"/>
      <w:bookmarkEnd w:id="253"/>
      <w:bookmarkStart w:id="254" w:name="_Toc184314443"/>
      <w:bookmarkEnd w:id="254"/>
      <w:bookmarkStart w:id="255" w:name="_Toc184310323"/>
      <w:bookmarkEnd w:id="255"/>
      <w:bookmarkStart w:id="256" w:name="_Toc184308053"/>
      <w:bookmarkEnd w:id="256"/>
      <w:bookmarkStart w:id="257" w:name="_Toc184310339"/>
      <w:bookmarkEnd w:id="257"/>
      <w:bookmarkStart w:id="258" w:name="_Toc184310336"/>
      <w:bookmarkEnd w:id="258"/>
      <w:bookmarkStart w:id="259" w:name="_Toc184312137"/>
      <w:bookmarkEnd w:id="259"/>
      <w:bookmarkStart w:id="260" w:name="_Toc184312097"/>
      <w:bookmarkEnd w:id="260"/>
      <w:bookmarkStart w:id="261" w:name="_Toc184312118"/>
      <w:bookmarkEnd w:id="261"/>
      <w:bookmarkStart w:id="262" w:name="_Toc184310293"/>
      <w:bookmarkEnd w:id="262"/>
      <w:bookmarkStart w:id="263" w:name="_Toc184310317"/>
      <w:bookmarkEnd w:id="263"/>
      <w:bookmarkStart w:id="264" w:name="_Toc184312073"/>
      <w:bookmarkEnd w:id="264"/>
      <w:bookmarkStart w:id="265" w:name="_Toc184310343"/>
      <w:bookmarkEnd w:id="265"/>
      <w:bookmarkStart w:id="266" w:name="_Toc184313295"/>
      <w:bookmarkEnd w:id="266"/>
      <w:bookmarkStart w:id="267" w:name="_Toc184314468"/>
      <w:bookmarkEnd w:id="267"/>
      <w:bookmarkStart w:id="268" w:name="_Toc184313307"/>
      <w:bookmarkEnd w:id="268"/>
      <w:bookmarkStart w:id="269" w:name="_Toc184308057"/>
      <w:bookmarkEnd w:id="269"/>
      <w:bookmarkStart w:id="270" w:name="_Toc184308083"/>
      <w:bookmarkEnd w:id="270"/>
      <w:bookmarkStart w:id="271" w:name="_Toc184314439"/>
      <w:bookmarkEnd w:id="271"/>
      <w:bookmarkStart w:id="272" w:name="_Toc184308061"/>
      <w:bookmarkEnd w:id="272"/>
      <w:bookmarkStart w:id="273" w:name="_Toc184308095"/>
      <w:bookmarkEnd w:id="273"/>
      <w:bookmarkStart w:id="274" w:name="_Toc184312131"/>
      <w:bookmarkEnd w:id="274"/>
      <w:bookmarkStart w:id="275" w:name="_Toc184313297"/>
      <w:bookmarkEnd w:id="275"/>
      <w:bookmarkStart w:id="276" w:name="_Toc184314437"/>
      <w:bookmarkEnd w:id="276"/>
      <w:bookmarkStart w:id="277" w:name="_Toc184313253"/>
      <w:bookmarkEnd w:id="277"/>
      <w:bookmarkStart w:id="278" w:name="_Toc184314453"/>
      <w:bookmarkEnd w:id="278"/>
      <w:bookmarkStart w:id="279" w:name="_Toc184312101"/>
      <w:bookmarkEnd w:id="279"/>
      <w:bookmarkStart w:id="280" w:name="_Toc184312114"/>
      <w:bookmarkEnd w:id="280"/>
      <w:bookmarkStart w:id="281" w:name="_Toc184313282"/>
      <w:bookmarkEnd w:id="281"/>
      <w:bookmarkStart w:id="282" w:name="_Toc184313305"/>
      <w:bookmarkEnd w:id="282"/>
      <w:bookmarkStart w:id="283" w:name="_Toc184308075"/>
      <w:bookmarkEnd w:id="283"/>
      <w:bookmarkStart w:id="284" w:name="_Toc184310337"/>
      <w:bookmarkEnd w:id="284"/>
      <w:bookmarkStart w:id="285" w:name="_Toc184314433"/>
      <w:bookmarkEnd w:id="285"/>
      <w:bookmarkStart w:id="286" w:name="_Toc184314436"/>
      <w:bookmarkEnd w:id="286"/>
      <w:bookmarkStart w:id="287" w:name="_Toc184308089"/>
      <w:bookmarkEnd w:id="287"/>
      <w:bookmarkStart w:id="288" w:name="_Toc184312105"/>
      <w:bookmarkEnd w:id="288"/>
      <w:bookmarkStart w:id="289" w:name="_Toc184313240"/>
      <w:bookmarkEnd w:id="289"/>
      <w:bookmarkStart w:id="290" w:name="_Toc184313300"/>
      <w:bookmarkEnd w:id="290"/>
      <w:bookmarkStart w:id="291" w:name="_Toc184314419"/>
      <w:bookmarkEnd w:id="291"/>
      <w:bookmarkStart w:id="292" w:name="_Toc184314470"/>
      <w:bookmarkEnd w:id="292"/>
      <w:bookmarkStart w:id="293" w:name="_Toc184308090"/>
      <w:bookmarkEnd w:id="293"/>
      <w:bookmarkStart w:id="294" w:name="_Toc184313299"/>
      <w:bookmarkEnd w:id="294"/>
      <w:bookmarkStart w:id="295" w:name="_Toc184314463"/>
      <w:bookmarkEnd w:id="295"/>
      <w:bookmarkStart w:id="296" w:name="_Toc184314423"/>
      <w:bookmarkEnd w:id="296"/>
      <w:bookmarkStart w:id="297" w:name="_Toc184313265"/>
      <w:bookmarkEnd w:id="297"/>
      <w:bookmarkStart w:id="298" w:name="_Toc184313303"/>
      <w:bookmarkEnd w:id="298"/>
      <w:bookmarkStart w:id="299" w:name="_Toc184308044"/>
      <w:bookmarkEnd w:id="299"/>
      <w:bookmarkStart w:id="300" w:name="_Toc184314478"/>
      <w:bookmarkEnd w:id="300"/>
      <w:bookmarkStart w:id="301" w:name="_Toc184312093"/>
      <w:bookmarkEnd w:id="301"/>
      <w:bookmarkStart w:id="302" w:name="_Toc184314473"/>
      <w:bookmarkEnd w:id="302"/>
      <w:bookmarkStart w:id="303" w:name="_Toc184308036"/>
      <w:bookmarkEnd w:id="303"/>
      <w:bookmarkStart w:id="304" w:name="_Toc184312087"/>
      <w:bookmarkEnd w:id="304"/>
      <w:bookmarkStart w:id="305" w:name="_Toc184313285"/>
      <w:bookmarkEnd w:id="305"/>
      <w:bookmarkStart w:id="306" w:name="_Toc184310289"/>
      <w:bookmarkEnd w:id="306"/>
      <w:bookmarkStart w:id="307" w:name="_Toc184313244"/>
      <w:bookmarkEnd w:id="307"/>
      <w:bookmarkStart w:id="308" w:name="_Toc184313275"/>
      <w:bookmarkEnd w:id="308"/>
      <w:bookmarkStart w:id="309" w:name="_Toc184313241"/>
      <w:bookmarkEnd w:id="309"/>
      <w:bookmarkStart w:id="310" w:name="_Toc184312099"/>
      <w:bookmarkEnd w:id="310"/>
      <w:bookmarkStart w:id="311" w:name="_Toc184308069"/>
      <w:bookmarkEnd w:id="311"/>
      <w:bookmarkStart w:id="312" w:name="_Toc184308055"/>
      <w:bookmarkEnd w:id="312"/>
      <w:bookmarkStart w:id="313" w:name="_Toc184312089"/>
      <w:bookmarkEnd w:id="313"/>
      <w:bookmarkStart w:id="314" w:name="_Toc184310296"/>
      <w:bookmarkEnd w:id="314"/>
      <w:bookmarkStart w:id="315" w:name="_Toc184308080"/>
      <w:bookmarkEnd w:id="315"/>
      <w:bookmarkStart w:id="316" w:name="_Toc184313246"/>
      <w:bookmarkEnd w:id="316"/>
      <w:bookmarkStart w:id="317" w:name="_Toc184308066"/>
      <w:bookmarkEnd w:id="317"/>
      <w:bookmarkStart w:id="318" w:name="_Toc184313258"/>
      <w:bookmarkEnd w:id="318"/>
      <w:bookmarkStart w:id="319" w:name="_Toc184308058"/>
      <w:bookmarkEnd w:id="319"/>
      <w:bookmarkStart w:id="320" w:name="_Toc184310282"/>
      <w:bookmarkEnd w:id="320"/>
      <w:bookmarkStart w:id="321" w:name="_Toc184308068"/>
      <w:bookmarkEnd w:id="321"/>
      <w:bookmarkStart w:id="322" w:name="_Toc184312139"/>
      <w:bookmarkEnd w:id="322"/>
      <w:bookmarkStart w:id="323" w:name="_Toc184314459"/>
      <w:bookmarkEnd w:id="323"/>
      <w:bookmarkStart w:id="324" w:name="_Toc184313308"/>
      <w:bookmarkEnd w:id="324"/>
      <w:bookmarkStart w:id="325" w:name="_Toc184313256"/>
      <w:bookmarkEnd w:id="325"/>
      <w:bookmarkStart w:id="326" w:name="_Toc184308104"/>
      <w:bookmarkEnd w:id="326"/>
      <w:bookmarkStart w:id="327" w:name="_Toc184312127"/>
      <w:bookmarkEnd w:id="327"/>
      <w:bookmarkStart w:id="328" w:name="_Toc184308040"/>
      <w:bookmarkEnd w:id="328"/>
      <w:bookmarkStart w:id="329" w:name="_Toc184310322"/>
      <w:bookmarkEnd w:id="329"/>
      <w:bookmarkStart w:id="330" w:name="_Toc184313304"/>
      <w:bookmarkEnd w:id="330"/>
      <w:bookmarkStart w:id="331" w:name="_Toc184308106"/>
      <w:bookmarkEnd w:id="331"/>
      <w:bookmarkStart w:id="332" w:name="_Toc184310284"/>
      <w:bookmarkEnd w:id="332"/>
      <w:bookmarkStart w:id="333" w:name="_Toc184313252"/>
      <w:bookmarkEnd w:id="333"/>
      <w:bookmarkStart w:id="334" w:name="_Toc184314413"/>
      <w:bookmarkEnd w:id="334"/>
      <w:bookmarkStart w:id="335" w:name="_Toc184313302"/>
      <w:bookmarkEnd w:id="335"/>
      <w:bookmarkStart w:id="336" w:name="_Toc184312124"/>
      <w:bookmarkEnd w:id="336"/>
      <w:bookmarkStart w:id="337" w:name="_Toc184314458"/>
      <w:bookmarkEnd w:id="337"/>
      <w:bookmarkStart w:id="338" w:name="_Toc184312128"/>
      <w:bookmarkEnd w:id="338"/>
      <w:bookmarkStart w:id="339" w:name="_Toc184313262"/>
      <w:bookmarkEnd w:id="339"/>
      <w:bookmarkStart w:id="340" w:name="_Toc184314451"/>
      <w:bookmarkEnd w:id="340"/>
      <w:bookmarkStart w:id="341" w:name="_Toc184310319"/>
      <w:bookmarkEnd w:id="341"/>
      <w:bookmarkStart w:id="342" w:name="_Toc184308086"/>
      <w:bookmarkEnd w:id="342"/>
      <w:bookmarkStart w:id="343" w:name="_Toc184313263"/>
      <w:bookmarkEnd w:id="343"/>
      <w:bookmarkStart w:id="344" w:name="_Toc184314474"/>
      <w:bookmarkEnd w:id="344"/>
      <w:bookmarkStart w:id="345" w:name="_Toc184314465"/>
      <w:bookmarkEnd w:id="345"/>
      <w:bookmarkStart w:id="346" w:name="_Toc184314472"/>
      <w:bookmarkEnd w:id="346"/>
      <w:bookmarkStart w:id="347" w:name="_Toc184312126"/>
      <w:bookmarkEnd w:id="347"/>
      <w:bookmarkStart w:id="348" w:name="_Toc184314421"/>
      <w:bookmarkEnd w:id="348"/>
      <w:bookmarkStart w:id="349" w:name="_Toc184314446"/>
      <w:bookmarkEnd w:id="349"/>
      <w:bookmarkStart w:id="350" w:name="_Toc184312120"/>
      <w:bookmarkEnd w:id="350"/>
      <w:bookmarkStart w:id="351" w:name="_Toc184313251"/>
      <w:bookmarkEnd w:id="351"/>
      <w:bookmarkStart w:id="352" w:name="_Toc184312082"/>
      <w:bookmarkEnd w:id="352"/>
      <w:bookmarkStart w:id="353" w:name="_Toc184313259"/>
      <w:bookmarkEnd w:id="353"/>
      <w:bookmarkStart w:id="354" w:name="_Toc184310311"/>
      <w:bookmarkEnd w:id="354"/>
      <w:bookmarkStart w:id="355" w:name="_Toc184308091"/>
      <w:bookmarkEnd w:id="355"/>
      <w:bookmarkStart w:id="356" w:name="_Toc184313248"/>
      <w:bookmarkEnd w:id="356"/>
      <w:bookmarkStart w:id="357" w:name="_Toc184312119"/>
      <w:bookmarkEnd w:id="357"/>
      <w:bookmarkStart w:id="358" w:name="_Toc184312121"/>
      <w:bookmarkEnd w:id="358"/>
      <w:bookmarkStart w:id="359" w:name="_Toc184310309"/>
      <w:bookmarkEnd w:id="359"/>
      <w:bookmarkStart w:id="360" w:name="_Toc184310318"/>
      <w:bookmarkEnd w:id="360"/>
      <w:bookmarkStart w:id="361" w:name="_Toc184313278"/>
      <w:bookmarkEnd w:id="361"/>
      <w:bookmarkStart w:id="362" w:name="_Toc184313269"/>
      <w:bookmarkEnd w:id="362"/>
      <w:bookmarkStart w:id="363" w:name="_Toc184312125"/>
      <w:bookmarkEnd w:id="363"/>
      <w:bookmarkStart w:id="364" w:name="_Toc184313242"/>
      <w:bookmarkEnd w:id="364"/>
      <w:bookmarkStart w:id="365" w:name="_Toc184312117"/>
      <w:bookmarkEnd w:id="365"/>
      <w:bookmarkStart w:id="366" w:name="_Toc184313288"/>
      <w:bookmarkEnd w:id="366"/>
      <w:bookmarkStart w:id="367" w:name="_Toc184308108"/>
      <w:bookmarkEnd w:id="367"/>
      <w:bookmarkStart w:id="368" w:name="_Toc184310288"/>
      <w:bookmarkEnd w:id="368"/>
      <w:bookmarkStart w:id="369" w:name="_Toc184312074"/>
      <w:bookmarkEnd w:id="369"/>
      <w:bookmarkStart w:id="370" w:name="_Toc184312080"/>
      <w:bookmarkEnd w:id="370"/>
      <w:bookmarkStart w:id="371" w:name="_Toc184313277"/>
      <w:bookmarkEnd w:id="371"/>
      <w:bookmarkStart w:id="372" w:name="_Toc184313272"/>
      <w:bookmarkEnd w:id="372"/>
      <w:bookmarkStart w:id="373" w:name="_Toc184314475"/>
      <w:bookmarkEnd w:id="373"/>
      <w:bookmarkStart w:id="374" w:name="_Toc184310294"/>
      <w:bookmarkEnd w:id="374"/>
      <w:bookmarkStart w:id="375" w:name="_Toc184310307"/>
      <w:bookmarkEnd w:id="375"/>
      <w:bookmarkStart w:id="376" w:name="_Toc184310316"/>
      <w:bookmarkEnd w:id="376"/>
      <w:bookmarkStart w:id="377" w:name="_Toc184308074"/>
      <w:bookmarkEnd w:id="377"/>
      <w:bookmarkStart w:id="378" w:name="_Toc184314427"/>
      <w:bookmarkEnd w:id="378"/>
      <w:bookmarkStart w:id="379" w:name="_Toc184312084"/>
      <w:bookmarkEnd w:id="379"/>
      <w:bookmarkStart w:id="380" w:name="_Toc184312090"/>
      <w:bookmarkEnd w:id="380"/>
      <w:bookmarkStart w:id="381" w:name="_Toc184310292"/>
      <w:bookmarkEnd w:id="381"/>
      <w:r>
        <w:rPr>
          <w:rFonts w:hint="eastAsia" w:ascii="宋体" w:hAnsi="宋体" w:cs="宋体"/>
          <w:b/>
          <w:color w:val="auto"/>
          <w:sz w:val="36"/>
          <w:szCs w:val="36"/>
          <w:highlight w:val="none"/>
        </w:rPr>
        <w:t>交易办法</w:t>
      </w:r>
    </w:p>
    <w:p w14:paraId="02C7382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交易办法前附表</w:t>
      </w:r>
    </w:p>
    <w:p w14:paraId="1DE3F3DC">
      <w:pPr>
        <w:widowControl/>
        <w:numPr>
          <w:ilvl w:val="0"/>
          <w:numId w:val="2"/>
        </w:num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商务技术部分（</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0分）：</w:t>
      </w:r>
    </w:p>
    <w:tbl>
      <w:tblPr>
        <w:tblStyle w:val="65"/>
        <w:tblW w:w="9257" w:type="dxa"/>
        <w:tblInd w:w="11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6"/>
        <w:gridCol w:w="5"/>
        <w:gridCol w:w="746"/>
        <w:gridCol w:w="5372"/>
        <w:gridCol w:w="1040"/>
        <w:gridCol w:w="1258"/>
      </w:tblGrid>
      <w:tr w14:paraId="3A3F43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8" w:hRule="atLeast"/>
        </w:trPr>
        <w:tc>
          <w:tcPr>
            <w:tcW w:w="836" w:type="dxa"/>
            <w:noWrap w:val="0"/>
            <w:vAlign w:val="center"/>
          </w:tcPr>
          <w:p w14:paraId="6EDF9210">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6123" w:type="dxa"/>
            <w:gridSpan w:val="3"/>
            <w:noWrap w:val="0"/>
            <w:vAlign w:val="center"/>
          </w:tcPr>
          <w:p w14:paraId="6DB599DC">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评分内容和标准</w:t>
            </w:r>
          </w:p>
        </w:tc>
        <w:tc>
          <w:tcPr>
            <w:tcW w:w="1040" w:type="dxa"/>
            <w:noWrap w:val="0"/>
            <w:vAlign w:val="center"/>
          </w:tcPr>
          <w:p w14:paraId="0EBFB88E">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分值</w:t>
            </w:r>
          </w:p>
          <w:p w14:paraId="46AE1357">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区间</w:t>
            </w:r>
          </w:p>
        </w:tc>
        <w:tc>
          <w:tcPr>
            <w:tcW w:w="1258" w:type="dxa"/>
            <w:noWrap w:val="0"/>
            <w:vAlign w:val="center"/>
          </w:tcPr>
          <w:p w14:paraId="147EDD06">
            <w:pPr>
              <w:keepNext w:val="0"/>
              <w:keepLines w:val="0"/>
              <w:pageBreakBefore w:val="0"/>
              <w:kinsoku/>
              <w:wordWrap/>
              <w:overflowPunct/>
              <w:topLinePunct w:val="0"/>
              <w:autoSpaceDE/>
              <w:autoSpaceDN/>
              <w:bidi w:val="0"/>
              <w:adjustRightInd w:val="0"/>
              <w:snapToGrid/>
              <w:spacing w:line="36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主</w:t>
            </w:r>
            <w:r>
              <w:rPr>
                <w:rFonts w:hint="eastAsia" w:ascii="宋体" w:hAnsi="宋体" w:cs="宋体"/>
                <w:color w:val="auto"/>
                <w:sz w:val="24"/>
                <w:szCs w:val="24"/>
                <w:highlight w:val="none"/>
                <w:lang w:eastAsia="zh-CN"/>
              </w:rPr>
              <w:t>观分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客观分</w:t>
            </w:r>
          </w:p>
        </w:tc>
      </w:tr>
      <w:tr w14:paraId="013D44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9" w:hRule="atLeast"/>
        </w:trPr>
        <w:tc>
          <w:tcPr>
            <w:tcW w:w="836" w:type="dxa"/>
            <w:vMerge w:val="restart"/>
            <w:shd w:val="clear" w:color="auto" w:fill="auto"/>
            <w:noWrap w:val="0"/>
            <w:vAlign w:val="center"/>
          </w:tcPr>
          <w:p w14:paraId="4EF690FC">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商务资信（</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分）</w:t>
            </w:r>
          </w:p>
        </w:tc>
        <w:tc>
          <w:tcPr>
            <w:tcW w:w="751" w:type="dxa"/>
            <w:gridSpan w:val="2"/>
            <w:shd w:val="clear" w:color="auto" w:fill="auto"/>
            <w:noWrap w:val="0"/>
            <w:vAlign w:val="center"/>
          </w:tcPr>
          <w:p w14:paraId="3AE4FB8C">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p>
        </w:tc>
        <w:tc>
          <w:tcPr>
            <w:tcW w:w="5372" w:type="dxa"/>
            <w:shd w:val="clear" w:color="000000" w:fill="FFFFFF"/>
            <w:noWrap w:val="0"/>
            <w:vAlign w:val="center"/>
          </w:tcPr>
          <w:p w14:paraId="66BF3F53">
            <w:pPr>
              <w:widowControl/>
              <w:adjustRightInd w:val="0"/>
              <w:spacing w:line="240" w:lineRule="auto"/>
              <w:ind w:firstLine="0" w:firstLineChars="0"/>
              <w:jc w:val="left"/>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rPr>
              <w:t>供应商具备</w:t>
            </w:r>
            <w:r>
              <w:rPr>
                <w:rFonts w:hint="eastAsia" w:ascii="宋体" w:hAnsi="宋体" w:cs="宋体"/>
                <w:color w:val="auto"/>
                <w:kern w:val="0"/>
                <w:sz w:val="24"/>
                <w:szCs w:val="24"/>
                <w:highlight w:val="none"/>
                <w:lang w:val="en-US" w:eastAsia="zh-CN"/>
              </w:rPr>
              <w:t>有效的</w:t>
            </w:r>
            <w:r>
              <w:rPr>
                <w:rFonts w:hint="eastAsia" w:ascii="宋体" w:hAnsi="宋体" w:cs="宋体"/>
                <w:color w:val="auto"/>
                <w:sz w:val="24"/>
                <w:highlight w:val="none"/>
              </w:rPr>
              <w:t>质量管理体系认证、环境管理体系认证、职业健康安全管理体系认证</w:t>
            </w:r>
            <w:r>
              <w:rPr>
                <w:rFonts w:hint="eastAsia" w:ascii="宋体" w:hAnsi="宋体" w:cs="宋体"/>
                <w:color w:val="auto"/>
                <w:sz w:val="24"/>
                <w:highlight w:val="none"/>
                <w:lang w:eastAsia="zh-CN"/>
              </w:rPr>
              <w:t>、</w:t>
            </w:r>
            <w:r>
              <w:rPr>
                <w:rFonts w:hint="eastAsia" w:ascii="宋体" w:hAnsi="宋体" w:eastAsia="宋体" w:cs="宋体"/>
                <w:color w:val="auto"/>
                <w:kern w:val="0"/>
                <w:sz w:val="24"/>
                <w:szCs w:val="24"/>
                <w:highlight w:val="none"/>
                <w:lang w:eastAsia="zh-CN"/>
              </w:rPr>
              <w:t>信息安全管理体系认证证书</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信息技术服务运行维护资质证书；每</w:t>
            </w:r>
            <w:r>
              <w:rPr>
                <w:rFonts w:hint="eastAsia" w:ascii="宋体" w:hAnsi="宋体" w:eastAsia="宋体" w:cs="宋体"/>
                <w:color w:val="auto"/>
                <w:kern w:val="0"/>
                <w:sz w:val="24"/>
                <w:szCs w:val="24"/>
                <w:highlight w:val="none"/>
                <w:lang w:val="en-US" w:eastAsia="zh-CN"/>
              </w:rPr>
              <w:t>具备</w:t>
            </w:r>
            <w:r>
              <w:rPr>
                <w:rFonts w:hint="eastAsia" w:ascii="宋体" w:hAnsi="宋体" w:eastAsia="宋体" w:cs="宋体"/>
                <w:color w:val="auto"/>
                <w:kern w:val="0"/>
                <w:sz w:val="24"/>
                <w:szCs w:val="24"/>
                <w:highlight w:val="none"/>
                <w:lang w:eastAsia="zh-CN"/>
              </w:rPr>
              <w:t>一项得1分，最高得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分，不提供不得分(提供有效期内的证书扫描件并加盖</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eastAsia="zh-CN"/>
              </w:rPr>
              <w:t>公章)。</w:t>
            </w:r>
          </w:p>
        </w:tc>
        <w:tc>
          <w:tcPr>
            <w:tcW w:w="1040" w:type="dxa"/>
            <w:shd w:val="clear" w:color="000000" w:fill="FFFFFF"/>
            <w:noWrap w:val="0"/>
            <w:vAlign w:val="center"/>
          </w:tcPr>
          <w:p w14:paraId="2669C56E">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en-US" w:eastAsia="zh-CN"/>
              </w:rPr>
              <w:t>分</w:t>
            </w:r>
          </w:p>
        </w:tc>
        <w:tc>
          <w:tcPr>
            <w:tcW w:w="1258" w:type="dxa"/>
            <w:shd w:val="clear" w:color="000000" w:fill="FFFFFF"/>
            <w:noWrap w:val="0"/>
            <w:vAlign w:val="center"/>
          </w:tcPr>
          <w:p w14:paraId="7B6A1436">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客观分</w:t>
            </w:r>
          </w:p>
        </w:tc>
      </w:tr>
      <w:tr w14:paraId="74D97B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2" w:hRule="atLeast"/>
        </w:trPr>
        <w:tc>
          <w:tcPr>
            <w:tcW w:w="836" w:type="dxa"/>
            <w:vMerge w:val="continue"/>
            <w:shd w:val="clear" w:color="auto" w:fill="auto"/>
            <w:noWrap w:val="0"/>
            <w:vAlign w:val="center"/>
          </w:tcPr>
          <w:p w14:paraId="158A74D9">
            <w:pPr>
              <w:keepNext w:val="0"/>
              <w:keepLines w:val="0"/>
              <w:pageBreakBefore w:val="0"/>
              <w:widowControl/>
              <w:kinsoku/>
              <w:wordWrap/>
              <w:overflowPunct/>
              <w:topLinePunct w:val="0"/>
              <w:autoSpaceDE/>
              <w:autoSpaceDN/>
              <w:bidi w:val="0"/>
              <w:adjustRightInd w:val="0"/>
              <w:snapToGrid/>
              <w:spacing w:line="360" w:lineRule="exact"/>
              <w:ind w:firstLine="0" w:firstLineChars="0"/>
              <w:jc w:val="left"/>
              <w:textAlignment w:val="auto"/>
              <w:rPr>
                <w:rFonts w:hint="eastAsia" w:ascii="宋体" w:hAnsi="宋体" w:eastAsia="宋体" w:cs="宋体"/>
                <w:color w:val="auto"/>
                <w:kern w:val="0"/>
                <w:sz w:val="24"/>
                <w:szCs w:val="24"/>
                <w:highlight w:val="none"/>
              </w:rPr>
            </w:pPr>
          </w:p>
        </w:tc>
        <w:tc>
          <w:tcPr>
            <w:tcW w:w="751" w:type="dxa"/>
            <w:gridSpan w:val="2"/>
            <w:shd w:val="clear" w:color="auto" w:fill="auto"/>
            <w:noWrap w:val="0"/>
            <w:vAlign w:val="center"/>
          </w:tcPr>
          <w:p w14:paraId="4002DABF">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5372" w:type="dxa"/>
            <w:shd w:val="clear" w:color="000000" w:fill="FFFFFF"/>
            <w:noWrap w:val="0"/>
            <w:vAlign w:val="center"/>
          </w:tcPr>
          <w:p w14:paraId="3C90C032">
            <w:pPr>
              <w:widowControl/>
              <w:adjustRightInd w:val="0"/>
              <w:spacing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自20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月1日至今</w:t>
            </w:r>
            <w:r>
              <w:rPr>
                <w:rFonts w:hint="eastAsia" w:ascii="宋体" w:hAnsi="宋体" w:eastAsia="宋体" w:cs="宋体"/>
                <w:color w:val="auto"/>
                <w:kern w:val="0"/>
                <w:sz w:val="24"/>
                <w:szCs w:val="24"/>
                <w:highlight w:val="none"/>
                <w:lang w:eastAsia="zh-CN"/>
              </w:rPr>
              <w:t>具有同类</w:t>
            </w:r>
            <w:r>
              <w:rPr>
                <w:rFonts w:hint="eastAsia" w:ascii="宋体" w:hAnsi="宋体" w:eastAsia="宋体" w:cs="宋体"/>
                <w:color w:val="auto"/>
                <w:kern w:val="0"/>
                <w:sz w:val="24"/>
                <w:szCs w:val="24"/>
                <w:highlight w:val="none"/>
              </w:rPr>
              <w:t>项目业绩</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，每个业绩得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eastAsia="zh-CN"/>
              </w:rPr>
              <w:t>文件中提供合同复印件，</w:t>
            </w:r>
            <w:r>
              <w:rPr>
                <w:rFonts w:hint="eastAsia" w:ascii="宋体" w:hAnsi="宋体" w:eastAsia="宋体" w:cs="宋体"/>
                <w:color w:val="auto"/>
                <w:kern w:val="0"/>
                <w:sz w:val="24"/>
                <w:szCs w:val="24"/>
                <w:highlight w:val="none"/>
                <w:lang w:val="en-US" w:eastAsia="zh-CN"/>
              </w:rPr>
              <w:t>不提供不得分</w:t>
            </w:r>
            <w:r>
              <w:rPr>
                <w:rFonts w:hint="eastAsia" w:ascii="宋体" w:hAnsi="宋体" w:eastAsia="宋体" w:cs="宋体"/>
                <w:color w:val="auto"/>
                <w:kern w:val="0"/>
                <w:sz w:val="24"/>
                <w:szCs w:val="24"/>
                <w:highlight w:val="none"/>
              </w:rPr>
              <w:t>。）</w:t>
            </w:r>
          </w:p>
        </w:tc>
        <w:tc>
          <w:tcPr>
            <w:tcW w:w="1040" w:type="dxa"/>
            <w:shd w:val="clear" w:color="000000" w:fill="FFFFFF"/>
            <w:noWrap w:val="0"/>
            <w:vAlign w:val="center"/>
          </w:tcPr>
          <w:p w14:paraId="5FA69BF8">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0-3</w:t>
            </w:r>
            <w:r>
              <w:rPr>
                <w:rFonts w:hint="eastAsia" w:ascii="宋体" w:hAnsi="宋体" w:eastAsia="宋体" w:cs="宋体"/>
                <w:color w:val="auto"/>
                <w:kern w:val="0"/>
                <w:sz w:val="24"/>
                <w:szCs w:val="24"/>
                <w:highlight w:val="none"/>
                <w:lang w:eastAsia="zh-CN"/>
              </w:rPr>
              <w:t>分</w:t>
            </w:r>
          </w:p>
        </w:tc>
        <w:tc>
          <w:tcPr>
            <w:tcW w:w="1258" w:type="dxa"/>
            <w:shd w:val="clear" w:color="000000" w:fill="FFFFFF"/>
            <w:noWrap w:val="0"/>
            <w:vAlign w:val="center"/>
          </w:tcPr>
          <w:p w14:paraId="6A062F53">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客观分</w:t>
            </w:r>
          </w:p>
        </w:tc>
      </w:tr>
      <w:tr w14:paraId="56B6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41" w:type="dxa"/>
            <w:gridSpan w:val="2"/>
            <w:vMerge w:val="restart"/>
            <w:shd w:val="clear" w:color="auto" w:fill="auto"/>
            <w:noWrap w:val="0"/>
            <w:vAlign w:val="center"/>
          </w:tcPr>
          <w:p w14:paraId="02054D45">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技术分（6</w:t>
            </w:r>
            <w:r>
              <w:rPr>
                <w:rFonts w:hint="eastAsia" w:ascii="宋体" w:hAnsi="宋体" w:cs="宋体"/>
                <w:b/>
                <w:bCs/>
                <w:color w:val="auto"/>
                <w:kern w:val="0"/>
                <w:sz w:val="24"/>
                <w:szCs w:val="24"/>
                <w:highlight w:val="none"/>
                <w:lang w:val="en-US" w:eastAsia="zh-CN" w:bidi="ar-SA"/>
              </w:rPr>
              <w:t>2</w:t>
            </w:r>
            <w:r>
              <w:rPr>
                <w:rFonts w:hint="eastAsia" w:ascii="宋体" w:hAnsi="宋体" w:eastAsia="宋体" w:cs="宋体"/>
                <w:b/>
                <w:bCs/>
                <w:color w:val="auto"/>
                <w:kern w:val="0"/>
                <w:sz w:val="24"/>
                <w:szCs w:val="24"/>
                <w:highlight w:val="none"/>
                <w:lang w:val="en-US" w:eastAsia="zh-CN" w:bidi="ar-SA"/>
              </w:rPr>
              <w:t>分）</w:t>
            </w:r>
          </w:p>
        </w:tc>
        <w:tc>
          <w:tcPr>
            <w:tcW w:w="746" w:type="dxa"/>
            <w:shd w:val="clear" w:color="auto" w:fill="auto"/>
            <w:noWrap w:val="0"/>
            <w:vAlign w:val="center"/>
          </w:tcPr>
          <w:p w14:paraId="24EDFAB4">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5372" w:type="dxa"/>
            <w:shd w:val="clear" w:color="000000" w:fill="FFFFFF"/>
            <w:noWrap w:val="0"/>
            <w:vAlign w:val="center"/>
          </w:tcPr>
          <w:p w14:paraId="5AE69988">
            <w:pPr>
              <w:widowControl/>
              <w:adjustRightInd w:val="0"/>
              <w:spacing w:line="240" w:lineRule="auto"/>
              <w:ind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供应商根据</w:t>
            </w:r>
            <w:r>
              <w:rPr>
                <w:rFonts w:hint="eastAsia" w:ascii="宋体" w:hAnsi="宋体" w:eastAsia="宋体" w:cs="宋体"/>
                <w:color w:val="auto"/>
                <w:kern w:val="0"/>
                <w:sz w:val="24"/>
                <w:szCs w:val="24"/>
                <w:highlight w:val="none"/>
                <w:lang w:val="en-US" w:eastAsia="zh-CN"/>
              </w:rPr>
              <w:t>对</w:t>
            </w:r>
            <w:r>
              <w:rPr>
                <w:rFonts w:hint="eastAsia" w:ascii="宋体" w:hAnsi="宋体" w:eastAsia="宋体" w:cs="宋体"/>
                <w:color w:val="auto"/>
                <w:kern w:val="0"/>
                <w:sz w:val="24"/>
                <w:szCs w:val="24"/>
                <w:highlight w:val="none"/>
                <w:lang w:eastAsia="zh-CN"/>
              </w:rPr>
              <w:t>视频专网整体网络及终端设备接入架构建设现状的理解描述</w:t>
            </w:r>
            <w:r>
              <w:rPr>
                <w:rFonts w:hint="eastAsia" w:ascii="宋体" w:hAnsi="宋体" w:cs="宋体"/>
                <w:color w:val="auto"/>
                <w:kern w:val="0"/>
                <w:sz w:val="24"/>
                <w:szCs w:val="24"/>
                <w:highlight w:val="none"/>
                <w:lang w:eastAsia="zh-CN"/>
              </w:rPr>
              <w:t>方案评定</w:t>
            </w:r>
            <w:r>
              <w:rPr>
                <w:rFonts w:hint="eastAsia" w:ascii="宋体" w:hAnsi="宋体" w:eastAsia="宋体" w:cs="宋体"/>
                <w:color w:val="auto"/>
                <w:kern w:val="0"/>
                <w:sz w:val="24"/>
                <w:szCs w:val="24"/>
                <w:highlight w:val="none"/>
                <w:lang w:eastAsia="zh-CN"/>
              </w:rPr>
              <w:t>。</w:t>
            </w:r>
          </w:p>
          <w:p w14:paraId="5D574672">
            <w:pPr>
              <w:widowControl/>
              <w:adjustRightInd w:val="0"/>
              <w:spacing w:line="240" w:lineRule="auto"/>
              <w:ind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理解全面的得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分，理解较为全面的得3-</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分，理解不足的得1-2分。</w:t>
            </w:r>
          </w:p>
        </w:tc>
        <w:tc>
          <w:tcPr>
            <w:tcW w:w="1040" w:type="dxa"/>
            <w:noWrap w:val="0"/>
            <w:vAlign w:val="center"/>
          </w:tcPr>
          <w:p w14:paraId="11C85639">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5分</w:t>
            </w:r>
          </w:p>
        </w:tc>
        <w:tc>
          <w:tcPr>
            <w:tcW w:w="1258" w:type="dxa"/>
            <w:noWrap w:val="0"/>
            <w:vAlign w:val="center"/>
          </w:tcPr>
          <w:p w14:paraId="244B89C7">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主观分</w:t>
            </w:r>
          </w:p>
        </w:tc>
      </w:tr>
      <w:tr w14:paraId="3393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41" w:type="dxa"/>
            <w:gridSpan w:val="2"/>
            <w:vMerge w:val="continue"/>
            <w:shd w:val="clear" w:color="auto" w:fill="auto"/>
            <w:noWrap w:val="0"/>
            <w:vAlign w:val="center"/>
          </w:tcPr>
          <w:p w14:paraId="7CA45724">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b/>
                <w:bCs/>
                <w:color w:val="auto"/>
                <w:kern w:val="0"/>
                <w:sz w:val="24"/>
                <w:szCs w:val="24"/>
                <w:highlight w:val="none"/>
                <w:lang w:val="en-US" w:eastAsia="zh-CN" w:bidi="ar-SA"/>
              </w:rPr>
            </w:pPr>
          </w:p>
        </w:tc>
        <w:tc>
          <w:tcPr>
            <w:tcW w:w="746" w:type="dxa"/>
            <w:shd w:val="clear" w:color="auto" w:fill="auto"/>
            <w:noWrap w:val="0"/>
            <w:vAlign w:val="center"/>
          </w:tcPr>
          <w:p w14:paraId="7E629DE2">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5372" w:type="dxa"/>
            <w:shd w:val="clear" w:color="000000" w:fill="FFFFFF"/>
            <w:noWrap w:val="0"/>
            <w:vAlign w:val="center"/>
          </w:tcPr>
          <w:p w14:paraId="78AC8507">
            <w:pPr>
              <w:widowControl/>
              <w:adjustRightInd w:val="0"/>
              <w:spacing w:line="240" w:lineRule="auto"/>
              <w:ind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供应商根据</w:t>
            </w:r>
            <w:r>
              <w:rPr>
                <w:rFonts w:hint="eastAsia" w:ascii="宋体" w:hAnsi="宋体" w:eastAsia="宋体" w:cs="宋体"/>
                <w:color w:val="auto"/>
                <w:kern w:val="0"/>
                <w:sz w:val="24"/>
                <w:szCs w:val="24"/>
                <w:highlight w:val="none"/>
                <w:lang w:eastAsia="zh-CN"/>
              </w:rPr>
              <w:t>对视频专网安全准入建设现状的理解描述</w:t>
            </w:r>
            <w:r>
              <w:rPr>
                <w:rFonts w:hint="eastAsia" w:ascii="宋体" w:hAnsi="宋体" w:cs="宋体"/>
                <w:color w:val="auto"/>
                <w:kern w:val="0"/>
                <w:sz w:val="24"/>
                <w:szCs w:val="24"/>
                <w:highlight w:val="none"/>
                <w:lang w:eastAsia="zh-CN"/>
              </w:rPr>
              <w:t>方案评定</w:t>
            </w:r>
            <w:r>
              <w:rPr>
                <w:rFonts w:hint="eastAsia" w:ascii="宋体" w:hAnsi="宋体" w:eastAsia="宋体" w:cs="宋体"/>
                <w:color w:val="auto"/>
                <w:kern w:val="0"/>
                <w:sz w:val="24"/>
                <w:szCs w:val="24"/>
                <w:highlight w:val="none"/>
                <w:lang w:eastAsia="zh-CN"/>
              </w:rPr>
              <w:t>。</w:t>
            </w:r>
          </w:p>
          <w:p w14:paraId="3C680D6D">
            <w:pPr>
              <w:widowControl/>
              <w:adjustRightInd w:val="0"/>
              <w:spacing w:line="240" w:lineRule="auto"/>
              <w:ind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原理、手段完善，描述清晰的得5分，原理、手段较完善，描述比较清晰的得3-4分，原理、手段不足，描述不清的得1-2分。</w:t>
            </w:r>
          </w:p>
        </w:tc>
        <w:tc>
          <w:tcPr>
            <w:tcW w:w="1040" w:type="dxa"/>
            <w:noWrap w:val="0"/>
            <w:vAlign w:val="center"/>
          </w:tcPr>
          <w:p w14:paraId="0F3B17C2">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5分</w:t>
            </w:r>
          </w:p>
        </w:tc>
        <w:tc>
          <w:tcPr>
            <w:tcW w:w="1258" w:type="dxa"/>
            <w:noWrap w:val="0"/>
            <w:vAlign w:val="center"/>
          </w:tcPr>
          <w:p w14:paraId="4036AE55">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主观分</w:t>
            </w:r>
          </w:p>
        </w:tc>
      </w:tr>
      <w:tr w14:paraId="34C4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41" w:type="dxa"/>
            <w:gridSpan w:val="2"/>
            <w:vMerge w:val="continue"/>
            <w:shd w:val="clear" w:color="auto" w:fill="auto"/>
            <w:noWrap w:val="0"/>
            <w:vAlign w:val="center"/>
          </w:tcPr>
          <w:p w14:paraId="049B6AAC">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b/>
                <w:bCs/>
                <w:color w:val="auto"/>
                <w:kern w:val="0"/>
                <w:sz w:val="24"/>
                <w:szCs w:val="24"/>
                <w:highlight w:val="none"/>
                <w:lang w:val="en-US" w:eastAsia="zh-CN" w:bidi="ar-SA"/>
              </w:rPr>
            </w:pPr>
          </w:p>
        </w:tc>
        <w:tc>
          <w:tcPr>
            <w:tcW w:w="746" w:type="dxa"/>
            <w:shd w:val="clear" w:color="auto" w:fill="auto"/>
            <w:noWrap w:val="0"/>
            <w:vAlign w:val="center"/>
          </w:tcPr>
          <w:p w14:paraId="33CC3474">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5372" w:type="dxa"/>
            <w:shd w:val="clear" w:color="000000" w:fill="FFFFFF"/>
            <w:noWrap w:val="0"/>
            <w:vAlign w:val="center"/>
          </w:tcPr>
          <w:p w14:paraId="43FB04FC">
            <w:pPr>
              <w:widowControl/>
              <w:adjustRightInd w:val="0"/>
              <w:spacing w:line="240" w:lineRule="auto"/>
              <w:ind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供应商根据</w:t>
            </w:r>
            <w:r>
              <w:rPr>
                <w:rFonts w:hint="eastAsia" w:ascii="宋体" w:hAnsi="宋体" w:eastAsia="宋体" w:cs="宋体"/>
                <w:color w:val="auto"/>
                <w:kern w:val="0"/>
                <w:sz w:val="24"/>
                <w:szCs w:val="24"/>
                <w:highlight w:val="none"/>
                <w:lang w:eastAsia="zh-CN"/>
              </w:rPr>
              <w:t>对视频后端存储部署及托管原理、现状的理解描述</w:t>
            </w:r>
            <w:r>
              <w:rPr>
                <w:rFonts w:hint="eastAsia" w:ascii="宋体" w:hAnsi="宋体" w:cs="宋体"/>
                <w:color w:val="auto"/>
                <w:kern w:val="0"/>
                <w:sz w:val="24"/>
                <w:szCs w:val="24"/>
                <w:highlight w:val="none"/>
                <w:lang w:eastAsia="zh-CN"/>
              </w:rPr>
              <w:t>方案评定</w:t>
            </w:r>
            <w:r>
              <w:rPr>
                <w:rFonts w:hint="eastAsia" w:ascii="宋体" w:hAnsi="宋体" w:eastAsia="宋体" w:cs="宋体"/>
                <w:color w:val="auto"/>
                <w:kern w:val="0"/>
                <w:sz w:val="24"/>
                <w:szCs w:val="24"/>
                <w:highlight w:val="none"/>
                <w:lang w:eastAsia="zh-CN"/>
              </w:rPr>
              <w:t>。</w:t>
            </w:r>
          </w:p>
          <w:p w14:paraId="7931BCC6">
            <w:pPr>
              <w:widowControl/>
              <w:adjustRightInd w:val="0"/>
              <w:spacing w:line="240" w:lineRule="auto"/>
              <w:ind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理解全面的得5分，理解较为全面的得3-4分，理解不足的得1-2分。</w:t>
            </w:r>
          </w:p>
        </w:tc>
        <w:tc>
          <w:tcPr>
            <w:tcW w:w="1040" w:type="dxa"/>
            <w:noWrap w:val="0"/>
            <w:vAlign w:val="center"/>
          </w:tcPr>
          <w:p w14:paraId="6C54BAB1">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5分</w:t>
            </w:r>
          </w:p>
        </w:tc>
        <w:tc>
          <w:tcPr>
            <w:tcW w:w="1258" w:type="dxa"/>
            <w:noWrap w:val="0"/>
            <w:vAlign w:val="center"/>
          </w:tcPr>
          <w:p w14:paraId="422743EB">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主观分</w:t>
            </w:r>
          </w:p>
        </w:tc>
      </w:tr>
      <w:tr w14:paraId="7BE2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1" w:type="dxa"/>
            <w:gridSpan w:val="2"/>
            <w:vMerge w:val="continue"/>
            <w:shd w:val="clear" w:color="auto" w:fill="auto"/>
            <w:noWrap w:val="0"/>
            <w:vAlign w:val="center"/>
          </w:tcPr>
          <w:p w14:paraId="3E66A34B">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color w:val="auto"/>
                <w:kern w:val="0"/>
                <w:sz w:val="24"/>
                <w:szCs w:val="24"/>
                <w:highlight w:val="none"/>
              </w:rPr>
            </w:pPr>
          </w:p>
        </w:tc>
        <w:tc>
          <w:tcPr>
            <w:tcW w:w="746" w:type="dxa"/>
            <w:shd w:val="clear" w:color="auto" w:fill="auto"/>
            <w:noWrap w:val="0"/>
            <w:vAlign w:val="center"/>
          </w:tcPr>
          <w:p w14:paraId="08682691">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5372" w:type="dxa"/>
            <w:shd w:val="clear" w:color="000000" w:fill="FFFFFF"/>
            <w:noWrap w:val="0"/>
            <w:vAlign w:val="center"/>
          </w:tcPr>
          <w:p w14:paraId="5087809E">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全部满足招标文件明确的功能、性能和技术指标要求并按要求提交证明材料，得</w:t>
            </w:r>
            <w:r>
              <w:rPr>
                <w:rFonts w:hint="default"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6分；以“◆”号标注的，为主要技术指标，每一条不满足扣1分，其余一般性指标条款，每一条不满足扣0.5分，扣完为止。</w:t>
            </w:r>
          </w:p>
        </w:tc>
        <w:tc>
          <w:tcPr>
            <w:tcW w:w="1040" w:type="dxa"/>
            <w:noWrap w:val="0"/>
            <w:vAlign w:val="center"/>
          </w:tcPr>
          <w:p w14:paraId="777BF395">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r>
              <w:rPr>
                <w:rFonts w:hint="default"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6分</w:t>
            </w:r>
          </w:p>
        </w:tc>
        <w:tc>
          <w:tcPr>
            <w:tcW w:w="1258" w:type="dxa"/>
            <w:noWrap w:val="0"/>
            <w:vAlign w:val="center"/>
          </w:tcPr>
          <w:p w14:paraId="74F70534">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r>
      <w:tr w14:paraId="3577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41" w:type="dxa"/>
            <w:gridSpan w:val="2"/>
            <w:vMerge w:val="continue"/>
            <w:shd w:val="clear" w:color="auto" w:fill="auto"/>
            <w:noWrap w:val="0"/>
            <w:vAlign w:val="center"/>
          </w:tcPr>
          <w:p w14:paraId="65963B0F">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color w:val="auto"/>
                <w:kern w:val="0"/>
                <w:sz w:val="24"/>
                <w:szCs w:val="24"/>
                <w:highlight w:val="none"/>
              </w:rPr>
            </w:pPr>
          </w:p>
        </w:tc>
        <w:tc>
          <w:tcPr>
            <w:tcW w:w="746" w:type="dxa"/>
            <w:shd w:val="clear" w:color="auto" w:fill="auto"/>
            <w:noWrap w:val="0"/>
            <w:vAlign w:val="center"/>
          </w:tcPr>
          <w:p w14:paraId="0B9052D6">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5372" w:type="dxa"/>
            <w:shd w:val="clear" w:color="000000" w:fill="FFFFFF"/>
            <w:noWrap w:val="0"/>
            <w:vAlign w:val="center"/>
          </w:tcPr>
          <w:p w14:paraId="34AA5276">
            <w:pPr>
              <w:widowControl/>
              <w:adjustRightInd w:val="0"/>
              <w:spacing w:line="24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供应商保证进度和项目完成的方案和措施等综合评定（根据</w:t>
            </w:r>
            <w:r>
              <w:rPr>
                <w:rFonts w:hint="eastAsia" w:ascii="宋体" w:hAnsi="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提交的组织施工方案及按照物资投入情况、施工进度保证、项目质量保证、项目风险应对等方面综合评审。）</w:t>
            </w:r>
          </w:p>
          <w:p w14:paraId="01DDB35B">
            <w:pPr>
              <w:widowControl/>
              <w:adjustRightInd w:val="0"/>
              <w:spacing w:line="24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（分值：</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4-3-2-1-0）</w:t>
            </w:r>
          </w:p>
        </w:tc>
        <w:tc>
          <w:tcPr>
            <w:tcW w:w="1040" w:type="dxa"/>
            <w:noWrap w:val="0"/>
            <w:vAlign w:val="center"/>
          </w:tcPr>
          <w:p w14:paraId="53D6FCB9">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5分</w:t>
            </w:r>
            <w:r>
              <w:rPr>
                <w:rFonts w:hint="eastAsia" w:ascii="宋体" w:hAnsi="宋体" w:eastAsia="宋体" w:cs="宋体"/>
                <w:color w:val="auto"/>
                <w:kern w:val="0"/>
                <w:sz w:val="24"/>
                <w:szCs w:val="24"/>
                <w:highlight w:val="none"/>
              </w:rPr>
              <w:t>　</w:t>
            </w:r>
          </w:p>
        </w:tc>
        <w:tc>
          <w:tcPr>
            <w:tcW w:w="1258" w:type="dxa"/>
            <w:noWrap w:val="0"/>
            <w:vAlign w:val="center"/>
          </w:tcPr>
          <w:p w14:paraId="6FF774F6">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主观分</w:t>
            </w:r>
          </w:p>
        </w:tc>
      </w:tr>
      <w:tr w14:paraId="71A1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1" w:type="dxa"/>
            <w:gridSpan w:val="2"/>
            <w:vMerge w:val="continue"/>
            <w:shd w:val="clear" w:color="auto" w:fill="auto"/>
            <w:noWrap w:val="0"/>
            <w:vAlign w:val="center"/>
          </w:tcPr>
          <w:p w14:paraId="0277C7BF">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color w:val="auto"/>
                <w:kern w:val="0"/>
                <w:sz w:val="24"/>
                <w:szCs w:val="24"/>
                <w:highlight w:val="none"/>
              </w:rPr>
            </w:pPr>
          </w:p>
        </w:tc>
        <w:tc>
          <w:tcPr>
            <w:tcW w:w="746" w:type="dxa"/>
            <w:shd w:val="clear" w:color="auto" w:fill="auto"/>
            <w:noWrap w:val="0"/>
            <w:vAlign w:val="center"/>
          </w:tcPr>
          <w:p w14:paraId="00B1F596">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5372" w:type="dxa"/>
            <w:shd w:val="clear" w:color="000000" w:fill="FFFFFF"/>
            <w:noWrap w:val="0"/>
            <w:vAlign w:val="center"/>
          </w:tcPr>
          <w:p w14:paraId="56355584">
            <w:pPr>
              <w:widowControl/>
              <w:adjustRightInd w:val="0"/>
              <w:spacing w:line="24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项目负责人及技术力量安排，根据项目团队的职称、执业资格、项目经验等因素，综合评定。</w:t>
            </w:r>
          </w:p>
          <w:p w14:paraId="0AD14A6A">
            <w:pPr>
              <w:widowControl/>
              <w:adjustRightInd w:val="0"/>
              <w:spacing w:line="24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1.投标方案中拟担任项目组负责人具备高级工程师证书（信息技术）的，得1分</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具备信息系统项目管理师证书（高级）的，得1分</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信息安全保障人员认证证书的，得1分</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本项最高得3分</w:t>
            </w:r>
            <w:r>
              <w:rPr>
                <w:rFonts w:hint="eastAsia" w:ascii="宋体" w:hAnsi="宋体" w:cs="宋体"/>
                <w:color w:val="auto"/>
                <w:kern w:val="0"/>
                <w:sz w:val="24"/>
                <w:szCs w:val="24"/>
                <w:highlight w:val="none"/>
                <w:lang w:val="en-US" w:eastAsia="zh-CN" w:bidi="ar-SA"/>
              </w:rPr>
              <w:t>。</w:t>
            </w:r>
          </w:p>
          <w:p w14:paraId="4BA2013E">
            <w:pPr>
              <w:widowControl/>
              <w:adjustRightInd w:val="0"/>
              <w:spacing w:line="24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.项目团队中人员具</w:t>
            </w:r>
            <w:r>
              <w:rPr>
                <w:rFonts w:hint="eastAsia" w:ascii="宋体" w:hAnsi="宋体" w:cs="宋体"/>
                <w:color w:val="auto"/>
                <w:kern w:val="0"/>
                <w:sz w:val="24"/>
                <w:szCs w:val="24"/>
                <w:highlight w:val="none"/>
                <w:lang w:val="en-US" w:eastAsia="zh-CN" w:bidi="ar-SA"/>
              </w:rPr>
              <w:t>有</w:t>
            </w:r>
            <w:r>
              <w:rPr>
                <w:rFonts w:hint="eastAsia" w:ascii="宋体" w:hAnsi="宋体" w:eastAsia="宋体" w:cs="宋体"/>
                <w:color w:val="auto"/>
                <w:kern w:val="0"/>
                <w:sz w:val="24"/>
                <w:szCs w:val="24"/>
                <w:highlight w:val="none"/>
                <w:lang w:val="en-US" w:eastAsia="zh-CN" w:bidi="ar-SA"/>
              </w:rPr>
              <w:t>电工证</w:t>
            </w:r>
            <w:r>
              <w:rPr>
                <w:rFonts w:hint="eastAsia" w:ascii="宋体" w:hAnsi="宋体" w:cs="宋体"/>
                <w:color w:val="auto"/>
                <w:kern w:val="0"/>
                <w:sz w:val="24"/>
                <w:szCs w:val="24"/>
                <w:highlight w:val="none"/>
                <w:lang w:val="en-US" w:eastAsia="zh-CN" w:bidi="ar-SA"/>
              </w:rPr>
              <w:t>及</w:t>
            </w:r>
            <w:r>
              <w:rPr>
                <w:rFonts w:hint="eastAsia" w:ascii="宋体" w:hAnsi="宋体" w:eastAsia="宋体" w:cs="宋体"/>
                <w:color w:val="auto"/>
                <w:kern w:val="0"/>
                <w:sz w:val="24"/>
                <w:szCs w:val="24"/>
                <w:highlight w:val="none"/>
                <w:lang w:val="en-US" w:eastAsia="zh-CN" w:bidi="ar-SA"/>
              </w:rPr>
              <w:t>登高证的，</w:t>
            </w:r>
            <w:r>
              <w:rPr>
                <w:rFonts w:hint="eastAsia" w:ascii="宋体" w:hAnsi="宋体" w:cs="宋体"/>
                <w:color w:val="auto"/>
                <w:kern w:val="0"/>
                <w:sz w:val="24"/>
                <w:szCs w:val="24"/>
                <w:highlight w:val="none"/>
                <w:lang w:val="en-US" w:eastAsia="zh-CN" w:bidi="ar-SA"/>
              </w:rPr>
              <w:t>每人得1分，最高</w:t>
            </w:r>
            <w:r>
              <w:rPr>
                <w:rFonts w:hint="eastAsia" w:ascii="宋体" w:hAnsi="宋体" w:eastAsia="宋体" w:cs="宋体"/>
                <w:color w:val="auto"/>
                <w:kern w:val="0"/>
                <w:sz w:val="24"/>
                <w:szCs w:val="24"/>
                <w:highlight w:val="none"/>
                <w:lang w:val="en-US" w:eastAsia="zh-CN" w:bidi="ar-SA"/>
              </w:rPr>
              <w:t>得2分</w:t>
            </w:r>
            <w:r>
              <w:rPr>
                <w:rFonts w:hint="eastAsia" w:ascii="宋体" w:hAnsi="宋体" w:cs="宋体"/>
                <w:color w:val="auto"/>
                <w:kern w:val="0"/>
                <w:sz w:val="24"/>
                <w:szCs w:val="24"/>
                <w:highlight w:val="none"/>
                <w:lang w:val="en-US" w:eastAsia="zh-CN" w:bidi="ar-SA"/>
              </w:rPr>
              <w:t>；同一人员不累加</w:t>
            </w:r>
            <w:r>
              <w:rPr>
                <w:rFonts w:hint="eastAsia" w:ascii="宋体" w:hAnsi="宋体" w:eastAsia="宋体" w:cs="宋体"/>
                <w:color w:val="auto"/>
                <w:kern w:val="0"/>
                <w:sz w:val="24"/>
                <w:szCs w:val="24"/>
                <w:highlight w:val="none"/>
                <w:lang w:val="en-US" w:eastAsia="zh-CN" w:bidi="ar-SA"/>
              </w:rPr>
              <w:t>，其余不得分。</w:t>
            </w:r>
          </w:p>
          <w:p w14:paraId="4F247DF2">
            <w:pPr>
              <w:widowControl/>
              <w:adjustRightInd w:val="0"/>
              <w:spacing w:line="240" w:lineRule="auto"/>
              <w:ind w:firstLine="0" w:firstLineChars="0"/>
              <w:jc w:val="left"/>
              <w:rPr>
                <w:rFonts w:hint="eastAsia"/>
                <w:color w:val="auto"/>
                <w:highlight w:val="none"/>
                <w:lang w:val="en-US" w:eastAsia="zh-CN"/>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响应</w:t>
            </w:r>
            <w:r>
              <w:rPr>
                <w:rFonts w:hint="eastAsia" w:ascii="宋体" w:hAnsi="宋体" w:eastAsia="宋体" w:cs="宋体"/>
                <w:color w:val="auto"/>
                <w:kern w:val="0"/>
                <w:sz w:val="24"/>
                <w:szCs w:val="24"/>
                <w:highlight w:val="none"/>
                <w:lang w:val="en-US" w:eastAsia="zh-CN" w:bidi="ar-SA"/>
              </w:rPr>
              <w:t>文件中须附对应人员相关证书复印件并加盖供应商公章，同时提供持证人员最近连续三个月在本单位的社保缴纳证明。）</w:t>
            </w:r>
          </w:p>
        </w:tc>
        <w:tc>
          <w:tcPr>
            <w:tcW w:w="1040" w:type="dxa"/>
            <w:noWrap w:val="0"/>
            <w:vAlign w:val="center"/>
          </w:tcPr>
          <w:p w14:paraId="1DA63DA8">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8" w:type="dxa"/>
            <w:noWrap w:val="0"/>
            <w:vAlign w:val="center"/>
          </w:tcPr>
          <w:p w14:paraId="28E75941">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客观分</w:t>
            </w:r>
          </w:p>
        </w:tc>
      </w:tr>
      <w:tr w14:paraId="61B2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1" w:type="dxa"/>
            <w:gridSpan w:val="2"/>
            <w:vMerge w:val="continue"/>
            <w:shd w:val="clear" w:color="auto" w:fill="auto"/>
            <w:noWrap w:val="0"/>
            <w:vAlign w:val="center"/>
          </w:tcPr>
          <w:p w14:paraId="25F4B815">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color w:val="auto"/>
                <w:kern w:val="0"/>
                <w:sz w:val="24"/>
                <w:szCs w:val="24"/>
                <w:highlight w:val="none"/>
              </w:rPr>
            </w:pPr>
          </w:p>
        </w:tc>
        <w:tc>
          <w:tcPr>
            <w:tcW w:w="746" w:type="dxa"/>
            <w:shd w:val="clear" w:color="auto" w:fill="auto"/>
            <w:noWrap w:val="0"/>
            <w:vAlign w:val="center"/>
          </w:tcPr>
          <w:p w14:paraId="5388053D">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5372" w:type="dxa"/>
            <w:shd w:val="clear" w:color="000000" w:fill="FFFFFF"/>
            <w:noWrap w:val="0"/>
            <w:vAlign w:val="center"/>
          </w:tcPr>
          <w:p w14:paraId="0481D023">
            <w:pPr>
              <w:widowControl/>
              <w:adjustRightInd w:val="0"/>
              <w:spacing w:line="24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本项目要求</w:t>
            </w:r>
            <w:r>
              <w:rPr>
                <w:rFonts w:hint="eastAsia" w:ascii="宋体" w:hAnsi="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在</w:t>
            </w:r>
            <w:r>
              <w:rPr>
                <w:rFonts w:hint="eastAsia" w:ascii="宋体" w:hAnsi="宋体" w:cs="宋体"/>
                <w:color w:val="auto"/>
                <w:kern w:val="0"/>
                <w:sz w:val="24"/>
                <w:szCs w:val="24"/>
                <w:highlight w:val="none"/>
                <w:lang w:val="en-US" w:eastAsia="zh-CN" w:bidi="ar-SA"/>
              </w:rPr>
              <w:t>响应</w:t>
            </w:r>
            <w:r>
              <w:rPr>
                <w:rFonts w:hint="eastAsia" w:ascii="宋体" w:hAnsi="宋体" w:eastAsia="宋体" w:cs="宋体"/>
                <w:color w:val="auto"/>
                <w:kern w:val="0"/>
                <w:sz w:val="24"/>
                <w:szCs w:val="24"/>
                <w:highlight w:val="none"/>
                <w:lang w:val="en-US" w:eastAsia="zh-CN" w:bidi="ar-SA"/>
              </w:rPr>
              <w:t>时根据所投产品的技术特点，结合需求，提供投标产品安装调试技术方案，包括产品安装调试的方式、方法、技术标准等。评委根据</w:t>
            </w:r>
            <w:r>
              <w:rPr>
                <w:rFonts w:hint="eastAsia" w:ascii="宋体" w:hAnsi="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提交的方案进行评价给分（分值：4-3-2-1-0）。</w:t>
            </w:r>
          </w:p>
        </w:tc>
        <w:tc>
          <w:tcPr>
            <w:tcW w:w="1040" w:type="dxa"/>
            <w:noWrap w:val="0"/>
            <w:vAlign w:val="center"/>
          </w:tcPr>
          <w:p w14:paraId="48452D59">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0-4分</w:t>
            </w:r>
          </w:p>
        </w:tc>
        <w:tc>
          <w:tcPr>
            <w:tcW w:w="1258" w:type="dxa"/>
            <w:noWrap w:val="0"/>
            <w:vAlign w:val="center"/>
          </w:tcPr>
          <w:p w14:paraId="2ADC8ED2">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r>
      <w:tr w14:paraId="2574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41" w:type="dxa"/>
            <w:gridSpan w:val="2"/>
            <w:vMerge w:val="continue"/>
            <w:shd w:val="clear" w:color="auto" w:fill="auto"/>
            <w:noWrap w:val="0"/>
            <w:vAlign w:val="center"/>
          </w:tcPr>
          <w:p w14:paraId="7B59702A">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color w:val="auto"/>
                <w:kern w:val="0"/>
                <w:sz w:val="24"/>
                <w:szCs w:val="24"/>
                <w:highlight w:val="none"/>
              </w:rPr>
            </w:pPr>
          </w:p>
        </w:tc>
        <w:tc>
          <w:tcPr>
            <w:tcW w:w="746" w:type="dxa"/>
            <w:shd w:val="clear" w:color="auto" w:fill="auto"/>
            <w:noWrap w:val="0"/>
            <w:vAlign w:val="center"/>
          </w:tcPr>
          <w:p w14:paraId="5ACCC36F">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5372" w:type="dxa"/>
            <w:shd w:val="clear" w:color="000000" w:fill="FFFFFF"/>
            <w:noWrap w:val="0"/>
            <w:vAlign w:val="center"/>
          </w:tcPr>
          <w:p w14:paraId="41BB2B65">
            <w:pPr>
              <w:widowControl/>
              <w:adjustRightInd w:val="0"/>
              <w:spacing w:line="24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合理化建议及改进措施：</w:t>
            </w:r>
            <w:r>
              <w:rPr>
                <w:rFonts w:hint="eastAsia" w:ascii="宋体" w:hAnsi="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针对本项目提出的合理化建议和改进措施，可操作性强的每条得</w:t>
            </w: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分，最高得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w:t>
            </w:r>
          </w:p>
        </w:tc>
        <w:tc>
          <w:tcPr>
            <w:tcW w:w="1040" w:type="dxa"/>
            <w:noWrap w:val="0"/>
            <w:vAlign w:val="center"/>
          </w:tcPr>
          <w:p w14:paraId="21E6B560">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0-4</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rPr>
              <w:t>　</w:t>
            </w:r>
          </w:p>
        </w:tc>
        <w:tc>
          <w:tcPr>
            <w:tcW w:w="1258" w:type="dxa"/>
            <w:noWrap w:val="0"/>
            <w:vAlign w:val="center"/>
          </w:tcPr>
          <w:p w14:paraId="54FC7698">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主观分</w:t>
            </w:r>
          </w:p>
        </w:tc>
      </w:tr>
      <w:tr w14:paraId="1F30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1" w:type="dxa"/>
            <w:gridSpan w:val="2"/>
            <w:vMerge w:val="continue"/>
            <w:shd w:val="clear" w:color="auto" w:fill="auto"/>
            <w:noWrap w:val="0"/>
            <w:vAlign w:val="center"/>
          </w:tcPr>
          <w:p w14:paraId="2DF0C064">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color w:val="auto"/>
                <w:kern w:val="0"/>
                <w:sz w:val="24"/>
                <w:szCs w:val="24"/>
                <w:highlight w:val="none"/>
              </w:rPr>
            </w:pPr>
          </w:p>
        </w:tc>
        <w:tc>
          <w:tcPr>
            <w:tcW w:w="746" w:type="dxa"/>
            <w:shd w:val="clear" w:color="auto" w:fill="auto"/>
            <w:noWrap w:val="0"/>
            <w:vAlign w:val="center"/>
          </w:tcPr>
          <w:p w14:paraId="090D1D81">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5372" w:type="dxa"/>
            <w:shd w:val="clear" w:color="000000" w:fill="FFFFFF"/>
            <w:noWrap w:val="0"/>
            <w:vAlign w:val="center"/>
          </w:tcPr>
          <w:p w14:paraId="58FEC770">
            <w:pPr>
              <w:widowControl/>
              <w:adjustRightInd w:val="0"/>
              <w:spacing w:line="24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质保期在满足招标文件要求的基础上，设备每延长一年得1分，本项最高得2分，延长时间不足一年的不计入得分。</w:t>
            </w:r>
          </w:p>
        </w:tc>
        <w:tc>
          <w:tcPr>
            <w:tcW w:w="1040" w:type="dxa"/>
            <w:noWrap w:val="0"/>
            <w:vAlign w:val="center"/>
          </w:tcPr>
          <w:p w14:paraId="286FFC84">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0-2</w:t>
            </w:r>
            <w:r>
              <w:rPr>
                <w:rFonts w:hint="eastAsia" w:ascii="宋体" w:hAnsi="宋体" w:eastAsia="宋体" w:cs="宋体"/>
                <w:color w:val="auto"/>
                <w:kern w:val="0"/>
                <w:sz w:val="24"/>
                <w:szCs w:val="24"/>
                <w:highlight w:val="none"/>
                <w:lang w:eastAsia="zh-CN"/>
              </w:rPr>
              <w:t>分</w:t>
            </w:r>
          </w:p>
        </w:tc>
        <w:tc>
          <w:tcPr>
            <w:tcW w:w="1258" w:type="dxa"/>
            <w:noWrap w:val="0"/>
            <w:vAlign w:val="center"/>
          </w:tcPr>
          <w:p w14:paraId="532E57AB">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客</w:t>
            </w:r>
            <w:r>
              <w:rPr>
                <w:rFonts w:hint="eastAsia" w:ascii="宋体" w:hAnsi="宋体" w:eastAsia="宋体" w:cs="宋体"/>
                <w:color w:val="auto"/>
                <w:kern w:val="0"/>
                <w:sz w:val="24"/>
                <w:szCs w:val="24"/>
                <w:highlight w:val="none"/>
                <w:lang w:val="en-US" w:eastAsia="zh-CN"/>
              </w:rPr>
              <w:t>观分</w:t>
            </w:r>
          </w:p>
        </w:tc>
      </w:tr>
      <w:tr w14:paraId="007F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1" w:type="dxa"/>
            <w:gridSpan w:val="2"/>
            <w:vMerge w:val="continue"/>
            <w:shd w:val="clear" w:color="auto" w:fill="auto"/>
            <w:noWrap w:val="0"/>
            <w:vAlign w:val="center"/>
          </w:tcPr>
          <w:p w14:paraId="2CCA41A6">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color w:val="auto"/>
                <w:kern w:val="0"/>
                <w:sz w:val="24"/>
                <w:szCs w:val="24"/>
                <w:highlight w:val="none"/>
              </w:rPr>
            </w:pPr>
          </w:p>
        </w:tc>
        <w:tc>
          <w:tcPr>
            <w:tcW w:w="746" w:type="dxa"/>
            <w:shd w:val="clear" w:color="auto" w:fill="auto"/>
            <w:noWrap w:val="0"/>
            <w:vAlign w:val="center"/>
          </w:tcPr>
          <w:p w14:paraId="3416B41C">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5372" w:type="dxa"/>
            <w:shd w:val="clear" w:color="000000" w:fill="FFFFFF"/>
            <w:noWrap w:val="0"/>
            <w:vAlign w:val="center"/>
          </w:tcPr>
          <w:p w14:paraId="70D923A1">
            <w:pPr>
              <w:widowControl/>
              <w:adjustRightInd w:val="0"/>
              <w:spacing w:line="24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根据供应商提供实质性的优惠措施（备品备件，零部件等）进行评价评定。（分值：3-2-1-0）</w:t>
            </w:r>
            <w:r>
              <w:rPr>
                <w:rFonts w:hint="eastAsia" w:ascii="仿宋" w:hAnsi="仿宋" w:eastAsia="仿宋" w:cs="仿宋"/>
                <w:color w:val="auto"/>
                <w:sz w:val="24"/>
                <w:highlight w:val="none"/>
              </w:rPr>
              <w:t>。</w:t>
            </w:r>
          </w:p>
        </w:tc>
        <w:tc>
          <w:tcPr>
            <w:tcW w:w="1040" w:type="dxa"/>
            <w:noWrap w:val="0"/>
            <w:vAlign w:val="center"/>
          </w:tcPr>
          <w:p w14:paraId="24AAA668">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0-3分</w:t>
            </w:r>
          </w:p>
        </w:tc>
        <w:tc>
          <w:tcPr>
            <w:tcW w:w="1258" w:type="dxa"/>
            <w:noWrap w:val="0"/>
            <w:vAlign w:val="center"/>
          </w:tcPr>
          <w:p w14:paraId="4EE360F7">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主观分</w:t>
            </w:r>
          </w:p>
        </w:tc>
      </w:tr>
      <w:tr w14:paraId="716B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41" w:type="dxa"/>
            <w:gridSpan w:val="2"/>
            <w:vMerge w:val="continue"/>
            <w:shd w:val="clear" w:color="auto" w:fill="auto"/>
            <w:noWrap w:val="0"/>
            <w:vAlign w:val="center"/>
          </w:tcPr>
          <w:p w14:paraId="08EB2E6D">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color w:val="auto"/>
                <w:kern w:val="0"/>
                <w:sz w:val="24"/>
                <w:szCs w:val="24"/>
                <w:highlight w:val="none"/>
              </w:rPr>
            </w:pPr>
          </w:p>
        </w:tc>
        <w:tc>
          <w:tcPr>
            <w:tcW w:w="746" w:type="dxa"/>
            <w:shd w:val="clear" w:color="auto" w:fill="auto"/>
            <w:noWrap w:val="0"/>
            <w:vAlign w:val="center"/>
          </w:tcPr>
          <w:p w14:paraId="63F33FD1">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3</w:t>
            </w:r>
          </w:p>
        </w:tc>
        <w:tc>
          <w:tcPr>
            <w:tcW w:w="5372" w:type="dxa"/>
            <w:shd w:val="clear" w:color="000000" w:fill="FFFFFF"/>
            <w:noWrap w:val="0"/>
            <w:vAlign w:val="center"/>
          </w:tcPr>
          <w:p w14:paraId="65ACE93E">
            <w:pPr>
              <w:widowControl/>
              <w:adjustRightInd w:val="0"/>
              <w:spacing w:line="24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服务承诺（根据本地化服务能力</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售后服务方案、措施、响应等情况综合评定）（分值：4-3-2-1-0）</w:t>
            </w:r>
          </w:p>
        </w:tc>
        <w:tc>
          <w:tcPr>
            <w:tcW w:w="1040" w:type="dxa"/>
            <w:noWrap w:val="0"/>
            <w:vAlign w:val="center"/>
          </w:tcPr>
          <w:p w14:paraId="3F32079E">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0-4</w:t>
            </w:r>
            <w:r>
              <w:rPr>
                <w:rFonts w:hint="eastAsia" w:ascii="宋体" w:hAnsi="宋体" w:eastAsia="宋体" w:cs="宋体"/>
                <w:color w:val="auto"/>
                <w:kern w:val="0"/>
                <w:sz w:val="24"/>
                <w:szCs w:val="24"/>
                <w:highlight w:val="none"/>
                <w:lang w:val="en-US" w:eastAsia="zh-CN"/>
              </w:rPr>
              <w:t>分</w:t>
            </w:r>
          </w:p>
        </w:tc>
        <w:tc>
          <w:tcPr>
            <w:tcW w:w="1258" w:type="dxa"/>
            <w:noWrap w:val="0"/>
            <w:vAlign w:val="center"/>
          </w:tcPr>
          <w:p w14:paraId="4D548050">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主观分</w:t>
            </w:r>
          </w:p>
        </w:tc>
      </w:tr>
      <w:tr w14:paraId="237D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41" w:type="dxa"/>
            <w:gridSpan w:val="2"/>
            <w:vMerge w:val="continue"/>
            <w:noWrap w:val="0"/>
            <w:vAlign w:val="center"/>
          </w:tcPr>
          <w:p w14:paraId="023A99E6">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color w:val="auto"/>
                <w:kern w:val="0"/>
                <w:sz w:val="24"/>
                <w:szCs w:val="24"/>
                <w:highlight w:val="none"/>
              </w:rPr>
            </w:pPr>
          </w:p>
        </w:tc>
        <w:tc>
          <w:tcPr>
            <w:tcW w:w="746" w:type="dxa"/>
            <w:noWrap w:val="0"/>
            <w:vAlign w:val="center"/>
          </w:tcPr>
          <w:p w14:paraId="7B3FAD2B">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4</w:t>
            </w:r>
          </w:p>
        </w:tc>
        <w:tc>
          <w:tcPr>
            <w:tcW w:w="5372" w:type="dxa"/>
            <w:noWrap w:val="0"/>
            <w:vAlign w:val="center"/>
          </w:tcPr>
          <w:p w14:paraId="356C3F11">
            <w:pPr>
              <w:widowControl/>
              <w:adjustRightInd w:val="0"/>
              <w:spacing w:line="24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安全文明措施（根据本项目特点，供应商编制对应的安全文明措施，综合评定）（分值：4-3-2-1-0）</w:t>
            </w:r>
          </w:p>
        </w:tc>
        <w:tc>
          <w:tcPr>
            <w:tcW w:w="1040" w:type="dxa"/>
            <w:noWrap w:val="0"/>
            <w:vAlign w:val="center"/>
          </w:tcPr>
          <w:p w14:paraId="6E6369BA">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0-4</w:t>
            </w:r>
            <w:r>
              <w:rPr>
                <w:rFonts w:hint="eastAsia" w:ascii="宋体" w:hAnsi="宋体" w:eastAsia="宋体" w:cs="宋体"/>
                <w:color w:val="auto"/>
                <w:kern w:val="0"/>
                <w:sz w:val="24"/>
                <w:szCs w:val="24"/>
                <w:highlight w:val="none"/>
                <w:lang w:val="en-US" w:eastAsia="zh-CN"/>
              </w:rPr>
              <w:t>分</w:t>
            </w:r>
          </w:p>
        </w:tc>
        <w:tc>
          <w:tcPr>
            <w:tcW w:w="1258" w:type="dxa"/>
            <w:noWrap w:val="0"/>
            <w:vAlign w:val="center"/>
          </w:tcPr>
          <w:p w14:paraId="57D3FBBD">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r>
    </w:tbl>
    <w:p w14:paraId="2CD9133E">
      <w:pPr>
        <w:widowControl/>
        <w:numPr>
          <w:ilvl w:val="0"/>
          <w:numId w:val="0"/>
        </w:numPr>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14:paraId="11AE0A14">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07DFB76D">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w:t>
      </w:r>
    </w:p>
    <w:p w14:paraId="2DCAF80A">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2、价格分（</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分）：</w:t>
      </w:r>
    </w:p>
    <w:tbl>
      <w:tblPr>
        <w:tblStyle w:val="65"/>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693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5BBC8901">
            <w:pPr>
              <w:adjustRightInd/>
              <w:spacing w:line="240" w:lineRule="auto"/>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905" w:type="dxa"/>
            <w:vAlign w:val="center"/>
          </w:tcPr>
          <w:p w14:paraId="1BF7A3EC">
            <w:pPr>
              <w:adjustRightInd/>
              <w:spacing w:line="240" w:lineRule="auto"/>
              <w:jc w:val="center"/>
              <w:rPr>
                <w:rFonts w:ascii="宋体" w:hAnsi="宋体" w:cs="宋体"/>
                <w:color w:val="auto"/>
                <w:sz w:val="24"/>
                <w:highlight w:val="none"/>
              </w:rPr>
            </w:pPr>
            <w:r>
              <w:rPr>
                <w:rFonts w:hint="eastAsia" w:ascii="宋体" w:hAnsi="宋体" w:cs="宋体"/>
                <w:color w:val="auto"/>
                <w:sz w:val="24"/>
                <w:highlight w:val="none"/>
              </w:rPr>
              <w:t>计    算    方    法</w:t>
            </w:r>
          </w:p>
        </w:tc>
      </w:tr>
      <w:tr w14:paraId="04AE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16310CC5">
            <w:pPr>
              <w:adjustRightInd/>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30</w:t>
            </w:r>
          </w:p>
        </w:tc>
        <w:tc>
          <w:tcPr>
            <w:tcW w:w="6905" w:type="dxa"/>
            <w:vAlign w:val="center"/>
          </w:tcPr>
          <w:p w14:paraId="3B503B7F">
            <w:pPr>
              <w:adjustRightInd/>
              <w:spacing w:line="240" w:lineRule="auto"/>
              <w:jc w:val="left"/>
              <w:rPr>
                <w:color w:val="auto"/>
                <w:sz w:val="24"/>
                <w:highlight w:val="none"/>
              </w:rPr>
            </w:pPr>
            <w:r>
              <w:rPr>
                <w:rFonts w:hint="eastAsia"/>
                <w:color w:val="auto"/>
                <w:sz w:val="24"/>
                <w:highlight w:val="none"/>
              </w:rPr>
              <w:t>最低有效响应价格为评标基准价</w:t>
            </w:r>
          </w:p>
          <w:p w14:paraId="0BC2AAD3">
            <w:pPr>
              <w:adjustRightInd/>
              <w:spacing w:line="240" w:lineRule="auto"/>
              <w:jc w:val="left"/>
              <w:rPr>
                <w:color w:val="auto"/>
                <w:sz w:val="24"/>
                <w:highlight w:val="none"/>
              </w:rPr>
            </w:pPr>
            <w:r>
              <w:rPr>
                <w:rFonts w:hint="eastAsia"/>
                <w:color w:val="auto"/>
                <w:sz w:val="24"/>
                <w:highlight w:val="none"/>
              </w:rPr>
              <w:t>响应报价得分=(评标基准价／响应报价)×价格权值×100</w:t>
            </w:r>
          </w:p>
          <w:p w14:paraId="64B70C30">
            <w:pPr>
              <w:adjustRightInd/>
              <w:spacing w:line="240" w:lineRule="auto"/>
              <w:jc w:val="left"/>
              <w:rPr>
                <w:color w:val="auto"/>
                <w:sz w:val="24"/>
                <w:highlight w:val="none"/>
              </w:rPr>
            </w:pPr>
            <w:r>
              <w:rPr>
                <w:rFonts w:hint="eastAsia"/>
                <w:color w:val="auto"/>
                <w:sz w:val="24"/>
                <w:highlight w:val="none"/>
              </w:rPr>
              <w:t>（计算得分保留小数点后2位）</w:t>
            </w:r>
          </w:p>
          <w:p w14:paraId="53EB32B0">
            <w:pPr>
              <w:widowControl/>
              <w:shd w:val="clear" w:color="auto" w:fill="FFFFFF"/>
              <w:adjustRightInd/>
              <w:snapToGrid w:val="0"/>
              <w:spacing w:line="240" w:lineRule="auto"/>
              <w:rPr>
                <w:color w:val="auto"/>
                <w:sz w:val="24"/>
                <w:highlight w:val="none"/>
              </w:rPr>
            </w:pPr>
            <w:r>
              <w:rPr>
                <w:rFonts w:hint="eastAsia" w:ascii="宋体" w:hAnsi="宋体" w:cs="宋体"/>
                <w:color w:val="auto"/>
                <w:sz w:val="24"/>
                <w:highlight w:val="none"/>
              </w:rPr>
              <w:t>评标过程中，不得去掉报价中的最高报价和最低报价。</w:t>
            </w:r>
          </w:p>
        </w:tc>
      </w:tr>
    </w:tbl>
    <w:p w14:paraId="59AE9544">
      <w:pPr>
        <w:rPr>
          <w:rFonts w:ascii="宋体" w:hAnsi="宋体" w:cs="宋体"/>
          <w:b/>
          <w:color w:val="auto"/>
          <w:sz w:val="32"/>
          <w:highlight w:val="none"/>
        </w:rPr>
      </w:pPr>
      <w:r>
        <w:rPr>
          <w:rFonts w:hint="eastAsia" w:ascii="宋体" w:hAnsi="宋体" w:cs="宋体"/>
          <w:b/>
          <w:color w:val="auto"/>
          <w:sz w:val="32"/>
          <w:highlight w:val="none"/>
        </w:rPr>
        <w:br w:type="page"/>
      </w:r>
    </w:p>
    <w:p w14:paraId="3A72E9A2">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一、交易方法</w:t>
      </w:r>
    </w:p>
    <w:p w14:paraId="40451EA2">
      <w:pPr>
        <w:adjustRightInd/>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1.本项目采用综合评估法。</w:t>
      </w:r>
      <w:r>
        <w:rPr>
          <w:rFonts w:hint="eastAsia" w:ascii="宋体" w:hAnsi="宋体" w:cs="宋体"/>
          <w:color w:val="auto"/>
          <w:kern w:val="0"/>
          <w:sz w:val="24"/>
          <w:highlight w:val="none"/>
        </w:rPr>
        <w:t>综合评估法，是指响应文件满足公开竞争文件全部实质性要求，且按照评审因素的量化指标评审得分最高的响应人为成交候选人的评标方法。</w:t>
      </w:r>
    </w:p>
    <w:p w14:paraId="7C3EAD81">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二、交易标准</w:t>
      </w:r>
    </w:p>
    <w:p w14:paraId="674CBEB4">
      <w:pPr>
        <w:spacing w:line="57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14:paraId="08B16EFC">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三、交易程序</w:t>
      </w:r>
    </w:p>
    <w:bookmarkEnd w:id="15"/>
    <w:p w14:paraId="57999FBB">
      <w:pPr>
        <w:spacing w:line="570" w:lineRule="exact"/>
        <w:ind w:firstLine="472" w:firstLineChars="196"/>
        <w:rPr>
          <w:rFonts w:ascii="宋体" w:hAnsi="宋体" w:cs="宋体"/>
          <w:color w:val="auto"/>
          <w:kern w:val="0"/>
          <w:sz w:val="24"/>
          <w:highlight w:val="none"/>
        </w:rPr>
      </w:pPr>
      <w:bookmarkStart w:id="382" w:name="_Toc86217003"/>
      <w:bookmarkStart w:id="383" w:name="第五部分"/>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7D234710">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评审委员会应当按照公开竞争文件中规定的评标方法和标准，对符合性审查合格的响应文件进行商务和技术评估，综合比较与评价。</w:t>
      </w:r>
    </w:p>
    <w:p w14:paraId="778B245F">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评审委员会各成员应当独立对每个响应人的商务和技术文件进行评价，并汇总商务技术得分情况。</w:t>
      </w:r>
    </w:p>
    <w:p w14:paraId="2980306F">
      <w:pPr>
        <w:spacing w:line="57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76AD9D8">
      <w:pPr>
        <w:pStyle w:val="139"/>
        <w:spacing w:before="0" w:line="57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0E951165">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14:paraId="55FDE49F">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602BE60">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14:paraId="57BC39B2">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D0131B">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w:t>
      </w:r>
    </w:p>
    <w:p w14:paraId="1917E88E">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14:paraId="75611C69">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3.4.3交易报价超过公开竞争文件中规定的预算金额或者最高限价的，交易无效。</w:t>
      </w:r>
    </w:p>
    <w:p w14:paraId="0C2F878E">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5DAED113">
      <w:pPr>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56C24011">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30A81B69">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14:paraId="231DE9C7">
      <w:pPr>
        <w:pStyle w:val="139"/>
        <w:spacing w:before="0" w:line="57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22EAEB82">
      <w:pPr>
        <w:pStyle w:val="27"/>
        <w:spacing w:line="570" w:lineRule="exact"/>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14:paraId="1FAF71C1">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4.2.1响应人不具备公开竞争文件中规定的资格要求的（响应人未提供有效的资格文件的，视为响应人不具备公开竞争文件中规定的资格要求）；</w:t>
      </w:r>
    </w:p>
    <w:p w14:paraId="6F1D4E7A">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4.2.2响应文件未按照公开竞争文件要求签署、盖章的；</w:t>
      </w:r>
    </w:p>
    <w:p w14:paraId="7F27064A">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4.2.3响应文件含有交易发起人不能接受的附加条件的；</w:t>
      </w:r>
    </w:p>
    <w:p w14:paraId="001461E0">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4.2.4响应文件中承诺的交易有效期少于公开竞争文件中载明的交易有效期的；</w:t>
      </w:r>
    </w:p>
    <w:p w14:paraId="45B71F68">
      <w:pPr>
        <w:snapToGrid w:val="0"/>
        <w:spacing w:line="57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4.2.5响应文件出现不是唯一的、有选择性交易报价的；</w:t>
      </w:r>
    </w:p>
    <w:p w14:paraId="755C7C2B">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4.2.6交易报价超过公开竞争文件中规定的预算金额或者最高限价的；</w:t>
      </w:r>
    </w:p>
    <w:p w14:paraId="5A435968">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76972CF8">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4.2.8响应人对根据修正原则修正后的报价不确认的；</w:t>
      </w:r>
    </w:p>
    <w:p w14:paraId="236B4110">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4.2.9响应人提供虚假材料投标的；</w:t>
      </w:r>
    </w:p>
    <w:p w14:paraId="0C2BAF31">
      <w:pPr>
        <w:spacing w:line="57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4.2.10响应人有恶意串通、妨碍其他响应人的竞争行为、损害交易发起人或者其他响应人的合法权益情形的；</w:t>
      </w:r>
    </w:p>
    <w:p w14:paraId="31AB2702">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4.2.11响应人未在电子交易平台传输递交响应文件的，交易无效；</w:t>
      </w:r>
    </w:p>
    <w:p w14:paraId="12FC104F">
      <w:pPr>
        <w:pStyle w:val="4"/>
        <w:spacing w:line="570" w:lineRule="exact"/>
        <w:ind w:left="862" w:leftChars="205"/>
        <w:rPr>
          <w:rFonts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14:paraId="5244B153">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14:paraId="6A482F21">
      <w:pPr>
        <w:pStyle w:val="27"/>
        <w:snapToGrid w:val="0"/>
        <w:spacing w:line="57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根据《中华人民共和国政府采购法》第三十六条之规定，在交易过程中，出现下列情形之一的，应予废标：</w:t>
      </w:r>
    </w:p>
    <w:p w14:paraId="1C1A5A91">
      <w:pPr>
        <w:pStyle w:val="27"/>
        <w:snapToGrid w:val="0"/>
        <w:spacing w:line="570" w:lineRule="exact"/>
        <w:rPr>
          <w:rFonts w:cs="宋体"/>
          <w:color w:val="auto"/>
          <w:highlight w:val="none"/>
        </w:rPr>
      </w:pPr>
      <w:r>
        <w:rPr>
          <w:rFonts w:hint="eastAsia" w:cs="宋体"/>
          <w:color w:val="auto"/>
          <w:highlight w:val="none"/>
        </w:rPr>
        <w:t>5.1符合专业条件的响应人或者对公开竞争文件作实质响应的响应人不足3家的；</w:t>
      </w:r>
    </w:p>
    <w:p w14:paraId="15A7A4E3">
      <w:pPr>
        <w:pStyle w:val="27"/>
        <w:snapToGrid w:val="0"/>
        <w:spacing w:line="570" w:lineRule="exact"/>
        <w:rPr>
          <w:rFonts w:cs="宋体"/>
          <w:color w:val="auto"/>
          <w:highlight w:val="none"/>
        </w:rPr>
      </w:pPr>
      <w:r>
        <w:rPr>
          <w:rFonts w:hint="eastAsia" w:cs="宋体"/>
          <w:color w:val="auto"/>
          <w:highlight w:val="none"/>
        </w:rPr>
        <w:t>5.2出现影响采购公正的违法、违规行为的；</w:t>
      </w:r>
    </w:p>
    <w:p w14:paraId="4D7CF18D">
      <w:pPr>
        <w:pStyle w:val="27"/>
        <w:snapToGrid w:val="0"/>
        <w:spacing w:line="570" w:lineRule="exact"/>
        <w:rPr>
          <w:rFonts w:cs="宋体"/>
          <w:color w:val="auto"/>
          <w:highlight w:val="none"/>
        </w:rPr>
      </w:pPr>
      <w:r>
        <w:rPr>
          <w:rFonts w:hint="eastAsia" w:cs="宋体"/>
          <w:color w:val="auto"/>
          <w:highlight w:val="none"/>
        </w:rPr>
        <w:t>5.3响应人的报价均超过了采购预算，交易发起人不能支付的；</w:t>
      </w:r>
    </w:p>
    <w:p w14:paraId="1BCF499E">
      <w:pPr>
        <w:pStyle w:val="27"/>
        <w:snapToGrid w:val="0"/>
        <w:spacing w:line="570" w:lineRule="exact"/>
        <w:rPr>
          <w:rFonts w:cs="宋体"/>
          <w:color w:val="auto"/>
          <w:highlight w:val="none"/>
        </w:rPr>
      </w:pPr>
      <w:r>
        <w:rPr>
          <w:rFonts w:hint="eastAsia" w:cs="宋体"/>
          <w:color w:val="auto"/>
          <w:highlight w:val="none"/>
        </w:rPr>
        <w:t>5.4因重大变故，采购任务取消的。</w:t>
      </w:r>
    </w:p>
    <w:p w14:paraId="748838CB">
      <w:pPr>
        <w:pStyle w:val="27"/>
        <w:snapToGrid w:val="0"/>
        <w:spacing w:line="570" w:lineRule="exact"/>
        <w:rPr>
          <w:rFonts w:cs="宋体"/>
          <w:color w:val="auto"/>
          <w:highlight w:val="none"/>
        </w:rPr>
      </w:pPr>
      <w:r>
        <w:rPr>
          <w:rFonts w:hint="eastAsia" w:cs="宋体"/>
          <w:color w:val="auto"/>
          <w:highlight w:val="none"/>
        </w:rPr>
        <w:t>废标后，代理机构应当将废标理由通知所有响应人。</w:t>
      </w:r>
    </w:p>
    <w:p w14:paraId="03ACD976">
      <w:pPr>
        <w:pStyle w:val="27"/>
        <w:snapToGrid w:val="0"/>
        <w:spacing w:line="570" w:lineRule="exact"/>
        <w:ind w:firstLine="590" w:firstLineChars="245"/>
        <w:rPr>
          <w:rFonts w:cs="宋体"/>
          <w:color w:val="auto"/>
          <w:highlight w:val="none"/>
        </w:rPr>
      </w:pPr>
      <w:r>
        <w:rPr>
          <w:rFonts w:hint="eastAsia" w:cs="宋体"/>
          <w:b/>
          <w:color w:val="auto"/>
          <w:highlight w:val="none"/>
        </w:rPr>
        <w:t>6.修改公开竞争文件，重新组织交易活动。</w:t>
      </w:r>
      <w:r>
        <w:rPr>
          <w:rFonts w:hint="eastAsia"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71002955">
      <w:pPr>
        <w:pStyle w:val="27"/>
        <w:snapToGrid w:val="0"/>
        <w:spacing w:line="570" w:lineRule="exact"/>
        <w:ind w:firstLine="590" w:firstLineChars="245"/>
        <w:rPr>
          <w:rFonts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14:paraId="31C57A43">
      <w:pPr>
        <w:pStyle w:val="27"/>
        <w:snapToGrid w:val="0"/>
        <w:spacing w:line="570" w:lineRule="exact"/>
        <w:ind w:firstLine="600" w:firstLineChars="250"/>
        <w:rPr>
          <w:rFonts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14:paraId="003697FA">
      <w:pPr>
        <w:pStyle w:val="27"/>
        <w:snapToGrid w:val="0"/>
        <w:spacing w:line="570" w:lineRule="exact"/>
        <w:ind w:firstLine="600" w:firstLineChars="250"/>
        <w:rPr>
          <w:rFonts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14:paraId="6E22DB25">
      <w:pPr>
        <w:pStyle w:val="27"/>
        <w:snapToGrid w:val="0"/>
        <w:spacing w:line="570" w:lineRule="exact"/>
        <w:ind w:firstLine="600" w:firstLineChars="250"/>
        <w:rPr>
          <w:rFonts w:cs="宋体"/>
          <w:color w:val="auto"/>
          <w:highlight w:val="none"/>
        </w:rPr>
      </w:pPr>
      <w:r>
        <w:rPr>
          <w:rFonts w:hint="eastAsia" w:cs="宋体"/>
          <w:color w:val="auto"/>
          <w:highlight w:val="none"/>
        </w:rPr>
        <w:t>7.3书面合同已签订但尚未履行的，撤销合同，从合格的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14:paraId="449EB206">
      <w:pPr>
        <w:pStyle w:val="27"/>
        <w:snapToGrid w:val="0"/>
        <w:spacing w:line="570" w:lineRule="exact"/>
        <w:rPr>
          <w:rFonts w:cs="宋体"/>
          <w:color w:val="auto"/>
          <w:highlight w:val="none"/>
        </w:rPr>
      </w:pPr>
      <w:r>
        <w:rPr>
          <w:rFonts w:hint="eastAsia" w:cs="宋体"/>
          <w:color w:val="auto"/>
          <w:highlight w:val="none"/>
        </w:rPr>
        <w:t>7.4书面合同已经履行，给交易发起人、响应人造成损失的，由责任人承担赔偿责任。</w:t>
      </w:r>
    </w:p>
    <w:p w14:paraId="5E2B7410">
      <w:pPr>
        <w:pStyle w:val="27"/>
        <w:snapToGrid w:val="0"/>
        <w:spacing w:line="570" w:lineRule="exact"/>
        <w:rPr>
          <w:rFonts w:cs="宋体"/>
          <w:color w:val="auto"/>
          <w:highlight w:val="none"/>
        </w:rPr>
      </w:pPr>
      <w:r>
        <w:rPr>
          <w:rFonts w:hint="eastAsia" w:cs="宋体"/>
          <w:color w:val="auto"/>
          <w:highlight w:val="none"/>
        </w:rPr>
        <w:t>7.5交易当事人有其他违反政府采购法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14:paraId="14EF8A90">
      <w:pPr>
        <w:pStyle w:val="27"/>
        <w:snapToGrid w:val="0"/>
        <w:spacing w:line="360" w:lineRule="auto"/>
        <w:rPr>
          <w:rFonts w:cs="宋体"/>
          <w:color w:val="auto"/>
          <w:highlight w:val="none"/>
        </w:rPr>
      </w:pPr>
    </w:p>
    <w:p w14:paraId="3D392C16">
      <w:pPr>
        <w:pStyle w:val="17"/>
        <w:rPr>
          <w:rFonts w:hAnsi="宋体" w:cs="宋体"/>
          <w:color w:val="auto"/>
          <w:highlight w:val="none"/>
        </w:rPr>
      </w:pPr>
    </w:p>
    <w:p w14:paraId="38CC0608">
      <w:pPr>
        <w:rPr>
          <w:rFonts w:ascii="宋体" w:hAnsi="宋体" w:cs="宋体"/>
          <w:color w:val="auto"/>
          <w:highlight w:val="none"/>
        </w:rPr>
      </w:pPr>
    </w:p>
    <w:p w14:paraId="1B94C0EF">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1B88AF38">
      <w:pPr>
        <w:numPr>
          <w:ilvl w:val="0"/>
          <w:numId w:val="3"/>
        </w:numPr>
        <w:spacing w:line="360" w:lineRule="auto"/>
        <w:ind w:left="718" w:leftChars="342" w:firstLine="119" w:firstLineChars="3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142D5A97">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14:paraId="1C296CA4">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                                  签订时间：20* 年  月  日</w:t>
      </w:r>
    </w:p>
    <w:p w14:paraId="3A348DAC">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0D67DD8">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甲方（需方）：                                     </w:t>
      </w:r>
    </w:p>
    <w:p w14:paraId="75F61AC2">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乙方（供方）：                                     </w:t>
      </w:r>
    </w:p>
    <w:p w14:paraId="356D596D">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供、需双方根据杭州市萧山区                             项目（招标编号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  -   ）招标结果和招标文件的要求，并经双方协调一致，订立本采购合同。</w:t>
      </w:r>
    </w:p>
    <w:p w14:paraId="65BAFA09">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一、合同文件：</w:t>
      </w:r>
    </w:p>
    <w:p w14:paraId="76AEEBBE">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1、合同条款。</w:t>
      </w:r>
    </w:p>
    <w:p w14:paraId="5F73C52B">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6B5E1B28">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w:t>
      </w:r>
    </w:p>
    <w:p w14:paraId="6966F89C">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4、更正公告。</w:t>
      </w:r>
    </w:p>
    <w:p w14:paraId="7A668080">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5、中标单位投标文件。</w:t>
      </w:r>
    </w:p>
    <w:p w14:paraId="6AFAA1E5">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w:t>
      </w:r>
    </w:p>
    <w:p w14:paraId="268C9406">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二、合同金额:合同金额为</w:t>
      </w:r>
      <w:r>
        <w:rPr>
          <w:rFonts w:hint="eastAsia" w:ascii="宋体" w:hAnsi="宋体" w:eastAsia="宋体" w:cs="宋体"/>
          <w:color w:val="auto"/>
          <w:sz w:val="24"/>
          <w:szCs w:val="24"/>
          <w:highlight w:val="none"/>
          <w:lang w:val="en-US" w:eastAsia="zh-CN"/>
        </w:rPr>
        <w:t>基本审价费</w:t>
      </w:r>
      <w:r>
        <w:rPr>
          <w:rFonts w:hint="eastAsia" w:ascii="宋体" w:hAnsi="宋体" w:eastAsia="宋体" w:cs="宋体"/>
          <w:color w:val="auto"/>
          <w:sz w:val="24"/>
          <w:szCs w:val="24"/>
          <w:highlight w:val="none"/>
        </w:rPr>
        <w:t>(大写)_________________元（￥　　　　元）人民币。</w:t>
      </w:r>
    </w:p>
    <w:p w14:paraId="4F40B326">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附《采购项目清单内容》   </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14:paraId="3808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noWrap w:val="0"/>
            <w:vAlign w:val="center"/>
          </w:tcPr>
          <w:p w14:paraId="070F118D">
            <w:pPr>
              <w:pStyle w:val="27"/>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92" w:type="dxa"/>
            <w:noWrap w:val="0"/>
            <w:vAlign w:val="center"/>
          </w:tcPr>
          <w:p w14:paraId="3726474A">
            <w:pPr>
              <w:pStyle w:val="27"/>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1800" w:type="dxa"/>
            <w:noWrap w:val="0"/>
            <w:vAlign w:val="center"/>
          </w:tcPr>
          <w:p w14:paraId="48ACAAE9">
            <w:pPr>
              <w:pStyle w:val="27"/>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中标内容</w:t>
            </w:r>
          </w:p>
        </w:tc>
        <w:tc>
          <w:tcPr>
            <w:tcW w:w="1758" w:type="dxa"/>
            <w:noWrap w:val="0"/>
            <w:vAlign w:val="center"/>
          </w:tcPr>
          <w:p w14:paraId="1CB943C4">
            <w:pPr>
              <w:pStyle w:val="27"/>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中标单价（元）</w:t>
            </w:r>
          </w:p>
        </w:tc>
        <w:tc>
          <w:tcPr>
            <w:tcW w:w="762" w:type="dxa"/>
            <w:noWrap w:val="0"/>
            <w:vAlign w:val="center"/>
          </w:tcPr>
          <w:p w14:paraId="59CDC007">
            <w:pPr>
              <w:pStyle w:val="27"/>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32" w:type="dxa"/>
            <w:noWrap w:val="0"/>
            <w:vAlign w:val="center"/>
          </w:tcPr>
          <w:p w14:paraId="424EA56D">
            <w:pPr>
              <w:pStyle w:val="27"/>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中标总价（元）</w:t>
            </w:r>
          </w:p>
        </w:tc>
      </w:tr>
      <w:tr w14:paraId="008A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noWrap w:val="0"/>
            <w:vAlign w:val="center"/>
          </w:tcPr>
          <w:p w14:paraId="4071F84A">
            <w:pPr>
              <w:pStyle w:val="27"/>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92" w:type="dxa"/>
            <w:noWrap w:val="0"/>
            <w:vAlign w:val="center"/>
          </w:tcPr>
          <w:p w14:paraId="69ED26FE">
            <w:pPr>
              <w:pStyle w:val="27"/>
              <w:snapToGrid w:val="0"/>
              <w:spacing w:line="360" w:lineRule="auto"/>
              <w:ind w:firstLine="31680"/>
              <w:rPr>
                <w:rFonts w:hint="eastAsia" w:ascii="宋体" w:hAnsi="宋体" w:eastAsia="宋体" w:cs="宋体"/>
                <w:color w:val="auto"/>
                <w:sz w:val="24"/>
                <w:szCs w:val="24"/>
                <w:highlight w:val="none"/>
              </w:rPr>
            </w:pPr>
          </w:p>
        </w:tc>
        <w:tc>
          <w:tcPr>
            <w:tcW w:w="1800" w:type="dxa"/>
            <w:noWrap w:val="0"/>
            <w:vAlign w:val="center"/>
          </w:tcPr>
          <w:p w14:paraId="2E37CAD9">
            <w:pPr>
              <w:pStyle w:val="27"/>
              <w:snapToGrid w:val="0"/>
              <w:spacing w:line="360" w:lineRule="auto"/>
              <w:ind w:firstLine="31680"/>
              <w:rPr>
                <w:rFonts w:hint="eastAsia" w:ascii="宋体" w:hAnsi="宋体" w:eastAsia="宋体" w:cs="宋体"/>
                <w:color w:val="auto"/>
                <w:sz w:val="24"/>
                <w:szCs w:val="24"/>
                <w:highlight w:val="none"/>
              </w:rPr>
            </w:pPr>
          </w:p>
        </w:tc>
        <w:tc>
          <w:tcPr>
            <w:tcW w:w="1758" w:type="dxa"/>
            <w:noWrap w:val="0"/>
            <w:vAlign w:val="center"/>
          </w:tcPr>
          <w:p w14:paraId="678E267A">
            <w:pPr>
              <w:pStyle w:val="27"/>
              <w:snapToGrid w:val="0"/>
              <w:spacing w:line="360" w:lineRule="auto"/>
              <w:ind w:firstLine="31680"/>
              <w:rPr>
                <w:rFonts w:hint="eastAsia" w:ascii="宋体" w:hAnsi="宋体" w:eastAsia="宋体" w:cs="宋体"/>
                <w:color w:val="auto"/>
                <w:sz w:val="24"/>
                <w:szCs w:val="24"/>
                <w:highlight w:val="none"/>
              </w:rPr>
            </w:pPr>
          </w:p>
        </w:tc>
        <w:tc>
          <w:tcPr>
            <w:tcW w:w="762" w:type="dxa"/>
            <w:noWrap w:val="0"/>
            <w:vAlign w:val="center"/>
          </w:tcPr>
          <w:p w14:paraId="05D18996">
            <w:pPr>
              <w:pStyle w:val="27"/>
              <w:snapToGrid w:val="0"/>
              <w:spacing w:line="360" w:lineRule="auto"/>
              <w:ind w:firstLine="31680"/>
              <w:rPr>
                <w:rFonts w:hint="eastAsia" w:ascii="宋体" w:hAnsi="宋体" w:eastAsia="宋体" w:cs="宋体"/>
                <w:color w:val="auto"/>
                <w:sz w:val="24"/>
                <w:szCs w:val="24"/>
                <w:highlight w:val="none"/>
              </w:rPr>
            </w:pPr>
          </w:p>
        </w:tc>
        <w:tc>
          <w:tcPr>
            <w:tcW w:w="1532" w:type="dxa"/>
            <w:noWrap w:val="0"/>
            <w:vAlign w:val="top"/>
          </w:tcPr>
          <w:p w14:paraId="625BA49D">
            <w:pPr>
              <w:pStyle w:val="27"/>
              <w:snapToGrid w:val="0"/>
              <w:spacing w:line="360" w:lineRule="auto"/>
              <w:ind w:firstLine="31680"/>
              <w:rPr>
                <w:rFonts w:hint="eastAsia" w:ascii="宋体" w:hAnsi="宋体" w:eastAsia="宋体" w:cs="宋体"/>
                <w:color w:val="auto"/>
                <w:sz w:val="24"/>
                <w:szCs w:val="24"/>
                <w:highlight w:val="none"/>
              </w:rPr>
            </w:pPr>
          </w:p>
        </w:tc>
      </w:tr>
      <w:tr w14:paraId="5B78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noWrap w:val="0"/>
            <w:vAlign w:val="center"/>
          </w:tcPr>
          <w:p w14:paraId="37D5DA8B">
            <w:pPr>
              <w:pStyle w:val="27"/>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92" w:type="dxa"/>
            <w:noWrap w:val="0"/>
            <w:vAlign w:val="center"/>
          </w:tcPr>
          <w:p w14:paraId="23945E71">
            <w:pPr>
              <w:pStyle w:val="27"/>
              <w:snapToGrid w:val="0"/>
              <w:spacing w:line="360" w:lineRule="auto"/>
              <w:ind w:firstLine="31680"/>
              <w:rPr>
                <w:rFonts w:hint="eastAsia" w:ascii="宋体" w:hAnsi="宋体" w:eastAsia="宋体" w:cs="宋体"/>
                <w:color w:val="auto"/>
                <w:sz w:val="24"/>
                <w:szCs w:val="24"/>
                <w:highlight w:val="none"/>
              </w:rPr>
            </w:pPr>
          </w:p>
        </w:tc>
        <w:tc>
          <w:tcPr>
            <w:tcW w:w="1800" w:type="dxa"/>
            <w:noWrap w:val="0"/>
            <w:vAlign w:val="center"/>
          </w:tcPr>
          <w:p w14:paraId="62AFDFC6">
            <w:pPr>
              <w:pStyle w:val="27"/>
              <w:snapToGrid w:val="0"/>
              <w:spacing w:line="360" w:lineRule="auto"/>
              <w:ind w:firstLine="31680"/>
              <w:rPr>
                <w:rFonts w:hint="eastAsia" w:ascii="宋体" w:hAnsi="宋体" w:eastAsia="宋体" w:cs="宋体"/>
                <w:color w:val="auto"/>
                <w:sz w:val="24"/>
                <w:szCs w:val="24"/>
                <w:highlight w:val="none"/>
              </w:rPr>
            </w:pPr>
          </w:p>
        </w:tc>
        <w:tc>
          <w:tcPr>
            <w:tcW w:w="1758" w:type="dxa"/>
            <w:noWrap w:val="0"/>
            <w:vAlign w:val="top"/>
          </w:tcPr>
          <w:p w14:paraId="24B7591D">
            <w:pPr>
              <w:pStyle w:val="27"/>
              <w:snapToGrid w:val="0"/>
              <w:spacing w:line="360" w:lineRule="auto"/>
              <w:ind w:firstLine="31680"/>
              <w:rPr>
                <w:rFonts w:hint="eastAsia" w:ascii="宋体" w:hAnsi="宋体" w:eastAsia="宋体" w:cs="宋体"/>
                <w:color w:val="auto"/>
                <w:sz w:val="24"/>
                <w:szCs w:val="24"/>
                <w:highlight w:val="none"/>
              </w:rPr>
            </w:pPr>
          </w:p>
        </w:tc>
        <w:tc>
          <w:tcPr>
            <w:tcW w:w="762" w:type="dxa"/>
            <w:noWrap w:val="0"/>
            <w:vAlign w:val="center"/>
          </w:tcPr>
          <w:p w14:paraId="11413FB3">
            <w:pPr>
              <w:pStyle w:val="27"/>
              <w:snapToGrid w:val="0"/>
              <w:spacing w:line="360" w:lineRule="auto"/>
              <w:ind w:firstLine="31680"/>
              <w:rPr>
                <w:rFonts w:hint="eastAsia" w:ascii="宋体" w:hAnsi="宋体" w:eastAsia="宋体" w:cs="宋体"/>
                <w:color w:val="auto"/>
                <w:sz w:val="24"/>
                <w:szCs w:val="24"/>
                <w:highlight w:val="none"/>
              </w:rPr>
            </w:pPr>
          </w:p>
        </w:tc>
        <w:tc>
          <w:tcPr>
            <w:tcW w:w="1532" w:type="dxa"/>
            <w:noWrap w:val="0"/>
            <w:vAlign w:val="top"/>
          </w:tcPr>
          <w:p w14:paraId="4A622701">
            <w:pPr>
              <w:pStyle w:val="27"/>
              <w:snapToGrid w:val="0"/>
              <w:spacing w:line="360" w:lineRule="auto"/>
              <w:ind w:firstLine="31680"/>
              <w:rPr>
                <w:rFonts w:hint="eastAsia" w:ascii="宋体" w:hAnsi="宋体" w:eastAsia="宋体" w:cs="宋体"/>
                <w:color w:val="auto"/>
                <w:sz w:val="24"/>
                <w:szCs w:val="24"/>
                <w:highlight w:val="none"/>
              </w:rPr>
            </w:pPr>
          </w:p>
        </w:tc>
      </w:tr>
    </w:tbl>
    <w:p w14:paraId="2321A24D">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三、质量要求及供方对质量负责条件和期限：</w:t>
      </w:r>
    </w:p>
    <w:p w14:paraId="41976884">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14:paraId="18679EAD">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2、供方在维保期内接到用户单位的电话后，在**小时内响应，**小时以内到现场，**小时以内解决问题，不能修复的，必须采取无偿提供备品、备件或备机等措施，以保证用户单位的正常使用。</w:t>
      </w:r>
    </w:p>
    <w:p w14:paraId="370F58BF">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四、工期时间__________________________</w:t>
      </w:r>
    </w:p>
    <w:p w14:paraId="14AC46B0">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交货地点：                                                               </w:t>
      </w:r>
    </w:p>
    <w:p w14:paraId="7B4C7CEE">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五、货款支付</w:t>
      </w:r>
    </w:p>
    <w:p w14:paraId="50BD67D3">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1、付款方式：</w:t>
      </w:r>
    </w:p>
    <w:p w14:paraId="0FD63AD2">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2、合同履行完毕，需方根据合同进行验收，验收合格后供应商按财政结算要求办理货款结算手续。</w:t>
      </w:r>
    </w:p>
    <w:p w14:paraId="3E3240CE">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六、履约保证金</w:t>
      </w:r>
    </w:p>
    <w:p w14:paraId="6060B2E7">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1、履约保证金：为保证政府采购项目合同的顺利执行，供方在本合同签订之前，其中标价的    %作为履约保证金（银行汇票形式）交付采购人。待项目验收合格后，由采购人将履约保证金无息退还供方。</w:t>
      </w:r>
    </w:p>
    <w:p w14:paraId="1A393AFB">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七、违约责任</w:t>
      </w:r>
    </w:p>
    <w:p w14:paraId="15ECCA5D">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逾期交付货物的，乙方应按逾期交付货款总额每日千分之六向甲方支付违约金，由甲方从待付货款中扣除。逾期超过约定日期10个工作日不能交货的，甲方可解除本合同，履约保证金不予退还，如造成甲方损失超过履约保证金的，超出部分由乙方继续承担赔偿责任。</w:t>
      </w:r>
    </w:p>
    <w:p w14:paraId="5E03A99F">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所交的货物品种、型号、规格、技术参数、质量等不符合合同规定及投标文件承诺标准，甲方有权拒收该货物，乙方愿意更换货物但逾期交货的按乙方逾期交货处理。乙方拒绝更换货物的，甲方可单方面解除合同。</w:t>
      </w:r>
    </w:p>
    <w:p w14:paraId="3DE3D1B9">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、因需方原因逾期支付合同款，自逾期之日起，向供方每日偿付合同总价千分之二的滞纳金；需方无正当理由拒付货款的，应向供方偿付合同总价百分之五的违约金。</w:t>
      </w:r>
    </w:p>
    <w:p w14:paraId="41D3D7FD">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、如发现乙方违反招投标文件和合同的有关规定，甲方有权根据约定和《杭州市政府采购供应商合同履行和售后服务考核暂行办法》，对乙方进行处罚，并有权提前终止合同。</w:t>
      </w:r>
    </w:p>
    <w:p w14:paraId="64E85488">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八、调试和验收</w:t>
      </w:r>
    </w:p>
    <w:p w14:paraId="2286027E">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九、争议的解决</w:t>
      </w:r>
    </w:p>
    <w:p w14:paraId="6F6A0EFB">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因本合同引起的或与本合同有关的任何争议，合同双方应首先通过协商解决，达成书面协议，如协商不成，可选择下列第      种方式解决。</w:t>
      </w:r>
    </w:p>
    <w:p w14:paraId="6966BE7F">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（1）提请杭州仲裁委员会按照该会仲裁规则进行仲裁，仲裁裁决是终局的，对合同双方均有约束力。</w:t>
      </w:r>
    </w:p>
    <w:p w14:paraId="16F27AF4">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（2）向有管辖权的人民法院提起诉讼。</w:t>
      </w:r>
    </w:p>
    <w:p w14:paraId="4B75A624">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w:t>
      </w:r>
    </w:p>
    <w:p w14:paraId="37FFEC4F">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1、中标方持中标通知书作为与需方签订合同的凭证。</w:t>
      </w:r>
    </w:p>
    <w:p w14:paraId="3B8973AB">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2、本合同经需、供双方法定代表人或其授权委托人签名并加盖单位公章后生效。</w:t>
      </w:r>
    </w:p>
    <w:p w14:paraId="060F2599">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需方（加盖公章）：                  供方（加盖公章）：</w:t>
      </w:r>
    </w:p>
    <w:p w14:paraId="4B690E0C">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4A87BCE2">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法定代表人（或委托代理人）签名：   法定代表人（或委托代理人）签名：                    </w:t>
      </w:r>
    </w:p>
    <w:p w14:paraId="422F34E6">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14:paraId="5F8AE610">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14:paraId="0F0E116A">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14:paraId="4E89AD17">
      <w:pPr>
        <w:pStyle w:val="27"/>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14:paraId="2204A891">
      <w:pPr>
        <w:pStyle w:val="27"/>
        <w:snapToGrid w:val="0"/>
        <w:spacing w:line="360" w:lineRule="auto"/>
        <w:rPr>
          <w:rFonts w:cs="宋体"/>
          <w:color w:val="auto"/>
          <w:highlight w:val="none"/>
        </w:rPr>
      </w:pPr>
    </w:p>
    <w:p w14:paraId="33D80425">
      <w:pPr>
        <w:rPr>
          <w:rFonts w:ascii="宋体" w:hAnsi="宋体" w:cs="宋体"/>
          <w:color w:val="auto"/>
          <w:highlight w:val="none"/>
        </w:rPr>
      </w:pPr>
    </w:p>
    <w:p w14:paraId="663480D6">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F73808C">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2"/>
      <w:bookmarkEnd w:id="383"/>
      <w:r>
        <w:rPr>
          <w:rFonts w:hint="eastAsia" w:ascii="宋体" w:hAnsi="宋体" w:cs="宋体"/>
          <w:b/>
          <w:color w:val="auto"/>
          <w:sz w:val="36"/>
          <w:szCs w:val="20"/>
          <w:highlight w:val="none"/>
        </w:rPr>
        <w:t>应提交的有关格式范例</w:t>
      </w:r>
    </w:p>
    <w:p w14:paraId="5EEAA15E">
      <w:pPr>
        <w:spacing w:line="360" w:lineRule="auto"/>
        <w:jc w:val="center"/>
        <w:outlineLvl w:val="0"/>
        <w:rPr>
          <w:rFonts w:ascii="宋体" w:hAnsi="宋体" w:cs="宋体"/>
          <w:b/>
          <w:color w:val="auto"/>
          <w:kern w:val="0"/>
          <w:sz w:val="36"/>
          <w:szCs w:val="36"/>
          <w:highlight w:val="none"/>
        </w:rPr>
      </w:pPr>
    </w:p>
    <w:p w14:paraId="74AB40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AB612A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BE69C90">
      <w:pPr>
        <w:spacing w:line="360" w:lineRule="auto"/>
        <w:jc w:val="center"/>
        <w:outlineLvl w:val="0"/>
        <w:rPr>
          <w:rFonts w:ascii="宋体" w:hAnsi="宋体" w:cs="宋体"/>
          <w:b/>
          <w:color w:val="auto"/>
          <w:kern w:val="0"/>
          <w:sz w:val="36"/>
          <w:szCs w:val="36"/>
          <w:highlight w:val="none"/>
        </w:rPr>
      </w:pPr>
    </w:p>
    <w:p w14:paraId="4A46638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14:paraId="6A4629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14:paraId="336D78BB">
      <w:pPr>
        <w:snapToGrid w:val="0"/>
        <w:spacing w:line="360" w:lineRule="auto"/>
        <w:ind w:firstLine="480" w:firstLineChars="200"/>
        <w:rPr>
          <w:rFonts w:ascii="宋体" w:hAnsi="宋体" w:cs="宋体"/>
          <w:color w:val="auto"/>
          <w:sz w:val="24"/>
          <w:highlight w:val="none"/>
        </w:rPr>
      </w:pPr>
    </w:p>
    <w:p w14:paraId="5D9AD786">
      <w:pPr>
        <w:spacing w:line="360" w:lineRule="auto"/>
        <w:ind w:firstLine="480" w:firstLineChars="200"/>
        <w:rPr>
          <w:rFonts w:ascii="宋体" w:hAnsi="宋体" w:cs="宋体"/>
          <w:color w:val="auto"/>
          <w:sz w:val="24"/>
          <w:highlight w:val="none"/>
        </w:rPr>
      </w:pPr>
    </w:p>
    <w:p w14:paraId="646F1E4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14:paraId="6BA74A8A">
      <w:pPr>
        <w:snapToGrid w:val="0"/>
        <w:spacing w:line="360" w:lineRule="auto"/>
        <w:rPr>
          <w:rFonts w:ascii="宋体" w:hAnsi="宋体" w:cs="宋体"/>
          <w:color w:val="auto"/>
          <w:sz w:val="24"/>
          <w:highlight w:val="none"/>
        </w:rPr>
      </w:pPr>
    </w:p>
    <w:p w14:paraId="6357505F">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7741F8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交易活动，郑重承诺：</w:t>
      </w:r>
    </w:p>
    <w:p w14:paraId="15494C2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5A7782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98186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6BE19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35EEA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DA41C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307630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2914F5B">
      <w:pPr>
        <w:snapToGrid w:val="0"/>
        <w:spacing w:line="360" w:lineRule="auto"/>
        <w:ind w:firstLine="5520" w:firstLineChars="2300"/>
        <w:rPr>
          <w:rFonts w:ascii="宋体" w:hAnsi="宋体" w:cs="宋体"/>
          <w:color w:val="auto"/>
          <w:kern w:val="0"/>
          <w:sz w:val="24"/>
          <w:highlight w:val="none"/>
          <w:lang w:val="zh-CN"/>
        </w:rPr>
      </w:pPr>
    </w:p>
    <w:p w14:paraId="60A8A16F">
      <w:pPr>
        <w:snapToGrid w:val="0"/>
        <w:spacing w:line="360" w:lineRule="auto"/>
        <w:ind w:firstLine="5520" w:firstLineChars="2300"/>
        <w:rPr>
          <w:rFonts w:ascii="宋体" w:hAnsi="宋体" w:cs="宋体"/>
          <w:color w:val="auto"/>
          <w:kern w:val="0"/>
          <w:sz w:val="24"/>
          <w:highlight w:val="none"/>
          <w:lang w:val="zh-CN"/>
        </w:rPr>
      </w:pPr>
    </w:p>
    <w:p w14:paraId="3475ED20">
      <w:pPr>
        <w:snapToGrid w:val="0"/>
        <w:spacing w:line="360" w:lineRule="auto"/>
        <w:ind w:firstLine="5520" w:firstLineChars="2300"/>
        <w:rPr>
          <w:rFonts w:ascii="宋体" w:hAnsi="宋体" w:cs="宋体"/>
          <w:color w:val="auto"/>
          <w:kern w:val="0"/>
          <w:sz w:val="24"/>
          <w:highlight w:val="none"/>
          <w:lang w:val="zh-CN"/>
        </w:rPr>
      </w:pPr>
    </w:p>
    <w:p w14:paraId="239C8614">
      <w:pPr>
        <w:snapToGrid w:val="0"/>
        <w:spacing w:line="360" w:lineRule="auto"/>
        <w:ind w:firstLine="5520" w:firstLineChars="23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响应人名称(电子签名)：</w:t>
      </w:r>
    </w:p>
    <w:p w14:paraId="08110B8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772C5706">
      <w:pPr>
        <w:snapToGrid w:val="0"/>
        <w:spacing w:line="360" w:lineRule="auto"/>
        <w:ind w:right="480"/>
        <w:jc w:val="center"/>
        <w:rPr>
          <w:rFonts w:ascii="宋体" w:hAnsi="宋体" w:cs="宋体"/>
          <w:b/>
          <w:color w:val="auto"/>
          <w:kern w:val="0"/>
          <w:sz w:val="32"/>
          <w:szCs w:val="32"/>
          <w:highlight w:val="none"/>
        </w:rPr>
      </w:pPr>
    </w:p>
    <w:p w14:paraId="7BA98BD1">
      <w:pPr>
        <w:snapToGrid w:val="0"/>
        <w:spacing w:line="360" w:lineRule="auto"/>
        <w:ind w:right="480"/>
        <w:jc w:val="center"/>
        <w:rPr>
          <w:rFonts w:ascii="宋体" w:hAnsi="宋体" w:cs="宋体"/>
          <w:b/>
          <w:color w:val="auto"/>
          <w:kern w:val="0"/>
          <w:sz w:val="32"/>
          <w:szCs w:val="32"/>
          <w:highlight w:val="none"/>
        </w:rPr>
      </w:pPr>
    </w:p>
    <w:p w14:paraId="07939B2F">
      <w:pPr>
        <w:snapToGrid w:val="0"/>
        <w:spacing w:line="360" w:lineRule="auto"/>
        <w:ind w:right="480"/>
        <w:jc w:val="center"/>
        <w:rPr>
          <w:rFonts w:ascii="宋体" w:hAnsi="宋体" w:cs="宋体"/>
          <w:b/>
          <w:color w:val="auto"/>
          <w:kern w:val="0"/>
          <w:sz w:val="32"/>
          <w:szCs w:val="32"/>
          <w:highlight w:val="none"/>
        </w:rPr>
      </w:pPr>
    </w:p>
    <w:p w14:paraId="11C51A3C">
      <w:pPr>
        <w:rPr>
          <w:rFonts w:ascii="宋体" w:hAnsi="宋体" w:cs="宋体"/>
          <w:color w:val="auto"/>
          <w:highlight w:val="none"/>
        </w:rPr>
      </w:pPr>
    </w:p>
    <w:p w14:paraId="59E2D341">
      <w:pPr>
        <w:widowControl/>
        <w:spacing w:line="360" w:lineRule="auto"/>
        <w:ind w:left="150"/>
        <w:jc w:val="center"/>
        <w:rPr>
          <w:rFonts w:ascii="宋体" w:hAnsi="宋体" w:cs="宋体"/>
          <w:b/>
          <w:color w:val="auto"/>
          <w:kern w:val="0"/>
          <w:sz w:val="32"/>
          <w:szCs w:val="32"/>
          <w:highlight w:val="none"/>
        </w:rPr>
      </w:pPr>
    </w:p>
    <w:p w14:paraId="4F74F973">
      <w:pPr>
        <w:widowControl/>
        <w:spacing w:line="360" w:lineRule="auto"/>
        <w:ind w:left="150"/>
        <w:jc w:val="center"/>
        <w:rPr>
          <w:rFonts w:ascii="宋体" w:hAnsi="宋体" w:cs="宋体"/>
          <w:b/>
          <w:color w:val="auto"/>
          <w:kern w:val="0"/>
          <w:sz w:val="32"/>
          <w:szCs w:val="32"/>
          <w:highlight w:val="none"/>
        </w:rPr>
      </w:pPr>
    </w:p>
    <w:p w14:paraId="2E99A59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689A2146">
      <w:pPr>
        <w:spacing w:line="360" w:lineRule="auto"/>
        <w:jc w:val="center"/>
        <w:rPr>
          <w:rFonts w:ascii="宋体" w:hAnsi="宋体" w:cs="宋体"/>
          <w:b/>
          <w:color w:val="auto"/>
          <w:kern w:val="0"/>
          <w:sz w:val="36"/>
          <w:szCs w:val="36"/>
          <w:highlight w:val="none"/>
        </w:rPr>
      </w:pPr>
      <w:r>
        <w:rPr>
          <w:rFonts w:hint="eastAsia" w:ascii="宋体" w:hAnsi="宋体" w:cs="宋体"/>
          <w:color w:val="auto"/>
          <w:sz w:val="24"/>
          <w:highlight w:val="none"/>
        </w:rPr>
        <w:t>（根据交易公告本项目的特定资格要求提供相应的材料；未要求的，无需提供）</w:t>
      </w:r>
    </w:p>
    <w:p w14:paraId="5DF88DDC">
      <w:pPr>
        <w:snapToGrid w:val="0"/>
        <w:spacing w:line="360" w:lineRule="auto"/>
        <w:ind w:right="480"/>
        <w:jc w:val="center"/>
        <w:rPr>
          <w:rFonts w:ascii="宋体" w:hAnsi="宋体" w:cs="宋体"/>
          <w:b/>
          <w:color w:val="auto"/>
          <w:kern w:val="0"/>
          <w:sz w:val="32"/>
          <w:szCs w:val="32"/>
          <w:highlight w:val="none"/>
        </w:rPr>
      </w:pPr>
    </w:p>
    <w:p w14:paraId="2A475355">
      <w:pPr>
        <w:spacing w:line="360" w:lineRule="auto"/>
        <w:jc w:val="center"/>
        <w:outlineLvl w:val="0"/>
        <w:rPr>
          <w:rFonts w:ascii="宋体" w:hAnsi="宋体" w:cs="宋体"/>
          <w:b/>
          <w:color w:val="auto"/>
          <w:kern w:val="0"/>
          <w:sz w:val="36"/>
          <w:szCs w:val="36"/>
          <w:highlight w:val="none"/>
        </w:rPr>
      </w:pPr>
    </w:p>
    <w:p w14:paraId="17171856">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625A7B2">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1249916">
      <w:pPr>
        <w:spacing w:line="360" w:lineRule="auto"/>
        <w:jc w:val="center"/>
        <w:outlineLvl w:val="0"/>
        <w:rPr>
          <w:rFonts w:ascii="宋体" w:hAnsi="宋体" w:cs="宋体"/>
          <w:b/>
          <w:color w:val="auto"/>
          <w:kern w:val="0"/>
          <w:sz w:val="24"/>
          <w:highlight w:val="none"/>
        </w:rPr>
      </w:pPr>
    </w:p>
    <w:p w14:paraId="5932D93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6A91642">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82F7BE6">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14:paraId="5C2E3438">
      <w:pPr>
        <w:snapToGrid w:val="0"/>
        <w:spacing w:line="360" w:lineRule="auto"/>
        <w:ind w:firstLine="480" w:firstLineChars="200"/>
        <w:jc w:val="distribute"/>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3C5BFFB8">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（5）评审标准相应的商务技术资料</w:t>
      </w:r>
      <w:r>
        <w:rPr>
          <w:rFonts w:hint="eastAsia" w:ascii="宋体" w:hAnsi="宋体" w:cs="宋体"/>
          <w:color w:val="auto"/>
          <w:highlight w:val="none"/>
        </w:rPr>
        <w:t>……………………………………………………（页码）</w:t>
      </w:r>
    </w:p>
    <w:p w14:paraId="062D011F">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3B550D8C">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响应人廉洁自律承诺书</w:t>
      </w:r>
      <w:r>
        <w:rPr>
          <w:rFonts w:hint="eastAsia" w:ascii="宋体" w:hAnsi="宋体" w:cs="宋体"/>
          <w:color w:val="auto"/>
          <w:highlight w:val="none"/>
        </w:rPr>
        <w:t>……………………………………………………………（页码）</w:t>
      </w:r>
    </w:p>
    <w:p w14:paraId="6E1752F9">
      <w:pPr>
        <w:snapToGrid w:val="0"/>
        <w:spacing w:line="360" w:lineRule="auto"/>
        <w:jc w:val="center"/>
        <w:rPr>
          <w:rFonts w:ascii="宋体" w:hAnsi="宋体" w:cs="宋体"/>
          <w:b/>
          <w:color w:val="auto"/>
          <w:kern w:val="0"/>
          <w:sz w:val="32"/>
          <w:szCs w:val="32"/>
          <w:highlight w:val="none"/>
          <w:lang w:val="zh-CN"/>
        </w:rPr>
      </w:pPr>
    </w:p>
    <w:p w14:paraId="41B49317">
      <w:pPr>
        <w:snapToGrid w:val="0"/>
        <w:spacing w:line="360" w:lineRule="auto"/>
        <w:jc w:val="center"/>
        <w:rPr>
          <w:rFonts w:ascii="宋体" w:hAnsi="宋体" w:cs="宋体"/>
          <w:b/>
          <w:color w:val="auto"/>
          <w:kern w:val="0"/>
          <w:sz w:val="32"/>
          <w:szCs w:val="32"/>
          <w:highlight w:val="none"/>
          <w:lang w:val="zh-CN"/>
        </w:rPr>
      </w:pPr>
    </w:p>
    <w:p w14:paraId="5A1B5A77">
      <w:pPr>
        <w:snapToGrid w:val="0"/>
        <w:spacing w:line="360" w:lineRule="auto"/>
        <w:jc w:val="center"/>
        <w:rPr>
          <w:rFonts w:ascii="宋体" w:hAnsi="宋体" w:cs="宋体"/>
          <w:b/>
          <w:color w:val="auto"/>
          <w:kern w:val="0"/>
          <w:sz w:val="32"/>
          <w:szCs w:val="32"/>
          <w:highlight w:val="none"/>
          <w:lang w:val="zh-CN"/>
        </w:rPr>
      </w:pPr>
    </w:p>
    <w:p w14:paraId="12AD56DC">
      <w:pPr>
        <w:snapToGrid w:val="0"/>
        <w:spacing w:line="360" w:lineRule="auto"/>
        <w:jc w:val="center"/>
        <w:rPr>
          <w:rFonts w:ascii="宋体" w:hAnsi="宋体" w:cs="宋体"/>
          <w:b/>
          <w:color w:val="auto"/>
          <w:kern w:val="0"/>
          <w:sz w:val="32"/>
          <w:szCs w:val="32"/>
          <w:highlight w:val="none"/>
          <w:lang w:val="zh-CN"/>
        </w:rPr>
      </w:pPr>
    </w:p>
    <w:p w14:paraId="114A8581">
      <w:pPr>
        <w:snapToGrid w:val="0"/>
        <w:spacing w:line="360" w:lineRule="auto"/>
        <w:jc w:val="center"/>
        <w:rPr>
          <w:rFonts w:ascii="宋体" w:hAnsi="宋体" w:cs="宋体"/>
          <w:b/>
          <w:color w:val="auto"/>
          <w:kern w:val="0"/>
          <w:sz w:val="32"/>
          <w:szCs w:val="32"/>
          <w:highlight w:val="none"/>
          <w:lang w:val="zh-CN"/>
        </w:rPr>
      </w:pPr>
    </w:p>
    <w:p w14:paraId="5472346D">
      <w:pPr>
        <w:snapToGrid w:val="0"/>
        <w:spacing w:line="360" w:lineRule="auto"/>
        <w:jc w:val="center"/>
        <w:outlineLvl w:val="0"/>
        <w:rPr>
          <w:rFonts w:ascii="宋体" w:hAnsi="宋体" w:cs="宋体"/>
          <w:b/>
          <w:color w:val="auto"/>
          <w:kern w:val="0"/>
          <w:sz w:val="32"/>
          <w:szCs w:val="32"/>
          <w:highlight w:val="none"/>
        </w:rPr>
      </w:pPr>
    </w:p>
    <w:p w14:paraId="238ED1D6">
      <w:pPr>
        <w:snapToGrid w:val="0"/>
        <w:spacing w:line="360" w:lineRule="auto"/>
        <w:jc w:val="center"/>
        <w:outlineLvl w:val="0"/>
        <w:rPr>
          <w:rFonts w:ascii="宋体" w:hAnsi="宋体" w:cs="宋体"/>
          <w:b/>
          <w:color w:val="auto"/>
          <w:kern w:val="0"/>
          <w:sz w:val="32"/>
          <w:szCs w:val="32"/>
          <w:highlight w:val="none"/>
        </w:rPr>
      </w:pPr>
    </w:p>
    <w:p w14:paraId="3989FB57">
      <w:pPr>
        <w:rPr>
          <w:rFonts w:ascii="宋体" w:hAnsi="宋体" w:cs="宋体"/>
          <w:color w:val="auto"/>
          <w:highlight w:val="none"/>
        </w:rPr>
      </w:pPr>
    </w:p>
    <w:p w14:paraId="741D533D">
      <w:pPr>
        <w:snapToGrid w:val="0"/>
        <w:spacing w:line="360" w:lineRule="auto"/>
        <w:jc w:val="center"/>
        <w:outlineLvl w:val="0"/>
        <w:rPr>
          <w:rFonts w:ascii="宋体" w:hAnsi="宋体" w:cs="宋体"/>
          <w:b/>
          <w:color w:val="auto"/>
          <w:kern w:val="0"/>
          <w:sz w:val="32"/>
          <w:szCs w:val="32"/>
          <w:highlight w:val="none"/>
        </w:rPr>
      </w:pPr>
    </w:p>
    <w:p w14:paraId="31729E93">
      <w:pPr>
        <w:snapToGrid w:val="0"/>
        <w:spacing w:line="360" w:lineRule="auto"/>
        <w:jc w:val="center"/>
        <w:outlineLvl w:val="0"/>
        <w:rPr>
          <w:rFonts w:ascii="宋体" w:hAnsi="宋体" w:cs="宋体"/>
          <w:b/>
          <w:color w:val="auto"/>
          <w:kern w:val="0"/>
          <w:sz w:val="32"/>
          <w:szCs w:val="32"/>
          <w:highlight w:val="none"/>
        </w:rPr>
      </w:pPr>
    </w:p>
    <w:p w14:paraId="41EF92C9">
      <w:pPr>
        <w:snapToGrid w:val="0"/>
        <w:spacing w:line="360" w:lineRule="auto"/>
        <w:jc w:val="center"/>
        <w:outlineLvl w:val="0"/>
        <w:rPr>
          <w:rFonts w:ascii="宋体" w:hAnsi="宋体" w:cs="宋体"/>
          <w:b/>
          <w:color w:val="auto"/>
          <w:kern w:val="0"/>
          <w:sz w:val="32"/>
          <w:szCs w:val="32"/>
          <w:highlight w:val="none"/>
        </w:rPr>
      </w:pPr>
    </w:p>
    <w:p w14:paraId="77E4B5ED">
      <w:pPr>
        <w:snapToGrid w:val="0"/>
        <w:spacing w:line="360" w:lineRule="auto"/>
        <w:jc w:val="center"/>
        <w:outlineLvl w:val="0"/>
        <w:rPr>
          <w:rFonts w:ascii="宋体" w:hAnsi="宋体" w:cs="宋体"/>
          <w:b/>
          <w:color w:val="auto"/>
          <w:kern w:val="0"/>
          <w:sz w:val="32"/>
          <w:szCs w:val="32"/>
          <w:highlight w:val="none"/>
        </w:rPr>
      </w:pPr>
    </w:p>
    <w:p w14:paraId="04C215DF">
      <w:pPr>
        <w:snapToGrid w:val="0"/>
        <w:spacing w:line="360" w:lineRule="auto"/>
        <w:jc w:val="center"/>
        <w:outlineLvl w:val="0"/>
        <w:rPr>
          <w:rFonts w:ascii="宋体" w:hAnsi="宋体" w:cs="宋体"/>
          <w:b/>
          <w:color w:val="auto"/>
          <w:kern w:val="0"/>
          <w:sz w:val="32"/>
          <w:szCs w:val="32"/>
          <w:highlight w:val="none"/>
        </w:rPr>
      </w:pPr>
    </w:p>
    <w:p w14:paraId="24963A68">
      <w:pPr>
        <w:snapToGrid w:val="0"/>
        <w:spacing w:line="360" w:lineRule="auto"/>
        <w:jc w:val="center"/>
        <w:outlineLvl w:val="0"/>
        <w:rPr>
          <w:rFonts w:ascii="宋体" w:hAnsi="宋体" w:cs="宋体"/>
          <w:b/>
          <w:color w:val="auto"/>
          <w:kern w:val="0"/>
          <w:sz w:val="32"/>
          <w:szCs w:val="32"/>
          <w:highlight w:val="none"/>
        </w:rPr>
      </w:pPr>
    </w:p>
    <w:p w14:paraId="3681B42C">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BD25147">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14:paraId="3FC4B5B8">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73FA8BCB">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招标的有关活动，并对此项目进行投标。为此：</w:t>
      </w:r>
    </w:p>
    <w:p w14:paraId="273F8B98">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131D454F">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0123BBCA">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FAFCDB3">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3C5B5B2">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14:paraId="499584A1">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1100FA2A">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p>
    <w:p w14:paraId="102CDE17">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1FC1658">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2.2.3营业执照；</w:t>
      </w:r>
    </w:p>
    <w:p w14:paraId="64117DD9">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6F0DDC66">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2.2.5评审标准相应的商务技术资料；</w:t>
      </w:r>
    </w:p>
    <w:p w14:paraId="1740D1FD">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7AB882FD">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14:paraId="77C22F13">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BC9EAAE">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14:paraId="67F6D4AC">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14:paraId="216AE3D5">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2392F56D">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4C8D7A1A">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B20D0AE">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14:paraId="164786B1">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6691701">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560759B4">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14:paraId="071CDCA5">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56F5831E">
      <w:pPr>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34AB21">
      <w:pPr>
        <w:pStyle w:val="25"/>
        <w:rPr>
          <w:rFonts w:hAnsi="宋体" w:cs="宋体"/>
          <w:color w:val="auto"/>
          <w:highlight w:val="none"/>
          <w:lang w:val="en-US"/>
        </w:rPr>
      </w:pPr>
    </w:p>
    <w:p w14:paraId="1EFE0A20">
      <w:pPr>
        <w:jc w:val="center"/>
        <w:rPr>
          <w:rFonts w:ascii="宋体" w:hAnsi="宋体" w:cs="宋体"/>
          <w:b/>
          <w:color w:val="auto"/>
          <w:kern w:val="0"/>
          <w:sz w:val="32"/>
          <w:szCs w:val="32"/>
          <w:highlight w:val="none"/>
        </w:rPr>
      </w:pPr>
    </w:p>
    <w:p w14:paraId="67D72EF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610C60E">
      <w:pPr>
        <w:snapToGrid w:val="0"/>
        <w:spacing w:line="360" w:lineRule="auto"/>
        <w:rPr>
          <w:rFonts w:ascii="宋体" w:hAnsi="宋体" w:cs="宋体"/>
          <w:color w:val="auto"/>
          <w:sz w:val="24"/>
          <w:highlight w:val="none"/>
        </w:rPr>
      </w:pPr>
    </w:p>
    <w:p w14:paraId="5D783D4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6880B49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05FB5B7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u w:val="single"/>
        </w:rPr>
        <w:t>（项目名称）【交易编号：】</w:t>
      </w:r>
      <w:r>
        <w:rPr>
          <w:rFonts w:hint="eastAsia" w:ascii="宋体" w:hAnsi="宋体" w:cs="宋体"/>
          <w:color w:val="auto"/>
          <w:kern w:val="0"/>
          <w:sz w:val="24"/>
          <w:highlight w:val="none"/>
          <w:lang w:val="zh-CN"/>
        </w:rPr>
        <w:t>交易项目的一切事项，其法律后果由我方承担。</w:t>
      </w:r>
    </w:p>
    <w:p w14:paraId="01171E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1B1C1AB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2C4724F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14:paraId="45314C7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F7F5756">
      <w:pPr>
        <w:snapToGrid w:val="0"/>
        <w:spacing w:line="360" w:lineRule="auto"/>
        <w:rPr>
          <w:rFonts w:ascii="宋体" w:hAnsi="宋体" w:cs="宋体"/>
          <w:color w:val="auto"/>
          <w:sz w:val="24"/>
          <w:highlight w:val="none"/>
        </w:rPr>
      </w:pPr>
    </w:p>
    <w:p w14:paraId="13E77CF7">
      <w:pPr>
        <w:snapToGrid w:val="0"/>
        <w:spacing w:line="360" w:lineRule="auto"/>
        <w:rPr>
          <w:rFonts w:ascii="宋体" w:hAnsi="宋体" w:cs="宋体"/>
          <w:color w:val="auto"/>
          <w:kern w:val="0"/>
          <w:sz w:val="24"/>
          <w:highlight w:val="none"/>
          <w:lang w:val="zh-CN"/>
        </w:rPr>
      </w:pPr>
    </w:p>
    <w:p w14:paraId="4733217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14:paraId="18E47B46">
      <w:pPr>
        <w:pStyle w:val="15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1E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0BECF5B">
            <w:pPr>
              <w:pStyle w:val="15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1D4BA56">
            <w:pPr>
              <w:pStyle w:val="157"/>
              <w:adjustRightInd w:val="0"/>
              <w:spacing w:line="360" w:lineRule="auto"/>
              <w:rPr>
                <w:rFonts w:hAnsi="宋体" w:cs="宋体"/>
                <w:bCs/>
                <w:color w:val="auto"/>
                <w:sz w:val="24"/>
                <w:highlight w:val="none"/>
              </w:rPr>
            </w:pPr>
          </w:p>
        </w:tc>
      </w:tr>
    </w:tbl>
    <w:p w14:paraId="16CBA487">
      <w:pPr>
        <w:snapToGrid w:val="0"/>
        <w:spacing w:line="360" w:lineRule="auto"/>
        <w:ind w:firstLine="576"/>
        <w:jc w:val="center"/>
        <w:rPr>
          <w:rFonts w:ascii="宋体" w:hAnsi="宋体" w:cs="宋体"/>
          <w:color w:val="auto"/>
          <w:kern w:val="0"/>
          <w:sz w:val="24"/>
          <w:highlight w:val="none"/>
          <w:lang w:val="zh-CN"/>
        </w:rPr>
      </w:pPr>
    </w:p>
    <w:p w14:paraId="7B3CCA7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14:paraId="39C4E8C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D99E297">
      <w:pPr>
        <w:jc w:val="center"/>
        <w:rPr>
          <w:rFonts w:ascii="宋体" w:hAnsi="宋体" w:cs="宋体"/>
          <w:b/>
          <w:color w:val="auto"/>
          <w:kern w:val="0"/>
          <w:sz w:val="32"/>
          <w:szCs w:val="32"/>
          <w:highlight w:val="none"/>
        </w:rPr>
      </w:pPr>
    </w:p>
    <w:p w14:paraId="516E9CB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09CA83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14:paraId="53FD867E">
      <w:pPr>
        <w:jc w:val="center"/>
        <w:rPr>
          <w:rFonts w:ascii="宋体" w:hAnsi="宋体" w:cs="宋体"/>
          <w:b/>
          <w:color w:val="auto"/>
          <w:kern w:val="0"/>
          <w:sz w:val="32"/>
          <w:szCs w:val="32"/>
          <w:highlight w:val="none"/>
        </w:rPr>
      </w:pP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0B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2EDAC2DF">
            <w:pPr>
              <w:pStyle w:val="157"/>
              <w:adjustRightInd w:val="0"/>
              <w:spacing w:line="360" w:lineRule="auto"/>
              <w:rPr>
                <w:rFonts w:hAnsi="宋体" w:cs="宋体"/>
                <w:bCs/>
                <w:color w:val="auto"/>
                <w:sz w:val="24"/>
                <w:highlight w:val="none"/>
              </w:rPr>
            </w:pPr>
          </w:p>
        </w:tc>
      </w:tr>
    </w:tbl>
    <w:p w14:paraId="4F1DE538">
      <w:pPr>
        <w:snapToGrid w:val="0"/>
        <w:spacing w:line="360" w:lineRule="auto"/>
        <w:ind w:firstLine="576"/>
        <w:jc w:val="center"/>
        <w:rPr>
          <w:rFonts w:ascii="宋体" w:hAnsi="宋体" w:cs="宋体"/>
          <w:color w:val="auto"/>
          <w:kern w:val="0"/>
          <w:sz w:val="24"/>
          <w:highlight w:val="none"/>
          <w:lang w:val="zh-CN"/>
        </w:rPr>
      </w:pPr>
    </w:p>
    <w:p w14:paraId="74633786">
      <w:pPr>
        <w:snapToGrid w:val="0"/>
        <w:spacing w:line="360" w:lineRule="auto"/>
        <w:ind w:firstLine="576"/>
        <w:jc w:val="center"/>
        <w:rPr>
          <w:rFonts w:ascii="宋体" w:hAnsi="宋体" w:cs="宋体"/>
          <w:color w:val="auto"/>
          <w:kern w:val="0"/>
          <w:sz w:val="24"/>
          <w:highlight w:val="none"/>
          <w:lang w:val="zh-CN"/>
        </w:rPr>
      </w:pPr>
    </w:p>
    <w:p w14:paraId="6EC48BE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14:paraId="44AD7F2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A54B79E">
      <w:pPr>
        <w:jc w:val="center"/>
        <w:rPr>
          <w:rFonts w:ascii="宋体" w:hAnsi="宋体" w:cs="宋体"/>
          <w:b/>
          <w:color w:val="auto"/>
          <w:kern w:val="0"/>
          <w:sz w:val="32"/>
          <w:szCs w:val="32"/>
          <w:highlight w:val="none"/>
        </w:rPr>
      </w:pPr>
    </w:p>
    <w:p w14:paraId="4C80A43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4ADFC30">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733A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900B62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14:paraId="09141B1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14:paraId="4E50365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1604F7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33A7135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20E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3B79A0">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14:paraId="03E65E0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14:paraId="1E8BCB2E">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6A40141C">
            <w:pPr>
              <w:jc w:val="center"/>
              <w:rPr>
                <w:rFonts w:ascii="宋体" w:hAnsi="宋体" w:cs="宋体"/>
                <w:color w:val="auto"/>
                <w:sz w:val="24"/>
                <w:highlight w:val="none"/>
              </w:rPr>
            </w:pPr>
          </w:p>
          <w:p w14:paraId="3A4E2193">
            <w:pPr>
              <w:jc w:val="center"/>
              <w:rPr>
                <w:rFonts w:ascii="宋体" w:hAnsi="宋体" w:cs="宋体"/>
                <w:color w:val="auto"/>
                <w:sz w:val="24"/>
                <w:highlight w:val="none"/>
              </w:rPr>
            </w:pPr>
            <w:r>
              <w:rPr>
                <w:rFonts w:hint="eastAsia" w:ascii="宋体" w:hAnsi="宋体" w:cs="宋体"/>
                <w:color w:val="auto"/>
                <w:sz w:val="24"/>
                <w:highlight w:val="none"/>
              </w:rPr>
              <w:t>见响应文件</w:t>
            </w:r>
          </w:p>
          <w:p w14:paraId="7A494575">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页</w:t>
            </w:r>
          </w:p>
        </w:tc>
      </w:tr>
      <w:tr w14:paraId="4426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06D77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14:paraId="16F16FC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14:paraId="1DA9B41F">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14:paraId="40425C61">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页</w:t>
            </w:r>
          </w:p>
        </w:tc>
      </w:tr>
      <w:tr w14:paraId="2D70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B15DBD">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14:paraId="4214F6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14:paraId="112CFA03">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3B9E8CE5">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页</w:t>
            </w:r>
          </w:p>
        </w:tc>
      </w:tr>
    </w:tbl>
    <w:p w14:paraId="37571D9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72B6F36">
      <w:pPr>
        <w:jc w:val="center"/>
        <w:rPr>
          <w:rFonts w:ascii="宋体" w:hAnsi="宋体" w:cs="宋体"/>
          <w:b/>
          <w:color w:val="auto"/>
          <w:kern w:val="0"/>
          <w:sz w:val="32"/>
          <w:szCs w:val="32"/>
          <w:highlight w:val="none"/>
        </w:rPr>
      </w:pPr>
    </w:p>
    <w:p w14:paraId="4AEB3D5F">
      <w:pPr>
        <w:jc w:val="center"/>
        <w:rPr>
          <w:rFonts w:ascii="宋体" w:hAnsi="宋体" w:cs="宋体"/>
          <w:b/>
          <w:color w:val="auto"/>
          <w:kern w:val="0"/>
          <w:sz w:val="32"/>
          <w:szCs w:val="32"/>
          <w:highlight w:val="none"/>
        </w:rPr>
      </w:pPr>
    </w:p>
    <w:p w14:paraId="5F6345B4">
      <w:pPr>
        <w:rPr>
          <w:rFonts w:ascii="宋体" w:hAnsi="宋体" w:cs="宋体"/>
          <w:b/>
          <w:color w:val="auto"/>
          <w:kern w:val="0"/>
          <w:sz w:val="32"/>
          <w:szCs w:val="32"/>
          <w:highlight w:val="none"/>
        </w:rPr>
      </w:pPr>
    </w:p>
    <w:p w14:paraId="09BFCE85">
      <w:pPr>
        <w:jc w:val="center"/>
        <w:rPr>
          <w:rFonts w:ascii="宋体" w:hAnsi="宋体" w:cs="宋体"/>
          <w:b/>
          <w:color w:val="auto"/>
          <w:kern w:val="0"/>
          <w:sz w:val="32"/>
          <w:szCs w:val="32"/>
          <w:highlight w:val="none"/>
        </w:rPr>
      </w:pPr>
    </w:p>
    <w:p w14:paraId="415441CB">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14:paraId="12FF85E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14:paraId="01827199">
      <w:pPr>
        <w:jc w:val="center"/>
        <w:rPr>
          <w:rFonts w:ascii="宋体" w:hAnsi="宋体" w:cs="宋体"/>
          <w:b/>
          <w:color w:val="auto"/>
          <w:kern w:val="0"/>
          <w:sz w:val="32"/>
          <w:szCs w:val="32"/>
          <w:highlight w:val="none"/>
        </w:rPr>
      </w:pPr>
    </w:p>
    <w:p w14:paraId="215EE048">
      <w:pPr>
        <w:jc w:val="center"/>
        <w:rPr>
          <w:rFonts w:ascii="宋体" w:hAnsi="宋体" w:cs="宋体"/>
          <w:b/>
          <w:color w:val="auto"/>
          <w:kern w:val="0"/>
          <w:sz w:val="32"/>
          <w:szCs w:val="32"/>
          <w:highlight w:val="none"/>
        </w:rPr>
      </w:pPr>
    </w:p>
    <w:p w14:paraId="5A5DAB97">
      <w:pPr>
        <w:jc w:val="center"/>
        <w:rPr>
          <w:rFonts w:ascii="宋体" w:hAnsi="宋体" w:cs="宋体"/>
          <w:b/>
          <w:color w:val="auto"/>
          <w:kern w:val="0"/>
          <w:sz w:val="32"/>
          <w:szCs w:val="32"/>
          <w:highlight w:val="none"/>
        </w:rPr>
      </w:pPr>
    </w:p>
    <w:p w14:paraId="590C2AEC">
      <w:pPr>
        <w:jc w:val="center"/>
        <w:rPr>
          <w:rFonts w:ascii="宋体" w:hAnsi="宋体" w:cs="宋体"/>
          <w:b/>
          <w:color w:val="auto"/>
          <w:kern w:val="0"/>
          <w:sz w:val="32"/>
          <w:szCs w:val="32"/>
          <w:highlight w:val="none"/>
        </w:rPr>
      </w:pPr>
    </w:p>
    <w:p w14:paraId="6EC4F552">
      <w:pPr>
        <w:jc w:val="center"/>
        <w:rPr>
          <w:rFonts w:ascii="宋体" w:hAnsi="宋体" w:cs="宋体"/>
          <w:b/>
          <w:color w:val="auto"/>
          <w:kern w:val="0"/>
          <w:sz w:val="32"/>
          <w:szCs w:val="32"/>
          <w:highlight w:val="none"/>
        </w:rPr>
      </w:pPr>
    </w:p>
    <w:p w14:paraId="0D98FBAB">
      <w:pPr>
        <w:pStyle w:val="26"/>
        <w:rPr>
          <w:rFonts w:hAnsi="宋体" w:cs="宋体"/>
          <w:b/>
          <w:color w:val="auto"/>
          <w:kern w:val="0"/>
          <w:sz w:val="32"/>
          <w:szCs w:val="32"/>
          <w:highlight w:val="none"/>
        </w:rPr>
      </w:pPr>
    </w:p>
    <w:p w14:paraId="6F304119">
      <w:pPr>
        <w:pStyle w:val="54"/>
        <w:rPr>
          <w:rFonts w:ascii="宋体" w:hAnsi="宋体" w:cs="宋体"/>
          <w:color w:val="auto"/>
          <w:highlight w:val="none"/>
        </w:rPr>
      </w:pPr>
    </w:p>
    <w:p w14:paraId="2F2D2C3B">
      <w:pPr>
        <w:jc w:val="center"/>
        <w:rPr>
          <w:rFonts w:ascii="宋体" w:hAnsi="宋体" w:cs="宋体"/>
          <w:b/>
          <w:color w:val="auto"/>
          <w:kern w:val="0"/>
          <w:sz w:val="32"/>
          <w:szCs w:val="32"/>
          <w:highlight w:val="none"/>
        </w:rPr>
      </w:pPr>
    </w:p>
    <w:p w14:paraId="11B5E687">
      <w:pPr>
        <w:jc w:val="center"/>
        <w:rPr>
          <w:rFonts w:ascii="宋体" w:hAnsi="宋体" w:cs="宋体"/>
          <w:b/>
          <w:color w:val="auto"/>
          <w:kern w:val="0"/>
          <w:sz w:val="32"/>
          <w:szCs w:val="32"/>
          <w:highlight w:val="none"/>
        </w:rPr>
      </w:pPr>
    </w:p>
    <w:p w14:paraId="49A625C7">
      <w:pPr>
        <w:jc w:val="center"/>
        <w:rPr>
          <w:rFonts w:ascii="宋体" w:hAnsi="宋体" w:cs="宋体"/>
          <w:b/>
          <w:color w:val="auto"/>
          <w:kern w:val="0"/>
          <w:sz w:val="32"/>
          <w:szCs w:val="32"/>
          <w:highlight w:val="none"/>
        </w:rPr>
      </w:pPr>
    </w:p>
    <w:p w14:paraId="7837C102">
      <w:pPr>
        <w:jc w:val="center"/>
        <w:rPr>
          <w:rFonts w:ascii="宋体" w:hAnsi="宋体" w:cs="宋体"/>
          <w:b/>
          <w:color w:val="auto"/>
          <w:kern w:val="0"/>
          <w:sz w:val="32"/>
          <w:szCs w:val="32"/>
          <w:highlight w:val="none"/>
        </w:rPr>
      </w:pPr>
    </w:p>
    <w:p w14:paraId="29863ACD">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DDD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BA6A2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DEB743B">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14:paraId="68960C48">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69CB090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7D4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3BE41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B4B68F4">
            <w:pPr>
              <w:jc w:val="center"/>
              <w:rPr>
                <w:rFonts w:ascii="宋体" w:hAnsi="宋体" w:cs="宋体"/>
                <w:b/>
                <w:color w:val="auto"/>
                <w:kern w:val="0"/>
                <w:sz w:val="32"/>
                <w:szCs w:val="32"/>
                <w:highlight w:val="none"/>
              </w:rPr>
            </w:pPr>
          </w:p>
        </w:tc>
        <w:tc>
          <w:tcPr>
            <w:tcW w:w="3546" w:type="dxa"/>
          </w:tcPr>
          <w:p w14:paraId="493FE5AD">
            <w:pPr>
              <w:jc w:val="center"/>
              <w:rPr>
                <w:rFonts w:ascii="宋体" w:hAnsi="宋体" w:cs="宋体"/>
                <w:b/>
                <w:color w:val="auto"/>
                <w:kern w:val="0"/>
                <w:sz w:val="32"/>
                <w:szCs w:val="32"/>
                <w:highlight w:val="none"/>
              </w:rPr>
            </w:pPr>
          </w:p>
        </w:tc>
        <w:tc>
          <w:tcPr>
            <w:tcW w:w="1276" w:type="dxa"/>
          </w:tcPr>
          <w:p w14:paraId="7B75DBED">
            <w:pPr>
              <w:jc w:val="center"/>
              <w:rPr>
                <w:rFonts w:ascii="宋体" w:hAnsi="宋体" w:cs="宋体"/>
                <w:b/>
                <w:color w:val="auto"/>
                <w:kern w:val="0"/>
                <w:sz w:val="32"/>
                <w:szCs w:val="32"/>
                <w:highlight w:val="none"/>
              </w:rPr>
            </w:pPr>
          </w:p>
        </w:tc>
      </w:tr>
      <w:tr w14:paraId="181C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BA915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731D653">
            <w:pPr>
              <w:jc w:val="center"/>
              <w:rPr>
                <w:rFonts w:ascii="宋体" w:hAnsi="宋体" w:cs="宋体"/>
                <w:b/>
                <w:color w:val="auto"/>
                <w:kern w:val="0"/>
                <w:sz w:val="32"/>
                <w:szCs w:val="32"/>
                <w:highlight w:val="none"/>
              </w:rPr>
            </w:pPr>
          </w:p>
        </w:tc>
        <w:tc>
          <w:tcPr>
            <w:tcW w:w="3546" w:type="dxa"/>
          </w:tcPr>
          <w:p w14:paraId="31DB044C">
            <w:pPr>
              <w:jc w:val="center"/>
              <w:rPr>
                <w:rFonts w:ascii="宋体" w:hAnsi="宋体" w:cs="宋体"/>
                <w:b/>
                <w:color w:val="auto"/>
                <w:kern w:val="0"/>
                <w:sz w:val="32"/>
                <w:szCs w:val="32"/>
                <w:highlight w:val="none"/>
              </w:rPr>
            </w:pPr>
          </w:p>
        </w:tc>
        <w:tc>
          <w:tcPr>
            <w:tcW w:w="1276" w:type="dxa"/>
          </w:tcPr>
          <w:p w14:paraId="7240CB6E">
            <w:pPr>
              <w:jc w:val="center"/>
              <w:rPr>
                <w:rFonts w:ascii="宋体" w:hAnsi="宋体" w:cs="宋体"/>
                <w:b/>
                <w:color w:val="auto"/>
                <w:kern w:val="0"/>
                <w:sz w:val="32"/>
                <w:szCs w:val="32"/>
                <w:highlight w:val="none"/>
              </w:rPr>
            </w:pPr>
          </w:p>
        </w:tc>
      </w:tr>
      <w:tr w14:paraId="2A4D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2D8E6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9A36526">
            <w:pPr>
              <w:jc w:val="center"/>
              <w:rPr>
                <w:rFonts w:ascii="宋体" w:hAnsi="宋体" w:cs="宋体"/>
                <w:b/>
                <w:color w:val="auto"/>
                <w:kern w:val="0"/>
                <w:sz w:val="32"/>
                <w:szCs w:val="32"/>
                <w:highlight w:val="none"/>
              </w:rPr>
            </w:pPr>
          </w:p>
        </w:tc>
        <w:tc>
          <w:tcPr>
            <w:tcW w:w="3546" w:type="dxa"/>
          </w:tcPr>
          <w:p w14:paraId="5FF68456">
            <w:pPr>
              <w:jc w:val="center"/>
              <w:rPr>
                <w:rFonts w:ascii="宋体" w:hAnsi="宋体" w:cs="宋体"/>
                <w:b/>
                <w:color w:val="auto"/>
                <w:kern w:val="0"/>
                <w:sz w:val="32"/>
                <w:szCs w:val="32"/>
                <w:highlight w:val="none"/>
              </w:rPr>
            </w:pPr>
          </w:p>
        </w:tc>
        <w:tc>
          <w:tcPr>
            <w:tcW w:w="1276" w:type="dxa"/>
          </w:tcPr>
          <w:p w14:paraId="0263118B">
            <w:pPr>
              <w:jc w:val="center"/>
              <w:rPr>
                <w:rFonts w:ascii="宋体" w:hAnsi="宋体" w:cs="宋体"/>
                <w:b/>
                <w:color w:val="auto"/>
                <w:kern w:val="0"/>
                <w:sz w:val="32"/>
                <w:szCs w:val="32"/>
                <w:highlight w:val="none"/>
              </w:rPr>
            </w:pPr>
          </w:p>
        </w:tc>
      </w:tr>
    </w:tbl>
    <w:p w14:paraId="74917F6F">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14:paraId="127119F6">
      <w:pPr>
        <w:jc w:val="center"/>
        <w:rPr>
          <w:rFonts w:ascii="宋体" w:hAnsi="宋体" w:cs="宋体"/>
          <w:b/>
          <w:color w:val="auto"/>
          <w:kern w:val="0"/>
          <w:sz w:val="32"/>
          <w:szCs w:val="32"/>
          <w:highlight w:val="none"/>
        </w:rPr>
      </w:pPr>
    </w:p>
    <w:p w14:paraId="1996809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771CB3">
      <w:pPr>
        <w:jc w:val="center"/>
        <w:rPr>
          <w:rFonts w:ascii="宋体" w:hAnsi="宋体" w:cs="宋体"/>
          <w:b/>
          <w:color w:val="auto"/>
          <w:kern w:val="0"/>
          <w:sz w:val="32"/>
          <w:szCs w:val="32"/>
          <w:highlight w:val="none"/>
        </w:rPr>
      </w:pPr>
    </w:p>
    <w:p w14:paraId="6BBC9B32">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3B128DD">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响应人廉洁自律承诺书</w:t>
      </w:r>
    </w:p>
    <w:p w14:paraId="026B934A">
      <w:pPr>
        <w:snapToGrid w:val="0"/>
        <w:spacing w:line="360" w:lineRule="auto"/>
        <w:rPr>
          <w:rFonts w:ascii="宋体" w:hAnsi="宋体" w:cs="宋体"/>
          <w:color w:val="auto"/>
          <w:sz w:val="24"/>
          <w:highlight w:val="none"/>
        </w:rPr>
      </w:pPr>
    </w:p>
    <w:p w14:paraId="2073B2E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76DF934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3A47FE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CC93BD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764E60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4D43B1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A1B2DD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6A7F30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0CEF2C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6E894DE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5E8BB5B">
      <w:pPr>
        <w:autoSpaceDE w:val="0"/>
        <w:autoSpaceDN w:val="0"/>
        <w:spacing w:line="360" w:lineRule="auto"/>
        <w:ind w:left="2"/>
        <w:jc w:val="left"/>
        <w:rPr>
          <w:rFonts w:ascii="宋体" w:hAnsi="宋体" w:cs="宋体"/>
          <w:color w:val="auto"/>
          <w:kern w:val="0"/>
          <w:sz w:val="24"/>
          <w:highlight w:val="none"/>
          <w:lang w:val="zh-CN"/>
        </w:rPr>
      </w:pPr>
    </w:p>
    <w:p w14:paraId="3F480EFB">
      <w:pPr>
        <w:autoSpaceDE w:val="0"/>
        <w:autoSpaceDN w:val="0"/>
        <w:spacing w:line="360" w:lineRule="auto"/>
        <w:ind w:left="2"/>
        <w:jc w:val="left"/>
        <w:rPr>
          <w:rFonts w:ascii="宋体" w:hAnsi="宋体" w:cs="宋体"/>
          <w:color w:val="auto"/>
          <w:kern w:val="0"/>
          <w:sz w:val="24"/>
          <w:highlight w:val="none"/>
          <w:lang w:val="zh-CN"/>
        </w:rPr>
      </w:pPr>
    </w:p>
    <w:p w14:paraId="2BC9048D">
      <w:pPr>
        <w:autoSpaceDE w:val="0"/>
        <w:autoSpaceDN w:val="0"/>
        <w:spacing w:line="360" w:lineRule="auto"/>
        <w:ind w:left="2"/>
        <w:jc w:val="left"/>
        <w:rPr>
          <w:rFonts w:ascii="宋体" w:hAnsi="宋体" w:cs="宋体"/>
          <w:color w:val="auto"/>
          <w:kern w:val="0"/>
          <w:sz w:val="24"/>
          <w:highlight w:val="none"/>
          <w:lang w:val="zh-CN"/>
        </w:rPr>
      </w:pPr>
    </w:p>
    <w:p w14:paraId="0C5328B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EC3C65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9D5E529">
      <w:pPr>
        <w:spacing w:line="360" w:lineRule="auto"/>
        <w:jc w:val="center"/>
        <w:rPr>
          <w:rFonts w:ascii="宋体" w:hAnsi="宋体" w:cs="宋体"/>
          <w:b/>
          <w:bCs/>
          <w:color w:val="auto"/>
          <w:sz w:val="24"/>
          <w:highlight w:val="none"/>
        </w:rPr>
      </w:pPr>
    </w:p>
    <w:p w14:paraId="151EEE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4051EF">
      <w:pPr>
        <w:spacing w:line="360" w:lineRule="auto"/>
        <w:jc w:val="center"/>
        <w:rPr>
          <w:rFonts w:ascii="宋体" w:hAnsi="宋体" w:cs="宋体"/>
          <w:b/>
          <w:bCs/>
          <w:color w:val="auto"/>
          <w:sz w:val="24"/>
          <w:highlight w:val="none"/>
        </w:rPr>
        <w:sectPr>
          <w:footerReference r:id="rId8" w:type="first"/>
          <w:footerReference r:id="rId7" w:type="default"/>
          <w:pgSz w:w="11906" w:h="16838"/>
          <w:pgMar w:top="1247" w:right="1417" w:bottom="1247" w:left="1417" w:header="851" w:footer="992" w:gutter="0"/>
          <w:pgNumType w:start="2"/>
          <w:cols w:space="0" w:num="1"/>
          <w:docGrid w:linePitch="312" w:charSpace="0"/>
        </w:sectPr>
      </w:pPr>
    </w:p>
    <w:p w14:paraId="6607E11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D8F66A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0544268">
      <w:pPr>
        <w:spacing w:line="360" w:lineRule="auto"/>
        <w:jc w:val="center"/>
        <w:outlineLvl w:val="0"/>
        <w:rPr>
          <w:rFonts w:ascii="宋体" w:hAnsi="宋体" w:cs="宋体"/>
          <w:b/>
          <w:color w:val="auto"/>
          <w:kern w:val="0"/>
          <w:sz w:val="36"/>
          <w:szCs w:val="36"/>
          <w:highlight w:val="none"/>
        </w:rPr>
      </w:pPr>
    </w:p>
    <w:p w14:paraId="4723B9DB">
      <w:pPr>
        <w:snapToGrid w:val="0"/>
        <w:spacing w:line="360" w:lineRule="auto"/>
        <w:rPr>
          <w:rFonts w:ascii="宋体" w:hAnsi="宋体" w:cs="宋体"/>
          <w:color w:val="auto"/>
          <w:sz w:val="24"/>
          <w:highlight w:val="none"/>
        </w:rPr>
        <w:sectPr>
          <w:headerReference r:id="rId10" w:type="first"/>
          <w:footerReference r:id="rId12" w:type="first"/>
          <w:headerReference r:id="rId9" w:type="default"/>
          <w:footerReference r:id="rId11" w:type="default"/>
          <w:pgSz w:w="11906" w:h="16838"/>
          <w:pgMar w:top="1247" w:right="1417" w:bottom="1247" w:left="1417" w:header="851" w:footer="992" w:gutter="0"/>
          <w:cols w:space="0" w:num="1"/>
          <w:titlePg/>
          <w:docGrid w:linePitch="312" w:charSpace="0"/>
        </w:sectPr>
      </w:pPr>
      <w:r>
        <w:rPr>
          <w:rFonts w:hint="eastAsia" w:ascii="宋体" w:hAnsi="宋体" w:cs="宋体"/>
          <w:color w:val="auto"/>
          <w:sz w:val="24"/>
          <w:highlight w:val="none"/>
        </w:rPr>
        <w:t>（1）交易一览表（报价表）………………………………………………………（页码）</w:t>
      </w:r>
    </w:p>
    <w:p w14:paraId="16224738">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03427D7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4870AE9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61F77C4">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5"/>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356"/>
        <w:gridCol w:w="1200"/>
        <w:gridCol w:w="1500"/>
        <w:gridCol w:w="1350"/>
        <w:gridCol w:w="1834"/>
      </w:tblGrid>
      <w:tr w14:paraId="6968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3B550A74">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507B8FD7">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noWrap w:val="0"/>
            <w:vAlign w:val="center"/>
          </w:tcPr>
          <w:p w14:paraId="0938C213">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356" w:type="dxa"/>
            <w:tcBorders>
              <w:top w:val="single" w:color="auto" w:sz="4" w:space="0"/>
              <w:left w:val="single" w:color="auto" w:sz="4" w:space="0"/>
              <w:bottom w:val="single" w:color="auto" w:sz="4" w:space="0"/>
              <w:right w:val="single" w:color="auto" w:sz="4" w:space="0"/>
            </w:tcBorders>
            <w:noWrap w:val="0"/>
            <w:vAlign w:val="center"/>
          </w:tcPr>
          <w:p w14:paraId="6549F23F">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6315A69">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178505F">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A807103">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24591E40">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p w14:paraId="5EC3E986">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（年限）</w:t>
            </w:r>
          </w:p>
        </w:tc>
      </w:tr>
      <w:tr w14:paraId="7D5F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4D18C1B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681AEC90">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6B497071">
            <w:pPr>
              <w:snapToGrid w:val="0"/>
              <w:spacing w:line="240" w:lineRule="auto"/>
              <w:jc w:val="center"/>
              <w:rPr>
                <w:rFonts w:hint="eastAsia" w:ascii="宋体" w:hAnsi="宋体" w:eastAsia="宋体" w:cs="宋体"/>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noWrap w:val="0"/>
            <w:vAlign w:val="center"/>
          </w:tcPr>
          <w:p w14:paraId="295C60C3">
            <w:pPr>
              <w:snapToGrid w:val="0"/>
              <w:spacing w:line="240" w:lineRule="auto"/>
              <w:jc w:val="center"/>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5602C80">
            <w:pPr>
              <w:snapToGrid w:val="0"/>
              <w:spacing w:line="240" w:lineRule="auto"/>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46B1760">
            <w:pPr>
              <w:spacing w:line="240" w:lineRule="auto"/>
              <w:jc w:val="center"/>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B725F70">
            <w:pPr>
              <w:spacing w:line="240" w:lineRule="auto"/>
              <w:jc w:val="center"/>
              <w:rPr>
                <w:rFonts w:hint="eastAsia" w:ascii="宋体" w:hAnsi="宋体" w:eastAsia="宋体" w:cs="宋体"/>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7384AA85">
            <w:pPr>
              <w:spacing w:line="240" w:lineRule="auto"/>
              <w:jc w:val="center"/>
              <w:rPr>
                <w:rFonts w:hint="eastAsia" w:ascii="宋体" w:hAnsi="宋体" w:eastAsia="宋体" w:cs="宋体"/>
                <w:color w:val="auto"/>
                <w:sz w:val="24"/>
                <w:highlight w:val="none"/>
              </w:rPr>
            </w:pPr>
          </w:p>
        </w:tc>
      </w:tr>
      <w:tr w14:paraId="2489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6E1649B3">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21C0502C">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0FDCDE74">
            <w:pPr>
              <w:snapToGrid w:val="0"/>
              <w:spacing w:line="240" w:lineRule="auto"/>
              <w:jc w:val="center"/>
              <w:rPr>
                <w:rFonts w:hint="eastAsia" w:ascii="宋体" w:hAnsi="宋体" w:eastAsia="宋体" w:cs="宋体"/>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noWrap w:val="0"/>
            <w:vAlign w:val="center"/>
          </w:tcPr>
          <w:p w14:paraId="2DDA58DE">
            <w:pPr>
              <w:snapToGrid w:val="0"/>
              <w:spacing w:line="240" w:lineRule="auto"/>
              <w:jc w:val="center"/>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545A6F6">
            <w:pPr>
              <w:snapToGrid w:val="0"/>
              <w:spacing w:line="240" w:lineRule="auto"/>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6282525">
            <w:pPr>
              <w:spacing w:line="240" w:lineRule="auto"/>
              <w:jc w:val="center"/>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1EBA736">
            <w:pPr>
              <w:spacing w:line="240" w:lineRule="auto"/>
              <w:jc w:val="center"/>
              <w:rPr>
                <w:rFonts w:hint="eastAsia" w:ascii="宋体" w:hAnsi="宋体" w:eastAsia="宋体" w:cs="宋体"/>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7F7B5EF8">
            <w:pPr>
              <w:spacing w:line="240" w:lineRule="auto"/>
              <w:jc w:val="center"/>
              <w:rPr>
                <w:rFonts w:hint="eastAsia" w:ascii="宋体" w:hAnsi="宋体" w:eastAsia="宋体" w:cs="宋体"/>
                <w:color w:val="auto"/>
                <w:sz w:val="24"/>
                <w:highlight w:val="none"/>
              </w:rPr>
            </w:pPr>
          </w:p>
        </w:tc>
      </w:tr>
      <w:tr w14:paraId="0EA8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34C494E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1CBCDC42">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1BA16471">
            <w:pPr>
              <w:snapToGrid w:val="0"/>
              <w:spacing w:line="240" w:lineRule="auto"/>
              <w:jc w:val="center"/>
              <w:rPr>
                <w:rFonts w:hint="eastAsia" w:ascii="宋体" w:hAnsi="宋体" w:eastAsia="宋体" w:cs="宋体"/>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noWrap w:val="0"/>
            <w:vAlign w:val="center"/>
          </w:tcPr>
          <w:p w14:paraId="54A62046">
            <w:pPr>
              <w:snapToGrid w:val="0"/>
              <w:spacing w:line="240" w:lineRule="auto"/>
              <w:jc w:val="center"/>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220C481">
            <w:pPr>
              <w:snapToGrid w:val="0"/>
              <w:spacing w:line="240" w:lineRule="auto"/>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C98E686">
            <w:pPr>
              <w:spacing w:line="240" w:lineRule="auto"/>
              <w:jc w:val="center"/>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A606F8B">
            <w:pPr>
              <w:spacing w:line="240" w:lineRule="auto"/>
              <w:jc w:val="center"/>
              <w:rPr>
                <w:rFonts w:hint="eastAsia" w:ascii="宋体" w:hAnsi="宋体" w:eastAsia="宋体" w:cs="宋体"/>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0A3377FD">
            <w:pPr>
              <w:spacing w:line="240" w:lineRule="auto"/>
              <w:jc w:val="center"/>
              <w:rPr>
                <w:rFonts w:hint="eastAsia" w:ascii="宋体" w:hAnsi="宋体" w:eastAsia="宋体" w:cs="宋体"/>
                <w:color w:val="auto"/>
                <w:sz w:val="24"/>
                <w:highlight w:val="none"/>
              </w:rPr>
            </w:pPr>
          </w:p>
        </w:tc>
      </w:tr>
      <w:tr w14:paraId="1DA2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39EB9EF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4248C3CB">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1DCB8CDE">
            <w:pPr>
              <w:snapToGrid w:val="0"/>
              <w:spacing w:line="240" w:lineRule="auto"/>
              <w:jc w:val="center"/>
              <w:rPr>
                <w:rFonts w:hint="eastAsia" w:ascii="宋体" w:hAnsi="宋体" w:eastAsia="宋体" w:cs="宋体"/>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noWrap w:val="0"/>
            <w:vAlign w:val="center"/>
          </w:tcPr>
          <w:p w14:paraId="0683CE79">
            <w:pPr>
              <w:snapToGrid w:val="0"/>
              <w:spacing w:line="240" w:lineRule="auto"/>
              <w:jc w:val="center"/>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1BFFBDB">
            <w:pPr>
              <w:snapToGrid w:val="0"/>
              <w:spacing w:line="240" w:lineRule="auto"/>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7E1F60F">
            <w:pPr>
              <w:spacing w:line="240" w:lineRule="auto"/>
              <w:jc w:val="center"/>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62039F0">
            <w:pPr>
              <w:spacing w:line="240" w:lineRule="auto"/>
              <w:jc w:val="center"/>
              <w:rPr>
                <w:rFonts w:hint="eastAsia" w:ascii="宋体" w:hAnsi="宋体" w:eastAsia="宋体" w:cs="宋体"/>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5AE14614">
            <w:pPr>
              <w:spacing w:line="240" w:lineRule="auto"/>
              <w:jc w:val="center"/>
              <w:rPr>
                <w:rFonts w:hint="eastAsia" w:ascii="宋体" w:hAnsi="宋体" w:eastAsia="宋体" w:cs="宋体"/>
                <w:color w:val="auto"/>
                <w:sz w:val="24"/>
                <w:highlight w:val="none"/>
              </w:rPr>
            </w:pPr>
          </w:p>
        </w:tc>
      </w:tr>
      <w:tr w14:paraId="1AE6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178F5CD0">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4FBA96E9">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6DC2A25C">
            <w:pPr>
              <w:snapToGrid w:val="0"/>
              <w:spacing w:line="240" w:lineRule="auto"/>
              <w:jc w:val="center"/>
              <w:rPr>
                <w:rFonts w:hint="eastAsia" w:ascii="宋体" w:hAnsi="宋体" w:eastAsia="宋体" w:cs="宋体"/>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noWrap w:val="0"/>
            <w:vAlign w:val="center"/>
          </w:tcPr>
          <w:p w14:paraId="10FD0F13">
            <w:pPr>
              <w:snapToGrid w:val="0"/>
              <w:spacing w:line="240" w:lineRule="auto"/>
              <w:jc w:val="center"/>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3C203DB">
            <w:pPr>
              <w:snapToGrid w:val="0"/>
              <w:spacing w:line="240" w:lineRule="auto"/>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5EB1619">
            <w:pPr>
              <w:spacing w:line="240" w:lineRule="auto"/>
              <w:jc w:val="center"/>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F9C7AE6">
            <w:pPr>
              <w:spacing w:line="240" w:lineRule="auto"/>
              <w:jc w:val="center"/>
              <w:rPr>
                <w:rFonts w:hint="eastAsia" w:ascii="宋体" w:hAnsi="宋体" w:eastAsia="宋体" w:cs="宋体"/>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7C66B2F1">
            <w:pPr>
              <w:spacing w:line="240" w:lineRule="auto"/>
              <w:jc w:val="center"/>
              <w:rPr>
                <w:rFonts w:hint="eastAsia" w:ascii="宋体" w:hAnsi="宋体" w:eastAsia="宋体" w:cs="宋体"/>
                <w:color w:val="auto"/>
                <w:sz w:val="24"/>
                <w:highlight w:val="none"/>
              </w:rPr>
            </w:pPr>
          </w:p>
        </w:tc>
      </w:tr>
      <w:tr w14:paraId="799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681" w:type="dxa"/>
            <w:gridSpan w:val="4"/>
            <w:tcBorders>
              <w:top w:val="single" w:color="auto" w:sz="4" w:space="0"/>
              <w:left w:val="single" w:color="auto" w:sz="4" w:space="0"/>
              <w:bottom w:val="single" w:color="auto" w:sz="4" w:space="0"/>
              <w:right w:val="single" w:color="auto" w:sz="4" w:space="0"/>
            </w:tcBorders>
            <w:noWrap w:val="0"/>
            <w:vAlign w:val="center"/>
          </w:tcPr>
          <w:p w14:paraId="078EE58A">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5884" w:type="dxa"/>
            <w:gridSpan w:val="4"/>
            <w:tcBorders>
              <w:top w:val="single" w:color="auto" w:sz="4" w:space="0"/>
              <w:left w:val="single" w:color="auto" w:sz="4" w:space="0"/>
              <w:bottom w:val="single" w:color="auto" w:sz="4" w:space="0"/>
              <w:right w:val="single" w:color="auto" w:sz="4" w:space="0"/>
            </w:tcBorders>
            <w:noWrap w:val="0"/>
            <w:vAlign w:val="center"/>
          </w:tcPr>
          <w:p w14:paraId="79C0B2E5">
            <w:pPr>
              <w:spacing w:line="240" w:lineRule="auto"/>
              <w:jc w:val="center"/>
              <w:rPr>
                <w:rFonts w:hint="eastAsia" w:ascii="宋体" w:hAnsi="宋体" w:eastAsia="宋体" w:cs="宋体"/>
                <w:color w:val="auto"/>
                <w:sz w:val="24"/>
                <w:highlight w:val="none"/>
              </w:rPr>
            </w:pPr>
          </w:p>
        </w:tc>
      </w:tr>
      <w:tr w14:paraId="6A54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681" w:type="dxa"/>
            <w:gridSpan w:val="4"/>
            <w:tcBorders>
              <w:top w:val="single" w:color="auto" w:sz="4" w:space="0"/>
              <w:left w:val="single" w:color="auto" w:sz="4" w:space="0"/>
              <w:bottom w:val="single" w:color="auto" w:sz="4" w:space="0"/>
              <w:right w:val="single" w:color="auto" w:sz="4" w:space="0"/>
            </w:tcBorders>
            <w:noWrap w:val="0"/>
            <w:vAlign w:val="center"/>
          </w:tcPr>
          <w:p w14:paraId="619F012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5884" w:type="dxa"/>
            <w:gridSpan w:val="4"/>
            <w:tcBorders>
              <w:top w:val="single" w:color="auto" w:sz="4" w:space="0"/>
              <w:left w:val="single" w:color="auto" w:sz="4" w:space="0"/>
              <w:bottom w:val="single" w:color="auto" w:sz="4" w:space="0"/>
              <w:right w:val="single" w:color="auto" w:sz="4" w:space="0"/>
            </w:tcBorders>
            <w:noWrap w:val="0"/>
            <w:vAlign w:val="center"/>
          </w:tcPr>
          <w:p w14:paraId="77C702D1">
            <w:pPr>
              <w:spacing w:line="240" w:lineRule="auto"/>
              <w:jc w:val="center"/>
              <w:rPr>
                <w:rFonts w:hint="eastAsia" w:ascii="宋体" w:hAnsi="宋体" w:eastAsia="宋体" w:cs="宋体"/>
                <w:color w:val="auto"/>
                <w:sz w:val="24"/>
                <w:highlight w:val="none"/>
              </w:rPr>
            </w:pPr>
          </w:p>
        </w:tc>
      </w:tr>
    </w:tbl>
    <w:p w14:paraId="7AFF7815">
      <w:pPr>
        <w:snapToGrid w:val="0"/>
        <w:spacing w:line="360" w:lineRule="auto"/>
        <w:ind w:left="48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14:paraId="178C4B8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1、响应人需按本表格式填写，不得自行更改。</w:t>
      </w:r>
    </w:p>
    <w:p w14:paraId="2DB622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14:paraId="58EE125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4218E60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4、特别提示：代理机构将对项目名称和项目编号，成交响应人名称、地址和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14:paraId="735DF826">
      <w:pPr>
        <w:spacing w:line="360" w:lineRule="auto"/>
        <w:ind w:firstLine="482" w:firstLineChars="200"/>
        <w:rPr>
          <w:rFonts w:ascii="宋体" w:hAnsi="宋体" w:cs="宋体"/>
          <w:b/>
          <w:color w:val="auto"/>
          <w:kern w:val="0"/>
          <w:sz w:val="24"/>
          <w:highlight w:val="none"/>
        </w:rPr>
      </w:pPr>
    </w:p>
    <w:p w14:paraId="35ECEEF4">
      <w:pPr>
        <w:autoSpaceDE w:val="0"/>
        <w:autoSpaceDN w:val="0"/>
        <w:spacing w:line="360" w:lineRule="auto"/>
        <w:ind w:left="2" w:leftChars="1" w:right="1120" w:firstLine="7680" w:firstLineChars="3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0E7847C3">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sectPr>
          <w:pgSz w:w="16838" w:h="11906" w:orient="landscape"/>
          <w:pgMar w:top="1417" w:right="1247" w:bottom="1417" w:left="1247" w:header="851" w:footer="992" w:gutter="0"/>
          <w:cols w:space="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D19F5A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7CA948E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4DD69A45">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一、异议响应人基本信息</w:t>
      </w:r>
    </w:p>
    <w:p w14:paraId="3AB34E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异议响应人：</w:t>
      </w:r>
    </w:p>
    <w:p w14:paraId="7E6D9F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01B22F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0B6008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1D4EBB2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0576BB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1898861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二、异议项目基本情况</w:t>
      </w:r>
    </w:p>
    <w:p w14:paraId="5D9476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异议项目的名称：</w:t>
      </w:r>
    </w:p>
    <w:p w14:paraId="4B9B92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异议项目的编号：包号：</w:t>
      </w:r>
    </w:p>
    <w:p w14:paraId="0812F9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交易发起人名称：</w:t>
      </w:r>
    </w:p>
    <w:p w14:paraId="2EA9FA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公开竞争文件获取日期：</w:t>
      </w:r>
    </w:p>
    <w:p w14:paraId="6EEFFD1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三、异议事项具体内容</w:t>
      </w:r>
    </w:p>
    <w:p w14:paraId="346E18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异议事项1：</w:t>
      </w:r>
    </w:p>
    <w:p w14:paraId="5EEEC46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7E3121E4">
      <w:pPr>
        <w:snapToGrid w:val="0"/>
        <w:spacing w:line="360" w:lineRule="auto"/>
        <w:rPr>
          <w:rFonts w:ascii="宋体" w:hAnsi="宋体" w:cs="宋体"/>
          <w:color w:val="auto"/>
          <w:sz w:val="24"/>
          <w:highlight w:val="none"/>
        </w:rPr>
      </w:pPr>
    </w:p>
    <w:p w14:paraId="3892E9D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29B83F83">
      <w:pPr>
        <w:snapToGrid w:val="0"/>
        <w:spacing w:line="360" w:lineRule="auto"/>
        <w:rPr>
          <w:rFonts w:ascii="宋体" w:hAnsi="宋体" w:cs="宋体"/>
          <w:color w:val="auto"/>
          <w:sz w:val="24"/>
          <w:highlight w:val="none"/>
          <w:u w:val="dotted"/>
        </w:rPr>
      </w:pPr>
    </w:p>
    <w:p w14:paraId="2D8BB42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异议事项2</w:t>
      </w:r>
    </w:p>
    <w:p w14:paraId="32B048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D0663B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553C60E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5B9E0C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95930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3D363DD">
      <w:pPr>
        <w:spacing w:line="360" w:lineRule="auto"/>
        <w:jc w:val="center"/>
        <w:rPr>
          <w:rFonts w:ascii="宋体" w:hAnsi="宋体" w:cs="宋体"/>
          <w:b/>
          <w:bCs/>
          <w:color w:val="auto"/>
          <w:sz w:val="24"/>
          <w:highlight w:val="none"/>
        </w:rPr>
      </w:pPr>
    </w:p>
    <w:p w14:paraId="5A2DED6E">
      <w:pPr>
        <w:spacing w:line="360" w:lineRule="auto"/>
        <w:rPr>
          <w:rFonts w:ascii="宋体" w:hAnsi="宋体" w:cs="宋体"/>
          <w:b/>
          <w:color w:val="auto"/>
          <w:sz w:val="24"/>
          <w:highlight w:val="none"/>
        </w:rPr>
      </w:pPr>
    </w:p>
    <w:p w14:paraId="40962746">
      <w:pPr>
        <w:spacing w:line="360" w:lineRule="auto"/>
        <w:rPr>
          <w:rFonts w:ascii="宋体" w:hAnsi="宋体" w:cs="宋体"/>
          <w:b/>
          <w:color w:val="auto"/>
          <w:sz w:val="24"/>
          <w:highlight w:val="none"/>
        </w:rPr>
      </w:pPr>
    </w:p>
    <w:p w14:paraId="7269E221">
      <w:pPr>
        <w:spacing w:line="360" w:lineRule="auto"/>
        <w:rPr>
          <w:rFonts w:ascii="宋体" w:hAnsi="宋体" w:cs="宋体"/>
          <w:b/>
          <w:color w:val="auto"/>
          <w:sz w:val="24"/>
          <w:highlight w:val="none"/>
        </w:rPr>
      </w:pPr>
    </w:p>
    <w:p w14:paraId="34474FDA">
      <w:pPr>
        <w:spacing w:line="360" w:lineRule="auto"/>
        <w:rPr>
          <w:rFonts w:ascii="宋体" w:hAnsi="宋体" w:cs="宋体"/>
          <w:b/>
          <w:color w:val="auto"/>
          <w:sz w:val="24"/>
          <w:highlight w:val="none"/>
        </w:rPr>
      </w:pPr>
      <w:r>
        <w:rPr>
          <w:rFonts w:hint="eastAsia" w:ascii="宋体" w:hAnsi="宋体" w:cs="宋体"/>
          <w:b/>
          <w:color w:val="auto"/>
          <w:sz w:val="24"/>
          <w:highlight w:val="none"/>
        </w:rPr>
        <w:t>异议函制作说明：</w:t>
      </w:r>
    </w:p>
    <w:p w14:paraId="0ADA02A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7794FF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43854E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3E73B3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4C9787D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217FD7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6A7B91C4">
      <w:pPr>
        <w:widowControl/>
        <w:spacing w:line="360" w:lineRule="auto"/>
        <w:ind w:firstLine="600" w:firstLineChars="200"/>
        <w:jc w:val="left"/>
        <w:rPr>
          <w:rFonts w:ascii="宋体" w:hAnsi="宋体" w:cs="宋体"/>
          <w:color w:val="auto"/>
          <w:sz w:val="30"/>
          <w:szCs w:val="30"/>
          <w:highlight w:val="none"/>
        </w:rPr>
      </w:pPr>
    </w:p>
    <w:p w14:paraId="552A9747">
      <w:pPr>
        <w:spacing w:line="360" w:lineRule="auto"/>
        <w:jc w:val="center"/>
        <w:rPr>
          <w:rFonts w:ascii="宋体" w:hAnsi="宋体" w:cs="宋体"/>
          <w:b/>
          <w:color w:val="auto"/>
          <w:spacing w:val="6"/>
          <w:sz w:val="32"/>
          <w:szCs w:val="32"/>
          <w:highlight w:val="none"/>
        </w:rPr>
      </w:pPr>
    </w:p>
    <w:p w14:paraId="61940FA2">
      <w:pPr>
        <w:spacing w:line="360" w:lineRule="auto"/>
        <w:jc w:val="center"/>
        <w:rPr>
          <w:rFonts w:ascii="宋体" w:hAnsi="宋体" w:cs="宋体"/>
          <w:b/>
          <w:color w:val="auto"/>
          <w:spacing w:val="6"/>
          <w:sz w:val="32"/>
          <w:szCs w:val="32"/>
          <w:highlight w:val="none"/>
        </w:rPr>
      </w:pPr>
    </w:p>
    <w:p w14:paraId="0C105301">
      <w:pPr>
        <w:spacing w:line="360" w:lineRule="auto"/>
        <w:jc w:val="center"/>
        <w:rPr>
          <w:rFonts w:ascii="宋体" w:hAnsi="宋体" w:cs="宋体"/>
          <w:b/>
          <w:color w:val="auto"/>
          <w:spacing w:val="6"/>
          <w:sz w:val="32"/>
          <w:szCs w:val="32"/>
          <w:highlight w:val="none"/>
        </w:rPr>
      </w:pPr>
    </w:p>
    <w:p w14:paraId="179ACC9F">
      <w:pPr>
        <w:spacing w:line="360" w:lineRule="auto"/>
        <w:jc w:val="center"/>
        <w:rPr>
          <w:rFonts w:ascii="宋体" w:hAnsi="宋体" w:cs="宋体"/>
          <w:b/>
          <w:color w:val="auto"/>
          <w:spacing w:val="6"/>
          <w:sz w:val="32"/>
          <w:szCs w:val="32"/>
          <w:highlight w:val="none"/>
        </w:rPr>
      </w:pPr>
    </w:p>
    <w:p w14:paraId="3FC73E63">
      <w:pPr>
        <w:spacing w:line="360" w:lineRule="auto"/>
        <w:jc w:val="center"/>
        <w:rPr>
          <w:rFonts w:ascii="宋体" w:hAnsi="宋体" w:cs="宋体"/>
          <w:b/>
          <w:color w:val="auto"/>
          <w:spacing w:val="6"/>
          <w:sz w:val="32"/>
          <w:szCs w:val="32"/>
          <w:highlight w:val="none"/>
        </w:rPr>
      </w:pPr>
    </w:p>
    <w:p w14:paraId="2156E1AF">
      <w:pPr>
        <w:spacing w:line="360" w:lineRule="auto"/>
        <w:jc w:val="center"/>
        <w:rPr>
          <w:rFonts w:ascii="宋体" w:hAnsi="宋体" w:cs="宋体"/>
          <w:b/>
          <w:color w:val="auto"/>
          <w:spacing w:val="6"/>
          <w:sz w:val="32"/>
          <w:szCs w:val="32"/>
          <w:highlight w:val="none"/>
        </w:rPr>
      </w:pPr>
    </w:p>
    <w:p w14:paraId="243C60E4">
      <w:pPr>
        <w:spacing w:line="360" w:lineRule="auto"/>
        <w:jc w:val="center"/>
        <w:rPr>
          <w:rFonts w:ascii="宋体" w:hAnsi="宋体" w:cs="宋体"/>
          <w:b/>
          <w:color w:val="auto"/>
          <w:spacing w:val="6"/>
          <w:sz w:val="32"/>
          <w:szCs w:val="32"/>
          <w:highlight w:val="none"/>
        </w:rPr>
      </w:pPr>
    </w:p>
    <w:p w14:paraId="3F68C581">
      <w:pPr>
        <w:spacing w:line="360" w:lineRule="auto"/>
        <w:jc w:val="center"/>
        <w:rPr>
          <w:rFonts w:ascii="宋体" w:hAnsi="宋体" w:cs="宋体"/>
          <w:b/>
          <w:color w:val="auto"/>
          <w:spacing w:val="6"/>
          <w:sz w:val="32"/>
          <w:szCs w:val="32"/>
          <w:highlight w:val="none"/>
        </w:rPr>
      </w:pPr>
    </w:p>
    <w:p w14:paraId="13077277">
      <w:pPr>
        <w:spacing w:line="360" w:lineRule="auto"/>
        <w:jc w:val="center"/>
        <w:rPr>
          <w:rFonts w:ascii="宋体" w:hAnsi="宋体" w:cs="宋体"/>
          <w:b/>
          <w:color w:val="auto"/>
          <w:spacing w:val="6"/>
          <w:sz w:val="32"/>
          <w:szCs w:val="32"/>
          <w:highlight w:val="none"/>
        </w:rPr>
      </w:pPr>
    </w:p>
    <w:p w14:paraId="09A5AC70">
      <w:pPr>
        <w:spacing w:line="360" w:lineRule="auto"/>
        <w:jc w:val="center"/>
        <w:rPr>
          <w:rFonts w:ascii="宋体" w:hAnsi="宋体" w:cs="宋体"/>
          <w:b/>
          <w:color w:val="auto"/>
          <w:spacing w:val="6"/>
          <w:sz w:val="32"/>
          <w:szCs w:val="32"/>
          <w:highlight w:val="none"/>
        </w:rPr>
      </w:pPr>
    </w:p>
    <w:p w14:paraId="2D8A5E4E">
      <w:pPr>
        <w:spacing w:line="360" w:lineRule="auto"/>
        <w:jc w:val="center"/>
        <w:rPr>
          <w:rFonts w:ascii="宋体" w:hAnsi="宋体" w:cs="宋体"/>
          <w:b/>
          <w:color w:val="auto"/>
          <w:spacing w:val="6"/>
          <w:sz w:val="32"/>
          <w:szCs w:val="32"/>
          <w:highlight w:val="none"/>
        </w:rPr>
      </w:pPr>
    </w:p>
    <w:p w14:paraId="22DA08A2">
      <w:pPr>
        <w:spacing w:line="360" w:lineRule="auto"/>
        <w:jc w:val="center"/>
        <w:rPr>
          <w:rFonts w:ascii="宋体" w:hAnsi="宋体" w:cs="宋体"/>
          <w:b/>
          <w:color w:val="auto"/>
          <w:spacing w:val="6"/>
          <w:sz w:val="32"/>
          <w:szCs w:val="32"/>
          <w:highlight w:val="none"/>
        </w:rPr>
      </w:pPr>
    </w:p>
    <w:p w14:paraId="3FDBBB4B">
      <w:pPr>
        <w:spacing w:line="360" w:lineRule="auto"/>
        <w:jc w:val="left"/>
        <w:rPr>
          <w:rFonts w:ascii="宋体" w:hAnsi="宋体" w:cs="宋体"/>
          <w:b/>
          <w:color w:val="auto"/>
          <w:spacing w:val="6"/>
          <w:sz w:val="32"/>
          <w:szCs w:val="32"/>
          <w:highlight w:val="none"/>
        </w:rPr>
      </w:pPr>
    </w:p>
    <w:p w14:paraId="790B707E">
      <w:pPr>
        <w:spacing w:line="360" w:lineRule="auto"/>
        <w:jc w:val="left"/>
        <w:rPr>
          <w:rFonts w:ascii="宋体" w:hAnsi="宋体" w:cs="宋体"/>
          <w:b/>
          <w:color w:val="auto"/>
          <w:spacing w:val="6"/>
          <w:sz w:val="32"/>
          <w:szCs w:val="32"/>
          <w:highlight w:val="none"/>
        </w:rPr>
      </w:pPr>
    </w:p>
    <w:p w14:paraId="0AFA540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26DC0C04">
      <w:pPr>
        <w:spacing w:line="360" w:lineRule="auto"/>
        <w:jc w:val="center"/>
        <w:rPr>
          <w:rFonts w:ascii="宋体" w:hAnsi="宋体" w:cs="宋体"/>
          <w:b/>
          <w:color w:val="auto"/>
          <w:sz w:val="24"/>
          <w:highlight w:val="none"/>
        </w:rPr>
      </w:pPr>
    </w:p>
    <w:p w14:paraId="01B41D2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69CE03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0FC120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6C0F61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35437C4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199A7CE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4372B57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789128A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242D92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011FA7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62C968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68B3BD5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07AF5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D16BA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相关响应人：</w:t>
      </w:r>
    </w:p>
    <w:p w14:paraId="23A05F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2D043A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52562E2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EB9C8A8">
      <w:pPr>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交易名称：</w:t>
      </w:r>
    </w:p>
    <w:p w14:paraId="100C3D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交易编号：包号：</w:t>
      </w:r>
    </w:p>
    <w:p w14:paraId="2966E124">
      <w:pPr>
        <w:spacing w:line="360" w:lineRule="auto"/>
        <w:rPr>
          <w:rFonts w:ascii="宋体" w:hAnsi="宋体" w:cs="宋体"/>
          <w:color w:val="auto"/>
          <w:sz w:val="24"/>
          <w:highlight w:val="none"/>
        </w:rPr>
      </w:pPr>
      <w:r>
        <w:rPr>
          <w:rFonts w:hint="eastAsia" w:ascii="宋体" w:hAnsi="宋体" w:cs="宋体"/>
          <w:color w:val="auto"/>
          <w:sz w:val="24"/>
          <w:highlight w:val="none"/>
        </w:rPr>
        <w:t>交易发起人名称：</w:t>
      </w:r>
    </w:p>
    <w:p w14:paraId="63C215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4FEB94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276142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522697F3">
      <w:pPr>
        <w:spacing w:line="360" w:lineRule="auto"/>
        <w:rPr>
          <w:rFonts w:ascii="宋体" w:hAnsi="宋体" w:cs="宋体"/>
          <w:color w:val="auto"/>
          <w:sz w:val="24"/>
          <w:highlight w:val="none"/>
        </w:rPr>
      </w:pPr>
      <w:r>
        <w:rPr>
          <w:rFonts w:hint="eastAsia" w:ascii="宋体" w:hAnsi="宋体" w:cs="宋体"/>
          <w:color w:val="auto"/>
          <w:sz w:val="24"/>
          <w:highlight w:val="none"/>
        </w:rPr>
        <w:t>三、异议基本情况</w:t>
      </w:r>
    </w:p>
    <w:p w14:paraId="4ACAAB9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投诉人于年月日,向提出异议，异议事项为：</w:t>
      </w:r>
    </w:p>
    <w:p w14:paraId="548C401D">
      <w:pPr>
        <w:spacing w:line="360" w:lineRule="auto"/>
        <w:rPr>
          <w:rFonts w:ascii="宋体" w:hAnsi="宋体" w:cs="宋体"/>
          <w:color w:val="auto"/>
          <w:sz w:val="24"/>
          <w:highlight w:val="none"/>
          <w:u w:val="dotted"/>
        </w:rPr>
      </w:pPr>
    </w:p>
    <w:p w14:paraId="4C5B7F4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于年月日,就异议事项作出了答复/没有在法定期限内作出答复。</w:t>
      </w:r>
    </w:p>
    <w:p w14:paraId="12EDA15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0995EB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7942BBC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2C848842">
      <w:pPr>
        <w:spacing w:line="360" w:lineRule="auto"/>
        <w:rPr>
          <w:rFonts w:ascii="宋体" w:hAnsi="宋体" w:cs="宋体"/>
          <w:color w:val="auto"/>
          <w:sz w:val="24"/>
          <w:highlight w:val="none"/>
          <w:u w:val="dotted"/>
        </w:rPr>
      </w:pPr>
    </w:p>
    <w:p w14:paraId="50E58C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411F6A5B">
      <w:pPr>
        <w:spacing w:line="360" w:lineRule="auto"/>
        <w:rPr>
          <w:rFonts w:ascii="宋体" w:hAnsi="宋体" w:cs="宋体"/>
          <w:color w:val="auto"/>
          <w:sz w:val="24"/>
          <w:highlight w:val="none"/>
          <w:u w:val="dotted"/>
        </w:rPr>
      </w:pPr>
    </w:p>
    <w:p w14:paraId="00F8C7D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954A63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8B0FD4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91942D7">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17F447AC">
      <w:pPr>
        <w:spacing w:line="360" w:lineRule="auto"/>
        <w:rPr>
          <w:rFonts w:ascii="宋体" w:hAnsi="宋体" w:cs="宋体"/>
          <w:color w:val="auto"/>
          <w:sz w:val="24"/>
          <w:highlight w:val="none"/>
          <w:u w:val="single"/>
        </w:rPr>
      </w:pPr>
    </w:p>
    <w:p w14:paraId="6F61AA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78FDD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2C46025">
      <w:pPr>
        <w:spacing w:line="360" w:lineRule="auto"/>
        <w:rPr>
          <w:rFonts w:ascii="宋体" w:hAnsi="宋体" w:cs="宋体"/>
          <w:b/>
          <w:color w:val="auto"/>
          <w:sz w:val="24"/>
          <w:highlight w:val="none"/>
        </w:rPr>
      </w:pPr>
    </w:p>
    <w:p w14:paraId="2B20241D">
      <w:pPr>
        <w:spacing w:line="360" w:lineRule="auto"/>
        <w:rPr>
          <w:rFonts w:ascii="宋体" w:hAnsi="宋体" w:cs="宋体"/>
          <w:b/>
          <w:color w:val="auto"/>
          <w:sz w:val="24"/>
          <w:highlight w:val="none"/>
        </w:rPr>
      </w:pPr>
    </w:p>
    <w:p w14:paraId="33352CB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AE67C6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160E6D3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9F7629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98D7C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6D17A6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1202A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90892A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292F754">
      <w:pPr>
        <w:spacing w:line="360" w:lineRule="auto"/>
        <w:rPr>
          <w:rFonts w:ascii="宋体" w:hAnsi="宋体" w:cs="宋体"/>
          <w:b/>
          <w:color w:val="auto"/>
          <w:sz w:val="24"/>
          <w:highlight w:val="none"/>
        </w:rPr>
      </w:pPr>
    </w:p>
    <w:p w14:paraId="0569148D">
      <w:pPr>
        <w:autoSpaceDE w:val="0"/>
        <w:autoSpaceDN w:val="0"/>
        <w:jc w:val="center"/>
        <w:rPr>
          <w:rFonts w:ascii="宋体" w:hAnsi="宋体" w:cs="宋体"/>
          <w:b/>
          <w:color w:val="auto"/>
          <w:spacing w:val="6"/>
          <w:sz w:val="32"/>
          <w:szCs w:val="32"/>
          <w:highlight w:val="none"/>
        </w:rPr>
      </w:pPr>
    </w:p>
    <w:p w14:paraId="16BEAAB5">
      <w:pPr>
        <w:autoSpaceDE w:val="0"/>
        <w:autoSpaceDN w:val="0"/>
        <w:jc w:val="left"/>
        <w:rPr>
          <w:rFonts w:ascii="宋体" w:hAnsi="宋体" w:cs="宋体"/>
          <w:b/>
          <w:color w:val="auto"/>
          <w:spacing w:val="6"/>
          <w:sz w:val="32"/>
          <w:szCs w:val="32"/>
          <w:highlight w:val="none"/>
        </w:rPr>
      </w:pPr>
    </w:p>
    <w:p w14:paraId="56FF8AB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1CFD493">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14:paraId="53821DD6">
      <w:pPr>
        <w:autoSpaceDE w:val="0"/>
        <w:autoSpaceDN w:val="0"/>
        <w:jc w:val="center"/>
        <w:rPr>
          <w:rFonts w:ascii="宋体" w:hAnsi="宋体" w:cs="宋体"/>
          <w:b/>
          <w:bCs/>
          <w:color w:val="auto"/>
          <w:sz w:val="32"/>
          <w:szCs w:val="32"/>
          <w:highlight w:val="none"/>
        </w:rPr>
      </w:pPr>
    </w:p>
    <w:p w14:paraId="19960BD0">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4FA0CD6D">
      <w:pPr>
        <w:spacing w:line="360" w:lineRule="auto"/>
        <w:rPr>
          <w:rFonts w:ascii="宋体" w:hAnsi="宋体" w:cs="宋体"/>
          <w:color w:val="auto"/>
          <w:sz w:val="24"/>
          <w:highlight w:val="none"/>
          <w:u w:val="single"/>
        </w:rPr>
      </w:pPr>
    </w:p>
    <w:p w14:paraId="706104E5">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（交易发起人）、（代理机构）</w:t>
      </w:r>
    </w:p>
    <w:p w14:paraId="437CEAB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5BF76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C661C8A">
      <w:pPr>
        <w:spacing w:line="360" w:lineRule="auto"/>
        <w:ind w:firstLine="494"/>
        <w:rPr>
          <w:rFonts w:ascii="宋体" w:hAnsi="宋体" w:cs="宋体"/>
          <w:color w:val="auto"/>
          <w:sz w:val="24"/>
          <w:highlight w:val="none"/>
        </w:rPr>
      </w:pPr>
    </w:p>
    <w:p w14:paraId="31EE200A">
      <w:pPr>
        <w:spacing w:line="360" w:lineRule="auto"/>
        <w:ind w:firstLine="494"/>
        <w:rPr>
          <w:rFonts w:ascii="宋体" w:hAnsi="宋体" w:cs="宋体"/>
          <w:color w:val="auto"/>
          <w:sz w:val="24"/>
          <w:highlight w:val="none"/>
        </w:rPr>
      </w:pPr>
    </w:p>
    <w:p w14:paraId="7C79E370">
      <w:pPr>
        <w:spacing w:line="360" w:lineRule="auto"/>
        <w:ind w:firstLine="494"/>
        <w:rPr>
          <w:rFonts w:ascii="宋体" w:hAnsi="宋体" w:cs="宋体"/>
          <w:color w:val="auto"/>
          <w:sz w:val="24"/>
          <w:highlight w:val="none"/>
        </w:rPr>
      </w:pPr>
    </w:p>
    <w:p w14:paraId="306288AF">
      <w:pPr>
        <w:spacing w:line="360" w:lineRule="auto"/>
        <w:ind w:firstLine="494"/>
        <w:rPr>
          <w:rFonts w:ascii="宋体" w:hAnsi="宋体" w:cs="宋体"/>
          <w:color w:val="auto"/>
          <w:sz w:val="24"/>
          <w:highlight w:val="none"/>
        </w:rPr>
      </w:pPr>
    </w:p>
    <w:p w14:paraId="67F3771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501C3E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7C1485D">
      <w:pPr>
        <w:rPr>
          <w:rFonts w:ascii="宋体" w:hAnsi="宋体" w:cs="宋体"/>
          <w:color w:val="auto"/>
          <w:sz w:val="24"/>
          <w:highlight w:val="none"/>
        </w:rPr>
      </w:pPr>
      <w:r>
        <w:rPr>
          <w:rFonts w:hint="eastAsia" w:ascii="宋体" w:hAnsi="宋体" w:cs="宋体"/>
          <w:b/>
          <w:bCs/>
          <w:color w:val="auto"/>
          <w:sz w:val="24"/>
          <w:highlight w:val="none"/>
        </w:rPr>
        <w:t>附：</w:t>
      </w:r>
    </w:p>
    <w:p w14:paraId="3F0AC7E2">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315B355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315B355B">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49F7A034">
      <w:pPr>
        <w:autoSpaceDE w:val="0"/>
        <w:autoSpaceDN w:val="0"/>
        <w:jc w:val="center"/>
        <w:rPr>
          <w:rFonts w:ascii="宋体" w:hAnsi="宋体" w:cs="宋体"/>
          <w:b/>
          <w:color w:val="auto"/>
          <w:spacing w:val="6"/>
          <w:sz w:val="32"/>
          <w:szCs w:val="32"/>
          <w:highlight w:val="none"/>
        </w:rPr>
      </w:pPr>
    </w:p>
    <w:p w14:paraId="1924FE2E">
      <w:pPr>
        <w:autoSpaceDE w:val="0"/>
        <w:autoSpaceDN w:val="0"/>
        <w:jc w:val="center"/>
        <w:rPr>
          <w:rFonts w:ascii="宋体" w:hAnsi="宋体" w:cs="宋体"/>
          <w:b/>
          <w:color w:val="auto"/>
          <w:spacing w:val="6"/>
          <w:sz w:val="32"/>
          <w:szCs w:val="32"/>
          <w:highlight w:val="none"/>
        </w:rPr>
      </w:pPr>
    </w:p>
    <w:p w14:paraId="2476038A">
      <w:pPr>
        <w:autoSpaceDE w:val="0"/>
        <w:autoSpaceDN w:val="0"/>
        <w:jc w:val="center"/>
        <w:rPr>
          <w:rFonts w:ascii="宋体" w:hAnsi="宋体" w:cs="宋体"/>
          <w:b/>
          <w:color w:val="auto"/>
          <w:spacing w:val="6"/>
          <w:sz w:val="32"/>
          <w:szCs w:val="32"/>
          <w:highlight w:val="none"/>
        </w:rPr>
      </w:pPr>
    </w:p>
    <w:p w14:paraId="27C59F06">
      <w:pPr>
        <w:autoSpaceDE w:val="0"/>
        <w:autoSpaceDN w:val="0"/>
        <w:jc w:val="center"/>
        <w:rPr>
          <w:rFonts w:ascii="宋体" w:hAnsi="宋体" w:cs="宋体"/>
          <w:b/>
          <w:color w:val="auto"/>
          <w:spacing w:val="6"/>
          <w:sz w:val="32"/>
          <w:szCs w:val="32"/>
          <w:highlight w:val="none"/>
        </w:rPr>
      </w:pPr>
    </w:p>
    <w:p w14:paraId="46D5DC22">
      <w:pPr>
        <w:autoSpaceDE w:val="0"/>
        <w:autoSpaceDN w:val="0"/>
        <w:jc w:val="center"/>
        <w:rPr>
          <w:rFonts w:ascii="宋体" w:hAnsi="宋体" w:cs="宋体"/>
          <w:b/>
          <w:color w:val="auto"/>
          <w:spacing w:val="6"/>
          <w:sz w:val="32"/>
          <w:szCs w:val="32"/>
          <w:highlight w:val="none"/>
        </w:rPr>
      </w:pPr>
    </w:p>
    <w:p w14:paraId="0E81ECF5">
      <w:pPr>
        <w:autoSpaceDE w:val="0"/>
        <w:autoSpaceDN w:val="0"/>
        <w:jc w:val="center"/>
        <w:rPr>
          <w:rFonts w:ascii="宋体" w:hAnsi="宋体" w:cs="宋体"/>
          <w:b/>
          <w:color w:val="auto"/>
          <w:spacing w:val="6"/>
          <w:sz w:val="32"/>
          <w:szCs w:val="32"/>
          <w:highlight w:val="none"/>
        </w:rPr>
      </w:pPr>
    </w:p>
    <w:p w14:paraId="04D947E6">
      <w:pPr>
        <w:autoSpaceDE w:val="0"/>
        <w:autoSpaceDN w:val="0"/>
        <w:jc w:val="center"/>
        <w:rPr>
          <w:rFonts w:ascii="宋体" w:hAnsi="宋体" w:cs="宋体"/>
          <w:b/>
          <w:color w:val="auto"/>
          <w:spacing w:val="6"/>
          <w:sz w:val="32"/>
          <w:szCs w:val="32"/>
          <w:highlight w:val="none"/>
        </w:rPr>
      </w:pPr>
    </w:p>
    <w:p w14:paraId="3F6DA292">
      <w:pPr>
        <w:autoSpaceDE w:val="0"/>
        <w:autoSpaceDN w:val="0"/>
        <w:jc w:val="center"/>
        <w:rPr>
          <w:rFonts w:ascii="宋体" w:hAnsi="宋体" w:cs="宋体"/>
          <w:b/>
          <w:color w:val="auto"/>
          <w:spacing w:val="6"/>
          <w:sz w:val="32"/>
          <w:szCs w:val="32"/>
          <w:highlight w:val="none"/>
        </w:rPr>
      </w:pPr>
    </w:p>
    <w:p w14:paraId="261368F7">
      <w:pPr>
        <w:autoSpaceDE w:val="0"/>
        <w:autoSpaceDN w:val="0"/>
        <w:jc w:val="center"/>
        <w:rPr>
          <w:rFonts w:ascii="宋体" w:hAnsi="宋体" w:cs="宋体"/>
          <w:b/>
          <w:color w:val="auto"/>
          <w:spacing w:val="6"/>
          <w:sz w:val="32"/>
          <w:szCs w:val="32"/>
          <w:highlight w:val="none"/>
        </w:rPr>
      </w:pPr>
    </w:p>
    <w:p w14:paraId="60DEA00C">
      <w:pPr>
        <w:autoSpaceDE w:val="0"/>
        <w:autoSpaceDN w:val="0"/>
        <w:jc w:val="center"/>
        <w:rPr>
          <w:rFonts w:ascii="宋体" w:hAnsi="宋体" w:cs="宋体"/>
          <w:b/>
          <w:color w:val="auto"/>
          <w:spacing w:val="6"/>
          <w:sz w:val="32"/>
          <w:szCs w:val="32"/>
          <w:highlight w:val="none"/>
        </w:rPr>
      </w:pPr>
    </w:p>
    <w:p w14:paraId="05642221">
      <w:pPr>
        <w:autoSpaceDE w:val="0"/>
        <w:autoSpaceDN w:val="0"/>
        <w:jc w:val="center"/>
        <w:rPr>
          <w:rFonts w:ascii="宋体" w:hAnsi="宋体" w:cs="宋体"/>
          <w:b/>
          <w:color w:val="auto"/>
          <w:spacing w:val="6"/>
          <w:sz w:val="32"/>
          <w:szCs w:val="32"/>
          <w:highlight w:val="none"/>
        </w:rPr>
      </w:pPr>
    </w:p>
    <w:p w14:paraId="0B6B82AD">
      <w:pPr>
        <w:autoSpaceDE w:val="0"/>
        <w:autoSpaceDN w:val="0"/>
        <w:jc w:val="center"/>
        <w:rPr>
          <w:rFonts w:ascii="宋体" w:hAnsi="宋体" w:cs="宋体"/>
          <w:b/>
          <w:color w:val="auto"/>
          <w:spacing w:val="6"/>
          <w:sz w:val="32"/>
          <w:szCs w:val="32"/>
          <w:highlight w:val="none"/>
        </w:rPr>
      </w:pPr>
    </w:p>
    <w:p w14:paraId="155CDA05">
      <w:pPr>
        <w:autoSpaceDE w:val="0"/>
        <w:autoSpaceDN w:val="0"/>
        <w:jc w:val="center"/>
        <w:rPr>
          <w:rFonts w:ascii="宋体" w:hAnsi="宋体" w:cs="宋体"/>
          <w:b/>
          <w:color w:val="auto"/>
          <w:spacing w:val="6"/>
          <w:sz w:val="32"/>
          <w:szCs w:val="32"/>
          <w:highlight w:val="none"/>
        </w:rPr>
      </w:pPr>
    </w:p>
    <w:p w14:paraId="11C4B1E0">
      <w:pPr>
        <w:autoSpaceDE w:val="0"/>
        <w:autoSpaceDN w:val="0"/>
        <w:jc w:val="center"/>
        <w:rPr>
          <w:rFonts w:ascii="宋体" w:hAnsi="宋体" w:cs="宋体"/>
          <w:b/>
          <w:color w:val="auto"/>
          <w:spacing w:val="6"/>
          <w:sz w:val="32"/>
          <w:szCs w:val="32"/>
          <w:highlight w:val="none"/>
        </w:rPr>
      </w:pPr>
    </w:p>
    <w:sectPr>
      <w:headerReference r:id="rId14" w:type="first"/>
      <w:footerReference r:id="rId17" w:type="first"/>
      <w:headerReference r:id="rId13" w:type="default"/>
      <w:footerReference r:id="rId15" w:type="default"/>
      <w:footerReference r:id="rId16" w:type="even"/>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1FC28">
    <w:pPr>
      <w:spacing w:before="1" w:line="184" w:lineRule="auto"/>
      <w:ind w:right="287"/>
      <w:jc w:val="right"/>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585CB">
    <w:pPr>
      <w:pStyle w:val="42"/>
      <w:jc w:val="center"/>
      <w:rPr>
        <w:rFonts w:ascii="仿宋_GB2312" w:eastAsia="仿宋_GB2312"/>
      </w:rPr>
    </w:pPr>
  </w:p>
  <w:p w14:paraId="6771F7F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0AC5A">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7B1A75">
                          <w:pPr>
                            <w:pStyle w:val="42"/>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B7B1A75">
                    <w:pPr>
                      <w:pStyle w:val="42"/>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F8F3F">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108043">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9108043">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35EC2CD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EDDF6">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358F43">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46358F43">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01912E3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9121">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2AF90E">
                          <w:pPr>
                            <w:pStyle w:val="42"/>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7E2AF90E">
                    <w:pPr>
                      <w:pStyle w:val="42"/>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6CDAE87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9CCB7">
    <w:pPr>
      <w:pStyle w:val="42"/>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F17975">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52F17975">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A5978">
    <w:pPr>
      <w:pStyle w:val="42"/>
      <w:framePr w:wrap="around" w:vAnchor="text" w:hAnchor="margin" w:xAlign="right" w:y="1"/>
      <w:rPr>
        <w:rStyle w:val="75"/>
      </w:rPr>
    </w:pPr>
    <w:r>
      <w:fldChar w:fldCharType="begin"/>
    </w:r>
    <w:r>
      <w:rPr>
        <w:rStyle w:val="75"/>
      </w:rPr>
      <w:instrText xml:space="preserve">PAGE  </w:instrText>
    </w:r>
    <w:r>
      <w:fldChar w:fldCharType="end"/>
    </w:r>
  </w:p>
  <w:p w14:paraId="605C8C23">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B9903">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7A221B">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4B7A221B">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15596">
    <w:pPr>
      <w:pStyle w:val="44"/>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DAA60">
    <w:pPr>
      <w:pStyle w:val="44"/>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9797B">
    <w:pPr>
      <w:pStyle w:val="44"/>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93CD4">
    <w:pPr>
      <w:pStyle w:val="44"/>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95FE">
    <w:pPr>
      <w:pStyle w:val="44"/>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F7FA7">
    <w:pPr>
      <w:pStyle w:val="44"/>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117A2"/>
    <w:multiLevelType w:val="singleLevel"/>
    <w:tmpl w:val="B1A117A2"/>
    <w:lvl w:ilvl="0" w:tentative="0">
      <w:start w:val="1"/>
      <w:numFmt w:val="decimal"/>
      <w:suff w:val="nothing"/>
      <w:lvlText w:val="%1、"/>
      <w:lvlJc w:val="left"/>
    </w:lvl>
  </w:abstractNum>
  <w:abstractNum w:abstractNumId="1">
    <w:nsid w:val="C9068E0C"/>
    <w:multiLevelType w:val="singleLevel"/>
    <w:tmpl w:val="C9068E0C"/>
    <w:lvl w:ilvl="0" w:tentative="0">
      <w:start w:val="5"/>
      <w:numFmt w:val="chineseCounting"/>
      <w:suff w:val="space"/>
      <w:lvlText w:val="第%1部分"/>
      <w:lvlJc w:val="left"/>
      <w:rPr>
        <w:rFonts w:hint="eastAsia"/>
      </w:rPr>
    </w:lvl>
  </w:abstractNum>
  <w:abstractNum w:abstractNumId="2">
    <w:nsid w:val="434CA0FB"/>
    <w:multiLevelType w:val="singleLevel"/>
    <w:tmpl w:val="434CA0FB"/>
    <w:lvl w:ilvl="0" w:tentative="0">
      <w:start w:val="14"/>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TNjODAzOWEyZTBjZWI2OWE0Y2U2MTNhOGNiNmU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DD35E4"/>
    <w:rsid w:val="04076900"/>
    <w:rsid w:val="041A5A3B"/>
    <w:rsid w:val="041B2008"/>
    <w:rsid w:val="042311BA"/>
    <w:rsid w:val="042B157A"/>
    <w:rsid w:val="048718F2"/>
    <w:rsid w:val="048F763B"/>
    <w:rsid w:val="049F330E"/>
    <w:rsid w:val="04AA775C"/>
    <w:rsid w:val="04AF1889"/>
    <w:rsid w:val="04B85F11"/>
    <w:rsid w:val="04EE3F9B"/>
    <w:rsid w:val="04F66F48"/>
    <w:rsid w:val="051E28A6"/>
    <w:rsid w:val="05251E14"/>
    <w:rsid w:val="05507636"/>
    <w:rsid w:val="05672598"/>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45D42"/>
    <w:rsid w:val="07264C62"/>
    <w:rsid w:val="072F6604"/>
    <w:rsid w:val="074460BC"/>
    <w:rsid w:val="0779354C"/>
    <w:rsid w:val="077F0C95"/>
    <w:rsid w:val="07C300BD"/>
    <w:rsid w:val="07EC6682"/>
    <w:rsid w:val="07FE18F3"/>
    <w:rsid w:val="08061376"/>
    <w:rsid w:val="08127C83"/>
    <w:rsid w:val="081A0204"/>
    <w:rsid w:val="08452D77"/>
    <w:rsid w:val="086401F8"/>
    <w:rsid w:val="08751CAA"/>
    <w:rsid w:val="0876556A"/>
    <w:rsid w:val="087E4C40"/>
    <w:rsid w:val="08A53637"/>
    <w:rsid w:val="08A871D0"/>
    <w:rsid w:val="08A93957"/>
    <w:rsid w:val="08B2138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1D1535"/>
    <w:rsid w:val="0B30404E"/>
    <w:rsid w:val="0B4C6C14"/>
    <w:rsid w:val="0B524759"/>
    <w:rsid w:val="0B631A88"/>
    <w:rsid w:val="0B683D45"/>
    <w:rsid w:val="0B76461B"/>
    <w:rsid w:val="0B7F3F11"/>
    <w:rsid w:val="0B884417"/>
    <w:rsid w:val="0B93709B"/>
    <w:rsid w:val="0BA212C6"/>
    <w:rsid w:val="0BF6188C"/>
    <w:rsid w:val="0BF73C91"/>
    <w:rsid w:val="0BF80826"/>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7B7AEF"/>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0A3C4E"/>
    <w:rsid w:val="10156805"/>
    <w:rsid w:val="10646583"/>
    <w:rsid w:val="107D4B15"/>
    <w:rsid w:val="10841832"/>
    <w:rsid w:val="108A3C80"/>
    <w:rsid w:val="10A15184"/>
    <w:rsid w:val="10C26171"/>
    <w:rsid w:val="10DC700E"/>
    <w:rsid w:val="10F33360"/>
    <w:rsid w:val="10F4083A"/>
    <w:rsid w:val="10FC16EA"/>
    <w:rsid w:val="110F1D40"/>
    <w:rsid w:val="11266F33"/>
    <w:rsid w:val="113055C1"/>
    <w:rsid w:val="118963A1"/>
    <w:rsid w:val="11C6522A"/>
    <w:rsid w:val="11D84431"/>
    <w:rsid w:val="11E104CC"/>
    <w:rsid w:val="11E20309"/>
    <w:rsid w:val="11F0289B"/>
    <w:rsid w:val="11FD14B9"/>
    <w:rsid w:val="120E4728"/>
    <w:rsid w:val="12255233"/>
    <w:rsid w:val="12530213"/>
    <w:rsid w:val="12620DA8"/>
    <w:rsid w:val="127723A9"/>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40F0A5D"/>
    <w:rsid w:val="141008D8"/>
    <w:rsid w:val="14125FE6"/>
    <w:rsid w:val="1418708B"/>
    <w:rsid w:val="142B70E5"/>
    <w:rsid w:val="14500381"/>
    <w:rsid w:val="146D271E"/>
    <w:rsid w:val="147B24A0"/>
    <w:rsid w:val="14982588"/>
    <w:rsid w:val="149A5AD9"/>
    <w:rsid w:val="14A7619D"/>
    <w:rsid w:val="14AA2978"/>
    <w:rsid w:val="14C445F3"/>
    <w:rsid w:val="14F25B02"/>
    <w:rsid w:val="150536C3"/>
    <w:rsid w:val="15062E2B"/>
    <w:rsid w:val="150C1963"/>
    <w:rsid w:val="151447A0"/>
    <w:rsid w:val="154A6454"/>
    <w:rsid w:val="15665DFC"/>
    <w:rsid w:val="15762120"/>
    <w:rsid w:val="15844A86"/>
    <w:rsid w:val="1586383D"/>
    <w:rsid w:val="15C1630E"/>
    <w:rsid w:val="15F56AC3"/>
    <w:rsid w:val="1608540D"/>
    <w:rsid w:val="16204A74"/>
    <w:rsid w:val="164F32FA"/>
    <w:rsid w:val="166C515D"/>
    <w:rsid w:val="16A8729C"/>
    <w:rsid w:val="16B33777"/>
    <w:rsid w:val="16BC70A7"/>
    <w:rsid w:val="16C6339E"/>
    <w:rsid w:val="16C730F7"/>
    <w:rsid w:val="16D6012D"/>
    <w:rsid w:val="16FE2244"/>
    <w:rsid w:val="172F2D79"/>
    <w:rsid w:val="17557BEF"/>
    <w:rsid w:val="176D1E2A"/>
    <w:rsid w:val="17852075"/>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D75AB8"/>
    <w:rsid w:val="1BE22A26"/>
    <w:rsid w:val="1C0459C2"/>
    <w:rsid w:val="1C1B3B4A"/>
    <w:rsid w:val="1C537570"/>
    <w:rsid w:val="1C88086E"/>
    <w:rsid w:val="1CA045EE"/>
    <w:rsid w:val="1CC47A8B"/>
    <w:rsid w:val="1D266CE1"/>
    <w:rsid w:val="1D316024"/>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5E0148"/>
    <w:rsid w:val="22B61EBB"/>
    <w:rsid w:val="22B83BEE"/>
    <w:rsid w:val="22BE6801"/>
    <w:rsid w:val="22C04C60"/>
    <w:rsid w:val="22E03145"/>
    <w:rsid w:val="23113F1A"/>
    <w:rsid w:val="233500BF"/>
    <w:rsid w:val="23377FF7"/>
    <w:rsid w:val="23536CFD"/>
    <w:rsid w:val="236B39C8"/>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5050C41"/>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A02A0E"/>
    <w:rsid w:val="27D668AA"/>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806583"/>
    <w:rsid w:val="298B3C4C"/>
    <w:rsid w:val="299D324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5E6053"/>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ECE7777"/>
    <w:rsid w:val="2F064D1A"/>
    <w:rsid w:val="2F0A6B38"/>
    <w:rsid w:val="2F0E78D3"/>
    <w:rsid w:val="2F585F5C"/>
    <w:rsid w:val="2F923332"/>
    <w:rsid w:val="2F946CCB"/>
    <w:rsid w:val="2FAF5E97"/>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24E33D2"/>
    <w:rsid w:val="32517576"/>
    <w:rsid w:val="3262346C"/>
    <w:rsid w:val="32A64673"/>
    <w:rsid w:val="32BE5C2C"/>
    <w:rsid w:val="32FB6478"/>
    <w:rsid w:val="331E793D"/>
    <w:rsid w:val="332637C2"/>
    <w:rsid w:val="33263B3F"/>
    <w:rsid w:val="336963EB"/>
    <w:rsid w:val="33816EEB"/>
    <w:rsid w:val="338863E7"/>
    <w:rsid w:val="33D80FFE"/>
    <w:rsid w:val="33EB55CD"/>
    <w:rsid w:val="33EC4C02"/>
    <w:rsid w:val="340D2360"/>
    <w:rsid w:val="340D3EB8"/>
    <w:rsid w:val="3410665D"/>
    <w:rsid w:val="34211214"/>
    <w:rsid w:val="342E63AB"/>
    <w:rsid w:val="34433534"/>
    <w:rsid w:val="345C6202"/>
    <w:rsid w:val="3466782F"/>
    <w:rsid w:val="347B5D1E"/>
    <w:rsid w:val="34812DB4"/>
    <w:rsid w:val="34950E68"/>
    <w:rsid w:val="34986E94"/>
    <w:rsid w:val="34AF62C9"/>
    <w:rsid w:val="34CB4388"/>
    <w:rsid w:val="34DC2C0A"/>
    <w:rsid w:val="34FA6E12"/>
    <w:rsid w:val="354D7158"/>
    <w:rsid w:val="358D5588"/>
    <w:rsid w:val="36136070"/>
    <w:rsid w:val="363924A3"/>
    <w:rsid w:val="363A3B40"/>
    <w:rsid w:val="365302AE"/>
    <w:rsid w:val="36607A0A"/>
    <w:rsid w:val="366E227C"/>
    <w:rsid w:val="366F2E0D"/>
    <w:rsid w:val="367B6A5C"/>
    <w:rsid w:val="368C0F3C"/>
    <w:rsid w:val="36A74ADA"/>
    <w:rsid w:val="36AD60D5"/>
    <w:rsid w:val="36B224F9"/>
    <w:rsid w:val="36EC0CC9"/>
    <w:rsid w:val="37390A8E"/>
    <w:rsid w:val="373F410B"/>
    <w:rsid w:val="3756404C"/>
    <w:rsid w:val="37611015"/>
    <w:rsid w:val="376A0174"/>
    <w:rsid w:val="3786509C"/>
    <w:rsid w:val="378C13F6"/>
    <w:rsid w:val="37BD1A5A"/>
    <w:rsid w:val="37E16E9C"/>
    <w:rsid w:val="37EE7094"/>
    <w:rsid w:val="38296C89"/>
    <w:rsid w:val="383002EB"/>
    <w:rsid w:val="38586797"/>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24DB6"/>
    <w:rsid w:val="3A8C7BEF"/>
    <w:rsid w:val="3A906246"/>
    <w:rsid w:val="3B2349B7"/>
    <w:rsid w:val="3B4677B8"/>
    <w:rsid w:val="3B4F5EBB"/>
    <w:rsid w:val="3B616CFF"/>
    <w:rsid w:val="3B6259F6"/>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977AB6"/>
    <w:rsid w:val="43A3342B"/>
    <w:rsid w:val="43AA2F9D"/>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C63B94"/>
    <w:rsid w:val="45F134FD"/>
    <w:rsid w:val="460E7DA5"/>
    <w:rsid w:val="461B579A"/>
    <w:rsid w:val="46422483"/>
    <w:rsid w:val="4659254A"/>
    <w:rsid w:val="465B0637"/>
    <w:rsid w:val="465E3F0D"/>
    <w:rsid w:val="46606805"/>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39F7"/>
    <w:rsid w:val="4B974368"/>
    <w:rsid w:val="4B9A6B21"/>
    <w:rsid w:val="4B9C1FA2"/>
    <w:rsid w:val="4BA13CA3"/>
    <w:rsid w:val="4BE96C25"/>
    <w:rsid w:val="4BEE2503"/>
    <w:rsid w:val="4BF80D38"/>
    <w:rsid w:val="4C245A30"/>
    <w:rsid w:val="4C5D53ED"/>
    <w:rsid w:val="4C676029"/>
    <w:rsid w:val="4CA601B0"/>
    <w:rsid w:val="4CAF7256"/>
    <w:rsid w:val="4CB6685F"/>
    <w:rsid w:val="4CC367FE"/>
    <w:rsid w:val="4CD54317"/>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C5748B"/>
    <w:rsid w:val="52D374D1"/>
    <w:rsid w:val="52D94AA4"/>
    <w:rsid w:val="52EA3A62"/>
    <w:rsid w:val="52F50BB8"/>
    <w:rsid w:val="53097272"/>
    <w:rsid w:val="53544462"/>
    <w:rsid w:val="53676980"/>
    <w:rsid w:val="53960CB2"/>
    <w:rsid w:val="5397158E"/>
    <w:rsid w:val="53D42C20"/>
    <w:rsid w:val="54013861"/>
    <w:rsid w:val="541A3F22"/>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D68F2"/>
    <w:rsid w:val="5A3E2560"/>
    <w:rsid w:val="5A405C9C"/>
    <w:rsid w:val="5A5D3B6E"/>
    <w:rsid w:val="5A637A76"/>
    <w:rsid w:val="5A686384"/>
    <w:rsid w:val="5A6D33BA"/>
    <w:rsid w:val="5A792B1F"/>
    <w:rsid w:val="5A874767"/>
    <w:rsid w:val="5A9A655F"/>
    <w:rsid w:val="5AA85BE2"/>
    <w:rsid w:val="5AAD6F28"/>
    <w:rsid w:val="5AD63A24"/>
    <w:rsid w:val="5AE51FB6"/>
    <w:rsid w:val="5B0B0B6B"/>
    <w:rsid w:val="5B2E1A1D"/>
    <w:rsid w:val="5B843A1C"/>
    <w:rsid w:val="5B873E3F"/>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326087"/>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EE06D6"/>
    <w:rsid w:val="69FD55B8"/>
    <w:rsid w:val="6A0B1C62"/>
    <w:rsid w:val="6A0C584D"/>
    <w:rsid w:val="6A0D3F4C"/>
    <w:rsid w:val="6A23426E"/>
    <w:rsid w:val="6A2406C8"/>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C2DF7"/>
    <w:rsid w:val="6C8C4C6F"/>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05604C"/>
    <w:rsid w:val="6E2F184C"/>
    <w:rsid w:val="6E731D44"/>
    <w:rsid w:val="6E8335BD"/>
    <w:rsid w:val="6E8E12EF"/>
    <w:rsid w:val="6E9045AA"/>
    <w:rsid w:val="6E972936"/>
    <w:rsid w:val="6EB74327"/>
    <w:rsid w:val="6EC91D52"/>
    <w:rsid w:val="6ED34821"/>
    <w:rsid w:val="6ED446C5"/>
    <w:rsid w:val="6EDA7DC0"/>
    <w:rsid w:val="6EDD6C63"/>
    <w:rsid w:val="6EFA6CD6"/>
    <w:rsid w:val="6F0F7527"/>
    <w:rsid w:val="6F184A18"/>
    <w:rsid w:val="6F2A7D94"/>
    <w:rsid w:val="6F802313"/>
    <w:rsid w:val="6F8331F1"/>
    <w:rsid w:val="6FAE1A09"/>
    <w:rsid w:val="6FD75BF8"/>
    <w:rsid w:val="6FD97A1B"/>
    <w:rsid w:val="6FEF3B3E"/>
    <w:rsid w:val="703C638E"/>
    <w:rsid w:val="704318A8"/>
    <w:rsid w:val="707723D0"/>
    <w:rsid w:val="70DB77AC"/>
    <w:rsid w:val="70F5661B"/>
    <w:rsid w:val="70FF0D7D"/>
    <w:rsid w:val="7123737D"/>
    <w:rsid w:val="71360107"/>
    <w:rsid w:val="713B688E"/>
    <w:rsid w:val="716167CC"/>
    <w:rsid w:val="7183561A"/>
    <w:rsid w:val="719926D7"/>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9571D0"/>
    <w:rsid w:val="77BC4C63"/>
    <w:rsid w:val="77C24C2D"/>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E6D43"/>
    <w:rsid w:val="7D7069D2"/>
    <w:rsid w:val="7D782FC1"/>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3"/>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0"/>
    <w:qFormat/>
    <w:uiPriority w:val="0"/>
    <w:pPr>
      <w:shd w:val="clear" w:color="auto" w:fill="000080"/>
    </w:pPr>
  </w:style>
  <w:style w:type="paragraph" w:styleId="21">
    <w:name w:val="annotation text"/>
    <w:basedOn w:val="1"/>
    <w:link w:val="351"/>
    <w:qFormat/>
    <w:uiPriority w:val="99"/>
    <w:pPr>
      <w:jc w:val="left"/>
    </w:pPr>
  </w:style>
  <w:style w:type="paragraph" w:styleId="22">
    <w:name w:val="Salutation"/>
    <w:basedOn w:val="1"/>
    <w:next w:val="1"/>
    <w:link w:val="305"/>
    <w:qFormat/>
    <w:uiPriority w:val="0"/>
    <w:rPr>
      <w:rFonts w:ascii="仿宋_GB2312" w:eastAsia="仿宋_GB2312"/>
      <w:sz w:val="28"/>
      <w:szCs w:val="20"/>
    </w:rPr>
  </w:style>
  <w:style w:type="paragraph" w:styleId="23">
    <w:name w:val="Body Text 3"/>
    <w:basedOn w:val="1"/>
    <w:link w:val="33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328"/>
    <w:qFormat/>
    <w:uiPriority w:val="0"/>
    <w:pPr>
      <w:ind w:firstLine="420"/>
    </w:pPr>
    <w:rPr>
      <w:rFonts w:hAnsi="Calibri" w:cs="Times New Roman"/>
      <w:snapToGrid/>
      <w:szCs w:val="20"/>
    </w:rPr>
  </w:style>
  <w:style w:type="paragraph" w:styleId="27">
    <w:name w:val="Body Text Indent"/>
    <w:basedOn w:val="1"/>
    <w:next w:val="17"/>
    <w:link w:val="272"/>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9"/>
    <w:qFormat/>
    <w:uiPriority w:val="0"/>
    <w:pPr>
      <w:ind w:left="100" w:leftChars="2500"/>
    </w:pPr>
    <w:rPr>
      <w:rFonts w:ascii="宋体"/>
      <w:sz w:val="24"/>
      <w:szCs w:val="21"/>
      <w:lang w:val="zh-CN"/>
    </w:rPr>
  </w:style>
  <w:style w:type="paragraph" w:styleId="39">
    <w:name w:val="Body Text Indent 2"/>
    <w:basedOn w:val="1"/>
    <w:link w:val="315"/>
    <w:qFormat/>
    <w:uiPriority w:val="0"/>
    <w:pPr>
      <w:spacing w:line="360" w:lineRule="auto"/>
      <w:ind w:firstLine="601"/>
      <w:textAlignment w:val="baseline"/>
    </w:pPr>
    <w:rPr>
      <w:rFonts w:ascii="宋体"/>
      <w:kern w:val="0"/>
      <w:sz w:val="28"/>
      <w:szCs w:val="20"/>
    </w:rPr>
  </w:style>
  <w:style w:type="paragraph" w:styleId="40">
    <w:name w:val="endnote text"/>
    <w:basedOn w:val="1"/>
    <w:link w:val="937"/>
    <w:qFormat/>
    <w:uiPriority w:val="0"/>
    <w:rPr>
      <w:lang w:val="zh-CN"/>
    </w:rPr>
  </w:style>
  <w:style w:type="paragraph" w:styleId="41">
    <w:name w:val="Balloon Text"/>
    <w:basedOn w:val="1"/>
    <w:link w:val="196"/>
    <w:qFormat/>
    <w:uiPriority w:val="0"/>
    <w:rPr>
      <w:sz w:val="18"/>
      <w:szCs w:val="18"/>
    </w:rPr>
  </w:style>
  <w:style w:type="paragraph" w:styleId="42">
    <w:name w:val="footer"/>
    <w:basedOn w:val="1"/>
    <w:link w:val="390"/>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17"/>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82"/>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9"/>
    <w:qFormat/>
    <w:uiPriority w:val="0"/>
    <w:pPr>
      <w:spacing w:after="120" w:line="480" w:lineRule="auto"/>
    </w:pPr>
  </w:style>
  <w:style w:type="paragraph" w:styleId="60">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04"/>
    <w:qFormat/>
    <w:uiPriority w:val="0"/>
    <w:rPr>
      <w:b/>
      <w:bCs/>
    </w:rPr>
  </w:style>
  <w:style w:type="paragraph" w:styleId="64">
    <w:name w:val="Body Text First Indent 2"/>
    <w:basedOn w:val="27"/>
    <w:next w:val="1"/>
    <w:link w:val="129"/>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3">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4">
    <w:name w:val="正文首行缩进1"/>
    <w:basedOn w:val="2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5">
    <w:name w:val="Default"/>
    <w:next w:val="86"/>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Normal]"/>
    <w:qFormat/>
    <w:uiPriority w:val="0"/>
    <w:rPr>
      <w:rFonts w:ascii="宋体" w:hAnsi="宋体" w:eastAsia="宋体" w:cs="Times New Roman"/>
      <w:sz w:val="24"/>
      <w:lang w:val="zh-CN" w:eastAsia="zh-CN" w:bidi="ar-SA"/>
    </w:rPr>
  </w:style>
  <w:style w:type="paragraph" w:styleId="88">
    <w:name w:val="List Paragraph"/>
    <w:basedOn w:val="1"/>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7"/>
    <w:qFormat/>
    <w:uiPriority w:val="99"/>
    <w:pPr>
      <w:spacing w:line="200" w:lineRule="atLeast"/>
      <w:ind w:firstLine="420"/>
    </w:pPr>
    <w:rPr>
      <w:rFonts w:hAnsi="Courier New"/>
      <w:spacing w:val="-4"/>
      <w:sz w:val="18"/>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3"/>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4"/>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2"/>
    <w:qFormat/>
    <w:uiPriority w:val="0"/>
    <w:rPr>
      <w:rFonts w:ascii="Arial" w:hAnsi="Arial" w:eastAsia="黑体" w:cs="Arial"/>
      <w:snapToGrid w:val="0"/>
      <w:kern w:val="0"/>
      <w:szCs w:val="21"/>
    </w:rPr>
  </w:style>
  <w:style w:type="character" w:customStyle="1" w:styleId="13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50"/>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8"/>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4"/>
    <w:link w:val="178"/>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8"/>
    <w:qFormat/>
    <w:uiPriority w:val="0"/>
    <w:rPr>
      <w:rFonts w:ascii="宋体"/>
      <w:kern w:val="2"/>
      <w:sz w:val="24"/>
      <w:szCs w:val="21"/>
      <w:lang w:val="zh-CN"/>
    </w:rPr>
  </w:style>
  <w:style w:type="character" w:customStyle="1" w:styleId="190">
    <w:name w:val="标题 9 Char"/>
    <w:link w:val="11"/>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41"/>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17"/>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20"/>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2"/>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2"/>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6"/>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8"/>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5"/>
    <w:qFormat/>
    <w:uiPriority w:val="0"/>
    <w:rPr>
      <w:rFonts w:ascii="仿宋_GB2312" w:eastAsia="仿宋_GB2312" w:cs="仿宋_GB2312"/>
      <w:color w:val="000000"/>
      <w:sz w:val="24"/>
      <w:szCs w:val="24"/>
      <w:lang w:val="en-US" w:eastAsia="zh-CN" w:bidi="ar-SA"/>
    </w:rPr>
  </w:style>
  <w:style w:type="paragraph" w:customStyle="1" w:styleId="24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8"/>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7"/>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2"/>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2"/>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60"/>
    <w:qFormat/>
    <w:uiPriority w:val="0"/>
    <w:rPr>
      <w:rFonts w:ascii="黑体" w:hAnsi="Courier New" w:eastAsia="黑体"/>
    </w:rPr>
  </w:style>
  <w:style w:type="character" w:customStyle="1" w:styleId="309">
    <w:name w:val="正文文本 2 Char1"/>
    <w:link w:val="59"/>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6"/>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Char"/>
    <w:link w:val="9"/>
    <w:qFormat/>
    <w:uiPriority w:val="0"/>
    <w:rPr>
      <w:b/>
      <w:bCs/>
      <w:kern w:val="2"/>
      <w:sz w:val="24"/>
      <w:szCs w:val="24"/>
    </w:rPr>
  </w:style>
  <w:style w:type="character" w:customStyle="1" w:styleId="315">
    <w:name w:val="正文文本缩进 2 Char"/>
    <w:link w:val="39"/>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Char"/>
    <w:link w:val="53"/>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Char"/>
    <w:link w:val="26"/>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Char2"/>
    <w:link w:val="6"/>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Char"/>
    <w:link w:val="23"/>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Char1"/>
    <w:link w:val="21"/>
    <w:qFormat/>
    <w:uiPriority w:val="0"/>
    <w:rPr>
      <w:kern w:val="2"/>
      <w:sz w:val="21"/>
      <w:szCs w:val="24"/>
    </w:rPr>
  </w:style>
  <w:style w:type="character" w:customStyle="1" w:styleId="352">
    <w:name w:val="签名 Char"/>
    <w:link w:val="45"/>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10"/>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Char"/>
    <w:link w:val="56"/>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Char2"/>
    <w:link w:val="42"/>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Char2"/>
    <w:link w:val="44"/>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2"/>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7"/>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8">
    <w:name w:val="gray6"/>
    <w:basedOn w:val="72"/>
    <w:qFormat/>
    <w:uiPriority w:val="0"/>
    <w:rPr>
      <w:rFonts w:ascii="Arial" w:hAnsi="Arial" w:eastAsia="黑体" w:cs="Arial"/>
      <w:snapToGrid w:val="0"/>
      <w:kern w:val="0"/>
      <w:szCs w:val="21"/>
    </w:rPr>
  </w:style>
  <w:style w:type="character" w:customStyle="1" w:styleId="439">
    <w:name w:val="hui"/>
    <w:basedOn w:val="72"/>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8"/>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4"/>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5"/>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5"/>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5"/>
    <w:next w:val="85"/>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5"/>
    <w:next w:val="85"/>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9"/>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Lines="50"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9"/>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0"/>
    <w:rPr>
      <w:rFonts w:ascii="仿宋_GB2312" w:eastAsia="仿宋_GB2312"/>
      <w:b/>
      <w:sz w:val="32"/>
      <w:szCs w:val="32"/>
    </w:rPr>
  </w:style>
  <w:style w:type="paragraph" w:customStyle="1" w:styleId="800">
    <w:name w:val="五级条标题"/>
    <w:basedOn w:val="801"/>
    <w:next w:val="647"/>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2"/>
    <w:next w:val="647"/>
    <w:qFormat/>
    <w:uiPriority w:val="0"/>
    <w:pPr>
      <w:tabs>
        <w:tab w:val="left" w:pos="2940"/>
        <w:tab w:val="clear" w:pos="2520"/>
      </w:tabs>
      <w:ind w:left="2940"/>
      <w:outlineLvl w:val="5"/>
    </w:pPr>
  </w:style>
  <w:style w:type="paragraph" w:customStyle="1" w:styleId="8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0"/>
    <w:rPr>
      <w:rFonts w:ascii="仿宋_GB2312" w:eastAsia="仿宋_GB2312"/>
      <w:b/>
      <w:sz w:val="32"/>
      <w:szCs w:val="32"/>
    </w:rPr>
  </w:style>
  <w:style w:type="paragraph" w:customStyle="1" w:styleId="8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8">
    <w:name w:val="单元格左对齐"/>
    <w:basedOn w:val="1"/>
    <w:qFormat/>
    <w:uiPriority w:val="0"/>
    <w:pPr>
      <w:adjustRightInd/>
      <w:spacing w:line="360" w:lineRule="auto"/>
    </w:pPr>
    <w:rPr>
      <w:sz w:val="24"/>
    </w:rPr>
  </w:style>
  <w:style w:type="paragraph" w:customStyle="1" w:styleId="809">
    <w:name w:val="正文主体"/>
    <w:basedOn w:val="631"/>
    <w:qFormat/>
    <w:uiPriority w:val="0"/>
  </w:style>
  <w:style w:type="paragraph" w:customStyle="1" w:styleId="8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0"/>
    <w:pPr>
      <w:adjustRightInd/>
      <w:spacing w:line="360" w:lineRule="auto"/>
      <w:ind w:firstLine="480" w:firstLineChars="200"/>
    </w:pPr>
    <w:rPr>
      <w:sz w:val="24"/>
      <w:szCs w:val="20"/>
    </w:rPr>
  </w:style>
  <w:style w:type="paragraph" w:customStyle="1" w:styleId="814">
    <w:name w:val="P1"/>
    <w:basedOn w:val="1"/>
    <w:qFormat/>
    <w:uiPriority w:val="0"/>
    <w:pPr>
      <w:adjustRightInd/>
      <w:spacing w:line="288" w:lineRule="auto"/>
      <w:ind w:firstLine="425" w:firstLineChars="200"/>
    </w:p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Char Char11 Char Char Char1"/>
    <w:basedOn w:val="1"/>
    <w:qFormat/>
    <w:uiPriority w:val="6"/>
    <w:pPr>
      <w:spacing w:line="360" w:lineRule="auto"/>
    </w:pPr>
    <w:rPr>
      <w:szCs w:val="20"/>
    </w:rPr>
  </w:style>
  <w:style w:type="paragraph" w:customStyle="1" w:styleId="8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0"/>
    <w:pPr>
      <w:spacing w:line="360" w:lineRule="auto"/>
    </w:pPr>
    <w:rPr>
      <w:szCs w:val="20"/>
    </w:rPr>
  </w:style>
  <w:style w:type="paragraph" w:customStyle="1" w:styleId="82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0"/>
    <w:rPr>
      <w:rFonts w:ascii="仿宋_GB2312" w:eastAsia="仿宋_GB2312"/>
      <w:b/>
      <w:sz w:val="32"/>
      <w:szCs w:val="32"/>
    </w:rPr>
  </w:style>
  <w:style w:type="paragraph" w:customStyle="1" w:styleId="8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qFormat/>
    <w:uiPriority w:val="0"/>
    <w:pPr>
      <w:adjustRightInd/>
      <w:spacing w:line="360" w:lineRule="auto"/>
      <w:ind w:firstLine="480"/>
    </w:pPr>
    <w:rPr>
      <w:rFonts w:cs="宋体"/>
      <w:sz w:val="24"/>
      <w:szCs w:val="20"/>
    </w:rPr>
  </w:style>
  <w:style w:type="paragraph" w:customStyle="1" w:styleId="829">
    <w:name w:val="Char Char4 Char Char"/>
    <w:basedOn w:val="1"/>
    <w:qFormat/>
    <w:uiPriority w:val="0"/>
    <w:pPr>
      <w:widowControl/>
      <w:adjustRightInd/>
      <w:spacing w:after="160" w:line="240" w:lineRule="exact"/>
      <w:jc w:val="left"/>
    </w:pPr>
  </w:style>
  <w:style w:type="paragraph" w:customStyle="1" w:styleId="8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0"/>
    <w:pPr>
      <w:spacing w:line="360" w:lineRule="auto"/>
    </w:pPr>
    <w:rPr>
      <w:szCs w:val="20"/>
    </w:rPr>
  </w:style>
  <w:style w:type="paragraph" w:customStyle="1" w:styleId="8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0"/>
    <w:pPr>
      <w:adjustRightInd/>
      <w:ind w:firstLine="200" w:firstLineChars="200"/>
    </w:pPr>
    <w:rPr>
      <w:rFonts w:ascii="Tahoma" w:hAnsi="Tahoma"/>
      <w:sz w:val="24"/>
      <w:szCs w:val="20"/>
    </w:rPr>
  </w:style>
  <w:style w:type="paragraph" w:customStyle="1" w:styleId="839">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6"/>
    <w:qFormat/>
    <w:uiPriority w:val="0"/>
    <w:pPr>
      <w:tabs>
        <w:tab w:val="left" w:pos="0"/>
      </w:tabs>
      <w:ind w:left="900" w:firstLine="0" w:firstLineChars="0"/>
    </w:pPr>
  </w:style>
  <w:style w:type="paragraph" w:customStyle="1" w:styleId="842">
    <w:name w:val="Bulleted List"/>
    <w:basedOn w:val="1"/>
    <w:qFormat/>
    <w:uiPriority w:val="0"/>
    <w:pPr>
      <w:tabs>
        <w:tab w:val="left" w:pos="1260"/>
      </w:tabs>
      <w:adjustRightInd/>
      <w:ind w:left="1260" w:hanging="420"/>
    </w:pPr>
  </w:style>
  <w:style w:type="paragraph" w:customStyle="1" w:styleId="84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0"/>
    <w:rPr>
      <w:rFonts w:ascii="Tahoma" w:hAnsi="Tahoma" w:cs="仿宋_GB2312"/>
      <w:sz w:val="24"/>
      <w:szCs w:val="20"/>
    </w:rPr>
  </w:style>
  <w:style w:type="paragraph" w:customStyle="1" w:styleId="846">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20"/>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88"/>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45"/>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5"/>
    <w:qFormat/>
    <w:uiPriority w:val="0"/>
    <w:rPr>
      <w:b w:val="0"/>
      <w:sz w:val="20"/>
    </w:rPr>
  </w:style>
  <w:style w:type="paragraph" w:customStyle="1" w:styleId="90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7"/>
    <w:next w:val="1"/>
    <w:qFormat/>
    <w:uiPriority w:val="0"/>
    <w:pPr>
      <w:tabs>
        <w:tab w:val="left" w:pos="1080"/>
      </w:tabs>
      <w:ind w:left="1080" w:hanging="1080"/>
    </w:pPr>
  </w:style>
  <w:style w:type="paragraph" w:customStyle="1" w:styleId="902">
    <w:name w:val="数字标题1"/>
    <w:basedOn w:val="3"/>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0"/>
    <w:pPr>
      <w:widowControl/>
    </w:pPr>
    <w:rPr>
      <w:kern w:val="0"/>
      <w:sz w:val="24"/>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50"/>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9"/>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40"/>
    <w:qFormat/>
    <w:uiPriority w:val="0"/>
    <w:rPr>
      <w:kern w:val="2"/>
      <w:sz w:val="21"/>
      <w:szCs w:val="24"/>
      <w:lang w:val="zh-CN"/>
    </w:rPr>
  </w:style>
  <w:style w:type="character" w:customStyle="1" w:styleId="938">
    <w:name w:val="无间隔 Char"/>
    <w:link w:val="490"/>
    <w:qFormat/>
    <w:uiPriority w:val="99"/>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88"/>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2"/>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Body text|1"/>
    <w:basedOn w:val="1"/>
    <w:qFormat/>
    <w:uiPriority w:val="0"/>
    <w:pPr>
      <w:spacing w:line="391" w:lineRule="auto"/>
      <w:ind w:firstLine="400"/>
    </w:pPr>
    <w:rPr>
      <w:rFonts w:ascii="宋体" w:hAnsi="宋体" w:cs="宋体"/>
      <w:lang w:val="zh-TW" w:eastAsia="zh-TW" w:bidi="zh-TW"/>
    </w:rPr>
  </w:style>
  <w:style w:type="character" w:customStyle="1" w:styleId="970">
    <w:name w:val="font101"/>
    <w:basedOn w:val="72"/>
    <w:qFormat/>
    <w:uiPriority w:val="0"/>
    <w:rPr>
      <w:rFonts w:hint="eastAsia" w:ascii="宋体" w:hAnsi="宋体" w:eastAsia="宋体" w:cs="宋体"/>
      <w:color w:val="FF0000"/>
      <w:sz w:val="20"/>
      <w:szCs w:val="20"/>
      <w:u w:val="none"/>
    </w:rPr>
  </w:style>
  <w:style w:type="paragraph" w:customStyle="1" w:styleId="971">
    <w:name w:val="封面编号"/>
    <w:basedOn w:val="1"/>
    <w:qFormat/>
    <w:uiPriority w:val="0"/>
    <w:pPr>
      <w:spacing w:line="360" w:lineRule="auto"/>
      <w:jc w:val="center"/>
    </w:pPr>
    <w:rPr>
      <w:rFonts w:ascii="黑体" w:hAnsi="宋体" w:eastAsia="黑体" w:cs="宋体"/>
      <w:b/>
      <w:bCs/>
      <w:sz w:val="38"/>
      <w:szCs w:val="20"/>
    </w:rPr>
  </w:style>
  <w:style w:type="table" w:customStyle="1" w:styleId="972">
    <w:name w:val="Table Normal"/>
    <w:semiHidden/>
    <w:unhideWhenUsed/>
    <w:qFormat/>
    <w:uiPriority w:val="0"/>
    <w:tblPr>
      <w:tblCellMar>
        <w:top w:w="0" w:type="dxa"/>
        <w:left w:w="0" w:type="dxa"/>
        <w:bottom w:w="0" w:type="dxa"/>
        <w:right w:w="0" w:type="dxa"/>
      </w:tblCellMar>
    </w:tblPr>
  </w:style>
  <w:style w:type="character" w:customStyle="1" w:styleId="97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74">
    <w:name w:val="null3"/>
    <w:qFormat/>
    <w:uiPriority w:val="0"/>
    <w:rPr>
      <w:rFonts w:hint="eastAsia" w:ascii="Calibri" w:hAnsi="Calibri" w:eastAsia="宋体" w:cs="Times New Roman"/>
      <w:kern w:val="0"/>
      <w:sz w:val="20"/>
      <w:szCs w:val="20"/>
      <w:lang w:val="en-US" w:eastAsia="zh-Hans" w:bidi="ar-SA"/>
    </w:rPr>
  </w:style>
  <w:style w:type="paragraph" w:customStyle="1" w:styleId="975">
    <w:name w:val="Normal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57</Pages>
  <Words>28267</Words>
  <Characters>31208</Characters>
  <Lines>153</Lines>
  <Paragraphs>43</Paragraphs>
  <TotalTime>30</TotalTime>
  <ScaleCrop>false</ScaleCrop>
  <LinksUpToDate>false</LinksUpToDate>
  <CharactersWithSpaces>32952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小布布</cp:lastModifiedBy>
  <cp:lastPrinted>2021-12-27T03:06:00Z</cp:lastPrinted>
  <dcterms:modified xsi:type="dcterms:W3CDTF">2024-09-23T08:36:02Z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B76E54BE42B744588ABB4977B9B7B4EF_13</vt:lpwstr>
  </property>
  <property fmtid="{D5CDD505-2E9C-101B-9397-08002B2CF9AE}" pid="5" name="commondata">
    <vt:lpwstr>eyJoZGlkIjoiMzdkYTNjODAzOWEyZTBjZWI2OWE0Y2U2MTNhOGNiNmUifQ==</vt:lpwstr>
  </property>
</Properties>
</file>