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3"/>
        <w:tabs>
          <w:tab w:val="left" w:pos="6615"/>
        </w:tabs>
        <w:snapToGrid w:val="0"/>
        <w:spacing w:line="360" w:lineRule="auto"/>
        <w:ind w:firstLine="1687" w:firstLineChars="52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ZJ-2530534</w:t>
      </w:r>
    </w:p>
    <w:p>
      <w:pPr>
        <w:pStyle w:val="43"/>
        <w:snapToGrid w:val="0"/>
        <w:spacing w:line="360" w:lineRule="auto"/>
        <w:ind w:firstLine="1687" w:firstLineChars="52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eastAsia="zh-CN"/>
        </w:rPr>
        <w:t>全院叫号系统</w:t>
      </w:r>
      <w:r>
        <w:rPr>
          <w:rFonts w:hint="eastAsia" w:ascii="Times New Roman" w:hAnsi="Times New Roman"/>
          <w:b/>
          <w:color w:val="auto"/>
          <w:sz w:val="32"/>
          <w:szCs w:val="32"/>
          <w:highlight w:val="none"/>
        </w:rPr>
        <w:tab/>
      </w:r>
      <w:r>
        <w:rPr>
          <w:rFonts w:hint="eastAsia" w:ascii="Times New Roman" w:hAnsi="Times New Roman"/>
          <w:b/>
          <w:color w:val="auto"/>
          <w:sz w:val="32"/>
          <w:szCs w:val="32"/>
          <w:highlight w:val="none"/>
        </w:rPr>
        <w:t>项目</w:t>
      </w:r>
    </w:p>
    <w:p>
      <w:pPr>
        <w:pStyle w:val="43"/>
        <w:snapToGrid w:val="0"/>
        <w:spacing w:line="360" w:lineRule="auto"/>
        <w:ind w:firstLine="841" w:firstLineChars="294"/>
        <w:rPr>
          <w:rFonts w:ascii="Times New Roman" w:hAnsi="Times New Roman"/>
          <w:b/>
          <w:bCs/>
          <w:color w:val="auto"/>
          <w:w w:val="95"/>
          <w:sz w:val="30"/>
          <w:szCs w:val="30"/>
          <w:highlight w:val="none"/>
        </w:rPr>
      </w:pPr>
    </w:p>
    <w:p>
      <w:pPr>
        <w:pStyle w:val="43"/>
        <w:snapToGrid w:val="0"/>
        <w:spacing w:line="360" w:lineRule="auto"/>
        <w:ind w:firstLine="841" w:firstLineChars="294"/>
        <w:rPr>
          <w:rFonts w:ascii="Times New Roman" w:hAnsi="Times New Roman"/>
          <w:b/>
          <w:bCs/>
          <w:color w:val="auto"/>
          <w:w w:val="95"/>
          <w:sz w:val="30"/>
          <w:szCs w:val="30"/>
          <w:highlight w:val="none"/>
        </w:rPr>
      </w:pPr>
    </w:p>
    <w:p>
      <w:pPr>
        <w:pStyle w:val="43"/>
        <w:snapToGrid w:val="0"/>
        <w:spacing w:line="360" w:lineRule="auto"/>
        <w:ind w:firstLine="841" w:firstLineChars="294"/>
        <w:rPr>
          <w:rFonts w:ascii="Times New Roman" w:hAnsi="Times New Roman"/>
          <w:b/>
          <w:bCs/>
          <w:color w:val="auto"/>
          <w:w w:val="95"/>
          <w:sz w:val="30"/>
          <w:szCs w:val="30"/>
          <w:highlight w:val="none"/>
        </w:rPr>
      </w:pPr>
    </w:p>
    <w:p>
      <w:pPr>
        <w:pStyle w:val="43"/>
        <w:snapToGrid w:val="0"/>
        <w:spacing w:line="360" w:lineRule="auto"/>
        <w:ind w:firstLine="841" w:firstLineChars="294"/>
        <w:rPr>
          <w:rFonts w:ascii="Times New Roman" w:hAnsi="Times New Roman"/>
          <w:b/>
          <w:bCs/>
          <w:color w:val="auto"/>
          <w:w w:val="95"/>
          <w:sz w:val="30"/>
          <w:szCs w:val="30"/>
          <w:highlight w:val="none"/>
        </w:rPr>
      </w:pPr>
    </w:p>
    <w:p>
      <w:pPr>
        <w:pStyle w:val="43"/>
        <w:snapToGrid w:val="0"/>
        <w:spacing w:line="360" w:lineRule="auto"/>
        <w:ind w:firstLine="841" w:firstLineChars="294"/>
        <w:rPr>
          <w:rFonts w:ascii="Times New Roman" w:hAnsi="Times New Roman"/>
          <w:b/>
          <w:bCs/>
          <w:color w:val="auto"/>
          <w:w w:val="95"/>
          <w:sz w:val="30"/>
          <w:szCs w:val="30"/>
          <w:highlight w:val="none"/>
        </w:rPr>
      </w:pPr>
    </w:p>
    <w:p>
      <w:pPr>
        <w:pStyle w:val="43"/>
        <w:snapToGrid w:val="0"/>
        <w:spacing w:line="360" w:lineRule="auto"/>
        <w:ind w:firstLine="841" w:firstLineChars="294"/>
        <w:rPr>
          <w:rFonts w:ascii="Times New Roman" w:hAnsi="Times New Roman"/>
          <w:b/>
          <w:bCs/>
          <w:color w:val="auto"/>
          <w:w w:val="95"/>
          <w:sz w:val="30"/>
          <w:szCs w:val="30"/>
          <w:highlight w:val="none"/>
        </w:rPr>
      </w:pPr>
    </w:p>
    <w:p>
      <w:pPr>
        <w:pStyle w:val="43"/>
        <w:snapToGrid w:val="0"/>
        <w:spacing w:line="360" w:lineRule="auto"/>
        <w:ind w:firstLine="841" w:firstLineChars="294"/>
        <w:rPr>
          <w:rFonts w:ascii="Times New Roman" w:hAnsi="Times New Roman"/>
          <w:b/>
          <w:bCs/>
          <w:color w:val="auto"/>
          <w:w w:val="95"/>
          <w:sz w:val="30"/>
          <w:szCs w:val="30"/>
          <w:highlight w:val="none"/>
        </w:rPr>
      </w:pPr>
    </w:p>
    <w:p>
      <w:pPr>
        <w:pStyle w:val="43"/>
        <w:snapToGrid w:val="0"/>
        <w:spacing w:line="360" w:lineRule="auto"/>
        <w:ind w:firstLine="841" w:firstLineChars="294"/>
        <w:rPr>
          <w:rFonts w:ascii="Times New Roman" w:hAnsi="Times New Roman"/>
          <w:b/>
          <w:bCs/>
          <w:color w:val="auto"/>
          <w:w w:val="95"/>
          <w:sz w:val="30"/>
          <w:szCs w:val="30"/>
          <w:highlight w:val="none"/>
        </w:rPr>
      </w:pPr>
    </w:p>
    <w:p>
      <w:pPr>
        <w:pStyle w:val="43"/>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rFonts w:hint="eastAsia" w:eastAsia="宋体"/>
          <w:b/>
          <w:bCs/>
          <w:color w:val="auto"/>
          <w:w w:val="95"/>
          <w:sz w:val="32"/>
          <w:szCs w:val="32"/>
          <w:highlight w:val="none"/>
          <w:lang w:eastAsia="zh-CN"/>
        </w:rPr>
      </w:pPr>
      <w:r>
        <w:rPr>
          <w:rFonts w:hint="eastAsia"/>
          <w:b/>
          <w:bCs/>
          <w:color w:val="auto"/>
          <w:w w:val="95"/>
          <w:sz w:val="32"/>
          <w:szCs w:val="32"/>
          <w:highlight w:val="none"/>
          <w:lang w:eastAsia="zh-CN"/>
        </w:rPr>
        <w:t>杭州市妇产科医院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widowControl/>
        <w:autoSpaceDE w:val="0"/>
        <w:autoSpaceDN w:val="0"/>
        <w:jc w:val="center"/>
        <w:textAlignment w:val="bottom"/>
        <w:rPr>
          <w:b/>
          <w:bCs/>
          <w:color w:val="auto"/>
          <w:w w:val="95"/>
          <w:sz w:val="32"/>
          <w:szCs w:val="32"/>
          <w:highlight w:val="none"/>
        </w:rPr>
      </w:pPr>
    </w:p>
    <w:p>
      <w:pPr>
        <w:snapToGrid w:val="0"/>
        <w:spacing w:line="360" w:lineRule="auto"/>
        <w:jc w:val="center"/>
        <w:rPr>
          <w:color w:val="auto"/>
          <w:sz w:val="30"/>
          <w:szCs w:val="20"/>
          <w:highlight w:val="none"/>
        </w:rPr>
      </w:pPr>
      <w:r>
        <w:rPr>
          <w:rFonts w:hint="eastAsia"/>
          <w:b/>
          <w:bCs/>
          <w:color w:val="auto"/>
          <w:w w:val="95"/>
          <w:sz w:val="32"/>
          <w:szCs w:val="32"/>
          <w:highlight w:val="none"/>
          <w:lang w:eastAsia="zh-CN"/>
        </w:rPr>
        <w:t>2025</w:t>
      </w:r>
      <w:r>
        <w:rPr>
          <w:rFonts w:hint="eastAsia"/>
          <w:b/>
          <w:bCs/>
          <w:color w:val="auto"/>
          <w:w w:val="95"/>
          <w:sz w:val="32"/>
          <w:szCs w:val="32"/>
          <w:highlight w:val="none"/>
        </w:rPr>
        <w:t>年</w:t>
      </w:r>
      <w:r>
        <w:rPr>
          <w:rFonts w:hint="eastAsia"/>
          <w:b/>
          <w:bCs/>
          <w:color w:val="auto"/>
          <w:w w:val="95"/>
          <w:sz w:val="32"/>
          <w:szCs w:val="32"/>
          <w:highlight w:val="none"/>
          <w:lang w:val="en-US" w:eastAsia="zh-CN"/>
        </w:rPr>
        <w:t>3</w:t>
      </w:r>
      <w:r>
        <w:rPr>
          <w:rFonts w:hint="eastAsia"/>
          <w:b/>
          <w:bCs/>
          <w:color w:val="auto"/>
          <w:w w:val="95"/>
          <w:sz w:val="32"/>
          <w:szCs w:val="32"/>
          <w:highlight w:val="none"/>
        </w:rPr>
        <w:t>月</w:t>
      </w:r>
    </w:p>
    <w:p>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pPr>
        <w:pStyle w:val="58"/>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1"/>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8"/>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1"/>
          <w:rFonts w:hint="eastAsia" w:ascii="Times New Roman" w:hAnsi="Times New Roman"/>
          <w:b w:val="0"/>
          <w:color w:val="auto"/>
          <w:sz w:val="28"/>
          <w:szCs w:val="28"/>
          <w:highlight w:val="none"/>
        </w:rPr>
        <w:t>供应商</w:t>
      </w:r>
      <w:r>
        <w:rPr>
          <w:rStyle w:val="91"/>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8"/>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1"/>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8"/>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1"/>
          <w:rFonts w:ascii="Times New Roman" w:hAnsi="Times New Roman"/>
          <w:b w:val="0"/>
          <w:color w:val="auto"/>
          <w:sz w:val="28"/>
          <w:szCs w:val="28"/>
          <w:highlight w:val="none"/>
        </w:rPr>
        <w:t xml:space="preserve">第三章  </w:t>
      </w:r>
      <w:r>
        <w:rPr>
          <w:rStyle w:val="91"/>
          <w:rFonts w:hint="eastAsia" w:ascii="Times New Roman" w:hAnsi="Times New Roman"/>
          <w:b w:val="0"/>
          <w:color w:val="auto"/>
          <w:sz w:val="28"/>
          <w:szCs w:val="28"/>
          <w:highlight w:val="none"/>
        </w:rPr>
        <w:t>供应商</w:t>
      </w:r>
      <w:r>
        <w:rPr>
          <w:rStyle w:val="91"/>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8"/>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1"/>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8"/>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1"/>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8"/>
        <w:spacing w:line="480" w:lineRule="auto"/>
        <w:rPr>
          <w:rFonts w:hint="default" w:ascii="Times New Roman" w:hAnsi="Times New Roman"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1"/>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45</w:t>
      </w:r>
    </w:p>
    <w:p>
      <w:pPr>
        <w:pStyle w:val="4"/>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  招标公告</w:t>
      </w:r>
      <w:bookmarkEnd w:id="0"/>
      <w:bookmarkEnd w:id="1"/>
    </w:p>
    <w:p>
      <w:pPr>
        <w:spacing w:line="360" w:lineRule="auto"/>
        <w:ind w:firstLine="420" w:firstLineChars="200"/>
        <w:rPr>
          <w:color w:val="auto"/>
          <w:highlight w:val="none"/>
        </w:rPr>
      </w:pPr>
      <w:r>
        <w:rPr>
          <w:color w:val="auto"/>
          <w:highlight w:val="none"/>
        </w:rPr>
        <w:t>项目概况</w:t>
      </w:r>
    </w:p>
    <w:p>
      <w:pPr>
        <w:spacing w:line="360" w:lineRule="auto"/>
        <w:ind w:firstLine="420" w:firstLineChars="200"/>
        <w:rPr>
          <w:color w:val="auto"/>
          <w:highlight w:val="none"/>
        </w:rPr>
      </w:pPr>
      <w:r>
        <w:rPr>
          <w:rFonts w:hint="eastAsia"/>
          <w:color w:val="auto"/>
          <w:highlight w:val="none"/>
          <w:lang w:eastAsia="zh-CN"/>
        </w:rPr>
        <w:t>杭州市妇产科医院全院叫号系统</w:t>
      </w:r>
      <w:r>
        <w:rPr>
          <w:rFonts w:hint="eastAsia"/>
          <w:color w:val="auto"/>
          <w:highlight w:val="none"/>
        </w:rPr>
        <w:tab/>
      </w:r>
      <w:r>
        <w:rPr>
          <w:rFonts w:hint="eastAsia"/>
          <w:color w:val="auto"/>
          <w:highlight w:val="none"/>
        </w:rPr>
        <w:t>项目招标项目的潜在投标人应在乐采云平台（http://www.lecaiyun.com）线上获取获取（下载）招标文件，并于 </w:t>
      </w:r>
      <w:r>
        <w:rPr>
          <w:rFonts w:hint="eastAsia"/>
          <w:color w:val="auto"/>
          <w:highlight w:val="none"/>
          <w:lang w:eastAsia="zh-CN"/>
        </w:rPr>
        <w:t>2025</w:t>
      </w:r>
      <w:r>
        <w:rPr>
          <w:rFonts w:hint="eastAsia"/>
          <w:color w:val="auto"/>
          <w:highlight w:val="none"/>
        </w:rPr>
        <w:t>年</w:t>
      </w:r>
      <w:r>
        <w:rPr>
          <w:rFonts w:hint="eastAsia"/>
          <w:color w:val="auto"/>
          <w:highlight w:val="none"/>
          <w:lang w:eastAsia="zh-CN"/>
        </w:rPr>
        <w:t>4月2</w:t>
      </w:r>
      <w:r>
        <w:rPr>
          <w:rFonts w:hint="eastAsia"/>
          <w:color w:val="auto"/>
          <w:highlight w:val="none"/>
        </w:rPr>
        <w:t xml:space="preserve">日 </w:t>
      </w:r>
      <w:r>
        <w:rPr>
          <w:rFonts w:hint="eastAsia"/>
          <w:color w:val="auto"/>
          <w:highlight w:val="none"/>
          <w:lang w:eastAsia="zh-CN"/>
        </w:rPr>
        <w:t>9:30</w:t>
      </w:r>
      <w:r>
        <w:rPr>
          <w:rFonts w:hint="eastAsia"/>
          <w:color w:val="auto"/>
          <w:highlight w:val="none"/>
        </w:rPr>
        <w:t>（北京时间）前递交（上传）投标文件。</w:t>
      </w:r>
    </w:p>
    <w:p>
      <w:pPr>
        <w:pStyle w:val="3"/>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3"/>
        <w:spacing w:before="0" w:beforeAutospacing="0" w:after="0" w:afterAutospacing="0" w:line="360" w:lineRule="auto"/>
        <w:ind w:firstLine="420" w:firstLineChars="20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ZJ-2530534</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项目名称：</w:t>
      </w:r>
      <w:r>
        <w:rPr>
          <w:rFonts w:hint="eastAsia" w:ascii="Times New Roman" w:hAnsi="Times New Roman"/>
          <w:color w:val="auto"/>
          <w:kern w:val="2"/>
          <w:sz w:val="21"/>
          <w:highlight w:val="none"/>
          <w:lang w:eastAsia="zh-CN"/>
        </w:rPr>
        <w:t>杭州市妇产科医院全院叫号系统</w:t>
      </w:r>
      <w:r>
        <w:rPr>
          <w:rFonts w:hint="eastAsia" w:ascii="Times New Roman" w:hAnsi="Times New Roman"/>
          <w:color w:val="auto"/>
          <w:kern w:val="2"/>
          <w:sz w:val="21"/>
          <w:highlight w:val="none"/>
        </w:rPr>
        <w:t>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预算金额（元）：</w:t>
      </w:r>
      <w:r>
        <w:rPr>
          <w:rFonts w:hint="eastAsia" w:ascii="Times New Roman" w:hAnsi="Times New Roman"/>
          <w:color w:val="auto"/>
          <w:kern w:val="2"/>
          <w:sz w:val="21"/>
          <w:highlight w:val="none"/>
          <w:lang w:val="en-US" w:eastAsia="zh-CN"/>
        </w:rPr>
        <w:t>29</w:t>
      </w:r>
      <w:r>
        <w:rPr>
          <w:rFonts w:hint="eastAsia" w:ascii="Times New Roman" w:hAnsi="Times New Roman"/>
          <w:color w:val="auto"/>
          <w:kern w:val="2"/>
          <w:sz w:val="21"/>
          <w:highlight w:val="none"/>
        </w:rPr>
        <w:t>0000</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最高限价（元）：</w:t>
      </w:r>
      <w:r>
        <w:rPr>
          <w:rFonts w:hint="eastAsia" w:ascii="Times New Roman" w:hAnsi="Times New Roman"/>
          <w:color w:val="auto"/>
          <w:kern w:val="2"/>
          <w:sz w:val="21"/>
          <w:highlight w:val="none"/>
          <w:lang w:val="en-US" w:eastAsia="zh-CN"/>
        </w:rPr>
        <w:t>290000</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标项名称: </w:t>
      </w:r>
      <w:r>
        <w:rPr>
          <w:rFonts w:hint="eastAsia" w:ascii="Times New Roman" w:hAnsi="Times New Roman"/>
          <w:color w:val="auto"/>
          <w:kern w:val="2"/>
          <w:sz w:val="21"/>
          <w:highlight w:val="none"/>
          <w:lang w:eastAsia="zh-CN"/>
        </w:rPr>
        <w:t>杭州市妇产科医院全院叫号系统</w:t>
      </w: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数量: 1年</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预算金额（元）：</w:t>
      </w:r>
      <w:r>
        <w:rPr>
          <w:rFonts w:hint="eastAsia" w:ascii="Times New Roman" w:hAnsi="Times New Roman"/>
          <w:color w:val="auto"/>
          <w:kern w:val="2"/>
          <w:sz w:val="21"/>
          <w:highlight w:val="none"/>
          <w:lang w:val="en-US" w:eastAsia="zh-CN"/>
        </w:rPr>
        <w:t>290000</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简要规格描述或项目基本概况介绍、用途：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本项目（否）接受联合体投标。        </w:t>
      </w:r>
    </w:p>
    <w:p>
      <w:pPr>
        <w:pStyle w:val="3"/>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3"/>
        <w:spacing w:before="0" w:beforeAutospacing="0" w:after="0" w:afterAutospacing="0" w:line="360" w:lineRule="auto"/>
        <w:ind w:left="420" w:leftChars="200"/>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【标项1】</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本项目的特定资格要求：无。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时间：</w:t>
      </w:r>
      <w:r>
        <w:rPr>
          <w:rFonts w:hint="eastAsia" w:ascii="Times New Roman" w:hAnsi="Times New Roman"/>
          <w:color w:val="auto"/>
          <w:kern w:val="2"/>
          <w:sz w:val="21"/>
          <w:highlight w:val="none"/>
          <w:lang w:eastAsia="zh-CN"/>
        </w:rPr>
        <w:t>2025</w:t>
      </w:r>
      <w:r>
        <w:rPr>
          <w:rFonts w:hint="eastAsia" w:ascii="Times New Roman" w:hAnsi="Times New Roman"/>
          <w:color w:val="auto"/>
          <w:kern w:val="2"/>
          <w:sz w:val="21"/>
          <w:highlight w:val="none"/>
        </w:rPr>
        <w:t>年</w:t>
      </w:r>
      <w:r>
        <w:rPr>
          <w:rFonts w:hint="eastAsia" w:ascii="Times New Roman" w:hAnsi="Times New Roman"/>
          <w:color w:val="auto"/>
          <w:kern w:val="2"/>
          <w:sz w:val="21"/>
          <w:highlight w:val="none"/>
          <w:lang w:val="en-US" w:eastAsia="zh-CN"/>
        </w:rPr>
        <w:t>3</w:t>
      </w:r>
      <w:r>
        <w:rPr>
          <w:rFonts w:hint="eastAsia" w:ascii="Times New Roman" w:hAnsi="Times New Roman"/>
          <w:color w:val="auto"/>
          <w:kern w:val="2"/>
          <w:sz w:val="21"/>
          <w:highlight w:val="none"/>
          <w:lang w:eastAsia="zh-CN"/>
        </w:rPr>
        <w:t>月</w:t>
      </w:r>
      <w:r>
        <w:rPr>
          <w:rFonts w:hint="eastAsia" w:ascii="Times New Roman" w:hAnsi="Times New Roman"/>
          <w:color w:val="auto"/>
          <w:kern w:val="2"/>
          <w:sz w:val="21"/>
          <w:highlight w:val="none"/>
          <w:lang w:val="en-US" w:eastAsia="zh-CN"/>
        </w:rPr>
        <w:t>13</w:t>
      </w:r>
      <w:r>
        <w:rPr>
          <w:rFonts w:hint="eastAsia" w:ascii="Times New Roman" w:hAnsi="Times New Roman"/>
          <w:color w:val="auto"/>
          <w:kern w:val="2"/>
          <w:sz w:val="21"/>
          <w:highlight w:val="none"/>
        </w:rPr>
        <w:t>日至</w:t>
      </w:r>
      <w:r>
        <w:rPr>
          <w:rFonts w:hint="eastAsia" w:ascii="Times New Roman" w:hAnsi="Times New Roman"/>
          <w:color w:val="auto"/>
          <w:kern w:val="2"/>
          <w:sz w:val="21"/>
          <w:highlight w:val="none"/>
          <w:lang w:eastAsia="zh-CN"/>
        </w:rPr>
        <w:t>2025</w:t>
      </w:r>
      <w:r>
        <w:rPr>
          <w:rFonts w:hint="eastAsia" w:ascii="Times New Roman" w:hAnsi="Times New Roman"/>
          <w:color w:val="auto"/>
          <w:kern w:val="2"/>
          <w:sz w:val="21"/>
          <w:highlight w:val="none"/>
        </w:rPr>
        <w:t>年</w:t>
      </w:r>
      <w:r>
        <w:rPr>
          <w:rFonts w:hint="eastAsia" w:ascii="Times New Roman" w:hAnsi="Times New Roman"/>
          <w:color w:val="auto"/>
          <w:kern w:val="2"/>
          <w:sz w:val="21"/>
          <w:highlight w:val="none"/>
          <w:lang w:eastAsia="zh-CN"/>
        </w:rPr>
        <w:t>4月2</w:t>
      </w:r>
      <w:r>
        <w:rPr>
          <w:rFonts w:hint="eastAsia" w:ascii="Times New Roman" w:hAnsi="Times New Roman"/>
          <w:color w:val="auto"/>
          <w:kern w:val="2"/>
          <w:sz w:val="21"/>
          <w:highlight w:val="none"/>
        </w:rPr>
        <w:t>日，每天上午00:00至12:00，下午12:00至23:59（北京时间，法定节假日除外）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w:t>
      </w:r>
      <w:r>
        <w:rPr>
          <w:rFonts w:hint="eastAsia" w:ascii="Times New Roman" w:hAnsi="Times New Roman"/>
          <w:color w:val="auto"/>
          <w:kern w:val="2"/>
          <w:sz w:val="21"/>
          <w:highlight w:val="none"/>
          <w:lang w:eastAsia="zh-CN"/>
        </w:rPr>
        <w:t>2025</w:t>
      </w:r>
      <w:r>
        <w:rPr>
          <w:rFonts w:hint="eastAsia" w:ascii="Times New Roman" w:hAnsi="Times New Roman"/>
          <w:color w:val="auto"/>
          <w:kern w:val="2"/>
          <w:sz w:val="21"/>
          <w:highlight w:val="none"/>
        </w:rPr>
        <w:t>年</w:t>
      </w:r>
      <w:r>
        <w:rPr>
          <w:rFonts w:hint="eastAsia" w:ascii="Times New Roman" w:hAnsi="Times New Roman"/>
          <w:color w:val="auto"/>
          <w:kern w:val="2"/>
          <w:sz w:val="21"/>
          <w:highlight w:val="none"/>
          <w:lang w:eastAsia="zh-CN"/>
        </w:rPr>
        <w:t>4月2</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9:30</w:t>
      </w:r>
      <w:r>
        <w:rPr>
          <w:rFonts w:hint="eastAsia" w:ascii="Times New Roman" w:hAnsi="Times New Roman"/>
          <w:color w:val="auto"/>
          <w:kern w:val="2"/>
          <w:sz w:val="21"/>
          <w:highlight w:val="none"/>
        </w:rPr>
        <w:t>（北京时间）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投标地点（网址）：乐采云平台（http://www.lecaiyun.com）        </w:t>
      </w:r>
    </w:p>
    <w:p>
      <w:pPr>
        <w:pStyle w:val="3"/>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w:t>
      </w:r>
      <w:r>
        <w:rPr>
          <w:rFonts w:hint="eastAsia" w:ascii="Times New Roman" w:hAnsi="Times New Roman"/>
          <w:color w:val="auto"/>
          <w:kern w:val="2"/>
          <w:sz w:val="21"/>
          <w:highlight w:val="none"/>
          <w:lang w:eastAsia="zh-CN"/>
        </w:rPr>
        <w:t>2025</w:t>
      </w:r>
      <w:r>
        <w:rPr>
          <w:rFonts w:hint="eastAsia" w:ascii="Times New Roman" w:hAnsi="Times New Roman"/>
          <w:color w:val="auto"/>
          <w:kern w:val="2"/>
          <w:sz w:val="21"/>
          <w:highlight w:val="none"/>
        </w:rPr>
        <w:t>年</w:t>
      </w:r>
      <w:r>
        <w:rPr>
          <w:rFonts w:hint="eastAsia" w:ascii="Times New Roman" w:hAnsi="Times New Roman"/>
          <w:color w:val="auto"/>
          <w:kern w:val="2"/>
          <w:sz w:val="21"/>
          <w:highlight w:val="none"/>
          <w:lang w:eastAsia="zh-CN"/>
        </w:rPr>
        <w:t>4月2</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9:30</w:t>
      </w:r>
      <w:r>
        <w:rPr>
          <w:rFonts w:hint="eastAsia" w:ascii="Times New Roman" w:hAnsi="Times New Roman"/>
          <w:color w:val="auto"/>
          <w:kern w:val="2"/>
          <w:sz w:val="21"/>
          <w:highlight w:val="none"/>
        </w:rPr>
        <w:t>        </w:t>
      </w:r>
    </w:p>
    <w:p>
      <w:pPr>
        <w:pStyle w:val="3"/>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（1）投标事宜</w:t>
      </w:r>
    </w:p>
    <w:p>
      <w:pPr>
        <w:pStyle w:val="3"/>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（5）本项目为非政府采购项目。</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color w:val="auto"/>
          <w:highlight w:val="none"/>
        </w:rPr>
        <w:t>（6）</w:t>
      </w:r>
      <w:r>
        <w:rPr>
          <w:rFonts w:hint="eastAsia" w:ascii="宋体" w:hAnsi="宋体" w:cs="宋体"/>
          <w:color w:val="auto"/>
          <w:kern w:val="0"/>
          <w:szCs w:val="21"/>
          <w:highlight w:val="none"/>
        </w:rPr>
        <w:t>质疑联系人：</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招标人监察室联系人：汪主任；联系电话：0571-56005566</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3"/>
        <w:spacing w:before="0" w:beforeAutospacing="0" w:after="0" w:afterAutospacing="0" w:line="360" w:lineRule="auto"/>
        <w:ind w:firstLine="210" w:firstLineChars="100"/>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3"/>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1.采购人信息        </w:t>
      </w:r>
    </w:p>
    <w:p>
      <w:pPr>
        <w:pStyle w:val="3"/>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名    称：</w:t>
      </w:r>
      <w:r>
        <w:rPr>
          <w:rFonts w:hint="eastAsia" w:ascii="Times New Roman" w:hAnsi="Times New Roman"/>
          <w:color w:val="auto"/>
          <w:kern w:val="2"/>
          <w:sz w:val="21"/>
          <w:highlight w:val="none"/>
          <w:lang w:eastAsia="zh-CN"/>
        </w:rPr>
        <w:t>杭州市妇产科医院</w:t>
      </w:r>
      <w:r>
        <w:rPr>
          <w:rFonts w:hint="eastAsia" w:ascii="Times New Roman" w:hAnsi="Times New Roman"/>
          <w:color w:val="auto"/>
          <w:kern w:val="2"/>
          <w:sz w:val="21"/>
          <w:highlight w:val="none"/>
        </w:rPr>
        <w:t>         </w:t>
      </w:r>
    </w:p>
    <w:p>
      <w:pPr>
        <w:pStyle w:val="3"/>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地    址：</w:t>
      </w:r>
      <w:r>
        <w:rPr>
          <w:rFonts w:hint="eastAsia" w:ascii="Times New Roman" w:hAnsi="Times New Roman"/>
          <w:color w:val="auto"/>
          <w:kern w:val="2"/>
          <w:sz w:val="21"/>
          <w:highlight w:val="none"/>
          <w:lang w:eastAsia="zh-CN"/>
        </w:rPr>
        <w:t>杭州市鲲鹏路369号</w:t>
      </w:r>
      <w:r>
        <w:rPr>
          <w:rFonts w:hint="eastAsia" w:ascii="Times New Roman" w:hAnsi="Times New Roman"/>
          <w:color w:val="auto"/>
          <w:kern w:val="2"/>
          <w:sz w:val="21"/>
          <w:highlight w:val="none"/>
        </w:rPr>
        <w:t>        </w:t>
      </w:r>
    </w:p>
    <w:p>
      <w:pPr>
        <w:pStyle w:val="3"/>
        <w:spacing w:before="0" w:beforeAutospacing="0" w:after="0" w:afterAutospacing="0" w:line="360" w:lineRule="auto"/>
        <w:ind w:firstLine="420" w:firstLineChars="200"/>
        <w:jc w:val="both"/>
        <w:rPr>
          <w:rFonts w:hint="eastAsia" w:ascii="Times New Roman" w:hAnsi="Times New Roman" w:eastAsia="宋体" w:cs="Times New Roman"/>
          <w:color w:val="auto"/>
          <w:kern w:val="2"/>
          <w:sz w:val="21"/>
          <w:highlight w:val="none"/>
          <w:lang w:eastAsia="zh-CN"/>
        </w:rPr>
      </w:pPr>
      <w:r>
        <w:rPr>
          <w:rFonts w:hint="eastAsia" w:ascii="Times New Roman" w:hAnsi="Times New Roman" w:eastAsia="宋体" w:cs="Times New Roman"/>
          <w:color w:val="auto"/>
          <w:kern w:val="2"/>
          <w:sz w:val="21"/>
          <w:highlight w:val="none"/>
        </w:rPr>
        <w:t>联系人： 宣主任</w:t>
      </w:r>
    </w:p>
    <w:p>
      <w:pPr>
        <w:pStyle w:val="3"/>
        <w:spacing w:before="0" w:beforeAutospacing="0" w:after="0" w:afterAutospacing="0" w:line="360" w:lineRule="auto"/>
        <w:ind w:firstLine="420" w:firstLineChars="200"/>
        <w:jc w:val="both"/>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联系方式：0571-56005099</w:t>
      </w:r>
      <w:r>
        <w:rPr>
          <w:rFonts w:hint="eastAsia" w:ascii="Times New Roman" w:hAnsi="Times New Roman" w:eastAsia="宋体" w:cs="Times New Roman"/>
          <w:color w:val="auto"/>
          <w:kern w:val="2"/>
          <w:sz w:val="21"/>
          <w:highlight w:val="none"/>
          <w:lang w:eastAsia="zh-CN"/>
        </w:rPr>
        <w:t xml:space="preserve"> </w:t>
      </w:r>
      <w:r>
        <w:rPr>
          <w:rFonts w:hint="eastAsia" w:ascii="Times New Roman" w:hAnsi="Times New Roman" w:eastAsia="宋体" w:cs="Times New Roman"/>
          <w:color w:val="auto"/>
          <w:kern w:val="2"/>
          <w:sz w:val="21"/>
          <w:highlight w:val="none"/>
        </w:rPr>
        <w:t>       </w:t>
      </w:r>
    </w:p>
    <w:p>
      <w:pPr>
        <w:pStyle w:val="3"/>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2.采购代理机构信息        </w:t>
      </w:r>
    </w:p>
    <w:p>
      <w:pPr>
        <w:pStyle w:val="3"/>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 浙江国际招投标有限公司                   </w:t>
      </w:r>
    </w:p>
    <w:p>
      <w:pPr>
        <w:pStyle w:val="3"/>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址：浙江省杭州市西湖区文三路90号东部软件园1号楼3楼                     </w:t>
      </w:r>
    </w:p>
    <w:p>
      <w:pPr>
        <w:pStyle w:val="3"/>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项目联系人：苑洪春</w:t>
      </w:r>
    </w:p>
    <w:p>
      <w:pPr>
        <w:pStyle w:val="3"/>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联系方式：0571-81061814    </w:t>
      </w:r>
    </w:p>
    <w:p>
      <w:pPr>
        <w:pStyle w:val="4"/>
        <w:snapToGrid w:val="0"/>
        <w:rPr>
          <w:rFonts w:ascii="Times New Roman" w:hAnsi="Times New Roman" w:eastAsia="宋体"/>
          <w:color w:val="auto"/>
          <w:highlight w:val="none"/>
        </w:rPr>
      </w:pP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1"/>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default" w:ascii="Times New Roman" w:hAnsi="Times New Roman"/>
                <w:color w:val="auto"/>
                <w:highlight w:val="none"/>
              </w:rPr>
              <w:t>名称</w:t>
            </w:r>
          </w:p>
        </w:tc>
        <w:tc>
          <w:tcPr>
            <w:tcW w:w="6604"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default"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采购人</w:t>
            </w:r>
          </w:p>
        </w:tc>
        <w:tc>
          <w:tcPr>
            <w:tcW w:w="6604"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采购人：杭州市妇产科医院</w:t>
            </w:r>
          </w:p>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采购人地址：杭州市鲲鹏路369号</w:t>
            </w:r>
          </w:p>
          <w:p>
            <w:pPr>
              <w:pStyle w:val="126"/>
              <w:keepNext w:val="0"/>
              <w:keepLines w:val="0"/>
              <w:suppressLineNumbers w:val="0"/>
              <w:snapToGrid w:val="0"/>
              <w:spacing w:before="0" w:beforeAutospacing="0" w:after="0" w:afterAutospacing="0" w:line="360" w:lineRule="auto"/>
              <w:ind w:left="0" w:right="0" w:firstLine="0" w:firstLineChars="0"/>
              <w:rPr>
                <w:rFonts w:hint="default" w:ascii="宋体" w:hAnsi="宋体" w:cs="宋体"/>
                <w:color w:val="auto"/>
                <w:highlight w:val="none"/>
              </w:rPr>
            </w:pPr>
            <w:r>
              <w:rPr>
                <w:rFonts w:hint="eastAsia" w:ascii="宋体" w:hAnsi="宋体" w:cs="宋体"/>
                <w:color w:val="auto"/>
                <w:highlight w:val="none"/>
              </w:rPr>
              <w:t>联系人：宣主任</w:t>
            </w:r>
          </w:p>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kern w:val="0"/>
                <w:szCs w:val="21"/>
                <w:highlight w:val="none"/>
              </w:rPr>
              <w:t>0571-56005099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highlight w:val="none"/>
              </w:rPr>
              <w:t>采购代理机构</w:t>
            </w:r>
          </w:p>
        </w:tc>
        <w:tc>
          <w:tcPr>
            <w:tcW w:w="6604"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名称：浙江国际招投标有限公司</w:t>
            </w:r>
          </w:p>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地址：杭州市文三路90号东部软件园1号楼3楼</w:t>
            </w:r>
          </w:p>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联系人：苑洪春</w:t>
            </w:r>
          </w:p>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联系电话：0571-81061814，13065702633</w:t>
            </w:r>
          </w:p>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邮编：310012</w:t>
            </w:r>
          </w:p>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踏勘现场</w:t>
            </w:r>
          </w:p>
        </w:tc>
        <w:tc>
          <w:tcPr>
            <w:tcW w:w="660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szCs w:val="21"/>
                <w:highlight w:val="none"/>
              </w:rPr>
            </w:pPr>
            <w:r>
              <w:rPr>
                <w:rFonts w:hint="default" w:ascii="Times New Roman" w:hAnsi="Times New Roman"/>
                <w:color w:val="auto"/>
                <w:szCs w:val="21"/>
                <w:highlight w:val="none"/>
              </w:rPr>
              <w:t>资金来源</w:t>
            </w:r>
          </w:p>
        </w:tc>
        <w:tc>
          <w:tcPr>
            <w:tcW w:w="6604" w:type="dxa"/>
            <w:vAlign w:val="center"/>
          </w:tcPr>
          <w:p>
            <w:pPr>
              <w:keepNext w:val="0"/>
              <w:keepLines w:val="0"/>
              <w:suppressLineNumbers w:val="0"/>
              <w:autoSpaceDE w:val="0"/>
              <w:autoSpaceDN w:val="0"/>
              <w:adjustRightInd w:val="0"/>
              <w:snapToGrid w:val="0"/>
              <w:spacing w:before="0" w:beforeAutospacing="0" w:after="0" w:afterAutospacing="0" w:line="360" w:lineRule="auto"/>
              <w:ind w:left="0"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投标产品主体</w:t>
            </w:r>
          </w:p>
        </w:tc>
        <w:tc>
          <w:tcPr>
            <w:tcW w:w="6604" w:type="dxa"/>
            <w:vAlign w:val="center"/>
          </w:tcPr>
          <w:p>
            <w:pPr>
              <w:keepNext w:val="0"/>
              <w:keepLines w:val="0"/>
              <w:suppressLineNumbers w:val="0"/>
              <w:autoSpaceDE w:val="0"/>
              <w:autoSpaceDN w:val="0"/>
              <w:adjustRightInd w:val="0"/>
              <w:snapToGrid w:val="0"/>
              <w:spacing w:before="0" w:beforeAutospacing="0" w:after="0" w:afterAutospacing="0" w:line="360" w:lineRule="auto"/>
              <w:ind w:left="0"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投标保证金</w:t>
            </w:r>
          </w:p>
        </w:tc>
        <w:tc>
          <w:tcPr>
            <w:tcW w:w="6604"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投标文件有效期</w:t>
            </w:r>
          </w:p>
        </w:tc>
        <w:tc>
          <w:tcPr>
            <w:tcW w:w="6604" w:type="dxa"/>
            <w:vAlign w:val="center"/>
          </w:tcPr>
          <w:p>
            <w:pPr>
              <w:keepNext w:val="0"/>
              <w:keepLines w:val="0"/>
              <w:widowControl/>
              <w:suppressLineNumbers w:val="0"/>
              <w:snapToGrid w:val="0"/>
              <w:spacing w:before="0" w:beforeAutospacing="0" w:after="0" w:afterAutospacing="0" w:line="360" w:lineRule="auto"/>
              <w:ind w:left="0" w:right="0"/>
              <w:rPr>
                <w:rFonts w:hint="default"/>
                <w:color w:val="auto"/>
                <w:highlight w:val="none"/>
              </w:rPr>
            </w:pPr>
            <w:r>
              <w:rPr>
                <w:rFonts w:hint="default"/>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投标截止时间</w:t>
            </w:r>
          </w:p>
        </w:tc>
        <w:tc>
          <w:tcPr>
            <w:tcW w:w="6604"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投标地点</w:t>
            </w:r>
          </w:p>
        </w:tc>
        <w:tc>
          <w:tcPr>
            <w:tcW w:w="6604"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szCs w:val="21"/>
                <w:highlight w:val="none"/>
              </w:rPr>
            </w:pPr>
            <w:r>
              <w:rPr>
                <w:rFonts w:hint="default"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default" w:ascii="Times New Roman" w:hAnsi="Times New Roman"/>
                <w:color w:val="auto"/>
                <w:highlight w:val="none"/>
              </w:rPr>
              <w:t>开标时间和地点</w:t>
            </w:r>
          </w:p>
        </w:tc>
        <w:tc>
          <w:tcPr>
            <w:tcW w:w="6604"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highlight w:val="none"/>
              </w:rPr>
            </w:pPr>
            <w:r>
              <w:rPr>
                <w:rFonts w:hint="default"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snapToGrid w:val="0"/>
                <w:color w:val="auto"/>
                <w:kern w:val="0"/>
                <w:szCs w:val="21"/>
                <w:highlight w:val="none"/>
              </w:rPr>
            </w:pPr>
            <w:r>
              <w:rPr>
                <w:rFonts w:hint="default"/>
                <w:snapToGrid w:val="0"/>
                <w:color w:val="auto"/>
                <w:kern w:val="0"/>
                <w:szCs w:val="21"/>
                <w:highlight w:val="none"/>
              </w:rPr>
              <w:t>投标答疑</w:t>
            </w:r>
          </w:p>
        </w:tc>
        <w:tc>
          <w:tcPr>
            <w:tcW w:w="6604" w:type="dxa"/>
            <w:vAlign w:val="center"/>
          </w:tcPr>
          <w:p>
            <w:pPr>
              <w:keepNext w:val="0"/>
              <w:keepLines w:val="0"/>
              <w:suppressLineNumbers w:val="0"/>
              <w:adjustRightInd w:val="0"/>
              <w:snapToGrid w:val="0"/>
              <w:spacing w:before="0" w:beforeAutospacing="0" w:after="0" w:afterAutospacing="0" w:line="360" w:lineRule="auto"/>
              <w:ind w:left="0" w:right="0"/>
              <w:rPr>
                <w:rFonts w:hint="default"/>
                <w:color w:val="auto"/>
                <w:kern w:val="0"/>
                <w:highlight w:val="none"/>
              </w:rPr>
            </w:pPr>
            <w:r>
              <w:rPr>
                <w:rFonts w:hint="default"/>
                <w:color w:val="auto"/>
                <w:szCs w:val="21"/>
                <w:highlight w:val="none"/>
              </w:rPr>
              <w:t>供应商如认为采购文件表述不清晰的，请于</w:t>
            </w:r>
            <w:r>
              <w:rPr>
                <w:rFonts w:hint="eastAsia"/>
                <w:color w:val="auto"/>
                <w:szCs w:val="21"/>
                <w:highlight w:val="none"/>
                <w:lang w:eastAsia="zh-CN"/>
              </w:rPr>
              <w:t>2025</w:t>
            </w:r>
            <w:r>
              <w:rPr>
                <w:rFonts w:hint="eastAsia"/>
                <w:color w:val="auto"/>
                <w:szCs w:val="21"/>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20</w:t>
            </w:r>
            <w:bookmarkStart w:id="63" w:name="_GoBack"/>
            <w:bookmarkEnd w:id="63"/>
            <w:r>
              <w:rPr>
                <w:rFonts w:hint="eastAsia"/>
                <w:color w:val="auto"/>
                <w:szCs w:val="21"/>
                <w:highlight w:val="none"/>
              </w:rPr>
              <w:t>日</w:t>
            </w:r>
            <w:r>
              <w:rPr>
                <w:rFonts w:hint="default"/>
                <w:color w:val="auto"/>
                <w:szCs w:val="21"/>
                <w:highlight w:val="none"/>
              </w:rPr>
              <w:t>17</w:t>
            </w:r>
            <w:r>
              <w:rPr>
                <w:rFonts w:hint="eastAsia"/>
                <w:color w:val="auto"/>
                <w:szCs w:val="21"/>
                <w:highlight w:val="none"/>
              </w:rPr>
              <w:t>：</w:t>
            </w:r>
            <w:r>
              <w:rPr>
                <w:rFonts w:hint="default"/>
                <w:color w:val="auto"/>
                <w:szCs w:val="21"/>
                <w:highlight w:val="none"/>
              </w:rPr>
              <w:t>00之前将疑问</w:t>
            </w:r>
            <w:r>
              <w:rPr>
                <w:rFonts w:hint="eastAsia"/>
                <w:color w:val="auto"/>
                <w:szCs w:val="21"/>
                <w:highlight w:val="none"/>
              </w:rPr>
              <w:t>发送至该电子邮件（邮箱14847913@qq.com）</w:t>
            </w:r>
            <w:r>
              <w:rPr>
                <w:rFonts w:hint="default"/>
                <w:color w:val="auto"/>
                <w:szCs w:val="21"/>
                <w:highlight w:val="none"/>
              </w:rPr>
              <w:t>。答疑回复内容是采购文件的组成部份，并将以</w:t>
            </w:r>
            <w:r>
              <w:rPr>
                <w:rFonts w:hint="eastAsia"/>
                <w:color w:val="auto"/>
                <w:szCs w:val="21"/>
                <w:highlight w:val="none"/>
              </w:rPr>
              <w:t>更正公告的</w:t>
            </w:r>
            <w:r>
              <w:rPr>
                <w:rFonts w:hint="default"/>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color w:val="auto"/>
                <w:szCs w:val="21"/>
                <w:highlight w:val="none"/>
              </w:rPr>
            </w:pPr>
            <w:r>
              <w:rPr>
                <w:rFonts w:hint="default"/>
                <w:color w:val="auto"/>
                <w:szCs w:val="21"/>
                <w:highlight w:val="none"/>
              </w:rPr>
              <w:t>采购文件的澄清与修改</w:t>
            </w:r>
          </w:p>
        </w:tc>
        <w:tc>
          <w:tcPr>
            <w:tcW w:w="6604" w:type="dxa"/>
            <w:vAlign w:val="center"/>
          </w:tcPr>
          <w:p>
            <w:pPr>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本项目实行电子投标。</w:t>
            </w:r>
          </w:p>
          <w:p>
            <w:pPr>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（1）“电子加密投标文件”是指通过“</w:t>
            </w:r>
            <w:r>
              <w:rPr>
                <w:rFonts w:hint="eastAsia"/>
                <w:color w:val="auto"/>
                <w:szCs w:val="21"/>
                <w:highlight w:val="none"/>
              </w:rPr>
              <w:t>乐采云</w:t>
            </w:r>
            <w:r>
              <w:rPr>
                <w:rFonts w:hint="default"/>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olor w:val="auto"/>
                <w:szCs w:val="21"/>
                <w:highlight w:val="none"/>
              </w:rPr>
            </w:pPr>
            <w:r>
              <w:rPr>
                <w:rFonts w:hint="default"/>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rFonts w:hint="default"/>
                <w:color w:val="auto"/>
                <w:szCs w:val="21"/>
                <w:highlight w:val="none"/>
              </w:rPr>
              <w:t>电子加密投标文件</w:t>
            </w:r>
            <w:r>
              <w:rPr>
                <w:rFonts w:hint="eastAsia"/>
                <w:color w:val="auto"/>
                <w:szCs w:val="21"/>
                <w:highlight w:val="none"/>
              </w:rPr>
              <w:t>解密异常时应急使用</w:t>
            </w:r>
            <w:r>
              <w:rPr>
                <w:rFonts w:hint="default"/>
                <w:color w:val="auto"/>
                <w:szCs w:val="21"/>
                <w:highlight w:val="none"/>
              </w:rPr>
              <w:t>），其他方式编制的备份投标文件视为无效备份投标文件</w:t>
            </w:r>
            <w:r>
              <w:rPr>
                <w:rFonts w:hint="eastAsia"/>
                <w:color w:val="auto"/>
                <w:szCs w:val="21"/>
                <w:highlight w:val="none"/>
              </w:rPr>
              <w:t>。</w:t>
            </w:r>
            <w:r>
              <w:rPr>
                <w:rFonts w:hint="default"/>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6"/>
              <w:keepNext w:val="0"/>
              <w:keepLines w:val="0"/>
              <w:suppressLineNumbers w:val="0"/>
              <w:snapToGrid w:val="0"/>
              <w:spacing w:before="0" w:beforeAutospacing="0" w:after="0" w:afterAutospacing="0" w:line="360" w:lineRule="auto"/>
              <w:ind w:left="0" w:right="0" w:firstLine="0" w:firstLineChars="0"/>
              <w:rPr>
                <w:rFonts w:hint="default"/>
                <w:color w:val="auto"/>
                <w:szCs w:val="21"/>
                <w:highlight w:val="none"/>
              </w:rPr>
            </w:pPr>
            <w:r>
              <w:rPr>
                <w:rFonts w:hint="eastAsia"/>
                <w:color w:val="auto"/>
                <w:szCs w:val="21"/>
                <w:highlight w:val="none"/>
              </w:rPr>
              <w:t>供应商未能在投标截止时间前成功上传电子加密投标文件的投标无效。</w:t>
            </w:r>
          </w:p>
          <w:p>
            <w:pPr>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杭州市文三路90号东部软件园1号楼3楼307室，接收人：苑洪春，电话：0571-81061814</w:t>
            </w:r>
            <w:r>
              <w:rPr>
                <w:rFonts w:hint="eastAsia"/>
                <w:color w:val="auto"/>
                <w:szCs w:val="21"/>
                <w:highlight w:val="none"/>
              </w:rPr>
              <w:t>，以便电子加密投标文件解密异常时应急使用。</w:t>
            </w:r>
          </w:p>
          <w:p>
            <w:pPr>
              <w:pStyle w:val="126"/>
              <w:keepNext w:val="0"/>
              <w:keepLines w:val="0"/>
              <w:suppressLineNumbers w:val="0"/>
              <w:snapToGrid w:val="0"/>
              <w:spacing w:before="0" w:beforeAutospacing="0" w:after="0" w:afterAutospacing="0" w:line="360" w:lineRule="auto"/>
              <w:ind w:left="0" w:right="0" w:firstLine="0" w:firstLineChars="0"/>
              <w:rPr>
                <w:rFonts w:hint="default"/>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6"/>
              <w:keepNext w:val="0"/>
              <w:keepLines w:val="0"/>
              <w:suppressLineNumbers w:val="0"/>
              <w:snapToGrid w:val="0"/>
              <w:spacing w:before="0" w:beforeAutospacing="0" w:after="0" w:afterAutospacing="0" w:line="360" w:lineRule="auto"/>
              <w:ind w:left="0" w:right="0" w:firstLine="0" w:firstLineChars="0"/>
              <w:rPr>
                <w:rFonts w:hint="default"/>
                <w:color w:val="auto"/>
                <w:szCs w:val="21"/>
                <w:highlight w:val="none"/>
              </w:rPr>
            </w:pPr>
            <w:r>
              <w:rPr>
                <w:rFonts w:hint="eastAsia" w:ascii="宋体" w:hAnsi="宋体" w:cs="Courier New"/>
                <w:bCs/>
                <w:color w:val="auto"/>
                <w:szCs w:val="21"/>
                <w:highlight w:val="none"/>
              </w:rPr>
              <w:t>供应商若选择非开标当天递交，请确保在投标截止前一个工作日，将备份投标文件通过快递形式或直接送达采购代理机构处，以便标书解密异常时应急使用（地址：杭州市文三路90号东部软件园1号楼3楼307室，接收人：苑洪春，电话：0571-81061814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center"/>
              <w:rPr>
                <w:rFonts w:hint="default"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pPr>
              <w:pStyle w:val="126"/>
              <w:keepNext w:val="0"/>
              <w:keepLines w:val="0"/>
              <w:suppressLineNumbers w:val="0"/>
              <w:snapToGrid w:val="0"/>
              <w:spacing w:before="0" w:beforeAutospacing="0" w:after="0" w:afterAutospacing="0" w:line="360" w:lineRule="auto"/>
              <w:ind w:left="0" w:right="0" w:firstLine="0" w:firstLineChars="0"/>
              <w:jc w:val="left"/>
              <w:rPr>
                <w:rFonts w:hint="default"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6"/>
              <w:keepNext w:val="0"/>
              <w:keepLines w:val="0"/>
              <w:suppressLineNumbers w:val="0"/>
              <w:snapToGrid w:val="0"/>
              <w:spacing w:before="0" w:beforeAutospacing="0" w:after="0" w:afterAutospacing="0" w:line="360" w:lineRule="auto"/>
              <w:ind w:left="0" w:right="0" w:firstLine="0" w:firstLineChars="0"/>
              <w:rPr>
                <w:rFonts w:hint="default"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17</w:t>
            </w:r>
          </w:p>
        </w:tc>
        <w:tc>
          <w:tcPr>
            <w:tcW w:w="183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snapToGrid w:val="0"/>
                <w:color w:val="auto"/>
                <w:kern w:val="0"/>
                <w:szCs w:val="21"/>
                <w:highlight w:val="none"/>
              </w:rPr>
            </w:pPr>
            <w:r>
              <w:rPr>
                <w:rFonts w:hint="default"/>
                <w:snapToGrid w:val="0"/>
                <w:color w:val="auto"/>
                <w:kern w:val="0"/>
                <w:szCs w:val="21"/>
                <w:highlight w:val="none"/>
              </w:rPr>
              <w:t>质疑</w:t>
            </w:r>
          </w:p>
        </w:tc>
        <w:tc>
          <w:tcPr>
            <w:tcW w:w="6604"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供应商认为</w:t>
            </w:r>
            <w:r>
              <w:rPr>
                <w:rFonts w:hint="eastAsia"/>
                <w:color w:val="auto"/>
                <w:highlight w:val="none"/>
              </w:rPr>
              <w:t>采购文件</w:t>
            </w:r>
            <w:r>
              <w:rPr>
                <w:rFonts w:hint="default"/>
                <w:color w:val="auto"/>
                <w:highlight w:val="none"/>
              </w:rPr>
              <w:t>、采购过程和中标、成交结果使自己的权益受到损害的，可以在知道或者应知其权益受到损害之日起七个工作日内，以书面形式向采购人、采购代理机构提出质疑。</w:t>
            </w:r>
          </w:p>
          <w:p>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供应商应知其权益受到损害之日，是指：</w:t>
            </w:r>
          </w:p>
          <w:p>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rFonts w:hint="default"/>
                <w:color w:val="auto"/>
                <w:highlight w:val="none"/>
              </w:rPr>
              <w:t>；</w:t>
            </w:r>
          </w:p>
          <w:p>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（二）对采购过程提出质疑的，为各采购程序环节结束之日；</w:t>
            </w:r>
          </w:p>
          <w:p>
            <w:pPr>
              <w:keepNext w:val="0"/>
              <w:keepLines w:val="0"/>
              <w:suppressLineNumbers w:val="0"/>
              <w:adjustRightInd w:val="0"/>
              <w:snapToGrid w:val="0"/>
              <w:spacing w:before="0" w:beforeAutospacing="0" w:after="0" w:afterAutospacing="0" w:line="360" w:lineRule="auto"/>
              <w:ind w:left="0" w:right="0"/>
              <w:jc w:val="left"/>
              <w:rPr>
                <w:rFonts w:hint="default"/>
                <w:color w:val="auto"/>
                <w:highlight w:val="none"/>
              </w:rPr>
            </w:pPr>
            <w:r>
              <w:rPr>
                <w:rFonts w:hint="default"/>
                <w:color w:val="auto"/>
                <w:highlight w:val="none"/>
              </w:rPr>
              <w:t>（三）对中标或者成交结果提出质疑的，为中标或者成交结果公告期限届满之日。</w:t>
            </w:r>
          </w:p>
          <w:p>
            <w:pPr>
              <w:keepNext w:val="0"/>
              <w:keepLines w:val="0"/>
              <w:suppressLineNumbers w:val="0"/>
              <w:adjustRightInd w:val="0"/>
              <w:snapToGrid w:val="0"/>
              <w:spacing w:before="0" w:beforeAutospacing="0" w:after="0" w:afterAutospacing="0" w:line="360" w:lineRule="auto"/>
              <w:ind w:left="0" w:right="0"/>
              <w:rPr>
                <w:rFonts w:hint="default"/>
                <w:color w:val="auto"/>
                <w:highlight w:val="none"/>
              </w:rPr>
            </w:pPr>
            <w:r>
              <w:rPr>
                <w:rFonts w:hint="default"/>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18</w:t>
            </w:r>
          </w:p>
        </w:tc>
        <w:tc>
          <w:tcPr>
            <w:tcW w:w="183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snapToGrid w:val="0"/>
                <w:color w:val="auto"/>
                <w:kern w:val="0"/>
                <w:szCs w:val="21"/>
                <w:highlight w:val="none"/>
              </w:rPr>
            </w:pPr>
            <w:r>
              <w:rPr>
                <w:rFonts w:hint="default"/>
                <w:snapToGrid w:val="0"/>
                <w:color w:val="auto"/>
                <w:kern w:val="0"/>
                <w:szCs w:val="21"/>
                <w:highlight w:val="none"/>
              </w:rPr>
              <w:t>投诉</w:t>
            </w:r>
          </w:p>
        </w:tc>
        <w:tc>
          <w:tcPr>
            <w:tcW w:w="6604" w:type="dxa"/>
            <w:vAlign w:val="center"/>
          </w:tcPr>
          <w:p>
            <w:pPr>
              <w:keepNext w:val="0"/>
              <w:keepLines w:val="0"/>
              <w:suppressLineNumbers w:val="0"/>
              <w:adjustRightInd w:val="0"/>
              <w:snapToGrid w:val="0"/>
              <w:spacing w:before="0" w:beforeAutospacing="0" w:after="0" w:afterAutospacing="0" w:line="360" w:lineRule="auto"/>
              <w:ind w:left="0" w:right="0"/>
              <w:rPr>
                <w:rFonts w:hint="default"/>
                <w:color w:val="auto"/>
                <w:highlight w:val="none"/>
              </w:rPr>
            </w:pPr>
            <w:r>
              <w:rPr>
                <w:rFonts w:hint="default"/>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lang w:val="en-US" w:eastAsia="zh-CN"/>
              </w:rPr>
              <w:t>人</w:t>
            </w:r>
            <w:r>
              <w:rPr>
                <w:rFonts w:hint="default"/>
                <w:color w:val="auto"/>
                <w:highlight w:val="none"/>
              </w:rPr>
              <w:t>监督管理部门投诉。</w:t>
            </w:r>
          </w:p>
          <w:p>
            <w:pPr>
              <w:pStyle w:val="4"/>
              <w:keepLines w:val="0"/>
              <w:suppressLineNumbers w:val="0"/>
              <w:spacing w:before="0" w:beforeAutospacing="0" w:after="0" w:afterAutospacing="0"/>
              <w:ind w:left="0" w:right="0"/>
              <w:jc w:val="left"/>
              <w:rPr>
                <w:rFonts w:hint="default"/>
                <w:color w:val="auto"/>
                <w:highlight w:val="none"/>
              </w:rPr>
            </w:pPr>
            <w:r>
              <w:rPr>
                <w:rFonts w:hint="default"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19</w:t>
            </w:r>
          </w:p>
        </w:tc>
        <w:tc>
          <w:tcPr>
            <w:tcW w:w="1830" w:type="dxa"/>
            <w:vAlign w:val="center"/>
          </w:tcPr>
          <w:p>
            <w:pPr>
              <w:keepNext w:val="0"/>
              <w:keepLines w:val="0"/>
              <w:suppressLineNumbers w:val="0"/>
              <w:snapToGrid w:val="0"/>
              <w:spacing w:before="0" w:beforeAutospacing="0" w:after="0" w:afterAutospacing="0" w:line="360" w:lineRule="auto"/>
              <w:ind w:left="0" w:right="0"/>
              <w:jc w:val="left"/>
              <w:rPr>
                <w:rFonts w:hint="default"/>
                <w:color w:val="auto"/>
                <w:szCs w:val="21"/>
                <w:highlight w:val="none"/>
              </w:rPr>
            </w:pPr>
            <w:r>
              <w:rPr>
                <w:rFonts w:hint="default"/>
                <w:color w:val="auto"/>
                <w:szCs w:val="21"/>
                <w:highlight w:val="none"/>
              </w:rPr>
              <w:t>样品</w:t>
            </w:r>
          </w:p>
        </w:tc>
        <w:tc>
          <w:tcPr>
            <w:tcW w:w="660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不要求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20</w:t>
            </w:r>
          </w:p>
        </w:tc>
        <w:tc>
          <w:tcPr>
            <w:tcW w:w="1830" w:type="dxa"/>
            <w:vAlign w:val="center"/>
          </w:tcPr>
          <w:p>
            <w:pPr>
              <w:keepNext w:val="0"/>
              <w:keepLines w:val="0"/>
              <w:suppressLineNumbers w:val="0"/>
              <w:snapToGrid w:val="0"/>
              <w:spacing w:before="0" w:beforeAutospacing="0" w:after="0" w:afterAutospacing="0" w:line="360" w:lineRule="auto"/>
              <w:ind w:left="0" w:right="0"/>
              <w:jc w:val="left"/>
              <w:rPr>
                <w:rFonts w:hint="default"/>
                <w:color w:val="auto"/>
                <w:szCs w:val="21"/>
                <w:highlight w:val="none"/>
              </w:rPr>
            </w:pPr>
            <w:r>
              <w:rPr>
                <w:rFonts w:hint="default"/>
                <w:color w:val="auto"/>
                <w:szCs w:val="21"/>
                <w:highlight w:val="none"/>
              </w:rPr>
              <w:t>演示</w:t>
            </w:r>
          </w:p>
        </w:tc>
        <w:tc>
          <w:tcPr>
            <w:tcW w:w="6604" w:type="dxa"/>
            <w:vAlign w:val="center"/>
          </w:tcPr>
          <w:p>
            <w:pPr>
              <w:keepNext w:val="0"/>
              <w:keepLines w:val="0"/>
              <w:suppressLineNumbers w:val="0"/>
              <w:snapToGrid w:val="0"/>
              <w:spacing w:before="0" w:beforeAutospacing="0" w:after="0" w:afterAutospacing="0" w:line="360" w:lineRule="auto"/>
              <w:ind w:left="0" w:right="0"/>
              <w:rPr>
                <w:rFonts w:hint="eastAsia"/>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w:t>
            </w:r>
            <w:r>
              <w:rPr>
                <w:rFonts w:hint="eastAsia"/>
                <w:color w:val="auto"/>
                <w:highlight w:val="none"/>
                <w:lang w:val="en-US" w:eastAsia="zh-CN"/>
              </w:rPr>
              <w:t>不</w:t>
            </w:r>
            <w:r>
              <w:rPr>
                <w:rFonts w:hint="eastAsia"/>
                <w:color w:val="auto"/>
                <w:highlight w:val="none"/>
              </w:rPr>
              <w:t xml:space="preserve">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21</w:t>
            </w:r>
          </w:p>
        </w:tc>
        <w:tc>
          <w:tcPr>
            <w:tcW w:w="183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（1）以联合体形式投标的，联合体各方的业绩证明材料均认可。</w:t>
            </w:r>
          </w:p>
          <w:p>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22</w:t>
            </w:r>
          </w:p>
        </w:tc>
        <w:tc>
          <w:tcPr>
            <w:tcW w:w="1830"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keepNext w:val="0"/>
              <w:keepLines w:val="0"/>
              <w:suppressLineNumbers w:val="0"/>
              <w:snapToGri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23</w:t>
            </w:r>
          </w:p>
        </w:tc>
        <w:tc>
          <w:tcPr>
            <w:tcW w:w="1830" w:type="dxa"/>
            <w:vAlign w:val="center"/>
          </w:tcPr>
          <w:p>
            <w:pPr>
              <w:keepNext w:val="0"/>
              <w:keepLines w:val="0"/>
              <w:suppressLineNumbers w:val="0"/>
              <w:snapToGrid w:val="0"/>
              <w:spacing w:before="0" w:beforeAutospacing="0" w:after="0" w:afterAutospacing="0" w:line="360" w:lineRule="auto"/>
              <w:ind w:left="0" w:right="0"/>
              <w:jc w:val="left"/>
              <w:rPr>
                <w:rFonts w:hint="default"/>
                <w:color w:val="auto"/>
                <w:kern w:val="0"/>
                <w:highlight w:val="none"/>
              </w:rPr>
            </w:pPr>
            <w:r>
              <w:rPr>
                <w:rFonts w:hint="default"/>
                <w:color w:val="auto"/>
                <w:kern w:val="0"/>
                <w:highlight w:val="none"/>
              </w:rPr>
              <w:t>其他</w:t>
            </w:r>
          </w:p>
        </w:tc>
        <w:tc>
          <w:tcPr>
            <w:tcW w:w="6604" w:type="dxa"/>
            <w:vAlign w:val="center"/>
          </w:tcPr>
          <w:p>
            <w:pPr>
              <w:pStyle w:val="43"/>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napToGrid w:val="0"/>
                <w:color w:val="auto"/>
                <w:kern w:val="0"/>
                <w:highlight w:val="none"/>
              </w:rPr>
            </w:pPr>
            <w:r>
              <w:rPr>
                <w:rFonts w:hint="default" w:ascii="Times New Roman" w:hAnsi="Times New Roman"/>
                <w:color w:val="auto"/>
                <w:highlight w:val="none"/>
              </w:rPr>
              <w:t>（1）</w:t>
            </w:r>
            <w:r>
              <w:rPr>
                <w:rFonts w:hint="default" w:ascii="Times New Roman" w:hAnsi="Times New Roman"/>
                <w:snapToGrid w:val="0"/>
                <w:color w:val="auto"/>
                <w:kern w:val="0"/>
                <w:highlight w:val="none"/>
              </w:rPr>
              <w:t>采购文件中凡标注“▲”的条款均为实质性要求，不响应的投标文件将作无效标处理。</w:t>
            </w:r>
          </w:p>
          <w:p>
            <w:pPr>
              <w:pStyle w:val="43"/>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napToGrid w:val="0"/>
                <w:color w:val="auto"/>
                <w:kern w:val="0"/>
                <w:highlight w:val="none"/>
              </w:rPr>
            </w:pPr>
            <w:r>
              <w:rPr>
                <w:rFonts w:hint="default" w:ascii="Times New Roman" w:hAnsi="Times New Roman"/>
                <w:snapToGrid w:val="0"/>
                <w:color w:val="auto"/>
                <w:kern w:val="0"/>
                <w:highlight w:val="none"/>
              </w:rPr>
              <w:t>（2）</w:t>
            </w:r>
            <w:r>
              <w:rPr>
                <w:rFonts w:hint="default" w:ascii="Times New Roman" w:hAnsi="Times New Roman"/>
                <w:color w:val="auto"/>
                <w:szCs w:val="21"/>
                <w:highlight w:val="none"/>
              </w:rPr>
              <w:t>供应商未上传电子加密投标文件，其投标无效。</w:t>
            </w:r>
          </w:p>
          <w:p>
            <w:pPr>
              <w:pStyle w:val="43"/>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olor w:val="auto"/>
                <w:szCs w:val="21"/>
                <w:highlight w:val="none"/>
              </w:rPr>
            </w:pPr>
            <w:r>
              <w:rPr>
                <w:rFonts w:hint="default"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hint="default" w:ascii="Times New Roman" w:hAnsi="Times New Roman"/>
                <w:snapToGrid w:val="0"/>
                <w:color w:val="auto"/>
                <w:kern w:val="0"/>
                <w:highlight w:val="none"/>
              </w:rPr>
              <w:t>）供应商上传了</w:t>
            </w:r>
            <w:r>
              <w:rPr>
                <w:rFonts w:hint="default"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3"/>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（4）</w:t>
            </w:r>
            <w:r>
              <w:rPr>
                <w:rFonts w:hint="default"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hint="default" w:ascii="Times New Roman" w:hAnsi="Times New Roman"/>
                <w:color w:val="auto"/>
                <w:szCs w:val="21"/>
                <w:highlight w:val="none"/>
              </w:rPr>
              <w:t>下载或查阅采购文件和相关更正公告等，不另行通知，如有遗漏采购人、采购代理机构概不负责。</w:t>
            </w:r>
          </w:p>
          <w:p>
            <w:pPr>
              <w:pStyle w:val="43"/>
              <w:keepNext w:val="0"/>
              <w:keepLines w:val="0"/>
              <w:suppressLineNumbers w:val="0"/>
              <w:adjustRightInd w:val="0"/>
              <w:snapToGrid w:val="0"/>
              <w:spacing w:before="0" w:beforeAutospacing="0" w:after="0" w:afterAutospacing="0" w:line="360" w:lineRule="auto"/>
              <w:ind w:left="0" w:right="0"/>
              <w:rPr>
                <w:rFonts w:hint="default"/>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hint="eastAsia" w:ascii="宋体" w:hAnsi="宋体"/>
          <w:b/>
          <w:bCs/>
          <w:color w:val="auto"/>
          <w:sz w:val="32"/>
          <w:szCs w:val="32"/>
          <w:highlight w:val="none"/>
        </w:rPr>
      </w:pPr>
      <w:r>
        <w:rPr>
          <w:color w:val="auto"/>
          <w:kern w:val="0"/>
          <w:szCs w:val="21"/>
          <w:highlight w:val="none"/>
        </w:rPr>
        <w:br w:type="page"/>
      </w:r>
      <w:bookmarkStart w:id="3" w:name="_Toc294012141"/>
      <w:bookmarkStart w:id="4" w:name="_Toc298767927"/>
      <w:bookmarkStart w:id="5" w:name="_Toc495317669"/>
      <w:r>
        <w:rPr>
          <w:b/>
          <w:bCs/>
          <w:color w:val="auto"/>
          <w:sz w:val="32"/>
          <w:szCs w:val="32"/>
          <w:highlight w:val="none"/>
        </w:rPr>
        <w:t>第二章</w:t>
      </w:r>
      <w:bookmarkEnd w:id="3"/>
      <w:bookmarkEnd w:id="4"/>
      <w:r>
        <w:rPr>
          <w:b/>
          <w:bCs/>
          <w:color w:val="auto"/>
          <w:sz w:val="32"/>
          <w:szCs w:val="32"/>
          <w:highlight w:val="none"/>
        </w:rPr>
        <w:t xml:space="preserve">  采购内容及需求</w:t>
      </w:r>
      <w:bookmarkEnd w:id="5"/>
      <w:bookmarkStart w:id="6" w:name="_Toc273624872"/>
      <w:bookmarkStart w:id="7" w:name="_Toc211745565"/>
      <w:bookmarkStart w:id="8" w:name="_Toc82338233"/>
      <w:bookmarkStart w:id="9" w:name="_Toc82873316"/>
      <w:bookmarkStart w:id="10" w:name="_Toc495317670"/>
    </w:p>
    <w:p>
      <w:pPr>
        <w:rPr>
          <w:b/>
          <w:bCs/>
          <w:color w:val="auto"/>
          <w:sz w:val="24"/>
          <w:szCs w:val="24"/>
          <w:highlight w:val="none"/>
        </w:rPr>
      </w:pPr>
    </w:p>
    <w:p>
      <w:pPr>
        <w:pStyle w:val="4"/>
        <w:keepLines w:val="0"/>
        <w:pageBreakBefore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一、项目</w:t>
      </w:r>
      <w:r>
        <w:rPr>
          <w:rFonts w:hint="eastAsia" w:ascii="宋体" w:hAnsi="宋体" w:eastAsia="宋体" w:cs="宋体"/>
          <w:color w:val="auto"/>
          <w:sz w:val="24"/>
          <w:szCs w:val="24"/>
          <w:highlight w:val="none"/>
          <w:lang w:val="en-US" w:eastAsia="zh-CN"/>
        </w:rPr>
        <w:t>概况</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提高我院门诊服务信息化程度，减轻医护人员工作压力，本次拟针对医院信息化建设进行采购招标。本次招标要求充分利用医院信息平台的开放性和互动性，建立较为先进的多媒体信息发布、排队叫号等业务流程，整体采用平台化管理模式，优化原有服务流程，打造以TCP/IP网络为架构的全数字化解决方案，全面提升医院的公共信息服务水平。</w:t>
      </w:r>
    </w:p>
    <w:p>
      <w:pPr>
        <w:pStyle w:val="4"/>
        <w:keepLines w:val="0"/>
        <w:pageBreakBefore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4"/>
          <w:szCs w:val="24"/>
          <w:highlight w:val="none"/>
          <w:lang w:val="en-US" w:eastAsia="zh-CN"/>
        </w:rPr>
      </w:pPr>
    </w:p>
    <w:p>
      <w:pPr>
        <w:pStyle w:val="4"/>
        <w:keepLines w:val="0"/>
        <w:pageBreakBefore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采购清单</w:t>
      </w:r>
    </w:p>
    <w:tbl>
      <w:tblPr>
        <w:tblStyle w:val="81"/>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816"/>
        <w:gridCol w:w="1395"/>
        <w:gridCol w:w="138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3816" w:type="dxa"/>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设备及软件</w:t>
            </w:r>
          </w:p>
        </w:tc>
        <w:tc>
          <w:tcPr>
            <w:tcW w:w="1395" w:type="dxa"/>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1380" w:type="dxa"/>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数量</w:t>
            </w:r>
          </w:p>
        </w:tc>
        <w:tc>
          <w:tcPr>
            <w:tcW w:w="1448" w:type="dxa"/>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多媒体医疗导引平台软件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信息发布系统软件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普通门诊子模块</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药房门诊子模块</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医技检查叫号子模块</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数据系统接口软件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胎心监护叫号子模块</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护士分诊台客户端软件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28</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医生工作站客户端软件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客户端授权软件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点</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28</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19寸一体机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落地式签到机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48"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000000" w:sz="4" w:space="0"/>
              <w:left w:val="double" w:color="000000" w:sz="4" w:space="0"/>
              <w:bottom w:val="doub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p>
        </w:tc>
        <w:tc>
          <w:tcPr>
            <w:tcW w:w="3816" w:type="dxa"/>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机顶盒</w:t>
            </w:r>
          </w:p>
        </w:tc>
        <w:tc>
          <w:tcPr>
            <w:tcW w:w="1395" w:type="dxa"/>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台</w:t>
            </w:r>
          </w:p>
        </w:tc>
        <w:tc>
          <w:tcPr>
            <w:tcW w:w="1380" w:type="dxa"/>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38</w:t>
            </w:r>
          </w:p>
        </w:tc>
        <w:tc>
          <w:tcPr>
            <w:tcW w:w="1448" w:type="dxa"/>
            <w:tcBorders>
              <w:top w:val="single" w:color="000000" w:sz="4" w:space="0"/>
              <w:left w:val="single" w:color="000000" w:sz="4" w:space="0"/>
              <w:bottom w:val="double" w:color="000000" w:sz="4" w:space="0"/>
              <w:right w:val="double" w:color="000000" w:sz="4" w:space="0"/>
            </w:tcBorders>
            <w:shd w:val="clear" w:color="auto" w:fill="FFFFFF"/>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rPr>
                <w:rFonts w:hint="eastAsia" w:ascii="宋体" w:hAnsi="宋体" w:eastAsia="宋体" w:cs="宋体"/>
                <w:b w:val="0"/>
                <w:bCs/>
                <w:color w:val="auto"/>
                <w:sz w:val="24"/>
                <w:szCs w:val="24"/>
                <w:highlight w:val="none"/>
              </w:rPr>
            </w:pPr>
          </w:p>
        </w:tc>
      </w:tr>
    </w:tbl>
    <w:p>
      <w:pPr>
        <w:pStyle w:val="4"/>
        <w:keepLines w:val="0"/>
        <w:pageBreakBefore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auto"/>
          <w:sz w:val="24"/>
          <w:szCs w:val="24"/>
          <w:highlight w:val="none"/>
          <w:lang w:val="en-US" w:eastAsia="zh-CN"/>
        </w:rPr>
      </w:pPr>
    </w:p>
    <w:p>
      <w:pPr>
        <w:pStyle w:val="4"/>
        <w:keepLines w:val="0"/>
        <w:pageBreakBefore w:val="0"/>
        <w:kinsoku/>
        <w:wordWrap/>
        <w:overflowPunct/>
        <w:topLinePunct w:val="0"/>
        <w:autoSpaceDE/>
        <w:autoSpaceDN/>
        <w:bidi w:val="0"/>
        <w:adjustRightInd/>
        <w:snapToGrid/>
        <w:spacing w:before="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三、技术要求</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总体要求</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结构：系统后台的管理端以B/S架构的方式呈现，医院局域网内的任何一台PC机均可通过IE浏览器进行访问，通过不同用户的管理权限，可对系统后台进行管理操作。能够在同一平台下实现分诊叫号、健康宣教、医疗信息发布等功能，各个功能模块可统一管理或独立运行。</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投标人所提供的叫号软件能够与我院HIS、LIS、PACS系统进行数据对接，兼容性良好。</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要求设备符合高可用容灾，系统提供高可用容灾服务，支持主应用服务器故障时自动转移至备应用服务器。</w:t>
      </w:r>
      <w:r>
        <w:rPr>
          <w:rFonts w:hint="eastAsia" w:ascii="宋体" w:hAnsi="宋体" w:cs="宋体"/>
          <w:color w:val="auto"/>
          <w:sz w:val="24"/>
          <w:szCs w:val="24"/>
          <w:highlight w:val="none"/>
          <w:lang w:eastAsia="zh-CN"/>
        </w:rPr>
        <w:t>提供具有CMA认证的第三方检测机构出具的检测报告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lang w:eastAsia="zh-CN"/>
        </w:rPr>
        <w:t>。</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系统配套的显示设备需采用网络播控终端与显示屏一体化的工业级设计，所有终端以网络进行连接终端设备具备一键恢复功能以提高系统稳定性。</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系统软件可将视/音频图片、文字等多媒体素材发送到各显示屏上，能够实现各种素材的同屏、混合播放；系统支持对有线电视节目、自办节目、网络流媒体等节目源的接入、管理和发布功能； </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全系统内所有终端需具备多区域差异化定时多媒体内容播放功能，如午休时间，系统可自动切换到信息发布功能，叫号屏可自动播放电视节目、健康教育、医院公告等内容，可播放医院自己的宣教片。</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诊室门口屏应具备智能显示功能，如诊室出诊医生为多人时，可根据本诊室医生端登入的医生数量，自动在诊室门口叫号屏显示对应的医师信息，无需人工干预进行诊室门口屏界面调整。各个诊区的叫号管理不分割，医师登陆任意工作站即可进行叫号。</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支持维护多音字发音，支持在后台以图形化界面为姓氏中常见多音字进行多音字替换发音维护，可自行对多音字进行增加或删除；</w:t>
      </w:r>
      <w:r>
        <w:rPr>
          <w:rFonts w:hint="eastAsia" w:ascii="宋体" w:hAnsi="宋体" w:cs="宋体"/>
          <w:color w:val="auto"/>
          <w:sz w:val="24"/>
          <w:szCs w:val="24"/>
          <w:highlight w:val="none"/>
          <w:lang w:eastAsia="zh-CN"/>
        </w:rPr>
        <w:t>提供具有CMA认证的第三方检测机构出具的检测报告</w:t>
      </w:r>
      <w:r>
        <w:rPr>
          <w:rFonts w:hint="eastAsia" w:ascii="宋体" w:hAnsi="宋体" w:cs="宋体"/>
          <w:color w:val="auto"/>
          <w:sz w:val="24"/>
          <w:szCs w:val="24"/>
          <w:highlight w:val="none"/>
          <w:lang w:val="en-US" w:eastAsia="zh-CN"/>
        </w:rPr>
        <w:t>复印件。</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投标人应承诺中标后，在项目实施过程中，结合科室相关需求，提供满足医院科室工作流程应用的系统二次软件开发服务。</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满足信息显示隐私保护，对面向公众的候诊屏显示，支持后台一键开启/关闭患者信息显示隐私保护功能，支持自定义隐私保护显示效果，如姓氏显示法，星号隐藏法等。</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系统应具备数据统计分析功能，可实现</w:t>
      </w:r>
      <w:bookmarkStart w:id="11" w:name="_Hlk69730925"/>
      <w:r>
        <w:rPr>
          <w:rFonts w:hint="eastAsia" w:ascii="宋体" w:hAnsi="宋体" w:eastAsia="宋体" w:cs="宋体"/>
          <w:color w:val="auto"/>
          <w:sz w:val="24"/>
          <w:szCs w:val="24"/>
          <w:highlight w:val="none"/>
        </w:rPr>
        <w:t>当前等候人数、报到人次、过号人次、医生平均问诊时长、患者平均等候时长等数据展示功能，并在决策人员办公室通过曲线图、柱状图等形式展现。</w:t>
      </w:r>
      <w:bookmarkEnd w:id="11"/>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排队叫号</w:t>
      </w:r>
      <w:bookmarkStart w:id="12" w:name="_Hlk69730953"/>
      <w:r>
        <w:rPr>
          <w:rFonts w:hint="eastAsia" w:ascii="宋体" w:hAnsi="宋体" w:eastAsia="宋体" w:cs="宋体"/>
          <w:color w:val="auto"/>
          <w:sz w:val="24"/>
          <w:szCs w:val="24"/>
          <w:highlight w:val="none"/>
        </w:rPr>
        <w:t>系统需具备手机端排队信息推送功能，实现患者排队信息查询、叫号预备推送等功能</w:t>
      </w:r>
      <w:bookmarkEnd w:id="12"/>
      <w:r>
        <w:rPr>
          <w:rFonts w:hint="eastAsia" w:ascii="宋体" w:hAnsi="宋体" w:eastAsia="宋体" w:cs="宋体"/>
          <w:color w:val="auto"/>
          <w:sz w:val="24"/>
          <w:szCs w:val="24"/>
          <w:highlight w:val="none"/>
        </w:rPr>
        <w:t>。</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系统须具有智能管控能力，支持与医院IBMS系统进行系统对接，可实现对终端设备进行远程智能管控。</w:t>
      </w:r>
    </w:p>
    <w:p>
      <w:pPr>
        <w:pStyle w:val="581"/>
        <w:keepLines w:val="0"/>
        <w:pageBreakBefore w:val="0"/>
        <w:numPr>
          <w:ilvl w:val="0"/>
          <w:numId w:val="2"/>
        </w:numPr>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系统须支持分诊叫号数据自动备份功能，可按日、按周、按月多种方式进行自动备份。同时支持数据保留时长自定义设置，数据源若超出自定义时长，将自动将数据移库，以增加平台空间。</w:t>
      </w:r>
    </w:p>
    <w:p>
      <w:pPr>
        <w:keepLines w:val="0"/>
        <w:pageBreakBefore w:val="0"/>
        <w:kinsoku/>
        <w:wordWrap/>
        <w:overflowPunct/>
        <w:topLinePunct w:val="0"/>
        <w:bidi w:val="0"/>
        <w:adjustRightInd/>
        <w:spacing w:line="360" w:lineRule="auto"/>
        <w:ind w:left="0" w:right="0" w:firstLine="480" w:firstLineChars="200"/>
        <w:textAlignment w:val="auto"/>
        <w:rPr>
          <w:rFonts w:hint="eastAsia" w:ascii="宋体" w:hAnsi="宋体" w:eastAsia="宋体" w:cs="宋体"/>
          <w:color w:val="auto"/>
          <w:sz w:val="24"/>
          <w:szCs w:val="24"/>
          <w:highlight w:val="none"/>
        </w:rPr>
      </w:pP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多媒体</w:t>
      </w:r>
      <w:r>
        <w:rPr>
          <w:rFonts w:hint="eastAsia" w:ascii="宋体" w:hAnsi="宋体" w:eastAsia="宋体" w:cs="宋体"/>
          <w:color w:val="auto"/>
          <w:sz w:val="24"/>
          <w:szCs w:val="24"/>
          <w:highlight w:val="none"/>
        </w:rPr>
        <w:t>医疗导引平台软件需求</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具有联网和远程控制功能，支持跨路由控制，对终端可以远程管理和维护。支持局域网，分管理端和播放端，系统采用B/S架构。</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操作在管理端进行，管理端可以是局域网上的任意多台计算机。</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支持手动维护医生信息，可上传医生照片、职称、业务擅长以及排班信息的自动同步和管理；</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系统应能够与HIS、PACS、LIS等信息系统进行数据交互，支持按照序号或签到顺序自动生成排队队列；</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rPr>
        <w:t>系统可根据各个科室的就诊流程，灵活配置叫号机制，适应各种队列排序方式、各种呼叫模式、各种显示样式、各种语音效果。</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default" w:ascii="宋体" w:hAnsi="宋体" w:eastAsia="宋体" w:cs="宋体"/>
          <w:color w:val="auto"/>
          <w:kern w:val="0"/>
          <w:sz w:val="24"/>
          <w:szCs w:val="24"/>
          <w:highlight w:val="none"/>
          <w:lang w:val="en-US" w:eastAsia="zh-CN" w:bidi="ar-SA"/>
        </w:rPr>
        <w:t>6、</w:t>
      </w:r>
      <w:r>
        <w:rPr>
          <w:rFonts w:hint="eastAsia" w:ascii="宋体" w:hAnsi="宋体" w:eastAsia="宋体" w:cs="宋体"/>
          <w:color w:val="auto"/>
          <w:spacing w:val="4"/>
          <w:sz w:val="24"/>
          <w:szCs w:val="24"/>
          <w:highlight w:val="none"/>
        </w:rPr>
        <w:t>系统应支持自定义设置多种规则，支持新增患者标识，如儿童标识，增加标识后，可以调整该标识优先级别，支持设置间隔数量，可通过下拉框选择间隔的人数，设置完成提交保存后，各科室可通过队列管理直接调用；（</w:t>
      </w:r>
      <w:r>
        <w:rPr>
          <w:rFonts w:hint="eastAsia" w:ascii="宋体" w:hAnsi="宋体" w:cs="宋体"/>
          <w:color w:val="auto"/>
          <w:spacing w:val="4"/>
          <w:sz w:val="24"/>
          <w:szCs w:val="24"/>
          <w:highlight w:val="none"/>
          <w:lang w:val="en-US" w:eastAsia="zh-CN"/>
        </w:rPr>
        <w:t>提供相关功能截图证明</w:t>
      </w:r>
      <w:r>
        <w:rPr>
          <w:rFonts w:hint="eastAsia" w:ascii="宋体" w:hAnsi="宋体" w:eastAsia="宋体" w:cs="宋体"/>
          <w:color w:val="auto"/>
          <w:spacing w:val="4"/>
          <w:sz w:val="24"/>
          <w:szCs w:val="24"/>
          <w:highlight w:val="none"/>
        </w:rPr>
        <w:t>）</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rPr>
        <w:t xml:space="preserve">系统应支持候诊区一级分诊以及诊室门口二级分诊或特殊科室需要的多级分诊模式，候诊区叫号将多名患者呼叫到诊室门口等候，诊室门口叫号将患者逐一呼叫至诊室就诊； </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rPr>
        <w:t>患者隐私保护：患者姓名中的第二个字用“*”代替。</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rPr>
        <w:t xml:space="preserve">要求候诊区域一级分诊屏、医生所在诊室门口的二级分诊屏显示各自对应的叫号信息，并实现对应的叫号语音同步播报； </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rPr>
        <w:t>系统须支持全自动形成队列、人工报到形成队列（患者自助报到、护士操作报到）以及自动及人工混合报到三种模式；</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rPr>
        <w:t>系统须支持分诊管理服务平台角色类型划分，如诊区管理、队列管理、终端管理、人员管理、数据管理、页面管理、系统设置、规格管理、日志管理等等。</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default" w:ascii="宋体" w:hAnsi="宋体" w:eastAsia="宋体" w:cs="宋体"/>
          <w:color w:val="auto"/>
          <w:kern w:val="0"/>
          <w:sz w:val="24"/>
          <w:szCs w:val="24"/>
          <w:highlight w:val="none"/>
          <w:lang w:val="en-US" w:eastAsia="zh-CN" w:bidi="ar-SA"/>
        </w:rPr>
        <w:t>12、</w:t>
      </w:r>
      <w:r>
        <w:rPr>
          <w:rFonts w:hint="eastAsia" w:ascii="宋体" w:hAnsi="宋体" w:eastAsia="宋体" w:cs="宋体"/>
          <w:color w:val="auto"/>
          <w:spacing w:val="4"/>
          <w:sz w:val="24"/>
          <w:szCs w:val="24"/>
          <w:highlight w:val="none"/>
        </w:rPr>
        <w:t>系统支持自定义语音，可设置多种语音模板，每种模板可细化分为门口呼叫、诊区呼叫和分诊台呼叫，支持单独设置每种呼叫模式，如门口呼叫，可设置忙时呼叫和闲时呼叫，支持设置语速（涵盖很慢、较慢、标准、较快、很快）和重复次数，支持设置播音声音（如普通话男声、普通话女声、粤语女声等），支持自定义呼叫内容，可添加词组，自定义编辑语句；（</w:t>
      </w:r>
      <w:r>
        <w:rPr>
          <w:rFonts w:hint="eastAsia" w:ascii="宋体" w:hAnsi="宋体" w:cs="宋体"/>
          <w:color w:val="auto"/>
          <w:spacing w:val="4"/>
          <w:sz w:val="24"/>
          <w:szCs w:val="24"/>
          <w:highlight w:val="none"/>
          <w:lang w:eastAsia="zh-CN"/>
        </w:rPr>
        <w:t>提供相关功能截图证明</w:t>
      </w:r>
      <w:r>
        <w:rPr>
          <w:rFonts w:hint="eastAsia" w:ascii="宋体" w:hAnsi="宋体" w:eastAsia="宋体" w:cs="宋体"/>
          <w:color w:val="auto"/>
          <w:spacing w:val="4"/>
          <w:sz w:val="24"/>
          <w:szCs w:val="24"/>
          <w:highlight w:val="none"/>
        </w:rPr>
        <w:t>）</w:t>
      </w:r>
      <w:r>
        <w:rPr>
          <w:rFonts w:hint="eastAsia" w:ascii="宋体" w:hAnsi="宋体" w:eastAsia="宋体" w:cs="宋体"/>
          <w:color w:val="auto"/>
          <w:kern w:val="0"/>
          <w:sz w:val="24"/>
          <w:szCs w:val="24"/>
          <w:highlight w:val="none"/>
        </w:rPr>
        <w:t>。</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13、</w:t>
      </w:r>
      <w:r>
        <w:rPr>
          <w:rFonts w:hint="eastAsia" w:ascii="宋体" w:hAnsi="宋体" w:eastAsia="宋体" w:cs="宋体"/>
          <w:color w:val="auto"/>
          <w:kern w:val="0"/>
          <w:sz w:val="24"/>
          <w:szCs w:val="24"/>
          <w:highlight w:val="none"/>
        </w:rPr>
        <w:t xml:space="preserve">系统后台需具备显示页面管理功能，内含多种显示界面供医院选择，包含但不限于报到机界面、队列列表界面、诊室列表界面、诊室门口界面、历史叫号界面、显示叫号界面等，可通过后台预览界面； </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14、</w:t>
      </w:r>
      <w:r>
        <w:rPr>
          <w:rFonts w:hint="eastAsia" w:ascii="宋体" w:hAnsi="宋体" w:eastAsia="宋体" w:cs="宋体"/>
          <w:color w:val="auto"/>
          <w:kern w:val="0"/>
          <w:sz w:val="24"/>
          <w:szCs w:val="24"/>
          <w:highlight w:val="none"/>
        </w:rPr>
        <w:t>护士站电脑安装护士工作站管理软件，能够实现在其管控区域内对患者的就诊状态检索、排队队列管理以及预约等操作；</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rPr>
        <w:t>医生电脑安装医生工作站管理软件，能够根据需求实现顺序叫号或选择叫号功能；</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信息发布系统软件需求</w:t>
      </w:r>
    </w:p>
    <w:p>
      <w:pPr>
        <w:pStyle w:val="1341"/>
        <w:keepLines w:val="0"/>
        <w:pageBreakBefore w:val="0"/>
        <w:kinsoku/>
        <w:wordWrap/>
        <w:overflowPunct/>
        <w:topLinePunct w:val="0"/>
        <w:bidi w:val="0"/>
        <w:adjustRightInd/>
        <w:spacing w:line="360" w:lineRule="auto"/>
        <w:ind w:left="0" w:right="0" w:firstLine="482" w:firstLineChars="200"/>
        <w:textAlignment w:val="auto"/>
        <w:rPr>
          <w:rFonts w:hint="eastAsia" w:ascii="宋体" w:hAnsi="宋体" w:eastAsia="宋体" w:cs="宋体"/>
          <w:b/>
          <w:bCs/>
          <w:color w:val="auto"/>
          <w:sz w:val="24"/>
          <w:szCs w:val="24"/>
          <w:highlight w:val="none"/>
        </w:rPr>
      </w:pPr>
      <w:bookmarkStart w:id="13" w:name="_Toc256000050"/>
      <w:r>
        <w:rPr>
          <w:rFonts w:hint="eastAsia" w:ascii="宋体" w:hAnsi="宋体" w:eastAsia="宋体" w:cs="宋体"/>
          <w:b/>
          <w:bCs/>
          <w:color w:val="auto"/>
          <w:sz w:val="24"/>
          <w:szCs w:val="24"/>
          <w:highlight w:val="none"/>
        </w:rPr>
        <w:t>播放功能要求</w:t>
      </w:r>
      <w:bookmarkEnd w:id="13"/>
    </w:p>
    <w:p>
      <w:pPr>
        <w:pStyle w:val="1340"/>
        <w:keepLines w:val="0"/>
        <w:pageBreakBefore w:val="0"/>
        <w:widowControl/>
        <w:numPr>
          <w:ilvl w:val="0"/>
          <w:numId w:val="3"/>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可播放各种格式的图片、文档、FLASH、网页及音视频。支持同时叠加多个元素同时播放。</w:t>
      </w:r>
    </w:p>
    <w:p>
      <w:pPr>
        <w:pStyle w:val="1340"/>
        <w:keepLines w:val="0"/>
        <w:pageBreakBefore w:val="0"/>
        <w:widowControl/>
        <w:numPr>
          <w:ilvl w:val="0"/>
          <w:numId w:val="3"/>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立体声、双声道，支持MP3,AAC,WMA等格式，系统音频文件播放可以隐藏任务方式编排和播放，不影响可见窗口的媒体播放，即可播放背景音乐。</w:t>
      </w:r>
    </w:p>
    <w:p>
      <w:pPr>
        <w:pStyle w:val="1340"/>
        <w:keepLines w:val="0"/>
        <w:pageBreakBefore w:val="0"/>
        <w:widowControl/>
        <w:numPr>
          <w:ilvl w:val="0"/>
          <w:numId w:val="3"/>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明亮清晰，不受显示屏尺寸大小限制可满屏播放，视频播放连续，无动画和马赛克，画面流畅。每个液晶屏幕上可以播放不同的节目，每个液晶屏幕上可以自由分割出多画面同时播放，支持各种高清播放格式文件。</w:t>
      </w:r>
    </w:p>
    <w:p>
      <w:pPr>
        <w:pStyle w:val="1341"/>
        <w:keepLines w:val="0"/>
        <w:pageBreakBefore w:val="0"/>
        <w:kinsoku/>
        <w:wordWrap/>
        <w:overflowPunct/>
        <w:topLinePunct w:val="0"/>
        <w:bidi w:val="0"/>
        <w:adjustRightInd/>
        <w:spacing w:line="360" w:lineRule="auto"/>
        <w:ind w:left="0" w:right="0" w:firstLine="482" w:firstLineChars="200"/>
        <w:textAlignment w:val="auto"/>
        <w:rPr>
          <w:rFonts w:hint="eastAsia" w:ascii="宋体" w:hAnsi="宋体" w:eastAsia="宋体" w:cs="宋体"/>
          <w:b/>
          <w:bCs/>
          <w:color w:val="auto"/>
          <w:sz w:val="24"/>
          <w:szCs w:val="24"/>
          <w:highlight w:val="none"/>
        </w:rPr>
      </w:pPr>
      <w:bookmarkStart w:id="14" w:name="_Toc512333239"/>
      <w:bookmarkStart w:id="15" w:name="_Toc256000051"/>
      <w:r>
        <w:rPr>
          <w:rFonts w:hint="eastAsia" w:ascii="宋体" w:hAnsi="宋体" w:eastAsia="宋体" w:cs="宋体"/>
          <w:b/>
          <w:bCs/>
          <w:color w:val="auto"/>
          <w:sz w:val="24"/>
          <w:szCs w:val="24"/>
          <w:highlight w:val="none"/>
        </w:rPr>
        <w:t>发布和播放要求</w:t>
      </w:r>
      <w:bookmarkEnd w:id="14"/>
      <w:bookmarkEnd w:id="15"/>
    </w:p>
    <w:p>
      <w:pPr>
        <w:pStyle w:val="1340"/>
        <w:keepLines w:val="0"/>
        <w:pageBreakBefore w:val="0"/>
        <w:widowControl/>
        <w:numPr>
          <w:ilvl w:val="0"/>
          <w:numId w:val="4"/>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可以指定终端空闲时间下载，宽带占用率低，不会影响正常的网络办公。在网络断开或服务器瘫痪的条件下，不影响显示端的正常播放。</w:t>
      </w:r>
    </w:p>
    <w:p>
      <w:pPr>
        <w:pStyle w:val="1340"/>
        <w:keepLines w:val="0"/>
        <w:pageBreakBefore w:val="0"/>
        <w:widowControl/>
        <w:numPr>
          <w:ilvl w:val="0"/>
          <w:numId w:val="4"/>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可通过制定、编辑节目播放列表，网络管理播放顺序。</w:t>
      </w:r>
    </w:p>
    <w:p>
      <w:pPr>
        <w:pStyle w:val="1340"/>
        <w:keepLines w:val="0"/>
        <w:pageBreakBefore w:val="0"/>
        <w:widowControl/>
        <w:numPr>
          <w:ilvl w:val="0"/>
          <w:numId w:val="4"/>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播放列表设定多个媒体内容的播放时间次序。可定时播放、指定时间播放、随时插播，可以对发布时间（开始，持续，结束）、发布顺序等进行编制和定义管理。</w:t>
      </w:r>
    </w:p>
    <w:p>
      <w:pPr>
        <w:pStyle w:val="1340"/>
        <w:keepLines w:val="0"/>
        <w:pageBreakBefore w:val="0"/>
        <w:widowControl/>
        <w:numPr>
          <w:ilvl w:val="0"/>
          <w:numId w:val="4"/>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幕划分成多个区域，每个区域可根据采购方需求播放不同的多媒体节目，可设置不同大小。采购方可以利用系统中提供的固定模版，也可以通过系统的模版制作模块，自己任意拖拉制作新的分割画面模版。可预定所有区域的播放日期和时间，也可对每个区域设定一个独立的播放时间表。</w:t>
      </w:r>
    </w:p>
    <w:p>
      <w:pPr>
        <w:pStyle w:val="1340"/>
        <w:keepLines w:val="0"/>
        <w:pageBreakBefore w:val="0"/>
        <w:widowControl/>
        <w:numPr>
          <w:ilvl w:val="0"/>
          <w:numId w:val="4"/>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系统提供多种不同的屏幕划分显示模版供选择，同时还可以自己编辑新的布局模版，这些布局可以作为模板，在节目编排时使用。</w:t>
      </w:r>
    </w:p>
    <w:p>
      <w:pPr>
        <w:pStyle w:val="1340"/>
        <w:keepLines w:val="0"/>
        <w:pageBreakBefore w:val="0"/>
        <w:widowControl/>
        <w:numPr>
          <w:ilvl w:val="0"/>
          <w:numId w:val="4"/>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可以随时随地的向各显示播放端发布“滚动字幕（跑马灯信息）”，而且“滚动字幕”的字体类型、大小、颜色、滚动速度与位置都允许调整。</w:t>
      </w:r>
    </w:p>
    <w:p>
      <w:pPr>
        <w:pStyle w:val="1340"/>
        <w:keepLines w:val="0"/>
        <w:pageBreakBefore w:val="0"/>
        <w:widowControl/>
        <w:numPr>
          <w:ilvl w:val="0"/>
          <w:numId w:val="4"/>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具有紧急信息和临时信息的插入播放功能，紧急信息或临时播放完毕能够自动切换到原播放节目。</w:t>
      </w:r>
    </w:p>
    <w:p>
      <w:pPr>
        <w:pStyle w:val="1340"/>
        <w:keepLines w:val="0"/>
        <w:pageBreakBefore w:val="0"/>
        <w:widowControl/>
        <w:numPr>
          <w:ilvl w:val="0"/>
          <w:numId w:val="4"/>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可以在主控端控制和调节各个显示终端的声音大小。</w:t>
      </w:r>
    </w:p>
    <w:p>
      <w:pPr>
        <w:pStyle w:val="1341"/>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b/>
          <w:bCs/>
          <w:color w:val="auto"/>
          <w:sz w:val="24"/>
          <w:szCs w:val="24"/>
          <w:highlight w:val="none"/>
        </w:rPr>
      </w:pPr>
      <w:bookmarkStart w:id="16" w:name="_Toc256000052"/>
      <w:bookmarkStart w:id="17" w:name="_Toc512333240"/>
      <w:r>
        <w:rPr>
          <w:rFonts w:hint="eastAsia" w:ascii="宋体" w:hAnsi="宋体" w:eastAsia="宋体" w:cs="宋体"/>
          <w:b/>
          <w:bCs/>
          <w:color w:val="auto"/>
          <w:sz w:val="24"/>
          <w:szCs w:val="24"/>
          <w:highlight w:val="none"/>
        </w:rPr>
        <w:t>管理控制软件指标要求</w:t>
      </w:r>
      <w:bookmarkEnd w:id="16"/>
      <w:bookmarkEnd w:id="17"/>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系统满足支持一机多用的设置，根据采购人要求，随时改变其功能，点播、直播、信息发布功能随意切换，一屏多用，节省资源。</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支持各种多媒体档案格式，包含： MPEG-2, AVI, RMVB、WMV、DAT、 JPEG、 BMP、TXT、MP3等；支持网络上流行的各类格式，如RMVB、FLV；并能够很好的兼容后续的新的媒体格式；</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系统支持各类素材的分类管理，格式转换灵活，可对素材进行预览；</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支持提供常规节目模板库；管理员可自行设计制作模板，或在模板基础上进行定制修改形成新的模板，可以保存、复用；可以导入导出节目模板；</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可以简单而轻松地编辑和自动生成播放列表；一个节目可以排在一个时段、或连续多个时段播出，或全天播出同一节目。节目表一次可设定31天的播放内容；</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对所有显示终端设备进行有效的管理，包括IP管理、时间校对管理、显示终端分组管理等；</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对系统的用户及用户组、发布点及发布组、多级管理等功能进行权限的设置，以方便系统的管理及维护。</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播出单审核功能：系统具备播出单审核与预览功能，操作员编辑后的播出单，需要通过对应的审核员进行审核，审核后的播出单才能进行发布，审核不通过的进行打回，通过站内消息通知操作员。</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实时查看各终端的网络联机状态监控其运行情况，提供播放日志，管理人员可以直接浏览、查询和导出。日志文件的数据包括播放文件的时间信息及次数、文件下载时间、开关机时间等等；</w:t>
      </w:r>
    </w:p>
    <w:p>
      <w:pPr>
        <w:pStyle w:val="1340"/>
        <w:keepLines w:val="0"/>
        <w:pageBreakBefore w:val="0"/>
        <w:widowControl/>
        <w:numPr>
          <w:ilvl w:val="0"/>
          <w:numId w:val="5"/>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普通门诊子模块需求</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系统可根据诊间环境大小及特点设定诊间等候区等候人数1-3人不等；</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患者多的时候，可以开启二级分诊模式。</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系统支持对复诊、过号患者与初诊患者进行间隔呼叫的设定，设定规设定灵活简便。</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系统须支持全自动形成队列、人工报到形成队列（患者自助报到、护士操作报到）以及自动及人工混合报到三种模式；</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支持一对多（单个医生看诊多个队列）和多对一（多个医生看诊同一个队列）叫号模式；</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支持一诊室一医生、一诊室多医生的排队叫号模式；</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支持患者刷卡/扫描签到排队模式；支持非签到自动排队模式；支持自助取号排队模式；</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支持当日挂号与预约患者混合排队模式，预约患者在预约时段内优先就诊。</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中午午休时间，系统可自动切换到信息发布显示，叫号屏播放医院自己的宣教片。</w:t>
      </w:r>
    </w:p>
    <w:p>
      <w:pPr>
        <w:pStyle w:val="1340"/>
        <w:keepLines w:val="0"/>
        <w:pageBreakBefore w:val="0"/>
        <w:widowControl/>
        <w:numPr>
          <w:ilvl w:val="0"/>
          <w:numId w:val="6"/>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eastAsia="zh-CN"/>
        </w:rPr>
        <w:t>具有独立知识产权，提供</w:t>
      </w:r>
      <w:r>
        <w:rPr>
          <w:rFonts w:hint="eastAsia" w:ascii="宋体" w:hAnsi="宋体" w:eastAsia="宋体" w:cs="宋体"/>
          <w:color w:val="auto"/>
          <w:sz w:val="24"/>
          <w:szCs w:val="24"/>
          <w:highlight w:val="none"/>
          <w:lang w:val="zh-CN"/>
        </w:rPr>
        <w:t>门诊排队叫号系统</w:t>
      </w:r>
      <w:r>
        <w:rPr>
          <w:rFonts w:hint="eastAsia" w:ascii="宋体" w:hAnsi="宋体" w:eastAsia="宋体" w:cs="宋体"/>
          <w:color w:val="auto"/>
          <w:sz w:val="24"/>
          <w:szCs w:val="24"/>
          <w:highlight w:val="none"/>
          <w:lang w:val="zh-CN" w:eastAsia="zh-CN"/>
        </w:rPr>
        <w:t>原厂软件著作权证书</w:t>
      </w:r>
      <w:r>
        <w:rPr>
          <w:rFonts w:hint="eastAsia" w:ascii="宋体" w:hAnsi="宋体" w:eastAsia="宋体" w:cs="宋体"/>
          <w:color w:val="auto"/>
          <w:sz w:val="24"/>
          <w:szCs w:val="24"/>
          <w:highlight w:val="none"/>
          <w:lang w:val="zh-CN"/>
        </w:rPr>
        <w:t>复印件。</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bookmarkStart w:id="18" w:name="_Toc512333244"/>
      <w:bookmarkStart w:id="19" w:name="_Toc7031_WPSOffice_Level2"/>
      <w:bookmarkStart w:id="20" w:name="_Toc5121"/>
      <w:bookmarkStart w:id="21" w:name="_Toc15845_WPSOffice_Level2"/>
      <w:r>
        <w:rPr>
          <w:rFonts w:hint="eastAsia" w:ascii="宋体" w:hAnsi="宋体" w:eastAsia="宋体" w:cs="宋体"/>
          <w:color w:val="auto"/>
          <w:sz w:val="24"/>
          <w:szCs w:val="24"/>
          <w:highlight w:val="none"/>
        </w:rPr>
        <w:t>药房导诊叫号系统</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支持患者缴费后未分和预分窗口两种模式。</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支持取药患者报到机制，避免出现配药发药后无人领取的现象。</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支持取药患者报到后自动分配窗口功能，明确指示患者在分配窗口等候。</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支持扫描患者药单即呼叫患者取药 。</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取药窗口屏显示全部已呼叫患者信息，提高采购人发药效率。</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要求药房排队叫号系统具有实际的可扩展性，可与药房摆药系统进行无缝连接。</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医技检查导诊叫号系统</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系统支持过号患者与初检患者进行间隔呼叫的设定，设定规则灵活简便。</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支持护士操作预约和患者自助预约两种模式，预约平台要求操作简便，易学易用；</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护士可为患者进行单次、多次预约，修改预约和取消预约等操作；</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可预约至精确的时间段内，时间跨度可灵活设置，最小时间跨度不大于0.5小时；</w:t>
      </w:r>
    </w:p>
    <w:p>
      <w:pPr>
        <w:pStyle w:val="2"/>
        <w:numPr>
          <w:ilvl w:val="0"/>
          <w:numId w:val="7"/>
        </w:numPr>
        <w:spacing w:line="360" w:lineRule="auto"/>
        <w:ind w:left="0" w:leftChars="0" w:firstLine="480" w:firstLineChars="200"/>
        <w:rPr>
          <w:rFonts w:hint="default"/>
          <w:color w:val="auto"/>
          <w:highlight w:val="none"/>
        </w:rPr>
      </w:pPr>
      <w:r>
        <w:rPr>
          <w:rFonts w:hint="default" w:ascii="宋体" w:hAnsi="宋体" w:eastAsia="宋体" w:cs="宋体"/>
          <w:color w:val="auto"/>
          <w:sz w:val="24"/>
          <w:szCs w:val="24"/>
          <w:highlight w:val="none"/>
        </w:rPr>
        <w:t>支持配置体检、普通及VIP等队列。</w:t>
      </w:r>
    </w:p>
    <w:p>
      <w:pPr>
        <w:pStyle w:val="2"/>
        <w:numPr>
          <w:ilvl w:val="0"/>
          <w:numId w:val="7"/>
        </w:numPr>
        <w:tabs>
          <w:tab w:val="clear" w:pos="312"/>
        </w:tabs>
        <w:spacing w:line="360" w:lineRule="auto"/>
        <w:ind w:left="0" w:leftChars="0" w:firstLine="480" w:firstLineChars="200"/>
        <w:rPr>
          <w:rFonts w:hint="default"/>
          <w:color w:val="auto"/>
          <w:highlight w:val="none"/>
        </w:rPr>
      </w:pPr>
      <w:r>
        <w:rPr>
          <w:rFonts w:hint="default"/>
          <w:color w:val="auto"/>
          <w:highlight w:val="none"/>
        </w:rPr>
        <w:t>支持根据队列个性化设置呼叫规则。</w:t>
      </w:r>
    </w:p>
    <w:p>
      <w:pPr>
        <w:keepLines w:val="0"/>
        <w:pageBreakBefore w:val="0"/>
        <w:widowControl/>
        <w:numPr>
          <w:ilvl w:val="0"/>
          <w:numId w:val="7"/>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一天内单一检查项预约人数超出预警人数时，系统应有明显提示；单一检查项下的峰值可预设，也可以根据实际情况临时调整峰值。</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default" w:ascii="宋体" w:hAnsi="宋体" w:cs="宋体"/>
          <w:color w:val="auto"/>
          <w:kern w:val="2"/>
          <w:sz w:val="24"/>
          <w:szCs w:val="24"/>
          <w:highlight w:val="none"/>
          <w:lang w:eastAsia="zh-CN" w:bidi="ar-SA"/>
        </w:rPr>
        <w:t>8</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预约完成后，患者可获得预约单，预约单上要求有患者姓名、年龄、检查项、预约日期、预约时间段、注意事项等。</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default" w:ascii="宋体" w:hAnsi="宋体" w:cs="宋体"/>
          <w:color w:val="auto"/>
          <w:kern w:val="2"/>
          <w:sz w:val="24"/>
          <w:szCs w:val="24"/>
          <w:highlight w:val="none"/>
          <w:lang w:eastAsia="zh-CN" w:bidi="ar-SA"/>
        </w:rPr>
        <w:t>9</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住院病人、预约患者在预约时段内，需采用优先原则。</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default" w:ascii="宋体" w:hAnsi="宋体" w:cs="宋体"/>
          <w:color w:val="auto"/>
          <w:kern w:val="2"/>
          <w:sz w:val="24"/>
          <w:szCs w:val="24"/>
          <w:highlight w:val="none"/>
          <w:lang w:eastAsia="zh-CN" w:bidi="ar-SA"/>
        </w:rPr>
        <w:t>10</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在患者有多个检查项的情况下，当其被一检查项呼叫到时，其他检查项状态为挂起装状态，待该患者完成当前检查后，其他检查项方可呼叫。</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default" w:ascii="宋体" w:hAnsi="宋体" w:cs="宋体"/>
          <w:color w:val="auto"/>
          <w:kern w:val="2"/>
          <w:sz w:val="24"/>
          <w:szCs w:val="24"/>
          <w:highlight w:val="none"/>
          <w:lang w:eastAsia="zh-CN" w:bidi="ar-SA"/>
        </w:rPr>
        <w:t>11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在患者不具备检查条件时，护士工作站软件可设置为挂起状态，待具备检查条件时，方可呼叫。</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default" w:ascii="宋体" w:hAnsi="宋体" w:cs="宋体"/>
          <w:color w:val="auto"/>
          <w:kern w:val="2"/>
          <w:sz w:val="24"/>
          <w:szCs w:val="24"/>
          <w:highlight w:val="none"/>
          <w:lang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中午午休时间，系统可自动切换到信息发布显示，叫号屏播放医院自己的宣教片。</w:t>
      </w:r>
    </w:p>
    <w:p>
      <w:pPr>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default" w:ascii="宋体" w:hAnsi="宋体" w:cs="宋体"/>
          <w:color w:val="auto"/>
          <w:kern w:val="2"/>
          <w:sz w:val="24"/>
          <w:szCs w:val="24"/>
          <w:highlight w:val="none"/>
          <w:lang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具有独立知识产权，提供医技检查叫号系统原厂软件著作权证书复印件。</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数据系统接口软件</w:t>
      </w:r>
    </w:p>
    <w:p>
      <w:pPr>
        <w:keepLines w:val="0"/>
        <w:pageBreakBefore w:val="0"/>
        <w:widowControl/>
        <w:numPr>
          <w:ilvl w:val="0"/>
          <w:numId w:val="8"/>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可根据实际项目具体需求，对医院HIS系统厂商开放供货方数据库，允许合作方对数据库直接操作。</w:t>
      </w:r>
    </w:p>
    <w:p>
      <w:pPr>
        <w:keepLines w:val="0"/>
        <w:pageBreakBefore w:val="0"/>
        <w:widowControl/>
        <w:numPr>
          <w:ilvl w:val="0"/>
          <w:numId w:val="8"/>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可提供同等规模同类项目系统接口范例；</w:t>
      </w:r>
    </w:p>
    <w:p>
      <w:pPr>
        <w:keepLines w:val="0"/>
        <w:pageBreakBefore w:val="0"/>
        <w:widowControl/>
        <w:numPr>
          <w:ilvl w:val="0"/>
          <w:numId w:val="8"/>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支持数据库视图、中间表、Web service、SOCKET、DLL调用、webapi等多方式实现与HIS系统及其他信息系统的数据交换；</w:t>
      </w:r>
    </w:p>
    <w:p>
      <w:pPr>
        <w:keepLines w:val="0"/>
        <w:pageBreakBefore w:val="0"/>
        <w:widowControl/>
        <w:numPr>
          <w:ilvl w:val="0"/>
          <w:numId w:val="8"/>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具有独立知识产权，提供数据系统接口原厂软件著作权证书复印件。</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胎心监测叫号子模块</w:t>
      </w:r>
    </w:p>
    <w:p>
      <w:pPr>
        <w:keepLines w:val="0"/>
        <w:pageBreakBefore w:val="0"/>
        <w:widowControl/>
        <w:numPr>
          <w:ilvl w:val="0"/>
          <w:numId w:val="9"/>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医生开单，患者缴费后至胎心监护室，可通过自助取号机取号；</w:t>
      </w:r>
    </w:p>
    <w:p>
      <w:pPr>
        <w:keepLines w:val="0"/>
        <w:pageBreakBefore w:val="0"/>
        <w:widowControl/>
        <w:numPr>
          <w:ilvl w:val="0"/>
          <w:numId w:val="9"/>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取号后，按照票号顺序依次等候叫号；</w:t>
      </w:r>
    </w:p>
    <w:p>
      <w:pPr>
        <w:pStyle w:val="3"/>
        <w:keepLines w:val="0"/>
        <w:pageBreakBefore w:val="0"/>
        <w:numPr>
          <w:ilvl w:val="0"/>
          <w:numId w:val="9"/>
        </w:numPr>
        <w:kinsoku/>
        <w:wordWrap/>
        <w:overflowPunct/>
        <w:topLinePunct w:val="0"/>
        <w:bidi w:val="0"/>
        <w:adjustRightIn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针对急诊孕妇（如胎动异常）需支持手动优先插队。</w:t>
      </w:r>
    </w:p>
    <w:p>
      <w:pPr>
        <w:keepLines w:val="0"/>
        <w:pageBreakBefore w:val="0"/>
        <w:widowControl/>
        <w:numPr>
          <w:ilvl w:val="0"/>
          <w:numId w:val="9"/>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支持过号孕妇可自动顺延3~5位</w:t>
      </w:r>
    </w:p>
    <w:p>
      <w:pPr>
        <w:keepLines w:val="0"/>
        <w:pageBreakBefore w:val="0"/>
        <w:widowControl/>
        <w:numPr>
          <w:ilvl w:val="0"/>
          <w:numId w:val="9"/>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支持护士手动操作报到以及自动及人工混合报到三种模式；</w:t>
      </w:r>
    </w:p>
    <w:p>
      <w:pPr>
        <w:keepLines w:val="0"/>
        <w:pageBreakBefore w:val="0"/>
        <w:widowControl/>
        <w:numPr>
          <w:ilvl w:val="0"/>
          <w:numId w:val="9"/>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需排队顺序以报到时间或者取号时间为准，支持过号患者优先机制。</w:t>
      </w:r>
    </w:p>
    <w:p>
      <w:pPr>
        <w:keepLines w:val="0"/>
        <w:pageBreakBefore w:val="0"/>
        <w:widowControl/>
        <w:numPr>
          <w:ilvl w:val="0"/>
          <w:numId w:val="9"/>
        </w:numPr>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部分无医生工作站区域应支持物理呼叫设备。</w:t>
      </w:r>
    </w:p>
    <w:bookmarkEnd w:id="18"/>
    <w:bookmarkEnd w:id="19"/>
    <w:bookmarkEnd w:id="20"/>
    <w:bookmarkEnd w:id="21"/>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bookmarkStart w:id="22" w:name="_Toc512333248"/>
      <w:r>
        <w:rPr>
          <w:rFonts w:hint="eastAsia" w:ascii="宋体" w:hAnsi="宋体" w:eastAsia="宋体" w:cs="宋体"/>
          <w:color w:val="auto"/>
          <w:sz w:val="24"/>
          <w:szCs w:val="24"/>
          <w:highlight w:val="none"/>
        </w:rPr>
        <w:t>护士分诊台客户端软件</w:t>
      </w:r>
      <w:bookmarkEnd w:id="22"/>
      <w:r>
        <w:rPr>
          <w:rFonts w:hint="eastAsia" w:ascii="宋体" w:hAnsi="宋体" w:eastAsia="宋体" w:cs="宋体"/>
          <w:color w:val="auto"/>
          <w:sz w:val="24"/>
          <w:szCs w:val="24"/>
          <w:highlight w:val="none"/>
        </w:rPr>
        <w:t>需求</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支持查看当前诊区的每个医生叫号情况（如：排队队列名称、已叫号人数、过号人数、等候人数、诊结人数、排队时间、预约时间等）</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支持同步HIS系统中医生排班数据，并支持临时手动调整功能；支持编辑周期内医生排班功能，并支持对医生每天出诊情况进行手动调整；</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bookmarkStart w:id="23" w:name="_Hlk121232419"/>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分诊台需支持医生模式和诊室模式，方便护士操作；</w:t>
      </w:r>
    </w:p>
    <w:bookmarkEnd w:id="23"/>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分诊台要求支持体征补录，可录入患者身高、体重、心率、体温、血压、视力等内容，如患者不同意，护士可标记患者拒测；支持在补录时做跌倒评估，如：意识障碍、步态不稳、需人陪伴、协助行器、特殊术后、视力障碍等；更新后，可通过分诊台查看患者补录的信息；（</w:t>
      </w:r>
      <w:r>
        <w:rPr>
          <w:rFonts w:hint="eastAsia" w:ascii="宋体" w:hAnsi="宋体" w:cs="宋体"/>
          <w:color w:val="auto"/>
          <w:kern w:val="0"/>
          <w:sz w:val="24"/>
          <w:szCs w:val="24"/>
          <w:highlight w:val="none"/>
          <w:lang w:eastAsia="zh-CN"/>
        </w:rPr>
        <w:t>提供相关功能截图证明</w:t>
      </w:r>
      <w:r>
        <w:rPr>
          <w:rFonts w:hint="eastAsia" w:ascii="宋体" w:hAnsi="宋体" w:eastAsia="宋体" w:cs="宋体"/>
          <w:color w:val="auto"/>
          <w:kern w:val="0"/>
          <w:sz w:val="24"/>
          <w:szCs w:val="24"/>
          <w:highlight w:val="none"/>
        </w:rPr>
        <w:t>）</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rPr>
        <w:t>系统应支持以即时聊天形式输入文字信息发送给检查室/诊室/窗口的工作人员，检查室/诊室/窗口工作人员可进行常用语的消息回复，并记录对话；</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rPr>
        <w:t>支持替呼功能，通过操作人员在诊台点击下一个或呼叫按钮，代替诊室/检查室/窗口工作人员呼叫下一位人员；</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rPr>
        <w:t>支持跨科室/跨诊区转诊功能；</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rPr>
        <w:t>支持鼠标右键快捷功能菜单（包括但不限于：呼叫、优先、回退、暂停、弃号等），同时支持右键菜单跟随鼠标即时展开方便操作；</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rPr>
        <w:t>支持诊区模式为急诊时，排队人员等级以不同颜色区分展示，同时展示排队候诊时长倒计时；</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rPr>
        <w:t xml:space="preserve">支持操作人员对排队人员赋予身份标识信息，包括但不限于：军人、老人、儿童等，且标识信息支持自定义添加； </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rPr>
        <w:t>支持操作人员通过图形化界面，对区域内业务终端进行重启、关机、截屏、清屏、开关机时间设置等操作； （提供</w:t>
      </w:r>
      <w:r>
        <w:rPr>
          <w:rFonts w:hint="default" w:ascii="宋体" w:hAnsi="宋体" w:cs="宋体"/>
          <w:color w:val="auto"/>
          <w:kern w:val="0"/>
          <w:sz w:val="24"/>
          <w:szCs w:val="24"/>
          <w:highlight w:val="none"/>
        </w:rPr>
        <w:t>相关功能</w:t>
      </w:r>
      <w:r>
        <w:rPr>
          <w:rFonts w:hint="eastAsia" w:ascii="宋体" w:hAnsi="宋体" w:eastAsia="宋体" w:cs="宋体"/>
          <w:color w:val="auto"/>
          <w:kern w:val="0"/>
          <w:sz w:val="24"/>
          <w:szCs w:val="24"/>
          <w:highlight w:val="none"/>
        </w:rPr>
        <w:t>截图证明）</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12.</w:t>
      </w:r>
      <w:r>
        <w:rPr>
          <w:rFonts w:hint="eastAsia" w:ascii="宋体" w:hAnsi="宋体" w:eastAsia="宋体" w:cs="宋体"/>
          <w:color w:val="auto"/>
          <w:kern w:val="0"/>
          <w:sz w:val="24"/>
          <w:szCs w:val="24"/>
          <w:highlight w:val="none"/>
        </w:rPr>
        <w:t>支持对排队等候人员进行延迟排队操作，包括但不限于延迟5分钟再排队、10分钟再排队等；  （提供相关</w:t>
      </w:r>
      <w:r>
        <w:rPr>
          <w:rFonts w:hint="default" w:ascii="宋体" w:hAnsi="宋体" w:eastAsia="宋体" w:cs="宋体"/>
          <w:color w:val="auto"/>
          <w:kern w:val="0"/>
          <w:sz w:val="24"/>
          <w:szCs w:val="24"/>
          <w:highlight w:val="none"/>
        </w:rPr>
        <w:t>功能</w:t>
      </w:r>
      <w:r>
        <w:rPr>
          <w:rFonts w:hint="eastAsia" w:ascii="宋体" w:hAnsi="宋体" w:eastAsia="宋体" w:cs="宋体"/>
          <w:color w:val="auto"/>
          <w:kern w:val="0"/>
          <w:sz w:val="24"/>
          <w:szCs w:val="24"/>
          <w:highlight w:val="none"/>
        </w:rPr>
        <w:t>截图证明）</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bookmarkStart w:id="24" w:name="_Hlk121232350"/>
      <w:r>
        <w:rPr>
          <w:rFonts w:hint="eastAsia" w:ascii="宋体" w:hAnsi="宋体" w:eastAsia="宋体" w:cs="宋体"/>
          <w:color w:val="auto"/>
          <w:kern w:val="0"/>
          <w:sz w:val="24"/>
          <w:szCs w:val="24"/>
          <w:highlight w:val="none"/>
          <w:lang w:val="en-US" w:eastAsia="zh-CN" w:bidi="ar-SA"/>
        </w:rPr>
        <w:t>13.</w:t>
      </w:r>
      <w:r>
        <w:rPr>
          <w:rFonts w:hint="eastAsia" w:ascii="宋体" w:hAnsi="宋体" w:eastAsia="宋体" w:cs="宋体"/>
          <w:color w:val="auto"/>
          <w:kern w:val="0"/>
          <w:sz w:val="24"/>
          <w:szCs w:val="24"/>
          <w:highlight w:val="none"/>
        </w:rPr>
        <w:t>支持限号功能，以图形化界面方式满足操作人员按全天、上下午、时间段方式设定限号数量</w:t>
      </w:r>
      <w:bookmarkEnd w:id="24"/>
      <w:r>
        <w:rPr>
          <w:rFonts w:hint="eastAsia" w:ascii="宋体" w:hAnsi="宋体" w:eastAsia="宋体" w:cs="宋体"/>
          <w:color w:val="auto"/>
          <w:kern w:val="0"/>
          <w:sz w:val="24"/>
          <w:szCs w:val="24"/>
          <w:highlight w:val="none"/>
        </w:rPr>
        <w:t>；</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14.</w:t>
      </w:r>
      <w:r>
        <w:rPr>
          <w:rFonts w:hint="eastAsia" w:ascii="宋体" w:hAnsi="宋体" w:eastAsia="宋体" w:cs="宋体"/>
          <w:color w:val="auto"/>
          <w:kern w:val="0"/>
          <w:sz w:val="24"/>
          <w:szCs w:val="24"/>
          <w:highlight w:val="none"/>
        </w:rPr>
        <w:t>分诊台需内置操作手册，方便护士操作过程中随时学习操作方法；</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rPr>
        <w:t>早间高峰期患者突增情况下，分诊台软件须支持自动报到和手动批量报到机制，避免患者拥堵分诊台签到，降低排队护士工作量；</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16.</w:t>
      </w:r>
      <w:r>
        <w:rPr>
          <w:rFonts w:hint="eastAsia" w:ascii="宋体" w:hAnsi="宋体" w:eastAsia="宋体" w:cs="宋体"/>
          <w:color w:val="auto"/>
          <w:kern w:val="0"/>
          <w:sz w:val="24"/>
          <w:szCs w:val="24"/>
          <w:highlight w:val="none"/>
        </w:rPr>
        <w:t>在普通号情况下，分诊台系统须支持将患者手动分配至指定医生或诊室下排队候诊；</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17.</w:t>
      </w:r>
      <w:r>
        <w:rPr>
          <w:rFonts w:hint="eastAsia" w:ascii="宋体" w:hAnsi="宋体" w:eastAsia="宋体" w:cs="宋体"/>
          <w:color w:val="auto"/>
          <w:kern w:val="0"/>
          <w:sz w:val="24"/>
          <w:szCs w:val="24"/>
          <w:highlight w:val="none"/>
        </w:rPr>
        <w:t>支持复诊（回诊）患者签到再次进入队列功能，同时可根据需求设置复诊插队策略，例如：优先插队、间隔插队； （</w:t>
      </w:r>
      <w:r>
        <w:rPr>
          <w:rFonts w:hint="eastAsia" w:ascii="宋体" w:hAnsi="宋体" w:cs="宋体"/>
          <w:color w:val="auto"/>
          <w:kern w:val="0"/>
          <w:sz w:val="24"/>
          <w:szCs w:val="24"/>
          <w:highlight w:val="none"/>
          <w:lang w:eastAsia="zh-CN"/>
        </w:rPr>
        <w:t>提供相关功能截图证明</w:t>
      </w:r>
      <w:r>
        <w:rPr>
          <w:rFonts w:hint="eastAsia" w:ascii="宋体" w:hAnsi="宋体" w:eastAsia="宋体" w:cs="宋体"/>
          <w:color w:val="auto"/>
          <w:kern w:val="0"/>
          <w:sz w:val="24"/>
          <w:szCs w:val="24"/>
          <w:highlight w:val="none"/>
        </w:rPr>
        <w:t>）</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18.</w:t>
      </w:r>
      <w:r>
        <w:rPr>
          <w:rFonts w:hint="eastAsia" w:ascii="宋体" w:hAnsi="宋体" w:eastAsia="宋体" w:cs="宋体"/>
          <w:color w:val="auto"/>
          <w:kern w:val="0"/>
          <w:sz w:val="24"/>
          <w:szCs w:val="24"/>
          <w:highlight w:val="none"/>
        </w:rPr>
        <w:t>分诊台须支持操作记录追溯功能，可按日期、按患者卡号等多种方式进行查询追溯；支持查看患者往期就诊记录，包括就诊队列、操作时间、工作人员等；（</w:t>
      </w:r>
      <w:r>
        <w:rPr>
          <w:rFonts w:hint="eastAsia" w:ascii="宋体" w:hAnsi="宋体" w:cs="宋体"/>
          <w:color w:val="auto"/>
          <w:kern w:val="0"/>
          <w:sz w:val="24"/>
          <w:szCs w:val="24"/>
          <w:highlight w:val="none"/>
          <w:lang w:eastAsia="zh-CN"/>
        </w:rPr>
        <w:t>提供相关功能截图证明</w:t>
      </w:r>
      <w:r>
        <w:rPr>
          <w:rFonts w:hint="eastAsia" w:ascii="宋体" w:hAnsi="宋体" w:eastAsia="宋体" w:cs="宋体"/>
          <w:color w:val="auto"/>
          <w:kern w:val="0"/>
          <w:sz w:val="24"/>
          <w:szCs w:val="24"/>
          <w:highlight w:val="none"/>
        </w:rPr>
        <w:t>）</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19.</w:t>
      </w:r>
      <w:r>
        <w:rPr>
          <w:rFonts w:hint="eastAsia" w:ascii="宋体" w:hAnsi="宋体" w:eastAsia="宋体" w:cs="宋体"/>
          <w:color w:val="auto"/>
          <w:kern w:val="0"/>
          <w:sz w:val="24"/>
          <w:szCs w:val="24"/>
          <w:highlight w:val="none"/>
          <w:lang w:eastAsia="zh-CN"/>
        </w:rPr>
        <w:t>软件支持密码登录功能，防止其他人员误操作。</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bookmarkStart w:id="25" w:name="_Toc512333249"/>
      <w:r>
        <w:rPr>
          <w:rFonts w:hint="eastAsia" w:ascii="宋体" w:hAnsi="宋体" w:eastAsia="宋体" w:cs="宋体"/>
          <w:color w:val="auto"/>
          <w:sz w:val="24"/>
          <w:szCs w:val="24"/>
          <w:highlight w:val="none"/>
        </w:rPr>
        <w:t>医生工作站客户端软件</w:t>
      </w:r>
      <w:bookmarkEnd w:id="25"/>
      <w:r>
        <w:rPr>
          <w:rFonts w:hint="eastAsia" w:ascii="宋体" w:hAnsi="宋体" w:eastAsia="宋体" w:cs="宋体"/>
          <w:color w:val="auto"/>
          <w:sz w:val="24"/>
          <w:szCs w:val="24"/>
          <w:highlight w:val="none"/>
        </w:rPr>
        <w:t>需求</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支持输入用户名验证身份登录；</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支持呼叫快捷键设定；</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支持呼叫业务操作功能，包括但不限于：顺呼、重呼、过号、完成、停诊等；</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支持使用人员与分诊台发送文字聊天功能；</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支持展示已签到排队人员列表，包括但不限于：等候人数、序号、姓名、性别、年龄、及预检补录信息中的血压、体温、候诊时长或检查项目注意事项等；</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支持展示过号人员列表，具体内容包括但不限于：排队序号、姓名、性别、过号时间等；</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支持在有新患者时语音及弹框提示；</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支持跨诊区跨科室转诊功能，医生叫号后，如发现患者挂错科室，可直接为患者转诊至相应科室，减少患者多走路；</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提供相关功能截图证明</w:t>
      </w:r>
      <w:r>
        <w:rPr>
          <w:rFonts w:hint="eastAsia" w:ascii="宋体" w:hAnsi="宋体" w:eastAsia="宋体" w:cs="宋体"/>
          <w:color w:val="auto"/>
          <w:kern w:val="0"/>
          <w:sz w:val="24"/>
          <w:szCs w:val="24"/>
          <w:highlight w:val="none"/>
        </w:rPr>
        <w:t>）</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支持多队列混合排序展示列表；</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支持医生求援功能，当即将发生伤医事件时可通过快捷按键隐蔽触发求援，通知护士站、门办及第三方安保力量；</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支持停诊操作，点击停诊后停止呼叫诊区候诊人员，可呼叫门口等候人员；</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rPr>
        <w:t>支持文字转语音广播功能，通过输入文字选择业务终端发送广播；</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rPr>
        <w:t>支持双击各类列表内的任一人员姓名，执行即时呼叫动作；</w:t>
      </w:r>
    </w:p>
    <w:p>
      <w:pPr>
        <w:pStyle w:val="581"/>
        <w:keepLines w:val="0"/>
        <w:pageBreakBefore w:val="0"/>
        <w:numPr>
          <w:ilvl w:val="0"/>
          <w:numId w:val="0"/>
        </w:numPr>
        <w:kinsoku/>
        <w:wordWrap/>
        <w:overflowPunct/>
        <w:topLinePunct w:val="0"/>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rPr>
        <w:t>支持顺呼模式、顺呼简洁模式、扫描呼叫模式、选呼模式；</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须支持叫号器样式选择，支持常规叫号模式和大字体叫号模式； </w:t>
      </w:r>
    </w:p>
    <w:p>
      <w:pPr>
        <w:pStyle w:val="134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16.</w:t>
      </w:r>
      <w:r>
        <w:rPr>
          <w:rFonts w:hint="eastAsia" w:ascii="宋体" w:hAnsi="宋体" w:eastAsia="宋体" w:cs="宋体"/>
          <w:color w:val="auto"/>
          <w:kern w:val="0"/>
          <w:sz w:val="24"/>
          <w:szCs w:val="24"/>
          <w:highlight w:val="none"/>
        </w:rPr>
        <w:t>可开放叫号器功能接口，允许第三方系统调用；</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客户端授权软件需求</w:t>
      </w:r>
    </w:p>
    <w:p>
      <w:pPr>
        <w:keepLines w:val="0"/>
        <w:pageBreakBefore w:val="0"/>
        <w:numPr>
          <w:ilvl w:val="0"/>
          <w:numId w:val="10"/>
        </w:numPr>
        <w:kinsoku/>
        <w:wordWrap/>
        <w:overflowPunct/>
        <w:topLinePunct w:val="0"/>
        <w:bidi w:val="0"/>
        <w:adjustRightInd/>
        <w:spacing w:line="360" w:lineRule="auto"/>
        <w:ind w:left="0"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每个终端需具备证书授权功能，防止内容篡改，保证稳定发布。</w:t>
      </w:r>
    </w:p>
    <w:p>
      <w:pPr>
        <w:keepLines w:val="0"/>
        <w:pageBreakBefore w:val="0"/>
        <w:numPr>
          <w:ilvl w:val="0"/>
          <w:numId w:val="10"/>
        </w:numPr>
        <w:kinsoku/>
        <w:wordWrap/>
        <w:overflowPunct/>
        <w:topLinePunct w:val="0"/>
        <w:bidi w:val="0"/>
        <w:adjustRightInd/>
        <w:spacing w:line="360" w:lineRule="auto"/>
        <w:ind w:left="0"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支持基于HTTP、RTSP、UDP等各类流媒体协议的视频流接收及播放，可以设定缓冲，支持多终端同步播放；</w:t>
      </w:r>
    </w:p>
    <w:p>
      <w:pPr>
        <w:keepLines w:val="0"/>
        <w:pageBreakBefore w:val="0"/>
        <w:numPr>
          <w:ilvl w:val="0"/>
          <w:numId w:val="10"/>
        </w:numPr>
        <w:kinsoku/>
        <w:wordWrap/>
        <w:overflowPunct/>
        <w:topLinePunct w:val="0"/>
        <w:bidi w:val="0"/>
        <w:adjustRightInd/>
        <w:spacing w:line="360" w:lineRule="auto"/>
        <w:ind w:left="0"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应具备接收来自系统的播放时间端数据，基于硬件的RTC时钟设计，进行终端的起动、关闭进入低功耗模式等操作动作。</w:t>
      </w:r>
    </w:p>
    <w:p>
      <w:pPr>
        <w:pStyle w:val="6"/>
        <w:keepLines w:val="0"/>
        <w:pageBreakBefore w:val="0"/>
        <w:numPr>
          <w:ilvl w:val="0"/>
          <w:numId w:val="1"/>
        </w:numPr>
        <w:kinsoku/>
        <w:wordWrap/>
        <w:overflowPunct/>
        <w:topLinePunct w:val="0"/>
        <w:bidi w:val="0"/>
        <w:adjustRightInd/>
        <w:spacing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19寸一体机</w:t>
      </w:r>
    </w:p>
    <w:tbl>
      <w:tblPr>
        <w:tblStyle w:val="81"/>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0"/>
        <w:gridCol w:w="8058"/>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8058"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技术规格要求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显示屏尺寸：19英寸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处理器要求：不低于四核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内存要求：≥1GB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外存储：≥8GB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操作系统：Android，且操作系统需为厂家深度开发定制产品，稳定性高，不易遭受病毒感染。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分辨率≥1366*768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7</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屏幕厚度≤25mm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音频格式:支持MP3/WMA/AAC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9</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视频格式:支持RMVB/AVI/MPG/MKV/VOB/MP4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10</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数据接口：需支持USB、RJ45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支持定时开关机，支持定时下载、定时播放、下载限速、断点续传；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安装方式要求：壁挂安装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其他</w:t>
            </w:r>
            <w:r>
              <w:rPr>
                <w:rFonts w:hint="eastAsia" w:ascii="宋体" w:hAnsi="宋体" w:eastAsia="宋体" w:cs="宋体"/>
                <w:b w:val="0"/>
                <w:color w:val="auto"/>
                <w:sz w:val="24"/>
                <w:szCs w:val="24"/>
                <w:highlight w:val="none"/>
              </w:rPr>
              <w:t>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13.1</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要求设备安全防护的强度达到GB 4943.1-2022中P级判定，提供</w:t>
            </w:r>
            <w:r>
              <w:rPr>
                <w:rFonts w:hint="eastAsia" w:ascii="宋体" w:hAnsi="宋体" w:cs="宋体"/>
                <w:b w:val="0"/>
                <w:color w:val="auto"/>
                <w:sz w:val="24"/>
                <w:szCs w:val="24"/>
                <w:highlight w:val="none"/>
                <w:lang w:val="en-US" w:eastAsia="zh-CN"/>
              </w:rPr>
              <w:t>具有</w:t>
            </w:r>
            <w:r>
              <w:rPr>
                <w:rFonts w:hint="eastAsia" w:ascii="宋体" w:hAnsi="宋体" w:eastAsia="宋体" w:cs="宋体"/>
                <w:b w:val="0"/>
                <w:color w:val="auto"/>
                <w:sz w:val="24"/>
                <w:szCs w:val="24"/>
                <w:highlight w:val="none"/>
              </w:rPr>
              <w:t>CMA</w:t>
            </w:r>
            <w:r>
              <w:rPr>
                <w:rFonts w:hint="eastAsia" w:ascii="宋体" w:hAnsi="宋体" w:cs="宋体"/>
                <w:b w:val="0"/>
                <w:color w:val="auto"/>
                <w:sz w:val="24"/>
                <w:szCs w:val="24"/>
                <w:highlight w:val="none"/>
                <w:lang w:val="en-US" w:eastAsia="zh-CN"/>
              </w:rPr>
              <w:t>标识的第三方检测机构出具</w:t>
            </w:r>
            <w:r>
              <w:rPr>
                <w:rFonts w:hint="eastAsia" w:ascii="宋体" w:hAnsi="宋体" w:eastAsia="宋体" w:cs="宋体"/>
                <w:b w:val="0"/>
                <w:color w:val="auto"/>
                <w:sz w:val="24"/>
                <w:szCs w:val="24"/>
                <w:highlight w:val="none"/>
              </w:rPr>
              <w:t>的检测报告</w:t>
            </w:r>
            <w:r>
              <w:rPr>
                <w:rFonts w:hint="eastAsia" w:ascii="宋体" w:hAnsi="宋体" w:cs="宋体"/>
                <w:b w:val="0"/>
                <w:color w:val="auto"/>
                <w:sz w:val="24"/>
                <w:szCs w:val="24"/>
                <w:highlight w:val="none"/>
                <w:lang w:val="en-US" w:eastAsia="zh-CN"/>
              </w:rPr>
              <w:t>复印件</w:t>
            </w:r>
            <w:r>
              <w:rPr>
                <w:rFonts w:hint="eastAsia" w:ascii="宋体" w:hAnsi="宋体" w:eastAsia="宋体" w:cs="宋体"/>
                <w:b w:val="0"/>
                <w:color w:val="auto"/>
                <w:sz w:val="24"/>
                <w:szCs w:val="24"/>
                <w:highlight w:val="none"/>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13.2</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具备分屏显示功能，可以将模版画面分屏显示，可划分多个区域,每个区域内都可以混合播放不同类型的素材，提供</w:t>
            </w:r>
            <w:r>
              <w:rPr>
                <w:rFonts w:hint="eastAsia" w:ascii="宋体" w:hAnsi="宋体" w:cs="宋体"/>
                <w:b w:val="0"/>
                <w:color w:val="auto"/>
                <w:sz w:val="24"/>
                <w:szCs w:val="24"/>
                <w:highlight w:val="none"/>
                <w:lang w:val="en-US" w:eastAsia="zh-CN"/>
              </w:rPr>
              <w:t>具有</w:t>
            </w:r>
            <w:r>
              <w:rPr>
                <w:rFonts w:hint="eastAsia" w:ascii="宋体" w:hAnsi="宋体" w:eastAsia="宋体" w:cs="宋体"/>
                <w:b w:val="0"/>
                <w:color w:val="auto"/>
                <w:sz w:val="24"/>
                <w:szCs w:val="24"/>
                <w:highlight w:val="none"/>
              </w:rPr>
              <w:t>CMA</w:t>
            </w:r>
            <w:r>
              <w:rPr>
                <w:rFonts w:hint="eastAsia" w:ascii="宋体" w:hAnsi="宋体" w:cs="宋体"/>
                <w:b w:val="0"/>
                <w:color w:val="auto"/>
                <w:sz w:val="24"/>
                <w:szCs w:val="24"/>
                <w:highlight w:val="none"/>
                <w:lang w:val="en-US" w:eastAsia="zh-CN"/>
              </w:rPr>
              <w:t>标识的第三方检测机构出具</w:t>
            </w:r>
            <w:r>
              <w:rPr>
                <w:rFonts w:hint="eastAsia" w:ascii="宋体" w:hAnsi="宋体" w:eastAsia="宋体" w:cs="宋体"/>
                <w:b w:val="0"/>
                <w:color w:val="auto"/>
                <w:sz w:val="24"/>
                <w:szCs w:val="24"/>
                <w:highlight w:val="none"/>
              </w:rPr>
              <w:t>的检测报告</w:t>
            </w:r>
            <w:r>
              <w:rPr>
                <w:rFonts w:hint="eastAsia" w:ascii="宋体" w:hAnsi="宋体" w:cs="宋体"/>
                <w:b w:val="0"/>
                <w:color w:val="auto"/>
                <w:sz w:val="24"/>
                <w:szCs w:val="24"/>
                <w:highlight w:val="none"/>
                <w:lang w:val="en-US" w:eastAsia="zh-CN"/>
              </w:rPr>
              <w:t>复印件</w:t>
            </w:r>
            <w:r>
              <w:rPr>
                <w:rFonts w:hint="eastAsia" w:ascii="宋体" w:hAnsi="宋体" w:eastAsia="宋体" w:cs="宋体"/>
                <w:b w:val="0"/>
                <w:color w:val="auto"/>
                <w:sz w:val="24"/>
                <w:szCs w:val="24"/>
                <w:highlight w:val="none"/>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13.3</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为便于管理，要求设备具有远程操作功能，设备可以通过网络控制终端设备执行远程开机、远程关机、远程重启、定时开关机、远程控制、远程截图、远程桌面、远程音量调节、远程日志抓取、磁盘信息、下载查看、设备信息、状态统计、下载限速、终端音量、终端亮度、定时播放监控、定时刷新、自动截取所有设备当前播放画面等操作，</w:t>
            </w:r>
            <w:r>
              <w:rPr>
                <w:rFonts w:hint="eastAsia" w:ascii="宋体" w:hAnsi="宋体" w:eastAsia="宋体" w:cs="宋体"/>
                <w:b w:val="0"/>
                <w:color w:val="auto"/>
                <w:sz w:val="24"/>
                <w:szCs w:val="24"/>
                <w:highlight w:val="none"/>
              </w:rPr>
              <w:t>提供</w:t>
            </w:r>
            <w:r>
              <w:rPr>
                <w:rFonts w:hint="eastAsia" w:ascii="宋体" w:hAnsi="宋体" w:cs="宋体"/>
                <w:b w:val="0"/>
                <w:color w:val="auto"/>
                <w:sz w:val="24"/>
                <w:szCs w:val="24"/>
                <w:highlight w:val="none"/>
                <w:lang w:val="en-US" w:eastAsia="zh-CN"/>
              </w:rPr>
              <w:t>具有</w:t>
            </w:r>
            <w:r>
              <w:rPr>
                <w:rFonts w:hint="eastAsia" w:ascii="宋体" w:hAnsi="宋体" w:eastAsia="宋体" w:cs="宋体"/>
                <w:b w:val="0"/>
                <w:color w:val="auto"/>
                <w:sz w:val="24"/>
                <w:szCs w:val="24"/>
                <w:highlight w:val="none"/>
              </w:rPr>
              <w:t>CMA</w:t>
            </w:r>
            <w:r>
              <w:rPr>
                <w:rFonts w:hint="eastAsia" w:ascii="宋体" w:hAnsi="宋体" w:cs="宋体"/>
                <w:b w:val="0"/>
                <w:color w:val="auto"/>
                <w:sz w:val="24"/>
                <w:szCs w:val="24"/>
                <w:highlight w:val="none"/>
                <w:lang w:val="en-US" w:eastAsia="zh-CN"/>
              </w:rPr>
              <w:t>标识的第三方检测机构出具</w:t>
            </w:r>
            <w:r>
              <w:rPr>
                <w:rFonts w:hint="eastAsia" w:ascii="宋体" w:hAnsi="宋体" w:eastAsia="宋体" w:cs="宋体"/>
                <w:b w:val="0"/>
                <w:color w:val="auto"/>
                <w:sz w:val="24"/>
                <w:szCs w:val="24"/>
                <w:highlight w:val="none"/>
              </w:rPr>
              <w:t>的检测报告</w:t>
            </w:r>
            <w:r>
              <w:rPr>
                <w:rFonts w:hint="eastAsia" w:ascii="宋体" w:hAnsi="宋体" w:cs="宋体"/>
                <w:b w:val="0"/>
                <w:color w:val="auto"/>
                <w:sz w:val="24"/>
                <w:szCs w:val="24"/>
                <w:highlight w:val="none"/>
                <w:lang w:val="en-US" w:eastAsia="zh-CN"/>
              </w:rPr>
              <w:t>复印件</w:t>
            </w:r>
            <w:r>
              <w:rPr>
                <w:rFonts w:hint="eastAsia" w:ascii="宋体" w:hAnsi="宋体" w:eastAsia="宋体" w:cs="宋体"/>
                <w:b w:val="0"/>
                <w:color w:val="auto"/>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提供相关功能截图证明</w:t>
            </w:r>
            <w:r>
              <w:rPr>
                <w:rFonts w:hint="eastAsia" w:ascii="宋体" w:hAnsi="宋体" w:eastAsia="宋体" w:cs="宋体"/>
                <w:color w:val="auto"/>
                <w:kern w:val="0"/>
                <w:sz w:val="24"/>
                <w:szCs w:val="24"/>
                <w:highlight w:val="none"/>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13.4</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要求提供显示设备外壳材料铜绿假单胞菌和金黄色葡萄球菌抗菌率检测报告，</w:t>
            </w:r>
            <w:r>
              <w:rPr>
                <w:rFonts w:hint="eastAsia" w:ascii="宋体" w:hAnsi="宋体" w:eastAsia="宋体" w:cs="宋体"/>
                <w:b w:val="0"/>
                <w:color w:val="auto"/>
                <w:sz w:val="24"/>
                <w:szCs w:val="24"/>
                <w:highlight w:val="none"/>
              </w:rPr>
              <w:t>提供</w:t>
            </w:r>
            <w:r>
              <w:rPr>
                <w:rFonts w:hint="eastAsia" w:ascii="宋体" w:hAnsi="宋体" w:cs="宋体"/>
                <w:b w:val="0"/>
                <w:color w:val="auto"/>
                <w:sz w:val="24"/>
                <w:szCs w:val="24"/>
                <w:highlight w:val="none"/>
                <w:lang w:val="en-US" w:eastAsia="zh-CN"/>
              </w:rPr>
              <w:t>具有</w:t>
            </w:r>
            <w:r>
              <w:rPr>
                <w:rFonts w:hint="eastAsia" w:ascii="宋体" w:hAnsi="宋体" w:eastAsia="宋体" w:cs="宋体"/>
                <w:b w:val="0"/>
                <w:color w:val="auto"/>
                <w:sz w:val="24"/>
                <w:szCs w:val="24"/>
                <w:highlight w:val="none"/>
              </w:rPr>
              <w:t>CMA</w:t>
            </w:r>
            <w:r>
              <w:rPr>
                <w:rFonts w:hint="eastAsia" w:ascii="宋体" w:hAnsi="宋体" w:cs="宋体"/>
                <w:b w:val="0"/>
                <w:color w:val="auto"/>
                <w:sz w:val="24"/>
                <w:szCs w:val="24"/>
                <w:highlight w:val="none"/>
                <w:lang w:val="en-US" w:eastAsia="zh-CN"/>
              </w:rPr>
              <w:t>标识的第三方检测机构出具</w:t>
            </w:r>
            <w:r>
              <w:rPr>
                <w:rFonts w:hint="eastAsia" w:ascii="宋体" w:hAnsi="宋体" w:eastAsia="宋体" w:cs="宋体"/>
                <w:b w:val="0"/>
                <w:color w:val="auto"/>
                <w:sz w:val="24"/>
                <w:szCs w:val="24"/>
                <w:highlight w:val="none"/>
              </w:rPr>
              <w:t>的检测报告</w:t>
            </w:r>
            <w:r>
              <w:rPr>
                <w:rFonts w:hint="eastAsia" w:ascii="宋体" w:hAnsi="宋体" w:cs="宋体"/>
                <w:b w:val="0"/>
                <w:color w:val="auto"/>
                <w:sz w:val="24"/>
                <w:szCs w:val="24"/>
                <w:highlight w:val="none"/>
                <w:lang w:val="en-US" w:eastAsia="zh-CN"/>
              </w:rPr>
              <w:t>复印件</w:t>
            </w:r>
            <w:r>
              <w:rPr>
                <w:rFonts w:hint="eastAsia" w:ascii="宋体" w:hAnsi="宋体" w:eastAsia="宋体" w:cs="宋体"/>
                <w:b w:val="0"/>
                <w:color w:val="auto"/>
                <w:sz w:val="24"/>
                <w:szCs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tcBorders>
              <w:tl2br w:val="nil"/>
              <w:tr2bl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13.5</w:t>
            </w:r>
          </w:p>
        </w:tc>
        <w:tc>
          <w:tcPr>
            <w:tcW w:w="8058"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兼容性：要求软硬件为同一厂家生产，保证系统运行的稳定性，提供相关证明资料。</w:t>
            </w:r>
          </w:p>
        </w:tc>
      </w:tr>
    </w:tbl>
    <w:p>
      <w:pPr>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p>
    <w:p>
      <w:pPr>
        <w:pStyle w:val="6"/>
        <w:keepLines w:val="0"/>
        <w:pageBreakBefore w:val="0"/>
        <w:numPr>
          <w:ilvl w:val="0"/>
          <w:numId w:val="1"/>
        </w:numPr>
        <w:kinsoku/>
        <w:wordWrap/>
        <w:overflowPunct/>
        <w:topLinePunct w:val="0"/>
        <w:bidi w:val="0"/>
        <w:spacing w:after="120"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落地式签到机</w:t>
      </w:r>
    </w:p>
    <w:tbl>
      <w:tblPr>
        <w:tblStyle w:val="81"/>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249"/>
        <w:gridCol w:w="684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49"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规格参数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249"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基本参数</w:t>
            </w: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材质：五金结构</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安装：立式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249"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主板参数</w:t>
            </w: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CPU：双核 2.4GHz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内存：≥ 4GB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外存储：≥128BG固态硬盘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系统：WINDOWS系统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249"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屏参数</w:t>
            </w: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尺寸：22寸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屏显比例：16：9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分辨率：≥1920 x 1080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亮度：≥250 cd/m²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视角：U/D/R/L(CR＞10)：89 /89 /89/89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屏寿命：≥25000 小时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249"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I/O接口（外部）</w:t>
            </w: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通信接口：10/100Mbps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249"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功率</w:t>
            </w: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整机额定功率：≤50W</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待机功率：≤1W</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工作电压：AC220V 50HZ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249"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防病毒攻击</w:t>
            </w: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为防止终端病毒攻击，要求设备内置防火墙，数字证书等安全软件。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7.1</w:t>
            </w:r>
          </w:p>
        </w:tc>
        <w:tc>
          <w:tcPr>
            <w:tcW w:w="1249" w:type="dxa"/>
            <w:vMerge w:val="restart"/>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其他技术要求</w:t>
            </w: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触摸：电容触摸，支持多点触摸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7.2</w:t>
            </w: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读卡模块：社保卡、就诊卡读卡；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7.3</w:t>
            </w: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扫描模块：一维码、二维码扫码，支持电子凭证扫码；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7.4</w:t>
            </w: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为保障用电安全，要求设备具有安全电压接入设计装，</w:t>
            </w:r>
            <w:r>
              <w:rPr>
                <w:rFonts w:hint="eastAsia" w:ascii="宋体" w:hAnsi="宋体" w:cs="宋体"/>
                <w:b w:val="0"/>
                <w:bCs/>
                <w:color w:val="auto"/>
                <w:sz w:val="24"/>
                <w:szCs w:val="24"/>
                <w:highlight w:val="none"/>
                <w:lang w:eastAsia="zh-CN"/>
              </w:rPr>
              <w:t>提供具有CMA标识的第三方检测机构出具的检测报告复印件</w:t>
            </w:r>
            <w:r>
              <w:rPr>
                <w:rFonts w:hint="eastAsia" w:ascii="宋体" w:hAnsi="宋体" w:eastAsia="宋体" w:cs="宋体"/>
                <w:b w:val="0"/>
                <w:bCs/>
                <w:color w:val="auto"/>
                <w:sz w:val="24"/>
                <w:szCs w:val="24"/>
                <w:highlight w:val="none"/>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7.5</w:t>
            </w: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为便于管理，要求设备具有远程操作功能，设备可以通过网络控制终端设备执行远程开机、远程关机、远程重启、定时开关机、远程控制、远程截图、远程桌面、远程音量调节、远程日志抓取、磁盘信息、下载查看、设备信息、状态统计、下载限速、终端音量、终端亮度、定时播放监控、定时刷新、自动截取所有设备当前播放画面等操作，</w:t>
            </w:r>
            <w:r>
              <w:rPr>
                <w:rFonts w:hint="eastAsia" w:ascii="宋体" w:hAnsi="宋体" w:cs="宋体"/>
                <w:b w:val="0"/>
                <w:bCs/>
                <w:color w:val="auto"/>
                <w:sz w:val="24"/>
                <w:szCs w:val="24"/>
                <w:highlight w:val="none"/>
                <w:lang w:eastAsia="zh-CN"/>
              </w:rPr>
              <w:t>提供具有CMA标识的第三方检测机构出具的检测报告复印件</w:t>
            </w:r>
            <w:r>
              <w:rPr>
                <w:rFonts w:hint="eastAsia" w:ascii="宋体" w:hAnsi="宋体" w:eastAsia="宋体" w:cs="宋体"/>
                <w:b w:val="0"/>
                <w:bCs/>
                <w:color w:val="auto"/>
                <w:sz w:val="24"/>
                <w:szCs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7.6</w:t>
            </w: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要求设备支持多种素材播放，具有图片、视频、幻灯片、静态文本等多种媒体样式的素材管理和播放，</w:t>
            </w:r>
            <w:r>
              <w:rPr>
                <w:rFonts w:hint="eastAsia" w:ascii="宋体" w:hAnsi="宋体" w:cs="宋体"/>
                <w:b w:val="0"/>
                <w:bCs/>
                <w:color w:val="auto"/>
                <w:sz w:val="24"/>
                <w:szCs w:val="24"/>
                <w:highlight w:val="none"/>
                <w:lang w:eastAsia="zh-CN"/>
              </w:rPr>
              <w:t>提供具有CMA标识的第三方检测机构出具的检测报告复印件</w:t>
            </w:r>
            <w:r>
              <w:rPr>
                <w:rFonts w:hint="eastAsia" w:ascii="宋体" w:hAnsi="宋体" w:eastAsia="宋体" w:cs="宋体"/>
                <w:b w:val="0"/>
                <w:bCs/>
                <w:color w:val="auto"/>
                <w:sz w:val="24"/>
                <w:szCs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7.7</w:t>
            </w:r>
          </w:p>
        </w:tc>
        <w:tc>
          <w:tcPr>
            <w:tcW w:w="1249" w:type="dxa"/>
            <w:vMerge w:val="continue"/>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p>
        </w:tc>
        <w:tc>
          <w:tcPr>
            <w:tcW w:w="6840" w:type="dxa"/>
            <w:tcBorders>
              <w:tl2br w:val="nil"/>
              <w:tr2bl w:val="nil"/>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要求提供显示设备外壳材料铜绿假单胞菌和金黄色葡萄球菌抗菌率检测报告，</w:t>
            </w:r>
            <w:r>
              <w:rPr>
                <w:rFonts w:hint="eastAsia" w:ascii="宋体" w:hAnsi="宋体" w:cs="宋体"/>
                <w:b w:val="0"/>
                <w:bCs/>
                <w:color w:val="auto"/>
                <w:sz w:val="24"/>
                <w:szCs w:val="24"/>
                <w:highlight w:val="none"/>
                <w:lang w:eastAsia="zh-CN"/>
              </w:rPr>
              <w:t>提供具有CMA标识的第三方检测机构出具的检测报告复印件</w:t>
            </w:r>
            <w:r>
              <w:rPr>
                <w:rFonts w:hint="eastAsia" w:ascii="宋体" w:hAnsi="宋体" w:eastAsia="宋体" w:cs="宋体"/>
                <w:b w:val="0"/>
                <w:bCs/>
                <w:color w:val="auto"/>
                <w:sz w:val="24"/>
                <w:szCs w:val="24"/>
                <w:highlight w:val="none"/>
                <w:lang w:eastAsia="zh-CN"/>
              </w:rPr>
              <w:t>；</w:t>
            </w:r>
          </w:p>
        </w:tc>
      </w:tr>
    </w:tbl>
    <w:p>
      <w:pPr>
        <w:pStyle w:val="6"/>
        <w:keepLines w:val="0"/>
        <w:pageBreakBefore w:val="0"/>
        <w:numPr>
          <w:ilvl w:val="0"/>
          <w:numId w:val="1"/>
        </w:numPr>
        <w:kinsoku/>
        <w:wordWrap/>
        <w:overflowPunct/>
        <w:topLinePunct w:val="0"/>
        <w:bidi w:val="0"/>
        <w:spacing w:after="120" w:line="360" w:lineRule="auto"/>
        <w:ind w:left="-422" w:leftChars="0" w:right="0" w:firstLine="42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机顶盒</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double" w:color="000000" w:sz="4" w:space="0"/>
              <w:left w:val="double" w:color="000000" w:sz="4" w:space="0"/>
              <w:bottom w:val="single" w:color="000000" w:sz="4" w:space="0"/>
              <w:right w:val="single" w:color="000000" w:sz="4" w:space="0"/>
              <w:tl2br w:val="nil"/>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序号</w:t>
            </w:r>
          </w:p>
        </w:tc>
        <w:tc>
          <w:tcPr>
            <w:tcW w:w="7931" w:type="dxa"/>
            <w:tcBorders>
              <w:top w:val="double" w:color="000000" w:sz="4" w:space="0"/>
              <w:left w:val="single" w:color="000000" w:sz="4" w:space="0"/>
              <w:bottom w:val="single" w:color="000000" w:sz="4" w:space="0"/>
              <w:right w:val="doub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材质：金属外壳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处理器要求：不低于四核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内存要求：≥2GB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4</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外存储：≥8GB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操作系统：Android9，且操作系统需为厂家深度开发定制产品，稳定性高，不易遭受病毒感染。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6</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 xml:space="preserve">视频接口：HDMI/AV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 xml:space="preserve">音频接口：3.5 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8</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数据接口：USB2.0/USB3.0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9</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 xml:space="preserve">通信接口：10/100Mbps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10</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 xml:space="preserve">音频解码器: </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MP3/WMA/AAC/WAV/OGG/DDP/TrueHD/HD/FLAC/APE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11</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视频解码器:</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VP9/H.265/AVS2 up to 4Kx2K@60fps,H.264 4K @30fps, AVS+/VC-1/MPEG1-4 1080P @60fps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12</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图片格式：HD JPEG/BMP/GIF/PNG/TIFF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13</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工作电压要求：DC 5V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14</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其他</w:t>
            </w:r>
            <w:r>
              <w:rPr>
                <w:rFonts w:hint="eastAsia" w:ascii="宋体" w:hAnsi="宋体" w:eastAsia="宋体" w:cs="宋体"/>
                <w:b w:val="0"/>
                <w:bCs/>
                <w:color w:val="auto"/>
                <w:sz w:val="24"/>
                <w:szCs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14.1</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具备分屏显示功能，可以将模版画面分屏显示，可划分多个区域,每个区域内都可以混合播放不同类型的素材，</w:t>
            </w:r>
            <w:r>
              <w:rPr>
                <w:rFonts w:hint="eastAsia" w:ascii="宋体" w:hAnsi="宋体" w:eastAsia="宋体" w:cs="宋体"/>
                <w:b w:val="0"/>
                <w:color w:val="auto"/>
                <w:sz w:val="24"/>
                <w:szCs w:val="24"/>
                <w:highlight w:val="none"/>
              </w:rPr>
              <w:t>提供</w:t>
            </w:r>
            <w:r>
              <w:rPr>
                <w:rFonts w:hint="eastAsia" w:ascii="宋体" w:hAnsi="宋体" w:cs="宋体"/>
                <w:b w:val="0"/>
                <w:color w:val="auto"/>
                <w:sz w:val="24"/>
                <w:szCs w:val="24"/>
                <w:highlight w:val="none"/>
                <w:lang w:val="en-US" w:eastAsia="zh-CN"/>
              </w:rPr>
              <w:t>具有</w:t>
            </w:r>
            <w:r>
              <w:rPr>
                <w:rFonts w:hint="eastAsia" w:ascii="宋体" w:hAnsi="宋体" w:eastAsia="宋体" w:cs="宋体"/>
                <w:b w:val="0"/>
                <w:color w:val="auto"/>
                <w:sz w:val="24"/>
                <w:szCs w:val="24"/>
                <w:highlight w:val="none"/>
              </w:rPr>
              <w:t>CMA</w:t>
            </w:r>
            <w:r>
              <w:rPr>
                <w:rFonts w:hint="eastAsia" w:ascii="宋体" w:hAnsi="宋体" w:cs="宋体"/>
                <w:b w:val="0"/>
                <w:color w:val="auto"/>
                <w:sz w:val="24"/>
                <w:szCs w:val="24"/>
                <w:highlight w:val="none"/>
                <w:lang w:val="en-US" w:eastAsia="zh-CN"/>
              </w:rPr>
              <w:t>标识的第三方检测机构出具</w:t>
            </w:r>
            <w:r>
              <w:rPr>
                <w:rFonts w:hint="eastAsia" w:ascii="宋体" w:hAnsi="宋体" w:eastAsia="宋体" w:cs="宋体"/>
                <w:b w:val="0"/>
                <w:color w:val="auto"/>
                <w:sz w:val="24"/>
                <w:szCs w:val="24"/>
                <w:highlight w:val="none"/>
              </w:rPr>
              <w:t>的检测报告</w:t>
            </w:r>
            <w:r>
              <w:rPr>
                <w:rFonts w:hint="eastAsia" w:ascii="宋体" w:hAnsi="宋体" w:cs="宋体"/>
                <w:b w:val="0"/>
                <w:color w:val="auto"/>
                <w:sz w:val="24"/>
                <w:szCs w:val="24"/>
                <w:highlight w:val="none"/>
                <w:lang w:val="en-US" w:eastAsia="zh-CN"/>
              </w:rPr>
              <w:t>复印件</w:t>
            </w:r>
            <w:r>
              <w:rPr>
                <w:rFonts w:hint="eastAsia" w:ascii="宋体" w:hAnsi="宋体" w:eastAsia="宋体" w:cs="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14.2</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为保障用电安全，要求设备具有安全电压接入设计装，</w:t>
            </w:r>
            <w:r>
              <w:rPr>
                <w:rFonts w:hint="eastAsia" w:ascii="宋体" w:hAnsi="宋体" w:eastAsia="宋体" w:cs="宋体"/>
                <w:b w:val="0"/>
                <w:color w:val="auto"/>
                <w:sz w:val="24"/>
                <w:szCs w:val="24"/>
                <w:highlight w:val="none"/>
              </w:rPr>
              <w:t>提供</w:t>
            </w:r>
            <w:r>
              <w:rPr>
                <w:rFonts w:hint="eastAsia" w:ascii="宋体" w:hAnsi="宋体" w:cs="宋体"/>
                <w:b w:val="0"/>
                <w:color w:val="auto"/>
                <w:sz w:val="24"/>
                <w:szCs w:val="24"/>
                <w:highlight w:val="none"/>
                <w:lang w:val="en-US" w:eastAsia="zh-CN"/>
              </w:rPr>
              <w:t>具有</w:t>
            </w:r>
            <w:r>
              <w:rPr>
                <w:rFonts w:hint="eastAsia" w:ascii="宋体" w:hAnsi="宋体" w:eastAsia="宋体" w:cs="宋体"/>
                <w:b w:val="0"/>
                <w:color w:val="auto"/>
                <w:sz w:val="24"/>
                <w:szCs w:val="24"/>
                <w:highlight w:val="none"/>
              </w:rPr>
              <w:t>CMA</w:t>
            </w:r>
            <w:r>
              <w:rPr>
                <w:rFonts w:hint="eastAsia" w:ascii="宋体" w:hAnsi="宋体" w:cs="宋体"/>
                <w:b w:val="0"/>
                <w:color w:val="auto"/>
                <w:sz w:val="24"/>
                <w:szCs w:val="24"/>
                <w:highlight w:val="none"/>
                <w:lang w:val="en-US" w:eastAsia="zh-CN"/>
              </w:rPr>
              <w:t>标识的第三方检测机构出具</w:t>
            </w:r>
            <w:r>
              <w:rPr>
                <w:rFonts w:hint="eastAsia" w:ascii="宋体" w:hAnsi="宋体" w:eastAsia="宋体" w:cs="宋体"/>
                <w:b w:val="0"/>
                <w:color w:val="auto"/>
                <w:sz w:val="24"/>
                <w:szCs w:val="24"/>
                <w:highlight w:val="none"/>
              </w:rPr>
              <w:t>的检测报告</w:t>
            </w:r>
            <w:r>
              <w:rPr>
                <w:rFonts w:hint="eastAsia" w:ascii="宋体" w:hAnsi="宋体" w:cs="宋体"/>
                <w:b w:val="0"/>
                <w:color w:val="auto"/>
                <w:sz w:val="24"/>
                <w:szCs w:val="24"/>
                <w:highlight w:val="none"/>
                <w:lang w:val="en-US" w:eastAsia="zh-CN"/>
              </w:rPr>
              <w:t>复印件</w:t>
            </w:r>
            <w:r>
              <w:rPr>
                <w:rFonts w:hint="eastAsia" w:ascii="宋体" w:hAnsi="宋体" w:eastAsia="宋体" w:cs="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sing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14.3</w:t>
            </w:r>
          </w:p>
        </w:tc>
        <w:tc>
          <w:tcPr>
            <w:tcW w:w="79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要求提供显示设备外壳材料铜绿假单胞菌和金黄色葡萄球菌抗菌率检测报告，</w:t>
            </w:r>
            <w:r>
              <w:rPr>
                <w:rFonts w:hint="eastAsia" w:ascii="宋体" w:hAnsi="宋体" w:eastAsia="宋体" w:cs="宋体"/>
                <w:b w:val="0"/>
                <w:color w:val="auto"/>
                <w:sz w:val="24"/>
                <w:szCs w:val="24"/>
                <w:highlight w:val="none"/>
              </w:rPr>
              <w:t>提供</w:t>
            </w:r>
            <w:r>
              <w:rPr>
                <w:rFonts w:hint="eastAsia" w:ascii="宋体" w:hAnsi="宋体" w:cs="宋体"/>
                <w:b w:val="0"/>
                <w:color w:val="auto"/>
                <w:sz w:val="24"/>
                <w:szCs w:val="24"/>
                <w:highlight w:val="none"/>
                <w:lang w:val="en-US" w:eastAsia="zh-CN"/>
              </w:rPr>
              <w:t>具有</w:t>
            </w:r>
            <w:r>
              <w:rPr>
                <w:rFonts w:hint="eastAsia" w:ascii="宋体" w:hAnsi="宋体" w:eastAsia="宋体" w:cs="宋体"/>
                <w:b w:val="0"/>
                <w:color w:val="auto"/>
                <w:sz w:val="24"/>
                <w:szCs w:val="24"/>
                <w:highlight w:val="none"/>
              </w:rPr>
              <w:t>CMA</w:t>
            </w:r>
            <w:r>
              <w:rPr>
                <w:rFonts w:hint="eastAsia" w:ascii="宋体" w:hAnsi="宋体" w:cs="宋体"/>
                <w:b w:val="0"/>
                <w:color w:val="auto"/>
                <w:sz w:val="24"/>
                <w:szCs w:val="24"/>
                <w:highlight w:val="none"/>
                <w:lang w:val="en-US" w:eastAsia="zh-CN"/>
              </w:rPr>
              <w:t>标识的第三方检测机构出具</w:t>
            </w:r>
            <w:r>
              <w:rPr>
                <w:rFonts w:hint="eastAsia" w:ascii="宋体" w:hAnsi="宋体" w:eastAsia="宋体" w:cs="宋体"/>
                <w:b w:val="0"/>
                <w:color w:val="auto"/>
                <w:sz w:val="24"/>
                <w:szCs w:val="24"/>
                <w:highlight w:val="none"/>
              </w:rPr>
              <w:t>的检测报告</w:t>
            </w:r>
            <w:r>
              <w:rPr>
                <w:rFonts w:hint="eastAsia" w:ascii="宋体" w:hAnsi="宋体" w:cs="宋体"/>
                <w:b w:val="0"/>
                <w:color w:val="auto"/>
                <w:sz w:val="24"/>
                <w:szCs w:val="24"/>
                <w:highlight w:val="none"/>
                <w:lang w:val="en-US" w:eastAsia="zh-CN"/>
              </w:rPr>
              <w:t>复印件</w:t>
            </w:r>
            <w:r>
              <w:rPr>
                <w:rFonts w:hint="eastAsia" w:ascii="宋体" w:hAnsi="宋体" w:eastAsia="宋体" w:cs="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0" w:type="dxa"/>
            <w:tcBorders>
              <w:top w:val="single" w:color="000000" w:sz="4" w:space="0"/>
              <w:left w:val="double" w:color="000000" w:sz="4" w:space="0"/>
              <w:bottom w:val="double" w:color="000000" w:sz="4" w:space="0"/>
              <w:right w:val="single" w:color="000000" w:sz="4" w:space="0"/>
            </w:tcBorders>
            <w:shd w:val="clear" w:color="auto" w:fill="FFFFFF"/>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14.4</w:t>
            </w:r>
          </w:p>
        </w:tc>
        <w:tc>
          <w:tcPr>
            <w:tcW w:w="7931" w:type="dxa"/>
            <w:tcBorders>
              <w:top w:val="single" w:color="000000" w:sz="4" w:space="0"/>
              <w:left w:val="single" w:color="000000" w:sz="4" w:space="0"/>
              <w:bottom w:val="double" w:color="000000" w:sz="4" w:space="0"/>
              <w:right w:val="double" w:color="000000" w:sz="4" w:space="0"/>
            </w:tcBorders>
            <w:shd w:val="clear" w:color="auto" w:fill="FFFFFF"/>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兼容性：要求软硬件为同一厂家生产，保证系统运行的稳定性，提供相关证明资料。</w:t>
            </w:r>
          </w:p>
        </w:tc>
      </w:tr>
    </w:tbl>
    <w:p>
      <w:pPr>
        <w:snapToGrid w:val="0"/>
        <w:spacing w:line="360" w:lineRule="auto"/>
        <w:rPr>
          <w:rFonts w:hint="eastAsia" w:ascii="宋体" w:hAnsi="宋体" w:cs="宋体"/>
          <w:b/>
          <w:color w:val="auto"/>
          <w:sz w:val="24"/>
          <w:szCs w:val="24"/>
          <w:highlight w:val="none"/>
        </w:rPr>
      </w:pPr>
    </w:p>
    <w:p>
      <w:pPr>
        <w:snapToGrid w:val="0"/>
        <w:spacing w:line="360" w:lineRule="auto"/>
        <w:rPr>
          <w:rFonts w:hint="eastAsia" w:ascii="宋体" w:hAnsi="宋体" w:eastAsia="宋体" w:cs="宋体"/>
          <w:color w:val="auto"/>
          <w:kern w:val="0"/>
          <w:sz w:val="24"/>
          <w:szCs w:val="24"/>
          <w:highlight w:val="none"/>
          <w:lang w:val="en-US" w:eastAsia="zh-CN" w:bidi="ar"/>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、商务要求</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eastAsia="zh-CN"/>
        </w:rPr>
        <w:t>项目实施：</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lang w:eastAsia="zh-CN"/>
        </w:rPr>
        <w:t>总工期：合同签订日起</w:t>
      </w:r>
      <w:r>
        <w:rPr>
          <w:rFonts w:hint="eastAsia" w:ascii="宋体" w:hAnsi="宋体" w:cs="宋体"/>
          <w:bCs/>
          <w:color w:val="auto"/>
          <w:sz w:val="24"/>
          <w:szCs w:val="24"/>
          <w:highlight w:val="none"/>
          <w:lang w:val="en-US" w:eastAsia="zh-CN"/>
        </w:rPr>
        <w:t>90日历</w:t>
      </w:r>
      <w:r>
        <w:rPr>
          <w:rFonts w:hint="eastAsia" w:ascii="宋体" w:hAnsi="宋体" w:cs="宋体"/>
          <w:bCs/>
          <w:color w:val="auto"/>
          <w:sz w:val="24"/>
          <w:szCs w:val="24"/>
          <w:highlight w:val="none"/>
          <w:lang w:eastAsia="zh-CN"/>
        </w:rPr>
        <w:t>日完成系统所有功能。</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人员组织管理</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组织有实施经验的团队，进驻医院提供项目实施和培训、运维等服务, 至少1名安排专职负责的项目经理。</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在实施团队进场后，</w:t>
      </w:r>
      <w:r>
        <w:rPr>
          <w:rFonts w:hint="eastAsia" w:ascii="宋体" w:hAnsi="宋体" w:cs="宋体"/>
          <w:bCs/>
          <w:color w:val="auto"/>
          <w:sz w:val="24"/>
          <w:szCs w:val="24"/>
          <w:highlight w:val="none"/>
          <w:lang w:val="en-US" w:eastAsia="zh-CN"/>
        </w:rPr>
        <w:t>与招标人</w:t>
      </w:r>
      <w:r>
        <w:rPr>
          <w:rFonts w:hint="eastAsia" w:ascii="宋体" w:hAnsi="宋体" w:cs="宋体"/>
          <w:bCs/>
          <w:color w:val="auto"/>
          <w:sz w:val="24"/>
          <w:szCs w:val="24"/>
          <w:highlight w:val="none"/>
        </w:rPr>
        <w:t>一同制定详细实施计划，并严格按照实施计划执行，定期进行项目进度管理及并及时汇报，如进度出现问题有响应的解决方案和措施。</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2、上线服务要求</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2.1服务地点：招标人指定地点。</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2.2服务人员要求：系统部署上线期间，至少1人驻点医院，直到系统上线完成，稳定使用。</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3、售后服务要求</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3.1质保期：项目通过终审验收后，需提供软件系统1年免费维保期、硬件3年免费质保期。</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3.2应用软件系统售后服务要求：需为招标人提供维护服务和技术服务支持，维护包括系统维护、功能完善、性能提升、故障检测，并保证所提供的软件正常运行，费用包含在投标报价中。</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3.3售后服务质量要求：所有产品投入正式运行和在服务期内，承建商提供7×24小时服务，正常工作时间内，10分钟电话响应；工作时间外，30分钟电话响应。涉及软件的生命周期中如软件自身缺陷、系统故障、系统宕机或由于医院紧急业务处理等非常原因引起的软件修改需求，将在问题出现后30分钟内给予解决。</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3.4满足医院不断提升的安全规范要求。</w:t>
      </w:r>
    </w:p>
    <w:p>
      <w:pPr>
        <w:pStyle w:val="2"/>
        <w:spacing w:line="360" w:lineRule="auto"/>
        <w:ind w:firstLine="480" w:firstLineChars="20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3.5 需支持后期信创改造，且信创改造不额外收取费用。</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付款方式：</w:t>
      </w:r>
    </w:p>
    <w:p>
      <w:pPr>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第一期付款：合同签订后</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向</w:t>
      </w:r>
      <w:r>
        <w:rPr>
          <w:rFonts w:hint="eastAsia" w:ascii="宋体" w:hAnsi="宋体" w:cs="宋体"/>
          <w:bCs/>
          <w:color w:val="auto"/>
          <w:sz w:val="24"/>
          <w:szCs w:val="24"/>
          <w:highlight w:val="none"/>
          <w:lang w:eastAsia="zh-CN"/>
        </w:rPr>
        <w:t>招标人</w:t>
      </w:r>
      <w:r>
        <w:rPr>
          <w:rFonts w:hint="eastAsia" w:ascii="宋体" w:hAnsi="宋体" w:cs="宋体"/>
          <w:bCs/>
          <w:color w:val="auto"/>
          <w:sz w:val="24"/>
          <w:szCs w:val="24"/>
          <w:highlight w:val="none"/>
        </w:rPr>
        <w:t>提出申请，</w:t>
      </w:r>
      <w:r>
        <w:rPr>
          <w:rFonts w:hint="eastAsia" w:ascii="宋体" w:hAnsi="宋体" w:cs="宋体"/>
          <w:bCs/>
          <w:color w:val="auto"/>
          <w:sz w:val="24"/>
          <w:szCs w:val="24"/>
          <w:highlight w:val="none"/>
          <w:lang w:eastAsia="zh-CN"/>
        </w:rPr>
        <w:t>招标人收到申请后</w:t>
      </w:r>
      <w:r>
        <w:rPr>
          <w:rFonts w:hint="eastAsia" w:ascii="宋体" w:hAnsi="宋体" w:cs="宋体"/>
          <w:bCs/>
          <w:color w:val="auto"/>
          <w:sz w:val="24"/>
          <w:szCs w:val="24"/>
          <w:highlight w:val="none"/>
          <w:lang w:val="en-US" w:eastAsia="zh-CN"/>
        </w:rPr>
        <w:t>1</w:t>
      </w:r>
      <w:r>
        <w:rPr>
          <w:rFonts w:hint="default" w:ascii="宋体" w:hAnsi="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个工作日内</w:t>
      </w:r>
      <w:r>
        <w:rPr>
          <w:rFonts w:hint="eastAsia" w:ascii="宋体" w:hAnsi="宋体" w:cs="宋体"/>
          <w:bCs/>
          <w:color w:val="auto"/>
          <w:sz w:val="24"/>
          <w:szCs w:val="24"/>
          <w:highlight w:val="none"/>
        </w:rPr>
        <w:t>向</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支付合同总价</w:t>
      </w:r>
      <w:r>
        <w:rPr>
          <w:rFonts w:hint="eastAsia" w:ascii="宋体" w:hAnsi="宋体" w:cs="宋体"/>
          <w:bCs/>
          <w:color w:val="auto"/>
          <w:sz w:val="24"/>
          <w:szCs w:val="24"/>
          <w:highlight w:val="none"/>
          <w:lang w:val="en-US" w:eastAsia="zh-CN"/>
        </w:rPr>
        <w:t>3</w:t>
      </w:r>
      <w:r>
        <w:rPr>
          <w:rFonts w:hint="default" w:ascii="宋体" w:hAnsi="宋体" w:cs="宋体"/>
          <w:bCs/>
          <w:color w:val="auto"/>
          <w:sz w:val="24"/>
          <w:szCs w:val="24"/>
          <w:highlight w:val="none"/>
        </w:rPr>
        <w:t>0</w:t>
      </w:r>
      <w:r>
        <w:rPr>
          <w:rFonts w:hint="eastAsia" w:ascii="宋体" w:hAnsi="宋体" w:cs="宋体"/>
          <w:bCs/>
          <w:color w:val="auto"/>
          <w:sz w:val="24"/>
          <w:szCs w:val="24"/>
          <w:highlight w:val="none"/>
        </w:rPr>
        <w:t>%的合同款；</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第二期付款：经</w:t>
      </w:r>
      <w:r>
        <w:rPr>
          <w:rFonts w:hint="eastAsia" w:ascii="宋体" w:hAnsi="宋体" w:cs="宋体"/>
          <w:bCs/>
          <w:color w:val="auto"/>
          <w:sz w:val="24"/>
          <w:szCs w:val="24"/>
          <w:highlight w:val="none"/>
          <w:lang w:eastAsia="zh-CN"/>
        </w:rPr>
        <w:t>招标人</w:t>
      </w:r>
      <w:r>
        <w:rPr>
          <w:rFonts w:hint="eastAsia" w:ascii="宋体" w:hAnsi="宋体" w:cs="宋体"/>
          <w:bCs/>
          <w:color w:val="auto"/>
          <w:sz w:val="24"/>
          <w:szCs w:val="24"/>
          <w:highlight w:val="none"/>
        </w:rPr>
        <w:t>最终验收合格且终验收报告出具后，</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向</w:t>
      </w:r>
      <w:r>
        <w:rPr>
          <w:rFonts w:hint="eastAsia" w:ascii="宋体" w:hAnsi="宋体" w:cs="宋体"/>
          <w:bCs/>
          <w:color w:val="auto"/>
          <w:sz w:val="24"/>
          <w:szCs w:val="24"/>
          <w:highlight w:val="none"/>
          <w:lang w:eastAsia="zh-CN"/>
        </w:rPr>
        <w:t>招标人</w:t>
      </w:r>
      <w:r>
        <w:rPr>
          <w:rFonts w:hint="eastAsia" w:ascii="宋体" w:hAnsi="宋体" w:cs="宋体"/>
          <w:bCs/>
          <w:color w:val="auto"/>
          <w:sz w:val="24"/>
          <w:szCs w:val="24"/>
          <w:highlight w:val="none"/>
        </w:rPr>
        <w:t>提出申请，由</w:t>
      </w:r>
      <w:r>
        <w:rPr>
          <w:rFonts w:hint="eastAsia" w:ascii="宋体" w:hAnsi="宋体" w:cs="宋体"/>
          <w:bCs/>
          <w:color w:val="auto"/>
          <w:sz w:val="24"/>
          <w:szCs w:val="24"/>
          <w:highlight w:val="none"/>
          <w:lang w:eastAsia="zh-CN"/>
        </w:rPr>
        <w:t>招标人</w:t>
      </w:r>
      <w:r>
        <w:rPr>
          <w:rFonts w:hint="eastAsia" w:ascii="宋体" w:hAnsi="宋体" w:cs="宋体"/>
          <w:bCs/>
          <w:color w:val="auto"/>
          <w:sz w:val="24"/>
          <w:szCs w:val="24"/>
          <w:highlight w:val="none"/>
        </w:rPr>
        <w:t>向</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支付合同总价</w:t>
      </w:r>
      <w:r>
        <w:rPr>
          <w:rFonts w:hint="default" w:ascii="宋体" w:hAnsi="宋体" w:cs="宋体"/>
          <w:bCs/>
          <w:color w:val="auto"/>
          <w:sz w:val="24"/>
          <w:szCs w:val="24"/>
          <w:highlight w:val="none"/>
        </w:rPr>
        <w:t>60</w:t>
      </w:r>
      <w:r>
        <w:rPr>
          <w:rFonts w:hint="eastAsia" w:ascii="宋体" w:hAnsi="宋体" w:cs="宋体"/>
          <w:bCs/>
          <w:color w:val="auto"/>
          <w:sz w:val="24"/>
          <w:szCs w:val="24"/>
          <w:highlight w:val="none"/>
        </w:rPr>
        <w:t>%的合同款。</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第</w:t>
      </w:r>
      <w:r>
        <w:rPr>
          <w:rFonts w:hint="default" w:ascii="宋体" w:hAnsi="宋体" w:cs="宋体"/>
          <w:bCs/>
          <w:color w:val="auto"/>
          <w:sz w:val="24"/>
          <w:szCs w:val="24"/>
          <w:highlight w:val="none"/>
        </w:rPr>
        <w:t>三</w:t>
      </w:r>
      <w:r>
        <w:rPr>
          <w:rFonts w:hint="eastAsia" w:ascii="宋体" w:hAnsi="宋体" w:cs="宋体"/>
          <w:bCs/>
          <w:color w:val="auto"/>
          <w:sz w:val="24"/>
          <w:szCs w:val="24"/>
          <w:highlight w:val="none"/>
        </w:rPr>
        <w:t>期付款：</w:t>
      </w:r>
      <w:r>
        <w:rPr>
          <w:rFonts w:hint="default" w:ascii="宋体" w:hAnsi="宋体" w:cs="宋体"/>
          <w:bCs/>
          <w:color w:val="auto"/>
          <w:sz w:val="24"/>
          <w:szCs w:val="24"/>
          <w:highlight w:val="none"/>
        </w:rPr>
        <w:t>验收满一年后</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向</w:t>
      </w:r>
      <w:r>
        <w:rPr>
          <w:rFonts w:hint="eastAsia" w:ascii="宋体" w:hAnsi="宋体" w:cs="宋体"/>
          <w:bCs/>
          <w:color w:val="auto"/>
          <w:sz w:val="24"/>
          <w:szCs w:val="24"/>
          <w:highlight w:val="none"/>
          <w:lang w:eastAsia="zh-CN"/>
        </w:rPr>
        <w:t>招标人</w:t>
      </w:r>
      <w:r>
        <w:rPr>
          <w:rFonts w:hint="eastAsia" w:ascii="宋体" w:hAnsi="宋体" w:cs="宋体"/>
          <w:bCs/>
          <w:color w:val="auto"/>
          <w:sz w:val="24"/>
          <w:szCs w:val="24"/>
          <w:highlight w:val="none"/>
        </w:rPr>
        <w:t>提出申请，由</w:t>
      </w:r>
      <w:r>
        <w:rPr>
          <w:rFonts w:hint="eastAsia" w:ascii="宋体" w:hAnsi="宋体" w:cs="宋体"/>
          <w:bCs/>
          <w:color w:val="auto"/>
          <w:sz w:val="24"/>
          <w:szCs w:val="24"/>
          <w:highlight w:val="none"/>
          <w:lang w:eastAsia="zh-CN"/>
        </w:rPr>
        <w:t>招标人</w:t>
      </w:r>
      <w:r>
        <w:rPr>
          <w:rFonts w:hint="eastAsia" w:ascii="宋体" w:hAnsi="宋体" w:cs="宋体"/>
          <w:bCs/>
          <w:color w:val="auto"/>
          <w:sz w:val="24"/>
          <w:szCs w:val="24"/>
          <w:highlight w:val="none"/>
        </w:rPr>
        <w:t>向</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支付合同总价</w:t>
      </w:r>
      <w:r>
        <w:rPr>
          <w:rFonts w:hint="default" w:ascii="宋体" w:hAnsi="宋体" w:cs="宋体"/>
          <w:bCs/>
          <w:color w:val="auto"/>
          <w:sz w:val="24"/>
          <w:szCs w:val="24"/>
          <w:highlight w:val="none"/>
        </w:rPr>
        <w:t>1</w:t>
      </w:r>
      <w:r>
        <w:rPr>
          <w:rFonts w:hint="eastAsia" w:ascii="宋体" w:hAnsi="宋体" w:cs="宋体"/>
          <w:bCs/>
          <w:color w:val="auto"/>
          <w:sz w:val="24"/>
          <w:szCs w:val="24"/>
          <w:highlight w:val="none"/>
        </w:rPr>
        <w:t>0%的合同款。</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bCs/>
          <w:color w:val="auto"/>
          <w:szCs w:val="21"/>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报价方式：投标总价应包括本项目整个服务期所需的一切人工、材料费、工具、设备、保险、交通、利润、验收、税金（包含须由供应商承担的各种税费）、其它需供应商承担的费用及潜在可能涉及的一切费用。供应商应认真计算可能发生的各相关费用并计入投标报价内，在项目实施过程中不得藉此要求增加任何费用。</w:t>
      </w:r>
    </w:p>
    <w:p>
      <w:pPr>
        <w:jc w:val="center"/>
        <w:rPr>
          <w:b/>
          <w:bCs/>
          <w:color w:val="auto"/>
          <w:sz w:val="32"/>
          <w:szCs w:val="32"/>
          <w:highlight w:val="none"/>
        </w:rPr>
      </w:pPr>
      <w:r>
        <w:rPr>
          <w:color w:val="auto"/>
          <w:highlight w:val="none"/>
        </w:rPr>
        <w:br w:type="page"/>
      </w:r>
      <w:r>
        <w:rPr>
          <w:b/>
          <w:bCs/>
          <w:color w:val="auto"/>
          <w:sz w:val="32"/>
          <w:szCs w:val="32"/>
          <w:highlight w:val="none"/>
        </w:rPr>
        <w:t>第三章</w:t>
      </w:r>
      <w:bookmarkEnd w:id="6"/>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7"/>
      <w:bookmarkEnd w:id="8"/>
      <w:bookmarkEnd w:id="9"/>
      <w:bookmarkEnd w:id="10"/>
      <w:bookmarkStart w:id="26" w:name="_Toc82338239"/>
      <w:bookmarkStart w:id="27" w:name="_Toc82873322"/>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26"/>
      <w:bookmarkEnd w:id="27"/>
      <w:r>
        <w:rPr>
          <w:rFonts w:ascii="Times New Roman" w:hAnsi="Times New Roman"/>
          <w:color w:val="auto"/>
          <w:highlight w:val="none"/>
        </w:rPr>
        <w:t>总则</w:t>
      </w:r>
    </w:p>
    <w:p>
      <w:pPr>
        <w:pStyle w:val="6"/>
        <w:spacing w:line="360" w:lineRule="auto"/>
        <w:ind w:firstLine="422"/>
        <w:rPr>
          <w:rFonts w:ascii="Times New Roman" w:hAnsi="Times New Roman"/>
          <w:color w:val="auto"/>
          <w:highlight w:val="none"/>
        </w:rPr>
      </w:pPr>
      <w:bookmarkStart w:id="28" w:name="_Toc82873323"/>
      <w:bookmarkStart w:id="29" w:name="_Toc82338240"/>
      <w:r>
        <w:rPr>
          <w:rFonts w:ascii="Times New Roman" w:hAnsi="Times New Roman"/>
          <w:color w:val="auto"/>
          <w:highlight w:val="none"/>
        </w:rPr>
        <w:t>1.1 实施依据</w:t>
      </w:r>
    </w:p>
    <w:p>
      <w:pPr>
        <w:pStyle w:val="126"/>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w:t>
      </w:r>
      <w:r>
        <w:rPr>
          <w:rFonts w:hint="eastAsia" w:ascii="Times New Roman" w:hAnsi="Times New Roman"/>
          <w:color w:val="auto"/>
          <w:szCs w:val="21"/>
          <w:highlight w:val="none"/>
          <w:lang w:eastAsia="zh-CN"/>
        </w:rPr>
        <w:t>杭州市妇产科医院</w:t>
      </w:r>
      <w:r>
        <w:rPr>
          <w:rFonts w:hint="eastAsia" w:ascii="Times New Roman" w:hAnsi="Times New Roman"/>
          <w:color w:val="auto"/>
          <w:szCs w:val="21"/>
          <w:highlight w:val="none"/>
        </w:rPr>
        <w:t>，见“供应商须知前附表”；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6"/>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28"/>
      <w:bookmarkEnd w:id="29"/>
    </w:p>
    <w:p>
      <w:pPr>
        <w:pStyle w:val="6"/>
        <w:spacing w:line="360" w:lineRule="auto"/>
        <w:ind w:firstLine="422"/>
        <w:rPr>
          <w:rFonts w:ascii="Times New Roman" w:hAnsi="Times New Roman"/>
          <w:color w:val="auto"/>
          <w:highlight w:val="none"/>
        </w:rPr>
      </w:pPr>
      <w:bookmarkStart w:id="30" w:name="_Toc82338241"/>
      <w:bookmarkStart w:id="31" w:name="_Toc82873324"/>
      <w:r>
        <w:rPr>
          <w:rFonts w:ascii="Times New Roman" w:hAnsi="Times New Roman"/>
          <w:color w:val="auto"/>
          <w:highlight w:val="none"/>
        </w:rPr>
        <w:t>2.1 采购文件组成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30"/>
      <w:bookmarkEnd w:id="31"/>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6"/>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6"/>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（1）投标函；</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服务</w:t>
      </w:r>
      <w:r>
        <w:rPr>
          <w:rFonts w:ascii="Times New Roman" w:hAnsi="Times New Roman"/>
          <w:color w:val="auto"/>
          <w:highlight w:val="none"/>
        </w:rPr>
        <w:t>清单；</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3</w:t>
      </w:r>
      <w:r>
        <w:rPr>
          <w:rFonts w:ascii="Times New Roman" w:hAnsi="Times New Roman"/>
          <w:color w:val="auto"/>
          <w:highlight w:val="none"/>
        </w:rPr>
        <w:t>）技术规格偏离表；</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4</w:t>
      </w:r>
      <w:r>
        <w:rPr>
          <w:rFonts w:ascii="Times New Roman" w:hAnsi="Times New Roman"/>
          <w:color w:val="auto"/>
          <w:highlight w:val="none"/>
        </w:rPr>
        <w:t>）商务条款偏离表；</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5</w:t>
      </w:r>
      <w:r>
        <w:rPr>
          <w:rFonts w:ascii="Times New Roman" w:hAnsi="Times New Roman"/>
          <w:color w:val="auto"/>
          <w:highlight w:val="none"/>
        </w:rPr>
        <w:t>）法定代表人资格证明书；</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）法定代表人授权委托书（法定代表人签署不需提供此书）；</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7</w:t>
      </w:r>
      <w:r>
        <w:rPr>
          <w:rFonts w:hint="eastAsia" w:ascii="Times New Roman" w:hAnsi="Times New Roman"/>
          <w:color w:val="auto"/>
          <w:highlight w:val="none"/>
          <w:lang w:eastAsia="zh-CN"/>
        </w:rPr>
        <w:t>）</w:t>
      </w:r>
      <w:r>
        <w:rPr>
          <w:rFonts w:hint="eastAsia" w:ascii="宋体" w:hAnsi="宋体" w:cs="Calibri"/>
          <w:color w:val="auto"/>
          <w:kern w:val="0"/>
          <w:szCs w:val="21"/>
          <w:highlight w:val="none"/>
          <w:lang w:bidi="ar"/>
        </w:rPr>
        <w:t>投标人业绩：投标人</w:t>
      </w:r>
      <w:r>
        <w:rPr>
          <w:rFonts w:hint="eastAsia" w:ascii="宋体" w:hAnsi="宋体" w:cs="Calibri"/>
          <w:color w:val="auto"/>
          <w:kern w:val="0"/>
          <w:szCs w:val="21"/>
          <w:highlight w:val="none"/>
          <w:lang w:val="en-US" w:eastAsia="zh-CN" w:bidi="ar"/>
        </w:rPr>
        <w:t>具有</w:t>
      </w:r>
      <w:r>
        <w:rPr>
          <w:rFonts w:hint="eastAsia" w:ascii="宋体" w:hAnsi="宋体" w:cs="Calibri"/>
          <w:color w:val="auto"/>
          <w:kern w:val="0"/>
          <w:szCs w:val="21"/>
          <w:highlight w:val="none"/>
          <w:lang w:bidi="ar"/>
        </w:rPr>
        <w:t>自2022年1月1日以来（以合同签订时间为准），同类业绩</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val="en-US" w:eastAsia="zh-CN" w:bidi="ar"/>
        </w:rPr>
        <w:t>合同中需包含全院叫号系统</w:t>
      </w:r>
      <w:r>
        <w:rPr>
          <w:rFonts w:hint="eastAsia" w:ascii="宋体" w:hAnsi="宋体" w:eastAsia="宋体" w:cs="Calibri"/>
          <w:color w:val="auto"/>
          <w:kern w:val="0"/>
          <w:szCs w:val="21"/>
          <w:highlight w:val="none"/>
          <w:lang w:val="en-US" w:eastAsia="zh-CN" w:bidi="ar"/>
        </w:rPr>
        <w:t>内容</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val="en-US" w:eastAsia="zh-CN" w:bidi="ar"/>
        </w:rPr>
        <w:t>提供合同复印件；</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8</w:t>
      </w:r>
      <w:r>
        <w:rPr>
          <w:rFonts w:hint="eastAsia" w:ascii="Times New Roman" w:hAnsi="Times New Roman"/>
          <w:color w:val="auto"/>
          <w:highlight w:val="none"/>
          <w:lang w:eastAsia="zh-CN"/>
        </w:rPr>
        <w:t>）</w:t>
      </w:r>
      <w:r>
        <w:rPr>
          <w:rFonts w:hint="eastAsia" w:ascii="宋体" w:hAnsi="宋体" w:cs="宋体"/>
          <w:color w:val="auto"/>
          <w:szCs w:val="21"/>
          <w:highlight w:val="none"/>
          <w:lang w:val="en-US" w:eastAsia="zh-CN" w:bidi="ar"/>
        </w:rPr>
        <w:t>投标人</w:t>
      </w:r>
      <w:r>
        <w:rPr>
          <w:rFonts w:hint="eastAsia" w:ascii="宋体" w:hAnsi="宋体" w:cs="宋体"/>
          <w:color w:val="auto"/>
          <w:szCs w:val="21"/>
          <w:highlight w:val="none"/>
          <w:lang w:bidi="ar"/>
        </w:rPr>
        <w:t>具有有效的</w:t>
      </w:r>
      <w:r>
        <w:rPr>
          <w:rFonts w:hint="eastAsia" w:ascii="宋体" w:hAnsi="宋体" w:cs="Calibri"/>
          <w:color w:val="auto"/>
          <w:kern w:val="0"/>
          <w:szCs w:val="21"/>
          <w:highlight w:val="none"/>
          <w:lang w:bidi="ar"/>
        </w:rPr>
        <w:t>ISO900</w:t>
      </w:r>
      <w:r>
        <w:rPr>
          <w:rFonts w:hint="default" w:ascii="宋体" w:hAnsi="宋体" w:cs="Calibri"/>
          <w:color w:val="auto"/>
          <w:kern w:val="0"/>
          <w:szCs w:val="21"/>
          <w:highlight w:val="none"/>
          <w:lang w:bidi="ar"/>
        </w:rPr>
        <w:t>1</w:t>
      </w:r>
      <w:r>
        <w:rPr>
          <w:rFonts w:hint="eastAsia" w:ascii="宋体" w:hAnsi="宋体" w:cs="Calibri"/>
          <w:color w:val="auto"/>
          <w:kern w:val="0"/>
          <w:szCs w:val="21"/>
          <w:highlight w:val="none"/>
          <w:lang w:bidi="ar"/>
        </w:rPr>
        <w:t>质量管理体系认证证书、ISO27001信息安全管理体系认证证书、ISO20000信息技术服务管理体系</w:t>
      </w:r>
      <w:r>
        <w:rPr>
          <w:rFonts w:hint="eastAsia" w:ascii="宋体" w:hAnsi="宋体" w:cs="宋体"/>
          <w:color w:val="auto"/>
          <w:szCs w:val="21"/>
          <w:highlight w:val="none"/>
          <w:lang w:bidi="ar"/>
        </w:rPr>
        <w:t>认证证书</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提供</w:t>
      </w:r>
      <w:r>
        <w:rPr>
          <w:rFonts w:hint="eastAsia" w:ascii="宋体" w:hAnsi="宋体" w:cs="宋体"/>
          <w:color w:val="auto"/>
          <w:szCs w:val="21"/>
          <w:highlight w:val="none"/>
          <w:lang w:val="en-US" w:eastAsia="zh-CN" w:bidi="ar"/>
        </w:rPr>
        <w:t>有效</w:t>
      </w:r>
      <w:r>
        <w:rPr>
          <w:rFonts w:hint="eastAsia" w:ascii="宋体" w:hAnsi="宋体" w:cs="宋体"/>
          <w:color w:val="auto"/>
          <w:szCs w:val="21"/>
          <w:highlight w:val="none"/>
          <w:lang w:bidi="ar"/>
        </w:rPr>
        <w:t>证书复印件</w:t>
      </w:r>
      <w:r>
        <w:rPr>
          <w:rFonts w:hint="eastAsia" w:ascii="宋体" w:hAnsi="宋体" w:cs="宋体"/>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9</w:t>
      </w:r>
      <w:r>
        <w:rPr>
          <w:rFonts w:hint="eastAsia" w:ascii="Times New Roman" w:hAnsi="Times New Roman"/>
          <w:color w:val="auto"/>
          <w:highlight w:val="none"/>
          <w:lang w:eastAsia="zh-CN"/>
        </w:rPr>
        <w:t>）</w:t>
      </w:r>
      <w:r>
        <w:rPr>
          <w:rFonts w:hint="eastAsia" w:ascii="宋体" w:hAnsi="宋体" w:cs="Calibri"/>
          <w:color w:val="auto"/>
          <w:kern w:val="0"/>
          <w:szCs w:val="21"/>
          <w:highlight w:val="none"/>
          <w:lang w:bidi="ar"/>
        </w:rPr>
        <w:t>整体方案</w:t>
      </w:r>
      <w:r>
        <w:rPr>
          <w:rFonts w:hint="eastAsia" w:ascii="宋体" w:hAnsi="宋体" w:cs="Calibri"/>
          <w:color w:val="auto"/>
          <w:kern w:val="0"/>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10</w:t>
      </w:r>
      <w:r>
        <w:rPr>
          <w:rFonts w:hint="eastAsia" w:ascii="Times New Roman" w:hAnsi="Times New Roman"/>
          <w:color w:val="auto"/>
          <w:highlight w:val="none"/>
          <w:lang w:eastAsia="zh-CN"/>
        </w:rPr>
        <w:t>）</w:t>
      </w:r>
      <w:r>
        <w:rPr>
          <w:rFonts w:hint="eastAsia" w:ascii="宋体" w:hAnsi="宋体" w:cs="Calibri"/>
          <w:color w:val="auto"/>
          <w:kern w:val="0"/>
          <w:szCs w:val="21"/>
          <w:highlight w:val="none"/>
          <w:lang w:bidi="ar"/>
        </w:rPr>
        <w:t>应急措施</w:t>
      </w:r>
      <w:r>
        <w:rPr>
          <w:rFonts w:hint="eastAsia" w:ascii="宋体" w:hAnsi="宋体" w:cs="Calibri"/>
          <w:color w:val="auto"/>
          <w:kern w:val="0"/>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lang w:eastAsia="zh-CN" w:bidi="ar"/>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11</w:t>
      </w:r>
      <w:r>
        <w:rPr>
          <w:rFonts w:hint="eastAsia" w:ascii="Times New Roman" w:hAnsi="Times New Roman"/>
          <w:color w:val="auto"/>
          <w:highlight w:val="none"/>
          <w:lang w:eastAsia="zh-CN"/>
        </w:rPr>
        <w:t>）</w:t>
      </w:r>
      <w:r>
        <w:rPr>
          <w:rFonts w:hint="eastAsia" w:ascii="宋体" w:hAnsi="宋体" w:cs="宋体"/>
          <w:color w:val="auto"/>
          <w:szCs w:val="21"/>
          <w:highlight w:val="none"/>
          <w:lang w:bidi="ar"/>
        </w:rPr>
        <w:t>售后服务方案、售后服务承诺</w:t>
      </w:r>
      <w:r>
        <w:rPr>
          <w:rFonts w:hint="eastAsia" w:ascii="宋体" w:hAnsi="宋体" w:cs="宋体"/>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12</w:t>
      </w:r>
      <w:r>
        <w:rPr>
          <w:rFonts w:hint="eastAsia" w:ascii="Times New Roman" w:hAnsi="Times New Roman"/>
          <w:color w:val="auto"/>
          <w:highlight w:val="none"/>
          <w:lang w:eastAsia="zh-CN"/>
        </w:rPr>
        <w:t>）</w:t>
      </w:r>
      <w:r>
        <w:rPr>
          <w:rFonts w:hint="eastAsia" w:ascii="宋体" w:hAnsi="宋体" w:cs="宋体"/>
          <w:color w:val="auto"/>
          <w:szCs w:val="21"/>
          <w:highlight w:val="none"/>
          <w:lang w:bidi="ar"/>
        </w:rPr>
        <w:t>培训方案</w:t>
      </w:r>
      <w:r>
        <w:rPr>
          <w:rFonts w:hint="eastAsia" w:ascii="宋体" w:hAnsi="宋体" w:cs="宋体"/>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13</w:t>
      </w:r>
      <w:r>
        <w:rPr>
          <w:rFonts w:hint="eastAsia" w:ascii="Times New Roman" w:hAnsi="Times New Roman"/>
          <w:color w:val="auto"/>
          <w:highlight w:val="none"/>
          <w:lang w:eastAsia="zh-CN"/>
        </w:rPr>
        <w:t>）</w:t>
      </w:r>
      <w:r>
        <w:rPr>
          <w:rFonts w:hint="eastAsia" w:ascii="Times New Roman" w:hAnsi="Times New Roman"/>
          <w:color w:val="auto"/>
          <w:highlight w:val="none"/>
        </w:rPr>
        <w:t>投标人认为有必要提供的其它文件（附：中标服务费支付承</w:t>
      </w:r>
      <w:r>
        <w:rPr>
          <w:rFonts w:ascii="Times New Roman" w:hAnsi="Times New Roman"/>
          <w:color w:val="auto"/>
          <w:highlight w:val="none"/>
        </w:rPr>
        <w:t>诺书）。</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6"/>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6"/>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5"/>
        <w:spacing w:line="360" w:lineRule="auto"/>
        <w:ind w:firstLine="422"/>
        <w:rPr>
          <w:rFonts w:ascii="Times New Roman" w:hAnsi="Times New Roman"/>
          <w:color w:val="auto"/>
          <w:highlight w:val="none"/>
        </w:rPr>
      </w:pPr>
      <w:bookmarkStart w:id="32" w:name="_Toc82873325"/>
      <w:bookmarkStart w:id="33" w:name="_Toc82338242"/>
      <w:r>
        <w:rPr>
          <w:rFonts w:ascii="Times New Roman" w:hAnsi="Times New Roman"/>
          <w:color w:val="auto"/>
          <w:highlight w:val="none"/>
        </w:rPr>
        <w:t>四、投标</w:t>
      </w:r>
      <w:bookmarkEnd w:id="32"/>
      <w:bookmarkEnd w:id="33"/>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6"/>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5"/>
        <w:spacing w:line="360" w:lineRule="auto"/>
        <w:ind w:firstLine="422"/>
        <w:rPr>
          <w:rFonts w:ascii="Times New Roman" w:hAnsi="Times New Roman"/>
          <w:color w:val="auto"/>
          <w:highlight w:val="none"/>
        </w:rPr>
      </w:pPr>
      <w:bookmarkStart w:id="34" w:name="_Toc82338243"/>
      <w:bookmarkStart w:id="35" w:name="_Toc82873326"/>
      <w:r>
        <w:rPr>
          <w:rFonts w:ascii="Times New Roman" w:hAnsi="Times New Roman"/>
          <w:color w:val="auto"/>
          <w:highlight w:val="none"/>
        </w:rPr>
        <w:t>五、开标、评标</w:t>
      </w:r>
      <w:bookmarkEnd w:id="34"/>
      <w:bookmarkEnd w:id="35"/>
      <w:r>
        <w:rPr>
          <w:rFonts w:ascii="Times New Roman" w:hAnsi="Times New Roman"/>
          <w:color w:val="auto"/>
          <w:highlight w:val="none"/>
        </w:rPr>
        <w:t>及合同签订</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（6）商务技术文件开启后30分钟内，供应商通过邮件形式将经授权代表签署的《采购活动现场确认声明书》（格式见附件）扫描件发至代理机构经办人邮箱（邮箱地址：14847913@qq.com，联系人：苑洪春）；</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6"/>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3"/>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3"/>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3"/>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3"/>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6"/>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供应商IP、MAC、设备硬件信息一致</w:t>
      </w:r>
      <w:r>
        <w:rPr>
          <w:rFonts w:hint="eastAsia"/>
          <w:color w:val="auto"/>
          <w:highlight w:val="none"/>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6"/>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w:t>
      </w:r>
      <w:r>
        <w:rPr>
          <w:rFonts w:hint="eastAsia" w:ascii="Times New Roman" w:hAnsi="Times New Roman"/>
          <w:color w:val="auto"/>
          <w:highlight w:val="none"/>
          <w:lang w:val="en-US" w:eastAsia="zh-CN"/>
        </w:rPr>
        <w:t>78</w:t>
      </w:r>
      <w:r>
        <w:rPr>
          <w:rFonts w:hint="eastAsia" w:ascii="Times New Roman" w:hAnsi="Times New Roman"/>
          <w:color w:val="auto"/>
          <w:highlight w:val="none"/>
        </w:rPr>
        <w:t>%</w:t>
      </w:r>
      <w:r>
        <w:rPr>
          <w:rFonts w:ascii="Times New Roman" w:hAnsi="Times New Roman"/>
          <w:color w:val="auto"/>
          <w:highlight w:val="none"/>
        </w:rPr>
        <w:t>（见下）收取：</w:t>
      </w:r>
    </w:p>
    <w:tbl>
      <w:tblPr>
        <w:tblStyle w:val="81"/>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bookmarkStart w:id="36" w:name="RANGE!A9"/>
            <w:r>
              <w:rPr>
                <w:rFonts w:hint="default"/>
                <w:color w:val="auto"/>
                <w:kern w:val="0"/>
                <w:szCs w:val="21"/>
                <w:highlight w:val="none"/>
              </w:rPr>
              <w:t>中标金额</w:t>
            </w:r>
            <w:r>
              <w:rPr>
                <w:rFonts w:hint="default"/>
                <w:color w:val="auto"/>
                <w:spacing w:val="20"/>
                <w:szCs w:val="21"/>
                <w:highlight w:val="none"/>
              </w:rPr>
              <w:t>P</w:t>
            </w:r>
            <w:r>
              <w:rPr>
                <w:rFonts w:hint="default"/>
                <w:color w:val="auto"/>
                <w:kern w:val="0"/>
                <w:szCs w:val="21"/>
                <w:highlight w:val="none"/>
              </w:rPr>
              <w:t>（万元人民币）</w:t>
            </w:r>
            <w:bookmarkEnd w:id="36"/>
          </w:p>
        </w:tc>
        <w:tc>
          <w:tcPr>
            <w:tcW w:w="4315" w:type="dxa"/>
          </w:tcPr>
          <w:p>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货物</w:t>
            </w:r>
            <w:r>
              <w:rPr>
                <w:rFonts w:hint="eastAsia"/>
                <w:color w:val="auto"/>
                <w:kern w:val="0"/>
                <w:szCs w:val="21"/>
                <w:highlight w:val="none"/>
              </w:rPr>
              <w:t>采购代理</w:t>
            </w:r>
            <w:r>
              <w:rPr>
                <w:rFonts w:hint="default"/>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100以下</w:t>
            </w:r>
          </w:p>
        </w:tc>
        <w:tc>
          <w:tcPr>
            <w:tcW w:w="4315" w:type="dxa"/>
            <w:vAlign w:val="center"/>
          </w:tcPr>
          <w:p>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100-500</w:t>
            </w:r>
          </w:p>
        </w:tc>
        <w:tc>
          <w:tcPr>
            <w:tcW w:w="4315" w:type="dxa"/>
            <w:vAlign w:val="center"/>
          </w:tcPr>
          <w:p>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500-1000</w:t>
            </w:r>
          </w:p>
        </w:tc>
        <w:tc>
          <w:tcPr>
            <w:tcW w:w="4315" w:type="dxa"/>
            <w:vAlign w:val="center"/>
          </w:tcPr>
          <w:p>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1000-5000</w:t>
            </w:r>
          </w:p>
        </w:tc>
        <w:tc>
          <w:tcPr>
            <w:tcW w:w="4315" w:type="dxa"/>
            <w:vAlign w:val="center"/>
          </w:tcPr>
          <w:p>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5000-10000</w:t>
            </w:r>
          </w:p>
        </w:tc>
        <w:tc>
          <w:tcPr>
            <w:tcW w:w="4315" w:type="dxa"/>
            <w:vAlign w:val="center"/>
          </w:tcPr>
          <w:p>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keepNext w:val="0"/>
              <w:keepLines w:val="0"/>
              <w:widowControl/>
              <w:suppressLineNumbers w:val="0"/>
              <w:spacing w:before="0" w:beforeAutospacing="0" w:after="156" w:afterAutospacing="0" w:line="360" w:lineRule="auto"/>
              <w:ind w:left="0" w:right="0"/>
              <w:jc w:val="center"/>
              <w:rPr>
                <w:rFonts w:hint="default"/>
                <w:color w:val="auto"/>
                <w:kern w:val="0"/>
                <w:szCs w:val="21"/>
                <w:highlight w:val="none"/>
              </w:rPr>
            </w:pPr>
            <w:r>
              <w:rPr>
                <w:rFonts w:hint="default"/>
                <w:color w:val="auto"/>
                <w:kern w:val="0"/>
                <w:szCs w:val="21"/>
                <w:highlight w:val="none"/>
              </w:rPr>
              <w:t>10000-100000</w:t>
            </w:r>
          </w:p>
        </w:tc>
        <w:tc>
          <w:tcPr>
            <w:tcW w:w="4315" w:type="dxa"/>
            <w:vAlign w:val="center"/>
          </w:tcPr>
          <w:p>
            <w:pPr>
              <w:keepNext w:val="0"/>
              <w:keepLines w:val="0"/>
              <w:suppressLineNumbers w:val="0"/>
              <w:tabs>
                <w:tab w:val="left" w:pos="0"/>
              </w:tabs>
              <w:spacing w:before="0" w:beforeAutospacing="0" w:after="0" w:afterAutospacing="0" w:line="360" w:lineRule="auto"/>
              <w:ind w:left="0" w:right="0"/>
              <w:jc w:val="center"/>
              <w:rPr>
                <w:rFonts w:hint="default"/>
                <w:color w:val="auto"/>
                <w:spacing w:val="20"/>
                <w:szCs w:val="21"/>
                <w:highlight w:val="none"/>
              </w:rPr>
            </w:pPr>
            <w:r>
              <w:rPr>
                <w:rFonts w:hint="default"/>
                <w:color w:val="auto"/>
                <w:spacing w:val="20"/>
                <w:szCs w:val="21"/>
                <w:highlight w:val="none"/>
              </w:rPr>
              <w:t>37.4+P*0.05%</w:t>
            </w:r>
          </w:p>
        </w:tc>
      </w:tr>
    </w:tbl>
    <w:p>
      <w:pPr>
        <w:pStyle w:val="4"/>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37" w:name="_Toc495317671"/>
      <w:r>
        <w:rPr>
          <w:rFonts w:ascii="Times New Roman" w:hAnsi="Times New Roman" w:eastAsia="宋体"/>
          <w:color w:val="auto"/>
          <w:highlight w:val="none"/>
        </w:rPr>
        <w:t>第四章  评标办法</w:t>
      </w:r>
      <w:bookmarkEnd w:id="37"/>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51"/>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51"/>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51"/>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51"/>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51"/>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38" w:name="_Toc345320402"/>
      <w:r>
        <w:rPr>
          <w:color w:val="auto"/>
          <w:szCs w:val="21"/>
          <w:highlight w:val="none"/>
        </w:rPr>
        <w:t>1）</w:t>
      </w:r>
      <w:r>
        <w:rPr>
          <w:b/>
          <w:bCs/>
          <w:color w:val="auto"/>
          <w:szCs w:val="21"/>
          <w:highlight w:val="none"/>
        </w:rPr>
        <w:t>商务技术分</w:t>
      </w:r>
      <w:bookmarkEnd w:id="38"/>
    </w:p>
    <w:p>
      <w:pPr>
        <w:pStyle w:val="68"/>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1"/>
        <w:tblW w:w="4837"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7643"/>
        <w:gridCol w:w="795"/>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20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评分细则</w:t>
            </w:r>
          </w:p>
        </w:tc>
        <w:tc>
          <w:tcPr>
            <w:tcW w:w="437" w:type="pct"/>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一</w:t>
            </w:r>
          </w:p>
        </w:tc>
        <w:tc>
          <w:tcPr>
            <w:tcW w:w="4638" w:type="pct"/>
            <w:gridSpan w:val="2"/>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b/>
                <w:bCs/>
                <w:color w:val="auto"/>
                <w:szCs w:val="21"/>
                <w:highlight w:val="none"/>
              </w:rPr>
            </w:pPr>
            <w:r>
              <w:rPr>
                <w:rFonts w:hint="eastAsia" w:ascii="宋体" w:hAnsi="宋体" w:cs="宋体"/>
                <w:b/>
                <w:bCs/>
                <w:color w:val="auto"/>
                <w:szCs w:val="21"/>
                <w:highlight w:val="none"/>
              </w:rPr>
              <w:t>商务资信</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4201" w:type="pct"/>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lang w:val="en-US" w:eastAsia="zh-CN"/>
              </w:rPr>
            </w:pPr>
            <w:r>
              <w:rPr>
                <w:rFonts w:hint="eastAsia" w:ascii="宋体" w:hAnsi="宋体" w:cs="Calibri"/>
                <w:color w:val="auto"/>
                <w:kern w:val="0"/>
                <w:szCs w:val="21"/>
                <w:highlight w:val="none"/>
                <w:lang w:bidi="ar"/>
              </w:rPr>
              <w:t>投标人业绩：投标人</w:t>
            </w:r>
            <w:r>
              <w:rPr>
                <w:rFonts w:hint="eastAsia" w:ascii="宋体" w:hAnsi="宋体" w:cs="Calibri"/>
                <w:color w:val="auto"/>
                <w:kern w:val="0"/>
                <w:szCs w:val="21"/>
                <w:highlight w:val="none"/>
                <w:lang w:val="en-US" w:eastAsia="zh-CN" w:bidi="ar"/>
              </w:rPr>
              <w:t>具有</w:t>
            </w:r>
            <w:r>
              <w:rPr>
                <w:rFonts w:hint="eastAsia" w:ascii="宋体" w:hAnsi="宋体" w:cs="Calibri"/>
                <w:color w:val="auto"/>
                <w:kern w:val="0"/>
                <w:szCs w:val="21"/>
                <w:highlight w:val="none"/>
                <w:lang w:bidi="ar"/>
              </w:rPr>
              <w:t>自2022年1月1日以来（以合同签订时间为准），同类业绩</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val="en-US" w:eastAsia="zh-CN" w:bidi="ar"/>
              </w:rPr>
              <w:t>合同中需包含全院叫号系统</w:t>
            </w:r>
            <w:r>
              <w:rPr>
                <w:rFonts w:hint="eastAsia" w:ascii="宋体" w:hAnsi="宋体" w:eastAsia="宋体" w:cs="Calibri"/>
                <w:color w:val="auto"/>
                <w:kern w:val="0"/>
                <w:szCs w:val="21"/>
                <w:highlight w:val="none"/>
                <w:lang w:val="en-US" w:eastAsia="zh-CN" w:bidi="ar"/>
              </w:rPr>
              <w:t>内容</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bidi="ar"/>
              </w:rPr>
              <w:t>每</w:t>
            </w:r>
            <w:r>
              <w:rPr>
                <w:rFonts w:hint="eastAsia" w:ascii="宋体" w:hAnsi="宋体" w:cs="Calibri"/>
                <w:color w:val="auto"/>
                <w:kern w:val="0"/>
                <w:szCs w:val="21"/>
                <w:highlight w:val="none"/>
                <w:lang w:val="en-US" w:eastAsia="zh-CN" w:bidi="ar"/>
              </w:rPr>
              <w:t>个</w:t>
            </w:r>
            <w:r>
              <w:rPr>
                <w:rFonts w:hint="eastAsia" w:ascii="宋体" w:hAnsi="宋体" w:cs="Calibri"/>
                <w:color w:val="auto"/>
                <w:kern w:val="0"/>
                <w:szCs w:val="21"/>
                <w:highlight w:val="none"/>
                <w:lang w:bidi="ar"/>
              </w:rPr>
              <w:t>得1分，最</w:t>
            </w:r>
            <w:r>
              <w:rPr>
                <w:rFonts w:hint="eastAsia" w:ascii="宋体" w:hAnsi="宋体" w:cs="Calibri"/>
                <w:color w:val="auto"/>
                <w:kern w:val="0"/>
                <w:szCs w:val="21"/>
                <w:highlight w:val="none"/>
                <w:lang w:val="en-US" w:eastAsia="zh-CN" w:bidi="ar"/>
              </w:rPr>
              <w:t>多</w:t>
            </w:r>
            <w:r>
              <w:rPr>
                <w:rFonts w:hint="eastAsia" w:ascii="宋体" w:hAnsi="宋体" w:cs="Calibri"/>
                <w:color w:val="auto"/>
                <w:kern w:val="0"/>
                <w:szCs w:val="21"/>
                <w:highlight w:val="none"/>
                <w:lang w:bidi="ar"/>
              </w:rPr>
              <w:t>得3分。</w:t>
            </w:r>
            <w:r>
              <w:rPr>
                <w:rFonts w:hint="eastAsia" w:ascii="宋体" w:hAnsi="宋体" w:cs="Calibri"/>
                <w:color w:val="auto"/>
                <w:kern w:val="0"/>
                <w:szCs w:val="21"/>
                <w:highlight w:val="none"/>
                <w:lang w:val="en-US" w:eastAsia="zh-CN" w:bidi="ar"/>
              </w:rPr>
              <w:t>提供合同复印件，同一用户或同一个项目分多期完成不重复计算。</w:t>
            </w:r>
          </w:p>
        </w:tc>
        <w:tc>
          <w:tcPr>
            <w:tcW w:w="4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cs="宋体"/>
                <w:color w:val="auto"/>
                <w:szCs w:val="21"/>
                <w:highlight w:val="none"/>
              </w:rPr>
            </w:pPr>
            <w:r>
              <w:rPr>
                <w:rFonts w:hint="default" w:ascii="宋体" w:hAnsi="宋体" w:cs="宋体"/>
                <w:color w:val="auto"/>
                <w:szCs w:val="21"/>
                <w:highlight w:val="none"/>
              </w:rPr>
              <w:t>2</w:t>
            </w:r>
          </w:p>
        </w:tc>
        <w:tc>
          <w:tcPr>
            <w:tcW w:w="4201" w:type="pct"/>
            <w:noWrap w:val="0"/>
            <w:vAlign w:val="center"/>
          </w:tcPr>
          <w:p>
            <w:pPr>
              <w:keepNext w:val="0"/>
              <w:keepLines w:val="0"/>
              <w:suppressLineNumbers w:val="0"/>
              <w:spacing w:before="0" w:beforeAutospacing="0" w:after="0" w:afterAutospacing="0" w:line="360" w:lineRule="auto"/>
              <w:ind w:left="0" w:right="0"/>
              <w:rPr>
                <w:rFonts w:hint="eastAsia" w:ascii="宋体" w:hAnsi="宋体" w:cs="Calibri"/>
                <w:color w:val="auto"/>
                <w:kern w:val="0"/>
                <w:szCs w:val="21"/>
                <w:highlight w:val="none"/>
                <w:lang w:bidi="ar"/>
              </w:rPr>
            </w:pPr>
            <w:r>
              <w:rPr>
                <w:rFonts w:hint="eastAsia" w:ascii="宋体" w:hAnsi="宋体" w:eastAsia="宋体" w:cs="Calibri"/>
                <w:color w:val="auto"/>
                <w:kern w:val="0"/>
                <w:szCs w:val="21"/>
                <w:highlight w:val="none"/>
                <w:lang w:val="en-US" w:eastAsia="zh-CN" w:bidi="ar"/>
              </w:rPr>
              <w:t>投标人具有所投产品医院宣教管理系统、门诊排队呼叫系统、分诊管理系统、药房排队呼叫系统、医技排队叫号系统相关软件著作权，全部具备得3分，每少一个扣1分，扣完为止，不提供不得分。</w:t>
            </w:r>
          </w:p>
        </w:tc>
        <w:tc>
          <w:tcPr>
            <w:tcW w:w="437" w:type="pct"/>
            <w:noWrap w:val="0"/>
            <w:vAlign w:val="center"/>
          </w:tcPr>
          <w:p>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cs="宋体"/>
                <w:color w:val="auto"/>
                <w:szCs w:val="21"/>
                <w:highlight w:val="none"/>
                <w:lang w:eastAsia="zh-CN"/>
              </w:rPr>
            </w:pPr>
            <w:r>
              <w:rPr>
                <w:rFonts w:hint="default" w:ascii="宋体" w:hAnsi="宋体" w:cs="宋体"/>
                <w:color w:val="auto"/>
                <w:szCs w:val="21"/>
                <w:highlight w:val="none"/>
                <w:lang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3</w:t>
            </w:r>
          </w:p>
        </w:tc>
        <w:tc>
          <w:tcPr>
            <w:tcW w:w="4201" w:type="pct"/>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bookmarkStart w:id="39" w:name="OLE_LINK1"/>
            <w:r>
              <w:rPr>
                <w:rFonts w:hint="eastAsia" w:ascii="宋体" w:hAnsi="宋体" w:cs="宋体"/>
                <w:color w:val="auto"/>
                <w:szCs w:val="21"/>
                <w:highlight w:val="none"/>
                <w:lang w:val="en-US" w:eastAsia="zh-CN" w:bidi="ar"/>
              </w:rPr>
              <w:t>投标人</w:t>
            </w:r>
            <w:r>
              <w:rPr>
                <w:rFonts w:hint="eastAsia" w:ascii="宋体" w:hAnsi="宋体" w:cs="宋体"/>
                <w:color w:val="auto"/>
                <w:szCs w:val="21"/>
                <w:highlight w:val="none"/>
                <w:lang w:bidi="ar"/>
              </w:rPr>
              <w:t>具有有效</w:t>
            </w:r>
            <w:bookmarkStart w:id="40" w:name="_Toc22013"/>
            <w:r>
              <w:rPr>
                <w:rFonts w:hint="eastAsia" w:ascii="宋体" w:hAnsi="宋体" w:cs="宋体"/>
                <w:color w:val="auto"/>
                <w:szCs w:val="21"/>
                <w:highlight w:val="none"/>
                <w:lang w:bidi="ar"/>
              </w:rPr>
              <w:t>的</w:t>
            </w:r>
            <w:bookmarkEnd w:id="39"/>
            <w:bookmarkEnd w:id="40"/>
            <w:r>
              <w:rPr>
                <w:rFonts w:hint="eastAsia" w:ascii="宋体" w:hAnsi="宋体" w:cs="Calibri"/>
                <w:color w:val="auto"/>
                <w:kern w:val="0"/>
                <w:szCs w:val="21"/>
                <w:highlight w:val="none"/>
                <w:lang w:bidi="ar"/>
              </w:rPr>
              <w:t>ISO900</w:t>
            </w:r>
            <w:r>
              <w:rPr>
                <w:rFonts w:hint="default" w:ascii="宋体" w:hAnsi="宋体" w:cs="Calibri"/>
                <w:color w:val="auto"/>
                <w:kern w:val="0"/>
                <w:szCs w:val="21"/>
                <w:highlight w:val="none"/>
                <w:lang w:bidi="ar"/>
              </w:rPr>
              <w:t>1</w:t>
            </w:r>
            <w:r>
              <w:rPr>
                <w:rFonts w:hint="eastAsia" w:ascii="宋体" w:hAnsi="宋体" w:cs="Calibri"/>
                <w:color w:val="auto"/>
                <w:kern w:val="0"/>
                <w:szCs w:val="21"/>
                <w:highlight w:val="none"/>
                <w:lang w:bidi="ar"/>
              </w:rPr>
              <w:t>质量管理体系认证证书、ISO27001信息安全管理体系认证证书、ISO20000信息技术服务管理体系</w:t>
            </w:r>
            <w:r>
              <w:rPr>
                <w:rFonts w:hint="eastAsia" w:ascii="宋体" w:hAnsi="宋体" w:cs="宋体"/>
                <w:color w:val="auto"/>
                <w:szCs w:val="21"/>
                <w:highlight w:val="none"/>
                <w:lang w:bidi="ar"/>
              </w:rPr>
              <w:t>认证证书，每提供1个得</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分，</w:t>
            </w:r>
            <w:bookmarkStart w:id="41" w:name="OLE_LINK2"/>
            <w:r>
              <w:rPr>
                <w:rFonts w:hint="eastAsia" w:ascii="宋体" w:hAnsi="宋体" w:cs="宋体"/>
                <w:color w:val="auto"/>
                <w:szCs w:val="21"/>
                <w:highlight w:val="none"/>
                <w:lang w:bidi="ar"/>
              </w:rPr>
              <w:t>最</w:t>
            </w:r>
            <w:r>
              <w:rPr>
                <w:rFonts w:hint="eastAsia" w:ascii="宋体" w:hAnsi="宋体" w:cs="宋体"/>
                <w:color w:val="auto"/>
                <w:szCs w:val="21"/>
                <w:highlight w:val="none"/>
                <w:lang w:val="en-US" w:eastAsia="zh-CN" w:bidi="ar"/>
              </w:rPr>
              <w:t>多</w:t>
            </w:r>
            <w:r>
              <w:rPr>
                <w:rFonts w:hint="eastAsia" w:ascii="宋体" w:hAnsi="宋体" w:cs="宋体"/>
                <w:color w:val="auto"/>
                <w:szCs w:val="21"/>
                <w:highlight w:val="none"/>
                <w:lang w:bidi="ar"/>
              </w:rPr>
              <w:t>得</w:t>
            </w: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分。提供</w:t>
            </w:r>
            <w:r>
              <w:rPr>
                <w:rFonts w:hint="eastAsia" w:ascii="宋体" w:hAnsi="宋体" w:cs="宋体"/>
                <w:color w:val="auto"/>
                <w:szCs w:val="21"/>
                <w:highlight w:val="none"/>
                <w:lang w:val="en-US" w:eastAsia="zh-CN" w:bidi="ar"/>
              </w:rPr>
              <w:t>有效</w:t>
            </w:r>
            <w:r>
              <w:rPr>
                <w:rFonts w:hint="eastAsia" w:ascii="宋体" w:hAnsi="宋体" w:cs="宋体"/>
                <w:color w:val="auto"/>
                <w:szCs w:val="21"/>
                <w:highlight w:val="none"/>
                <w:lang w:bidi="ar"/>
              </w:rPr>
              <w:t>证书复印件，否则不得分。</w:t>
            </w:r>
            <w:bookmarkEnd w:id="41"/>
          </w:p>
        </w:tc>
        <w:tc>
          <w:tcPr>
            <w:tcW w:w="4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二</w:t>
            </w:r>
          </w:p>
        </w:tc>
        <w:tc>
          <w:tcPr>
            <w:tcW w:w="4638" w:type="pct"/>
            <w:gridSpan w:val="2"/>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4201"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bidi="ar"/>
              </w:rPr>
            </w:pPr>
            <w:r>
              <w:rPr>
                <w:rFonts w:hint="eastAsia" w:ascii="宋体" w:hAnsi="宋体" w:cs="宋体"/>
                <w:color w:val="auto"/>
                <w:szCs w:val="21"/>
                <w:highlight w:val="none"/>
                <w:lang w:bidi="ar"/>
              </w:rPr>
              <w:t>技术功能符合度：对应于招标文件“第二章 采购内容及需求”“二、招标技术要求”标的符合度，</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lang w:bidi="ar"/>
              </w:rPr>
              <w:t>每一条不满足采购文件要求扣</w:t>
            </w:r>
            <w:r>
              <w:rPr>
                <w:rFonts w:hint="default" w:ascii="宋体" w:hAnsi="宋体" w:cs="宋体"/>
                <w:color w:val="auto"/>
                <w:szCs w:val="21"/>
                <w:highlight w:val="none"/>
                <w:lang w:bidi="ar"/>
              </w:rPr>
              <w:t>3</w:t>
            </w:r>
            <w:r>
              <w:rPr>
                <w:rFonts w:hint="eastAsia" w:ascii="宋体" w:hAnsi="宋体" w:cs="宋体"/>
                <w:color w:val="auto"/>
                <w:szCs w:val="21"/>
                <w:highlight w:val="none"/>
                <w:lang w:bidi="ar"/>
              </w:rPr>
              <w:t>分</w:t>
            </w:r>
            <w:r>
              <w:rPr>
                <w:rFonts w:hint="default" w:ascii="宋体" w:hAnsi="宋体" w:cs="宋体"/>
                <w:color w:val="auto"/>
                <w:szCs w:val="21"/>
                <w:highlight w:val="none"/>
                <w:lang w:bidi="ar"/>
              </w:rPr>
              <w:t>，其余</w:t>
            </w:r>
            <w:r>
              <w:rPr>
                <w:rFonts w:hint="eastAsia" w:ascii="宋体" w:hAnsi="宋体" w:cs="宋体"/>
                <w:color w:val="auto"/>
                <w:szCs w:val="21"/>
                <w:highlight w:val="none"/>
                <w:lang w:bidi="ar"/>
              </w:rPr>
              <w:t>每一条不满足采购文件要求</w:t>
            </w:r>
            <w:r>
              <w:rPr>
                <w:rFonts w:hint="eastAsia" w:ascii="宋体" w:hAnsi="宋体" w:eastAsia="宋体" w:cs="宋体"/>
                <w:color w:val="auto"/>
                <w:szCs w:val="21"/>
                <w:highlight w:val="none"/>
                <w:lang w:bidi="ar"/>
              </w:rPr>
              <w:t>扣</w:t>
            </w:r>
            <w:r>
              <w:rPr>
                <w:rFonts w:hint="default" w:ascii="宋体" w:hAnsi="宋体" w:eastAsia="宋体" w:cs="宋体"/>
                <w:color w:val="auto"/>
                <w:szCs w:val="21"/>
                <w:highlight w:val="none"/>
                <w:lang w:bidi="ar"/>
              </w:rPr>
              <w:t>2</w:t>
            </w:r>
            <w:r>
              <w:rPr>
                <w:rFonts w:hint="eastAsia" w:ascii="宋体" w:hAnsi="宋体" w:eastAsia="宋体" w:cs="宋体"/>
                <w:color w:val="auto"/>
                <w:szCs w:val="21"/>
                <w:highlight w:val="none"/>
                <w:lang w:bidi="ar"/>
              </w:rPr>
              <w:t>分。扣完为止。</w:t>
            </w:r>
          </w:p>
          <w:p>
            <w:pPr>
              <w:keepNext w:val="0"/>
              <w:keepLines w:val="0"/>
              <w:suppressLineNumbers w:val="0"/>
              <w:spacing w:before="0" w:beforeAutospacing="0" w:after="0" w:afterAutospacing="0" w:line="360" w:lineRule="auto"/>
              <w:ind w:left="0" w:right="0"/>
              <w:rPr>
                <w:rFonts w:hint="default" w:eastAsia="宋体..璂.."/>
                <w:color w:val="auto"/>
                <w:highlight w:val="none"/>
                <w:lang w:val="en-US" w:eastAsia="zh-CN"/>
              </w:rPr>
            </w:pPr>
            <w:r>
              <w:rPr>
                <w:rFonts w:hint="eastAsia" w:ascii="宋体" w:hAnsi="宋体" w:eastAsia="宋体" w:cs="宋体"/>
                <w:color w:val="auto"/>
                <w:szCs w:val="21"/>
                <w:highlight w:val="none"/>
                <w:lang w:val="en-US" w:eastAsia="zh-CN" w:bidi="ar"/>
              </w:rPr>
              <w:t>未按招标文件要求提供证明材料、功能演示的条款视为不满足招标文件条款要求</w:t>
            </w:r>
          </w:p>
        </w:tc>
        <w:tc>
          <w:tcPr>
            <w:tcW w:w="437"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4201" w:type="pct"/>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lang w:bidi="ar"/>
              </w:rPr>
            </w:pPr>
            <w:r>
              <w:rPr>
                <w:rFonts w:hint="eastAsia" w:ascii="宋体" w:hAnsi="宋体" w:cs="Calibri"/>
                <w:color w:val="auto"/>
                <w:kern w:val="0"/>
                <w:szCs w:val="21"/>
                <w:highlight w:val="none"/>
                <w:lang w:bidi="ar"/>
              </w:rPr>
              <w:t>整体方案</w:t>
            </w:r>
          </w:p>
        </w:tc>
        <w:tc>
          <w:tcPr>
            <w:tcW w:w="4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lang w:val="en-US" w:eastAsia="zh-C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5.1</w:t>
            </w:r>
          </w:p>
        </w:tc>
        <w:tc>
          <w:tcPr>
            <w:tcW w:w="4201" w:type="pc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cs="Calibri"/>
                <w:color w:val="auto"/>
                <w:kern w:val="0"/>
                <w:sz w:val="21"/>
                <w:szCs w:val="21"/>
                <w:highlight w:val="none"/>
                <w:lang w:val="en-US" w:eastAsia="zh-CN" w:bidi="ar-SA"/>
              </w:rPr>
            </w:pPr>
            <w:r>
              <w:rPr>
                <w:rFonts w:hint="eastAsia" w:ascii="宋体" w:hAnsi="宋体" w:cs="Calibri"/>
                <w:color w:val="auto"/>
                <w:kern w:val="0"/>
                <w:szCs w:val="21"/>
                <w:highlight w:val="none"/>
                <w:lang w:val="en-US" w:eastAsia="zh-CN" w:bidi="ar"/>
              </w:rPr>
              <w:t>根据投标人</w:t>
            </w:r>
            <w:r>
              <w:rPr>
                <w:rFonts w:hint="eastAsia" w:ascii="宋体" w:hAnsi="宋体" w:cs="Calibri"/>
                <w:color w:val="auto"/>
                <w:kern w:val="0"/>
                <w:szCs w:val="21"/>
                <w:highlight w:val="none"/>
                <w:lang w:bidi="ar"/>
              </w:rPr>
              <w:t>对用户需求的理解程度、建设的了解程度</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val="en-US" w:eastAsia="zh-CN" w:bidi="ar"/>
              </w:rPr>
              <w:t>根据阐述内容进行评审</w:t>
            </w:r>
            <w:r>
              <w:rPr>
                <w:rFonts w:hint="eastAsia" w:ascii="宋体" w:hAnsi="宋体" w:cs="Calibri"/>
                <w:color w:val="auto"/>
                <w:kern w:val="0"/>
                <w:szCs w:val="21"/>
                <w:highlight w:val="none"/>
                <w:lang w:bidi="ar"/>
              </w:rPr>
              <w:t>（0-4分）</w:t>
            </w:r>
            <w:r>
              <w:rPr>
                <w:rFonts w:hint="eastAsia" w:ascii="宋体" w:hAnsi="宋体" w:cs="Calibri"/>
                <w:color w:val="auto"/>
                <w:kern w:val="0"/>
                <w:szCs w:val="21"/>
                <w:highlight w:val="none"/>
                <w:lang w:eastAsia="zh-CN" w:bidi="ar"/>
              </w:rPr>
              <w:t>。</w:t>
            </w:r>
          </w:p>
        </w:tc>
        <w:tc>
          <w:tcPr>
            <w:tcW w:w="43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Calibri"/>
                <w:color w:val="auto"/>
                <w:kern w:val="0"/>
                <w:sz w:val="21"/>
                <w:szCs w:val="21"/>
                <w:highlight w:val="none"/>
                <w:lang w:val="en-US" w:eastAsia="zh-CN" w:bidi="ar-SA"/>
              </w:rPr>
            </w:pPr>
            <w:r>
              <w:rPr>
                <w:rFonts w:hint="eastAsia" w:ascii="宋体" w:hAnsi="宋体" w:cs="Calibri"/>
                <w:color w:val="auto"/>
                <w:kern w:val="0"/>
                <w:szCs w:val="21"/>
                <w:highlight w:val="none"/>
                <w:lang w:bidi="ar"/>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5.2</w:t>
            </w:r>
          </w:p>
        </w:tc>
        <w:tc>
          <w:tcPr>
            <w:tcW w:w="4201" w:type="pc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Calibri"/>
                <w:color w:val="auto"/>
                <w:kern w:val="0"/>
                <w:sz w:val="21"/>
                <w:szCs w:val="21"/>
                <w:highlight w:val="none"/>
                <w:lang w:val="en-US" w:eastAsia="zh-CN" w:bidi="ar-SA"/>
              </w:rPr>
            </w:pPr>
            <w:r>
              <w:rPr>
                <w:rFonts w:hint="eastAsia" w:ascii="宋体" w:hAnsi="宋体" w:cs="Calibri"/>
                <w:color w:val="auto"/>
                <w:kern w:val="0"/>
                <w:szCs w:val="21"/>
                <w:highlight w:val="none"/>
                <w:lang w:val="en-US" w:eastAsia="zh-CN" w:bidi="ar"/>
              </w:rPr>
              <w:t>根据投标人</w:t>
            </w:r>
            <w:r>
              <w:rPr>
                <w:rFonts w:hint="eastAsia" w:ascii="宋体" w:hAnsi="宋体" w:cs="Calibri"/>
                <w:color w:val="auto"/>
                <w:kern w:val="0"/>
                <w:szCs w:val="21"/>
                <w:highlight w:val="none"/>
                <w:lang w:bidi="ar"/>
              </w:rPr>
              <w:t>对项目建设背景、业务现状及分析、建设目标、功能需求的理解</w:t>
            </w:r>
            <w:r>
              <w:rPr>
                <w:rFonts w:hint="eastAsia" w:ascii="宋体" w:hAnsi="宋体" w:cs="Calibri"/>
                <w:color w:val="auto"/>
                <w:kern w:val="0"/>
                <w:szCs w:val="21"/>
                <w:highlight w:val="none"/>
                <w:lang w:val="en-US" w:eastAsia="zh-CN" w:bidi="ar"/>
              </w:rPr>
              <w:t>以及</w:t>
            </w:r>
            <w:r>
              <w:rPr>
                <w:rFonts w:hint="eastAsia" w:ascii="宋体" w:hAnsi="宋体" w:cs="Calibri"/>
                <w:color w:val="auto"/>
                <w:kern w:val="0"/>
                <w:szCs w:val="21"/>
                <w:highlight w:val="none"/>
                <w:lang w:bidi="ar"/>
              </w:rPr>
              <w:t>实施重难点分析内容等</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val="en-US" w:eastAsia="zh-CN" w:bidi="ar"/>
              </w:rPr>
              <w:t>根据阐述内容进行评审</w:t>
            </w:r>
            <w:r>
              <w:rPr>
                <w:rFonts w:hint="eastAsia" w:ascii="宋体" w:hAnsi="宋体" w:cs="Calibri"/>
                <w:color w:val="auto"/>
                <w:kern w:val="0"/>
                <w:szCs w:val="21"/>
                <w:highlight w:val="none"/>
                <w:lang w:bidi="ar"/>
              </w:rPr>
              <w:t>（0-</w:t>
            </w:r>
            <w:r>
              <w:rPr>
                <w:rFonts w:hint="eastAsia" w:ascii="宋体" w:hAnsi="宋体" w:cs="Calibri"/>
                <w:color w:val="auto"/>
                <w:kern w:val="0"/>
                <w:szCs w:val="21"/>
                <w:highlight w:val="none"/>
                <w:lang w:val="en-US" w:eastAsia="zh-CN" w:bidi="ar"/>
              </w:rPr>
              <w:t>4</w:t>
            </w:r>
            <w:r>
              <w:rPr>
                <w:rFonts w:hint="eastAsia" w:ascii="宋体" w:hAnsi="宋体" w:cs="Calibri"/>
                <w:color w:val="auto"/>
                <w:kern w:val="0"/>
                <w:szCs w:val="21"/>
                <w:highlight w:val="none"/>
                <w:lang w:bidi="ar"/>
              </w:rPr>
              <w:t>分）</w:t>
            </w:r>
            <w:r>
              <w:rPr>
                <w:rFonts w:hint="eastAsia" w:ascii="宋体" w:hAnsi="宋体" w:cs="Calibri"/>
                <w:color w:val="auto"/>
                <w:kern w:val="0"/>
                <w:szCs w:val="21"/>
                <w:highlight w:val="none"/>
                <w:lang w:eastAsia="zh-CN" w:bidi="ar"/>
              </w:rPr>
              <w:t>。</w:t>
            </w:r>
          </w:p>
        </w:tc>
        <w:tc>
          <w:tcPr>
            <w:tcW w:w="43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Calibri"/>
                <w:color w:val="auto"/>
                <w:kern w:val="0"/>
                <w:sz w:val="21"/>
                <w:szCs w:val="21"/>
                <w:highlight w:val="none"/>
                <w:lang w:val="en-US" w:eastAsia="zh-CN" w:bidi="ar-SA"/>
              </w:rPr>
            </w:pPr>
            <w:r>
              <w:rPr>
                <w:rFonts w:hint="eastAsia" w:ascii="宋体" w:hAnsi="宋体" w:cs="Calibri"/>
                <w:color w:val="auto"/>
                <w:kern w:val="0"/>
                <w:szCs w:val="21"/>
                <w:highlight w:val="none"/>
                <w:lang w:bidi="ar"/>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5.3</w:t>
            </w:r>
          </w:p>
        </w:tc>
        <w:tc>
          <w:tcPr>
            <w:tcW w:w="4201" w:type="pc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cs="Calibri"/>
                <w:color w:val="auto"/>
                <w:kern w:val="0"/>
                <w:sz w:val="21"/>
                <w:szCs w:val="21"/>
                <w:highlight w:val="none"/>
                <w:lang w:val="en-US" w:eastAsia="zh-CN" w:bidi="ar-SA"/>
              </w:rPr>
            </w:pPr>
            <w:r>
              <w:rPr>
                <w:rFonts w:hint="eastAsia" w:ascii="宋体" w:hAnsi="宋体" w:cs="宋体"/>
                <w:color w:val="auto"/>
                <w:szCs w:val="21"/>
                <w:highlight w:val="none"/>
                <w:lang w:bidi="ar"/>
              </w:rPr>
              <w:t>项目组织实施方案，包括组织机构、实施场所、工作时间进度表、工作程序和步骤、管理和协调方法等</w:t>
            </w:r>
            <w:r>
              <w:rPr>
                <w:rFonts w:hint="eastAsia" w:ascii="宋体" w:hAnsi="宋体" w:cs="Calibri"/>
                <w:color w:val="auto"/>
                <w:kern w:val="0"/>
                <w:szCs w:val="21"/>
                <w:highlight w:val="none"/>
                <w:lang w:bidi="ar"/>
              </w:rPr>
              <w:t>（0-</w:t>
            </w:r>
            <w:r>
              <w:rPr>
                <w:rFonts w:hint="default" w:ascii="宋体" w:hAnsi="宋体" w:cs="Calibri"/>
                <w:color w:val="auto"/>
                <w:kern w:val="0"/>
                <w:szCs w:val="21"/>
                <w:highlight w:val="none"/>
                <w:lang w:bidi="ar"/>
              </w:rPr>
              <w:t>4</w:t>
            </w:r>
            <w:r>
              <w:rPr>
                <w:rFonts w:hint="eastAsia" w:ascii="宋体" w:hAnsi="宋体" w:cs="Calibri"/>
                <w:color w:val="auto"/>
                <w:kern w:val="0"/>
                <w:szCs w:val="21"/>
                <w:highlight w:val="none"/>
                <w:lang w:bidi="ar"/>
              </w:rPr>
              <w:t>分）。</w:t>
            </w:r>
          </w:p>
        </w:tc>
        <w:tc>
          <w:tcPr>
            <w:tcW w:w="437" w:type="pc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Calibri"/>
                <w:color w:val="auto"/>
                <w:kern w:val="0"/>
                <w:sz w:val="21"/>
                <w:szCs w:val="21"/>
                <w:highlight w:val="none"/>
                <w:lang w:eastAsia="zh-CN" w:bidi="ar-SA"/>
              </w:rPr>
            </w:pPr>
            <w:r>
              <w:rPr>
                <w:rFonts w:hint="default" w:ascii="宋体" w:hAnsi="宋体" w:cs="Calibri"/>
                <w:color w:val="auto"/>
                <w:kern w:val="0"/>
                <w:sz w:val="21"/>
                <w:szCs w:val="21"/>
                <w:highlight w:val="none"/>
                <w:lang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4201" w:type="pct"/>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Calibri"/>
                <w:color w:val="auto"/>
                <w:kern w:val="0"/>
                <w:sz w:val="21"/>
                <w:szCs w:val="21"/>
                <w:highlight w:val="none"/>
                <w:lang w:val="en-US" w:eastAsia="zh-CN" w:bidi="ar-SA"/>
              </w:rPr>
            </w:pPr>
            <w:r>
              <w:rPr>
                <w:rFonts w:hint="eastAsia" w:ascii="宋体" w:hAnsi="宋体" w:cs="Calibri"/>
                <w:color w:val="auto"/>
                <w:kern w:val="0"/>
                <w:szCs w:val="21"/>
                <w:highlight w:val="none"/>
                <w:lang w:bidi="ar"/>
              </w:rPr>
              <w:t>应急措施</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bidi="ar"/>
              </w:rPr>
              <w:t>针对本项目制定的各种突发事件的应急措施，分析合同履约过程中有可能出现的突发情况，提出解决方案、保障措施等得（0-</w:t>
            </w:r>
            <w:r>
              <w:rPr>
                <w:rFonts w:hint="default" w:ascii="宋体" w:hAnsi="宋体" w:cs="Calibri"/>
                <w:color w:val="auto"/>
                <w:kern w:val="0"/>
                <w:szCs w:val="21"/>
                <w:highlight w:val="none"/>
                <w:lang w:bidi="ar"/>
              </w:rPr>
              <w:t>4</w:t>
            </w:r>
            <w:r>
              <w:rPr>
                <w:rFonts w:hint="eastAsia" w:ascii="宋体" w:hAnsi="宋体" w:cs="Calibri"/>
                <w:color w:val="auto"/>
                <w:kern w:val="0"/>
                <w:szCs w:val="21"/>
                <w:highlight w:val="none"/>
                <w:lang w:bidi="ar"/>
              </w:rPr>
              <w:t>分）</w:t>
            </w:r>
            <w:r>
              <w:rPr>
                <w:rFonts w:hint="eastAsia" w:ascii="宋体" w:hAnsi="宋体" w:cs="Calibri"/>
                <w:color w:val="auto"/>
                <w:kern w:val="0"/>
                <w:szCs w:val="21"/>
                <w:highlight w:val="none"/>
                <w:lang w:eastAsia="zh-CN" w:bidi="ar"/>
              </w:rPr>
              <w:t>。</w:t>
            </w:r>
          </w:p>
        </w:tc>
        <w:tc>
          <w:tcPr>
            <w:tcW w:w="437" w:type="pc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Calibri"/>
                <w:color w:val="auto"/>
                <w:kern w:val="0"/>
                <w:sz w:val="21"/>
                <w:szCs w:val="21"/>
                <w:highlight w:val="none"/>
                <w:lang w:eastAsia="zh-CN" w:bidi="ar-SA"/>
              </w:rPr>
            </w:pPr>
            <w:r>
              <w:rPr>
                <w:rFonts w:hint="default" w:ascii="宋体" w:hAnsi="宋体" w:cs="Calibri"/>
                <w:color w:val="auto"/>
                <w:kern w:val="0"/>
                <w:sz w:val="21"/>
                <w:szCs w:val="21"/>
                <w:highlight w:val="none"/>
                <w:lang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4201" w:type="pct"/>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kern w:val="2"/>
                <w:sz w:val="21"/>
                <w:szCs w:val="21"/>
                <w:highlight w:val="none"/>
                <w:lang w:val="en-US" w:eastAsia="zh-CN" w:bidi="ar"/>
              </w:rPr>
            </w:pPr>
            <w:r>
              <w:rPr>
                <w:rFonts w:hint="eastAsia" w:ascii="宋体" w:hAnsi="宋体" w:cs="宋体"/>
                <w:color w:val="auto"/>
                <w:szCs w:val="21"/>
                <w:highlight w:val="none"/>
                <w:lang w:bidi="ar"/>
              </w:rPr>
              <w:t>根据投标人提供的售后服务方案、售后服务承诺的可行性、完整性以及服务承诺落实的保障措施，维护期内外的后续技术支持和维护能力情况等进行评</w:t>
            </w:r>
            <w:r>
              <w:rPr>
                <w:rFonts w:hint="eastAsia" w:ascii="宋体" w:hAnsi="宋体" w:cs="宋体"/>
                <w:color w:val="auto"/>
                <w:szCs w:val="21"/>
                <w:highlight w:val="none"/>
                <w:lang w:val="en-US" w:eastAsia="zh-CN" w:bidi="ar"/>
              </w:rPr>
              <w:t>审</w:t>
            </w:r>
            <w:r>
              <w:rPr>
                <w:rFonts w:hint="eastAsia" w:ascii="宋体" w:hAnsi="宋体" w:cs="宋体"/>
                <w:color w:val="auto"/>
                <w:szCs w:val="21"/>
                <w:highlight w:val="none"/>
                <w:lang w:bidi="ar"/>
              </w:rPr>
              <w:t>，</w:t>
            </w:r>
            <w:r>
              <w:rPr>
                <w:rFonts w:hint="eastAsia" w:ascii="宋体" w:hAnsi="宋体" w:cs="Calibri"/>
                <w:color w:val="auto"/>
                <w:kern w:val="0"/>
                <w:szCs w:val="21"/>
                <w:highlight w:val="none"/>
                <w:lang w:bidi="ar"/>
              </w:rPr>
              <w:t>（0-</w:t>
            </w:r>
            <w:r>
              <w:rPr>
                <w:rFonts w:hint="default" w:ascii="宋体" w:hAnsi="宋体" w:cs="Calibri"/>
                <w:color w:val="auto"/>
                <w:kern w:val="0"/>
                <w:szCs w:val="21"/>
                <w:highlight w:val="none"/>
                <w:lang w:bidi="ar"/>
              </w:rPr>
              <w:t>4</w:t>
            </w:r>
            <w:r>
              <w:rPr>
                <w:rFonts w:hint="eastAsia" w:ascii="宋体" w:hAnsi="宋体" w:cs="Calibri"/>
                <w:color w:val="auto"/>
                <w:kern w:val="0"/>
                <w:szCs w:val="21"/>
                <w:highlight w:val="none"/>
                <w:lang w:bidi="ar"/>
              </w:rPr>
              <w:t>分）</w:t>
            </w:r>
            <w:r>
              <w:rPr>
                <w:rFonts w:hint="eastAsia" w:ascii="宋体" w:hAnsi="宋体" w:cs="宋体"/>
                <w:color w:val="auto"/>
                <w:szCs w:val="21"/>
                <w:highlight w:val="none"/>
                <w:lang w:bidi="ar"/>
              </w:rPr>
              <w:t>。</w:t>
            </w:r>
          </w:p>
        </w:tc>
        <w:tc>
          <w:tcPr>
            <w:tcW w:w="437"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1"/>
                <w:szCs w:val="21"/>
                <w:highlight w:val="none"/>
                <w:lang w:eastAsia="zh-CN" w:bidi="ar-SA"/>
              </w:rPr>
            </w:pPr>
            <w:r>
              <w:rPr>
                <w:rFonts w:hint="default" w:ascii="宋体" w:hAnsi="宋体" w:cs="宋体"/>
                <w:color w:val="auto"/>
                <w:kern w:val="2"/>
                <w:sz w:val="21"/>
                <w:szCs w:val="21"/>
                <w:highlight w:val="none"/>
                <w:lang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36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4201"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bidi="ar"/>
              </w:rPr>
              <w:t>培训方案</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根据投标人提供的对院内科室人员软硬件使用培训的内容、时间、地点、人次的安排的可行性、合理性等进行评审（0-5分）</w:t>
            </w:r>
            <w:r>
              <w:rPr>
                <w:rFonts w:hint="eastAsia" w:ascii="宋体" w:hAnsi="宋体" w:cs="宋体"/>
                <w:color w:val="auto"/>
                <w:szCs w:val="21"/>
                <w:highlight w:val="none"/>
                <w:lang w:eastAsia="zh-CN" w:bidi="ar"/>
              </w:rPr>
              <w:t>。</w:t>
            </w:r>
          </w:p>
        </w:tc>
        <w:tc>
          <w:tcPr>
            <w:tcW w:w="437"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w:t>
            </w:r>
          </w:p>
        </w:tc>
      </w:tr>
    </w:tbl>
    <w:p>
      <w:pPr>
        <w:pStyle w:val="68"/>
        <w:adjustRightInd w:val="0"/>
        <w:snapToGrid w:val="0"/>
        <w:spacing w:line="360" w:lineRule="auto"/>
        <w:ind w:firstLine="420"/>
        <w:rPr>
          <w:rFonts w:eastAsia="宋体"/>
          <w:color w:val="auto"/>
          <w:sz w:val="21"/>
          <w:szCs w:val="21"/>
          <w:highlight w:val="none"/>
        </w:rPr>
      </w:pPr>
    </w:p>
    <w:p>
      <w:pPr>
        <w:pStyle w:val="68"/>
        <w:adjustRightInd w:val="0"/>
        <w:snapToGrid w:val="0"/>
        <w:spacing w:line="360" w:lineRule="auto"/>
        <w:ind w:firstLine="420"/>
        <w:rPr>
          <w:rFonts w:eastAsia="宋体"/>
          <w:color w:val="auto"/>
          <w:sz w:val="21"/>
          <w:szCs w:val="21"/>
          <w:highlight w:val="none"/>
        </w:rPr>
      </w:pPr>
      <w:bookmarkStart w:id="42" w:name="_Toc345320401"/>
      <w:r>
        <w:rPr>
          <w:rFonts w:eastAsia="宋体"/>
          <w:color w:val="auto"/>
          <w:sz w:val="21"/>
          <w:szCs w:val="21"/>
          <w:highlight w:val="none"/>
        </w:rPr>
        <w:t>2）</w:t>
      </w:r>
      <w:r>
        <w:rPr>
          <w:rFonts w:eastAsia="宋体"/>
          <w:b/>
          <w:color w:val="auto"/>
          <w:sz w:val="21"/>
          <w:szCs w:val="21"/>
          <w:highlight w:val="none"/>
        </w:rPr>
        <w:t>价格分</w:t>
      </w:r>
      <w:bookmarkEnd w:id="42"/>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1</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1</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8"/>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8"/>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43" w:name="_Toc82873328"/>
      <w:bookmarkStart w:id="44" w:name="_Toc495317672"/>
      <w:bookmarkStart w:id="45" w:name="_Toc211745569"/>
      <w:bookmarkStart w:id="46" w:name="_Toc82338245"/>
    </w:p>
    <w:p>
      <w:pPr>
        <w:adjustRightIn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43"/>
      <w:bookmarkEnd w:id="44"/>
      <w:bookmarkEnd w:id="45"/>
      <w:bookmarkEnd w:id="46"/>
    </w:p>
    <w:p>
      <w:pPr>
        <w:pStyle w:val="1336"/>
        <w:ind w:firstLine="0" w:firstLineChars="0"/>
        <w:rPr>
          <w:rFonts w:hint="eastAsia" w:ascii="Times New Roman" w:hAnsi="Times New Roman" w:cs="Times New Roman"/>
          <w:color w:val="auto"/>
          <w:sz w:val="21"/>
          <w:szCs w:val="24"/>
          <w:highlight w:val="none"/>
          <w:lang w:eastAsia="zh-CN"/>
        </w:rPr>
      </w:pPr>
      <w:bookmarkStart w:id="47" w:name="_Hlk83909597"/>
      <w:bookmarkStart w:id="48" w:name="_Toc211745570"/>
      <w:bookmarkStart w:id="49" w:name="_Toc495317673"/>
      <w:bookmarkStart w:id="50" w:name="_Toc82873329"/>
      <w:bookmarkStart w:id="51" w:name="_Toc82338246"/>
      <w:r>
        <w:rPr>
          <w:rFonts w:hint="eastAsia" w:ascii="Times New Roman" w:hAnsi="Times New Roman" w:cs="Times New Roman"/>
          <w:color w:val="auto"/>
          <w:sz w:val="21"/>
          <w:szCs w:val="24"/>
          <w:highlight w:val="none"/>
        </w:rPr>
        <w:t>甲方：</w:t>
      </w:r>
      <w:r>
        <w:rPr>
          <w:rFonts w:hint="eastAsia" w:ascii="Times New Roman" w:hAnsi="Times New Roman" w:cs="Times New Roman"/>
          <w:color w:val="auto"/>
          <w:sz w:val="21"/>
          <w:szCs w:val="24"/>
          <w:highlight w:val="none"/>
          <w:lang w:eastAsia="zh-CN"/>
        </w:rPr>
        <w:t>杭州市妇产科医院</w:t>
      </w:r>
    </w:p>
    <w:p>
      <w:pPr>
        <w:pStyle w:val="1336"/>
        <w:ind w:firstLine="0" w:firstLineChars="0"/>
        <w:rPr>
          <w:rFonts w:hint="eastAsia" w:ascii="Times New Roman" w:hAnsi="Times New Roman" w:cs="Times New Roman"/>
          <w:color w:val="auto"/>
          <w:sz w:val="21"/>
          <w:szCs w:val="24"/>
          <w:highlight w:val="none"/>
          <w:lang w:eastAsia="zh-CN"/>
        </w:rPr>
      </w:pPr>
      <w:r>
        <w:rPr>
          <w:rFonts w:hint="eastAsia" w:ascii="Times New Roman" w:hAnsi="Times New Roman" w:cs="Times New Roman"/>
          <w:color w:val="auto"/>
          <w:sz w:val="21"/>
          <w:szCs w:val="24"/>
          <w:highlight w:val="none"/>
          <w:lang w:eastAsia="zh-CN"/>
        </w:rPr>
        <w:t>乙方：</w:t>
      </w:r>
    </w:p>
    <w:p>
      <w:pPr>
        <w:pStyle w:val="1336"/>
        <w:ind w:firstLine="0" w:firstLineChars="0"/>
        <w:rPr>
          <w:rFonts w:ascii="仿宋" w:hAnsi="仿宋"/>
          <w:color w:val="auto"/>
          <w:highlight w:val="none"/>
        </w:rPr>
      </w:pPr>
      <w:r>
        <w:rPr>
          <w:rFonts w:hint="eastAsia" w:ascii="Times New Roman" w:hAnsi="Times New Roman" w:cs="Times New Roman"/>
          <w:color w:val="auto"/>
          <w:sz w:val="21"/>
          <w:szCs w:val="24"/>
          <w:highlight w:val="none"/>
          <w:lang w:eastAsia="zh-CN"/>
        </w:rPr>
        <w:t>合同主要内容：杭州市妇产科医院全院叫号系统项目</w:t>
      </w:r>
      <w:r>
        <w:rPr>
          <w:rFonts w:hint="eastAsia" w:ascii="Times New Roman" w:hAnsi="Times New Roman" w:cs="Times New Roman"/>
          <w:color w:val="auto"/>
          <w:sz w:val="21"/>
          <w:szCs w:val="24"/>
          <w:highlight w:val="none"/>
        </w:rPr>
        <w:t xml:space="preserve"> </w:t>
      </w:r>
    </w:p>
    <w:p>
      <w:pPr>
        <w:pStyle w:val="1336"/>
        <w:ind w:firstLine="0" w:firstLineChars="0"/>
        <w:rPr>
          <w:rFonts w:hint="eastAsia" w:ascii="Times New Roman" w:hAnsi="Times New Roman" w:cs="Times New Roman"/>
          <w:color w:val="auto"/>
          <w:sz w:val="21"/>
          <w:szCs w:val="24"/>
          <w:highlight w:val="none"/>
        </w:rPr>
      </w:pPr>
      <w:r>
        <w:rPr>
          <w:rFonts w:hint="eastAsia" w:ascii="Times New Roman" w:hAnsi="Times New Roman" w:cs="Times New Roman"/>
          <w:color w:val="auto"/>
          <w:sz w:val="21"/>
          <w:szCs w:val="24"/>
          <w:highlight w:val="none"/>
        </w:rPr>
        <w:t>1．定义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 “合同文件”即由甲乙方双方签订的合同格式中的文件，包括所有的补充协议（如有）、本合同、附件、附录和组成合同部分的所有其他文件。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1.2“合同价格”系指根据合同规定，在乙方全面正确地履行合同义务时，甲方应支付给乙方的款项。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1.3“服务”系指采购文件规定乙方须承担的安装、调试、技术协助、校准、培训以及其它类似的义务。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1.4“现场”系指将要进行系统安装和运转的地点。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1.5“验收”系指甲方依据合同（含附件）规定接受合同所依据的程序和条件。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2．适用范围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本合同条款适用于本次采购活动。项目实施范围详见附件（如有）。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3、合同期限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自</w:t>
      </w:r>
      <w:r>
        <w:rPr>
          <w:rFonts w:ascii="宋体"/>
          <w:color w:val="auto"/>
          <w:szCs w:val="28"/>
          <w:highlight w:val="none"/>
          <w:u w:val="single"/>
        </w:rPr>
        <w:t xml:space="preserve">    </w:t>
      </w:r>
      <w:r>
        <w:rPr>
          <w:rFonts w:hint="eastAsia"/>
          <w:color w:val="auto"/>
          <w:highlight w:val="none"/>
        </w:rPr>
        <w:t>年</w:t>
      </w:r>
      <w:r>
        <w:rPr>
          <w:rFonts w:ascii="宋体"/>
          <w:color w:val="auto"/>
          <w:szCs w:val="28"/>
          <w:highlight w:val="none"/>
          <w:u w:val="single"/>
        </w:rPr>
        <w:t xml:space="preserve">    </w:t>
      </w:r>
      <w:r>
        <w:rPr>
          <w:rFonts w:hint="eastAsia"/>
          <w:color w:val="auto"/>
          <w:highlight w:val="none"/>
        </w:rPr>
        <w:t>月</w:t>
      </w:r>
      <w:r>
        <w:rPr>
          <w:rFonts w:ascii="宋体"/>
          <w:color w:val="auto"/>
          <w:szCs w:val="28"/>
          <w:highlight w:val="none"/>
          <w:u w:val="single"/>
        </w:rPr>
        <w:t xml:space="preserve">    </w:t>
      </w:r>
      <w:r>
        <w:rPr>
          <w:rFonts w:hint="eastAsia"/>
          <w:color w:val="auto"/>
          <w:highlight w:val="none"/>
        </w:rPr>
        <w:t>日至</w:t>
      </w:r>
      <w:r>
        <w:rPr>
          <w:rFonts w:hint="eastAsia"/>
          <w:color w:val="auto"/>
          <w:highlight w:val="none"/>
          <w:lang w:val="en-US" w:eastAsia="zh-CN"/>
        </w:rPr>
        <w:t>3年质保期结束。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4、系统建设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4.1 乙方对甲方提供的业务资料、技术资料应严格保密，不得超出本合同之目的使用，亦不得向任何第三方披露。本条款始终长期有效且不因本合同的终止而终止。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4.2 乙方对在项目期间所获得的甲方的情报和资料有保密义务，不得超出本合同之目的使用，亦不得向任何第三方披露，泄漏秘密应承担责任。本条款始终长期有效且不因本合同的终止而终止。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4.3 乙方对所提供的产品、技术和服务等拥有合法的占有和处置权，不侵犯任何第三方合法权益，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5、安装调试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5.1 甲方提供堆放材料和工具场地，设备和材料的堆放安全由乙方负责。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5.2</w:t>
      </w:r>
      <w:r>
        <w:rPr>
          <w:color w:val="auto"/>
          <w:highlight w:val="none"/>
        </w:rPr>
        <w:t xml:space="preserve"> </w:t>
      </w:r>
      <w:r>
        <w:rPr>
          <w:rFonts w:hint="eastAsia"/>
          <w:color w:val="auto"/>
          <w:highlight w:val="none"/>
        </w:rPr>
        <w:t>乙方项目实施人员须服从甲方、监理管理人员管理，项目质量纳入现场监理。乙方项目实施人员必须遵守现场的各项规章制度。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6．验收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6.1 </w:t>
      </w:r>
      <w:r>
        <w:rPr>
          <w:rFonts w:hint="eastAsia"/>
          <w:color w:val="auto"/>
          <w:highlight w:val="none"/>
          <w:lang w:eastAsia="zh-CN"/>
        </w:rPr>
        <w:t>合同签订后</w:t>
      </w:r>
      <w:r>
        <w:rPr>
          <w:rFonts w:hint="eastAsia"/>
          <w:color w:val="auto"/>
          <w:highlight w:val="none"/>
          <w:lang w:val="en-US" w:eastAsia="zh-CN"/>
        </w:rPr>
        <w:t>90日历日内完成项目实施</w:t>
      </w:r>
      <w:r>
        <w:rPr>
          <w:rFonts w:hint="eastAsia"/>
          <w:color w:val="auto"/>
          <w:highlight w:val="none"/>
        </w:rPr>
        <w:t>，由甲方对项目进行最终验收。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6.2 终验收合格后，甲乙双方共同签署验收报告，一式二份，一份交甲方留存，一份由乙方用作结算凭证。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6.3 如果发现乙方提供的服务与合同中要求不符，乙方须承担甲方由此发生的一切损失和费用。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6.4 终验收时必须提供完整的竣工验收资料等。</w:t>
      </w:r>
    </w:p>
    <w:p>
      <w:pPr>
        <w:pStyle w:val="2"/>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6.5 质保期：项目通过终审验收后，需提供软件系统1年免费维保期、硬件3年免费质保期。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7．支付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7.1本次项目合同总价为大写人民币</w:t>
      </w:r>
      <w:r>
        <w:rPr>
          <w:rFonts w:hint="eastAsia"/>
          <w:color w:val="auto"/>
          <w:highlight w:val="none"/>
          <w:u w:val="single"/>
        </w:rPr>
        <w:t xml:space="preserve">     整</w:t>
      </w:r>
      <w:r>
        <w:rPr>
          <w:color w:val="auto"/>
          <w:highlight w:val="none"/>
          <w:u w:val="single"/>
        </w:rPr>
        <w:t xml:space="preserve"> </w:t>
      </w:r>
      <w:r>
        <w:rPr>
          <w:rFonts w:hint="eastAsia"/>
          <w:color w:val="auto"/>
          <w:highlight w:val="none"/>
        </w:rPr>
        <w:t>（</w:t>
      </w:r>
      <w:r>
        <w:rPr>
          <w:rFonts w:ascii="Arial" w:hAnsi="Arial" w:cs="Arial"/>
          <w:color w:val="auto"/>
          <w:highlight w:val="none"/>
        </w:rPr>
        <w:t>¥</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），采用分期付款方式，每期付款前，乙方需提供正式税务发票，经甲方核对无误后按照本合同约定的支付条件予以付款。具体如下：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第一期付款：合同签订后1</w:t>
      </w:r>
      <w:r>
        <w:rPr>
          <w:rFonts w:hint="default"/>
          <w:color w:val="auto"/>
          <w:highlight w:val="none"/>
        </w:rPr>
        <w:t>5</w:t>
      </w:r>
      <w:r>
        <w:rPr>
          <w:rFonts w:hint="eastAsia"/>
          <w:color w:val="auto"/>
          <w:highlight w:val="none"/>
        </w:rPr>
        <w:t>个工作日内，乙方向甲方提出申请，由甲方向乙方支付合同总价</w:t>
      </w:r>
      <w:r>
        <w:rPr>
          <w:rFonts w:hint="default"/>
          <w:color w:val="auto"/>
          <w:highlight w:val="none"/>
        </w:rPr>
        <w:t>3</w:t>
      </w:r>
      <w:r>
        <w:rPr>
          <w:rFonts w:hint="eastAsia"/>
          <w:color w:val="auto"/>
          <w:highlight w:val="none"/>
        </w:rPr>
        <w:t>0%的</w:t>
      </w:r>
      <w:r>
        <w:rPr>
          <w:rFonts w:hint="eastAsia"/>
          <w:color w:val="auto"/>
          <w:highlight w:val="none"/>
          <w:lang w:eastAsia="zh-CN"/>
        </w:rPr>
        <w:t>合同</w:t>
      </w:r>
      <w:r>
        <w:rPr>
          <w:rFonts w:hint="eastAsia"/>
          <w:color w:val="auto"/>
          <w:highlight w:val="none"/>
        </w:rPr>
        <w:t>款，计大写人民币</w:t>
      </w:r>
      <w:r>
        <w:rPr>
          <w:color w:val="auto"/>
          <w:highlight w:val="none"/>
          <w:u w:val="single"/>
        </w:rPr>
        <w:t xml:space="preserve">     </w:t>
      </w:r>
      <w:r>
        <w:rPr>
          <w:color w:val="auto"/>
          <w:highlight w:val="none"/>
        </w:rPr>
        <w:t>整（</w:t>
      </w:r>
      <w:r>
        <w:rPr>
          <w:rFonts w:ascii="Arial" w:hAnsi="Arial" w:cs="Arial"/>
          <w:color w:val="auto"/>
          <w:highlight w:val="none"/>
        </w:rPr>
        <w:t>¥</w:t>
      </w:r>
      <w:r>
        <w:rPr>
          <w:color w:val="auto"/>
          <w:highlight w:val="none"/>
          <w:u w:val="single"/>
        </w:rPr>
        <w:t xml:space="preserve">    </w:t>
      </w:r>
      <w:r>
        <w:rPr>
          <w:color w:val="auto"/>
          <w:highlight w:val="none"/>
        </w:rPr>
        <w:t>）</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第二期付款：经甲方最终验收合格且终验收报告出具后，乙方向甲方提出申请，由甲方向乙方支付合同总价</w:t>
      </w:r>
      <w:r>
        <w:rPr>
          <w:rFonts w:hint="default"/>
          <w:color w:val="auto"/>
          <w:highlight w:val="none"/>
        </w:rPr>
        <w:t>6</w:t>
      </w:r>
      <w:r>
        <w:rPr>
          <w:rFonts w:hint="eastAsia"/>
          <w:color w:val="auto"/>
          <w:highlight w:val="none"/>
        </w:rPr>
        <w:t>0%的合同款，计大写人民币</w:t>
      </w:r>
      <w:r>
        <w:rPr>
          <w:rFonts w:hint="eastAsia"/>
          <w:color w:val="auto"/>
          <w:highlight w:val="none"/>
          <w:u w:val="single"/>
        </w:rPr>
        <w:t xml:space="preserve">    </w:t>
      </w:r>
      <w:r>
        <w:rPr>
          <w:color w:val="auto"/>
          <w:highlight w:val="none"/>
        </w:rPr>
        <w:t>整（</w:t>
      </w:r>
      <w:r>
        <w:rPr>
          <w:rFonts w:ascii="Arial" w:hAnsi="Arial" w:cs="Arial"/>
          <w:color w:val="auto"/>
          <w:highlight w:val="none"/>
        </w:rPr>
        <w:t>¥</w:t>
      </w:r>
      <w:r>
        <w:rPr>
          <w:color w:val="auto"/>
          <w:highlight w:val="none"/>
          <w:u w:val="single"/>
        </w:rPr>
        <w:t xml:space="preserve">    </w:t>
      </w:r>
      <w:r>
        <w:rPr>
          <w:color w:val="auto"/>
          <w:highlight w:val="none"/>
        </w:rPr>
        <w:t>）</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第</w:t>
      </w:r>
      <w:r>
        <w:rPr>
          <w:rFonts w:hint="default"/>
          <w:color w:val="auto"/>
          <w:highlight w:val="none"/>
        </w:rPr>
        <w:t>三</w:t>
      </w:r>
      <w:r>
        <w:rPr>
          <w:rFonts w:hint="eastAsia"/>
          <w:color w:val="auto"/>
          <w:highlight w:val="none"/>
        </w:rPr>
        <w:t>期付款：</w:t>
      </w:r>
      <w:r>
        <w:rPr>
          <w:rFonts w:hint="default"/>
          <w:color w:val="auto"/>
          <w:highlight w:val="none"/>
        </w:rPr>
        <w:t>验收满1年</w:t>
      </w:r>
      <w:r>
        <w:rPr>
          <w:rFonts w:hint="eastAsia"/>
          <w:color w:val="auto"/>
          <w:highlight w:val="none"/>
        </w:rPr>
        <w:t>，乙方向甲方提出申请，由甲方向乙方支付合同总价</w:t>
      </w:r>
      <w:r>
        <w:rPr>
          <w:rFonts w:hint="default"/>
          <w:color w:val="auto"/>
          <w:highlight w:val="none"/>
        </w:rPr>
        <w:t>1</w:t>
      </w:r>
      <w:r>
        <w:rPr>
          <w:rFonts w:hint="eastAsia"/>
          <w:color w:val="auto"/>
          <w:highlight w:val="none"/>
        </w:rPr>
        <w:t>0%的合同款，计大写人民币</w:t>
      </w:r>
      <w:r>
        <w:rPr>
          <w:rFonts w:hint="eastAsia"/>
          <w:color w:val="auto"/>
          <w:highlight w:val="none"/>
          <w:u w:val="single"/>
        </w:rPr>
        <w:t xml:space="preserve">    </w:t>
      </w:r>
      <w:r>
        <w:rPr>
          <w:color w:val="auto"/>
          <w:highlight w:val="none"/>
        </w:rPr>
        <w:t>整（</w:t>
      </w:r>
      <w:r>
        <w:rPr>
          <w:rFonts w:ascii="Arial" w:hAnsi="Arial" w:cs="Arial"/>
          <w:color w:val="auto"/>
          <w:highlight w:val="none"/>
        </w:rPr>
        <w:t>¥</w:t>
      </w:r>
      <w:r>
        <w:rPr>
          <w:color w:val="auto"/>
          <w:highlight w:val="none"/>
          <w:u w:val="single"/>
        </w:rPr>
        <w:t xml:space="preserve">    </w:t>
      </w:r>
      <w:r>
        <w:rPr>
          <w:color w:val="auto"/>
          <w:highlight w:val="none"/>
        </w:rPr>
        <w:t>）</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7.2如乙方存在违约情形应向甲方支付违约金或赔偿甲方损失的，甲方有权在待支付的费用中直接扣除相应款项，乙方应按照扣款后的金额开具符合甲方要求的正式税务发票。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7.3如乙方提供的票据不符合甲方要求或甲乙双方对于支付金额有争议的，甲方有权待乙方提供符合甲方要求的正式税务发票后或争议解决后再行支付，且该行为不构成违约。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8．延期交付与核定损失额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8.1如果乙方在正常情况下未能按合同规定的时间按期交付使用，乙方应承担相应后果。如果乙方未能按合同规定履行其义务，</w:t>
      </w:r>
      <w:r>
        <w:rPr>
          <w:rFonts w:hint="eastAsia" w:ascii="宋体" w:hAnsi="宋体" w:eastAsia="宋体" w:cs="宋体"/>
          <w:i w:val="0"/>
          <w:iCs w:val="0"/>
          <w:caps w:val="0"/>
          <w:color w:val="auto"/>
          <w:spacing w:val="0"/>
          <w:sz w:val="21"/>
          <w:szCs w:val="21"/>
          <w:highlight w:val="none"/>
          <w:shd w:val="clear" w:fill="FFFFFF"/>
        </w:rPr>
        <w:t>甲方有权立即解除本合同并要求乙方按合同总价款的20%支付违约金。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lang w:val="zh-CN"/>
        </w:rPr>
        <w:t xml:space="preserve">8.2 </w:t>
      </w:r>
      <w:r>
        <w:rPr>
          <w:rFonts w:hint="eastAsia"/>
          <w:color w:val="auto"/>
          <w:highlight w:val="none"/>
        </w:rPr>
        <w:t>本合同中提及的“经济损失”、“经济赔偿”以及“损失”等，均包括但不限于直接损失、间接损失和守约方因维权而产生的诉讼费、律师费、保全费、保全担保费、公证费、鉴定费和执行费等一切损失。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9．不可抗力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签约双方任一方由于不可抗力事故的影响而不能执行合同时，应及时通知合同相对方，履行合同的期限应予以延长，具体延长时间由双方协商确认。不可抗力事故系指甲乙双方在缔结合同时所不能预见的，并且它的发生及其后果无法避免和无法克服的事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10. 乙方的责任与义务</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s="宋体"/>
          <w:bCs/>
          <w:color w:val="auto"/>
          <w:szCs w:val="21"/>
          <w:highlight w:val="none"/>
        </w:rPr>
      </w:pPr>
      <w:r>
        <w:rPr>
          <w:rFonts w:hint="eastAsia"/>
          <w:color w:val="auto"/>
          <w:highlight w:val="none"/>
        </w:rPr>
        <w:t>10.</w:t>
      </w:r>
      <w:r>
        <w:rPr>
          <w:rFonts w:hint="eastAsia"/>
          <w:color w:val="auto"/>
          <w:highlight w:val="none"/>
          <w:lang w:val="en-US" w:eastAsia="zh-CN"/>
        </w:rPr>
        <w:t>1</w:t>
      </w:r>
      <w:r>
        <w:rPr>
          <w:rFonts w:hint="eastAsia"/>
          <w:color w:val="auto"/>
          <w:highlight w:val="none"/>
        </w:rPr>
        <w:t xml:space="preserve"> 根据应标文件的承诺向甲方委派项目人员。</w:t>
      </w:r>
      <w:r>
        <w:rPr>
          <w:rFonts w:hint="eastAsia" w:ascii="宋体" w:hAnsi="宋体" w:cs="宋体"/>
          <w:bCs/>
          <w:color w:val="auto"/>
          <w:szCs w:val="21"/>
          <w:highlight w:val="none"/>
        </w:rPr>
        <w:t>组织有实施经验的团队，进驻医院提供项目实施和培训、运维等服务, 至少1名安排专职负责的项目经理。</w:t>
      </w:r>
    </w:p>
    <w:p>
      <w:pPr>
        <w:pStyle w:val="2"/>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10.2 系统部署上线期间，至少1人驻点医院，直到系统上线完成，稳定使用。</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s="宋体"/>
          <w:bCs/>
          <w:color w:val="auto"/>
          <w:szCs w:val="21"/>
          <w:highlight w:val="none"/>
        </w:rPr>
      </w:pPr>
      <w:r>
        <w:rPr>
          <w:rFonts w:hint="eastAsia"/>
          <w:color w:val="auto"/>
          <w:highlight w:val="none"/>
        </w:rPr>
        <w:t>10.</w:t>
      </w:r>
      <w:r>
        <w:rPr>
          <w:rFonts w:hint="eastAsia"/>
          <w:color w:val="auto"/>
          <w:highlight w:val="none"/>
          <w:lang w:val="en-US" w:eastAsia="zh-CN"/>
        </w:rPr>
        <w:t>3</w:t>
      </w:r>
      <w:r>
        <w:rPr>
          <w:rFonts w:hint="eastAsia"/>
          <w:color w:val="auto"/>
          <w:highlight w:val="none"/>
        </w:rPr>
        <w:t xml:space="preserve"> </w:t>
      </w:r>
      <w:r>
        <w:rPr>
          <w:rFonts w:hint="eastAsia" w:ascii="宋体" w:hAnsi="宋体" w:cs="宋体"/>
          <w:bCs/>
          <w:color w:val="auto"/>
          <w:szCs w:val="21"/>
          <w:highlight w:val="none"/>
        </w:rPr>
        <w:t>在实施团队进场后，</w:t>
      </w:r>
      <w:r>
        <w:rPr>
          <w:rFonts w:hint="eastAsia" w:ascii="宋体" w:hAnsi="宋体" w:cs="宋体"/>
          <w:bCs/>
          <w:color w:val="auto"/>
          <w:szCs w:val="21"/>
          <w:highlight w:val="none"/>
          <w:lang w:val="en-US" w:eastAsia="zh-CN"/>
        </w:rPr>
        <w:t>与甲方</w:t>
      </w:r>
      <w:r>
        <w:rPr>
          <w:rFonts w:hint="eastAsia" w:ascii="宋体" w:hAnsi="宋体" w:cs="宋体"/>
          <w:bCs/>
          <w:color w:val="auto"/>
          <w:szCs w:val="21"/>
          <w:highlight w:val="none"/>
        </w:rPr>
        <w:t>一同制定详细实施计划，并严格按照实施计划执行，定期进行项目进度管理及并及时汇报，如进度出现问题有响应的解决方案和措施。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10.</w:t>
      </w:r>
      <w:r>
        <w:rPr>
          <w:rFonts w:hint="eastAsia"/>
          <w:color w:val="auto"/>
          <w:highlight w:val="none"/>
          <w:lang w:val="en-US" w:eastAsia="zh-CN"/>
        </w:rPr>
        <w:t>4</w:t>
      </w:r>
      <w:r>
        <w:rPr>
          <w:rFonts w:hint="eastAsia"/>
          <w:color w:val="auto"/>
          <w:highlight w:val="none"/>
        </w:rPr>
        <w:t>在本合同期内或合同终止后，未征得甲方书面同意，不得泄漏与本项目、本合同有关的技术、资料等，不得以任何形式侵害甲方的知识产权。</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default" w:ascii="宋体" w:hAnsi="宋体" w:eastAsia="宋体" w:cs="宋体"/>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lang w:val="en-US" w:eastAsia="zh-CN"/>
        </w:rPr>
        <w:t>10.5</w:t>
      </w:r>
      <w:r>
        <w:rPr>
          <w:rFonts w:hint="eastAsia"/>
          <w:color w:val="auto"/>
          <w:highlight w:val="none"/>
        </w:rPr>
        <w:t>负责本系统项目建设及整体联动，负责处理好与其他项目实施单位的协调。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 甲方的责任与义务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11.1 甲方应当主要负责项目建设的所有外部关系的联系与协调，为乙方工作提供良好的外部条件。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11.2 甲方应当按双方约定的内容和时间，向乙方提供与项目建设有关的项目等资料。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11.3 甲方应当就乙方书面提交并要求做出决定的与本项目有关的事宜做出书面决定。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11.4 甲方应授权一名熟悉本项目情况、能迅速做出决定的项目代表，负责与乙方联系。更换代表，要提前通知乙方。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11.5 甲方有与乙方订立补充合同的签订权。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11.6 甲方有对项目规模、设计标准、规范和设计使用功能要求的认定权，以及对项目建设、设计变更的审批权。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11.7 甲方有权要求乙方提交工作月度报告及专项报告等。</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12.售后服务要求</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12.1软件系统：项目通过终审验收后，需提供1年免费维保期（验收报告签订后1年）。</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12.2应用软件系统售后服务要求：需为甲方提供维护服务和技术服务支持，维护包括系统维护、功能完善、性能提升、故障检测，并保证所提供的软件正常运行，费用包含在合同总价中。</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12.3所有产品投入正式运行和在服务期内，承建商提供7×24小时服务，正常工作时间内，10分钟电话响应；工作时间外，30分钟电话响应。涉及软件的生命周期中如软件自身缺陷、系统故障、系统宕机或由于医院紧急业务处理等非常原因引起的软件修改需求，将在问题出现后30分钟内给予解决。</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12.4满足医院不断提升的安全规范要求。</w:t>
      </w:r>
    </w:p>
    <w:p>
      <w:pPr>
        <w:pStyle w:val="2"/>
        <w:spacing w:line="360" w:lineRule="auto"/>
        <w:rPr>
          <w:rFonts w:hint="eastAsia"/>
          <w:color w:val="auto"/>
          <w:highlight w:val="none"/>
        </w:rPr>
      </w:pPr>
      <w:r>
        <w:rPr>
          <w:rFonts w:hint="eastAsia" w:ascii="宋体" w:hAnsi="宋体" w:eastAsia="宋体" w:cs="宋体"/>
          <w:bCs/>
          <w:color w:val="auto"/>
          <w:kern w:val="2"/>
          <w:sz w:val="21"/>
          <w:szCs w:val="21"/>
          <w:highlight w:val="none"/>
          <w:lang w:val="en-US" w:eastAsia="zh-CN" w:bidi="ar-SA"/>
        </w:rPr>
        <w:t>12.5 需支持后期信创改造，且信创改造不额外收取费用。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 合同生效、变更和终止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.1 本合同经甲乙双方法定代表人或其委托人签字并加盖单位公章或合同专用章后生效。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.2</w:t>
      </w:r>
      <w:r>
        <w:rPr>
          <w:color w:val="auto"/>
          <w:highlight w:val="none"/>
        </w:rPr>
        <w:t xml:space="preserve"> </w:t>
      </w:r>
      <w:r>
        <w:rPr>
          <w:rFonts w:hint="eastAsia"/>
          <w:color w:val="auto"/>
          <w:highlight w:val="none"/>
        </w:rPr>
        <w:t>在合同的有效期内，如因甲方的原因，导致项目建设进度的推迟或延误而超过约定的日期，甲乙双方应协商，重新约定相应延长的合同期。因乙方的责任，导致项目建设进度的推迟或延误而超过约定的日期，由乙方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.3 在合同签订后，非因乙方原因导致的实际情况发生变化，使得乙方不能全部或部分执行项目时，乙方应当立即通知甲方。该项目的完成时间是否延长或</w:t>
      </w:r>
      <w:r>
        <w:rPr>
          <w:color w:val="auto"/>
          <w:highlight w:val="none"/>
        </w:rPr>
        <w:t>当</w:t>
      </w:r>
      <w:r>
        <w:rPr>
          <w:rFonts w:hint="eastAsia"/>
          <w:color w:val="auto"/>
          <w:highlight w:val="none"/>
        </w:rPr>
        <w:t>恢复执行项目时，是否需增加时间用于恢复执行，由双方另行协商确定。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.4 当事人一方要求变更或解除合同时，应当在30天前通知对方，因擅自变更或解除合同使</w:t>
      </w:r>
      <w:r>
        <w:rPr>
          <w:color w:val="auto"/>
          <w:highlight w:val="none"/>
        </w:rPr>
        <w:t>一方</w:t>
      </w:r>
      <w:r>
        <w:rPr>
          <w:rFonts w:hint="eastAsia"/>
          <w:color w:val="auto"/>
          <w:highlight w:val="none"/>
        </w:rPr>
        <w:t>遭受损失的，除依法可以免除责任的外，应由责任方负责赔偿。变更或解除合同的通知或协议应当采取书面形式，协议未达成之前，原合同仍然有效。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 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.1 乙方应当履行合同约定的义务，如有违反，须承担相应的违约责任。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color w:val="auto"/>
          <w:highlight w:val="none"/>
        </w:rPr>
        <w:t>1</w:t>
      </w:r>
      <w:r>
        <w:rPr>
          <w:rFonts w:hint="eastAsia"/>
          <w:color w:val="auto"/>
          <w:highlight w:val="none"/>
          <w:lang w:val="en-US" w:eastAsia="zh-CN"/>
        </w:rPr>
        <w:t>4</w:t>
      </w:r>
      <w:r>
        <w:rPr>
          <w:color w:val="auto"/>
          <w:highlight w:val="none"/>
        </w:rPr>
        <w:t>.2 乙方须按</w:t>
      </w:r>
      <w:r>
        <w:rPr>
          <w:rFonts w:hint="eastAsia"/>
          <w:color w:val="auto"/>
          <w:highlight w:val="none"/>
        </w:rPr>
        <w:t>合同要求</w:t>
      </w:r>
      <w:r>
        <w:rPr>
          <w:color w:val="auto"/>
          <w:highlight w:val="none"/>
        </w:rPr>
        <w:t>完成甲方要求的运行维护等服务内容，并会同甲方及有关部门共同按有关规范</w:t>
      </w:r>
      <w:r>
        <w:rPr>
          <w:rFonts w:hint="eastAsia"/>
          <w:color w:val="auto"/>
          <w:highlight w:val="none"/>
        </w:rPr>
        <w:t>完成终</w:t>
      </w:r>
      <w:r>
        <w:rPr>
          <w:color w:val="auto"/>
          <w:highlight w:val="none"/>
        </w:rPr>
        <w:t>验收。如</w:t>
      </w:r>
      <w:r>
        <w:rPr>
          <w:rFonts w:hint="eastAsia"/>
          <w:color w:val="auto"/>
          <w:highlight w:val="none"/>
        </w:rPr>
        <w:t>终</w:t>
      </w:r>
      <w:r>
        <w:rPr>
          <w:color w:val="auto"/>
          <w:highlight w:val="none"/>
        </w:rPr>
        <w:t>验收不合格的，乙方应</w:t>
      </w:r>
      <w:r>
        <w:rPr>
          <w:rFonts w:hint="eastAsia"/>
          <w:color w:val="auto"/>
          <w:highlight w:val="none"/>
        </w:rPr>
        <w:t>按照甲方要求</w:t>
      </w:r>
      <w:r>
        <w:rPr>
          <w:color w:val="auto"/>
          <w:highlight w:val="none"/>
        </w:rPr>
        <w:t>无条件返工至合格并负责返工所产生的全部费用和所造成的经济损失</w:t>
      </w:r>
      <w:r>
        <w:rPr>
          <w:rFonts w:hint="eastAsia"/>
          <w:color w:val="auto"/>
          <w:highlight w:val="none"/>
        </w:rPr>
        <w:t>。如未按甲方要求进行返工或经两次返工仍不合格的，甲方有权提前终止本合同，乙方应向甲方支付</w:t>
      </w:r>
      <w:r>
        <w:rPr>
          <w:color w:val="auto"/>
          <w:highlight w:val="none"/>
        </w:rPr>
        <w:t>合同总金额</w:t>
      </w:r>
      <w:r>
        <w:rPr>
          <w:rFonts w:hint="eastAsia"/>
          <w:color w:val="auto"/>
          <w:highlight w:val="none"/>
          <w:lang w:val="en-US" w:eastAsia="zh-CN"/>
        </w:rPr>
        <w:t>2</w:t>
      </w:r>
      <w:r>
        <w:rPr>
          <w:color w:val="auto"/>
          <w:highlight w:val="none"/>
        </w:rPr>
        <w:t>0%的违约金；如该违约金不足以弥补甲方因此所遭受的全部损失的，乙方应予补足</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 xml:space="preserve">.3 </w:t>
      </w:r>
      <w:r>
        <w:rPr>
          <w:color w:val="auto"/>
          <w:highlight w:val="none"/>
        </w:rPr>
        <w:t>如因乙方原因导致不能按期</w:t>
      </w:r>
      <w:r>
        <w:rPr>
          <w:rFonts w:hint="eastAsia"/>
          <w:color w:val="auto"/>
          <w:highlight w:val="none"/>
        </w:rPr>
        <w:t>进行终</w:t>
      </w:r>
      <w:r>
        <w:rPr>
          <w:color w:val="auto"/>
          <w:highlight w:val="none"/>
        </w:rPr>
        <w:t>验收的，由此而造成推迟交付的时间按超期计算，每超过一天乙方按本项目总价款的1‰赔偿甲方的经济损失，累计</w:t>
      </w:r>
      <w:r>
        <w:rPr>
          <w:rFonts w:hint="eastAsia"/>
          <w:color w:val="auto"/>
          <w:highlight w:val="none"/>
        </w:rPr>
        <w:t>逾期</w:t>
      </w:r>
      <w:r>
        <w:rPr>
          <w:color w:val="auto"/>
          <w:highlight w:val="none"/>
        </w:rPr>
        <w:t>达到</w:t>
      </w:r>
      <w:r>
        <w:rPr>
          <w:rFonts w:hint="eastAsia"/>
          <w:color w:val="auto"/>
          <w:highlight w:val="none"/>
        </w:rPr>
        <w:t>30日的，乙方应向甲方支付</w:t>
      </w:r>
      <w:r>
        <w:rPr>
          <w:color w:val="auto"/>
          <w:highlight w:val="none"/>
        </w:rPr>
        <w:t>合同总金额20%的违约金</w:t>
      </w:r>
      <w:r>
        <w:rPr>
          <w:rFonts w:hint="eastAsia"/>
          <w:color w:val="auto"/>
          <w:highlight w:val="none"/>
        </w:rPr>
        <w:t>，且</w:t>
      </w:r>
      <w:r>
        <w:rPr>
          <w:color w:val="auto"/>
          <w:highlight w:val="none"/>
        </w:rPr>
        <w:t>甲方有权</w:t>
      </w:r>
      <w:r>
        <w:rPr>
          <w:rFonts w:hint="eastAsia"/>
          <w:color w:val="auto"/>
          <w:highlight w:val="none"/>
        </w:rPr>
        <w:t>提前</w:t>
      </w:r>
      <w:r>
        <w:rPr>
          <w:color w:val="auto"/>
          <w:highlight w:val="none"/>
        </w:rPr>
        <w:t>终止合同并停止支付项目尾款；如该违约金不足以弥补甲方因此所遭受的全部损失的，乙方应予补足。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.4 因乙方原因造成与本项目衔接相关的其他系统不能正常运行或酿成重大事故（正常工作日系统中断一天或一天以上以及比前述情况更为严重的）的，乙方应承担全部法律责任，并向甲方支付合同总金额</w:t>
      </w:r>
      <w:r>
        <w:rPr>
          <w:rFonts w:hint="eastAsia"/>
          <w:color w:val="auto"/>
          <w:highlight w:val="none"/>
          <w:lang w:val="en-US" w:eastAsia="zh-CN"/>
        </w:rPr>
        <w:t>2</w:t>
      </w:r>
      <w:r>
        <w:rPr>
          <w:rFonts w:hint="eastAsia"/>
          <w:color w:val="auto"/>
          <w:highlight w:val="none"/>
        </w:rPr>
        <w:t>0%的违约金，如该违约金不足以弥补甲方因此所遭受的全部损失的，乙方应予以补足。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.5 履行本合同的过程中，确因在现有水平和条件下难以克服的技术困难，导致部分或全部失败所造成的损失，风险责任由乙方全部承担。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.6 因不可抗力导致合同不能全部或部分履行，甲、乙双方协商解决。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.7 其他约定：除合同文件另有约定的外，如乙方未能按照合同文件规定履行其义务的，应向甲方支付合同总金额</w:t>
      </w:r>
      <w:r>
        <w:rPr>
          <w:rFonts w:hint="eastAsia"/>
          <w:color w:val="auto"/>
          <w:highlight w:val="none"/>
          <w:lang w:val="en-US" w:eastAsia="zh-CN"/>
        </w:rPr>
        <w:t>20</w:t>
      </w:r>
      <w:r>
        <w:rPr>
          <w:rFonts w:hint="eastAsia"/>
          <w:color w:val="auto"/>
          <w:highlight w:val="none"/>
        </w:rPr>
        <w:t xml:space="preserve">%的违约金；如该违约金不足以弥补甲方因此所遭受的全部损失的，乙方应予补足。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．项目质量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.1 乙方保证按ISO9000系列标准或相应的质量管理和质量保证体系，对项目实施、调试、检测等各个环节进行严格的质量和质量控制。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.2 乙方须严格按设计方案和国家现行项目实施验收规范有关规定，精心组织实施。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color w:val="auto"/>
          <w:highlight w:val="none"/>
        </w:rPr>
        <w:t>4</w:t>
      </w:r>
      <w:r>
        <w:rPr>
          <w:rFonts w:hint="eastAsia"/>
          <w:color w:val="auto"/>
          <w:highlight w:val="none"/>
        </w:rPr>
        <w:t>.3 项目的质量、技术标准如在采购文件和投标文件中无相应说明，则按中华人民共和国有关部门颁布的最新的国家、地方或专业（部）标准或相应的国际标准执行。没有国家、地方或专业（部）标准的，按企业标准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.4 项目实施过程中应严格做好安全防范措施，如乙方项目实施人员在实施中违反操作规定造成人员伤亡事故或实施现场防范措施设置不明造成人员伤害事故或财产损失的，一切责任均由乙方负责。如因此造成甲方损失的，亦应由乙方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 争议处理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color w:val="auto"/>
          <w:highlight w:val="none"/>
        </w:rPr>
        <w:t>1</w:t>
      </w:r>
      <w:r>
        <w:rPr>
          <w:rFonts w:hint="eastAsia"/>
          <w:color w:val="auto"/>
          <w:highlight w:val="none"/>
          <w:lang w:val="en-US" w:eastAsia="zh-CN"/>
        </w:rPr>
        <w:t>6</w:t>
      </w:r>
      <w:r>
        <w:rPr>
          <w:color w:val="auto"/>
          <w:highlight w:val="none"/>
        </w:rPr>
        <w:t>.</w:t>
      </w:r>
      <w:r>
        <w:rPr>
          <w:rFonts w:hint="eastAsia"/>
          <w:color w:val="auto"/>
          <w:highlight w:val="none"/>
          <w:lang w:val="en-US" w:eastAsia="zh-CN"/>
        </w:rPr>
        <w:t>1</w:t>
      </w:r>
      <w:r>
        <w:rPr>
          <w:color w:val="auto"/>
          <w:highlight w:val="none"/>
        </w:rPr>
        <w:t xml:space="preserve"> </w:t>
      </w:r>
      <w:r>
        <w:rPr>
          <w:rFonts w:hint="eastAsia"/>
          <w:color w:val="auto"/>
          <w:highlight w:val="none"/>
        </w:rPr>
        <w:t>因履行本合同引起的或与本合同有关争议，甲乙双方应友好协商；协商不成的，任何一方可向甲方所在地人民法院起诉。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 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 xml:space="preserve">.1 本合同（含附件）一式 </w:t>
      </w:r>
      <w:r>
        <w:rPr>
          <w:rFonts w:hint="eastAsia"/>
          <w:color w:val="auto"/>
          <w:highlight w:val="none"/>
          <w:lang w:eastAsia="zh-CN"/>
        </w:rPr>
        <w:t>伍</w:t>
      </w:r>
      <w:r>
        <w:rPr>
          <w:rFonts w:hint="eastAsia"/>
          <w:color w:val="auto"/>
          <w:highlight w:val="none"/>
        </w:rPr>
        <w:t xml:space="preserve"> 份，甲方执叁份；乙方执 </w:t>
      </w:r>
      <w:r>
        <w:rPr>
          <w:rFonts w:hint="eastAsia"/>
          <w:color w:val="auto"/>
          <w:highlight w:val="none"/>
          <w:lang w:eastAsia="zh-CN"/>
        </w:rPr>
        <w:t>贰</w:t>
      </w:r>
      <w:r>
        <w:rPr>
          <w:rFonts w:hint="eastAsia"/>
          <w:color w:val="auto"/>
          <w:highlight w:val="none"/>
        </w:rPr>
        <w:t xml:space="preserve">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.2 未经过甲方的书面同意，乙方不得转让其应履行的合同项下的义务，和将部分或全部合同项下的义务转包、分包给其他单位完成。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.3 乙方不得参与可能与合同规定的与甲方的利益相冲突的任何活动。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.4 乙方人员在甲方场地工作时，应遵守甲方相关规章、制度。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.5 本合同任何一方给另一方的通知，都应以书面或</w:t>
      </w:r>
      <w:r>
        <w:rPr>
          <w:rFonts w:hint="eastAsia"/>
          <w:color w:val="auto"/>
          <w:highlight w:val="none"/>
          <w:lang w:eastAsia="zh-CN"/>
        </w:rPr>
        <w:t>电子邮件等</w:t>
      </w:r>
      <w:r>
        <w:rPr>
          <w:rFonts w:hint="eastAsia"/>
          <w:color w:val="auto"/>
          <w:highlight w:val="none"/>
        </w:rPr>
        <w:t>形式发送，而另一方应以书面形式确认并发送到对方明确的地址。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.6 合同履行期内甲乙双方均不得随意变更或解除合同。合同若有未尽事宜，需经双方共同协商，订立补充协议，补充协议与本合同有同等法律效力。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.7 采购文件、应标文件及评标过程中形成的文字资料、询标纪要均作为本合同的组成部分。</w:t>
      </w:r>
    </w:p>
    <w:tbl>
      <w:tblPr>
        <w:tblStyle w:val="81"/>
        <w:tblW w:w="8952" w:type="dxa"/>
        <w:tblInd w:w="108" w:type="dxa"/>
        <w:tblLayout w:type="fixed"/>
        <w:tblCellMar>
          <w:top w:w="0" w:type="dxa"/>
          <w:left w:w="108" w:type="dxa"/>
          <w:bottom w:w="0" w:type="dxa"/>
          <w:right w:w="108" w:type="dxa"/>
        </w:tblCellMar>
      </w:tblPr>
      <w:tblGrid>
        <w:gridCol w:w="4479"/>
        <w:gridCol w:w="4473"/>
      </w:tblGrid>
      <w:tr>
        <w:trPr>
          <w:trHeight w:val="287" w:hRule="atLeast"/>
        </w:trPr>
        <w:tc>
          <w:tcPr>
            <w:tcW w:w="4479" w:type="dxa"/>
            <w:vAlign w:val="center"/>
          </w:tcPr>
          <w:p>
            <w:pPr>
              <w:pStyle w:val="1338"/>
              <w:keepNext w:val="0"/>
              <w:keepLines w:val="0"/>
              <w:suppressLineNumbers w:val="0"/>
              <w:spacing w:beforeAutospacing="0" w:afterAutospacing="0"/>
              <w:ind w:left="0" w:right="0" w:firstLine="422"/>
              <w:jc w:val="both"/>
              <w:rPr>
                <w:rFonts w:hint="eastAsia" w:eastAsia="宋体"/>
                <w:color w:val="auto"/>
                <w:highlight w:val="none"/>
                <w:lang w:eastAsia="zh-CN"/>
              </w:rPr>
            </w:pPr>
            <w:r>
              <w:rPr>
                <w:rFonts w:hint="eastAsia"/>
                <w:color w:val="auto"/>
                <w:highlight w:val="none"/>
              </w:rPr>
              <w:t>甲 方：</w:t>
            </w:r>
            <w:r>
              <w:rPr>
                <w:rFonts w:hint="eastAsia"/>
                <w:color w:val="auto"/>
                <w:highlight w:val="none"/>
                <w:lang w:eastAsia="zh-CN"/>
              </w:rPr>
              <w:t>杭州市妇产科医院</w:t>
            </w:r>
            <w:r>
              <w:rPr>
                <w:rFonts w:hint="eastAsia"/>
                <w:color w:val="auto"/>
                <w:highlight w:val="none"/>
              </w:rPr>
              <w:t>（盖章）</w:t>
            </w:r>
          </w:p>
        </w:tc>
        <w:tc>
          <w:tcPr>
            <w:tcW w:w="4473" w:type="dxa"/>
            <w:vAlign w:val="center"/>
          </w:tcPr>
          <w:p>
            <w:pPr>
              <w:pStyle w:val="1338"/>
              <w:keepNext w:val="0"/>
              <w:keepLines w:val="0"/>
              <w:suppressLineNumbers w:val="0"/>
              <w:spacing w:beforeAutospacing="0" w:afterAutospacing="0"/>
              <w:ind w:left="0" w:right="0" w:firstLine="422"/>
              <w:jc w:val="both"/>
              <w:rPr>
                <w:rFonts w:hint="eastAsia"/>
                <w:color w:val="auto"/>
                <w:highlight w:val="none"/>
              </w:rPr>
            </w:pPr>
            <w:r>
              <w:rPr>
                <w:rFonts w:hint="eastAsia"/>
                <w:color w:val="auto"/>
                <w:highlight w:val="none"/>
              </w:rPr>
              <w:t xml:space="preserve">乙 方：（盖章） </w:t>
            </w:r>
          </w:p>
        </w:tc>
      </w:tr>
      <w:tr>
        <w:tblPrEx>
          <w:tblCellMar>
            <w:top w:w="0" w:type="dxa"/>
            <w:left w:w="108" w:type="dxa"/>
            <w:bottom w:w="0" w:type="dxa"/>
            <w:right w:w="108" w:type="dxa"/>
          </w:tblCellMar>
        </w:tblPrEx>
        <w:trPr>
          <w:trHeight w:val="244" w:hRule="atLeast"/>
        </w:trPr>
        <w:tc>
          <w:tcPr>
            <w:tcW w:w="4479" w:type="dxa"/>
          </w:tcPr>
          <w:p>
            <w:pPr>
              <w:pStyle w:val="1338"/>
              <w:keepNext w:val="0"/>
              <w:keepLines w:val="0"/>
              <w:suppressLineNumbers w:val="0"/>
              <w:spacing w:beforeAutospacing="0" w:afterAutospacing="0"/>
              <w:ind w:left="0" w:right="0" w:firstLine="422"/>
              <w:jc w:val="both"/>
              <w:rPr>
                <w:rFonts w:hint="eastAsia"/>
                <w:color w:val="auto"/>
                <w:highlight w:val="none"/>
              </w:rPr>
            </w:pPr>
            <w:r>
              <w:rPr>
                <w:rFonts w:hint="eastAsia"/>
                <w:color w:val="auto"/>
                <w:highlight w:val="none"/>
              </w:rPr>
              <w:t>法人或授权代表：</w:t>
            </w:r>
          </w:p>
        </w:tc>
        <w:tc>
          <w:tcPr>
            <w:tcW w:w="4473" w:type="dxa"/>
          </w:tcPr>
          <w:p>
            <w:pPr>
              <w:pStyle w:val="1338"/>
              <w:keepNext w:val="0"/>
              <w:keepLines w:val="0"/>
              <w:suppressLineNumbers w:val="0"/>
              <w:spacing w:beforeAutospacing="0" w:afterAutospacing="0"/>
              <w:ind w:left="0" w:right="0" w:firstLine="422"/>
              <w:jc w:val="both"/>
              <w:rPr>
                <w:rFonts w:hint="eastAsia"/>
                <w:color w:val="auto"/>
                <w:highlight w:val="none"/>
              </w:rPr>
            </w:pPr>
            <w:r>
              <w:rPr>
                <w:rFonts w:hint="eastAsia"/>
                <w:color w:val="auto"/>
                <w:highlight w:val="none"/>
              </w:rPr>
              <w:t>法人或授权代表：</w:t>
            </w:r>
          </w:p>
        </w:tc>
      </w:tr>
      <w:tr>
        <w:tblPrEx>
          <w:tblCellMar>
            <w:top w:w="0" w:type="dxa"/>
            <w:left w:w="108" w:type="dxa"/>
            <w:bottom w:w="0" w:type="dxa"/>
            <w:right w:w="108" w:type="dxa"/>
          </w:tblCellMar>
        </w:tblPrEx>
        <w:trPr>
          <w:trHeight w:val="148" w:hRule="atLeast"/>
        </w:trPr>
        <w:tc>
          <w:tcPr>
            <w:tcW w:w="4479" w:type="dxa"/>
          </w:tcPr>
          <w:p>
            <w:pPr>
              <w:pStyle w:val="1338"/>
              <w:keepNext w:val="0"/>
              <w:keepLines w:val="0"/>
              <w:suppressLineNumbers w:val="0"/>
              <w:spacing w:beforeAutospacing="0" w:afterAutospacing="0"/>
              <w:ind w:left="0" w:right="0" w:firstLine="422"/>
              <w:jc w:val="both"/>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杭州市鲲鹏路369号</w:t>
            </w:r>
          </w:p>
        </w:tc>
        <w:tc>
          <w:tcPr>
            <w:tcW w:w="4473" w:type="dxa"/>
          </w:tcPr>
          <w:p>
            <w:pPr>
              <w:pStyle w:val="1338"/>
              <w:keepNext w:val="0"/>
              <w:keepLines w:val="0"/>
              <w:suppressLineNumbers w:val="0"/>
              <w:spacing w:beforeAutospacing="0" w:afterAutospacing="0"/>
              <w:ind w:left="0" w:right="0" w:firstLine="422"/>
              <w:jc w:val="both"/>
              <w:rPr>
                <w:rFonts w:hint="eastAsia"/>
                <w:color w:val="auto"/>
                <w:highlight w:val="none"/>
              </w:rPr>
            </w:pPr>
            <w:r>
              <w:rPr>
                <w:rFonts w:hint="eastAsia"/>
                <w:color w:val="auto"/>
                <w:highlight w:val="none"/>
              </w:rPr>
              <w:t>地址：</w:t>
            </w:r>
          </w:p>
        </w:tc>
      </w:tr>
      <w:tr>
        <w:tblPrEx>
          <w:tblCellMar>
            <w:top w:w="0" w:type="dxa"/>
            <w:left w:w="108" w:type="dxa"/>
            <w:bottom w:w="0" w:type="dxa"/>
            <w:right w:w="108" w:type="dxa"/>
          </w:tblCellMar>
        </w:tblPrEx>
        <w:trPr>
          <w:trHeight w:val="244" w:hRule="atLeast"/>
        </w:trPr>
        <w:tc>
          <w:tcPr>
            <w:tcW w:w="4479" w:type="dxa"/>
          </w:tcPr>
          <w:p>
            <w:pPr>
              <w:pStyle w:val="1338"/>
              <w:keepNext w:val="0"/>
              <w:keepLines w:val="0"/>
              <w:suppressLineNumbers w:val="0"/>
              <w:spacing w:beforeAutospacing="0" w:afterAutospacing="0"/>
              <w:ind w:left="0" w:right="0" w:firstLine="422"/>
              <w:jc w:val="both"/>
              <w:rPr>
                <w:rFonts w:hint="default" w:eastAsia="宋体"/>
                <w:color w:val="auto"/>
                <w:highlight w:val="none"/>
                <w:lang w:val="en-US" w:eastAsia="zh-CN"/>
              </w:rPr>
            </w:pPr>
            <w:r>
              <w:rPr>
                <w:rFonts w:hint="eastAsia"/>
                <w:color w:val="auto"/>
                <w:highlight w:val="none"/>
                <w:lang w:eastAsia="zh-CN"/>
              </w:rPr>
              <w:t>日期：</w:t>
            </w:r>
            <w:r>
              <w:rPr>
                <w:rFonts w:hint="eastAsia"/>
                <w:color w:val="auto"/>
                <w:highlight w:val="none"/>
                <w:lang w:val="en-US" w:eastAsia="zh-CN"/>
              </w:rPr>
              <w:t xml:space="preserve">   年  月  日</w:t>
            </w:r>
          </w:p>
        </w:tc>
        <w:tc>
          <w:tcPr>
            <w:tcW w:w="4473" w:type="dxa"/>
          </w:tcPr>
          <w:p>
            <w:pPr>
              <w:pStyle w:val="1338"/>
              <w:keepNext w:val="0"/>
              <w:keepLines w:val="0"/>
              <w:suppressLineNumbers w:val="0"/>
              <w:spacing w:beforeAutospacing="0" w:afterAutospacing="0"/>
              <w:ind w:left="0" w:right="0" w:firstLine="422"/>
              <w:jc w:val="both"/>
              <w:rPr>
                <w:rFonts w:hint="eastAsia"/>
                <w:color w:val="auto"/>
                <w:highlight w:val="none"/>
              </w:rPr>
            </w:pPr>
            <w:r>
              <w:rPr>
                <w:rFonts w:hint="eastAsia"/>
                <w:color w:val="auto"/>
                <w:highlight w:val="none"/>
                <w:lang w:eastAsia="zh-CN"/>
              </w:rPr>
              <w:t>日期：</w:t>
            </w:r>
            <w:r>
              <w:rPr>
                <w:rFonts w:hint="eastAsia"/>
                <w:color w:val="auto"/>
                <w:highlight w:val="none"/>
                <w:lang w:val="en-US" w:eastAsia="zh-CN"/>
              </w:rPr>
              <w:t xml:space="preserve">   年  月  日</w:t>
            </w:r>
          </w:p>
        </w:tc>
      </w:tr>
    </w:tbl>
    <w:p>
      <w:pPr>
        <w:rPr>
          <w:rFonts w:hint="eastAsia" w:ascii="宋体" w:hAnsi="宋体" w:cs="宋体"/>
          <w:color w:val="auto"/>
          <w:sz w:val="21"/>
          <w:szCs w:val="21"/>
          <w:highlight w:val="none"/>
          <w:lang w:eastAsia="zh-CN"/>
        </w:rPr>
      </w:pPr>
    </w:p>
    <w:p>
      <w:pPr>
        <w:rPr>
          <w:rFonts w:hint="eastAsia" w:ascii="宋体" w:hAnsi="宋体" w:cs="宋体"/>
          <w:color w:val="auto"/>
          <w:sz w:val="21"/>
          <w:szCs w:val="21"/>
          <w:highlight w:val="none"/>
          <w:lang w:eastAsia="zh-CN"/>
        </w:rPr>
      </w:pPr>
    </w:p>
    <w:p>
      <w:pPr>
        <w:rPr>
          <w:rFonts w:hint="eastAsia" w:ascii="宋体" w:hAnsi="宋体" w:cs="宋体"/>
          <w:color w:val="auto"/>
          <w:sz w:val="21"/>
          <w:szCs w:val="21"/>
          <w:highlight w:val="none"/>
          <w:lang w:eastAsia="zh-CN"/>
        </w:rPr>
      </w:pPr>
    </w:p>
    <w:p>
      <w:pPr>
        <w:pStyle w:val="77"/>
        <w:rPr>
          <w:color w:val="auto"/>
          <w:highlight w:val="none"/>
        </w:rPr>
      </w:pPr>
    </w:p>
    <w:bookmarkEnd w:id="47"/>
    <w:p>
      <w:pPr>
        <w:widowControl/>
        <w:snapToGrid w:val="0"/>
        <w:spacing w:line="360" w:lineRule="auto"/>
        <w:rPr>
          <w:rFonts w:hint="eastAsia" w:ascii="宋体" w:hAnsi="宋体" w:cs="宋体"/>
          <w:color w:val="auto"/>
          <w:kern w:val="0"/>
          <w:szCs w:val="21"/>
          <w:highlight w:val="none"/>
        </w:rPr>
      </w:pPr>
    </w:p>
    <w:p>
      <w:pPr>
        <w:widowControl/>
        <w:snapToGrid w:val="0"/>
        <w:spacing w:line="360" w:lineRule="auto"/>
        <w:rPr>
          <w:rFonts w:hint="eastAsia" w:ascii="宋体" w:hAnsi="宋体" w:cs="宋体"/>
          <w:color w:val="auto"/>
          <w:kern w:val="0"/>
          <w:szCs w:val="21"/>
          <w:highlight w:val="none"/>
        </w:rPr>
      </w:pPr>
    </w:p>
    <w:p>
      <w:pPr>
        <w:widowControl/>
        <w:snapToGrid w:val="0"/>
        <w:spacing w:line="360" w:lineRule="auto"/>
        <w:rPr>
          <w:rFonts w:hint="eastAsia" w:ascii="宋体" w:hAnsi="宋体" w:cs="宋体"/>
          <w:color w:val="auto"/>
          <w:kern w:val="0"/>
          <w:szCs w:val="21"/>
          <w:highlight w:val="none"/>
        </w:rPr>
      </w:pPr>
    </w:p>
    <w:p>
      <w:pPr>
        <w:spacing w:line="360" w:lineRule="auto"/>
        <w:jc w:val="center"/>
        <w:rPr>
          <w:rFonts w:hint="eastAsia" w:ascii="宋体" w:hAnsi="宋体" w:cs="黑体"/>
          <w:b/>
          <w:color w:val="auto"/>
          <w:sz w:val="30"/>
          <w:szCs w:val="30"/>
          <w:highlight w:val="none"/>
        </w:rPr>
      </w:pPr>
    </w:p>
    <w:p>
      <w:pPr>
        <w:rPr>
          <w:rFonts w:hint="eastAsia"/>
          <w:color w:val="auto"/>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spacing w:line="360" w:lineRule="auto"/>
        <w:jc w:val="center"/>
        <w:rPr>
          <w:rFonts w:hint="eastAsia" w:ascii="宋体" w:hAnsi="宋体" w:cs="黑体"/>
          <w:b/>
          <w:color w:val="auto"/>
          <w:sz w:val="30"/>
          <w:szCs w:val="30"/>
          <w:highlight w:val="none"/>
        </w:rPr>
      </w:pPr>
    </w:p>
    <w:p>
      <w:pPr>
        <w:pStyle w:val="80"/>
        <w:ind w:left="0" w:leftChars="0" w:firstLine="0" w:firstLineChars="0"/>
        <w:rPr>
          <w:rFonts w:hint="eastAsia"/>
          <w:color w:val="auto"/>
          <w:highlight w:val="none"/>
          <w:lang w:eastAsia="zh-CN"/>
        </w:rPr>
      </w:pPr>
    </w:p>
    <w:p>
      <w:pPr>
        <w:pStyle w:val="80"/>
        <w:ind w:left="0" w:leftChars="0" w:firstLine="0" w:firstLineChars="0"/>
        <w:rPr>
          <w:rFonts w:hint="eastAsia" w:eastAsia="宋体"/>
          <w:color w:val="auto"/>
          <w:highlight w:val="none"/>
          <w:lang w:val="en-US" w:eastAsia="zh-CN"/>
        </w:rPr>
      </w:pPr>
      <w:r>
        <w:rPr>
          <w:rFonts w:hint="eastAsia"/>
          <w:color w:val="auto"/>
          <w:highlight w:val="none"/>
          <w:lang w:eastAsia="zh-CN"/>
        </w:rPr>
        <w:t>附件：项目清单（按中标结果附项目建设清单内容）</w:t>
      </w: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pStyle w:val="80"/>
        <w:rPr>
          <w:rFonts w:hint="eastAsia" w:ascii="宋体" w:hAnsi="宋体" w:cs="黑体"/>
          <w:b/>
          <w:color w:val="auto"/>
          <w:sz w:val="30"/>
          <w:szCs w:val="30"/>
          <w:highlight w:val="none"/>
        </w:rPr>
      </w:pPr>
    </w:p>
    <w:p>
      <w:pPr>
        <w:spacing w:line="360" w:lineRule="auto"/>
        <w:jc w:val="both"/>
        <w:rPr>
          <w:rFonts w:hint="eastAsia" w:ascii="宋体" w:hAnsi="宋体" w:cs="黑体"/>
          <w:b/>
          <w:color w:val="auto"/>
          <w:sz w:val="30"/>
          <w:szCs w:val="30"/>
          <w:highlight w:val="none"/>
        </w:rPr>
      </w:pPr>
    </w:p>
    <w:p>
      <w:pPr>
        <w:rPr>
          <w:rFonts w:hint="eastAsia" w:ascii="宋体" w:hAnsi="宋体" w:cs="黑体"/>
          <w:b/>
          <w:color w:val="auto"/>
          <w:sz w:val="30"/>
          <w:szCs w:val="30"/>
          <w:highlight w:val="none"/>
        </w:rPr>
      </w:pPr>
      <w:r>
        <w:rPr>
          <w:rFonts w:hint="eastAsia" w:ascii="宋体" w:hAnsi="宋体" w:cs="黑体"/>
          <w:b/>
          <w:color w:val="auto"/>
          <w:sz w:val="30"/>
          <w:szCs w:val="30"/>
          <w:highlight w:val="none"/>
        </w:rPr>
        <w:br w:type="page"/>
      </w:r>
    </w:p>
    <w:p>
      <w:pPr>
        <w:spacing w:line="360" w:lineRule="auto"/>
        <w:jc w:val="center"/>
        <w:rPr>
          <w:rFonts w:ascii="宋体" w:hAnsi="宋体" w:cs="黑体"/>
          <w:b/>
          <w:color w:val="auto"/>
          <w:sz w:val="30"/>
          <w:szCs w:val="30"/>
          <w:highlight w:val="none"/>
        </w:rPr>
      </w:pPr>
      <w:r>
        <w:rPr>
          <w:rFonts w:hint="eastAsia" w:ascii="宋体" w:hAnsi="宋体" w:cs="黑体"/>
          <w:b/>
          <w:color w:val="auto"/>
          <w:sz w:val="30"/>
          <w:szCs w:val="30"/>
          <w:highlight w:val="none"/>
        </w:rPr>
        <w:t>采购（招标）项目廉政责任书</w:t>
      </w:r>
    </w:p>
    <w:p>
      <w:pPr>
        <w:spacing w:line="360" w:lineRule="auto"/>
        <w:jc w:val="left"/>
        <w:rPr>
          <w:rFonts w:hint="eastAsia" w:ascii="宋体" w:hAnsi="宋体" w:cs="黑体"/>
          <w:color w:val="auto"/>
          <w:szCs w:val="21"/>
          <w:highlight w:val="none"/>
        </w:rPr>
      </w:pPr>
      <w:r>
        <w:rPr>
          <w:rFonts w:hint="eastAsia" w:ascii="宋体" w:hAnsi="宋体" w:cs="黑体"/>
          <w:color w:val="auto"/>
          <w:szCs w:val="21"/>
          <w:highlight w:val="none"/>
        </w:rPr>
        <w:t>项目名称：</w:t>
      </w:r>
    </w:p>
    <w:p>
      <w:pPr>
        <w:spacing w:line="360" w:lineRule="auto"/>
        <w:jc w:val="left"/>
        <w:rPr>
          <w:rFonts w:ascii="宋体" w:hAnsi="宋体" w:cs="黑体"/>
          <w:color w:val="auto"/>
          <w:szCs w:val="21"/>
          <w:highlight w:val="none"/>
        </w:rPr>
      </w:pPr>
      <w:r>
        <w:rPr>
          <w:rFonts w:hint="eastAsia" w:ascii="宋体" w:hAnsi="宋体" w:cs="黑体"/>
          <w:color w:val="auto"/>
          <w:szCs w:val="21"/>
          <w:highlight w:val="none"/>
        </w:rPr>
        <w:t>采购方（甲方）：杭州市妇产科医院</w:t>
      </w:r>
    </w:p>
    <w:p>
      <w:pPr>
        <w:spacing w:line="360" w:lineRule="auto"/>
        <w:jc w:val="left"/>
        <w:rPr>
          <w:rFonts w:ascii="宋体" w:hAnsi="宋体" w:cs="黑体"/>
          <w:color w:val="auto"/>
          <w:szCs w:val="21"/>
          <w:highlight w:val="none"/>
        </w:rPr>
      </w:pPr>
      <w:r>
        <w:rPr>
          <w:rFonts w:hint="eastAsia" w:ascii="宋体" w:hAnsi="宋体" w:cs="黑体"/>
          <w:color w:val="auto"/>
          <w:szCs w:val="21"/>
          <w:highlight w:val="none"/>
        </w:rPr>
        <w:t xml:space="preserve">供应方（乙方）： </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为加强</w:t>
      </w:r>
      <w:r>
        <w:rPr>
          <w:rFonts w:hint="eastAsia" w:ascii="宋体" w:hAnsi="宋体" w:cs="黑体"/>
          <w:color w:val="auto"/>
          <w:szCs w:val="21"/>
          <w:highlight w:val="none"/>
          <w:lang w:eastAsia="zh-CN"/>
        </w:rPr>
        <w:t>医院</w:t>
      </w:r>
      <w:r>
        <w:rPr>
          <w:rFonts w:hint="eastAsia" w:ascii="宋体" w:hAnsi="宋体" w:cs="黑体"/>
          <w:color w:val="auto"/>
          <w:szCs w:val="21"/>
          <w:highlight w:val="none"/>
        </w:rPr>
        <w:t>阳光采购（招标），确保采购（招标）工作公平、公正、公开，规范采购项目双方的行为，防止发生谋取不正当利益的违法、违纪行为，保护国家、集体和当事人的合法权益，确保采购质量。根据国家有关政府采购法规和廉政建设责任制规定，特制订本廉政责任书。</w:t>
      </w:r>
    </w:p>
    <w:p>
      <w:pPr>
        <w:numPr>
          <w:ilvl w:val="0"/>
          <w:numId w:val="11"/>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 xml:space="preserve"> 甲乙双方的责任</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（一）应严格遵守国家关于政府采购、招标投标等有关法律、法规和相关政策，以及廉政建设的各项规定。</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（二）严格执行采购项目合同文件，自觉按合同的约定履行权利和义务。</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（三）采购活动必须坚持公开、公平、公正、诚信、透明的原则（除法律法规另有规定者外），不得在采购活动中获取不正当利益，损害国家、集体和对方的利益。</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（四）发现对方在采购活动中有违规、违法、违纪行为的，未造成后果的，应及时指出并制止；情节严重的，应向其上级主管部门或纪检监察、司法等有关机关举报。</w:t>
      </w:r>
    </w:p>
    <w:p>
      <w:pPr>
        <w:numPr>
          <w:ilvl w:val="0"/>
          <w:numId w:val="11"/>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 xml:space="preserve"> 甲方的责任 </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甲方在采购活动的事前、事中、事后应遵守以下规定：</w:t>
      </w:r>
    </w:p>
    <w:p>
      <w:pPr>
        <w:numPr>
          <w:ilvl w:val="0"/>
          <w:numId w:val="12"/>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不准向乙方和相关单位索要或接受回扣、礼金、有价证券、贵重物品和好处费、感谢费等。</w:t>
      </w:r>
    </w:p>
    <w:p>
      <w:pPr>
        <w:numPr>
          <w:ilvl w:val="0"/>
          <w:numId w:val="12"/>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不准在乙方和相关单位报销任何应由甲方或个人支付的费用。</w:t>
      </w:r>
    </w:p>
    <w:p>
      <w:pPr>
        <w:numPr>
          <w:ilvl w:val="0"/>
          <w:numId w:val="12"/>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不准要求、暗示和接受乙方和相关单位为个人装修住房、婚嫁丧娶、配偶子女的工作安排以及出国（境）、旅游等提供方便。</w:t>
      </w:r>
    </w:p>
    <w:p>
      <w:pPr>
        <w:numPr>
          <w:ilvl w:val="0"/>
          <w:numId w:val="12"/>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不准参与乙方和相关单位的宴请和健身、娱乐等活动。</w:t>
      </w:r>
    </w:p>
    <w:p>
      <w:pPr>
        <w:numPr>
          <w:ilvl w:val="0"/>
          <w:numId w:val="12"/>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不准要求乙方为配偶、子女、亲属参与同甲方采购项目合同相关的采购事项提供任何便利条件。</w:t>
      </w:r>
    </w:p>
    <w:p>
      <w:pPr>
        <w:numPr>
          <w:ilvl w:val="0"/>
          <w:numId w:val="12"/>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不准以任何理由向乙方和相关单位推荐分包单位，或要求乙方购买采购项目合同规定以外的货物等。</w:t>
      </w:r>
    </w:p>
    <w:p>
      <w:pPr>
        <w:numPr>
          <w:ilvl w:val="0"/>
          <w:numId w:val="11"/>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 xml:space="preserve"> 乙方的责任</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应与甲方保持正常的业务交往，按照有关法律法规和程序开展业务工作，严格执行政府采购的有关方针政策，并遵守以下规定：</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（一）不准以任何理由接受甲方、相关单位及其工作人员的索要或为其赠送礼金、有价证券、贵重物品和回扣、好处费、感谢费等。</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（二）不准以任何理由为甲方、相关单位或个人报销应当由对方或个人支付的费用。</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（三）不准接受或暗示为甲方、相关单位或个人装修住房、婚丧嫁娶、配偶、子女的工作安排以及出国（境）、旅游等提供方便。</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（四）不准以任何理由为甲方、相关单位或个人安排宴请、健身、娱乐等活动。</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（五）不准接受甲方工作人员的要求，为其配偶、子女、亲属参与同采购项目合同有关的采购事项提供任何便利条件。</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（六）不准接受甲方工作人员的要求为其安排与采购合同有关的分包单位，或为其购买采购合同规定以外的货物等。</w:t>
      </w:r>
    </w:p>
    <w:p>
      <w:pPr>
        <w:numPr>
          <w:ilvl w:val="0"/>
          <w:numId w:val="11"/>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 xml:space="preserve"> 违约责任</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一）甲方工作人员有违反本责任书第一、二条责任行为的，按照管理权限，依照有关法律法规和规定给予党纪、政纪处分或组织处理；涉嫌犯罪的，移交司法机关追究刑事责任；给乙方单位造成经济损失的，应予以赔偿。</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二）乙方工作人员有违反本责任书第一、三条责任行为的，除由其主管单位依据有关法律法规和规定给予处理外，视情节予以罚款，或取消采购合同，今后不列入合作单位；给甲方单位造成经济损失的应予以赔偿。</w:t>
      </w:r>
    </w:p>
    <w:p>
      <w:pPr>
        <w:numPr>
          <w:ilvl w:val="0"/>
          <w:numId w:val="11"/>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 xml:space="preserve"> 本责任书为采购合同的附件，与采购项目合同具有同等的法律效力，经双方签署后立即生效。</w:t>
      </w:r>
    </w:p>
    <w:p>
      <w:pPr>
        <w:numPr>
          <w:ilvl w:val="0"/>
          <w:numId w:val="11"/>
        </w:num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 xml:space="preserve"> 本责任书的有效期为双方签署之日起至该采购项目验收合格和保修期满止。</w:t>
      </w:r>
    </w:p>
    <w:p>
      <w:pPr>
        <w:numPr>
          <w:ilvl w:val="0"/>
          <w:numId w:val="11"/>
        </w:numPr>
        <w:spacing w:line="360" w:lineRule="auto"/>
        <w:ind w:firstLine="420" w:firstLineChars="200"/>
        <w:rPr>
          <w:rFonts w:hint="eastAsia" w:ascii="宋体" w:hAnsi="宋体" w:cs="黑体"/>
          <w:color w:val="auto"/>
          <w:szCs w:val="21"/>
          <w:highlight w:val="none"/>
        </w:rPr>
      </w:pPr>
      <w:r>
        <w:rPr>
          <w:rFonts w:hint="eastAsia" w:ascii="宋体" w:hAnsi="宋体" w:cs="黑体"/>
          <w:color w:val="auto"/>
          <w:szCs w:val="21"/>
          <w:highlight w:val="none"/>
        </w:rPr>
        <w:t xml:space="preserve"> 本责任书一式伍份，</w:t>
      </w:r>
      <w:r>
        <w:rPr>
          <w:rFonts w:hint="eastAsia" w:ascii="宋体" w:hAnsi="宋体" w:cs="宋体"/>
          <w:color w:val="auto"/>
          <w:szCs w:val="21"/>
          <w:highlight w:val="none"/>
        </w:rPr>
        <w:t>甲方叁份，乙方贰份。</w:t>
      </w:r>
    </w:p>
    <w:p>
      <w:pPr>
        <w:spacing w:line="360" w:lineRule="auto"/>
        <w:rPr>
          <w:rFonts w:ascii="宋体" w:hAnsi="宋体" w:cs="黑体"/>
          <w:color w:val="auto"/>
          <w:szCs w:val="21"/>
          <w:highlight w:val="none"/>
        </w:rPr>
      </w:pPr>
    </w:p>
    <w:p>
      <w:pPr>
        <w:spacing w:line="360" w:lineRule="auto"/>
        <w:ind w:firstLine="570"/>
        <w:rPr>
          <w:rFonts w:ascii="宋体" w:hAnsi="宋体"/>
          <w:color w:val="auto"/>
          <w:szCs w:val="21"/>
          <w:highlight w:val="none"/>
        </w:rPr>
      </w:pPr>
    </w:p>
    <w:p>
      <w:pPr>
        <w:spacing w:line="360" w:lineRule="auto"/>
        <w:rPr>
          <w:rStyle w:val="1344"/>
          <w:rFonts w:hint="eastAsia" w:ascii="Calibri" w:hAnsi="Calibri"/>
          <w:color w:val="auto"/>
          <w:szCs w:val="22"/>
          <w:highlight w:val="none"/>
          <w:lang w:val="zh-TW" w:eastAsia="zh-TW"/>
        </w:rPr>
      </w:pPr>
    </w:p>
    <w:p>
      <w:pPr>
        <w:spacing w:line="360" w:lineRule="auto"/>
        <w:rPr>
          <w:rStyle w:val="1344"/>
          <w:rFonts w:hint="eastAsia" w:ascii="Calibri" w:hAnsi="Calibri"/>
          <w:color w:val="auto"/>
          <w:szCs w:val="22"/>
          <w:highlight w:val="none"/>
          <w:lang w:val="zh-TW" w:eastAsia="zh-TW"/>
        </w:rPr>
      </w:pPr>
      <w:r>
        <w:rPr>
          <w:rStyle w:val="1344"/>
          <w:rFonts w:hint="eastAsia" w:ascii="Calibri" w:hAnsi="Calibri"/>
          <w:color w:val="auto"/>
          <w:szCs w:val="22"/>
          <w:highlight w:val="none"/>
          <w:lang w:val="zh-TW" w:eastAsia="zh-TW"/>
        </w:rPr>
        <w:t xml:space="preserve">甲方单位：杭州市妇产科医院（盖章） </w:t>
      </w:r>
      <w:r>
        <w:rPr>
          <w:rStyle w:val="1344"/>
          <w:rFonts w:hint="eastAsia" w:ascii="Calibri" w:hAnsi="Calibri"/>
          <w:color w:val="auto"/>
          <w:szCs w:val="22"/>
          <w:highlight w:val="none"/>
        </w:rPr>
        <w:t xml:space="preserve">    </w:t>
      </w:r>
      <w:r>
        <w:rPr>
          <w:rStyle w:val="1344"/>
          <w:rFonts w:hint="eastAsia" w:ascii="Calibri" w:hAnsi="Calibri"/>
          <w:color w:val="auto"/>
          <w:szCs w:val="22"/>
          <w:highlight w:val="none"/>
          <w:lang w:val="zh-TW" w:eastAsia="zh-TW"/>
        </w:rPr>
        <w:t xml:space="preserve"> 乙方单位：（盖章）</w:t>
      </w:r>
    </w:p>
    <w:p>
      <w:pPr>
        <w:spacing w:line="360" w:lineRule="auto"/>
        <w:rPr>
          <w:rStyle w:val="1344"/>
          <w:rFonts w:hint="eastAsia" w:ascii="Calibri" w:hAnsi="Calibri"/>
          <w:color w:val="auto"/>
          <w:szCs w:val="22"/>
          <w:highlight w:val="none"/>
          <w:lang w:val="zh-TW" w:eastAsia="zh-TW"/>
        </w:rPr>
      </w:pPr>
      <w:r>
        <w:rPr>
          <w:rStyle w:val="1344"/>
          <w:rFonts w:hint="eastAsia" w:ascii="Calibri" w:hAnsi="Calibri"/>
          <w:color w:val="auto"/>
          <w:szCs w:val="22"/>
          <w:highlight w:val="none"/>
          <w:lang w:val="zh-TW" w:eastAsia="zh-TW"/>
        </w:rPr>
        <w:t>法定代表人或授权代理人</w:t>
      </w:r>
      <w:r>
        <w:rPr>
          <w:rStyle w:val="1344"/>
          <w:rFonts w:hint="eastAsia" w:ascii="Calibri" w:hAnsi="Calibri"/>
          <w:color w:val="auto"/>
          <w:szCs w:val="22"/>
          <w:highlight w:val="none"/>
          <w:lang w:val="zh-TW" w:eastAsia="zh-CN"/>
        </w:rPr>
        <w:t>（签字）</w:t>
      </w:r>
      <w:r>
        <w:rPr>
          <w:rStyle w:val="1344"/>
          <w:rFonts w:hint="eastAsia" w:ascii="Calibri" w:hAnsi="Calibri"/>
          <w:color w:val="auto"/>
          <w:szCs w:val="22"/>
          <w:highlight w:val="none"/>
          <w:lang w:val="zh-TW" w:eastAsia="zh-TW"/>
        </w:rPr>
        <w:t>：         法定代表人</w:t>
      </w:r>
      <w:r>
        <w:rPr>
          <w:rStyle w:val="1344"/>
          <w:rFonts w:hint="eastAsia" w:ascii="Calibri" w:hAnsi="Calibri"/>
          <w:color w:val="auto"/>
          <w:szCs w:val="22"/>
          <w:highlight w:val="none"/>
          <w:lang w:val="zh-TW" w:eastAsia="zh-CN"/>
        </w:rPr>
        <w:t>（签字）</w:t>
      </w:r>
      <w:r>
        <w:rPr>
          <w:rStyle w:val="1344"/>
          <w:rFonts w:hint="eastAsia" w:ascii="Calibri" w:hAnsi="Calibri"/>
          <w:color w:val="auto"/>
          <w:szCs w:val="22"/>
          <w:highlight w:val="none"/>
          <w:lang w:val="zh-TW" w:eastAsia="zh-TW"/>
        </w:rPr>
        <w:t>：</w:t>
      </w:r>
    </w:p>
    <w:p>
      <w:pPr>
        <w:ind w:right="-38" w:rightChars="-18" w:firstLine="420"/>
        <w:rPr>
          <w:rFonts w:hint="eastAsia" w:ascii="宋体" w:hAnsi="宋体" w:cs="宋体"/>
          <w:color w:val="auto"/>
          <w:highlight w:val="none"/>
        </w:rPr>
      </w:pPr>
      <w:r>
        <w:rPr>
          <w:rStyle w:val="1344"/>
          <w:rFonts w:hint="eastAsia" w:ascii="Calibri" w:hAnsi="Calibri"/>
          <w:color w:val="auto"/>
          <w:szCs w:val="22"/>
          <w:highlight w:val="none"/>
          <w:lang w:val="zh-TW" w:eastAsia="zh-TW"/>
        </w:rPr>
        <w:t xml:space="preserve">      年     月     日                    年     月     日</w:t>
      </w:r>
    </w:p>
    <w:p>
      <w:pPr>
        <w:pStyle w:val="35"/>
        <w:rPr>
          <w:rFonts w:hint="eastAsia"/>
          <w:color w:val="auto"/>
          <w:highlight w:val="none"/>
        </w:rPr>
      </w:pPr>
      <w:r>
        <w:rPr>
          <w:rFonts w:hint="eastAsia" w:ascii="宋体" w:hAnsi="宋体" w:eastAsia="宋体" w:cs="宋体"/>
          <w:color w:val="auto"/>
          <w:highlight w:val="none"/>
        </w:rPr>
        <w:br w:type="page"/>
      </w:r>
    </w:p>
    <w:p>
      <w:pPr>
        <w:rPr>
          <w:color w:val="auto"/>
          <w:highlight w:val="none"/>
        </w:rPr>
      </w:pPr>
    </w:p>
    <w:p>
      <w:pPr>
        <w:rPr>
          <w:color w:val="auto"/>
          <w:highlight w:val="none"/>
        </w:rPr>
      </w:pPr>
    </w:p>
    <w:p>
      <w:pPr>
        <w:rPr>
          <w:rFonts w:hint="eastAsia"/>
          <w:color w:val="auto"/>
          <w:highlight w:val="none"/>
        </w:rPr>
      </w:pPr>
    </w:p>
    <w:p>
      <w:pPr>
        <w:pStyle w:val="4"/>
        <w:snapToGrid w:val="0"/>
        <w:jc w:val="both"/>
        <w:rPr>
          <w:rFonts w:ascii="Times New Roman" w:hAnsi="Times New Roman"/>
          <w:color w:val="auto"/>
          <w:highlight w:val="none"/>
        </w:rPr>
      </w:pPr>
      <w:r>
        <w:rPr>
          <w:rFonts w:ascii="Times New Roman" w:hAnsi="Times New Roman"/>
          <w:color w:val="auto"/>
          <w:highlight w:val="none"/>
        </w:rPr>
        <w:t>第六章  投标文件格式</w:t>
      </w:r>
      <w:bookmarkEnd w:id="48"/>
      <w:bookmarkEnd w:id="49"/>
      <w:bookmarkEnd w:id="50"/>
      <w:bookmarkEnd w:id="51"/>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5"/>
        <w:ind w:firstLine="422"/>
        <w:rPr>
          <w:rFonts w:ascii="Times New Roman" w:hAnsi="Times New Roman"/>
          <w:color w:val="auto"/>
          <w:highlight w:val="none"/>
        </w:rPr>
      </w:pPr>
      <w:bookmarkStart w:id="52" w:name="_Toc345575534"/>
      <w:bookmarkStart w:id="53" w:name="_Toc437953145"/>
      <w:r>
        <w:rPr>
          <w:rFonts w:ascii="Times New Roman" w:hAnsi="Times New Roman"/>
          <w:color w:val="auto"/>
          <w:highlight w:val="none"/>
        </w:rPr>
        <w:t>报价文件封面</w:t>
      </w:r>
      <w:bookmarkEnd w:id="52"/>
      <w:bookmarkEnd w:id="53"/>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5"/>
        <w:ind w:firstLine="422"/>
        <w:rPr>
          <w:rFonts w:ascii="Times New Roman" w:hAnsi="Times New Roman"/>
          <w:color w:val="auto"/>
          <w:highlight w:val="none"/>
        </w:rPr>
      </w:pPr>
      <w:r>
        <w:rPr>
          <w:rFonts w:ascii="Times New Roman" w:hAnsi="Times New Roman"/>
          <w:color w:val="auto"/>
          <w:highlight w:val="none"/>
        </w:rPr>
        <w:br w:type="page"/>
      </w:r>
      <w:bookmarkStart w:id="54" w:name="_Toc336683579"/>
      <w:bookmarkStart w:id="55" w:name="_Toc345575539"/>
      <w:r>
        <w:rPr>
          <w:rFonts w:ascii="Times New Roman" w:hAnsi="Times New Roman"/>
          <w:color w:val="auto"/>
          <w:highlight w:val="none"/>
        </w:rPr>
        <w:t>1、开标一览表格式</w:t>
      </w:r>
      <w:bookmarkEnd w:id="54"/>
      <w:bookmarkEnd w:id="55"/>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3"/>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3"/>
        <w:adjustRightInd w:val="0"/>
        <w:snapToGrid w:val="0"/>
        <w:spacing w:line="300" w:lineRule="auto"/>
        <w:rPr>
          <w:rFonts w:ascii="Times New Roman" w:hAnsi="Times New Roman"/>
          <w:color w:val="auto"/>
          <w:highlight w:val="none"/>
          <w:u w:val="single"/>
        </w:rPr>
      </w:pPr>
    </w:p>
    <w:p>
      <w:pPr>
        <w:pStyle w:val="43"/>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3"/>
        <w:adjustRightInd w:val="0"/>
        <w:snapToGrid w:val="0"/>
        <w:spacing w:line="300" w:lineRule="auto"/>
        <w:rPr>
          <w:rFonts w:ascii="Times New Roman" w:hAnsi="Times New Roman"/>
          <w:color w:val="auto"/>
          <w:highlight w:val="none"/>
        </w:rPr>
      </w:pPr>
    </w:p>
    <w:p>
      <w:pPr>
        <w:pStyle w:val="43"/>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3"/>
        <w:adjustRightInd w:val="0"/>
        <w:snapToGrid w:val="0"/>
        <w:spacing w:line="300" w:lineRule="auto"/>
        <w:rPr>
          <w:rFonts w:ascii="Times New Roman" w:hAnsi="Times New Roman"/>
          <w:color w:val="auto"/>
          <w:highlight w:val="none"/>
        </w:rPr>
      </w:pPr>
    </w:p>
    <w:tbl>
      <w:tblPr>
        <w:tblStyle w:val="81"/>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keepNext w:val="0"/>
              <w:keepLines w:val="0"/>
              <w:suppressLineNumbers w:val="0"/>
              <w:spacing w:before="0" w:beforeAutospacing="0" w:after="0" w:afterAutospacing="0" w:line="480" w:lineRule="auto"/>
              <w:ind w:left="0" w:right="0"/>
              <w:rPr>
                <w:rFonts w:hint="default"/>
                <w:color w:val="auto"/>
                <w:highlight w:val="none"/>
              </w:rPr>
            </w:pPr>
            <w:r>
              <w:rPr>
                <w:rFonts w:hint="default"/>
                <w:color w:val="auto"/>
                <w:highlight w:val="none"/>
              </w:rPr>
              <w:t>投标总价</w:t>
            </w:r>
          </w:p>
        </w:tc>
        <w:tc>
          <w:tcPr>
            <w:tcW w:w="5442" w:type="dxa"/>
            <w:vAlign w:val="center"/>
          </w:tcPr>
          <w:p>
            <w:pPr>
              <w:keepNext w:val="0"/>
              <w:keepLines w:val="0"/>
              <w:suppressLineNumbers w:val="0"/>
              <w:spacing w:before="0" w:beforeAutospacing="0" w:after="0" w:afterAutospacing="0" w:line="360" w:lineRule="auto"/>
              <w:ind w:left="0" w:right="0"/>
              <w:rPr>
                <w:rFonts w:hint="default"/>
                <w:color w:val="auto"/>
                <w:highlight w:val="none"/>
              </w:rPr>
            </w:pPr>
          </w:p>
          <w:p>
            <w:pPr>
              <w:keepNext w:val="0"/>
              <w:keepLines w:val="0"/>
              <w:suppressLineNumbers w:val="0"/>
              <w:spacing w:before="0" w:beforeAutospacing="0" w:after="0" w:afterAutospacing="0" w:line="360" w:lineRule="auto"/>
              <w:ind w:left="0" w:right="0"/>
              <w:rPr>
                <w:rFonts w:hint="default"/>
                <w:color w:val="auto"/>
                <w:highlight w:val="none"/>
              </w:rPr>
            </w:pPr>
            <w:r>
              <w:rPr>
                <w:rFonts w:hint="default"/>
                <w:color w:val="auto"/>
                <w:highlight w:val="none"/>
              </w:rPr>
              <w:t>小写：</w:t>
            </w:r>
            <w:r>
              <w:rPr>
                <w:rFonts w:hint="default"/>
                <w:color w:val="auto"/>
                <w:highlight w:val="none"/>
                <w:u w:val="single"/>
              </w:rPr>
              <w:t xml:space="preserve">                        </w:t>
            </w:r>
          </w:p>
          <w:p>
            <w:pPr>
              <w:keepNext w:val="0"/>
              <w:keepLines w:val="0"/>
              <w:suppressLineNumbers w:val="0"/>
              <w:spacing w:before="0" w:beforeAutospacing="0" w:after="0" w:afterAutospacing="0" w:line="360" w:lineRule="auto"/>
              <w:ind w:left="0" w:right="0"/>
              <w:rPr>
                <w:rFonts w:hint="default"/>
                <w:color w:val="auto"/>
                <w:highlight w:val="none"/>
              </w:rPr>
            </w:pPr>
          </w:p>
          <w:p>
            <w:pPr>
              <w:keepNext w:val="0"/>
              <w:keepLines w:val="0"/>
              <w:suppressLineNumbers w:val="0"/>
              <w:spacing w:before="0" w:beforeAutospacing="0" w:after="0" w:afterAutospacing="0" w:line="360" w:lineRule="auto"/>
              <w:ind w:left="0" w:right="0"/>
              <w:rPr>
                <w:rFonts w:hint="default"/>
                <w:color w:val="auto"/>
                <w:highlight w:val="none"/>
              </w:rPr>
            </w:pPr>
            <w:r>
              <w:rPr>
                <w:rFonts w:hint="default"/>
                <w:color w:val="auto"/>
                <w:highlight w:val="none"/>
              </w:rPr>
              <w:t>大写：</w:t>
            </w:r>
            <w:r>
              <w:rPr>
                <w:rFonts w:hint="default"/>
                <w:color w:val="auto"/>
                <w:highlight w:val="none"/>
                <w:u w:val="single"/>
              </w:rPr>
              <w:t xml:space="preserve">                        </w:t>
            </w:r>
          </w:p>
        </w:tc>
      </w:tr>
    </w:tbl>
    <w:p>
      <w:pPr>
        <w:pStyle w:val="43"/>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5"/>
        <w:ind w:firstLine="422"/>
        <w:rPr>
          <w:rFonts w:ascii="Times New Roman" w:hAnsi="Times New Roman"/>
          <w:color w:val="auto"/>
          <w:highlight w:val="none"/>
        </w:rPr>
      </w:pPr>
      <w:r>
        <w:rPr>
          <w:rFonts w:ascii="Times New Roman" w:hAnsi="Times New Roman"/>
          <w:color w:val="auto"/>
          <w:highlight w:val="none"/>
        </w:rPr>
        <w:br w:type="page"/>
      </w:r>
      <w:bookmarkStart w:id="56" w:name="_Toc336683580"/>
      <w:bookmarkStart w:id="57" w:name="_Toc345575540"/>
      <w:r>
        <w:rPr>
          <w:rFonts w:ascii="Times New Roman" w:hAnsi="Times New Roman"/>
          <w:color w:val="auto"/>
          <w:highlight w:val="none"/>
        </w:rPr>
        <w:t>2、投标价格组成明细表格式</w:t>
      </w:r>
      <w:bookmarkEnd w:id="56"/>
      <w:bookmarkEnd w:id="57"/>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1"/>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序号</w:t>
            </w:r>
          </w:p>
        </w:tc>
        <w:tc>
          <w:tcPr>
            <w:tcW w:w="1603"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名称</w:t>
            </w:r>
          </w:p>
        </w:tc>
        <w:tc>
          <w:tcPr>
            <w:tcW w:w="1275"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规格型号</w:t>
            </w: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数量</w:t>
            </w: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单位</w:t>
            </w:r>
          </w:p>
        </w:tc>
        <w:tc>
          <w:tcPr>
            <w:tcW w:w="1538"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制造商/产地/品牌</w:t>
            </w:r>
          </w:p>
        </w:tc>
        <w:tc>
          <w:tcPr>
            <w:tcW w:w="937"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单价</w:t>
            </w:r>
          </w:p>
        </w:tc>
        <w:tc>
          <w:tcPr>
            <w:tcW w:w="97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合价</w:t>
            </w:r>
          </w:p>
        </w:tc>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1</w:t>
            </w:r>
          </w:p>
        </w:tc>
        <w:tc>
          <w:tcPr>
            <w:tcW w:w="1603"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275"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538"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37"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7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2</w:t>
            </w:r>
          </w:p>
        </w:tc>
        <w:tc>
          <w:tcPr>
            <w:tcW w:w="1603"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275"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538"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37"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7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r>
              <w:rPr>
                <w:rFonts w:hint="default" w:ascii="Times New Roman" w:hAnsi="Times New Roman"/>
                <w:color w:val="auto"/>
                <w:highlight w:val="none"/>
              </w:rPr>
              <w:t>3</w:t>
            </w:r>
          </w:p>
        </w:tc>
        <w:tc>
          <w:tcPr>
            <w:tcW w:w="1603"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275"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538"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37"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7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603"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275"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720"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1538"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37"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97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3"/>
              <w:keepNext w:val="0"/>
              <w:keepLines w:val="0"/>
              <w:suppressLineNumbers w:val="0"/>
              <w:adjustRightInd w:val="0"/>
              <w:snapToGrid w:val="0"/>
              <w:spacing w:before="0" w:beforeAutospacing="0" w:after="0" w:afterAutospacing="0" w:line="300" w:lineRule="auto"/>
              <w:ind w:left="0" w:right="0"/>
              <w:jc w:val="center"/>
              <w:rPr>
                <w:rFonts w:hint="default" w:ascii="Times New Roman" w:hAnsi="Times New Roman"/>
                <w:color w:val="auto"/>
                <w:highlight w:val="none"/>
              </w:rPr>
            </w:pPr>
          </w:p>
        </w:tc>
        <w:tc>
          <w:tcPr>
            <w:tcW w:w="8585" w:type="dxa"/>
            <w:gridSpan w:val="8"/>
            <w:vAlign w:val="center"/>
          </w:tcPr>
          <w:p>
            <w:pPr>
              <w:pStyle w:val="43"/>
              <w:keepNext w:val="0"/>
              <w:keepLines w:val="0"/>
              <w:suppressLineNumbers w:val="0"/>
              <w:adjustRightInd w:val="0"/>
              <w:snapToGrid w:val="0"/>
              <w:spacing w:before="0" w:beforeAutospacing="0" w:after="0" w:afterAutospacing="0" w:line="300" w:lineRule="auto"/>
              <w:ind w:left="0" w:right="0"/>
              <w:jc w:val="left"/>
              <w:rPr>
                <w:rFonts w:hint="default" w:ascii="Times New Roman" w:hAnsi="Times New Roman"/>
                <w:color w:val="auto"/>
                <w:highlight w:val="none"/>
              </w:rPr>
            </w:pPr>
            <w:r>
              <w:rPr>
                <w:rFonts w:hint="default" w:ascii="Times New Roman" w:hAnsi="Times New Roman"/>
                <w:color w:val="auto"/>
                <w:highlight w:val="none"/>
              </w:rPr>
              <w:t>投标总价：</w:t>
            </w:r>
          </w:p>
        </w:tc>
      </w:tr>
    </w:tbl>
    <w:p>
      <w:pPr>
        <w:pStyle w:val="43"/>
        <w:adjustRightInd w:val="0"/>
        <w:snapToGrid w:val="0"/>
        <w:spacing w:line="300" w:lineRule="auto"/>
        <w:ind w:firstLine="480"/>
        <w:rPr>
          <w:rFonts w:ascii="Times New Roman" w:hAnsi="Times New Roman"/>
          <w:color w:val="auto"/>
          <w:highlight w:val="none"/>
        </w:rPr>
      </w:pPr>
    </w:p>
    <w:p>
      <w:pPr>
        <w:pStyle w:val="43"/>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pPr>
        <w:pStyle w:val="43"/>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w:t>
      </w:r>
      <w:r>
        <w:rPr>
          <w:rFonts w:hint="eastAsia" w:ascii="Times New Roman" w:hAnsi="Times New Roman"/>
          <w:color w:val="auto"/>
          <w:highlight w:val="none"/>
        </w:rPr>
        <w:t>材料</w:t>
      </w:r>
      <w:r>
        <w:rPr>
          <w:rFonts w:ascii="Times New Roman" w:hAnsi="Times New Roman"/>
          <w:color w:val="auto"/>
          <w:highlight w:val="none"/>
        </w:rPr>
        <w:t>费及相关服务费。</w:t>
      </w:r>
    </w:p>
    <w:p>
      <w:pPr>
        <w:pStyle w:val="43"/>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pPr>
        <w:pStyle w:val="43"/>
        <w:adjustRightInd w:val="0"/>
        <w:snapToGrid w:val="0"/>
        <w:spacing w:line="300" w:lineRule="auto"/>
        <w:ind w:firstLine="480"/>
        <w:rPr>
          <w:rFonts w:ascii="Times New Roman" w:hAnsi="Times New Roman"/>
          <w:color w:val="auto"/>
          <w:highlight w:val="none"/>
        </w:rPr>
      </w:pPr>
    </w:p>
    <w:p>
      <w:pPr>
        <w:pStyle w:val="43"/>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3"/>
        <w:adjustRightInd w:val="0"/>
        <w:snapToGrid w:val="0"/>
        <w:spacing w:line="300" w:lineRule="auto"/>
        <w:ind w:firstLine="480"/>
        <w:rPr>
          <w:rFonts w:ascii="Times New Roman" w:hAnsi="Times New Roman"/>
          <w:color w:val="auto"/>
          <w:highlight w:val="none"/>
        </w:rPr>
      </w:pPr>
    </w:p>
    <w:p>
      <w:pPr>
        <w:pStyle w:val="43"/>
        <w:adjustRightInd w:val="0"/>
        <w:snapToGrid w:val="0"/>
        <w:spacing w:line="300" w:lineRule="auto"/>
        <w:ind w:firstLine="480"/>
        <w:rPr>
          <w:rFonts w:ascii="Times New Roman" w:hAnsi="Times New Roman"/>
          <w:color w:val="auto"/>
          <w:highlight w:val="none"/>
        </w:rPr>
      </w:pPr>
    </w:p>
    <w:p>
      <w:pPr>
        <w:pStyle w:val="43"/>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5"/>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5"/>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58" w:name="_Toc437953149"/>
      <w:bookmarkStart w:id="59" w:name="_Toc336683578"/>
      <w:bookmarkStart w:id="60"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58"/>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59"/>
    <w:bookmarkEnd w:id="60"/>
    <w:p>
      <w:pPr>
        <w:pStyle w:val="126"/>
        <w:snapToGrid w:val="0"/>
        <w:spacing w:line="360" w:lineRule="auto"/>
        <w:ind w:firstLine="420"/>
        <w:rPr>
          <w:color w:val="auto"/>
          <w:highlight w:val="none"/>
        </w:rPr>
      </w:pPr>
    </w:p>
    <w:p>
      <w:pPr>
        <w:pStyle w:val="12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3"/>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3"/>
        <w:numPr>
          <w:ilvl w:val="0"/>
          <w:numId w:val="13"/>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pPr>
        <w:pStyle w:val="3"/>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3"/>
        <w:numPr>
          <w:ilvl w:val="0"/>
          <w:numId w:val="1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3"/>
        <w:numPr>
          <w:ilvl w:val="0"/>
          <w:numId w:val="1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3"/>
        <w:numPr>
          <w:ilvl w:val="0"/>
          <w:numId w:val="1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3"/>
        <w:numPr>
          <w:ilvl w:val="0"/>
          <w:numId w:val="1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3"/>
        <w:numPr>
          <w:ilvl w:val="0"/>
          <w:numId w:val="1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3"/>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pPr>
        <w:pStyle w:val="3"/>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pPr>
        <w:pStyle w:val="3"/>
        <w:numPr>
          <w:ilvl w:val="0"/>
          <w:numId w:val="13"/>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符合参与采购活动资格条件的承诺函：</w:t>
      </w:r>
    </w:p>
    <w:p>
      <w:pPr>
        <w:pStyle w:val="3"/>
        <w:adjustRightInd w:val="0"/>
        <w:snapToGrid w:val="0"/>
        <w:spacing w:before="0" w:beforeAutospacing="0" w:after="0" w:afterAutospacing="0" w:line="360" w:lineRule="auto"/>
        <w:ind w:left="420" w:leftChars="200"/>
        <w:rPr>
          <w:rFonts w:hint="eastAsia" w:cs="宋体"/>
          <w:color w:val="auto"/>
          <w:sz w:val="21"/>
          <w:szCs w:val="21"/>
          <w:highlight w:val="none"/>
        </w:rPr>
      </w:pPr>
    </w:p>
    <w:p>
      <w:pPr>
        <w:pStyle w:val="3"/>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pPr>
        <w:spacing w:line="480" w:lineRule="auto"/>
        <w:rPr>
          <w:rFonts w:hint="eastAsia" w:ascii="宋体" w:hAnsi="宋体" w:cs="宋体"/>
          <w:color w:val="auto"/>
          <w:szCs w:val="21"/>
          <w:highlight w:val="none"/>
          <w:u w:val="single"/>
        </w:rPr>
      </w:pPr>
    </w:p>
    <w:p>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3"/>
        <w:spacing w:before="0" w:beforeAutospacing="0" w:after="0" w:afterAutospacing="0" w:line="480" w:lineRule="auto"/>
        <w:ind w:firstLine="840" w:firstLineChars="400"/>
        <w:rPr>
          <w:rFonts w:hint="eastAsia" w:cs="宋体"/>
          <w:color w:val="auto"/>
          <w:sz w:val="21"/>
          <w:szCs w:val="21"/>
          <w:highlight w:val="none"/>
        </w:rPr>
      </w:pPr>
    </w:p>
    <w:p>
      <w:pPr>
        <w:pStyle w:val="3"/>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3"/>
        <w:numPr>
          <w:ilvl w:val="0"/>
          <w:numId w:val="1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3"/>
        <w:numPr>
          <w:ilvl w:val="0"/>
          <w:numId w:val="1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3"/>
        <w:numPr>
          <w:ilvl w:val="0"/>
          <w:numId w:val="1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3"/>
        <w:numPr>
          <w:ilvl w:val="0"/>
          <w:numId w:val="1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3"/>
        <w:spacing w:before="0" w:beforeAutospacing="0" w:after="0" w:afterAutospacing="0" w:line="480" w:lineRule="auto"/>
        <w:ind w:firstLine="420" w:firstLineChars="200"/>
        <w:rPr>
          <w:rFonts w:hint="eastAsia" w:cs="宋体"/>
          <w:color w:val="auto"/>
          <w:sz w:val="21"/>
          <w:szCs w:val="21"/>
          <w:highlight w:val="none"/>
        </w:rPr>
      </w:pPr>
    </w:p>
    <w:p>
      <w:pPr>
        <w:pStyle w:val="3"/>
        <w:spacing w:before="0" w:beforeAutospacing="0" w:after="0" w:afterAutospacing="0" w:line="480" w:lineRule="auto"/>
        <w:ind w:firstLine="422" w:firstLineChars="200"/>
        <w:rPr>
          <w:rFonts w:hint="eastAsia" w:cs="宋体"/>
          <w:b/>
          <w:bCs/>
          <w:color w:val="auto"/>
          <w:sz w:val="21"/>
          <w:szCs w:val="21"/>
          <w:highlight w:val="none"/>
        </w:rPr>
      </w:pPr>
    </w:p>
    <w:p>
      <w:pPr>
        <w:pStyle w:val="3"/>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pPr>
        <w:pStyle w:val="5"/>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4"/>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6"/>
        <w:snapToGrid w:val="0"/>
        <w:spacing w:line="360" w:lineRule="auto"/>
        <w:ind w:firstLine="420"/>
        <w:rPr>
          <w:rFonts w:ascii="Times New Roman" w:hAnsi="Times New Roman"/>
          <w:color w:val="auto"/>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（1）投标函；</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服务</w:t>
      </w:r>
      <w:r>
        <w:rPr>
          <w:rFonts w:ascii="Times New Roman" w:hAnsi="Times New Roman"/>
          <w:color w:val="auto"/>
          <w:highlight w:val="none"/>
        </w:rPr>
        <w:t>清单；</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3</w:t>
      </w:r>
      <w:r>
        <w:rPr>
          <w:rFonts w:ascii="Times New Roman" w:hAnsi="Times New Roman"/>
          <w:color w:val="auto"/>
          <w:highlight w:val="none"/>
        </w:rPr>
        <w:t>）技术规格偏离表；</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4</w:t>
      </w:r>
      <w:r>
        <w:rPr>
          <w:rFonts w:ascii="Times New Roman" w:hAnsi="Times New Roman"/>
          <w:color w:val="auto"/>
          <w:highlight w:val="none"/>
        </w:rPr>
        <w:t>）商务条款偏离表；</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5</w:t>
      </w:r>
      <w:r>
        <w:rPr>
          <w:rFonts w:ascii="Times New Roman" w:hAnsi="Times New Roman"/>
          <w:color w:val="auto"/>
          <w:highlight w:val="none"/>
        </w:rPr>
        <w:t>）法定代表人资格证明书；</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）法定代表人授权委托书（法定代表人签署不需提供此书）；</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7</w:t>
      </w:r>
      <w:r>
        <w:rPr>
          <w:rFonts w:hint="eastAsia" w:ascii="Times New Roman" w:hAnsi="Times New Roman"/>
          <w:color w:val="auto"/>
          <w:highlight w:val="none"/>
          <w:lang w:eastAsia="zh-CN"/>
        </w:rPr>
        <w:t>）</w:t>
      </w:r>
      <w:r>
        <w:rPr>
          <w:rFonts w:hint="eastAsia" w:ascii="宋体" w:hAnsi="宋体" w:cs="Calibri"/>
          <w:color w:val="auto"/>
          <w:kern w:val="0"/>
          <w:szCs w:val="21"/>
          <w:highlight w:val="none"/>
          <w:lang w:bidi="ar"/>
        </w:rPr>
        <w:t>投标人业绩：投标人</w:t>
      </w:r>
      <w:r>
        <w:rPr>
          <w:rFonts w:hint="eastAsia" w:ascii="宋体" w:hAnsi="宋体" w:cs="Calibri"/>
          <w:color w:val="auto"/>
          <w:kern w:val="0"/>
          <w:szCs w:val="21"/>
          <w:highlight w:val="none"/>
          <w:lang w:val="en-US" w:eastAsia="zh-CN" w:bidi="ar"/>
        </w:rPr>
        <w:t>具有</w:t>
      </w:r>
      <w:r>
        <w:rPr>
          <w:rFonts w:hint="eastAsia" w:ascii="宋体" w:hAnsi="宋体" w:cs="Calibri"/>
          <w:color w:val="auto"/>
          <w:kern w:val="0"/>
          <w:szCs w:val="21"/>
          <w:highlight w:val="none"/>
          <w:lang w:bidi="ar"/>
        </w:rPr>
        <w:t>自2022年1月1日以来（以合同签订时间为准），同类业绩</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val="en-US" w:eastAsia="zh-CN" w:bidi="ar"/>
        </w:rPr>
        <w:t>合同中需包含全院叫号系统</w:t>
      </w:r>
      <w:r>
        <w:rPr>
          <w:rFonts w:hint="eastAsia" w:ascii="宋体" w:hAnsi="宋体" w:eastAsia="宋体" w:cs="Calibri"/>
          <w:color w:val="auto"/>
          <w:kern w:val="0"/>
          <w:szCs w:val="21"/>
          <w:highlight w:val="none"/>
          <w:lang w:val="en-US" w:eastAsia="zh-CN" w:bidi="ar"/>
        </w:rPr>
        <w:t>内容</w:t>
      </w:r>
      <w:r>
        <w:rPr>
          <w:rFonts w:hint="eastAsia" w:ascii="宋体" w:hAnsi="宋体" w:cs="Calibri"/>
          <w:color w:val="auto"/>
          <w:kern w:val="0"/>
          <w:szCs w:val="21"/>
          <w:highlight w:val="none"/>
          <w:lang w:eastAsia="zh-CN" w:bidi="ar"/>
        </w:rPr>
        <w:t>），</w:t>
      </w:r>
      <w:r>
        <w:rPr>
          <w:rFonts w:hint="eastAsia" w:ascii="宋体" w:hAnsi="宋体" w:cs="Calibri"/>
          <w:color w:val="auto"/>
          <w:kern w:val="0"/>
          <w:szCs w:val="21"/>
          <w:highlight w:val="none"/>
          <w:lang w:val="en-US" w:eastAsia="zh-CN" w:bidi="ar"/>
        </w:rPr>
        <w:t>提供合同复印件；</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8</w:t>
      </w:r>
      <w:r>
        <w:rPr>
          <w:rFonts w:hint="eastAsia" w:ascii="Times New Roman" w:hAnsi="Times New Roman"/>
          <w:color w:val="auto"/>
          <w:highlight w:val="none"/>
          <w:lang w:eastAsia="zh-CN"/>
        </w:rPr>
        <w:t>）</w:t>
      </w:r>
      <w:r>
        <w:rPr>
          <w:rFonts w:hint="eastAsia" w:ascii="宋体" w:hAnsi="宋体" w:cs="宋体"/>
          <w:color w:val="auto"/>
          <w:szCs w:val="21"/>
          <w:highlight w:val="none"/>
          <w:lang w:val="en-US" w:eastAsia="zh-CN" w:bidi="ar"/>
        </w:rPr>
        <w:t>投标人</w:t>
      </w:r>
      <w:r>
        <w:rPr>
          <w:rFonts w:hint="eastAsia" w:ascii="宋体" w:hAnsi="宋体" w:cs="宋体"/>
          <w:color w:val="auto"/>
          <w:szCs w:val="21"/>
          <w:highlight w:val="none"/>
          <w:lang w:bidi="ar"/>
        </w:rPr>
        <w:t>具有有效的</w:t>
      </w:r>
      <w:r>
        <w:rPr>
          <w:rFonts w:hint="eastAsia" w:ascii="宋体" w:hAnsi="宋体" w:cs="Calibri"/>
          <w:color w:val="auto"/>
          <w:kern w:val="0"/>
          <w:szCs w:val="21"/>
          <w:highlight w:val="none"/>
          <w:lang w:bidi="ar"/>
        </w:rPr>
        <w:t>ISO900</w:t>
      </w:r>
      <w:r>
        <w:rPr>
          <w:rFonts w:hint="default" w:ascii="宋体" w:hAnsi="宋体" w:cs="Calibri"/>
          <w:color w:val="auto"/>
          <w:kern w:val="0"/>
          <w:szCs w:val="21"/>
          <w:highlight w:val="none"/>
          <w:lang w:bidi="ar"/>
        </w:rPr>
        <w:t>1</w:t>
      </w:r>
      <w:r>
        <w:rPr>
          <w:rFonts w:hint="eastAsia" w:ascii="宋体" w:hAnsi="宋体" w:cs="Calibri"/>
          <w:color w:val="auto"/>
          <w:kern w:val="0"/>
          <w:szCs w:val="21"/>
          <w:highlight w:val="none"/>
          <w:lang w:bidi="ar"/>
        </w:rPr>
        <w:t>质量管理体系认证证书、ISO27001信息安全管理体系认证证书、ISO20000信息技术服务管理体系</w:t>
      </w:r>
      <w:r>
        <w:rPr>
          <w:rFonts w:hint="eastAsia" w:ascii="宋体" w:hAnsi="宋体" w:cs="宋体"/>
          <w:color w:val="auto"/>
          <w:szCs w:val="21"/>
          <w:highlight w:val="none"/>
          <w:lang w:bidi="ar"/>
        </w:rPr>
        <w:t>认证证书</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提供</w:t>
      </w:r>
      <w:r>
        <w:rPr>
          <w:rFonts w:hint="eastAsia" w:ascii="宋体" w:hAnsi="宋体" w:cs="宋体"/>
          <w:color w:val="auto"/>
          <w:szCs w:val="21"/>
          <w:highlight w:val="none"/>
          <w:lang w:val="en-US" w:eastAsia="zh-CN" w:bidi="ar"/>
        </w:rPr>
        <w:t>有效</w:t>
      </w:r>
      <w:r>
        <w:rPr>
          <w:rFonts w:hint="eastAsia" w:ascii="宋体" w:hAnsi="宋体" w:cs="宋体"/>
          <w:color w:val="auto"/>
          <w:szCs w:val="21"/>
          <w:highlight w:val="none"/>
          <w:lang w:bidi="ar"/>
        </w:rPr>
        <w:t>证书复印件</w:t>
      </w:r>
      <w:r>
        <w:rPr>
          <w:rFonts w:hint="eastAsia" w:ascii="宋体" w:hAnsi="宋体" w:cs="宋体"/>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9</w:t>
      </w:r>
      <w:r>
        <w:rPr>
          <w:rFonts w:hint="eastAsia" w:ascii="Times New Roman" w:hAnsi="Times New Roman"/>
          <w:color w:val="auto"/>
          <w:highlight w:val="none"/>
          <w:lang w:eastAsia="zh-CN"/>
        </w:rPr>
        <w:t>）</w:t>
      </w:r>
      <w:r>
        <w:rPr>
          <w:rFonts w:hint="eastAsia" w:ascii="宋体" w:hAnsi="宋体" w:cs="Calibri"/>
          <w:color w:val="auto"/>
          <w:kern w:val="0"/>
          <w:szCs w:val="21"/>
          <w:highlight w:val="none"/>
          <w:lang w:bidi="ar"/>
        </w:rPr>
        <w:t>整体方案</w:t>
      </w:r>
      <w:r>
        <w:rPr>
          <w:rFonts w:hint="eastAsia" w:ascii="宋体" w:hAnsi="宋体" w:cs="Calibri"/>
          <w:color w:val="auto"/>
          <w:kern w:val="0"/>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10</w:t>
      </w:r>
      <w:r>
        <w:rPr>
          <w:rFonts w:hint="eastAsia" w:ascii="Times New Roman" w:hAnsi="Times New Roman"/>
          <w:color w:val="auto"/>
          <w:highlight w:val="none"/>
          <w:lang w:eastAsia="zh-CN"/>
        </w:rPr>
        <w:t>）</w:t>
      </w:r>
      <w:r>
        <w:rPr>
          <w:rFonts w:hint="eastAsia" w:ascii="宋体" w:hAnsi="宋体" w:cs="Calibri"/>
          <w:color w:val="auto"/>
          <w:kern w:val="0"/>
          <w:szCs w:val="21"/>
          <w:highlight w:val="none"/>
          <w:lang w:bidi="ar"/>
        </w:rPr>
        <w:t>应急措施</w:t>
      </w:r>
      <w:r>
        <w:rPr>
          <w:rFonts w:hint="eastAsia" w:ascii="宋体" w:hAnsi="宋体" w:cs="Calibri"/>
          <w:color w:val="auto"/>
          <w:kern w:val="0"/>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lang w:eastAsia="zh-CN" w:bidi="ar"/>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11</w:t>
      </w:r>
      <w:r>
        <w:rPr>
          <w:rFonts w:hint="eastAsia" w:ascii="Times New Roman" w:hAnsi="Times New Roman"/>
          <w:color w:val="auto"/>
          <w:highlight w:val="none"/>
          <w:lang w:eastAsia="zh-CN"/>
        </w:rPr>
        <w:t>）</w:t>
      </w:r>
      <w:r>
        <w:rPr>
          <w:rFonts w:hint="eastAsia" w:ascii="宋体" w:hAnsi="宋体" w:cs="宋体"/>
          <w:color w:val="auto"/>
          <w:szCs w:val="21"/>
          <w:highlight w:val="none"/>
          <w:lang w:bidi="ar"/>
        </w:rPr>
        <w:t>售后服务方案、售后服务承诺</w:t>
      </w:r>
      <w:r>
        <w:rPr>
          <w:rFonts w:hint="eastAsia" w:ascii="宋体" w:hAnsi="宋体" w:cs="宋体"/>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12</w:t>
      </w:r>
      <w:r>
        <w:rPr>
          <w:rFonts w:hint="eastAsia" w:ascii="Times New Roman" w:hAnsi="Times New Roman"/>
          <w:color w:val="auto"/>
          <w:highlight w:val="none"/>
          <w:lang w:eastAsia="zh-CN"/>
        </w:rPr>
        <w:t>）</w:t>
      </w:r>
      <w:r>
        <w:rPr>
          <w:rFonts w:hint="eastAsia" w:ascii="宋体" w:hAnsi="宋体" w:cs="宋体"/>
          <w:color w:val="auto"/>
          <w:szCs w:val="21"/>
          <w:highlight w:val="none"/>
          <w:lang w:bidi="ar"/>
        </w:rPr>
        <w:t>培训方案</w:t>
      </w:r>
      <w:r>
        <w:rPr>
          <w:rFonts w:hint="eastAsia" w:ascii="宋体" w:hAnsi="宋体" w:cs="宋体"/>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13</w:t>
      </w:r>
      <w:r>
        <w:rPr>
          <w:rFonts w:hint="eastAsia" w:ascii="Times New Roman" w:hAnsi="Times New Roman"/>
          <w:color w:val="auto"/>
          <w:highlight w:val="none"/>
          <w:lang w:eastAsia="zh-CN"/>
        </w:rPr>
        <w:t>）</w:t>
      </w:r>
      <w:r>
        <w:rPr>
          <w:rFonts w:hint="eastAsia" w:ascii="Times New Roman" w:hAnsi="Times New Roman"/>
          <w:color w:val="auto"/>
          <w:highlight w:val="none"/>
        </w:rPr>
        <w:t>投标人认为有必要提供的其它文件（附：中标服务费支付承</w:t>
      </w:r>
      <w:r>
        <w:rPr>
          <w:rFonts w:ascii="Times New Roman" w:hAnsi="Times New Roman"/>
          <w:color w:val="auto"/>
          <w:highlight w:val="none"/>
        </w:rPr>
        <w:t>诺书）。</w:t>
      </w:r>
    </w:p>
    <w:p>
      <w:pPr>
        <w:rPr>
          <w:color w:val="auto"/>
          <w:highlight w:val="none"/>
        </w:rPr>
      </w:pPr>
    </w:p>
    <w:p>
      <w:pPr>
        <w:pStyle w:val="126"/>
        <w:snapToGrid w:val="0"/>
        <w:spacing w:line="360" w:lineRule="auto"/>
        <w:ind w:firstLine="0" w:firstLineChars="0"/>
        <w:rPr>
          <w:color w:val="auto"/>
          <w:highlight w:val="none"/>
        </w:rPr>
      </w:pPr>
    </w:p>
    <w:p>
      <w:pPr>
        <w:pStyle w:val="126"/>
        <w:snapToGrid w:val="0"/>
        <w:spacing w:line="360" w:lineRule="auto"/>
        <w:ind w:firstLine="0" w:firstLineChars="0"/>
        <w:rPr>
          <w:color w:val="auto"/>
          <w:highlight w:val="none"/>
        </w:rPr>
      </w:pPr>
    </w:p>
    <w:p>
      <w:pPr>
        <w:pStyle w:val="126"/>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3"/>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3"/>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3"/>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3"/>
        <w:adjustRightInd w:val="0"/>
        <w:snapToGrid w:val="0"/>
        <w:spacing w:line="300" w:lineRule="auto"/>
        <w:ind w:firstLine="480"/>
        <w:rPr>
          <w:rFonts w:ascii="Times New Roman" w:hAnsi="Times New Roman"/>
          <w:color w:val="auto"/>
          <w:highlight w:val="none"/>
        </w:rPr>
      </w:pPr>
    </w:p>
    <w:p>
      <w:pPr>
        <w:pStyle w:val="43"/>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3"/>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3"/>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3"/>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3"/>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3"/>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5"/>
        <w:ind w:firstLine="422"/>
        <w:rPr>
          <w:rFonts w:ascii="Times New Roman" w:hAnsi="Times New Roman"/>
          <w:color w:val="auto"/>
          <w:sz w:val="32"/>
          <w:highlight w:val="none"/>
        </w:rPr>
      </w:pPr>
      <w:r>
        <w:rPr>
          <w:rFonts w:ascii="Times New Roman" w:hAnsi="Times New Roman"/>
          <w:color w:val="auto"/>
          <w:highlight w:val="none"/>
        </w:rPr>
        <w:br w:type="page"/>
      </w:r>
      <w:bookmarkStart w:id="61" w:name="_Toc426996340"/>
      <w:bookmarkStart w:id="62" w:name="_Toc335039028"/>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服务</w:t>
      </w:r>
      <w:r>
        <w:rPr>
          <w:rFonts w:ascii="Times New Roman" w:hAnsi="Times New Roman"/>
          <w:color w:val="auto"/>
          <w:highlight w:val="none"/>
        </w:rPr>
        <w:t>清单</w:t>
      </w:r>
      <w:bookmarkEnd w:id="61"/>
      <w:bookmarkEnd w:id="62"/>
    </w:p>
    <w:p>
      <w:pPr>
        <w:widowControl/>
        <w:snapToGrid w:val="0"/>
        <w:spacing w:line="300" w:lineRule="auto"/>
        <w:rPr>
          <w:color w:val="auto"/>
          <w:highlight w:val="none"/>
        </w:rPr>
      </w:pPr>
      <w:r>
        <w:rPr>
          <w:color w:val="auto"/>
          <w:highlight w:val="none"/>
        </w:rPr>
        <w:br w:type="page"/>
      </w:r>
    </w:p>
    <w:p>
      <w:pPr>
        <w:rPr>
          <w:b/>
          <w:bCs/>
          <w:color w:val="auto"/>
          <w:highlight w:val="none"/>
        </w:rPr>
      </w:pPr>
      <w:r>
        <w:rPr>
          <w:rFonts w:hint="eastAsia"/>
          <w:b/>
          <w:bCs/>
          <w:color w:val="auto"/>
          <w:highlight w:val="none"/>
          <w:lang w:val="en-US" w:eastAsia="zh-CN"/>
        </w:rPr>
        <w:t>3</w:t>
      </w:r>
      <w:r>
        <w:rPr>
          <w:b/>
          <w:bCs/>
          <w:color w:val="auto"/>
          <w:highlight w:val="none"/>
        </w:rPr>
        <w:t>、技术规格偏离表</w:t>
      </w:r>
    </w:p>
    <w:p>
      <w:pPr>
        <w:snapToGrid w:val="0"/>
        <w:spacing w:line="300" w:lineRule="auto"/>
        <w:jc w:val="center"/>
        <w:rPr>
          <w:rFonts w:eastAsia="华文中宋"/>
          <w:b/>
          <w:bCs/>
          <w:color w:val="auto"/>
          <w:sz w:val="32"/>
          <w:szCs w:val="32"/>
          <w:highlight w:val="none"/>
        </w:rPr>
      </w:pP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1"/>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67" w:hRule="atLeast"/>
          <w:jc w:val="center"/>
        </w:trPr>
        <w:tc>
          <w:tcPr>
            <w:tcW w:w="1277"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序号</w:t>
            </w: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招标</w:t>
            </w:r>
            <w:r>
              <w:rPr>
                <w:rFonts w:hint="default"/>
                <w:color w:val="auto"/>
                <w:highlight w:val="none"/>
              </w:rPr>
              <w:t>要求</w:t>
            </w: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投标</w:t>
            </w:r>
            <w:r>
              <w:rPr>
                <w:rFonts w:hint="default"/>
                <w:color w:val="auto"/>
                <w:highlight w:val="none"/>
              </w:rPr>
              <w:t>响应</w:t>
            </w: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偏离情况</w:t>
            </w: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4"/>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5"/>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4</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1"/>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序号</w:t>
            </w: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招标</w:t>
            </w:r>
            <w:r>
              <w:rPr>
                <w:rFonts w:hint="default"/>
                <w:color w:val="auto"/>
                <w:highlight w:val="none"/>
              </w:rPr>
              <w:t>要求</w:t>
            </w: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投标</w:t>
            </w:r>
            <w:r>
              <w:rPr>
                <w:rFonts w:hint="default"/>
                <w:color w:val="auto"/>
                <w:highlight w:val="none"/>
              </w:rPr>
              <w:t>响应</w:t>
            </w: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偏离情况</w:t>
            </w: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r>
              <w:rPr>
                <w:rFonts w:hint="default"/>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2458"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c>
          <w:tcPr>
            <w:tcW w:w="1432" w:type="dxa"/>
            <w:vAlign w:val="center"/>
          </w:tcPr>
          <w:p>
            <w:pPr>
              <w:keepNext w:val="0"/>
              <w:keepLines w:val="0"/>
              <w:suppressLineNumbers w:val="0"/>
              <w:spacing w:before="0" w:beforeAutospacing="0" w:after="156" w:afterAutospacing="0"/>
              <w:ind w:left="0" w:right="0"/>
              <w:jc w:val="center"/>
              <w:rPr>
                <w:rFonts w:hint="default"/>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int="eastAsia" w:hAnsi="宋体"/>
          <w:color w:val="auto"/>
          <w:sz w:val="24"/>
          <w:highlight w:val="none"/>
        </w:rPr>
      </w:pPr>
      <w:r>
        <w:rPr>
          <w:color w:val="auto"/>
          <w:spacing w:val="20"/>
          <w:highlight w:val="none"/>
        </w:rPr>
        <w:br w:type="page"/>
      </w:r>
    </w:p>
    <w:p>
      <w:pPr>
        <w:pStyle w:val="126"/>
        <w:snapToGrid w:val="0"/>
        <w:spacing w:line="288" w:lineRule="auto"/>
        <w:ind w:firstLine="0" w:firstLineChars="0"/>
        <w:rPr>
          <w:rFonts w:ascii="Times New Roman" w:hAnsi="Times New Roman"/>
          <w:b/>
          <w:bCs/>
          <w:color w:val="auto"/>
          <w:highlight w:val="none"/>
        </w:rPr>
      </w:pPr>
      <w:r>
        <w:rPr>
          <w:rFonts w:hint="eastAsia" w:ascii="Times New Roman" w:hAnsi="Times New Roman"/>
          <w:b/>
          <w:bCs/>
          <w:color w:val="auto"/>
          <w:highlight w:val="none"/>
          <w:lang w:val="en-US" w:eastAsia="zh-CN"/>
        </w:rPr>
        <w:t>5</w:t>
      </w:r>
      <w:r>
        <w:rPr>
          <w:rFonts w:hint="eastAsia" w:ascii="Times New Roman" w:hAnsi="Times New Roman"/>
          <w:b/>
          <w:bCs/>
          <w:color w:val="auto"/>
          <w:highlight w:val="none"/>
        </w:rPr>
        <w:t>、</w:t>
      </w:r>
      <w:r>
        <w:rPr>
          <w:rFonts w:ascii="Times New Roman" w:hAnsi="Times New Roman"/>
          <w:b/>
          <w:bCs/>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jc w:val="center"/>
        </w:trPr>
        <w:tc>
          <w:tcPr>
            <w:tcW w:w="2700" w:type="dxa"/>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法定代表人身份证复印件</w:t>
            </w:r>
          </w:p>
          <w:p>
            <w:pPr>
              <w:keepNext w:val="0"/>
              <w:keepLines w:val="0"/>
              <w:suppressLineNumbers w:val="0"/>
              <w:spacing w:before="0" w:beforeAutospacing="0" w:after="0" w:afterAutospacing="0" w:line="360" w:lineRule="auto"/>
              <w:ind w:left="0" w:right="0"/>
              <w:rPr>
                <w:rFonts w:hint="default"/>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6</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1"/>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法定代表人身份证复印件</w:t>
            </w:r>
          </w:p>
          <w:p>
            <w:pPr>
              <w:keepNext w:val="0"/>
              <w:keepLines w:val="0"/>
              <w:suppressLineNumbers w:val="0"/>
              <w:spacing w:before="0" w:beforeAutospacing="0" w:after="0" w:afterAutospacing="0" w:line="360" w:lineRule="auto"/>
              <w:ind w:left="0" w:right="0"/>
              <w:rPr>
                <w:rFonts w:hint="default"/>
                <w:color w:val="auto"/>
                <w:szCs w:val="21"/>
                <w:highlight w:val="none"/>
              </w:rPr>
            </w:pPr>
          </w:p>
        </w:tc>
        <w:tc>
          <w:tcPr>
            <w:tcW w:w="2340" w:type="dxa"/>
            <w:tcBorders>
              <w:top w:val="nil"/>
              <w:bottom w:val="nil"/>
            </w:tcBorders>
          </w:tcPr>
          <w:p>
            <w:pPr>
              <w:keepNext w:val="0"/>
              <w:keepLines w:val="0"/>
              <w:widowControl/>
              <w:suppressLineNumbers w:val="0"/>
              <w:spacing w:before="0" w:beforeAutospacing="0" w:after="0" w:afterAutospacing="0"/>
              <w:ind w:left="0" w:right="0"/>
              <w:jc w:val="left"/>
              <w:rPr>
                <w:rFonts w:hint="default"/>
                <w:color w:val="auto"/>
                <w:szCs w:val="21"/>
                <w:highlight w:val="none"/>
              </w:rPr>
            </w:pPr>
          </w:p>
          <w:p>
            <w:pPr>
              <w:keepNext w:val="0"/>
              <w:keepLines w:val="0"/>
              <w:suppressLineNumbers w:val="0"/>
              <w:spacing w:before="0" w:beforeAutospacing="0" w:after="0" w:afterAutospacing="0" w:line="360" w:lineRule="auto"/>
              <w:ind w:left="0" w:right="0"/>
              <w:rPr>
                <w:rFonts w:hint="default"/>
                <w:color w:val="auto"/>
                <w:szCs w:val="21"/>
                <w:highlight w:val="none"/>
              </w:rPr>
            </w:pPr>
          </w:p>
        </w:tc>
        <w:tc>
          <w:tcPr>
            <w:tcW w:w="2700" w:type="dxa"/>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br w:type="page"/>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Times New Roman" w:hAnsi="Times New Roman"/>
          <w:b/>
          <w:bCs/>
          <w:color w:val="auto"/>
          <w:highlight w:val="none"/>
          <w:lang w:val="en-US" w:eastAsia="zh-CN"/>
        </w:rPr>
      </w:pP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7</w:t>
      </w:r>
      <w:r>
        <w:rPr>
          <w:rFonts w:hint="eastAsia" w:ascii="Times New Roman" w:hAnsi="Times New Roman"/>
          <w:b/>
          <w:bCs/>
          <w:color w:val="auto"/>
          <w:highlight w:val="none"/>
          <w:lang w:eastAsia="zh-CN"/>
        </w:rPr>
        <w:t>）</w:t>
      </w:r>
      <w:r>
        <w:rPr>
          <w:rFonts w:hint="eastAsia" w:ascii="宋体" w:hAnsi="宋体" w:cs="Calibri"/>
          <w:b/>
          <w:bCs/>
          <w:color w:val="auto"/>
          <w:kern w:val="0"/>
          <w:szCs w:val="21"/>
          <w:highlight w:val="none"/>
          <w:lang w:bidi="ar"/>
        </w:rPr>
        <w:t>投标人业绩：投标人</w:t>
      </w:r>
      <w:r>
        <w:rPr>
          <w:rFonts w:hint="eastAsia" w:ascii="宋体" w:hAnsi="宋体" w:cs="Calibri"/>
          <w:b/>
          <w:bCs/>
          <w:color w:val="auto"/>
          <w:kern w:val="0"/>
          <w:szCs w:val="21"/>
          <w:highlight w:val="none"/>
          <w:lang w:val="en-US" w:eastAsia="zh-CN" w:bidi="ar"/>
        </w:rPr>
        <w:t>具有</w:t>
      </w:r>
      <w:r>
        <w:rPr>
          <w:rFonts w:hint="eastAsia" w:ascii="宋体" w:hAnsi="宋体" w:cs="Calibri"/>
          <w:b/>
          <w:bCs/>
          <w:color w:val="auto"/>
          <w:kern w:val="0"/>
          <w:szCs w:val="21"/>
          <w:highlight w:val="none"/>
          <w:lang w:bidi="ar"/>
        </w:rPr>
        <w:t>自2022年1月1日以来（以合同签订时间为准），同类业绩</w:t>
      </w:r>
      <w:r>
        <w:rPr>
          <w:rFonts w:hint="eastAsia" w:ascii="宋体" w:hAnsi="宋体" w:cs="Calibri"/>
          <w:b/>
          <w:bCs/>
          <w:color w:val="auto"/>
          <w:kern w:val="0"/>
          <w:szCs w:val="21"/>
          <w:highlight w:val="none"/>
          <w:lang w:eastAsia="zh-CN" w:bidi="ar"/>
        </w:rPr>
        <w:t>（</w:t>
      </w:r>
      <w:r>
        <w:rPr>
          <w:rFonts w:hint="eastAsia" w:ascii="宋体" w:hAnsi="宋体" w:cs="Calibri"/>
          <w:b/>
          <w:bCs/>
          <w:color w:val="auto"/>
          <w:kern w:val="0"/>
          <w:szCs w:val="21"/>
          <w:highlight w:val="none"/>
          <w:lang w:val="en-US" w:eastAsia="zh-CN" w:bidi="ar"/>
        </w:rPr>
        <w:t>合同中需包含全院叫号系统</w:t>
      </w:r>
      <w:r>
        <w:rPr>
          <w:rFonts w:hint="eastAsia" w:ascii="宋体" w:hAnsi="宋体" w:eastAsia="宋体" w:cs="Calibri"/>
          <w:b/>
          <w:bCs/>
          <w:color w:val="auto"/>
          <w:kern w:val="0"/>
          <w:szCs w:val="21"/>
          <w:highlight w:val="none"/>
          <w:lang w:val="en-US" w:eastAsia="zh-CN" w:bidi="ar"/>
        </w:rPr>
        <w:t>内容</w:t>
      </w:r>
      <w:r>
        <w:rPr>
          <w:rFonts w:hint="eastAsia" w:ascii="宋体" w:hAnsi="宋体" w:cs="Calibri"/>
          <w:b/>
          <w:bCs/>
          <w:color w:val="auto"/>
          <w:kern w:val="0"/>
          <w:szCs w:val="21"/>
          <w:highlight w:val="none"/>
          <w:lang w:eastAsia="zh-CN" w:bidi="ar"/>
        </w:rPr>
        <w:t>），</w:t>
      </w:r>
      <w:r>
        <w:rPr>
          <w:rFonts w:hint="eastAsia" w:ascii="宋体" w:hAnsi="宋体" w:cs="Calibri"/>
          <w:b/>
          <w:bCs/>
          <w:color w:val="auto"/>
          <w:kern w:val="0"/>
          <w:szCs w:val="21"/>
          <w:highlight w:val="none"/>
          <w:lang w:val="en-US" w:eastAsia="zh-CN" w:bidi="ar"/>
        </w:rPr>
        <w:t>提供合同复印件；</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b/>
          <w:bCs/>
          <w:color w:val="auto"/>
          <w:highlight w:val="none"/>
          <w:lang w:eastAsia="zh-CN"/>
        </w:rPr>
      </w:pP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8</w:t>
      </w:r>
      <w:r>
        <w:rPr>
          <w:rFonts w:hint="eastAsia" w:ascii="Times New Roman" w:hAnsi="Times New Roman"/>
          <w:b/>
          <w:bCs/>
          <w:color w:val="auto"/>
          <w:highlight w:val="none"/>
          <w:lang w:eastAsia="zh-CN"/>
        </w:rPr>
        <w:t>）</w:t>
      </w:r>
      <w:r>
        <w:rPr>
          <w:rFonts w:hint="eastAsia" w:ascii="宋体" w:hAnsi="宋体" w:cs="宋体"/>
          <w:b/>
          <w:bCs/>
          <w:color w:val="auto"/>
          <w:szCs w:val="21"/>
          <w:highlight w:val="none"/>
          <w:lang w:val="en-US" w:eastAsia="zh-CN" w:bidi="ar"/>
        </w:rPr>
        <w:t>投标人</w:t>
      </w:r>
      <w:r>
        <w:rPr>
          <w:rFonts w:hint="eastAsia" w:ascii="宋体" w:hAnsi="宋体" w:cs="宋体"/>
          <w:b/>
          <w:bCs/>
          <w:color w:val="auto"/>
          <w:szCs w:val="21"/>
          <w:highlight w:val="none"/>
          <w:lang w:bidi="ar"/>
        </w:rPr>
        <w:t>具有有效的</w:t>
      </w:r>
      <w:r>
        <w:rPr>
          <w:rFonts w:hint="eastAsia" w:ascii="宋体" w:hAnsi="宋体" w:cs="Calibri"/>
          <w:b/>
          <w:bCs/>
          <w:color w:val="auto"/>
          <w:kern w:val="0"/>
          <w:szCs w:val="21"/>
          <w:highlight w:val="none"/>
          <w:lang w:bidi="ar"/>
        </w:rPr>
        <w:t>ISO900</w:t>
      </w:r>
      <w:r>
        <w:rPr>
          <w:rFonts w:hint="default" w:ascii="宋体" w:hAnsi="宋体" w:cs="Calibri"/>
          <w:b/>
          <w:bCs/>
          <w:color w:val="auto"/>
          <w:kern w:val="0"/>
          <w:szCs w:val="21"/>
          <w:highlight w:val="none"/>
          <w:lang w:bidi="ar"/>
        </w:rPr>
        <w:t>1</w:t>
      </w:r>
      <w:r>
        <w:rPr>
          <w:rFonts w:hint="eastAsia" w:ascii="宋体" w:hAnsi="宋体" w:cs="Calibri"/>
          <w:b/>
          <w:bCs/>
          <w:color w:val="auto"/>
          <w:kern w:val="0"/>
          <w:szCs w:val="21"/>
          <w:highlight w:val="none"/>
          <w:lang w:bidi="ar"/>
        </w:rPr>
        <w:t>质量管理体系认证证书、ISO27001信息安全管理体系认证证书、ISO20000信息技术服务管理体系</w:t>
      </w:r>
      <w:r>
        <w:rPr>
          <w:rFonts w:hint="eastAsia" w:ascii="宋体" w:hAnsi="宋体" w:cs="宋体"/>
          <w:b/>
          <w:bCs/>
          <w:color w:val="auto"/>
          <w:szCs w:val="21"/>
          <w:highlight w:val="none"/>
          <w:lang w:bidi="ar"/>
        </w:rPr>
        <w:t>认证证书</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bidi="ar"/>
        </w:rPr>
        <w:t>提供</w:t>
      </w:r>
      <w:r>
        <w:rPr>
          <w:rFonts w:hint="eastAsia" w:ascii="宋体" w:hAnsi="宋体" w:cs="宋体"/>
          <w:b/>
          <w:bCs/>
          <w:color w:val="auto"/>
          <w:szCs w:val="21"/>
          <w:highlight w:val="none"/>
          <w:lang w:val="en-US" w:eastAsia="zh-CN" w:bidi="ar"/>
        </w:rPr>
        <w:t>有效</w:t>
      </w:r>
      <w:r>
        <w:rPr>
          <w:rFonts w:hint="eastAsia" w:ascii="宋体" w:hAnsi="宋体" w:cs="宋体"/>
          <w:b/>
          <w:bCs/>
          <w:color w:val="auto"/>
          <w:szCs w:val="21"/>
          <w:highlight w:val="none"/>
          <w:lang w:bidi="ar"/>
        </w:rPr>
        <w:t>证书复印件</w:t>
      </w:r>
      <w:r>
        <w:rPr>
          <w:rFonts w:hint="eastAsia" w:ascii="宋体" w:hAnsi="宋体" w:cs="宋体"/>
          <w:b/>
          <w:bCs/>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b/>
          <w:bCs/>
          <w:color w:val="auto"/>
          <w:highlight w:val="none"/>
          <w:lang w:eastAsia="zh-CN"/>
        </w:rPr>
      </w:pP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9</w:t>
      </w:r>
      <w:r>
        <w:rPr>
          <w:rFonts w:hint="eastAsia" w:ascii="Times New Roman" w:hAnsi="Times New Roman"/>
          <w:b/>
          <w:bCs/>
          <w:color w:val="auto"/>
          <w:highlight w:val="none"/>
          <w:lang w:eastAsia="zh-CN"/>
        </w:rPr>
        <w:t>）</w:t>
      </w:r>
      <w:r>
        <w:rPr>
          <w:rFonts w:hint="eastAsia" w:ascii="宋体" w:hAnsi="宋体" w:cs="Calibri"/>
          <w:b/>
          <w:bCs/>
          <w:color w:val="auto"/>
          <w:kern w:val="0"/>
          <w:szCs w:val="21"/>
          <w:highlight w:val="none"/>
          <w:lang w:bidi="ar"/>
        </w:rPr>
        <w:t>整体方案</w:t>
      </w:r>
      <w:r>
        <w:rPr>
          <w:rFonts w:hint="eastAsia" w:ascii="宋体" w:hAnsi="宋体" w:cs="Calibri"/>
          <w:b/>
          <w:bCs/>
          <w:color w:val="auto"/>
          <w:kern w:val="0"/>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b/>
          <w:bCs/>
          <w:color w:val="auto"/>
          <w:highlight w:val="none"/>
          <w:lang w:eastAsia="zh-CN"/>
        </w:rPr>
      </w:pP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10</w:t>
      </w:r>
      <w:r>
        <w:rPr>
          <w:rFonts w:hint="eastAsia" w:ascii="Times New Roman" w:hAnsi="Times New Roman"/>
          <w:b/>
          <w:bCs/>
          <w:color w:val="auto"/>
          <w:highlight w:val="none"/>
          <w:lang w:eastAsia="zh-CN"/>
        </w:rPr>
        <w:t>）</w:t>
      </w:r>
      <w:r>
        <w:rPr>
          <w:rFonts w:hint="eastAsia" w:ascii="宋体" w:hAnsi="宋体" w:cs="Calibri"/>
          <w:b/>
          <w:bCs/>
          <w:color w:val="auto"/>
          <w:kern w:val="0"/>
          <w:szCs w:val="21"/>
          <w:highlight w:val="none"/>
          <w:lang w:bidi="ar"/>
        </w:rPr>
        <w:t>应急措施</w:t>
      </w:r>
      <w:r>
        <w:rPr>
          <w:rFonts w:hint="eastAsia" w:ascii="宋体" w:hAnsi="宋体" w:cs="Calibri"/>
          <w:b/>
          <w:bCs/>
          <w:color w:val="auto"/>
          <w:kern w:val="0"/>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Cs w:val="21"/>
          <w:highlight w:val="none"/>
          <w:lang w:eastAsia="zh-CN" w:bidi="ar"/>
        </w:rPr>
      </w:pP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11</w:t>
      </w:r>
      <w:r>
        <w:rPr>
          <w:rFonts w:hint="eastAsia" w:ascii="Times New Roman" w:hAnsi="Times New Roman"/>
          <w:b/>
          <w:bCs/>
          <w:color w:val="auto"/>
          <w:highlight w:val="none"/>
          <w:lang w:eastAsia="zh-CN"/>
        </w:rPr>
        <w:t>）</w:t>
      </w:r>
      <w:r>
        <w:rPr>
          <w:rFonts w:hint="eastAsia" w:ascii="宋体" w:hAnsi="宋体" w:cs="宋体"/>
          <w:b/>
          <w:bCs/>
          <w:color w:val="auto"/>
          <w:szCs w:val="21"/>
          <w:highlight w:val="none"/>
          <w:lang w:bidi="ar"/>
        </w:rPr>
        <w:t>售后服务方案、售后服务承诺</w:t>
      </w:r>
      <w:r>
        <w:rPr>
          <w:rFonts w:hint="eastAsia" w:ascii="宋体" w:hAnsi="宋体" w:cs="宋体"/>
          <w:b/>
          <w:bCs/>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b/>
          <w:bCs/>
          <w:color w:val="auto"/>
          <w:highlight w:val="none"/>
          <w:lang w:eastAsia="zh-CN"/>
        </w:rPr>
      </w:pP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12</w:t>
      </w:r>
      <w:r>
        <w:rPr>
          <w:rFonts w:hint="eastAsia" w:ascii="Times New Roman" w:hAnsi="Times New Roman"/>
          <w:b/>
          <w:bCs/>
          <w:color w:val="auto"/>
          <w:highlight w:val="none"/>
          <w:lang w:eastAsia="zh-CN"/>
        </w:rPr>
        <w:t>）</w:t>
      </w:r>
      <w:r>
        <w:rPr>
          <w:rFonts w:hint="eastAsia" w:ascii="宋体" w:hAnsi="宋体" w:cs="宋体"/>
          <w:b/>
          <w:bCs/>
          <w:color w:val="auto"/>
          <w:szCs w:val="21"/>
          <w:highlight w:val="none"/>
          <w:lang w:bidi="ar"/>
        </w:rPr>
        <w:t>培训方案</w:t>
      </w:r>
      <w:r>
        <w:rPr>
          <w:rFonts w:hint="eastAsia" w:ascii="宋体" w:hAnsi="宋体" w:cs="宋体"/>
          <w:b/>
          <w:bCs/>
          <w:color w:val="auto"/>
          <w:szCs w:val="21"/>
          <w:highlight w:val="none"/>
          <w:lang w:eastAsia="zh-CN" w:bidi="ar"/>
        </w:rPr>
        <w:t>；</w:t>
      </w:r>
    </w:p>
    <w:p>
      <w:pPr>
        <w:pStyle w:val="1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Times New Roman" w:hAnsi="Times New Roman"/>
          <w:b/>
          <w:bCs/>
          <w:color w:val="auto"/>
          <w:highlight w:val="none"/>
        </w:rPr>
      </w:pP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13</w:t>
      </w:r>
      <w:r>
        <w:rPr>
          <w:rFonts w:hint="eastAsia" w:ascii="Times New Roman" w:hAnsi="Times New Roman"/>
          <w:b/>
          <w:bCs/>
          <w:color w:val="auto"/>
          <w:highlight w:val="none"/>
          <w:lang w:eastAsia="zh-CN"/>
        </w:rPr>
        <w:t>）</w:t>
      </w:r>
      <w:r>
        <w:rPr>
          <w:rFonts w:hint="eastAsia" w:ascii="Times New Roman" w:hAnsi="Times New Roman"/>
          <w:b/>
          <w:bCs/>
          <w:color w:val="auto"/>
          <w:highlight w:val="none"/>
        </w:rPr>
        <w:t>投标人认为有必要提供的其它文件（附：中标服务费支付承</w:t>
      </w:r>
      <w:r>
        <w:rPr>
          <w:rFonts w:ascii="Times New Roman" w:hAnsi="Times New Roman"/>
          <w:b/>
          <w:bCs/>
          <w:color w:val="auto"/>
          <w:highlight w:val="none"/>
        </w:rPr>
        <w:t>诺书）。</w:t>
      </w:r>
    </w:p>
    <w:p>
      <w:pPr>
        <w:rPr>
          <w:b/>
          <w:color w:val="auto"/>
          <w:highlight w:val="none"/>
        </w:rPr>
      </w:pPr>
    </w:p>
    <w:p>
      <w:pPr>
        <w:rPr>
          <w:rFonts w:hint="eastAsia"/>
          <w:b/>
          <w:color w:val="auto"/>
          <w:highlight w:val="none"/>
        </w:rPr>
      </w:pPr>
      <w:r>
        <w:rPr>
          <w:rFonts w:hint="eastAsia"/>
          <w:b/>
          <w:color w:val="auto"/>
          <w:highlight w:val="none"/>
        </w:rPr>
        <w:br w:type="page"/>
      </w:r>
    </w:p>
    <w:p>
      <w:pPr>
        <w:rPr>
          <w:b/>
          <w:color w:val="auto"/>
          <w:highlight w:val="none"/>
        </w:rPr>
      </w:pPr>
    </w:p>
    <w:p>
      <w:pPr>
        <w:spacing w:line="360" w:lineRule="auto"/>
        <w:rPr>
          <w:color w:val="auto"/>
          <w:highlight w:val="none"/>
        </w:rPr>
      </w:pPr>
    </w:p>
    <w:p>
      <w:pPr>
        <w:pStyle w:val="5"/>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5"/>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5"/>
        <w:spacing w:line="360" w:lineRule="auto"/>
        <w:ind w:firstLine="480"/>
        <w:rPr>
          <w:rFonts w:ascii="Times New Roman" w:hAnsi="Times New Roman"/>
          <w:b w:val="0"/>
          <w:color w:val="auto"/>
          <w:sz w:val="24"/>
          <w:szCs w:val="24"/>
          <w:highlight w:val="none"/>
        </w:rPr>
      </w:pPr>
    </w:p>
    <w:p>
      <w:pPr>
        <w:pStyle w:val="5"/>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22"/>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08"/>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08"/>
        <w:widowControl w:val="0"/>
        <w:adjustRightInd w:val="0"/>
        <w:snapToGrid w:val="0"/>
        <w:spacing w:line="360" w:lineRule="auto"/>
        <w:jc w:val="both"/>
        <w:rPr>
          <w:rFonts w:ascii="仿宋" w:hAnsi="仿宋"/>
          <w:color w:val="auto"/>
          <w:kern w:val="0"/>
          <w:szCs w:val="21"/>
          <w:highlight w:val="none"/>
          <w:u w:val="single"/>
        </w:rPr>
      </w:pPr>
    </w:p>
    <w:p>
      <w:pPr>
        <w:pStyle w:val="1008"/>
        <w:widowControl w:val="0"/>
        <w:adjustRightInd w:val="0"/>
        <w:snapToGrid w:val="0"/>
        <w:spacing w:line="360" w:lineRule="auto"/>
        <w:jc w:val="both"/>
        <w:rPr>
          <w:rFonts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08"/>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09"/>
        <w:widowControl/>
        <w:numPr>
          <w:ilvl w:val="0"/>
          <w:numId w:val="16"/>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08"/>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09"/>
        <w:widowControl/>
        <w:numPr>
          <w:ilvl w:val="0"/>
          <w:numId w:val="17"/>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09"/>
        <w:widowControl/>
        <w:numPr>
          <w:ilvl w:val="0"/>
          <w:numId w:val="17"/>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09"/>
        <w:widowControl/>
        <w:adjustRightInd w:val="0"/>
        <w:snapToGrid w:val="0"/>
        <w:spacing w:line="360" w:lineRule="auto"/>
        <w:rPr>
          <w:rFonts w:ascii="仿宋" w:hAnsi="仿宋"/>
          <w:color w:val="auto"/>
          <w:kern w:val="0"/>
          <w:szCs w:val="21"/>
          <w:highlight w:val="none"/>
        </w:rPr>
      </w:pPr>
    </w:p>
    <w:p>
      <w:pPr>
        <w:pStyle w:val="1009"/>
        <w:widowControl/>
        <w:adjustRightInd w:val="0"/>
        <w:snapToGrid w:val="0"/>
        <w:spacing w:line="360" w:lineRule="auto"/>
        <w:rPr>
          <w:rFonts w:ascii="仿宋" w:hAnsi="仿宋"/>
          <w:color w:val="auto"/>
          <w:kern w:val="0"/>
          <w:szCs w:val="21"/>
          <w:highlight w:val="none"/>
        </w:rPr>
      </w:pPr>
    </w:p>
    <w:p>
      <w:pPr>
        <w:pStyle w:val="1008"/>
        <w:widowControl w:val="0"/>
        <w:adjustRightInd w:val="0"/>
        <w:snapToGrid w:val="0"/>
        <w:spacing w:line="360" w:lineRule="auto"/>
        <w:ind w:firstLine="420" w:firstLineChars="200"/>
        <w:jc w:val="both"/>
        <w:rPr>
          <w:rFonts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hint="eastAsia" w:ascii="宋体" w:hAnsi="宋体"/>
          <w:b/>
          <w:color w:val="auto"/>
          <w:highlight w:val="none"/>
        </w:rPr>
      </w:pPr>
      <w:r>
        <w:rPr>
          <w:rFonts w:ascii="宋体" w:hAnsi="宋体"/>
          <w:b/>
          <w:color w:val="auto"/>
          <w:highlight w:val="none"/>
        </w:rPr>
        <w:t>────────────────────────────────────────</w:t>
      </w:r>
    </w:p>
    <w:p>
      <w:pPr>
        <w:spacing w:line="240" w:lineRule="atLeast"/>
        <w:jc w:val="center"/>
        <w:rPr>
          <w:rFonts w:hint="eastAsia" w:ascii="宋体" w:hAnsi="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422"/>
        <w:spacing w:line="360" w:lineRule="auto"/>
        <w:ind w:left="0" w:leftChars="0" w:firstLine="629" w:firstLineChars="0"/>
        <w:rPr>
          <w:rFonts w:ascii="Times New Roman" w:hAnsi="Times New Roman"/>
          <w:b w:val="0"/>
          <w:bCs w:val="0"/>
          <w:color w:val="auto"/>
          <w:sz w:val="24"/>
          <w:szCs w:val="24"/>
          <w:highlight w:val="none"/>
        </w:rPr>
      </w:pPr>
    </w:p>
    <w:p>
      <w:pPr>
        <w:pStyle w:val="422"/>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22"/>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22"/>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1BC71DB-63D1-4114-9DA9-A9DC75DA96C1}"/>
  </w:font>
  <w:font w:name="黑体">
    <w:panose1 w:val="02010609060101010101"/>
    <w:charset w:val="86"/>
    <w:family w:val="auto"/>
    <w:pitch w:val="default"/>
    <w:sig w:usb0="800002BF" w:usb1="38CF7CFA" w:usb2="00000016" w:usb3="00000000" w:csb0="00040001" w:csb1="00000000"/>
    <w:embedRegular r:id="rId2" w:fontKey="{BFC98B7E-1FE9-4539-ABBE-F846266B24DA}"/>
  </w:font>
  <w:font w:name="Courier New">
    <w:panose1 w:val="02070309020205020404"/>
    <w:charset w:val="01"/>
    <w:family w:val="modern"/>
    <w:pitch w:val="default"/>
    <w:sig w:usb0="E0002EFF" w:usb1="C0007843" w:usb2="00000009" w:usb3="00000000" w:csb0="400001FF" w:csb1="FFFF0000"/>
    <w:embedRegular r:id="rId3" w:fontKey="{D9E02379-DD73-45D8-BCD8-4B1E59144CB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183C2DA-62C0-401B-8ED5-5A5CFFDBAFB9}"/>
  </w:font>
  <w:font w:name="华文中宋">
    <w:panose1 w:val="02010600040101010101"/>
    <w:charset w:val="86"/>
    <w:family w:val="auto"/>
    <w:pitch w:val="default"/>
    <w:sig w:usb0="00000287" w:usb1="080F0000" w:usb2="00000000" w:usb3="00000000" w:csb0="0004009F" w:csb1="DFD70000"/>
    <w:embedRegular r:id="rId5" w:fontKey="{99CEEAF4-7472-4CD5-8921-5216B4E29024}"/>
  </w:font>
  <w:font w:name="宋体..璂..">
    <w:altName w:val="宋体"/>
    <w:panose1 w:val="00000000000000000000"/>
    <w:charset w:val="86"/>
    <w:family w:val="roman"/>
    <w:pitch w:val="default"/>
    <w:sig w:usb0="00000000" w:usb1="00000000" w:usb2="00000010" w:usb3="00000000" w:csb0="00040000" w:csb1="00000000"/>
    <w:embedRegular r:id="rId6" w:fontKey="{F2FA63E7-D617-462C-9A07-7D4A7FD26728}"/>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Yu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Segoe Print"/>
    <w:panose1 w:val="00000000000000000000"/>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7" w:fontKey="{E3059A20-8977-480B-9369-71DC1F4BC50D}"/>
  </w:font>
  <w:font w:name="方正小标宋简体">
    <w:panose1 w:val="02000000000000000000"/>
    <w:charset w:val="86"/>
    <w:family w:val="script"/>
    <w:pitch w:val="default"/>
    <w:sig w:usb0="00000001" w:usb1="08000000" w:usb2="00000000" w:usb3="00000000" w:csb0="00040000" w:csb1="00000000"/>
    <w:embedRegular r:id="rId8" w:fontKey="{1204BEDF-A280-48EC-B064-3EE2AD4196D4}"/>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framePr w:wrap="around" w:vAnchor="text" w:hAnchor="margin" w:xAlign="center" w:y="1"/>
      <w:rPr>
        <w:rStyle w:val="86"/>
      </w:rPr>
    </w:pPr>
    <w:r>
      <w:fldChar w:fldCharType="begin"/>
    </w:r>
    <w:r>
      <w:rPr>
        <w:rStyle w:val="86"/>
      </w:rPr>
      <w:instrText xml:space="preserve">PAGE  </w:instrText>
    </w:r>
    <w:r>
      <w:fldChar w:fldCharType="end"/>
    </w:r>
  </w:p>
  <w:p>
    <w:pPr>
      <w:pStyle w:val="5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8A0AA"/>
    <w:multiLevelType w:val="singleLevel"/>
    <w:tmpl w:val="A028A0AA"/>
    <w:lvl w:ilvl="0" w:tentative="0">
      <w:start w:val="1"/>
      <w:numFmt w:val="chineseCounting"/>
      <w:suff w:val="nothing"/>
      <w:lvlText w:val="（%1）"/>
      <w:lvlJc w:val="left"/>
      <w:pPr>
        <w:ind w:left="-842" w:firstLine="420"/>
      </w:pPr>
      <w:rPr>
        <w:rFonts w:hint="eastAsia"/>
      </w:rPr>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6AFB2F0"/>
    <w:multiLevelType w:val="singleLevel"/>
    <w:tmpl w:val="F6AFB2F0"/>
    <w:lvl w:ilvl="0" w:tentative="0">
      <w:start w:val="5"/>
      <w:numFmt w:val="decimal"/>
      <w:lvlText w:val="%1."/>
      <w:lvlJc w:val="left"/>
      <w:pPr>
        <w:tabs>
          <w:tab w:val="left" w:pos="312"/>
        </w:tabs>
        <w:ind w:left="480" w:leftChars="0" w:firstLine="0" w:firstLineChars="0"/>
      </w:p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0AA62870"/>
    <w:multiLevelType w:val="multilevel"/>
    <w:tmpl w:val="0AA6287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0F58DC"/>
    <w:multiLevelType w:val="multilevel"/>
    <w:tmpl w:val="170F58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9F6909"/>
    <w:multiLevelType w:val="multilevel"/>
    <w:tmpl w:val="299F69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C432A1"/>
    <w:multiLevelType w:val="multilevel"/>
    <w:tmpl w:val="4CC432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76CEC23"/>
    <w:multiLevelType w:val="singleLevel"/>
    <w:tmpl w:val="576CEC23"/>
    <w:lvl w:ilvl="0" w:tentative="0">
      <w:start w:val="1"/>
      <w:numFmt w:val="chineseCounting"/>
      <w:suff w:val="space"/>
      <w:lvlText w:val="第%1条"/>
      <w:lvlJc w:val="left"/>
    </w:lvl>
  </w:abstractNum>
  <w:abstractNum w:abstractNumId="12">
    <w:nsid w:val="576CEFE9"/>
    <w:multiLevelType w:val="singleLevel"/>
    <w:tmpl w:val="576CEFE9"/>
    <w:lvl w:ilvl="0" w:tentative="0">
      <w:start w:val="1"/>
      <w:numFmt w:val="chineseCounting"/>
      <w:suff w:val="nothing"/>
      <w:lvlText w:val="（%1）"/>
      <w:lvlJc w:val="left"/>
    </w:lvl>
  </w:abstractNum>
  <w:abstractNum w:abstractNumId="13">
    <w:nsid w:val="732F2F70"/>
    <w:multiLevelType w:val="singleLevel"/>
    <w:tmpl w:val="732F2F70"/>
    <w:lvl w:ilvl="0" w:tentative="0">
      <w:start w:val="1"/>
      <w:numFmt w:val="decimal"/>
      <w:suff w:val="space"/>
      <w:lvlText w:val="%1、"/>
      <w:lvlJc w:val="left"/>
    </w:lvl>
  </w:abstractNum>
  <w:abstractNum w:abstractNumId="14">
    <w:nsid w:val="732F2F71"/>
    <w:multiLevelType w:val="singleLevel"/>
    <w:tmpl w:val="732F2F71"/>
    <w:lvl w:ilvl="0" w:tentative="0">
      <w:start w:val="1"/>
      <w:numFmt w:val="decimal"/>
      <w:suff w:val="space"/>
      <w:lvlText w:val="%1、"/>
      <w:lvlJc w:val="left"/>
    </w:lvl>
  </w:abstractNum>
  <w:abstractNum w:abstractNumId="15">
    <w:nsid w:val="732F2F72"/>
    <w:multiLevelType w:val="singleLevel"/>
    <w:tmpl w:val="732F2F72"/>
    <w:lvl w:ilvl="0" w:tentative="0">
      <w:start w:val="1"/>
      <w:numFmt w:val="decimal"/>
      <w:suff w:val="space"/>
      <w:lvlText w:val="%1、"/>
      <w:lvlJc w:val="left"/>
    </w:lvl>
  </w:abstractNum>
  <w:abstractNum w:abstractNumId="16">
    <w:nsid w:val="732F2F73"/>
    <w:multiLevelType w:val="singleLevel"/>
    <w:tmpl w:val="732F2F73"/>
    <w:lvl w:ilvl="0" w:tentative="0">
      <w:start w:val="1"/>
      <w:numFmt w:val="decimal"/>
      <w:suff w:val="space"/>
      <w:lvlText w:val="%1、"/>
      <w:lvlJc w:val="left"/>
    </w:lvl>
  </w:abstractNum>
  <w:num w:numId="1">
    <w:abstractNumId w:val="0"/>
  </w:num>
  <w:num w:numId="2">
    <w:abstractNumId w:val="8"/>
  </w:num>
  <w:num w:numId="3">
    <w:abstractNumId w:val="13"/>
  </w:num>
  <w:num w:numId="4">
    <w:abstractNumId w:val="14"/>
  </w:num>
  <w:num w:numId="5">
    <w:abstractNumId w:val="15"/>
  </w:num>
  <w:num w:numId="6">
    <w:abstractNumId w:val="16"/>
  </w:num>
  <w:num w:numId="7">
    <w:abstractNumId w:val="2"/>
  </w:num>
  <w:num w:numId="8">
    <w:abstractNumId w:val="5"/>
  </w:num>
  <w:num w:numId="9">
    <w:abstractNumId w:val="6"/>
  </w:num>
  <w:num w:numId="10">
    <w:abstractNumId w:val="7"/>
  </w:num>
  <w:num w:numId="11">
    <w:abstractNumId w:val="11"/>
  </w:num>
  <w:num w:numId="12">
    <w:abstractNumId w:val="12"/>
  </w:num>
  <w:num w:numId="13">
    <w:abstractNumId w:val="4"/>
  </w:num>
  <w:num w:numId="14">
    <w:abstractNumId w:val="3"/>
  </w:num>
  <w:num w:numId="15">
    <w:abstractNumId w:val="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944"/>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19C6"/>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0DDB"/>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33FD"/>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77CB4"/>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617BF0"/>
    <w:rsid w:val="04953042"/>
    <w:rsid w:val="04966335"/>
    <w:rsid w:val="04B47FD5"/>
    <w:rsid w:val="04BF76D0"/>
    <w:rsid w:val="04D44D2B"/>
    <w:rsid w:val="04E9263C"/>
    <w:rsid w:val="05102AB7"/>
    <w:rsid w:val="05171224"/>
    <w:rsid w:val="05504736"/>
    <w:rsid w:val="059A6A00"/>
    <w:rsid w:val="059C797B"/>
    <w:rsid w:val="05D10289"/>
    <w:rsid w:val="05D51295"/>
    <w:rsid w:val="05F45A09"/>
    <w:rsid w:val="05FC4B31"/>
    <w:rsid w:val="066E1BC1"/>
    <w:rsid w:val="066F12AC"/>
    <w:rsid w:val="06B04863"/>
    <w:rsid w:val="06B66A52"/>
    <w:rsid w:val="06C66263"/>
    <w:rsid w:val="06E81CB3"/>
    <w:rsid w:val="0709430D"/>
    <w:rsid w:val="07174E15"/>
    <w:rsid w:val="07194A8A"/>
    <w:rsid w:val="07480532"/>
    <w:rsid w:val="077245B7"/>
    <w:rsid w:val="078C68AE"/>
    <w:rsid w:val="08156C5F"/>
    <w:rsid w:val="081B0A49"/>
    <w:rsid w:val="08532874"/>
    <w:rsid w:val="089E3906"/>
    <w:rsid w:val="08BB5F3A"/>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751537"/>
    <w:rsid w:val="0C8A134F"/>
    <w:rsid w:val="0C99082D"/>
    <w:rsid w:val="0CA1164E"/>
    <w:rsid w:val="0CB16030"/>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B655DA"/>
    <w:rsid w:val="10E213DC"/>
    <w:rsid w:val="10ED2640"/>
    <w:rsid w:val="116414B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A46FED"/>
    <w:rsid w:val="14D07BFC"/>
    <w:rsid w:val="14D16BB3"/>
    <w:rsid w:val="14F1001D"/>
    <w:rsid w:val="150045AA"/>
    <w:rsid w:val="152D239E"/>
    <w:rsid w:val="15B7436C"/>
    <w:rsid w:val="15DA25E1"/>
    <w:rsid w:val="164C3BAB"/>
    <w:rsid w:val="166C5148"/>
    <w:rsid w:val="167E6870"/>
    <w:rsid w:val="16AB3EC2"/>
    <w:rsid w:val="16E37952"/>
    <w:rsid w:val="16EC0E5F"/>
    <w:rsid w:val="16F531DD"/>
    <w:rsid w:val="171777E9"/>
    <w:rsid w:val="171D66D9"/>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92F0878"/>
    <w:rsid w:val="196A224C"/>
    <w:rsid w:val="196D545F"/>
    <w:rsid w:val="199D5859"/>
    <w:rsid w:val="199F72D4"/>
    <w:rsid w:val="19C203BC"/>
    <w:rsid w:val="19E25516"/>
    <w:rsid w:val="19EC4697"/>
    <w:rsid w:val="1A3062CC"/>
    <w:rsid w:val="1A512F81"/>
    <w:rsid w:val="1A6151E2"/>
    <w:rsid w:val="1A6604FC"/>
    <w:rsid w:val="1A915E95"/>
    <w:rsid w:val="1A942330"/>
    <w:rsid w:val="1A9D4B91"/>
    <w:rsid w:val="1AC41C38"/>
    <w:rsid w:val="1ACC119E"/>
    <w:rsid w:val="1AE2543D"/>
    <w:rsid w:val="1AFE4788"/>
    <w:rsid w:val="1B064E2C"/>
    <w:rsid w:val="1B332719"/>
    <w:rsid w:val="1B4A3CA9"/>
    <w:rsid w:val="1BB2268A"/>
    <w:rsid w:val="1BD614EF"/>
    <w:rsid w:val="1BE44C56"/>
    <w:rsid w:val="1C494E2D"/>
    <w:rsid w:val="1C530140"/>
    <w:rsid w:val="1C6F45A1"/>
    <w:rsid w:val="1CB91362"/>
    <w:rsid w:val="1CC25291"/>
    <w:rsid w:val="1D210C02"/>
    <w:rsid w:val="1D2E0600"/>
    <w:rsid w:val="1D5C6BFA"/>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50557"/>
    <w:rsid w:val="22471176"/>
    <w:rsid w:val="22597EF7"/>
    <w:rsid w:val="22791B01"/>
    <w:rsid w:val="22B932C2"/>
    <w:rsid w:val="22D37274"/>
    <w:rsid w:val="22E569AE"/>
    <w:rsid w:val="22E6302E"/>
    <w:rsid w:val="22F20284"/>
    <w:rsid w:val="230E7C34"/>
    <w:rsid w:val="233D697C"/>
    <w:rsid w:val="23445D0F"/>
    <w:rsid w:val="234D5DCC"/>
    <w:rsid w:val="23723E79"/>
    <w:rsid w:val="239E037C"/>
    <w:rsid w:val="23E427C1"/>
    <w:rsid w:val="242D4E41"/>
    <w:rsid w:val="243E62FB"/>
    <w:rsid w:val="246F22A9"/>
    <w:rsid w:val="247F3DCD"/>
    <w:rsid w:val="249D355D"/>
    <w:rsid w:val="24A73E00"/>
    <w:rsid w:val="24D91672"/>
    <w:rsid w:val="24DD0AC2"/>
    <w:rsid w:val="25551BC9"/>
    <w:rsid w:val="257029C6"/>
    <w:rsid w:val="259C7FB2"/>
    <w:rsid w:val="25A646BD"/>
    <w:rsid w:val="25DE3AF5"/>
    <w:rsid w:val="260E207E"/>
    <w:rsid w:val="261256B8"/>
    <w:rsid w:val="262E7CAB"/>
    <w:rsid w:val="26821442"/>
    <w:rsid w:val="26D8257F"/>
    <w:rsid w:val="26DD1E74"/>
    <w:rsid w:val="27564062"/>
    <w:rsid w:val="275D2FB6"/>
    <w:rsid w:val="276D259D"/>
    <w:rsid w:val="279B013E"/>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33E6C"/>
    <w:rsid w:val="295D70D9"/>
    <w:rsid w:val="29B261E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D7772"/>
    <w:rsid w:val="2EA8720D"/>
    <w:rsid w:val="2ED05F2C"/>
    <w:rsid w:val="2EFE3960"/>
    <w:rsid w:val="2F2C584A"/>
    <w:rsid w:val="2F5D538B"/>
    <w:rsid w:val="2F5F051D"/>
    <w:rsid w:val="2FAE3959"/>
    <w:rsid w:val="30137C59"/>
    <w:rsid w:val="3050602F"/>
    <w:rsid w:val="305C2F7D"/>
    <w:rsid w:val="30640398"/>
    <w:rsid w:val="308B5E1C"/>
    <w:rsid w:val="30D31646"/>
    <w:rsid w:val="30F027A5"/>
    <w:rsid w:val="31056B6D"/>
    <w:rsid w:val="314D37F5"/>
    <w:rsid w:val="31A035F2"/>
    <w:rsid w:val="31BB2C93"/>
    <w:rsid w:val="32067705"/>
    <w:rsid w:val="323F58AE"/>
    <w:rsid w:val="325025F3"/>
    <w:rsid w:val="32615633"/>
    <w:rsid w:val="32742131"/>
    <w:rsid w:val="32A92715"/>
    <w:rsid w:val="33673093"/>
    <w:rsid w:val="33A15FD9"/>
    <w:rsid w:val="33A91C3C"/>
    <w:rsid w:val="33B658A8"/>
    <w:rsid w:val="340547BA"/>
    <w:rsid w:val="349B24EF"/>
    <w:rsid w:val="34AC53F9"/>
    <w:rsid w:val="34C207E6"/>
    <w:rsid w:val="34D26EB9"/>
    <w:rsid w:val="35547D6F"/>
    <w:rsid w:val="3566198E"/>
    <w:rsid w:val="3667350A"/>
    <w:rsid w:val="367459FA"/>
    <w:rsid w:val="368D569B"/>
    <w:rsid w:val="36B43069"/>
    <w:rsid w:val="36C64AEF"/>
    <w:rsid w:val="36F0462C"/>
    <w:rsid w:val="3722036D"/>
    <w:rsid w:val="376004E6"/>
    <w:rsid w:val="37A87D59"/>
    <w:rsid w:val="37B657CF"/>
    <w:rsid w:val="37C36A79"/>
    <w:rsid w:val="37FE2C92"/>
    <w:rsid w:val="386F1ED9"/>
    <w:rsid w:val="38D440A8"/>
    <w:rsid w:val="38D70119"/>
    <w:rsid w:val="38D92525"/>
    <w:rsid w:val="391600CF"/>
    <w:rsid w:val="392D136B"/>
    <w:rsid w:val="39797C10"/>
    <w:rsid w:val="39B134BA"/>
    <w:rsid w:val="39B23B55"/>
    <w:rsid w:val="3A305C0C"/>
    <w:rsid w:val="3A397757"/>
    <w:rsid w:val="3A3D3237"/>
    <w:rsid w:val="3A6A405B"/>
    <w:rsid w:val="3A76539D"/>
    <w:rsid w:val="3AEC6902"/>
    <w:rsid w:val="3B1479D8"/>
    <w:rsid w:val="3B21771E"/>
    <w:rsid w:val="3B310402"/>
    <w:rsid w:val="3B32226E"/>
    <w:rsid w:val="3B416603"/>
    <w:rsid w:val="3B5C1708"/>
    <w:rsid w:val="3B6C0D61"/>
    <w:rsid w:val="3B716BD9"/>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C06C64"/>
    <w:rsid w:val="3FF34550"/>
    <w:rsid w:val="3FF5BC50"/>
    <w:rsid w:val="3FF770C3"/>
    <w:rsid w:val="40081B56"/>
    <w:rsid w:val="400A4834"/>
    <w:rsid w:val="40201F22"/>
    <w:rsid w:val="40642868"/>
    <w:rsid w:val="40671125"/>
    <w:rsid w:val="40A1518E"/>
    <w:rsid w:val="40F04293"/>
    <w:rsid w:val="40F41AF4"/>
    <w:rsid w:val="41372A17"/>
    <w:rsid w:val="413B3F95"/>
    <w:rsid w:val="41684CFC"/>
    <w:rsid w:val="416F7716"/>
    <w:rsid w:val="418040B9"/>
    <w:rsid w:val="41B6305A"/>
    <w:rsid w:val="42145BD1"/>
    <w:rsid w:val="4234724D"/>
    <w:rsid w:val="42421985"/>
    <w:rsid w:val="4271185C"/>
    <w:rsid w:val="42925CEB"/>
    <w:rsid w:val="429D4825"/>
    <w:rsid w:val="42C00723"/>
    <w:rsid w:val="42D355FF"/>
    <w:rsid w:val="42EB034A"/>
    <w:rsid w:val="43120CA1"/>
    <w:rsid w:val="43384391"/>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5F3743"/>
    <w:rsid w:val="46A55988"/>
    <w:rsid w:val="46AE08B3"/>
    <w:rsid w:val="46B81B60"/>
    <w:rsid w:val="46BB00AD"/>
    <w:rsid w:val="46E91893"/>
    <w:rsid w:val="470E2BF1"/>
    <w:rsid w:val="472D7CF0"/>
    <w:rsid w:val="474927B8"/>
    <w:rsid w:val="47BF0B21"/>
    <w:rsid w:val="47E2786B"/>
    <w:rsid w:val="47EE05D5"/>
    <w:rsid w:val="47F156B8"/>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CD594D"/>
    <w:rsid w:val="4BB502F8"/>
    <w:rsid w:val="4BC17AB6"/>
    <w:rsid w:val="4C021709"/>
    <w:rsid w:val="4C081969"/>
    <w:rsid w:val="4C5603C6"/>
    <w:rsid w:val="4CBD39C5"/>
    <w:rsid w:val="4CF4336D"/>
    <w:rsid w:val="4CFD5677"/>
    <w:rsid w:val="4D0E35BC"/>
    <w:rsid w:val="4D16313C"/>
    <w:rsid w:val="4D1C4537"/>
    <w:rsid w:val="4D853C2C"/>
    <w:rsid w:val="4DDA28BA"/>
    <w:rsid w:val="4DE832FD"/>
    <w:rsid w:val="4E377211"/>
    <w:rsid w:val="4E3844BD"/>
    <w:rsid w:val="4E8934AF"/>
    <w:rsid w:val="4F195165"/>
    <w:rsid w:val="4F514ABF"/>
    <w:rsid w:val="4F8F3A41"/>
    <w:rsid w:val="4FBA7C05"/>
    <w:rsid w:val="4FC32DBB"/>
    <w:rsid w:val="4FEF9DBE"/>
    <w:rsid w:val="50310CCE"/>
    <w:rsid w:val="5033343F"/>
    <w:rsid w:val="50736CC9"/>
    <w:rsid w:val="50812FC2"/>
    <w:rsid w:val="50A218B6"/>
    <w:rsid w:val="50D9276D"/>
    <w:rsid w:val="50F2713E"/>
    <w:rsid w:val="514379B7"/>
    <w:rsid w:val="51494E7A"/>
    <w:rsid w:val="51CA03FD"/>
    <w:rsid w:val="520768B1"/>
    <w:rsid w:val="5299079A"/>
    <w:rsid w:val="52A02067"/>
    <w:rsid w:val="52DB5CCA"/>
    <w:rsid w:val="52DF2079"/>
    <w:rsid w:val="52E8017F"/>
    <w:rsid w:val="53183FEB"/>
    <w:rsid w:val="537A5F9E"/>
    <w:rsid w:val="53895230"/>
    <w:rsid w:val="53D446F2"/>
    <w:rsid w:val="53D651EE"/>
    <w:rsid w:val="53DF706D"/>
    <w:rsid w:val="54A30F3B"/>
    <w:rsid w:val="54B11BE0"/>
    <w:rsid w:val="54D173E9"/>
    <w:rsid w:val="54E83D10"/>
    <w:rsid w:val="55202225"/>
    <w:rsid w:val="55603BFD"/>
    <w:rsid w:val="55AF5D23"/>
    <w:rsid w:val="55C65606"/>
    <w:rsid w:val="55F15CA9"/>
    <w:rsid w:val="56151579"/>
    <w:rsid w:val="561612F7"/>
    <w:rsid w:val="56420ABE"/>
    <w:rsid w:val="56804FD9"/>
    <w:rsid w:val="569B776C"/>
    <w:rsid w:val="56C65BD3"/>
    <w:rsid w:val="56F244F8"/>
    <w:rsid w:val="56FA6BBD"/>
    <w:rsid w:val="570C114E"/>
    <w:rsid w:val="57636E58"/>
    <w:rsid w:val="57646851"/>
    <w:rsid w:val="577371ED"/>
    <w:rsid w:val="5797131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471E16"/>
    <w:rsid w:val="5CE05656"/>
    <w:rsid w:val="5D026AB5"/>
    <w:rsid w:val="5D0336DD"/>
    <w:rsid w:val="5D207771"/>
    <w:rsid w:val="5D4015CD"/>
    <w:rsid w:val="5D440FA8"/>
    <w:rsid w:val="5D5B51F7"/>
    <w:rsid w:val="5D7001A8"/>
    <w:rsid w:val="5D7762F3"/>
    <w:rsid w:val="5DB113F6"/>
    <w:rsid w:val="5DDA6C00"/>
    <w:rsid w:val="5E2B7C9F"/>
    <w:rsid w:val="5EB47EC0"/>
    <w:rsid w:val="5EB546FA"/>
    <w:rsid w:val="5FB47823"/>
    <w:rsid w:val="5FF385FB"/>
    <w:rsid w:val="60114363"/>
    <w:rsid w:val="607913B0"/>
    <w:rsid w:val="609C19C2"/>
    <w:rsid w:val="60A41BAB"/>
    <w:rsid w:val="60AA76D6"/>
    <w:rsid w:val="60AB64D8"/>
    <w:rsid w:val="60AE64ED"/>
    <w:rsid w:val="60CA4511"/>
    <w:rsid w:val="60DD1575"/>
    <w:rsid w:val="60DD333C"/>
    <w:rsid w:val="60F72DD4"/>
    <w:rsid w:val="61137B21"/>
    <w:rsid w:val="61291B23"/>
    <w:rsid w:val="612E13D6"/>
    <w:rsid w:val="614921AA"/>
    <w:rsid w:val="61536400"/>
    <w:rsid w:val="615E7C93"/>
    <w:rsid w:val="616F187C"/>
    <w:rsid w:val="61D94730"/>
    <w:rsid w:val="620C1FE5"/>
    <w:rsid w:val="62B74308"/>
    <w:rsid w:val="62DE2DEB"/>
    <w:rsid w:val="62E418BB"/>
    <w:rsid w:val="62ED4D68"/>
    <w:rsid w:val="63024F4B"/>
    <w:rsid w:val="6342167E"/>
    <w:rsid w:val="634A0090"/>
    <w:rsid w:val="63525D02"/>
    <w:rsid w:val="63897A72"/>
    <w:rsid w:val="63FF2C9A"/>
    <w:rsid w:val="640226E3"/>
    <w:rsid w:val="641A59B7"/>
    <w:rsid w:val="641D7091"/>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3921E8"/>
    <w:rsid w:val="69564750"/>
    <w:rsid w:val="69695723"/>
    <w:rsid w:val="696D4C7B"/>
    <w:rsid w:val="699456BD"/>
    <w:rsid w:val="69972AFB"/>
    <w:rsid w:val="6998274D"/>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E22CEF"/>
    <w:rsid w:val="6BE50759"/>
    <w:rsid w:val="6BF516F4"/>
    <w:rsid w:val="6C197F0F"/>
    <w:rsid w:val="6C1D2F02"/>
    <w:rsid w:val="6C2E4645"/>
    <w:rsid w:val="6C3F1329"/>
    <w:rsid w:val="6C407070"/>
    <w:rsid w:val="6CBC5656"/>
    <w:rsid w:val="6D067661"/>
    <w:rsid w:val="6D1709F7"/>
    <w:rsid w:val="6D746D80"/>
    <w:rsid w:val="6D77E5CD"/>
    <w:rsid w:val="6DB43319"/>
    <w:rsid w:val="6DD853F1"/>
    <w:rsid w:val="6DDF5F56"/>
    <w:rsid w:val="6E862360"/>
    <w:rsid w:val="6E955D30"/>
    <w:rsid w:val="6EAD16FA"/>
    <w:rsid w:val="6EBF4F8A"/>
    <w:rsid w:val="6ECA20EF"/>
    <w:rsid w:val="6EDB736C"/>
    <w:rsid w:val="6EE5601A"/>
    <w:rsid w:val="6EE60B30"/>
    <w:rsid w:val="6F033087"/>
    <w:rsid w:val="6F120EF8"/>
    <w:rsid w:val="6F430DD8"/>
    <w:rsid w:val="6FA10952"/>
    <w:rsid w:val="6FAF0C75"/>
    <w:rsid w:val="6FF167F1"/>
    <w:rsid w:val="6FF432FD"/>
    <w:rsid w:val="6FF98DC7"/>
    <w:rsid w:val="70290C42"/>
    <w:rsid w:val="7033685E"/>
    <w:rsid w:val="70804061"/>
    <w:rsid w:val="708F0AF3"/>
    <w:rsid w:val="70AB00B0"/>
    <w:rsid w:val="70B71B45"/>
    <w:rsid w:val="70D77F30"/>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371F43"/>
    <w:rsid w:val="74493C73"/>
    <w:rsid w:val="74522394"/>
    <w:rsid w:val="74EE6D18"/>
    <w:rsid w:val="75297606"/>
    <w:rsid w:val="75382BF6"/>
    <w:rsid w:val="753D6768"/>
    <w:rsid w:val="758F6E36"/>
    <w:rsid w:val="75FF4979"/>
    <w:rsid w:val="76095450"/>
    <w:rsid w:val="76312E83"/>
    <w:rsid w:val="764F29B0"/>
    <w:rsid w:val="76915D93"/>
    <w:rsid w:val="77162492"/>
    <w:rsid w:val="77902F97"/>
    <w:rsid w:val="77C3206A"/>
    <w:rsid w:val="77DBDE6F"/>
    <w:rsid w:val="77DF2AFE"/>
    <w:rsid w:val="77FF1F97"/>
    <w:rsid w:val="77FF2E04"/>
    <w:rsid w:val="780B1240"/>
    <w:rsid w:val="783111B7"/>
    <w:rsid w:val="785E32E8"/>
    <w:rsid w:val="78622EF5"/>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02D4"/>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655F7C"/>
    <w:rsid w:val="7CB41EA6"/>
    <w:rsid w:val="7CC0228C"/>
    <w:rsid w:val="7CC91C09"/>
    <w:rsid w:val="7CD336D5"/>
    <w:rsid w:val="7D29590B"/>
    <w:rsid w:val="7D6572F5"/>
    <w:rsid w:val="7D7963E5"/>
    <w:rsid w:val="7D7E776D"/>
    <w:rsid w:val="7DC3133B"/>
    <w:rsid w:val="7DF70B05"/>
    <w:rsid w:val="7E1A15E1"/>
    <w:rsid w:val="7E372421"/>
    <w:rsid w:val="7E3F70D4"/>
    <w:rsid w:val="7E493E93"/>
    <w:rsid w:val="7E6BDB6B"/>
    <w:rsid w:val="7EB22415"/>
    <w:rsid w:val="7EB4618D"/>
    <w:rsid w:val="7EB55A72"/>
    <w:rsid w:val="7EDF1915"/>
    <w:rsid w:val="7EF63593"/>
    <w:rsid w:val="7EFF92EA"/>
    <w:rsid w:val="7F231B4A"/>
    <w:rsid w:val="7F380DA1"/>
    <w:rsid w:val="7F5F9F03"/>
    <w:rsid w:val="7F685B5C"/>
    <w:rsid w:val="7F6FD307"/>
    <w:rsid w:val="7F9D0C10"/>
    <w:rsid w:val="7F9E55F2"/>
    <w:rsid w:val="7FB07C4C"/>
    <w:rsid w:val="7FD609C7"/>
    <w:rsid w:val="7FD8DBFE"/>
    <w:rsid w:val="7FDA4409"/>
    <w:rsid w:val="7FDEDE32"/>
    <w:rsid w:val="7FFDA03E"/>
    <w:rsid w:val="7FFEEC0C"/>
    <w:rsid w:val="7FFF0379"/>
    <w:rsid w:val="96BF833A"/>
    <w:rsid w:val="AEDF4C79"/>
    <w:rsid w:val="AFBB9ECD"/>
    <w:rsid w:val="B67F961A"/>
    <w:rsid w:val="BA8DBBEC"/>
    <w:rsid w:val="BBAE1CC0"/>
    <w:rsid w:val="BE351013"/>
    <w:rsid w:val="BEFF6614"/>
    <w:rsid w:val="BFFD5A99"/>
    <w:rsid w:val="C5FFCE4B"/>
    <w:rsid w:val="DAEFBC27"/>
    <w:rsid w:val="DBD34097"/>
    <w:rsid w:val="DF568728"/>
    <w:rsid w:val="E27FFC8E"/>
    <w:rsid w:val="E3EB6EA2"/>
    <w:rsid w:val="EF417816"/>
    <w:rsid w:val="F3BE5D0E"/>
    <w:rsid w:val="F7FF13D8"/>
    <w:rsid w:val="FA78AFAE"/>
    <w:rsid w:val="FD7D5211"/>
    <w:rsid w:val="FFCFCBF6"/>
    <w:rsid w:val="FFEF9F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6">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7">
    <w:name w:val="heading 4"/>
    <w:basedOn w:val="1"/>
    <w:next w:val="1"/>
    <w:link w:val="98"/>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8">
    <w:name w:val="heading 5"/>
    <w:basedOn w:val="1"/>
    <w:next w:val="1"/>
    <w:link w:val="99"/>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9">
    <w:name w:val="heading 6"/>
    <w:basedOn w:val="1"/>
    <w:next w:val="1"/>
    <w:link w:val="100"/>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0">
    <w:name w:val="heading 7"/>
    <w:basedOn w:val="1"/>
    <w:next w:val="1"/>
    <w:link w:val="101"/>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1">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2">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4">
    <w:name w:val="Default Paragraph Font"/>
    <w:semiHidden/>
    <w:unhideWhenUsed/>
    <w:qFormat/>
    <w:uiPriority w:val="1"/>
  </w:style>
  <w:style w:type="table" w:default="1" w:styleId="8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Default"/>
    <w:next w:val="3"/>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styleId="3">
    <w:name w:val="Normal (Web)"/>
    <w:basedOn w:val="1"/>
    <w:next w:val="1"/>
    <w:link w:val="1041"/>
    <w:qFormat/>
    <w:uiPriority w:val="0"/>
    <w:pPr>
      <w:widowControl/>
      <w:spacing w:before="100" w:beforeAutospacing="1" w:after="100" w:afterAutospacing="1"/>
      <w:jc w:val="left"/>
    </w:pPr>
    <w:rPr>
      <w:rFonts w:ascii="宋体" w:hAnsi="宋体"/>
      <w:kern w:val="0"/>
      <w:sz w:val="24"/>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next w:val="16"/>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6">
    <w:name w:val="List Continue 2"/>
    <w:basedOn w:val="1"/>
    <w:qFormat/>
    <w:uiPriority w:val="0"/>
    <w:pPr>
      <w:spacing w:after="120" w:line="360" w:lineRule="auto"/>
      <w:ind w:left="840" w:leftChars="400" w:firstLine="420"/>
    </w:pPr>
    <w:rPr>
      <w:rFonts w:ascii="宋体" w:hAnsi="宋体"/>
    </w:rPr>
  </w:style>
  <w:style w:type="paragraph" w:styleId="17">
    <w:name w:val="table of authorities"/>
    <w:basedOn w:val="18"/>
    <w:next w:val="1"/>
    <w:qFormat/>
    <w:uiPriority w:val="0"/>
    <w:pPr>
      <w:jc w:val="center"/>
    </w:pPr>
    <w:rPr>
      <w:b/>
      <w:bCs/>
      <w:sz w:val="40"/>
      <w:szCs w:val="32"/>
    </w:rPr>
  </w:style>
  <w:style w:type="paragraph" w:customStyle="1" w:styleId="18">
    <w:name w:val="Heading"/>
    <w:basedOn w:val="1"/>
    <w:next w:val="19"/>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9">
    <w:name w:val="Body Text"/>
    <w:basedOn w:val="1"/>
    <w:next w:val="20"/>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20">
    <w:name w:val="Body Text 2"/>
    <w:basedOn w:val="1"/>
    <w:next w:val="19"/>
    <w:link w:val="1039"/>
    <w:qFormat/>
    <w:uiPriority w:val="0"/>
    <w:rPr>
      <w:b/>
      <w:bCs/>
      <w:color w:val="000000"/>
      <w:sz w:val="28"/>
    </w:rPr>
  </w:style>
  <w:style w:type="paragraph" w:styleId="21">
    <w:name w:val="Note Heading"/>
    <w:basedOn w:val="1"/>
    <w:next w:val="1"/>
    <w:link w:val="1021"/>
    <w:qFormat/>
    <w:uiPriority w:val="0"/>
    <w:pPr>
      <w:tabs>
        <w:tab w:val="left" w:pos="840"/>
      </w:tabs>
      <w:spacing w:line="360" w:lineRule="auto"/>
      <w:jc w:val="center"/>
    </w:pPr>
    <w:rPr>
      <w:rFonts w:ascii="宋体" w:hAnsi="宋体"/>
    </w:rPr>
  </w:style>
  <w:style w:type="paragraph" w:styleId="22">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3">
    <w:name w:val="List Number"/>
    <w:basedOn w:val="1"/>
    <w:qFormat/>
    <w:uiPriority w:val="0"/>
    <w:pPr>
      <w:tabs>
        <w:tab w:val="left" w:pos="425"/>
      </w:tabs>
      <w:spacing w:line="300" w:lineRule="auto"/>
      <w:ind w:left="425" w:hanging="425"/>
    </w:pPr>
    <w:rPr>
      <w:rFonts w:ascii="宋体" w:hAnsi="宋体"/>
      <w:b/>
      <w:bCs/>
      <w:sz w:val="24"/>
    </w:rPr>
  </w:style>
  <w:style w:type="paragraph" w:styleId="24">
    <w:name w:val="Normal Indent"/>
    <w:basedOn w:val="1"/>
    <w:link w:val="1022"/>
    <w:qFormat/>
    <w:uiPriority w:val="0"/>
    <w:pPr>
      <w:ind w:firstLine="420" w:firstLineChars="200"/>
    </w:pPr>
  </w:style>
  <w:style w:type="paragraph" w:styleId="25">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6">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7">
    <w:name w:val="List Bullet"/>
    <w:basedOn w:val="1"/>
    <w:qFormat/>
    <w:uiPriority w:val="0"/>
    <w:pPr>
      <w:tabs>
        <w:tab w:val="left" w:pos="400"/>
      </w:tabs>
      <w:spacing w:line="360" w:lineRule="auto"/>
      <w:ind w:left="420" w:leftChars="200" w:firstLine="420"/>
    </w:pPr>
    <w:rPr>
      <w:rFonts w:ascii="Arial" w:hAnsi="Arial"/>
      <w:szCs w:val="21"/>
    </w:rPr>
  </w:style>
  <w:style w:type="paragraph" w:styleId="28">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9">
    <w:name w:val="Document Map"/>
    <w:basedOn w:val="1"/>
    <w:link w:val="1024"/>
    <w:qFormat/>
    <w:uiPriority w:val="99"/>
    <w:pPr>
      <w:shd w:val="clear" w:color="auto" w:fill="000080"/>
    </w:pPr>
  </w:style>
  <w:style w:type="paragraph" w:styleId="30">
    <w:name w:val="annotation text"/>
    <w:basedOn w:val="1"/>
    <w:link w:val="1025"/>
    <w:qFormat/>
    <w:uiPriority w:val="0"/>
    <w:pPr>
      <w:jc w:val="left"/>
    </w:pPr>
    <w:rPr>
      <w:szCs w:val="20"/>
    </w:rPr>
  </w:style>
  <w:style w:type="paragraph" w:styleId="31">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2">
    <w:name w:val="Salutation"/>
    <w:basedOn w:val="1"/>
    <w:next w:val="1"/>
    <w:link w:val="1026"/>
    <w:qFormat/>
    <w:uiPriority w:val="0"/>
    <w:pPr>
      <w:spacing w:line="360" w:lineRule="auto"/>
      <w:ind w:firstLine="420"/>
    </w:pPr>
    <w:rPr>
      <w:kern w:val="0"/>
      <w:sz w:val="24"/>
    </w:rPr>
  </w:style>
  <w:style w:type="paragraph" w:styleId="33">
    <w:name w:val="Body Text 3"/>
    <w:basedOn w:val="1"/>
    <w:link w:val="1027"/>
    <w:qFormat/>
    <w:uiPriority w:val="0"/>
    <w:pPr>
      <w:spacing w:line="440" w:lineRule="atLeast"/>
      <w:jc w:val="center"/>
    </w:pPr>
    <w:rPr>
      <w:rFonts w:ascii="楷体_GB2312" w:eastAsia="楷体_GB2312"/>
      <w:b/>
      <w:color w:val="000000"/>
      <w:sz w:val="30"/>
    </w:rPr>
  </w:style>
  <w:style w:type="paragraph" w:styleId="34">
    <w:name w:val="List Bullet 3"/>
    <w:basedOn w:val="1"/>
    <w:unhideWhenUsed/>
    <w:qFormat/>
    <w:uiPriority w:val="99"/>
    <w:pPr>
      <w:tabs>
        <w:tab w:val="left" w:pos="1200"/>
      </w:tabs>
      <w:ind w:left="900" w:hanging="420"/>
      <w:contextualSpacing/>
    </w:pPr>
    <w:rPr>
      <w:szCs w:val="22"/>
    </w:rPr>
  </w:style>
  <w:style w:type="paragraph" w:styleId="35">
    <w:name w:val="Body Text Indent"/>
    <w:basedOn w:val="1"/>
    <w:next w:val="1"/>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6">
    <w:name w:val="List Number 3"/>
    <w:basedOn w:val="1"/>
    <w:qFormat/>
    <w:uiPriority w:val="0"/>
    <w:pPr>
      <w:tabs>
        <w:tab w:val="left" w:pos="1200"/>
      </w:tabs>
      <w:spacing w:line="360" w:lineRule="auto"/>
    </w:pPr>
    <w:rPr>
      <w:rFonts w:ascii="宋体" w:hAnsi="宋体"/>
      <w:sz w:val="24"/>
    </w:rPr>
  </w:style>
  <w:style w:type="paragraph" w:styleId="37">
    <w:name w:val="List 2"/>
    <w:basedOn w:val="1"/>
    <w:qFormat/>
    <w:uiPriority w:val="0"/>
    <w:pPr>
      <w:ind w:left="100" w:leftChars="200" w:hanging="200" w:hangingChars="200"/>
    </w:pPr>
  </w:style>
  <w:style w:type="paragraph" w:styleId="38">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9">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40">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1">
    <w:name w:val="toc 5"/>
    <w:basedOn w:val="1"/>
    <w:next w:val="1"/>
    <w:qFormat/>
    <w:uiPriority w:val="0"/>
    <w:pPr>
      <w:ind w:left="840"/>
      <w:jc w:val="left"/>
    </w:pPr>
    <w:rPr>
      <w:sz w:val="18"/>
      <w:szCs w:val="18"/>
    </w:rPr>
  </w:style>
  <w:style w:type="paragraph" w:styleId="42">
    <w:name w:val="toc 3"/>
    <w:basedOn w:val="1"/>
    <w:next w:val="1"/>
    <w:qFormat/>
    <w:uiPriority w:val="0"/>
    <w:pPr>
      <w:ind w:left="420"/>
      <w:jc w:val="left"/>
    </w:pPr>
    <w:rPr>
      <w:i/>
      <w:iCs/>
      <w:sz w:val="20"/>
      <w:szCs w:val="20"/>
    </w:rPr>
  </w:style>
  <w:style w:type="paragraph" w:styleId="43">
    <w:name w:val="Plain Text"/>
    <w:basedOn w:val="1"/>
    <w:link w:val="1028"/>
    <w:qFormat/>
    <w:uiPriority w:val="0"/>
    <w:rPr>
      <w:rFonts w:ascii="宋体" w:hAnsi="Courier New"/>
      <w:szCs w:val="20"/>
    </w:rPr>
  </w:style>
  <w:style w:type="paragraph" w:styleId="44">
    <w:name w:val="List Bullet 5"/>
    <w:basedOn w:val="1"/>
    <w:next w:val="45"/>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5">
    <w:name w:val="List Continue 5"/>
    <w:basedOn w:val="1"/>
    <w:qFormat/>
    <w:uiPriority w:val="0"/>
    <w:pPr>
      <w:spacing w:after="120" w:line="360" w:lineRule="auto"/>
      <w:ind w:left="2100" w:leftChars="1000" w:firstLine="420"/>
    </w:pPr>
    <w:rPr>
      <w:rFonts w:ascii="宋体" w:hAnsi="宋体"/>
    </w:rPr>
  </w:style>
  <w:style w:type="paragraph" w:styleId="46">
    <w:name w:val="List Number 4"/>
    <w:basedOn w:val="1"/>
    <w:qFormat/>
    <w:uiPriority w:val="0"/>
    <w:pPr>
      <w:tabs>
        <w:tab w:val="left" w:pos="1620"/>
      </w:tabs>
      <w:spacing w:line="360" w:lineRule="auto"/>
    </w:pPr>
    <w:rPr>
      <w:rFonts w:ascii="宋体" w:hAnsi="宋体"/>
      <w:sz w:val="24"/>
    </w:rPr>
  </w:style>
  <w:style w:type="paragraph" w:styleId="47">
    <w:name w:val="toc 8"/>
    <w:basedOn w:val="1"/>
    <w:next w:val="1"/>
    <w:qFormat/>
    <w:uiPriority w:val="0"/>
    <w:pPr>
      <w:ind w:left="1470"/>
      <w:jc w:val="left"/>
    </w:pPr>
    <w:rPr>
      <w:sz w:val="18"/>
      <w:szCs w:val="18"/>
    </w:rPr>
  </w:style>
  <w:style w:type="paragraph" w:styleId="48">
    <w:name w:val="index 3"/>
    <w:basedOn w:val="49"/>
    <w:next w:val="1"/>
    <w:qFormat/>
    <w:uiPriority w:val="0"/>
    <w:pPr>
      <w:ind w:left="566"/>
    </w:pPr>
  </w:style>
  <w:style w:type="paragraph" w:customStyle="1" w:styleId="49">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50">
    <w:name w:val="Date"/>
    <w:basedOn w:val="1"/>
    <w:next w:val="1"/>
    <w:link w:val="1029"/>
    <w:qFormat/>
    <w:uiPriority w:val="0"/>
    <w:pPr>
      <w:ind w:left="100" w:leftChars="2500"/>
    </w:pPr>
    <w:rPr>
      <w:color w:val="000000"/>
      <w:sz w:val="24"/>
    </w:rPr>
  </w:style>
  <w:style w:type="paragraph" w:styleId="51">
    <w:name w:val="Body Text Indent 2"/>
    <w:basedOn w:val="1"/>
    <w:link w:val="1030"/>
    <w:qFormat/>
    <w:uiPriority w:val="99"/>
    <w:pPr>
      <w:widowControl/>
      <w:spacing w:line="480" w:lineRule="atLeast"/>
      <w:ind w:firstLine="480"/>
    </w:pPr>
    <w:rPr>
      <w:rFonts w:ascii="宋体"/>
      <w:kern w:val="0"/>
      <w:sz w:val="24"/>
      <w:szCs w:val="20"/>
    </w:rPr>
  </w:style>
  <w:style w:type="paragraph" w:styleId="52">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3">
    <w:name w:val="Balloon Text"/>
    <w:basedOn w:val="1"/>
    <w:link w:val="1032"/>
    <w:qFormat/>
    <w:uiPriority w:val="99"/>
    <w:rPr>
      <w:sz w:val="18"/>
      <w:szCs w:val="18"/>
    </w:rPr>
  </w:style>
  <w:style w:type="paragraph" w:styleId="54">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5">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6">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7">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8">
    <w:name w:val="toc 1"/>
    <w:basedOn w:val="1"/>
    <w:next w:val="1"/>
    <w:qFormat/>
    <w:uiPriority w:val="39"/>
    <w:pPr>
      <w:tabs>
        <w:tab w:val="right" w:leader="dot" w:pos="9403"/>
      </w:tabs>
      <w:snapToGrid w:val="0"/>
      <w:spacing w:line="360" w:lineRule="auto"/>
    </w:pPr>
    <w:rPr>
      <w:rFonts w:ascii="Arial" w:hAnsi="Arial"/>
      <w:b/>
      <w:bCs/>
      <w:caps/>
    </w:rPr>
  </w:style>
  <w:style w:type="paragraph" w:styleId="59">
    <w:name w:val="toc 4"/>
    <w:basedOn w:val="1"/>
    <w:next w:val="1"/>
    <w:qFormat/>
    <w:uiPriority w:val="0"/>
    <w:pPr>
      <w:ind w:left="630"/>
      <w:jc w:val="left"/>
    </w:pPr>
    <w:rPr>
      <w:sz w:val="18"/>
      <w:szCs w:val="18"/>
    </w:rPr>
  </w:style>
  <w:style w:type="paragraph" w:styleId="60">
    <w:name w:val="index heading"/>
    <w:basedOn w:val="18"/>
    <w:next w:val="61"/>
    <w:qFormat/>
    <w:uiPriority w:val="0"/>
    <w:rPr>
      <w:b/>
      <w:bCs/>
      <w:sz w:val="32"/>
      <w:szCs w:val="32"/>
    </w:rPr>
  </w:style>
  <w:style w:type="paragraph" w:styleId="61">
    <w:name w:val="index 1"/>
    <w:basedOn w:val="1"/>
    <w:next w:val="1"/>
    <w:qFormat/>
    <w:uiPriority w:val="0"/>
    <w:pPr>
      <w:widowControl/>
      <w:spacing w:line="360" w:lineRule="auto"/>
      <w:jc w:val="center"/>
    </w:pPr>
    <w:rPr>
      <w:rFonts w:ascii="Arial" w:hAnsi="Arial" w:cs="Arial"/>
      <w:kern w:val="0"/>
      <w:sz w:val="24"/>
    </w:rPr>
  </w:style>
  <w:style w:type="paragraph" w:styleId="62">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qFormat/>
    <w:uiPriority w:val="0"/>
    <w:pPr>
      <w:tabs>
        <w:tab w:val="left" w:pos="2040"/>
      </w:tabs>
      <w:spacing w:line="360" w:lineRule="auto"/>
    </w:pPr>
    <w:rPr>
      <w:rFonts w:ascii="宋体" w:hAnsi="宋体"/>
      <w:sz w:val="24"/>
    </w:rPr>
  </w:style>
  <w:style w:type="paragraph" w:styleId="64">
    <w:name w:val="List"/>
    <w:basedOn w:val="1"/>
    <w:qFormat/>
    <w:uiPriority w:val="0"/>
    <w:pPr>
      <w:ind w:left="200" w:hanging="200" w:hangingChars="200"/>
    </w:pPr>
  </w:style>
  <w:style w:type="paragraph" w:styleId="65">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6">
    <w:name w:val="toc 6"/>
    <w:basedOn w:val="1"/>
    <w:next w:val="1"/>
    <w:qFormat/>
    <w:uiPriority w:val="0"/>
    <w:pPr>
      <w:ind w:left="1050"/>
      <w:jc w:val="left"/>
    </w:pPr>
    <w:rPr>
      <w:sz w:val="18"/>
      <w:szCs w:val="18"/>
    </w:rPr>
  </w:style>
  <w:style w:type="paragraph" w:styleId="67">
    <w:name w:val="List 5"/>
    <w:basedOn w:val="1"/>
    <w:qFormat/>
    <w:uiPriority w:val="0"/>
    <w:pPr>
      <w:ind w:left="100" w:leftChars="800" w:hanging="200" w:hangingChars="200"/>
    </w:pPr>
    <w:rPr>
      <w:szCs w:val="20"/>
    </w:rPr>
  </w:style>
  <w:style w:type="paragraph" w:styleId="68">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9">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70">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1">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2">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3">
    <w:name w:val="toc 9"/>
    <w:basedOn w:val="1"/>
    <w:next w:val="1"/>
    <w:qFormat/>
    <w:uiPriority w:val="0"/>
    <w:pPr>
      <w:ind w:left="1680"/>
      <w:jc w:val="left"/>
    </w:pPr>
    <w:rPr>
      <w:sz w:val="18"/>
      <w:szCs w:val="18"/>
    </w:rPr>
  </w:style>
  <w:style w:type="paragraph" w:styleId="74">
    <w:name w:val="List 4"/>
    <w:basedOn w:val="1"/>
    <w:qFormat/>
    <w:uiPriority w:val="0"/>
    <w:pPr>
      <w:ind w:left="100" w:leftChars="600" w:hanging="200" w:hangingChars="200"/>
    </w:pPr>
    <w:rPr>
      <w:szCs w:val="20"/>
    </w:rPr>
  </w:style>
  <w:style w:type="paragraph" w:styleId="75">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index 2"/>
    <w:basedOn w:val="49"/>
    <w:next w:val="1"/>
    <w:qFormat/>
    <w:uiPriority w:val="0"/>
    <w:pPr>
      <w:ind w:left="283"/>
    </w:pPr>
  </w:style>
  <w:style w:type="paragraph" w:styleId="77">
    <w:name w:val="Title"/>
    <w:basedOn w:val="1"/>
    <w:next w:val="1"/>
    <w:link w:val="1042"/>
    <w:qFormat/>
    <w:uiPriority w:val="10"/>
    <w:pPr>
      <w:jc w:val="center"/>
    </w:pPr>
    <w:rPr>
      <w:sz w:val="30"/>
    </w:rPr>
  </w:style>
  <w:style w:type="paragraph" w:styleId="78">
    <w:name w:val="annotation subject"/>
    <w:basedOn w:val="30"/>
    <w:next w:val="30"/>
    <w:link w:val="1043"/>
    <w:qFormat/>
    <w:uiPriority w:val="0"/>
    <w:rPr>
      <w:b/>
      <w:bCs/>
    </w:rPr>
  </w:style>
  <w:style w:type="paragraph" w:styleId="79">
    <w:name w:val="Body Text First Indent"/>
    <w:basedOn w:val="19"/>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80">
    <w:name w:val="Body Text First Indent 2"/>
    <w:basedOn w:val="35"/>
    <w:next w:val="64"/>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2">
    <w:name w:val="Table Grid"/>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Elegant"/>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5">
    <w:name w:val="Strong"/>
    <w:qFormat/>
    <w:uiPriority w:val="0"/>
    <w:rPr>
      <w:b/>
    </w:rPr>
  </w:style>
  <w:style w:type="character" w:styleId="86">
    <w:name w:val="page number"/>
    <w:qFormat/>
    <w:uiPriority w:val="0"/>
    <w:rPr>
      <w:rFonts w:eastAsia="Arial"/>
    </w:rPr>
  </w:style>
  <w:style w:type="character" w:styleId="87">
    <w:name w:val="FollowedHyperlink"/>
    <w:qFormat/>
    <w:uiPriority w:val="0"/>
    <w:rPr>
      <w:color w:val="800080"/>
      <w:u w:val="single"/>
    </w:rPr>
  </w:style>
  <w:style w:type="character" w:styleId="88">
    <w:name w:val="Emphasis"/>
    <w:qFormat/>
    <w:uiPriority w:val="0"/>
    <w:rPr>
      <w:color w:val="CC0033"/>
    </w:rPr>
  </w:style>
  <w:style w:type="character" w:styleId="89">
    <w:name w:val="HTML Definition"/>
    <w:qFormat/>
    <w:uiPriority w:val="0"/>
  </w:style>
  <w:style w:type="character" w:styleId="90">
    <w:name w:val="HTML Variable"/>
    <w:qFormat/>
    <w:uiPriority w:val="0"/>
  </w:style>
  <w:style w:type="character" w:styleId="91">
    <w:name w:val="Hyperlink"/>
    <w:qFormat/>
    <w:uiPriority w:val="99"/>
    <w:rPr>
      <w:color w:val="0000FF"/>
      <w:u w:val="single"/>
    </w:rPr>
  </w:style>
  <w:style w:type="character" w:styleId="92">
    <w:name w:val="HTML Code"/>
    <w:qFormat/>
    <w:uiPriority w:val="0"/>
    <w:rPr>
      <w:rFonts w:ascii="Courier New" w:hAnsi="Courier New" w:eastAsia="Courier New" w:cs="Courier New"/>
      <w:sz w:val="20"/>
    </w:rPr>
  </w:style>
  <w:style w:type="character" w:styleId="93">
    <w:name w:val="annotation reference"/>
    <w:basedOn w:val="84"/>
    <w:qFormat/>
    <w:uiPriority w:val="0"/>
    <w:rPr>
      <w:sz w:val="21"/>
      <w:szCs w:val="21"/>
    </w:rPr>
  </w:style>
  <w:style w:type="character" w:styleId="94">
    <w:name w:val="HTML Cite"/>
    <w:qFormat/>
    <w:uiPriority w:val="0"/>
  </w:style>
  <w:style w:type="character" w:styleId="95">
    <w:name w:val="footnote reference"/>
    <w:qFormat/>
    <w:uiPriority w:val="0"/>
    <w:rPr>
      <w:vertAlign w:val="superscript"/>
    </w:rPr>
  </w:style>
  <w:style w:type="character" w:styleId="96">
    <w:name w:val="HTML Keyboard"/>
    <w:qFormat/>
    <w:uiPriority w:val="0"/>
    <w:rPr>
      <w:rFonts w:ascii="Courier New" w:hAnsi="Courier New" w:eastAsia="Courier New" w:cs="Courier New"/>
      <w:sz w:val="20"/>
    </w:rPr>
  </w:style>
  <w:style w:type="character" w:styleId="97">
    <w:name w:val="HTML Sample"/>
    <w:qFormat/>
    <w:uiPriority w:val="0"/>
    <w:rPr>
      <w:rFonts w:ascii="Courier New" w:hAnsi="Courier New" w:eastAsia="Courier New" w:cs="Courier New"/>
      <w:sz w:val="16"/>
      <w:szCs w:val="0"/>
    </w:rPr>
  </w:style>
  <w:style w:type="character" w:customStyle="1" w:styleId="98">
    <w:name w:val="标题 4 字符"/>
    <w:link w:val="7"/>
    <w:qFormat/>
    <w:uiPriority w:val="9"/>
    <w:rPr>
      <w:rFonts w:ascii="Arial" w:hAnsi="Arial"/>
      <w:sz w:val="21"/>
      <w:szCs w:val="24"/>
    </w:rPr>
  </w:style>
  <w:style w:type="character" w:customStyle="1" w:styleId="99">
    <w:name w:val="标题 5 字符"/>
    <w:link w:val="8"/>
    <w:qFormat/>
    <w:uiPriority w:val="0"/>
    <w:rPr>
      <w:rFonts w:ascii="宋体" w:hAnsi="宋体"/>
      <w:b/>
      <w:bCs/>
      <w:kern w:val="2"/>
      <w:sz w:val="28"/>
      <w:szCs w:val="24"/>
    </w:rPr>
  </w:style>
  <w:style w:type="character" w:customStyle="1" w:styleId="100">
    <w:name w:val="标题 6 字符"/>
    <w:link w:val="9"/>
    <w:qFormat/>
    <w:uiPriority w:val="0"/>
    <w:rPr>
      <w:rFonts w:ascii="Arial" w:hAnsi="Arial"/>
      <w:b/>
      <w:bCs/>
      <w:kern w:val="2"/>
      <w:sz w:val="24"/>
      <w:szCs w:val="24"/>
    </w:rPr>
  </w:style>
  <w:style w:type="character" w:customStyle="1" w:styleId="101">
    <w:name w:val="标题 7 字符"/>
    <w:link w:val="10"/>
    <w:qFormat/>
    <w:uiPriority w:val="0"/>
    <w:rPr>
      <w:rFonts w:ascii="宋体" w:hAnsi="宋体"/>
      <w:b/>
      <w:bCs/>
      <w:kern w:val="2"/>
      <w:sz w:val="21"/>
      <w:szCs w:val="24"/>
    </w:rPr>
  </w:style>
  <w:style w:type="paragraph" w:customStyle="1" w:styleId="102">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3">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4">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5">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6">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7">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8">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9">
    <w:name w:val="blithe2"/>
    <w:basedOn w:val="19"/>
    <w:next w:val="80"/>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10">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1">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2">
    <w:name w:val="*Bullet #1 Single"/>
    <w:basedOn w:val="113"/>
    <w:link w:val="1090"/>
    <w:qFormat/>
    <w:uiPriority w:val="0"/>
    <w:pPr>
      <w:tabs>
        <w:tab w:val="left" w:pos="1080"/>
      </w:tabs>
      <w:ind w:left="950" w:hanging="230"/>
    </w:pPr>
    <w:rPr>
      <w:rFonts w:ascii="Arial" w:hAnsi="Arial"/>
      <w:color w:val="000000"/>
      <w:sz w:val="20"/>
    </w:rPr>
  </w:style>
  <w:style w:type="paragraph" w:customStyle="1" w:styleId="113">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4">
    <w:name w:val="*Heading 3"/>
    <w:next w:val="113"/>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5">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6">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7">
    <w:name w:val="样式5"/>
    <w:basedOn w:val="1"/>
    <w:link w:val="1105"/>
    <w:qFormat/>
    <w:uiPriority w:val="0"/>
    <w:pPr>
      <w:spacing w:line="360" w:lineRule="auto"/>
      <w:ind w:firstLine="480" w:firstLineChars="200"/>
    </w:pPr>
    <w:rPr>
      <w:rFonts w:ascii="宋体" w:hAnsi="宋体"/>
      <w:sz w:val="24"/>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8"/>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9"/>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3"/>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5"/>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79"/>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5"/>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6"/>
    <w:next w:val="56"/>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6"/>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4"/>
    <w:next w:val="5"/>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6"/>
    <w:next w:val="116"/>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7"/>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2"/>
    <w:next w:val="2"/>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9"/>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8"/>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9"/>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7"/>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8"/>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4"/>
    <w:qFormat/>
    <w:uiPriority w:val="0"/>
    <w:pPr>
      <w:widowControl/>
      <w:spacing w:afterLines="50" w:line="360" w:lineRule="auto"/>
      <w:ind w:firstLine="480"/>
      <w:jc w:val="left"/>
    </w:pPr>
    <w:rPr>
      <w:kern w:val="0"/>
      <w:sz w:val="24"/>
      <w:szCs w:val="20"/>
    </w:rPr>
  </w:style>
  <w:style w:type="paragraph" w:customStyle="1" w:styleId="210">
    <w:name w:val="*Table/Graphics Caption"/>
    <w:basedOn w:val="113"/>
    <w:next w:val="113"/>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6"/>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5"/>
    <w:next w:val="24"/>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5"/>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4"/>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9"/>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3"/>
    <w:qFormat/>
    <w:uiPriority w:val="0"/>
    <w:pPr>
      <w:spacing w:after="220" w:line="220" w:lineRule="atLeast"/>
    </w:pPr>
    <w:rPr>
      <w:color w:val="00637A"/>
    </w:rPr>
  </w:style>
  <w:style w:type="paragraph" w:customStyle="1" w:styleId="230">
    <w:name w:val="样式 标题 3H3Heading 3 - oldH31H32H33H34H35H36H37H38H39H...1"/>
    <w:basedOn w:val="6"/>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3"/>
    <w:qFormat/>
    <w:uiPriority w:val="0"/>
    <w:pPr>
      <w:tabs>
        <w:tab w:val="left" w:pos="1440"/>
      </w:tabs>
      <w:outlineLvl w:val="2"/>
    </w:pPr>
  </w:style>
  <w:style w:type="paragraph" w:customStyle="1" w:styleId="232">
    <w:name w:val="*SOW 1"/>
    <w:next w:val="113"/>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3"/>
    <w:next w:val="113"/>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5"/>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9"/>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2"/>
    <w:next w:val="2"/>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5"/>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7"/>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5"/>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2"/>
    <w:next w:val="2"/>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7"/>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3"/>
    <w:next w:val="113"/>
    <w:qFormat/>
    <w:uiPriority w:val="0"/>
    <w:pPr>
      <w:keepNext/>
      <w:keepLines/>
      <w:spacing w:before="240" w:after="120"/>
      <w:outlineLvl w:val="1"/>
    </w:pPr>
    <w:rPr>
      <w:rFonts w:ascii="Verdana" w:hAnsi="Verdana"/>
      <w:b/>
      <w:sz w:val="36"/>
      <w:szCs w:val="32"/>
    </w:rPr>
  </w:style>
  <w:style w:type="paragraph" w:customStyle="1" w:styleId="286">
    <w:name w:val="新增"/>
    <w:basedOn w:val="7"/>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9"/>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3"/>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3"/>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5"/>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5"/>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9"/>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6"/>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3"/>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5"/>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7"/>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4"/>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9"/>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9"/>
    <w:qFormat/>
    <w:uiPriority w:val="0"/>
    <w:pPr>
      <w:tabs>
        <w:tab w:val="right" w:leader="dot" w:pos="9746"/>
      </w:tabs>
      <w:ind w:left="2547"/>
    </w:pPr>
  </w:style>
  <w:style w:type="paragraph" w:customStyle="1" w:styleId="355">
    <w:name w:val="技术标题1"/>
    <w:basedOn w:val="7"/>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5"/>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3"/>
    <w:qFormat/>
    <w:uiPriority w:val="0"/>
    <w:pPr>
      <w:spacing w:before="240" w:after="240" w:line="240" w:lineRule="auto"/>
    </w:pPr>
    <w:rPr>
      <w:color w:val="00637A"/>
      <w:sz w:val="36"/>
      <w:szCs w:val="36"/>
    </w:rPr>
  </w:style>
  <w:style w:type="paragraph" w:customStyle="1" w:styleId="363">
    <w:name w:val="说明"/>
    <w:basedOn w:val="4"/>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2"/>
    <w:next w:val="2"/>
    <w:qFormat/>
    <w:uiPriority w:val="0"/>
    <w:pPr>
      <w:spacing w:before="60" w:after="60"/>
    </w:pPr>
    <w:rPr>
      <w:rFonts w:ascii="Futura-Heavy" w:hAnsi="Futura-Heavy" w:eastAsia="宋体" w:cs="Times New Roman"/>
      <w:color w:val="auto"/>
    </w:rPr>
  </w:style>
  <w:style w:type="paragraph" w:customStyle="1" w:styleId="372">
    <w:name w:val="_HP Table Body 8 pt"/>
    <w:basedOn w:val="2"/>
    <w:next w:val="2"/>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9"/>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5"/>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4"/>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6"/>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5"/>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4"/>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9"/>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2"/>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9"/>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9"/>
    <w:next w:val="80"/>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4"/>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9"/>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5"/>
    <w:qFormat/>
    <w:uiPriority w:val="0"/>
    <w:pPr>
      <w:spacing w:after="0"/>
      <w:ind w:firstLine="0"/>
    </w:pPr>
  </w:style>
  <w:style w:type="paragraph" w:customStyle="1" w:styleId="465">
    <w:name w:val="User Index 2"/>
    <w:basedOn w:val="49"/>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8"/>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3"/>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9"/>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2"/>
    <w:next w:val="2"/>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4"/>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4"/>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8"/>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6"/>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2"/>
    <w:next w:val="2"/>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4"/>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4"/>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9"/>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3"/>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72"/>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8"/>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3"/>
    <w:next w:val="113"/>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3"/>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72"/>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9"/>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2"/>
    <w:next w:val="2"/>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3"/>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7"/>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7"/>
    <w:next w:val="126"/>
    <w:qFormat/>
    <w:uiPriority w:val="0"/>
    <w:rPr>
      <w:rFonts w:ascii="Times New Roman"/>
    </w:rPr>
  </w:style>
  <w:style w:type="paragraph" w:customStyle="1" w:styleId="640">
    <w:name w:val="样式 正文文本缩进 + 左  0 字符"/>
    <w:basedOn w:val="35"/>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5"/>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9"/>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9"/>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5"/>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5"/>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4"/>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7"/>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3"/>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3"/>
    <w:next w:val="113"/>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6"/>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3"/>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8"/>
    <w:next w:val="19"/>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9"/>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9"/>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9"/>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8"/>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4"/>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6"/>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4"/>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6"/>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4"/>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4"/>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5"/>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5"/>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5"/>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4"/>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9"/>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3"/>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3"/>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4"/>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4"/>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9"/>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5"/>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4"/>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9"/>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4"/>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6"/>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4"/>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9"/>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4"/>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8"/>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3"/>
    <w:qFormat/>
    <w:uiPriority w:val="0"/>
    <w:pPr>
      <w:outlineLvl w:val="3"/>
    </w:pPr>
  </w:style>
  <w:style w:type="paragraph" w:customStyle="1" w:styleId="896">
    <w:name w:val="样式4"/>
    <w:basedOn w:val="54"/>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9"/>
    <w:qFormat/>
    <w:uiPriority w:val="0"/>
    <w:pPr>
      <w:tabs>
        <w:tab w:val="right" w:leader="dot" w:pos="9746"/>
      </w:tabs>
    </w:pPr>
  </w:style>
  <w:style w:type="paragraph" w:customStyle="1" w:styleId="898">
    <w:name w:val="样式 标题 3 + (西文) Verdana"/>
    <w:basedOn w:val="6"/>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3"/>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2"/>
    <w:next w:val="2"/>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4"/>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6"/>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4"/>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3"/>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8"/>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4"/>
    <w:qFormat/>
    <w:uiPriority w:val="0"/>
    <w:pPr>
      <w:widowControl/>
      <w:spacing w:afterLines="50" w:line="360" w:lineRule="auto"/>
      <w:ind w:firstLine="480"/>
      <w:jc w:val="left"/>
    </w:pPr>
  </w:style>
  <w:style w:type="paragraph" w:customStyle="1" w:styleId="944">
    <w:name w:val="Char Char2"/>
    <w:basedOn w:val="29"/>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5"/>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3"/>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9"/>
    <w:qFormat/>
    <w:uiPriority w:val="0"/>
    <w:pPr>
      <w:spacing w:line="360" w:lineRule="auto"/>
      <w:ind w:firstLine="420"/>
    </w:pPr>
    <w:rPr>
      <w:rFonts w:ascii="Tahoma" w:hAnsi="Tahoma"/>
      <w:kern w:val="0"/>
      <w:sz w:val="24"/>
    </w:rPr>
  </w:style>
  <w:style w:type="paragraph" w:customStyle="1" w:styleId="951">
    <w:name w:val="Horizontal Line"/>
    <w:basedOn w:val="1"/>
    <w:next w:val="19"/>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4"/>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2"/>
    <w:next w:val="2"/>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5"/>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6"/>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9"/>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6"/>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2"/>
    <w:next w:val="2"/>
    <w:qFormat/>
    <w:uiPriority w:val="0"/>
    <w:pPr>
      <w:spacing w:after="240"/>
    </w:pPr>
    <w:rPr>
      <w:rFonts w:ascii="Futura-Book" w:hAnsi="Futura-Book" w:eastAsia="宋体" w:cs="Times New Roman"/>
      <w:color w:val="auto"/>
    </w:rPr>
  </w:style>
  <w:style w:type="paragraph" w:customStyle="1" w:styleId="1001">
    <w:name w:val="4级"/>
    <w:basedOn w:val="7"/>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字符"/>
    <w:link w:val="35"/>
    <w:qFormat/>
    <w:uiPriority w:val="0"/>
    <w:rPr>
      <w:rFonts w:ascii="宋体"/>
      <w:sz w:val="24"/>
    </w:rPr>
  </w:style>
  <w:style w:type="character" w:customStyle="1" w:styleId="1014">
    <w:name w:val="标题 1 字符"/>
    <w:link w:val="4"/>
    <w:qFormat/>
    <w:uiPriority w:val="0"/>
    <w:rPr>
      <w:rFonts w:ascii="Arial" w:hAnsi="Arial" w:eastAsia="华文中宋"/>
      <w:b/>
      <w:color w:val="000000"/>
      <w:kern w:val="2"/>
      <w:sz w:val="32"/>
      <w:szCs w:val="24"/>
    </w:rPr>
  </w:style>
  <w:style w:type="character" w:customStyle="1" w:styleId="1015">
    <w:name w:val="标题 2 字符"/>
    <w:link w:val="5"/>
    <w:qFormat/>
    <w:uiPriority w:val="0"/>
    <w:rPr>
      <w:rFonts w:ascii="Arial" w:hAnsi="Arial"/>
      <w:b/>
      <w:bCs/>
      <w:kern w:val="2"/>
      <w:sz w:val="21"/>
      <w:szCs w:val="32"/>
    </w:rPr>
  </w:style>
  <w:style w:type="character" w:customStyle="1" w:styleId="1016">
    <w:name w:val="标题 3 字符"/>
    <w:link w:val="6"/>
    <w:qFormat/>
    <w:uiPriority w:val="9"/>
    <w:rPr>
      <w:rFonts w:ascii="Arial" w:hAnsi="Arial"/>
      <w:b/>
      <w:kern w:val="2"/>
      <w:sz w:val="21"/>
    </w:rPr>
  </w:style>
  <w:style w:type="character" w:customStyle="1" w:styleId="1017">
    <w:name w:val="标题 8 字符"/>
    <w:link w:val="11"/>
    <w:qFormat/>
    <w:uiPriority w:val="0"/>
    <w:rPr>
      <w:rFonts w:ascii="Arial" w:hAnsi="Arial" w:eastAsia="黑体"/>
      <w:kern w:val="2"/>
      <w:sz w:val="24"/>
      <w:szCs w:val="24"/>
    </w:rPr>
  </w:style>
  <w:style w:type="character" w:customStyle="1" w:styleId="1018">
    <w:name w:val="标题 9 字符"/>
    <w:link w:val="12"/>
    <w:qFormat/>
    <w:uiPriority w:val="0"/>
    <w:rPr>
      <w:rFonts w:ascii="Arial" w:hAnsi="Arial" w:eastAsia="黑体"/>
      <w:kern w:val="2"/>
      <w:sz w:val="21"/>
      <w:szCs w:val="21"/>
    </w:rPr>
  </w:style>
  <w:style w:type="character" w:customStyle="1" w:styleId="1019">
    <w:name w:val="正文文本 字符"/>
    <w:link w:val="19"/>
    <w:qFormat/>
    <w:uiPriority w:val="0"/>
    <w:rPr>
      <w:rFonts w:ascii="仿宋_GB2312" w:eastAsia="仿宋_GB2312"/>
      <w:sz w:val="28"/>
    </w:rPr>
  </w:style>
  <w:style w:type="character" w:customStyle="1" w:styleId="1020">
    <w:name w:val="正文文本首行缩进 字符"/>
    <w:link w:val="79"/>
    <w:qFormat/>
    <w:uiPriority w:val="0"/>
    <w:rPr>
      <w:kern w:val="2"/>
      <w:sz w:val="21"/>
    </w:rPr>
  </w:style>
  <w:style w:type="character" w:customStyle="1" w:styleId="1021">
    <w:name w:val="注释标题 字符"/>
    <w:link w:val="21"/>
    <w:qFormat/>
    <w:uiPriority w:val="0"/>
    <w:rPr>
      <w:rFonts w:ascii="宋体" w:hAnsi="宋体"/>
      <w:kern w:val="2"/>
      <w:sz w:val="21"/>
      <w:szCs w:val="24"/>
    </w:rPr>
  </w:style>
  <w:style w:type="character" w:customStyle="1" w:styleId="1022">
    <w:name w:val="正文缩进 字符"/>
    <w:link w:val="24"/>
    <w:qFormat/>
    <w:uiPriority w:val="0"/>
    <w:rPr>
      <w:rFonts w:eastAsia="宋体"/>
      <w:kern w:val="2"/>
      <w:sz w:val="21"/>
      <w:szCs w:val="24"/>
      <w:lang w:val="en-US" w:eastAsia="zh-CN" w:bidi="ar-SA"/>
    </w:rPr>
  </w:style>
  <w:style w:type="character" w:customStyle="1" w:styleId="1023">
    <w:name w:val="题注 字符"/>
    <w:link w:val="25"/>
    <w:qFormat/>
    <w:uiPriority w:val="0"/>
    <w:rPr>
      <w:rFonts w:ascii="Arial" w:hAnsi="Arial" w:eastAsia="黑体" w:cs="Arial"/>
    </w:rPr>
  </w:style>
  <w:style w:type="character" w:customStyle="1" w:styleId="1024">
    <w:name w:val="文档结构图 字符"/>
    <w:link w:val="29"/>
    <w:qFormat/>
    <w:uiPriority w:val="99"/>
    <w:rPr>
      <w:kern w:val="2"/>
      <w:sz w:val="21"/>
      <w:szCs w:val="24"/>
      <w:shd w:val="clear" w:color="auto" w:fill="000080"/>
    </w:rPr>
  </w:style>
  <w:style w:type="character" w:customStyle="1" w:styleId="1025">
    <w:name w:val="批注文字 字符"/>
    <w:link w:val="30"/>
    <w:qFormat/>
    <w:uiPriority w:val="0"/>
    <w:rPr>
      <w:kern w:val="2"/>
      <w:sz w:val="21"/>
    </w:rPr>
  </w:style>
  <w:style w:type="character" w:customStyle="1" w:styleId="1026">
    <w:name w:val="称呼 字符"/>
    <w:link w:val="32"/>
    <w:qFormat/>
    <w:uiPriority w:val="0"/>
    <w:rPr>
      <w:sz w:val="24"/>
      <w:szCs w:val="24"/>
    </w:rPr>
  </w:style>
  <w:style w:type="character" w:customStyle="1" w:styleId="1027">
    <w:name w:val="正文文本 3 字符"/>
    <w:link w:val="33"/>
    <w:qFormat/>
    <w:uiPriority w:val="0"/>
    <w:rPr>
      <w:rFonts w:ascii="楷体_GB2312" w:eastAsia="楷体_GB2312"/>
      <w:b/>
      <w:color w:val="000000"/>
      <w:kern w:val="2"/>
      <w:sz w:val="30"/>
      <w:szCs w:val="24"/>
    </w:rPr>
  </w:style>
  <w:style w:type="character" w:customStyle="1" w:styleId="1028">
    <w:name w:val="纯文本 字符"/>
    <w:link w:val="43"/>
    <w:qFormat/>
    <w:uiPriority w:val="0"/>
    <w:rPr>
      <w:rFonts w:ascii="宋体" w:hAnsi="Courier New" w:eastAsia="宋体"/>
      <w:kern w:val="2"/>
      <w:sz w:val="21"/>
      <w:lang w:val="en-US" w:eastAsia="zh-CN" w:bidi="ar-SA"/>
    </w:rPr>
  </w:style>
  <w:style w:type="character" w:customStyle="1" w:styleId="1029">
    <w:name w:val="日期 字符"/>
    <w:link w:val="50"/>
    <w:qFormat/>
    <w:uiPriority w:val="0"/>
    <w:rPr>
      <w:color w:val="000000"/>
      <w:kern w:val="2"/>
      <w:sz w:val="24"/>
      <w:szCs w:val="24"/>
    </w:rPr>
  </w:style>
  <w:style w:type="character" w:customStyle="1" w:styleId="1030">
    <w:name w:val="正文文本缩进 2 字符"/>
    <w:link w:val="51"/>
    <w:qFormat/>
    <w:uiPriority w:val="99"/>
    <w:rPr>
      <w:rFonts w:ascii="宋体"/>
      <w:sz w:val="24"/>
    </w:rPr>
  </w:style>
  <w:style w:type="character" w:customStyle="1" w:styleId="1031">
    <w:name w:val="尾注文本 字符"/>
    <w:link w:val="52"/>
    <w:qFormat/>
    <w:uiPriority w:val="0"/>
    <w:rPr>
      <w:rFonts w:ascii="Arial" w:hAnsi="Arial" w:eastAsia="PMingLiU"/>
      <w:lang w:val="en-GB" w:eastAsia="zh-TW"/>
    </w:rPr>
  </w:style>
  <w:style w:type="character" w:customStyle="1" w:styleId="1032">
    <w:name w:val="批注框文本 字符"/>
    <w:link w:val="53"/>
    <w:qFormat/>
    <w:uiPriority w:val="99"/>
    <w:rPr>
      <w:kern w:val="2"/>
      <w:sz w:val="18"/>
      <w:szCs w:val="18"/>
    </w:rPr>
  </w:style>
  <w:style w:type="character" w:customStyle="1" w:styleId="1033">
    <w:name w:val="页脚 字符"/>
    <w:link w:val="54"/>
    <w:qFormat/>
    <w:uiPriority w:val="99"/>
    <w:rPr>
      <w:rFonts w:eastAsia="宋体"/>
      <w:kern w:val="2"/>
      <w:sz w:val="18"/>
      <w:szCs w:val="18"/>
      <w:lang w:val="en-US" w:eastAsia="zh-CN" w:bidi="ar-SA"/>
    </w:rPr>
  </w:style>
  <w:style w:type="character" w:customStyle="1" w:styleId="1034">
    <w:name w:val="页眉 字符"/>
    <w:link w:val="56"/>
    <w:qFormat/>
    <w:uiPriority w:val="99"/>
    <w:rPr>
      <w:rFonts w:eastAsia="宋体"/>
      <w:kern w:val="2"/>
      <w:sz w:val="18"/>
      <w:szCs w:val="18"/>
      <w:lang w:val="en-US" w:eastAsia="zh-CN" w:bidi="ar-SA"/>
    </w:rPr>
  </w:style>
  <w:style w:type="character" w:customStyle="1" w:styleId="1035">
    <w:name w:val="签名 字符"/>
    <w:link w:val="57"/>
    <w:qFormat/>
    <w:uiPriority w:val="0"/>
    <w:rPr>
      <w:rFonts w:ascii="Arial" w:hAnsi="Arial" w:eastAsia="PMingLiU"/>
      <w:lang w:val="en-GB" w:eastAsia="zh-TW"/>
    </w:rPr>
  </w:style>
  <w:style w:type="character" w:customStyle="1" w:styleId="1036">
    <w:name w:val="副标题 字符"/>
    <w:link w:val="62"/>
    <w:qFormat/>
    <w:uiPriority w:val="0"/>
    <w:rPr>
      <w:rFonts w:ascii="Cambria" w:hAnsi="Cambria" w:eastAsia="宋体"/>
      <w:b/>
      <w:bCs/>
      <w:kern w:val="28"/>
      <w:sz w:val="32"/>
      <w:szCs w:val="32"/>
      <w:lang w:val="en-US" w:eastAsia="zh-CN" w:bidi="ar-SA"/>
    </w:rPr>
  </w:style>
  <w:style w:type="character" w:customStyle="1" w:styleId="1037">
    <w:name w:val="脚注文本 字符"/>
    <w:link w:val="65"/>
    <w:qFormat/>
    <w:uiPriority w:val="0"/>
    <w:rPr>
      <w:rFonts w:ascii="Arial" w:hAnsi="Arial"/>
      <w:lang w:eastAsia="en-US"/>
    </w:rPr>
  </w:style>
  <w:style w:type="character" w:customStyle="1" w:styleId="1038">
    <w:name w:val="正文文本缩进 3 字符"/>
    <w:link w:val="68"/>
    <w:qFormat/>
    <w:locked/>
    <w:uiPriority w:val="99"/>
    <w:rPr>
      <w:rFonts w:eastAsia="黑体"/>
      <w:color w:val="000000"/>
      <w:kern w:val="2"/>
      <w:sz w:val="24"/>
      <w:szCs w:val="24"/>
    </w:rPr>
  </w:style>
  <w:style w:type="character" w:customStyle="1" w:styleId="1039">
    <w:name w:val="正文文本 2 字符"/>
    <w:link w:val="20"/>
    <w:qFormat/>
    <w:uiPriority w:val="0"/>
    <w:rPr>
      <w:b/>
      <w:bCs/>
      <w:color w:val="000000"/>
      <w:kern w:val="2"/>
      <w:sz w:val="28"/>
      <w:szCs w:val="24"/>
    </w:rPr>
  </w:style>
  <w:style w:type="character" w:customStyle="1" w:styleId="1040">
    <w:name w:val="HTML 预设格式 字符"/>
    <w:link w:val="75"/>
    <w:qFormat/>
    <w:uiPriority w:val="0"/>
    <w:rPr>
      <w:rFonts w:ascii="宋体" w:hAnsi="宋体" w:cs="宋体"/>
      <w:sz w:val="24"/>
      <w:szCs w:val="24"/>
    </w:rPr>
  </w:style>
  <w:style w:type="character" w:customStyle="1" w:styleId="1041">
    <w:name w:val="普通(网站) 字符"/>
    <w:link w:val="3"/>
    <w:qFormat/>
    <w:uiPriority w:val="0"/>
    <w:rPr>
      <w:rFonts w:ascii="宋体" w:hAnsi="宋体"/>
      <w:sz w:val="24"/>
      <w:szCs w:val="24"/>
    </w:rPr>
  </w:style>
  <w:style w:type="character" w:customStyle="1" w:styleId="1042">
    <w:name w:val="标题 字符"/>
    <w:link w:val="77"/>
    <w:qFormat/>
    <w:uiPriority w:val="10"/>
    <w:rPr>
      <w:kern w:val="2"/>
      <w:sz w:val="30"/>
      <w:szCs w:val="24"/>
    </w:rPr>
  </w:style>
  <w:style w:type="character" w:customStyle="1" w:styleId="1043">
    <w:name w:val="批注主题 字符"/>
    <w:link w:val="78"/>
    <w:qFormat/>
    <w:uiPriority w:val="0"/>
    <w:rPr>
      <w:b/>
      <w:bCs/>
      <w:kern w:val="2"/>
      <w:sz w:val="21"/>
    </w:rPr>
  </w:style>
  <w:style w:type="character" w:customStyle="1" w:styleId="1044">
    <w:name w:val="正文文本首行缩进 2 字符"/>
    <w:link w:val="80"/>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2"/>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3"/>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4"/>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5"/>
    <w:qFormat/>
    <w:uiPriority w:val="0"/>
    <w:rPr>
      <w:rFonts w:ascii="Arial" w:hAnsi="Arial"/>
      <w:color w:val="000000"/>
      <w:sz w:val="21"/>
      <w:lang w:eastAsia="en-US"/>
    </w:rPr>
  </w:style>
  <w:style w:type="character" w:customStyle="1" w:styleId="1073">
    <w:name w:val="图形题注 Char"/>
    <w:link w:val="106"/>
    <w:qFormat/>
    <w:uiPriority w:val="0"/>
    <w:rPr>
      <w:rFonts w:hAnsi="宋体"/>
      <w:spacing w:val="10"/>
      <w:sz w:val="24"/>
      <w:szCs w:val="24"/>
    </w:rPr>
  </w:style>
  <w:style w:type="character" w:customStyle="1" w:styleId="1074">
    <w:name w:val="*Body Text Char Char Char Char"/>
    <w:link w:val="107"/>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8"/>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9"/>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10"/>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1"/>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2"/>
    <w:qFormat/>
    <w:uiPriority w:val="0"/>
    <w:rPr>
      <w:rFonts w:ascii="Arial" w:hAnsi="Arial"/>
      <w:color w:val="000000"/>
      <w:lang w:eastAsia="en-US"/>
    </w:rPr>
  </w:style>
  <w:style w:type="character" w:customStyle="1" w:styleId="1091">
    <w:name w:val="*Body Text Char1"/>
    <w:link w:val="113"/>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4"/>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5"/>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6"/>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7"/>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2"/>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4"/>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4"/>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4"/>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4"/>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4"/>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basedOn w:val="84"/>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1"/>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合同首页"/>
    <w:basedOn w:val="1"/>
    <w:link w:val="1337"/>
    <w:qFormat/>
    <w:uiPriority w:val="0"/>
    <w:pPr>
      <w:spacing w:before="120" w:after="120" w:line="360" w:lineRule="auto"/>
      <w:ind w:firstLine="640" w:firstLineChars="200"/>
      <w:jc w:val="left"/>
    </w:pPr>
    <w:rPr>
      <w:rFonts w:ascii="宋体" w:hAnsi="宋体" w:cstheme="minorBidi"/>
      <w:color w:val="000000"/>
      <w:sz w:val="32"/>
      <w:szCs w:val="32"/>
    </w:rPr>
  </w:style>
  <w:style w:type="character" w:customStyle="1" w:styleId="1337">
    <w:name w:val="合同首页 字符"/>
    <w:basedOn w:val="84"/>
    <w:link w:val="1336"/>
    <w:qFormat/>
    <w:uiPriority w:val="0"/>
    <w:rPr>
      <w:rFonts w:ascii="宋体" w:hAnsi="宋体" w:cstheme="minorBidi"/>
      <w:color w:val="000000"/>
      <w:kern w:val="2"/>
      <w:sz w:val="32"/>
      <w:szCs w:val="32"/>
    </w:rPr>
  </w:style>
  <w:style w:type="paragraph" w:customStyle="1" w:styleId="1338">
    <w:name w:val="合同表格"/>
    <w:basedOn w:val="1"/>
    <w:link w:val="1339"/>
    <w:qFormat/>
    <w:uiPriority w:val="0"/>
    <w:pPr>
      <w:snapToGrid w:val="0"/>
      <w:spacing w:before="120" w:after="120"/>
      <w:ind w:firstLine="420" w:firstLineChars="200"/>
      <w:jc w:val="left"/>
    </w:pPr>
    <w:rPr>
      <w:rFonts w:ascii="宋体" w:hAnsi="宋体" w:cs="宋体"/>
      <w:b/>
      <w:bCs/>
      <w:color w:val="000000" w:themeColor="text1"/>
      <w:szCs w:val="22"/>
      <w14:textFill>
        <w14:solidFill>
          <w14:schemeClr w14:val="tx1"/>
        </w14:solidFill>
      </w14:textFill>
    </w:rPr>
  </w:style>
  <w:style w:type="character" w:customStyle="1" w:styleId="1339">
    <w:name w:val="合同表格 字符"/>
    <w:basedOn w:val="84"/>
    <w:link w:val="1338"/>
    <w:qFormat/>
    <w:uiPriority w:val="0"/>
    <w:rPr>
      <w:rFonts w:ascii="宋体" w:hAnsi="宋体" w:cs="宋体"/>
      <w:b/>
      <w:bCs/>
      <w:color w:val="000000" w:themeColor="text1"/>
      <w:kern w:val="2"/>
      <w:sz w:val="21"/>
      <w:szCs w:val="22"/>
      <w14:textFill>
        <w14:solidFill>
          <w14:schemeClr w14:val="tx1"/>
        </w14:solidFill>
      </w14:textFill>
    </w:rPr>
  </w:style>
  <w:style w:type="paragraph" w:customStyle="1" w:styleId="134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342">
    <w:name w:val="Table Paragraph"/>
    <w:next w:val="1"/>
    <w:qFormat/>
    <w:uiPriority w:val="1"/>
    <w:pPr>
      <w:widowControl w:val="0"/>
    </w:pPr>
    <w:rPr>
      <w:rFonts w:ascii="宋体" w:hAnsi="Times New Roman" w:eastAsia="宋体" w:cs="宋体"/>
      <w:kern w:val="0"/>
      <w:sz w:val="22"/>
      <w:szCs w:val="22"/>
      <w:lang w:val="en-US" w:eastAsia="en-US" w:bidi="ar-SA"/>
    </w:rPr>
  </w:style>
  <w:style w:type="paragraph" w:customStyle="1" w:styleId="1343">
    <w:name w:val="_Style 1"/>
    <w:qFormat/>
    <w:uiPriority w:val="0"/>
    <w:rPr>
      <w:rFonts w:ascii="Times New Roman" w:hAnsi="Times New Roman" w:eastAsia="宋体" w:cs="Times New Roman"/>
      <w:kern w:val="2"/>
      <w:sz w:val="28"/>
      <w:szCs w:val="22"/>
      <w:lang w:val="en-US" w:eastAsia="zh-CN" w:bidi="ar-SA"/>
    </w:rPr>
  </w:style>
  <w:style w:type="character" w:customStyle="1" w:styleId="1344">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37254</Words>
  <Characters>39372</Characters>
  <Lines>253</Lines>
  <Paragraphs>71</Paragraphs>
  <TotalTime>33</TotalTime>
  <ScaleCrop>false</ScaleCrop>
  <LinksUpToDate>false</LinksUpToDate>
  <CharactersWithSpaces>43346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2020-07-09T08:40:00Z</dcterms:created>
  <dc:creator>Administrator</dc:creator>
  <cp:lastModifiedBy>苑洪春</cp:lastModifiedBy>
  <cp:lastPrinted>2017-04-17T08:03:00Z</cp:lastPrinted>
  <dcterms:modified xsi:type="dcterms:W3CDTF">2025-03-13T06:42:18Z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E81CB6920604430B8E168322A815ECC7_13</vt:lpwstr>
  </property>
  <property fmtid="{D5CDD505-2E9C-101B-9397-08002B2CF9AE}" pid="4" name="KSOTemplateDocerSaveRecord">
    <vt:lpwstr>eyJoZGlkIjoiYTc5ZDMwYjhiN2IyMjk1MDVmNmFmZTI1YmJmMjk5M2YiLCJ1c2VySWQiOiI1Nzc1NTIzOTgifQ==</vt:lpwstr>
  </property>
</Properties>
</file>