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0"/>
        <w:tabs>
          <w:tab w:val="left" w:pos="6615"/>
        </w:tabs>
        <w:snapToGrid w:val="0"/>
        <w:spacing w:line="360" w:lineRule="auto"/>
        <w:ind w:left="0" w:leftChars="0" w:firstLine="1687" w:firstLineChars="52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bookmarkStart w:id="0" w:name="OLE_LINK1"/>
      <w:r>
        <w:rPr>
          <w:rFonts w:hint="eastAsia" w:ascii="Times New Roman" w:hAnsi="Times New Roman"/>
          <w:b/>
          <w:bCs/>
          <w:color w:val="auto"/>
          <w:sz w:val="32"/>
          <w:szCs w:val="32"/>
          <w:highlight w:val="none"/>
          <w:lang w:eastAsia="zh-CN"/>
        </w:rPr>
        <w:t>ZJ-2433693二次</w:t>
      </w:r>
      <w:bookmarkEnd w:id="0"/>
    </w:p>
    <w:p>
      <w:pPr>
        <w:pStyle w:val="40"/>
        <w:snapToGrid w:val="0"/>
        <w:spacing w:line="360" w:lineRule="auto"/>
        <w:ind w:left="0" w:leftChars="0" w:firstLine="1687" w:firstLineChars="52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医院生活垃圾及粪池清运服务</w:t>
      </w:r>
      <w:r>
        <w:rPr>
          <w:rFonts w:hint="eastAsia" w:ascii="Times New Roman" w:hAnsi="Times New Roman"/>
          <w:b/>
          <w:color w:val="auto"/>
          <w:sz w:val="32"/>
          <w:szCs w:val="32"/>
          <w:highlight w:val="none"/>
        </w:rPr>
        <w:tab/>
      </w: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杭州市第三人民医院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snapToGrid w:val="0"/>
        <w:spacing w:line="360" w:lineRule="auto"/>
        <w:jc w:val="center"/>
        <w:rPr>
          <w:color w:val="auto"/>
          <w:sz w:val="30"/>
          <w:szCs w:val="20"/>
          <w:highlight w:val="none"/>
        </w:rPr>
      </w:pPr>
      <w:r>
        <w:rPr>
          <w:rFonts w:hint="eastAsia"/>
          <w:b/>
          <w:bCs/>
          <w:color w:val="auto"/>
          <w:w w:val="95"/>
          <w:sz w:val="32"/>
          <w:szCs w:val="32"/>
          <w:highlight w:val="none"/>
          <w:lang w:eastAsia="zh-CN"/>
        </w:rPr>
        <w:t>202</w:t>
      </w:r>
      <w:r>
        <w:rPr>
          <w:rFonts w:hint="eastAsia"/>
          <w:b/>
          <w:bCs/>
          <w:color w:val="auto"/>
          <w:w w:val="95"/>
          <w:sz w:val="32"/>
          <w:szCs w:val="32"/>
          <w:highlight w:val="none"/>
          <w:lang w:val="en-US" w:eastAsia="zh-CN"/>
        </w:rPr>
        <w:t>5</w:t>
      </w:r>
      <w:r>
        <w:rPr>
          <w:rFonts w:hint="eastAsia"/>
          <w:b/>
          <w:bCs/>
          <w:color w:val="auto"/>
          <w:w w:val="95"/>
          <w:sz w:val="32"/>
          <w:szCs w:val="32"/>
          <w:highlight w:val="none"/>
          <w:lang w:eastAsia="zh-CN"/>
        </w:rPr>
        <w:t>年</w:t>
      </w:r>
      <w:r>
        <w:rPr>
          <w:rFonts w:hint="eastAsia"/>
          <w:b/>
          <w:bCs/>
          <w:color w:val="auto"/>
          <w:w w:val="95"/>
          <w:sz w:val="32"/>
          <w:szCs w:val="32"/>
          <w:highlight w:val="none"/>
          <w:lang w:val="en-US" w:eastAsia="zh-CN"/>
        </w:rPr>
        <w:t>1</w:t>
      </w:r>
      <w:r>
        <w:rPr>
          <w:rFonts w:hint="eastAsia"/>
          <w:b/>
          <w:bCs/>
          <w:color w:val="auto"/>
          <w:w w:val="95"/>
          <w:sz w:val="32"/>
          <w:szCs w:val="32"/>
          <w:highlight w:val="none"/>
        </w:rPr>
        <w:t>月</w:t>
      </w:r>
    </w:p>
    <w:p>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hint="eastAsia" w:ascii="Times New Roman" w:hAnsi="Times New Roman"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lang w:val="en-US" w:eastAsia="zh-CN"/>
        </w:rPr>
        <w:t>3</w:t>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0</w:t>
      </w:r>
    </w:p>
    <w:p>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1" w:name="_Toc293343927"/>
      <w:bookmarkStart w:id="2" w:name="_Toc495317667"/>
      <w:r>
        <w:rPr>
          <w:rFonts w:ascii="Times New Roman" w:hAnsi="Times New Roman" w:eastAsia="宋体"/>
          <w:color w:val="auto"/>
          <w:highlight w:val="none"/>
        </w:rPr>
        <w:t>第一章  招标公告</w:t>
      </w:r>
      <w:bookmarkEnd w:id="1"/>
      <w:bookmarkEnd w:id="2"/>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项目概况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eastAsia="zh-CN"/>
        </w:rPr>
        <w:t>杭州市第三人民医院医院生活垃圾及粪池清运服务</w:t>
      </w:r>
      <w:r>
        <w:rPr>
          <w:rFonts w:hint="eastAsia"/>
          <w:color w:val="auto"/>
          <w:highlight w:val="none"/>
        </w:rPr>
        <w:tab/>
      </w:r>
      <w:r>
        <w:rPr>
          <w:rFonts w:hint="eastAsia"/>
          <w:color w:val="auto"/>
          <w:highlight w:val="none"/>
        </w:rPr>
        <w:t>项目招标项目的潜在投标人应在乐采云平台</w:t>
      </w:r>
      <w:r>
        <w:rPr>
          <w:rFonts w:hint="eastAsia" w:ascii="Times New Roman" w:hAnsi="Times New Roman"/>
          <w:color w:val="auto"/>
          <w:kern w:val="2"/>
          <w:sz w:val="21"/>
          <w:highlight w:val="none"/>
        </w:rPr>
        <w:t>（http://www.lecaiyun.com）</w:t>
      </w:r>
      <w:r>
        <w:rPr>
          <w:rFonts w:hint="eastAsia"/>
          <w:color w:val="auto"/>
          <w:highlight w:val="none"/>
        </w:rPr>
        <w:t>线上获取获取（下载）招标文件，并于</w:t>
      </w:r>
      <w:r>
        <w:rPr>
          <w:rFonts w:hint="eastAsia"/>
          <w:color w:val="auto"/>
          <w:highlight w:val="none"/>
          <w:lang w:eastAsia="zh-CN"/>
        </w:rPr>
        <w:t> 2025年2月6</w:t>
      </w:r>
      <w:r>
        <w:rPr>
          <w:rFonts w:hint="eastAsia"/>
          <w:color w:val="auto"/>
          <w:highlight w:val="none"/>
        </w:rPr>
        <w:t>日</w:t>
      </w:r>
      <w:r>
        <w:rPr>
          <w:rFonts w:hint="eastAsia"/>
          <w:color w:val="auto"/>
          <w:highlight w:val="none"/>
          <w:lang w:eastAsia="zh-CN"/>
        </w:rPr>
        <w:t>14:00</w:t>
      </w:r>
      <w:r>
        <w:rPr>
          <w:rFonts w:hint="eastAsia"/>
          <w:color w:val="auto"/>
          <w:highlight w:val="none"/>
        </w:rPr>
        <w:t>（北京时间）前递交（上传）投标文件。</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ZJ-2433693二次</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项目名称：</w:t>
      </w:r>
      <w:r>
        <w:rPr>
          <w:rFonts w:hint="eastAsia" w:ascii="Times New Roman" w:hAnsi="Times New Roman"/>
          <w:color w:val="auto"/>
          <w:kern w:val="2"/>
          <w:sz w:val="21"/>
          <w:highlight w:val="none"/>
          <w:lang w:eastAsia="zh-CN"/>
        </w:rPr>
        <w:t>杭州市第三人民医院医院生活垃圾及粪池清运服务</w:t>
      </w:r>
      <w:r>
        <w:rPr>
          <w:rFonts w:hint="eastAsia" w:ascii="Times New Roman" w:hAnsi="Times New Roman"/>
          <w:color w:val="auto"/>
          <w:kern w:val="2"/>
          <w:sz w:val="21"/>
          <w:highlight w:val="none"/>
        </w:rPr>
        <w:t>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预算金额（元）：</w:t>
      </w:r>
      <w:r>
        <w:rPr>
          <w:rFonts w:hint="eastAsia" w:ascii="Times New Roman" w:hAnsi="Times New Roman"/>
          <w:color w:val="auto"/>
          <w:kern w:val="2"/>
          <w:sz w:val="21"/>
          <w:highlight w:val="none"/>
          <w:lang w:val="en-US" w:eastAsia="zh-CN"/>
        </w:rPr>
        <w:t>480000</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最高限价（元）：</w:t>
      </w:r>
      <w:r>
        <w:rPr>
          <w:rFonts w:hint="eastAsia" w:ascii="Times New Roman" w:hAnsi="Times New Roman"/>
          <w:color w:val="auto"/>
          <w:kern w:val="2"/>
          <w:sz w:val="21"/>
          <w:highlight w:val="none"/>
          <w:lang w:val="en-US" w:eastAsia="zh-CN"/>
        </w:rPr>
        <w:t>480000</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w:t>
      </w:r>
      <w:r>
        <w:rPr>
          <w:rFonts w:hint="eastAsia" w:ascii="Times New Roman" w:hAnsi="Times New Roman"/>
          <w:color w:val="auto"/>
          <w:kern w:val="2"/>
          <w:sz w:val="21"/>
          <w:highlight w:val="none"/>
          <w:lang w:eastAsia="zh-CN"/>
        </w:rPr>
        <w:t>杭州市第三人民医院医院生活垃圾及粪池清运服务</w:t>
      </w: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w:t>
      </w:r>
      <w:r>
        <w:rPr>
          <w:rFonts w:hint="eastAsia" w:ascii="Times New Roman" w:hAnsi="Times New Roman"/>
          <w:color w:val="auto"/>
          <w:kern w:val="2"/>
          <w:sz w:val="21"/>
          <w:highlight w:val="none"/>
          <w:lang w:val="en-US" w:eastAsia="zh-CN"/>
        </w:rPr>
        <w:t>1年</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w:t>
      </w:r>
      <w:r>
        <w:rPr>
          <w:rFonts w:hint="eastAsia" w:ascii="Times New Roman" w:hAnsi="Times New Roman"/>
          <w:color w:val="auto"/>
          <w:kern w:val="2"/>
          <w:sz w:val="21"/>
          <w:highlight w:val="none"/>
          <w:lang w:val="en-US" w:eastAsia="zh-CN"/>
        </w:rPr>
        <w:t>480000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w:t>
      </w: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本项目（</w:t>
      </w:r>
      <w:r>
        <w:rPr>
          <w:rFonts w:hint="eastAsia" w:ascii="Times New Roman" w:hAnsi="Times New Roman"/>
          <w:color w:val="auto"/>
          <w:kern w:val="2"/>
          <w:sz w:val="21"/>
          <w:highlight w:val="none"/>
          <w:lang w:val="en-US" w:eastAsia="zh-CN"/>
        </w:rPr>
        <w:t>否</w:t>
      </w:r>
      <w:r>
        <w:rPr>
          <w:rFonts w:hint="eastAsia" w:ascii="Times New Roman" w:hAnsi="Times New Roman"/>
          <w:color w:val="auto"/>
          <w:kern w:val="2"/>
          <w:sz w:val="21"/>
          <w:highlight w:val="none"/>
        </w:rPr>
        <w:t>）接受联合体投标。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时间：202</w:t>
      </w:r>
      <w:r>
        <w:rPr>
          <w:rFonts w:hint="eastAsia" w:ascii="Times New Roman" w:hAnsi="Times New Roman"/>
          <w:color w:val="auto"/>
          <w:kern w:val="2"/>
          <w:sz w:val="21"/>
          <w:highlight w:val="none"/>
          <w:lang w:val="en-US" w:eastAsia="zh-CN"/>
        </w:rPr>
        <w:t>5</w:t>
      </w:r>
      <w:r>
        <w:rPr>
          <w:rFonts w:hint="eastAsia" w:ascii="Times New Roman" w:hAnsi="Times New Roman"/>
          <w:color w:val="auto"/>
          <w:kern w:val="2"/>
          <w:sz w:val="21"/>
          <w:highlight w:val="none"/>
        </w:rPr>
        <w:t>年</w:t>
      </w:r>
      <w:r>
        <w:rPr>
          <w:rFonts w:hint="eastAsia" w:ascii="Times New Roman" w:hAnsi="Times New Roman"/>
          <w:color w:val="auto"/>
          <w:kern w:val="2"/>
          <w:sz w:val="21"/>
          <w:highlight w:val="none"/>
          <w:lang w:val="en-US" w:eastAsia="zh-CN"/>
        </w:rPr>
        <w:t>1月10</w:t>
      </w:r>
      <w:r>
        <w:rPr>
          <w:rFonts w:hint="eastAsia" w:ascii="Times New Roman" w:hAnsi="Times New Roman"/>
          <w:color w:val="auto"/>
          <w:kern w:val="2"/>
          <w:sz w:val="21"/>
          <w:highlight w:val="none"/>
        </w:rPr>
        <w:t>日至202</w:t>
      </w:r>
      <w:r>
        <w:rPr>
          <w:rFonts w:hint="eastAsia" w:ascii="Times New Roman" w:hAnsi="Times New Roman"/>
          <w:color w:val="auto"/>
          <w:kern w:val="2"/>
          <w:sz w:val="21"/>
          <w:highlight w:val="none"/>
          <w:lang w:val="en-US" w:eastAsia="zh-CN"/>
        </w:rPr>
        <w:t>5</w:t>
      </w:r>
      <w:r>
        <w:rPr>
          <w:rFonts w:hint="eastAsia" w:ascii="Times New Roman" w:hAnsi="Times New Roman"/>
          <w:color w:val="auto"/>
          <w:kern w:val="2"/>
          <w:sz w:val="21"/>
          <w:highlight w:val="none"/>
        </w:rPr>
        <w:t>年</w:t>
      </w:r>
      <w:r>
        <w:rPr>
          <w:rFonts w:hint="eastAsia" w:ascii="Times New Roman" w:hAnsi="Times New Roman"/>
          <w:color w:val="auto"/>
          <w:kern w:val="2"/>
          <w:sz w:val="21"/>
          <w:highlight w:val="none"/>
          <w:lang w:val="en-US" w:eastAsia="zh-CN"/>
        </w:rPr>
        <w:t>2月6</w:t>
      </w:r>
      <w:r>
        <w:rPr>
          <w:rFonts w:hint="eastAsia" w:ascii="Times New Roman" w:hAnsi="Times New Roman"/>
          <w:color w:val="auto"/>
          <w:kern w:val="2"/>
          <w:sz w:val="21"/>
          <w:highlight w:val="none"/>
        </w:rPr>
        <w:t>日，每天上午00:00至12:00，下午12:00至23:59（北京时间，法定节假日除外）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提交投标文件截止时间：2024年</w:t>
      </w:r>
      <w:r>
        <w:rPr>
          <w:rFonts w:hint="eastAsia" w:ascii="Times New Roman" w:hAnsi="Times New Roman"/>
          <w:color w:val="auto"/>
          <w:kern w:val="2"/>
          <w:sz w:val="21"/>
          <w:highlight w:val="none"/>
          <w:lang w:val="en-US" w:eastAsia="zh-CN"/>
        </w:rPr>
        <w:t>2月6</w:t>
      </w:r>
      <w:r>
        <w:rPr>
          <w:rFonts w:hint="eastAsia" w:ascii="Times New Roman" w:hAnsi="Times New Roman"/>
          <w:color w:val="auto"/>
          <w:kern w:val="2"/>
          <w:sz w:val="21"/>
          <w:highlight w:val="none"/>
        </w:rPr>
        <w:t>日</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（北京时间）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投标地点（网址）：请登录乐采云投标客户端投标，客户端下载地址: LeCaiYunSetup.latest.exe</w:t>
      </w:r>
      <w:bookmarkStart w:id="48" w:name="_GoBack"/>
      <w:bookmarkEnd w:id="48"/>
      <w:r>
        <w:rPr>
          <w:rFonts w:hint="eastAsia" w:ascii="Times New Roman" w:hAnsi="Times New Roman"/>
          <w:color w:val="auto"/>
          <w:kern w:val="2"/>
          <w:sz w:val="21"/>
          <w:highlight w:val="none"/>
        </w:rPr>
        <w:t> </w:t>
      </w:r>
    </w:p>
    <w:p>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开标时间：2024年</w:t>
      </w:r>
      <w:r>
        <w:rPr>
          <w:rFonts w:hint="eastAsia" w:ascii="Times New Roman" w:hAnsi="Times New Roman"/>
          <w:color w:val="auto"/>
          <w:kern w:val="2"/>
          <w:sz w:val="21"/>
          <w:highlight w:val="none"/>
          <w:lang w:val="en-US" w:eastAsia="zh-CN"/>
        </w:rPr>
        <w:t>2月6</w:t>
      </w:r>
      <w:r>
        <w:rPr>
          <w:rFonts w:hint="eastAsia" w:ascii="Times New Roman" w:hAnsi="Times New Roman"/>
          <w:color w:val="auto"/>
          <w:kern w:val="2"/>
          <w:sz w:val="21"/>
          <w:highlight w:val="none"/>
        </w:rPr>
        <w:t>日</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        </w:t>
      </w:r>
    </w:p>
    <w:p>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lang w:val="en-US" w:eastAsia="zh-CN"/>
        </w:rPr>
      </w:pP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1</w:t>
      </w: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投标事宜</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eastAsia="宋体"/>
          <w:color w:val="auto"/>
          <w:kern w:val="2"/>
          <w:sz w:val="21"/>
          <w:highlight w:val="none"/>
          <w:lang w:val="en-US" w:eastAsia="zh-CN"/>
        </w:rPr>
        <w:t xml:space="preserve">    </w:t>
      </w:r>
      <w:r>
        <w:rPr>
          <w:rFonts w:hint="eastAsia" w:ascii="Times New Roman" w:hAnsi="Times New Roman" w:eastAsia="宋体"/>
          <w:color w:val="auto"/>
          <w:kern w:val="2"/>
          <w:sz w:val="21"/>
          <w:highlight w:val="none"/>
        </w:rPr>
        <w:t>（5）本项目为非政府采购项目。</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Times New Roman" w:hAnsi="Times New Roman" w:eastAsia="宋体"/>
          <w:color w:val="auto"/>
          <w:kern w:val="2"/>
          <w:sz w:val="21"/>
          <w:highlight w:val="none"/>
          <w:lang w:eastAsia="zh-CN"/>
        </w:rPr>
        <w:t>（</w:t>
      </w:r>
      <w:r>
        <w:rPr>
          <w:rFonts w:hint="eastAsia" w:ascii="Times New Roman" w:hAnsi="Times New Roman" w:eastAsia="宋体"/>
          <w:color w:val="auto"/>
          <w:kern w:val="2"/>
          <w:sz w:val="21"/>
          <w:highlight w:val="none"/>
          <w:lang w:val="en-US" w:eastAsia="zh-CN"/>
        </w:rPr>
        <w:t>6</w:t>
      </w:r>
      <w:r>
        <w:rPr>
          <w:rFonts w:hint="eastAsia" w:ascii="Times New Roman" w:hAnsi="Times New Roman" w:eastAsia="宋体"/>
          <w:color w:val="auto"/>
          <w:kern w:val="2"/>
          <w:sz w:val="21"/>
          <w:highlight w:val="none"/>
          <w:lang w:eastAsia="zh-CN"/>
        </w:rPr>
        <w:t>）</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招标人监察室联系人：</w:t>
      </w:r>
      <w:r>
        <w:rPr>
          <w:rFonts w:hint="eastAsia" w:ascii="宋体" w:hAnsi="宋体" w:cs="宋体"/>
          <w:color w:val="auto"/>
          <w:kern w:val="0"/>
          <w:szCs w:val="21"/>
          <w:highlight w:val="none"/>
          <w:lang w:eastAsia="zh-CN"/>
        </w:rPr>
        <w:t>吴晓云</w:t>
      </w:r>
      <w:r>
        <w:rPr>
          <w:rFonts w:hint="eastAsia" w:ascii="宋体" w:hAnsi="宋体" w:cs="宋体"/>
          <w:color w:val="auto"/>
          <w:kern w:val="0"/>
          <w:szCs w:val="21"/>
          <w:highlight w:val="none"/>
        </w:rPr>
        <w:t>；联系电话：0571-878231</w:t>
      </w:r>
      <w:r>
        <w:rPr>
          <w:rFonts w:hint="eastAsia" w:ascii="宋体" w:hAnsi="宋体" w:cs="宋体"/>
          <w:color w:val="auto"/>
          <w:kern w:val="0"/>
          <w:szCs w:val="21"/>
          <w:highlight w:val="none"/>
          <w:lang w:val="en-US" w:eastAsia="zh-CN"/>
        </w:rPr>
        <w:t>59</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10" w:firstLineChars="1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1.采购人信息        </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名    称：</w:t>
      </w:r>
      <w:r>
        <w:rPr>
          <w:rFonts w:hint="eastAsia" w:ascii="Times New Roman" w:hAnsi="Times New Roman" w:eastAsia="宋体"/>
          <w:color w:val="auto"/>
          <w:kern w:val="2"/>
          <w:sz w:val="21"/>
          <w:highlight w:val="none"/>
          <w:lang w:eastAsia="zh-CN"/>
        </w:rPr>
        <w:t>杭州市第三人民医院</w:t>
      </w:r>
      <w:r>
        <w:rPr>
          <w:rFonts w:hint="eastAsia" w:ascii="Times New Roman" w:hAnsi="Times New Roman" w:eastAsia="宋体"/>
          <w:color w:val="auto"/>
          <w:kern w:val="2"/>
          <w:sz w:val="21"/>
          <w:highlight w:val="none"/>
        </w:rPr>
        <w:t>         </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地    址：杭州市西湖大道38号        </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 xml:space="preserve">联系人： </w:t>
      </w:r>
      <w:r>
        <w:rPr>
          <w:rFonts w:hint="eastAsia" w:ascii="Times New Roman" w:hAnsi="Times New Roman" w:eastAsia="宋体"/>
          <w:color w:val="auto"/>
          <w:kern w:val="2"/>
          <w:sz w:val="21"/>
          <w:highlight w:val="none"/>
          <w:lang w:val="en-US" w:eastAsia="zh-CN"/>
        </w:rPr>
        <w:t>开拓</w:t>
      </w:r>
    </w:p>
    <w:p>
      <w:pPr>
        <w:pStyle w:val="7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eastAsia="宋体"/>
          <w:color w:val="auto"/>
          <w:kern w:val="2"/>
          <w:sz w:val="21"/>
          <w:highlight w:val="none"/>
        </w:rPr>
        <w:t>联系方式：0571-878231</w:t>
      </w:r>
      <w:r>
        <w:rPr>
          <w:rFonts w:hint="eastAsia" w:ascii="Times New Roman" w:hAnsi="Times New Roman" w:eastAsia="宋体"/>
          <w:color w:val="auto"/>
          <w:kern w:val="2"/>
          <w:sz w:val="21"/>
          <w:highlight w:val="none"/>
          <w:lang w:val="en-US" w:eastAsia="zh-CN"/>
        </w:rPr>
        <w:t>77</w:t>
      </w:r>
      <w:r>
        <w:rPr>
          <w:rFonts w:hint="eastAsia" w:ascii="Times New Roman" w:hAnsi="Times New Roman" w:eastAsia="宋体"/>
          <w:color w:val="auto"/>
          <w:kern w:val="2"/>
          <w:sz w:val="21"/>
          <w:highlight w:val="none"/>
        </w:rPr>
        <w:t> </w:t>
      </w:r>
      <w:r>
        <w:rPr>
          <w:rFonts w:hint="eastAsia" w:ascii="Times New Roman" w:hAnsi="Times New Roman"/>
          <w:color w:val="auto"/>
          <w:kern w:val="2"/>
          <w:sz w:val="21"/>
          <w:highlight w:val="none"/>
        </w:rPr>
        <w:t xml:space="preserve">      </w:t>
      </w:r>
    </w:p>
    <w:p>
      <w:pPr>
        <w:pStyle w:val="74"/>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2.采购代理机构信息        </w:t>
      </w:r>
    </w:p>
    <w:p>
      <w:pPr>
        <w:pStyle w:val="74"/>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名    称： 浙江国际招投标有限公司                   </w:t>
      </w:r>
    </w:p>
    <w:p>
      <w:pPr>
        <w:pStyle w:val="74"/>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地    址：浙江省杭州市西湖区文三路90号东部软件园1号楼3楼                     </w:t>
      </w:r>
    </w:p>
    <w:p>
      <w:pPr>
        <w:pStyle w:val="74"/>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项目联系人：苑洪春</w:t>
      </w:r>
    </w:p>
    <w:p>
      <w:pPr>
        <w:pStyle w:val="74"/>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联系方式：0571-810618</w:t>
      </w:r>
      <w:r>
        <w:rPr>
          <w:rFonts w:hint="eastAsia" w:ascii="Times New Roman" w:hAnsi="Times New Roman" w:eastAsia="宋体"/>
          <w:color w:val="auto"/>
          <w:kern w:val="2"/>
          <w:sz w:val="21"/>
          <w:highlight w:val="none"/>
          <w:lang w:val="en-US" w:eastAsia="zh-CN"/>
        </w:rPr>
        <w:t>14</w:t>
      </w:r>
      <w:r>
        <w:rPr>
          <w:rFonts w:hint="eastAsia" w:ascii="Times New Roman" w:hAnsi="Times New Roman" w:eastAsia="宋体"/>
          <w:color w:val="auto"/>
          <w:kern w:val="2"/>
          <w:sz w:val="21"/>
          <w:highlight w:val="none"/>
        </w:rPr>
        <w:t xml:space="preserve">    </w:t>
      </w:r>
    </w:p>
    <w:p>
      <w:pPr>
        <w:pStyle w:val="2"/>
        <w:snapToGrid w:val="0"/>
        <w:rPr>
          <w:rFonts w:ascii="Times New Roman" w:hAnsi="Times New Roman" w:eastAsia="宋体"/>
          <w:color w:val="auto"/>
          <w:highlight w:val="none"/>
        </w:rPr>
      </w:pPr>
      <w:bookmarkStart w:id="3"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3"/>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6"/>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采购人</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招标人：杭州市第三人民医院</w:t>
            </w:r>
          </w:p>
          <w:p>
            <w:pPr>
              <w:pStyle w:val="126"/>
              <w:snapToGrid w:val="0"/>
              <w:spacing w:line="360" w:lineRule="auto"/>
              <w:ind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开拓</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联系电话：0571-878231</w:t>
            </w:r>
            <w:r>
              <w:rPr>
                <w:rFonts w:hint="eastAsia" w:ascii="宋体" w:hAnsi="宋体" w:cs="宋体"/>
                <w:color w:val="auto"/>
                <w:highlight w:val="none"/>
                <w:lang w:val="en-US" w:eastAsia="zh-CN"/>
              </w:rPr>
              <w:t>77</w:t>
            </w:r>
            <w:r>
              <w:rPr>
                <w:rFonts w:hint="eastAsia" w:ascii="宋体" w:hAnsi="宋体" w:cs="宋体"/>
                <w:color w:val="auto"/>
                <w:highlight w:val="none"/>
              </w:rPr>
              <w:t xml:space="preserve"> </w:t>
            </w:r>
          </w:p>
          <w:p>
            <w:pPr>
              <w:pStyle w:val="126"/>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地址： 杭州市西湖大道38号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6"/>
              <w:snapToGrid w:val="0"/>
              <w:spacing w:line="36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color w:val="auto"/>
                <w:highlight w:val="none"/>
              </w:rPr>
              <w:t>采购代理机构</w:t>
            </w:r>
          </w:p>
        </w:tc>
        <w:tc>
          <w:tcPr>
            <w:tcW w:w="6604" w:type="dxa"/>
            <w:vAlign w:val="center"/>
          </w:tcPr>
          <w:p>
            <w:pPr>
              <w:pStyle w:val="126"/>
              <w:snapToGrid w:val="0"/>
              <w:spacing w:line="36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浙江国际招投标有限公司</w:t>
            </w:r>
          </w:p>
          <w:p>
            <w:pPr>
              <w:pStyle w:val="126"/>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地址：杭州市文三路90号东部软件园</w:t>
            </w:r>
            <w:r>
              <w:rPr>
                <w:rFonts w:hint="eastAsia" w:ascii="宋体" w:hAnsi="宋体" w:eastAsia="宋体" w:cs="宋体"/>
                <w:color w:val="auto"/>
                <w:highlight w:val="none"/>
                <w:lang w:eastAsia="zh-CN"/>
              </w:rPr>
              <w:t>1号楼3</w:t>
            </w:r>
            <w:r>
              <w:rPr>
                <w:rFonts w:hint="eastAsia" w:ascii="宋体" w:hAnsi="宋体" w:eastAsia="宋体" w:cs="宋体"/>
                <w:color w:val="auto"/>
                <w:highlight w:val="none"/>
              </w:rPr>
              <w:t>楼</w:t>
            </w:r>
          </w:p>
          <w:p>
            <w:pPr>
              <w:pStyle w:val="126"/>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联系人：苑洪春</w:t>
            </w:r>
          </w:p>
          <w:p>
            <w:pPr>
              <w:pStyle w:val="126"/>
              <w:snapToGri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联系电话：0571-81061814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13065702633</w:t>
            </w:r>
          </w:p>
          <w:p>
            <w:pPr>
              <w:pStyle w:val="126"/>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邮编：310012</w:t>
            </w:r>
          </w:p>
          <w:p>
            <w:pPr>
              <w:pStyle w:val="126"/>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6"/>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ascii="宋体" w:hAnsi="宋体" w:cs="宋体"/>
                <w:color w:val="auto"/>
                <w:kern w:val="0"/>
                <w:szCs w:val="21"/>
                <w:highlight w:val="none"/>
                <w:lang w:eastAsia="zh-CN"/>
              </w:rPr>
              <w:t>：医院生活垃圾及粪池清运服务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kern w:val="2"/>
                <w:sz w:val="21"/>
                <w:highlight w:val="none"/>
                <w:lang w:val="en-US" w:eastAsia="zh-CN"/>
              </w:rPr>
              <w:t>2月6</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eastAsia="zh-CN"/>
              </w:rPr>
              <w:t>14847913</w:t>
            </w:r>
            <w:r>
              <w:rPr>
                <w:rFonts w:hint="eastAsia"/>
                <w:color w:val="auto"/>
                <w:szCs w:val="21"/>
                <w:highlight w:val="none"/>
              </w:rPr>
              <w:t>@qq.com）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6"/>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w:t>
            </w:r>
            <w:r>
              <w:rPr>
                <w:rFonts w:hint="eastAsia" w:ascii="宋体" w:hAnsi="宋体" w:cs="Courier New"/>
                <w:bCs/>
                <w:color w:val="auto"/>
                <w:szCs w:val="21"/>
                <w:highlight w:val="none"/>
                <w:lang w:eastAsia="zh-CN"/>
              </w:rPr>
              <w:t>苑洪春</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0571-81061814</w:t>
            </w:r>
            <w:r>
              <w:rPr>
                <w:rFonts w:hint="eastAsia"/>
                <w:color w:val="auto"/>
                <w:szCs w:val="21"/>
                <w:highlight w:val="none"/>
              </w:rPr>
              <w:t>，以便电子加密投标文件解密异常时应急使用。</w:t>
            </w:r>
          </w:p>
          <w:p>
            <w:pPr>
              <w:pStyle w:val="126"/>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6"/>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s="Courier New"/>
                <w:bCs/>
                <w:color w:val="auto"/>
                <w:szCs w:val="21"/>
                <w:highlight w:val="none"/>
                <w:lang w:val="en-US" w:eastAsia="zh-CN"/>
              </w:rPr>
              <w:t>投标截止前一个工作日</w:t>
            </w:r>
            <w:r>
              <w:rPr>
                <w:rFonts w:hint="eastAsia" w:ascii="宋体" w:hAnsi="宋体" w:cs="Courier New"/>
                <w:bCs/>
                <w:color w:val="auto"/>
                <w:szCs w:val="21"/>
                <w:highlight w:val="none"/>
              </w:rPr>
              <w:t>，将备份投标文件通过快递形式或直接送达采购代理机构处，以便标书解密异常时应急使用（地址：杭州市文三路90号东部软件园1号楼3楼307室，接收人：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eastAsia="zh-CN"/>
              </w:rPr>
              <w:t>苑洪春</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0571-81061814</w:t>
            </w:r>
            <w:r>
              <w:rPr>
                <w:rFonts w:hint="eastAsia" w:ascii="宋体" w:hAnsi="宋体" w:cs="Courier New"/>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质疑供应商对采购人、采购代理机构的答复不满意或者采购人、采购代理机构未在规定的时间内作出答复的，可以在答复期满后十五个工作日内向同级采购监督管理部门投诉。</w:t>
            </w:r>
          </w:p>
          <w:p>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hint="default" w:ascii="宋体" w:hAnsi="宋体" w:eastAsia="宋体" w:cs="宋体"/>
                <w:color w:val="auto"/>
                <w:szCs w:val="21"/>
                <w:highlight w:val="none"/>
                <w:lang w:val="en-US" w:eastAsia="zh-CN"/>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 xml:space="preserve">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 xml:space="preserve">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0"/>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hint="eastAsia" w:ascii="宋体" w:hAnsi="宋体"/>
          <w:b/>
          <w:bCs/>
          <w:color w:val="auto"/>
          <w:sz w:val="32"/>
          <w:szCs w:val="32"/>
          <w:highlight w:val="none"/>
        </w:rPr>
      </w:pPr>
      <w:r>
        <w:rPr>
          <w:color w:val="auto"/>
          <w:kern w:val="0"/>
          <w:szCs w:val="21"/>
          <w:highlight w:val="none"/>
        </w:rPr>
        <w:br w:type="page"/>
      </w:r>
      <w:bookmarkStart w:id="4" w:name="_Toc298767927"/>
      <w:bookmarkStart w:id="5" w:name="_Toc294012141"/>
      <w:bookmarkStart w:id="6" w:name="_Toc495317669"/>
      <w:r>
        <w:rPr>
          <w:b/>
          <w:bCs/>
          <w:color w:val="auto"/>
          <w:sz w:val="32"/>
          <w:szCs w:val="32"/>
          <w:highlight w:val="none"/>
        </w:rPr>
        <w:t>第二章</w:t>
      </w:r>
      <w:bookmarkEnd w:id="4"/>
      <w:bookmarkEnd w:id="5"/>
      <w:r>
        <w:rPr>
          <w:b/>
          <w:bCs/>
          <w:color w:val="auto"/>
          <w:sz w:val="32"/>
          <w:szCs w:val="32"/>
          <w:highlight w:val="none"/>
        </w:rPr>
        <w:t xml:space="preserve">  采购内容及需求</w:t>
      </w:r>
      <w:bookmarkEnd w:id="6"/>
      <w:bookmarkStart w:id="7" w:name="_Toc273624872"/>
      <w:bookmarkStart w:id="8" w:name="_Toc82338233"/>
      <w:bookmarkStart w:id="9" w:name="_Toc211745565"/>
      <w:bookmarkStart w:id="10" w:name="_Toc495317670"/>
      <w:bookmarkStart w:id="11" w:name="_Toc82873316"/>
    </w:p>
    <w:p>
      <w:pPr>
        <w:rPr>
          <w:b/>
          <w:bCs/>
          <w:color w:val="auto"/>
          <w:szCs w:val="21"/>
          <w:highlight w:val="none"/>
        </w:rPr>
      </w:pPr>
    </w:p>
    <w:p>
      <w:pPr>
        <w:spacing w:line="360" w:lineRule="auto"/>
        <w:ind w:firstLine="420" w:firstLineChars="200"/>
        <w:rPr>
          <w:rFonts w:hint="eastAsia" w:ascii="宋体" w:hAnsi="宋体" w:cs="宋体"/>
          <w:color w:val="auto"/>
          <w:szCs w:val="21"/>
          <w:highlight w:val="none"/>
        </w:rPr>
      </w:pPr>
      <w:bookmarkStart w:id="12" w:name="_Toc342633574"/>
      <w:bookmarkStart w:id="13" w:name="_Toc422946256"/>
    </w:p>
    <w:bookmarkEnd w:id="12"/>
    <w:p>
      <w:pPr>
        <w:adjustRightInd w:val="0"/>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一、概况：</w:t>
      </w:r>
    </w:p>
    <w:p>
      <w:pPr>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本项目为杭州市第三人民医院医院生活垃圾及粪池清运服务，服务时间一年。</w:t>
      </w:r>
    </w:p>
    <w:p>
      <w:pPr>
        <w:adjustRightInd w:val="0"/>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二、服务要求</w:t>
      </w:r>
    </w:p>
    <w:p>
      <w:pPr>
        <w:spacing w:line="360" w:lineRule="auto"/>
        <w:ind w:firstLine="420" w:firstLineChars="200"/>
        <w:rPr>
          <w:rFonts w:hint="eastAsia" w:ascii="宋体" w:hAnsi="宋体" w:cs="宋体"/>
          <w:color w:val="auto"/>
          <w:szCs w:val="21"/>
          <w:highlight w:val="none"/>
        </w:rPr>
      </w:pPr>
      <w:bookmarkStart w:id="14" w:name="_Hlk183701897"/>
      <w:r>
        <w:rPr>
          <w:rFonts w:hint="eastAsia" w:ascii="宋体" w:hAnsi="宋体" w:cs="宋体"/>
          <w:color w:val="auto"/>
          <w:szCs w:val="21"/>
          <w:highlight w:val="none"/>
        </w:rPr>
        <w:t>1、负责全院生活垃圾集置点区域的垃圾转运工作。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2、生活垃圾每日清运，日产日清。包括其他垃圾、易腐垃圾等。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3、按要求处理全院5处（15只）化粪池清运工作。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4、生活垃圾处置各项工作符合相关法律法规、规范标准以及政府监管要求。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5、流程符合医院要求。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6、清运清单</w:t>
      </w:r>
    </w:p>
    <w:bookmarkEnd w:id="14"/>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316"/>
        <w:gridCol w:w="2946"/>
        <w:gridCol w:w="30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noWrap w:val="0"/>
            <w:vAlign w:val="center"/>
          </w:tcPr>
          <w:p>
            <w:pPr>
              <w:tabs>
                <w:tab w:val="left" w:pos="9781"/>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16" w:type="dxa"/>
            <w:noWrap w:val="0"/>
            <w:vAlign w:val="center"/>
          </w:tcPr>
          <w:p>
            <w:pPr>
              <w:tabs>
                <w:tab w:val="left" w:pos="9781"/>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2946" w:type="dxa"/>
            <w:noWrap w:val="0"/>
            <w:vAlign w:val="center"/>
          </w:tcPr>
          <w:p>
            <w:pPr>
              <w:tabs>
                <w:tab w:val="left" w:pos="9781"/>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3000" w:type="dxa"/>
            <w:noWrap w:val="0"/>
            <w:vAlign w:val="center"/>
          </w:tcPr>
          <w:p>
            <w:pPr>
              <w:tabs>
                <w:tab w:val="left" w:pos="9781"/>
              </w:tabs>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noWrap w:val="0"/>
            <w:vAlign w:val="center"/>
          </w:tcPr>
          <w:p>
            <w:pPr>
              <w:tabs>
                <w:tab w:val="left" w:pos="9781"/>
              </w:tabs>
              <w:rPr>
                <w:rFonts w:hint="eastAsia" w:ascii="宋体" w:hAnsi="宋体" w:cs="宋体"/>
                <w:color w:val="auto"/>
                <w:szCs w:val="21"/>
                <w:highlight w:val="none"/>
              </w:rPr>
            </w:pPr>
            <w:r>
              <w:rPr>
                <w:rFonts w:hint="eastAsia" w:ascii="宋体" w:hAnsi="宋体" w:cs="宋体"/>
                <w:color w:val="auto"/>
                <w:szCs w:val="21"/>
                <w:highlight w:val="none"/>
              </w:rPr>
              <w:t>1</w:t>
            </w:r>
          </w:p>
        </w:tc>
        <w:tc>
          <w:tcPr>
            <w:tcW w:w="2316" w:type="dxa"/>
            <w:noWrap w:val="0"/>
            <w:vAlign w:val="center"/>
          </w:tcPr>
          <w:p>
            <w:pPr>
              <w:tabs>
                <w:tab w:val="left" w:pos="9781"/>
              </w:tabs>
              <w:rPr>
                <w:rFonts w:hint="eastAsia" w:ascii="宋体" w:hAnsi="宋体" w:cs="宋体"/>
                <w:color w:val="auto"/>
                <w:szCs w:val="21"/>
                <w:highlight w:val="none"/>
              </w:rPr>
            </w:pPr>
            <w:r>
              <w:rPr>
                <w:rFonts w:hint="eastAsia" w:ascii="宋体" w:hAnsi="宋体" w:cs="宋体"/>
                <w:color w:val="auto"/>
                <w:szCs w:val="21"/>
                <w:highlight w:val="none"/>
              </w:rPr>
              <w:t>化(贮)粪池清运处置费</w:t>
            </w:r>
          </w:p>
        </w:tc>
        <w:tc>
          <w:tcPr>
            <w:tcW w:w="2946" w:type="dxa"/>
            <w:noWrap w:val="0"/>
            <w:vAlign w:val="center"/>
          </w:tcPr>
          <w:p>
            <w:pPr>
              <w:tabs>
                <w:tab w:val="left" w:pos="9781"/>
              </w:tabs>
              <w:rPr>
                <w:rFonts w:hint="eastAsia" w:ascii="宋体" w:hAnsi="宋体" w:cs="宋体"/>
                <w:color w:val="auto"/>
                <w:szCs w:val="21"/>
                <w:highlight w:val="none"/>
              </w:rPr>
            </w:pPr>
            <w:r>
              <w:rPr>
                <w:rFonts w:hint="eastAsia" w:ascii="宋体" w:hAnsi="宋体" w:cs="宋体"/>
                <w:color w:val="auto"/>
                <w:szCs w:val="21"/>
                <w:highlight w:val="none"/>
              </w:rPr>
              <w:t>5处（15只）/年</w:t>
            </w:r>
          </w:p>
        </w:tc>
        <w:tc>
          <w:tcPr>
            <w:tcW w:w="3000" w:type="dxa"/>
            <w:noWrap w:val="0"/>
            <w:vAlign w:val="center"/>
          </w:tcPr>
          <w:p>
            <w:pPr>
              <w:tabs>
                <w:tab w:val="left" w:pos="9781"/>
              </w:tabs>
              <w:ind w:firstLine="420" w:firstLineChars="200"/>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noWrap w:val="0"/>
            <w:vAlign w:val="center"/>
          </w:tcPr>
          <w:p>
            <w:pPr>
              <w:tabs>
                <w:tab w:val="left" w:pos="9781"/>
              </w:tabs>
              <w:rPr>
                <w:rFonts w:hint="eastAsia" w:ascii="宋体" w:hAnsi="宋体" w:cs="宋体"/>
                <w:color w:val="auto"/>
                <w:szCs w:val="21"/>
                <w:highlight w:val="none"/>
              </w:rPr>
            </w:pPr>
            <w:r>
              <w:rPr>
                <w:rFonts w:hint="eastAsia" w:ascii="宋体" w:hAnsi="宋体" w:cs="宋体"/>
                <w:color w:val="auto"/>
                <w:szCs w:val="21"/>
                <w:highlight w:val="none"/>
              </w:rPr>
              <w:t>2</w:t>
            </w:r>
          </w:p>
        </w:tc>
        <w:tc>
          <w:tcPr>
            <w:tcW w:w="2316" w:type="dxa"/>
            <w:noWrap w:val="0"/>
            <w:vAlign w:val="center"/>
          </w:tcPr>
          <w:p>
            <w:pPr>
              <w:tabs>
                <w:tab w:val="left" w:pos="9781"/>
              </w:tabs>
              <w:rPr>
                <w:rFonts w:hint="eastAsia" w:ascii="宋体" w:hAnsi="宋体" w:cs="宋体"/>
                <w:color w:val="auto"/>
                <w:szCs w:val="21"/>
                <w:highlight w:val="none"/>
              </w:rPr>
            </w:pPr>
            <w:r>
              <w:rPr>
                <w:rFonts w:hint="eastAsia" w:ascii="宋体" w:hAnsi="宋体" w:cs="宋体"/>
                <w:color w:val="auto"/>
                <w:szCs w:val="21"/>
                <w:highlight w:val="none"/>
              </w:rPr>
              <w:t>垃圾清运处置费</w:t>
            </w:r>
          </w:p>
        </w:tc>
        <w:tc>
          <w:tcPr>
            <w:tcW w:w="2946" w:type="dxa"/>
            <w:noWrap w:val="0"/>
            <w:vAlign w:val="center"/>
          </w:tcPr>
          <w:p>
            <w:pPr>
              <w:tabs>
                <w:tab w:val="left" w:pos="9781"/>
              </w:tabs>
              <w:rPr>
                <w:rFonts w:hint="eastAsia" w:ascii="宋体" w:hAnsi="宋体" w:cs="宋体"/>
                <w:color w:val="auto"/>
                <w:szCs w:val="21"/>
                <w:highlight w:val="none"/>
              </w:rPr>
            </w:pPr>
            <w:r>
              <w:rPr>
                <w:rFonts w:hint="eastAsia" w:ascii="宋体" w:hAnsi="宋体" w:cs="宋体"/>
                <w:color w:val="auto"/>
                <w:szCs w:val="21"/>
                <w:highlight w:val="none"/>
              </w:rPr>
              <w:t>其它垃圾每天约50桶；泔水等易腐垃圾每天约8桶。</w:t>
            </w:r>
          </w:p>
        </w:tc>
        <w:tc>
          <w:tcPr>
            <w:tcW w:w="3000" w:type="dxa"/>
            <w:noWrap w:val="0"/>
            <w:vAlign w:val="center"/>
          </w:tcPr>
          <w:p>
            <w:pPr>
              <w:tabs>
                <w:tab w:val="left" w:pos="9781"/>
              </w:tabs>
              <w:jc w:val="left"/>
              <w:rPr>
                <w:rFonts w:hint="eastAsia" w:ascii="宋体" w:hAnsi="宋体" w:cs="宋体"/>
                <w:color w:val="auto"/>
                <w:szCs w:val="21"/>
                <w:highlight w:val="none"/>
              </w:rPr>
            </w:pPr>
            <w:r>
              <w:rPr>
                <w:rFonts w:hint="eastAsia" w:ascii="宋体" w:hAnsi="宋体" w:cs="宋体"/>
                <w:color w:val="auto"/>
                <w:szCs w:val="21"/>
                <w:highlight w:val="none"/>
              </w:rPr>
              <w:t>数量为预估，全年实际清运量如有变化总费用不变。</w:t>
            </w:r>
          </w:p>
        </w:tc>
      </w:tr>
    </w:tbl>
    <w:p>
      <w:pPr>
        <w:spacing w:line="360" w:lineRule="auto"/>
        <w:rPr>
          <w:rFonts w:hint="eastAsia" w:ascii="宋体" w:hAnsi="宋体" w:cs="宋体"/>
          <w:color w:val="auto"/>
          <w:szCs w:val="21"/>
          <w:highlight w:val="none"/>
        </w:rPr>
      </w:pPr>
    </w:p>
    <w:p>
      <w:pPr>
        <w:numPr>
          <w:ilvl w:val="0"/>
          <w:numId w:val="1"/>
        </w:numPr>
        <w:adjustRightInd w:val="0"/>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商务要求</w:t>
      </w:r>
    </w:p>
    <w:p>
      <w:pPr>
        <w:numPr>
          <w:ilvl w:val="0"/>
          <w:numId w:val="2"/>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付款方式：合同签订后一次性付清。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2、报价方式，总价包干。含服务期内医院生活垃圾处置和清运以及化粪池清运处置全部费用、</w:t>
      </w:r>
      <w:r>
        <w:rPr>
          <w:rFonts w:hint="eastAsia" w:ascii="宋体" w:hAnsi="宋体" w:cs="宋体"/>
          <w:color w:val="auto"/>
          <w:szCs w:val="21"/>
          <w:highlight w:val="none"/>
          <w:lang w:val="zh-CN"/>
        </w:rPr>
        <w:t>在服务区域内提供服务所需的人工费（包括工人工资、奖金、节日加班费、劳保福利、高温补贴、餐费、社保、意外保险、工伤费、教育培训费、暂住费及处理一切伤亡事故等费用）、工人管理费、企业应缴税金和应得利润、应急等完成合同所需的一切本身和不可或缺的所有工作开支、政策性文件规定合同包含的所有风险、责任等各项全部费用并承担一切风险责任</w:t>
      </w:r>
      <w:r>
        <w:rPr>
          <w:rFonts w:hint="eastAsia" w:ascii="宋体" w:hAnsi="宋体" w:cs="宋体"/>
          <w:color w:val="auto"/>
          <w:szCs w:val="21"/>
          <w:highlight w:val="none"/>
        </w:rPr>
        <w:t>。</w:t>
      </w:r>
    </w:p>
    <w:bookmarkEnd w:id="13"/>
    <w:p>
      <w:pPr>
        <w:jc w:val="center"/>
        <w:rPr>
          <w:b/>
          <w:bCs/>
          <w:color w:val="auto"/>
          <w:sz w:val="32"/>
          <w:szCs w:val="32"/>
          <w:highlight w:val="none"/>
        </w:rPr>
      </w:pPr>
      <w:r>
        <w:rPr>
          <w:color w:val="auto"/>
          <w:highlight w:val="none"/>
        </w:rPr>
        <w:br w:type="page"/>
      </w:r>
      <w:r>
        <w:rPr>
          <w:b/>
          <w:bCs/>
          <w:color w:val="auto"/>
          <w:sz w:val="32"/>
          <w:szCs w:val="32"/>
          <w:highlight w:val="none"/>
        </w:rPr>
        <w:t>第三章</w:t>
      </w:r>
      <w:bookmarkEnd w:id="7"/>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8"/>
      <w:bookmarkEnd w:id="9"/>
      <w:bookmarkEnd w:id="10"/>
      <w:bookmarkEnd w:id="11"/>
      <w:bookmarkStart w:id="15" w:name="_Toc82338239"/>
      <w:bookmarkStart w:id="16" w:name="_Toc82873322"/>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5"/>
      <w:bookmarkEnd w:id="16"/>
      <w:r>
        <w:rPr>
          <w:rFonts w:ascii="Times New Roman" w:hAnsi="Times New Roman"/>
          <w:color w:val="auto"/>
          <w:highlight w:val="none"/>
        </w:rPr>
        <w:t>总则</w:t>
      </w:r>
    </w:p>
    <w:p>
      <w:pPr>
        <w:pStyle w:val="4"/>
        <w:spacing w:line="360" w:lineRule="auto"/>
        <w:ind w:firstLine="422"/>
        <w:rPr>
          <w:rFonts w:ascii="Times New Roman" w:hAnsi="Times New Roman"/>
          <w:color w:val="auto"/>
          <w:highlight w:val="none"/>
        </w:rPr>
      </w:pPr>
      <w:bookmarkStart w:id="17" w:name="_Toc82873323"/>
      <w:bookmarkStart w:id="18" w:name="_Toc82338240"/>
      <w:r>
        <w:rPr>
          <w:rFonts w:ascii="Times New Roman" w:hAnsi="Times New Roman"/>
          <w:color w:val="auto"/>
          <w:highlight w:val="none"/>
        </w:rPr>
        <w:t>1.1 实施依据</w:t>
      </w:r>
    </w:p>
    <w:p>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w:t>
      </w:r>
      <w:r>
        <w:rPr>
          <w:rFonts w:hint="eastAsia" w:ascii="Times New Roman" w:hAnsi="Times New Roman"/>
          <w:color w:val="auto"/>
          <w:szCs w:val="21"/>
          <w:highlight w:val="none"/>
          <w:lang w:eastAsia="zh-CN"/>
        </w:rPr>
        <w:t>杭州市第三人民医院</w:t>
      </w:r>
      <w:r>
        <w:rPr>
          <w:rFonts w:hint="eastAsia" w:ascii="Times New Roman" w:hAnsi="Times New Roman"/>
          <w:color w:val="auto"/>
          <w:szCs w:val="21"/>
          <w:highlight w:val="none"/>
        </w:rPr>
        <w:t>，见“供应商须知前附表”；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7"/>
      <w:bookmarkEnd w:id="18"/>
    </w:p>
    <w:p>
      <w:pPr>
        <w:pStyle w:val="4"/>
        <w:spacing w:line="360" w:lineRule="auto"/>
        <w:ind w:firstLine="422"/>
        <w:rPr>
          <w:rFonts w:ascii="Times New Roman" w:hAnsi="Times New Roman"/>
          <w:color w:val="auto"/>
          <w:highlight w:val="none"/>
        </w:rPr>
      </w:pPr>
      <w:bookmarkStart w:id="19" w:name="_Toc82873324"/>
      <w:bookmarkStart w:id="20" w:name="_Toc82338241"/>
      <w:r>
        <w:rPr>
          <w:rFonts w:ascii="Times New Roman" w:hAnsi="Times New Roman"/>
          <w:color w:val="auto"/>
          <w:highlight w:val="none"/>
        </w:rPr>
        <w:t>2.1 采购文件组成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9"/>
      <w:bookmarkEnd w:id="20"/>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服务</w:t>
      </w:r>
      <w:r>
        <w:rPr>
          <w:rFonts w:ascii="Times New Roman" w:hAnsi="Times New Roman"/>
          <w:color w:val="auto"/>
          <w:highlight w:val="none"/>
        </w:rPr>
        <w:t>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（8）</w:t>
      </w:r>
      <w:r>
        <w:rPr>
          <w:rFonts w:ascii="Times New Roman" w:hAnsi="Times New Roman"/>
          <w:color w:val="auto"/>
          <w:highlight w:val="none"/>
        </w:rPr>
        <w:t>物资装备配置</w:t>
      </w:r>
      <w:r>
        <w:rPr>
          <w:rFonts w:hint="eastAsia" w:ascii="Times New Roman" w:hAnsi="Times New Roman"/>
          <w:color w:val="auto"/>
          <w:highlight w:val="none"/>
        </w:rPr>
        <w:t>：</w:t>
      </w:r>
      <w:r>
        <w:rPr>
          <w:rFonts w:ascii="Times New Roman" w:hAnsi="Times New Roman"/>
          <w:color w:val="auto"/>
          <w:highlight w:val="none"/>
        </w:rPr>
        <w:t>投标人</w:t>
      </w:r>
      <w:r>
        <w:rPr>
          <w:rFonts w:hint="eastAsia" w:ascii="Times New Roman" w:hAnsi="Times New Roman"/>
          <w:color w:val="auto"/>
          <w:highlight w:val="none"/>
        </w:rPr>
        <w:t>运输车辆（需提供运输许可证复印件），提供证书复印件，办公</w:t>
      </w:r>
      <w:r>
        <w:rPr>
          <w:rFonts w:ascii="Times New Roman" w:hAnsi="Times New Roman"/>
          <w:color w:val="auto"/>
          <w:highlight w:val="none"/>
        </w:rPr>
        <w:t>设备及工</w:t>
      </w:r>
      <w:r>
        <w:rPr>
          <w:rFonts w:hint="eastAsia" w:ascii="Times New Roman" w:hAnsi="Times New Roman"/>
          <w:color w:val="auto"/>
          <w:highlight w:val="none"/>
        </w:rPr>
        <w:t>器</w:t>
      </w:r>
      <w:r>
        <w:rPr>
          <w:rFonts w:ascii="Times New Roman" w:hAnsi="Times New Roman"/>
          <w:color w:val="auto"/>
          <w:highlight w:val="none"/>
        </w:rPr>
        <w:t>具、消耗材料配备</w:t>
      </w:r>
      <w:r>
        <w:rPr>
          <w:rFonts w:hint="eastAsia" w:ascii="Times New Roman" w:hAnsi="Times New Roman"/>
          <w:color w:val="auto"/>
          <w:highlight w:val="none"/>
        </w:rPr>
        <w:t>；</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（9）</w:t>
      </w:r>
      <w:r>
        <w:rPr>
          <w:rFonts w:ascii="Times New Roman" w:hAnsi="Times New Roman"/>
          <w:color w:val="auto"/>
          <w:highlight w:val="none"/>
        </w:rPr>
        <w:t>项目组织架构、人员配备、管理</w:t>
      </w:r>
      <w:r>
        <w:rPr>
          <w:rFonts w:hint="eastAsia" w:ascii="Times New Roman" w:hAnsi="Times New Roman"/>
          <w:color w:val="auto"/>
          <w:highlight w:val="none"/>
        </w:rPr>
        <w:t>；</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（10）</w:t>
      </w:r>
      <w:r>
        <w:rPr>
          <w:rFonts w:ascii="Times New Roman" w:hAnsi="Times New Roman"/>
          <w:color w:val="auto"/>
          <w:highlight w:val="none"/>
        </w:rPr>
        <w:t>项目负责人资历</w:t>
      </w:r>
      <w:r>
        <w:rPr>
          <w:rFonts w:hint="eastAsia" w:ascii="Times New Roman" w:hAnsi="Times New Roman"/>
          <w:color w:val="auto"/>
          <w:highlight w:val="none"/>
        </w:rPr>
        <w:t>和</w:t>
      </w:r>
      <w:r>
        <w:rPr>
          <w:rFonts w:ascii="Times New Roman" w:hAnsi="Times New Roman"/>
          <w:color w:val="auto"/>
          <w:highlight w:val="none"/>
        </w:rPr>
        <w:t>类似项目业绩</w:t>
      </w:r>
      <w:r>
        <w:rPr>
          <w:rFonts w:hint="eastAsia" w:ascii="Times New Roman" w:hAnsi="Times New Roman"/>
          <w:color w:val="auto"/>
          <w:highlight w:val="none"/>
        </w:rPr>
        <w:t>，提供证明材料；</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（11）</w:t>
      </w:r>
      <w:r>
        <w:rPr>
          <w:rFonts w:ascii="Times New Roman" w:hAnsi="Times New Roman"/>
          <w:color w:val="auto"/>
          <w:highlight w:val="none"/>
        </w:rPr>
        <w:t>实施方案</w:t>
      </w:r>
      <w:r>
        <w:rPr>
          <w:rFonts w:hint="eastAsia" w:ascii="Times New Roman" w:hAnsi="Times New Roman"/>
          <w:color w:val="auto"/>
          <w:highlight w:val="none"/>
        </w:rPr>
        <w:t>：</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1）管理服务模式、工作流程；</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2）各项管理服务标准；</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3）防止交叉感染和消毒隔离制度和措施；</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4）管理承诺。</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（12）</w:t>
      </w:r>
      <w:r>
        <w:rPr>
          <w:rFonts w:ascii="Times New Roman" w:hAnsi="Times New Roman"/>
          <w:color w:val="auto"/>
          <w:highlight w:val="none"/>
        </w:rPr>
        <w:t>投标人</w:t>
      </w:r>
      <w:r>
        <w:rPr>
          <w:rFonts w:hint="eastAsia" w:ascii="Times New Roman" w:hAnsi="Times New Roman"/>
          <w:color w:val="auto"/>
          <w:highlight w:val="none"/>
        </w:rPr>
        <w:t>以往本项目生活垃圾处置</w:t>
      </w:r>
      <w:r>
        <w:rPr>
          <w:rFonts w:ascii="Times New Roman" w:hAnsi="Times New Roman"/>
          <w:color w:val="auto"/>
          <w:highlight w:val="none"/>
        </w:rPr>
        <w:t>服务</w:t>
      </w:r>
      <w:r>
        <w:rPr>
          <w:rFonts w:hint="eastAsia" w:ascii="Times New Roman" w:hAnsi="Times New Roman"/>
          <w:color w:val="auto"/>
          <w:highlight w:val="none"/>
        </w:rPr>
        <w:t>的</w:t>
      </w:r>
      <w:r>
        <w:rPr>
          <w:rFonts w:ascii="Times New Roman" w:hAnsi="Times New Roman"/>
          <w:color w:val="auto"/>
          <w:highlight w:val="none"/>
        </w:rPr>
        <w:t>服务业绩（提供合同复印件），</w:t>
      </w:r>
      <w:r>
        <w:rPr>
          <w:rFonts w:hint="eastAsia" w:ascii="Times New Roman" w:hAnsi="Times New Roman"/>
          <w:color w:val="auto"/>
          <w:highlight w:val="none"/>
        </w:rPr>
        <w:t>需</w:t>
      </w:r>
      <w:r>
        <w:rPr>
          <w:rFonts w:ascii="Times New Roman" w:hAnsi="Times New Roman"/>
          <w:color w:val="auto"/>
          <w:highlight w:val="none"/>
        </w:rPr>
        <w:t>提供</w:t>
      </w:r>
      <w:r>
        <w:rPr>
          <w:rFonts w:hint="eastAsia" w:ascii="Times New Roman" w:hAnsi="Times New Roman"/>
          <w:color w:val="auto"/>
          <w:highlight w:val="none"/>
        </w:rPr>
        <w:t>不同的服务单位</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（13）</w:t>
      </w:r>
      <w:r>
        <w:rPr>
          <w:rFonts w:ascii="Times New Roman" w:hAnsi="Times New Roman"/>
          <w:color w:val="auto"/>
          <w:highlight w:val="none"/>
        </w:rPr>
        <w:t>突发事件应急处理措施</w:t>
      </w:r>
      <w:r>
        <w:rPr>
          <w:rFonts w:hint="eastAsia" w:ascii="Times New Roman" w:hAnsi="Times New Roman"/>
          <w:color w:val="auto"/>
          <w:highlight w:val="none"/>
        </w:rPr>
        <w:t>：</w:t>
      </w:r>
      <w:r>
        <w:rPr>
          <w:rFonts w:ascii="Times New Roman" w:hAnsi="Times New Roman"/>
          <w:color w:val="auto"/>
          <w:highlight w:val="none"/>
        </w:rPr>
        <w:t>在投标文件中详细说明项目的特征及针对本行业制定的紧急预案</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（14）垃圾的处置：对生活垃圾的处置情况；</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（15）服务承诺及</w:t>
      </w:r>
      <w:r>
        <w:rPr>
          <w:rFonts w:ascii="Times New Roman" w:hAnsi="Times New Roman"/>
          <w:color w:val="auto"/>
          <w:highlight w:val="none"/>
        </w:rPr>
        <w:t>合理化创新建议</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16</w:t>
      </w:r>
      <w:r>
        <w:rPr>
          <w:rFonts w:hint="eastAsia" w:ascii="Times New Roman" w:hAnsi="Times New Roman"/>
          <w:color w:val="auto"/>
          <w:highlight w:val="none"/>
        </w:rPr>
        <w:t>）投标人认为有必要提供的其它文件（附：中标服务费支付承</w:t>
      </w:r>
      <w:r>
        <w:rPr>
          <w:rFonts w:ascii="Times New Roman" w:hAnsi="Times New Roman"/>
          <w:color w:val="auto"/>
          <w:highlight w:val="none"/>
        </w:rPr>
        <w:t>诺书）。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3"/>
        <w:spacing w:line="360" w:lineRule="auto"/>
        <w:ind w:firstLine="422"/>
        <w:rPr>
          <w:rFonts w:ascii="Times New Roman" w:hAnsi="Times New Roman"/>
          <w:color w:val="auto"/>
          <w:highlight w:val="none"/>
        </w:rPr>
      </w:pPr>
      <w:bookmarkStart w:id="21" w:name="_Toc82873325"/>
      <w:bookmarkStart w:id="22" w:name="_Toc82338242"/>
      <w:r>
        <w:rPr>
          <w:rFonts w:ascii="Times New Roman" w:hAnsi="Times New Roman"/>
          <w:color w:val="auto"/>
          <w:highlight w:val="none"/>
        </w:rPr>
        <w:t>四、投标</w:t>
      </w:r>
      <w:bookmarkEnd w:id="21"/>
      <w:bookmarkEnd w:id="22"/>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3"/>
        <w:spacing w:line="360" w:lineRule="auto"/>
        <w:ind w:firstLine="422"/>
        <w:rPr>
          <w:rFonts w:ascii="Times New Roman" w:hAnsi="Times New Roman"/>
          <w:color w:val="auto"/>
          <w:highlight w:val="none"/>
        </w:rPr>
      </w:pPr>
      <w:bookmarkStart w:id="23" w:name="_Toc82338243"/>
      <w:bookmarkStart w:id="24" w:name="_Toc82873326"/>
      <w:r>
        <w:rPr>
          <w:rFonts w:ascii="Times New Roman" w:hAnsi="Times New Roman"/>
          <w:color w:val="auto"/>
          <w:highlight w:val="none"/>
        </w:rPr>
        <w:t>五、开标、评标</w:t>
      </w:r>
      <w:bookmarkEnd w:id="23"/>
      <w:bookmarkEnd w:id="24"/>
      <w:r>
        <w:rPr>
          <w:rFonts w:ascii="Times New Roman" w:hAnsi="Times New Roman"/>
          <w:color w:val="auto"/>
          <w:highlight w:val="none"/>
        </w:rPr>
        <w:t>及合同签订</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w:t>
      </w:r>
      <w:r>
        <w:rPr>
          <w:rFonts w:hint="eastAsia" w:ascii="Times New Roman" w:hAnsi="Times New Roman"/>
          <w:color w:val="auto"/>
          <w:highlight w:val="none"/>
          <w:lang w:eastAsia="zh-CN"/>
        </w:rPr>
        <w:t>14847913</w:t>
      </w:r>
      <w:r>
        <w:rPr>
          <w:rFonts w:hint="eastAsia" w:ascii="Times New Roman" w:hAnsi="Times New Roman"/>
          <w:color w:val="auto"/>
          <w:highlight w:val="none"/>
        </w:rPr>
        <w:t>@qq.com，联系人：</w:t>
      </w:r>
      <w:r>
        <w:rPr>
          <w:rFonts w:hint="eastAsia" w:ascii="Times New Roman" w:hAnsi="Times New Roman"/>
          <w:color w:val="auto"/>
          <w:highlight w:val="none"/>
          <w:lang w:eastAsia="zh-CN"/>
        </w:rPr>
        <w:t>苑洪春</w:t>
      </w:r>
      <w:r>
        <w:rPr>
          <w:rFonts w:hint="eastAsia" w:ascii="Times New Roman" w:hAnsi="Times New Roman"/>
          <w:color w:val="auto"/>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rFonts w:hint="default" w:eastAsia="宋体"/>
          <w:color w:val="auto"/>
          <w:highlight w:val="none"/>
          <w:lang w:val="en-US" w:eastAsia="zh-CN"/>
        </w:rPr>
      </w:pPr>
      <w:r>
        <w:rPr>
          <w:rFonts w:hint="eastAsia"/>
          <w:color w:val="auto"/>
          <w:highlight w:val="none"/>
          <w:lang w:val="en-US" w:eastAsia="zh-CN"/>
        </w:rPr>
        <w:t>9）</w:t>
      </w:r>
      <w:r>
        <w:rPr>
          <w:rFonts w:ascii="Times New Roman" w:hAnsi="Times New Roman" w:eastAsia="宋体" w:cs="Times New Roman"/>
          <w:color w:val="auto"/>
          <w:highlight w:val="none"/>
        </w:rPr>
        <w:t>供应商IP、MAC、设备硬件信息一致</w:t>
      </w:r>
      <w:r>
        <w:rPr>
          <w:rFonts w:hint="eastAsia" w:ascii="Times New Roman" w:hAnsi="Times New Roman" w:eastAsia="宋体" w:cs="Times New Roman"/>
          <w:color w:val="auto"/>
          <w:highlight w:val="none"/>
          <w:lang w:val="en-US" w:eastAsia="zh-CN"/>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bookmarkStart w:id="25"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5"/>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6" w:name="_Toc495317671"/>
      <w:r>
        <w:rPr>
          <w:rFonts w:ascii="Times New Roman" w:hAnsi="Times New Roman" w:eastAsia="宋体"/>
          <w:color w:val="auto"/>
          <w:highlight w:val="none"/>
        </w:rPr>
        <w:t>第四章  评标办法</w:t>
      </w:r>
      <w:bookmarkEnd w:id="26"/>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7" w:name="_Toc345320402"/>
      <w:r>
        <w:rPr>
          <w:color w:val="auto"/>
          <w:szCs w:val="21"/>
          <w:highlight w:val="none"/>
        </w:rPr>
        <w:t>1）</w:t>
      </w:r>
      <w:r>
        <w:rPr>
          <w:b/>
          <w:bCs/>
          <w:color w:val="auto"/>
          <w:szCs w:val="21"/>
          <w:highlight w:val="none"/>
        </w:rPr>
        <w:t>商务技术分</w:t>
      </w:r>
      <w:bookmarkEnd w:id="27"/>
      <w:r>
        <w:rPr>
          <w:rFonts w:hint="eastAsia"/>
          <w:b/>
          <w:bCs/>
          <w:color w:val="auto"/>
          <w:szCs w:val="21"/>
          <w:highlight w:val="none"/>
        </w:rPr>
        <w:t>（</w:t>
      </w:r>
      <w:r>
        <w:rPr>
          <w:rFonts w:hint="eastAsia"/>
          <w:b/>
          <w:bCs/>
          <w:color w:val="auto"/>
          <w:szCs w:val="21"/>
          <w:highlight w:val="none"/>
          <w:lang w:val="en-US" w:eastAsia="zh-CN"/>
        </w:rPr>
        <w:t>9</w:t>
      </w:r>
      <w:r>
        <w:rPr>
          <w:rFonts w:hint="eastAsia"/>
          <w:b/>
          <w:bCs/>
          <w:color w:val="auto"/>
          <w:szCs w:val="21"/>
          <w:highlight w:val="none"/>
        </w:rPr>
        <w:t>0分）</w:t>
      </w:r>
    </w:p>
    <w:p>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3"/>
        <w:gridCol w:w="833"/>
        <w:gridCol w:w="62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60" w:lineRule="auto"/>
              <w:ind w:left="-50"/>
              <w:jc w:val="center"/>
              <w:rPr>
                <w:b/>
                <w:color w:val="auto"/>
                <w:szCs w:val="21"/>
                <w:highlight w:val="none"/>
              </w:rPr>
            </w:pPr>
            <w:r>
              <w:rPr>
                <w:rFonts w:hAnsi="宋体"/>
                <w:b/>
                <w:color w:val="auto"/>
                <w:szCs w:val="21"/>
                <w:highlight w:val="none"/>
              </w:rPr>
              <w:t>序号</w:t>
            </w:r>
          </w:p>
        </w:tc>
        <w:tc>
          <w:tcPr>
            <w:tcW w:w="1413" w:type="dxa"/>
            <w:noWrap w:val="0"/>
            <w:vAlign w:val="center"/>
          </w:tcPr>
          <w:p>
            <w:pPr>
              <w:spacing w:line="360" w:lineRule="auto"/>
              <w:ind w:left="-50"/>
              <w:jc w:val="center"/>
              <w:rPr>
                <w:b/>
                <w:color w:val="auto"/>
                <w:szCs w:val="21"/>
                <w:highlight w:val="none"/>
              </w:rPr>
            </w:pPr>
            <w:r>
              <w:rPr>
                <w:rFonts w:hAnsi="宋体"/>
                <w:b/>
                <w:color w:val="auto"/>
                <w:szCs w:val="21"/>
                <w:highlight w:val="none"/>
              </w:rPr>
              <w:t>评分内容</w:t>
            </w:r>
          </w:p>
        </w:tc>
        <w:tc>
          <w:tcPr>
            <w:tcW w:w="833" w:type="dxa"/>
            <w:noWrap w:val="0"/>
            <w:vAlign w:val="center"/>
          </w:tcPr>
          <w:p>
            <w:pPr>
              <w:spacing w:line="360" w:lineRule="auto"/>
              <w:jc w:val="center"/>
              <w:rPr>
                <w:b/>
                <w:color w:val="auto"/>
                <w:szCs w:val="21"/>
                <w:highlight w:val="none"/>
              </w:rPr>
            </w:pPr>
            <w:r>
              <w:rPr>
                <w:rFonts w:hAnsi="宋体"/>
                <w:b/>
                <w:color w:val="auto"/>
                <w:szCs w:val="21"/>
                <w:highlight w:val="none"/>
              </w:rPr>
              <w:t>分值</w:t>
            </w:r>
          </w:p>
        </w:tc>
        <w:tc>
          <w:tcPr>
            <w:tcW w:w="6203" w:type="dxa"/>
            <w:noWrap w:val="0"/>
            <w:vAlign w:val="center"/>
          </w:tcPr>
          <w:p>
            <w:pPr>
              <w:spacing w:line="360" w:lineRule="auto"/>
              <w:ind w:left="-50"/>
              <w:jc w:val="center"/>
              <w:rPr>
                <w:b/>
                <w:color w:val="auto"/>
                <w:szCs w:val="21"/>
                <w:highlight w:val="none"/>
              </w:rPr>
            </w:pPr>
            <w:r>
              <w:rPr>
                <w:rFonts w:hAnsi="宋体"/>
                <w:b/>
                <w:color w:val="auto"/>
                <w:szCs w:val="21"/>
                <w:highlight w:val="none"/>
              </w:rPr>
              <w:t>评审标准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60" w:lineRule="auto"/>
              <w:ind w:left="-50"/>
              <w:jc w:val="center"/>
              <w:rPr>
                <w:color w:val="auto"/>
                <w:szCs w:val="21"/>
                <w:highlight w:val="none"/>
              </w:rPr>
            </w:pPr>
            <w:r>
              <w:rPr>
                <w:color w:val="auto"/>
                <w:szCs w:val="21"/>
                <w:highlight w:val="none"/>
              </w:rPr>
              <w:t>1</w:t>
            </w:r>
          </w:p>
        </w:tc>
        <w:tc>
          <w:tcPr>
            <w:tcW w:w="1413" w:type="dxa"/>
            <w:noWrap w:val="0"/>
            <w:vAlign w:val="center"/>
          </w:tcPr>
          <w:p>
            <w:pPr>
              <w:spacing w:line="360" w:lineRule="auto"/>
              <w:rPr>
                <w:color w:val="auto"/>
                <w:szCs w:val="21"/>
                <w:highlight w:val="none"/>
              </w:rPr>
            </w:pPr>
            <w:r>
              <w:rPr>
                <w:rFonts w:hAnsi="宋体"/>
                <w:bCs/>
                <w:color w:val="auto"/>
                <w:szCs w:val="21"/>
                <w:highlight w:val="none"/>
              </w:rPr>
              <w:t>采购需求响应</w:t>
            </w:r>
          </w:p>
        </w:tc>
        <w:tc>
          <w:tcPr>
            <w:tcW w:w="833" w:type="dxa"/>
            <w:noWrap w:val="0"/>
            <w:vAlign w:val="center"/>
          </w:tcPr>
          <w:p>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28</w:t>
            </w:r>
          </w:p>
        </w:tc>
        <w:tc>
          <w:tcPr>
            <w:tcW w:w="6203" w:type="dxa"/>
            <w:noWrap w:val="0"/>
            <w:vAlign w:val="center"/>
          </w:tcPr>
          <w:p>
            <w:pPr>
              <w:spacing w:line="360" w:lineRule="auto"/>
              <w:rPr>
                <w:rFonts w:hint="eastAsia"/>
                <w:color w:val="auto"/>
                <w:szCs w:val="21"/>
                <w:highlight w:val="none"/>
              </w:rPr>
            </w:pPr>
            <w:r>
              <w:rPr>
                <w:rFonts w:hAnsi="宋体"/>
                <w:bCs/>
                <w:color w:val="auto"/>
                <w:szCs w:val="21"/>
                <w:highlight w:val="none"/>
              </w:rPr>
              <w:t>投标文件</w:t>
            </w:r>
            <w:r>
              <w:rPr>
                <w:rFonts w:hint="eastAsia" w:hAnsi="宋体"/>
                <w:bCs/>
                <w:color w:val="auto"/>
                <w:szCs w:val="21"/>
                <w:highlight w:val="none"/>
              </w:rPr>
              <w:t>根据采购文件</w:t>
            </w:r>
            <w:r>
              <w:rPr>
                <w:rFonts w:hAnsi="宋体"/>
                <w:bCs/>
                <w:color w:val="auto"/>
                <w:szCs w:val="21"/>
                <w:highlight w:val="none"/>
              </w:rPr>
              <w:t>第</w:t>
            </w:r>
            <w:r>
              <w:rPr>
                <w:rFonts w:hint="eastAsia" w:hAnsi="宋体"/>
                <w:bCs/>
                <w:color w:val="auto"/>
                <w:szCs w:val="21"/>
                <w:highlight w:val="none"/>
              </w:rPr>
              <w:t>三</w:t>
            </w:r>
            <w:r>
              <w:rPr>
                <w:rFonts w:hAnsi="宋体"/>
                <w:bCs/>
                <w:color w:val="auto"/>
                <w:szCs w:val="21"/>
                <w:highlight w:val="none"/>
              </w:rPr>
              <w:t>章</w:t>
            </w:r>
            <w:r>
              <w:rPr>
                <w:rFonts w:hint="eastAsia"/>
                <w:color w:val="auto"/>
                <w:highlight w:val="none"/>
              </w:rPr>
              <w:t>“二、服务要求”</w:t>
            </w:r>
            <w:r>
              <w:rPr>
                <w:rFonts w:hint="eastAsia" w:hAnsi="宋体"/>
                <w:bCs/>
                <w:color w:val="auto"/>
                <w:szCs w:val="21"/>
                <w:highlight w:val="none"/>
              </w:rPr>
              <w:t>的响应情况</w:t>
            </w:r>
            <w:r>
              <w:rPr>
                <w:rFonts w:hAnsi="宋体"/>
                <w:bCs/>
                <w:color w:val="auto"/>
                <w:szCs w:val="21"/>
                <w:highlight w:val="none"/>
              </w:rPr>
              <w:t>，每一条不能完全响应采购需求的要求，扣</w:t>
            </w:r>
            <w:r>
              <w:rPr>
                <w:rFonts w:hint="eastAsia"/>
                <w:bCs/>
                <w:color w:val="auto"/>
                <w:szCs w:val="21"/>
                <w:highlight w:val="none"/>
                <w:lang w:val="en-US" w:eastAsia="zh-CN"/>
              </w:rPr>
              <w:t>4</w:t>
            </w:r>
            <w:r>
              <w:rPr>
                <w:rFonts w:hAnsi="宋体"/>
                <w:bCs/>
                <w:color w:val="auto"/>
                <w:szCs w:val="21"/>
                <w:highlight w:val="none"/>
              </w:rPr>
              <w:t>分，扣完</w:t>
            </w:r>
            <w:r>
              <w:rPr>
                <w:rFonts w:hint="eastAsia" w:hAnsi="宋体"/>
                <w:bCs/>
                <w:color w:val="auto"/>
                <w:szCs w:val="21"/>
                <w:highlight w:val="none"/>
              </w:rPr>
              <w:t>为止</w:t>
            </w:r>
            <w:r>
              <w:rPr>
                <w:rFonts w:hAnsi="宋体"/>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pacing w:line="360" w:lineRule="auto"/>
              <w:ind w:left="-50"/>
              <w:jc w:val="center"/>
              <w:rPr>
                <w:rFonts w:hint="eastAsia"/>
                <w:color w:val="auto"/>
                <w:szCs w:val="21"/>
                <w:highlight w:val="none"/>
              </w:rPr>
            </w:pPr>
            <w:r>
              <w:rPr>
                <w:rFonts w:hint="eastAsia"/>
                <w:color w:val="auto"/>
                <w:szCs w:val="21"/>
                <w:highlight w:val="none"/>
              </w:rPr>
              <w:t>2</w:t>
            </w:r>
          </w:p>
        </w:tc>
        <w:tc>
          <w:tcPr>
            <w:tcW w:w="1413" w:type="dxa"/>
            <w:vMerge w:val="restart"/>
            <w:noWrap w:val="0"/>
            <w:vAlign w:val="center"/>
          </w:tcPr>
          <w:p>
            <w:pPr>
              <w:spacing w:line="360" w:lineRule="auto"/>
              <w:rPr>
                <w:color w:val="auto"/>
                <w:szCs w:val="21"/>
                <w:highlight w:val="none"/>
              </w:rPr>
            </w:pPr>
            <w:r>
              <w:rPr>
                <w:rFonts w:hAnsi="宋体"/>
                <w:color w:val="auto"/>
                <w:szCs w:val="21"/>
                <w:highlight w:val="none"/>
              </w:rPr>
              <w:t>物资装备配置</w:t>
            </w:r>
          </w:p>
        </w:tc>
        <w:tc>
          <w:tcPr>
            <w:tcW w:w="833" w:type="dxa"/>
            <w:vMerge w:val="restart"/>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6203" w:type="dxa"/>
            <w:noWrap w:val="0"/>
            <w:vAlign w:val="center"/>
          </w:tcPr>
          <w:p>
            <w:pPr>
              <w:spacing w:line="360" w:lineRule="auto"/>
              <w:rPr>
                <w:color w:val="auto"/>
                <w:szCs w:val="21"/>
                <w:highlight w:val="none"/>
              </w:rPr>
            </w:pPr>
            <w:r>
              <w:rPr>
                <w:rFonts w:hint="eastAsia" w:hAnsi="宋体"/>
                <w:color w:val="auto"/>
                <w:szCs w:val="21"/>
                <w:highlight w:val="none"/>
              </w:rPr>
              <w:t>供应商运输车辆具有道路运输经营许可证得2分，提供证书复印件且证书上体现的“业户姓名”须与投标人名称一致，否则不予认可，否则不得分。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360" w:lineRule="auto"/>
              <w:ind w:left="-50"/>
              <w:jc w:val="center"/>
              <w:rPr>
                <w:rFonts w:hint="eastAsia"/>
                <w:color w:val="auto"/>
                <w:szCs w:val="21"/>
                <w:highlight w:val="none"/>
              </w:rPr>
            </w:pPr>
          </w:p>
        </w:tc>
        <w:tc>
          <w:tcPr>
            <w:tcW w:w="1413" w:type="dxa"/>
            <w:vMerge w:val="continue"/>
            <w:noWrap w:val="0"/>
            <w:vAlign w:val="center"/>
          </w:tcPr>
          <w:p>
            <w:pPr>
              <w:spacing w:line="360" w:lineRule="auto"/>
              <w:rPr>
                <w:rFonts w:hAnsi="宋体"/>
                <w:color w:val="auto"/>
                <w:szCs w:val="21"/>
                <w:highlight w:val="none"/>
              </w:rPr>
            </w:pPr>
          </w:p>
        </w:tc>
        <w:tc>
          <w:tcPr>
            <w:tcW w:w="833" w:type="dxa"/>
            <w:vMerge w:val="continue"/>
            <w:noWrap w:val="0"/>
            <w:vAlign w:val="center"/>
          </w:tcPr>
          <w:p>
            <w:pPr>
              <w:spacing w:line="360" w:lineRule="auto"/>
              <w:jc w:val="center"/>
              <w:rPr>
                <w:rFonts w:hint="eastAsia"/>
                <w:color w:val="auto"/>
                <w:szCs w:val="21"/>
                <w:highlight w:val="none"/>
              </w:rPr>
            </w:pPr>
          </w:p>
        </w:tc>
        <w:tc>
          <w:tcPr>
            <w:tcW w:w="6203" w:type="dxa"/>
            <w:noWrap w:val="0"/>
            <w:vAlign w:val="center"/>
          </w:tcPr>
          <w:p>
            <w:pPr>
              <w:spacing w:line="360" w:lineRule="auto"/>
              <w:rPr>
                <w:rFonts w:hint="eastAsia" w:hAnsi="宋体"/>
                <w:color w:val="auto"/>
                <w:szCs w:val="21"/>
                <w:highlight w:val="none"/>
              </w:rPr>
            </w:pPr>
            <w:r>
              <w:rPr>
                <w:rFonts w:hint="eastAsia" w:hAnsi="宋体"/>
                <w:color w:val="auto"/>
                <w:szCs w:val="21"/>
                <w:highlight w:val="none"/>
              </w:rPr>
              <w:t>办公</w:t>
            </w:r>
            <w:r>
              <w:rPr>
                <w:rFonts w:hAnsi="宋体"/>
                <w:color w:val="auto"/>
                <w:szCs w:val="21"/>
                <w:highlight w:val="none"/>
              </w:rPr>
              <w:t>设备及工</w:t>
            </w:r>
            <w:r>
              <w:rPr>
                <w:rFonts w:hint="eastAsia" w:hAnsi="宋体"/>
                <w:color w:val="auto"/>
                <w:szCs w:val="21"/>
                <w:highlight w:val="none"/>
              </w:rPr>
              <w:t>器</w:t>
            </w:r>
            <w:r>
              <w:rPr>
                <w:rFonts w:hAnsi="宋体"/>
                <w:color w:val="auto"/>
                <w:szCs w:val="21"/>
                <w:highlight w:val="none"/>
              </w:rPr>
              <w:t>具、消耗材料配备的满足性、合理性、实用性</w:t>
            </w:r>
            <w:r>
              <w:rPr>
                <w:rFonts w:hint="eastAsia" w:hAnsi="宋体"/>
                <w:color w:val="auto"/>
                <w:szCs w:val="21"/>
                <w:highlight w:val="none"/>
              </w:rPr>
              <w:t>等进行评审。0-</w:t>
            </w:r>
            <w:r>
              <w:rPr>
                <w:rFonts w:hint="eastAsia" w:hAnsi="宋体"/>
                <w:color w:val="auto"/>
                <w:szCs w:val="21"/>
                <w:highlight w:val="none"/>
                <w:lang w:val="en-US" w:eastAsia="zh-CN"/>
              </w:rPr>
              <w:t>5</w:t>
            </w:r>
            <w:r>
              <w:rPr>
                <w:rFonts w:hint="eastAsia" w:hAnsi="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pacing w:line="360" w:lineRule="auto"/>
              <w:ind w:left="-50"/>
              <w:jc w:val="center"/>
              <w:rPr>
                <w:rFonts w:hint="eastAsia"/>
                <w:color w:val="auto"/>
                <w:szCs w:val="21"/>
                <w:highlight w:val="none"/>
              </w:rPr>
            </w:pPr>
            <w:r>
              <w:rPr>
                <w:rFonts w:hint="eastAsia"/>
                <w:color w:val="auto"/>
                <w:szCs w:val="21"/>
                <w:highlight w:val="none"/>
              </w:rPr>
              <w:t>3</w:t>
            </w:r>
          </w:p>
        </w:tc>
        <w:tc>
          <w:tcPr>
            <w:tcW w:w="1413" w:type="dxa"/>
            <w:vMerge w:val="restart"/>
            <w:noWrap w:val="0"/>
            <w:vAlign w:val="center"/>
          </w:tcPr>
          <w:p>
            <w:pPr>
              <w:spacing w:line="360" w:lineRule="auto"/>
              <w:rPr>
                <w:color w:val="auto"/>
                <w:szCs w:val="21"/>
                <w:highlight w:val="none"/>
              </w:rPr>
            </w:pPr>
            <w:r>
              <w:rPr>
                <w:rFonts w:hAnsi="宋体"/>
                <w:color w:val="auto"/>
                <w:szCs w:val="21"/>
                <w:highlight w:val="none"/>
              </w:rPr>
              <w:t>项目管理</w:t>
            </w:r>
          </w:p>
        </w:tc>
        <w:tc>
          <w:tcPr>
            <w:tcW w:w="833" w:type="dxa"/>
            <w:noWrap w:val="0"/>
            <w:vAlign w:val="center"/>
          </w:tcPr>
          <w:p>
            <w:pPr>
              <w:spacing w:line="360" w:lineRule="auto"/>
              <w:jc w:val="center"/>
              <w:rPr>
                <w:rFonts w:hint="eastAsia"/>
                <w:color w:val="auto"/>
                <w:szCs w:val="21"/>
                <w:highlight w:val="none"/>
              </w:rPr>
            </w:pPr>
            <w:r>
              <w:rPr>
                <w:rFonts w:hint="eastAsia"/>
                <w:color w:val="auto"/>
                <w:szCs w:val="21"/>
                <w:highlight w:val="none"/>
              </w:rPr>
              <w:t>5</w:t>
            </w:r>
          </w:p>
        </w:tc>
        <w:tc>
          <w:tcPr>
            <w:tcW w:w="6203" w:type="dxa"/>
            <w:noWrap w:val="0"/>
            <w:vAlign w:val="center"/>
          </w:tcPr>
          <w:p>
            <w:pPr>
              <w:spacing w:line="360" w:lineRule="auto"/>
              <w:rPr>
                <w:color w:val="auto"/>
                <w:szCs w:val="21"/>
                <w:highlight w:val="none"/>
              </w:rPr>
            </w:pPr>
            <w:r>
              <w:rPr>
                <w:rFonts w:hAnsi="宋体"/>
                <w:color w:val="auto"/>
                <w:szCs w:val="21"/>
                <w:highlight w:val="none"/>
              </w:rPr>
              <w:t>项目组织架构清晰、人员配备合理</w:t>
            </w:r>
            <w:r>
              <w:rPr>
                <w:rFonts w:hint="eastAsia" w:hAnsi="宋体"/>
                <w:color w:val="auto"/>
                <w:szCs w:val="21"/>
                <w:highlight w:val="none"/>
              </w:rPr>
              <w:t>性</w:t>
            </w:r>
            <w:r>
              <w:rPr>
                <w:rFonts w:hAnsi="宋体"/>
                <w:color w:val="auto"/>
                <w:szCs w:val="21"/>
                <w:highlight w:val="none"/>
              </w:rPr>
              <w:t>、管理有效</w:t>
            </w:r>
            <w:r>
              <w:rPr>
                <w:rFonts w:hint="eastAsia" w:hAnsi="宋体"/>
                <w:color w:val="auto"/>
                <w:szCs w:val="21"/>
                <w:highlight w:val="none"/>
              </w:rPr>
              <w:t>性，进行评审。0-5分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360" w:lineRule="auto"/>
              <w:ind w:left="-50"/>
              <w:jc w:val="center"/>
              <w:rPr>
                <w:rFonts w:hint="eastAsia"/>
                <w:color w:val="auto"/>
                <w:szCs w:val="21"/>
                <w:highlight w:val="none"/>
              </w:rPr>
            </w:pPr>
          </w:p>
        </w:tc>
        <w:tc>
          <w:tcPr>
            <w:tcW w:w="1413" w:type="dxa"/>
            <w:vMerge w:val="continue"/>
            <w:noWrap w:val="0"/>
            <w:vAlign w:val="center"/>
          </w:tcPr>
          <w:p>
            <w:pPr>
              <w:spacing w:line="360" w:lineRule="auto"/>
              <w:rPr>
                <w:rFonts w:hAnsi="宋体"/>
                <w:color w:val="auto"/>
                <w:szCs w:val="21"/>
                <w:highlight w:val="none"/>
              </w:rPr>
            </w:pPr>
          </w:p>
        </w:tc>
        <w:tc>
          <w:tcPr>
            <w:tcW w:w="833"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6203" w:type="dxa"/>
            <w:noWrap w:val="0"/>
            <w:vAlign w:val="center"/>
          </w:tcPr>
          <w:p>
            <w:pPr>
              <w:spacing w:line="360" w:lineRule="auto"/>
              <w:rPr>
                <w:color w:val="auto"/>
                <w:szCs w:val="21"/>
                <w:highlight w:val="none"/>
              </w:rPr>
            </w:pPr>
            <w:r>
              <w:rPr>
                <w:rFonts w:hAnsi="宋体"/>
                <w:color w:val="auto"/>
                <w:szCs w:val="21"/>
                <w:highlight w:val="none"/>
              </w:rPr>
              <w:t>项目负责人资历类</w:t>
            </w:r>
            <w:r>
              <w:rPr>
                <w:rFonts w:hint="eastAsia" w:hAnsi="宋体"/>
                <w:color w:val="auto"/>
                <w:szCs w:val="21"/>
                <w:highlight w:val="none"/>
              </w:rPr>
              <w:t>和</w:t>
            </w:r>
            <w:r>
              <w:rPr>
                <w:rFonts w:hAnsi="宋体"/>
                <w:color w:val="auto"/>
                <w:szCs w:val="21"/>
                <w:highlight w:val="none"/>
              </w:rPr>
              <w:t>似项目业绩</w:t>
            </w:r>
            <w:r>
              <w:rPr>
                <w:rFonts w:hint="eastAsia" w:hAnsi="宋体"/>
                <w:color w:val="auto"/>
                <w:szCs w:val="21"/>
                <w:highlight w:val="none"/>
              </w:rPr>
              <w:t>进行评审，提供证明材料。0-</w:t>
            </w:r>
            <w:r>
              <w:rPr>
                <w:rFonts w:hint="eastAsia" w:hAnsi="宋体"/>
                <w:color w:val="auto"/>
                <w:szCs w:val="21"/>
                <w:highlight w:val="none"/>
                <w:lang w:val="en-US" w:eastAsia="zh-CN"/>
              </w:rPr>
              <w:t>4</w:t>
            </w:r>
            <w:r>
              <w:rPr>
                <w:rFonts w:hint="eastAsia" w:hAnsi="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pacing w:line="360" w:lineRule="auto"/>
              <w:ind w:left="-50"/>
              <w:jc w:val="center"/>
              <w:rPr>
                <w:rFonts w:hint="eastAsia"/>
                <w:color w:val="auto"/>
                <w:szCs w:val="21"/>
                <w:highlight w:val="none"/>
              </w:rPr>
            </w:pPr>
            <w:r>
              <w:rPr>
                <w:rFonts w:hint="eastAsia"/>
                <w:color w:val="auto"/>
                <w:szCs w:val="21"/>
                <w:highlight w:val="none"/>
              </w:rPr>
              <w:t>5</w:t>
            </w:r>
          </w:p>
        </w:tc>
        <w:tc>
          <w:tcPr>
            <w:tcW w:w="1413" w:type="dxa"/>
            <w:vMerge w:val="restart"/>
            <w:noWrap w:val="0"/>
            <w:vAlign w:val="center"/>
          </w:tcPr>
          <w:p>
            <w:pPr>
              <w:spacing w:line="360" w:lineRule="auto"/>
              <w:rPr>
                <w:color w:val="auto"/>
                <w:szCs w:val="21"/>
                <w:highlight w:val="none"/>
              </w:rPr>
            </w:pPr>
            <w:r>
              <w:rPr>
                <w:rFonts w:hAnsi="宋体"/>
                <w:color w:val="auto"/>
                <w:szCs w:val="21"/>
                <w:highlight w:val="none"/>
              </w:rPr>
              <w:t>实施方案</w:t>
            </w:r>
          </w:p>
        </w:tc>
        <w:tc>
          <w:tcPr>
            <w:tcW w:w="833"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6203" w:type="dxa"/>
            <w:noWrap w:val="0"/>
            <w:vAlign w:val="center"/>
          </w:tcPr>
          <w:p>
            <w:pPr>
              <w:spacing w:line="360" w:lineRule="auto"/>
              <w:rPr>
                <w:rFonts w:hint="eastAsia"/>
                <w:color w:val="auto"/>
                <w:szCs w:val="21"/>
                <w:highlight w:val="none"/>
              </w:rPr>
            </w:pPr>
            <w:r>
              <w:rPr>
                <w:rFonts w:hint="eastAsia" w:hAnsi="宋体"/>
                <w:color w:val="auto"/>
                <w:szCs w:val="21"/>
                <w:highlight w:val="none"/>
              </w:rPr>
              <w:t>对供应商</w:t>
            </w:r>
            <w:r>
              <w:rPr>
                <w:rFonts w:hAnsi="宋体"/>
                <w:color w:val="auto"/>
                <w:szCs w:val="21"/>
                <w:highlight w:val="none"/>
              </w:rPr>
              <w:t>管理服务模式、工作流程</w:t>
            </w:r>
            <w:r>
              <w:rPr>
                <w:rFonts w:hint="eastAsia" w:hAnsi="宋体"/>
                <w:color w:val="auto"/>
                <w:szCs w:val="21"/>
                <w:highlight w:val="none"/>
              </w:rPr>
              <w:t>进行评审。0-</w:t>
            </w:r>
            <w:r>
              <w:rPr>
                <w:rFonts w:hint="eastAsia" w:hAnsi="宋体"/>
                <w:color w:val="auto"/>
                <w:szCs w:val="21"/>
                <w:highlight w:val="none"/>
                <w:lang w:val="en-US" w:eastAsia="zh-CN"/>
              </w:rPr>
              <w:t>5</w:t>
            </w:r>
            <w:r>
              <w:rPr>
                <w:rFonts w:hint="eastAsia" w:hAnsi="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360" w:lineRule="auto"/>
              <w:ind w:left="-50"/>
              <w:jc w:val="center"/>
              <w:rPr>
                <w:rFonts w:hint="eastAsia"/>
                <w:color w:val="auto"/>
                <w:szCs w:val="21"/>
                <w:highlight w:val="none"/>
              </w:rPr>
            </w:pPr>
          </w:p>
        </w:tc>
        <w:tc>
          <w:tcPr>
            <w:tcW w:w="1413" w:type="dxa"/>
            <w:vMerge w:val="continue"/>
            <w:noWrap w:val="0"/>
            <w:vAlign w:val="center"/>
          </w:tcPr>
          <w:p>
            <w:pPr>
              <w:spacing w:line="360" w:lineRule="auto"/>
              <w:rPr>
                <w:rFonts w:hAnsi="宋体"/>
                <w:color w:val="auto"/>
                <w:szCs w:val="21"/>
                <w:highlight w:val="none"/>
              </w:rPr>
            </w:pPr>
          </w:p>
        </w:tc>
        <w:tc>
          <w:tcPr>
            <w:tcW w:w="833"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6203" w:type="dxa"/>
            <w:noWrap w:val="0"/>
            <w:vAlign w:val="center"/>
          </w:tcPr>
          <w:p>
            <w:pPr>
              <w:spacing w:line="360" w:lineRule="auto"/>
              <w:rPr>
                <w:color w:val="auto"/>
                <w:szCs w:val="21"/>
                <w:highlight w:val="none"/>
              </w:rPr>
            </w:pPr>
            <w:r>
              <w:rPr>
                <w:rFonts w:hint="eastAsia" w:hAnsi="宋体"/>
                <w:color w:val="auto"/>
                <w:szCs w:val="21"/>
                <w:highlight w:val="none"/>
              </w:rPr>
              <w:t>对供应商</w:t>
            </w:r>
            <w:r>
              <w:rPr>
                <w:rFonts w:hAnsi="宋体"/>
                <w:color w:val="auto"/>
                <w:szCs w:val="21"/>
                <w:highlight w:val="none"/>
              </w:rPr>
              <w:t>各项管理服务标准</w:t>
            </w:r>
            <w:r>
              <w:rPr>
                <w:rFonts w:hint="eastAsia" w:hAnsi="宋体"/>
                <w:color w:val="auto"/>
                <w:szCs w:val="21"/>
                <w:highlight w:val="none"/>
              </w:rPr>
              <w:t>进行评审。0-</w:t>
            </w:r>
            <w:r>
              <w:rPr>
                <w:rFonts w:hint="eastAsia" w:hAnsi="宋体"/>
                <w:color w:val="auto"/>
                <w:szCs w:val="21"/>
                <w:highlight w:val="none"/>
                <w:lang w:val="en-US" w:eastAsia="zh-CN"/>
              </w:rPr>
              <w:t>5</w:t>
            </w:r>
            <w:r>
              <w:rPr>
                <w:rFonts w:hint="eastAsia" w:hAnsi="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360" w:lineRule="auto"/>
              <w:ind w:left="-50"/>
              <w:jc w:val="center"/>
              <w:rPr>
                <w:rFonts w:hint="eastAsia"/>
                <w:color w:val="auto"/>
                <w:szCs w:val="21"/>
                <w:highlight w:val="none"/>
              </w:rPr>
            </w:pPr>
          </w:p>
        </w:tc>
        <w:tc>
          <w:tcPr>
            <w:tcW w:w="1413" w:type="dxa"/>
            <w:vMerge w:val="continue"/>
            <w:noWrap w:val="0"/>
            <w:vAlign w:val="center"/>
          </w:tcPr>
          <w:p>
            <w:pPr>
              <w:spacing w:line="360" w:lineRule="auto"/>
              <w:rPr>
                <w:rFonts w:hAnsi="宋体"/>
                <w:color w:val="auto"/>
                <w:szCs w:val="21"/>
                <w:highlight w:val="none"/>
              </w:rPr>
            </w:pPr>
          </w:p>
        </w:tc>
        <w:tc>
          <w:tcPr>
            <w:tcW w:w="833"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6203" w:type="dxa"/>
            <w:noWrap w:val="0"/>
            <w:vAlign w:val="center"/>
          </w:tcPr>
          <w:p>
            <w:pPr>
              <w:spacing w:line="360" w:lineRule="auto"/>
              <w:rPr>
                <w:color w:val="auto"/>
                <w:szCs w:val="21"/>
                <w:highlight w:val="none"/>
              </w:rPr>
            </w:pPr>
            <w:r>
              <w:rPr>
                <w:rFonts w:hint="eastAsia" w:hAnsi="宋体"/>
                <w:color w:val="auto"/>
                <w:szCs w:val="21"/>
                <w:highlight w:val="none"/>
              </w:rPr>
              <w:t>对供应商</w:t>
            </w:r>
            <w:r>
              <w:rPr>
                <w:rFonts w:hAnsi="宋体"/>
                <w:color w:val="auto"/>
                <w:szCs w:val="21"/>
                <w:highlight w:val="none"/>
              </w:rPr>
              <w:t>防止交叉感染和消毒隔离制度和措施</w:t>
            </w:r>
            <w:r>
              <w:rPr>
                <w:rFonts w:hint="eastAsia" w:hAnsi="宋体"/>
                <w:color w:val="auto"/>
                <w:szCs w:val="21"/>
                <w:highlight w:val="none"/>
              </w:rPr>
              <w:t>进行评审。0-</w:t>
            </w:r>
            <w:r>
              <w:rPr>
                <w:rFonts w:hint="eastAsia" w:hAnsi="宋体"/>
                <w:color w:val="auto"/>
                <w:szCs w:val="21"/>
                <w:highlight w:val="none"/>
                <w:lang w:val="en-US" w:eastAsia="zh-CN"/>
              </w:rPr>
              <w:t>5</w:t>
            </w:r>
            <w:r>
              <w:rPr>
                <w:rFonts w:hint="eastAsia" w:hAnsi="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360" w:lineRule="auto"/>
              <w:ind w:left="-50"/>
              <w:jc w:val="center"/>
              <w:rPr>
                <w:rFonts w:hint="eastAsia"/>
                <w:color w:val="auto"/>
                <w:szCs w:val="21"/>
                <w:highlight w:val="none"/>
              </w:rPr>
            </w:pPr>
          </w:p>
        </w:tc>
        <w:tc>
          <w:tcPr>
            <w:tcW w:w="1413" w:type="dxa"/>
            <w:vMerge w:val="continue"/>
            <w:noWrap w:val="0"/>
            <w:vAlign w:val="center"/>
          </w:tcPr>
          <w:p>
            <w:pPr>
              <w:spacing w:line="360" w:lineRule="auto"/>
              <w:rPr>
                <w:rFonts w:hAnsi="宋体"/>
                <w:color w:val="auto"/>
                <w:szCs w:val="21"/>
                <w:highlight w:val="none"/>
              </w:rPr>
            </w:pPr>
          </w:p>
        </w:tc>
        <w:tc>
          <w:tcPr>
            <w:tcW w:w="833"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6203" w:type="dxa"/>
            <w:noWrap w:val="0"/>
            <w:vAlign w:val="center"/>
          </w:tcPr>
          <w:p>
            <w:pPr>
              <w:spacing w:line="360" w:lineRule="auto"/>
              <w:rPr>
                <w:color w:val="auto"/>
                <w:szCs w:val="21"/>
                <w:highlight w:val="none"/>
              </w:rPr>
            </w:pPr>
            <w:r>
              <w:rPr>
                <w:rFonts w:hint="eastAsia" w:hAnsi="宋体"/>
                <w:color w:val="auto"/>
                <w:szCs w:val="21"/>
                <w:highlight w:val="none"/>
              </w:rPr>
              <w:t>对供应商</w:t>
            </w:r>
            <w:r>
              <w:rPr>
                <w:rFonts w:hAnsi="宋体"/>
                <w:color w:val="auto"/>
                <w:szCs w:val="21"/>
                <w:highlight w:val="none"/>
              </w:rPr>
              <w:t>管理承诺</w:t>
            </w:r>
            <w:r>
              <w:rPr>
                <w:rFonts w:hint="eastAsia" w:hAnsi="宋体"/>
                <w:color w:val="auto"/>
                <w:szCs w:val="21"/>
                <w:highlight w:val="none"/>
              </w:rPr>
              <w:t>进行评审。0-</w:t>
            </w:r>
            <w:r>
              <w:rPr>
                <w:rFonts w:hint="eastAsia" w:hAnsi="宋体"/>
                <w:color w:val="auto"/>
                <w:szCs w:val="21"/>
                <w:highlight w:val="none"/>
                <w:lang w:val="en-US" w:eastAsia="zh-CN"/>
              </w:rPr>
              <w:t>5</w:t>
            </w:r>
            <w:r>
              <w:rPr>
                <w:rFonts w:hint="eastAsia" w:hAnsi="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60" w:lineRule="auto"/>
              <w:ind w:left="-50"/>
              <w:jc w:val="center"/>
              <w:rPr>
                <w:rFonts w:hint="eastAsia"/>
                <w:color w:val="auto"/>
                <w:szCs w:val="21"/>
                <w:highlight w:val="none"/>
              </w:rPr>
            </w:pPr>
            <w:r>
              <w:rPr>
                <w:rFonts w:hint="eastAsia"/>
                <w:color w:val="auto"/>
                <w:szCs w:val="21"/>
                <w:highlight w:val="none"/>
              </w:rPr>
              <w:t>6</w:t>
            </w:r>
          </w:p>
        </w:tc>
        <w:tc>
          <w:tcPr>
            <w:tcW w:w="1413" w:type="dxa"/>
            <w:noWrap w:val="0"/>
            <w:vAlign w:val="center"/>
          </w:tcPr>
          <w:p>
            <w:pPr>
              <w:spacing w:line="360" w:lineRule="auto"/>
              <w:rPr>
                <w:color w:val="auto"/>
                <w:szCs w:val="21"/>
                <w:highlight w:val="none"/>
              </w:rPr>
            </w:pPr>
            <w:r>
              <w:rPr>
                <w:rFonts w:hAnsi="宋体"/>
                <w:color w:val="auto"/>
                <w:szCs w:val="21"/>
                <w:highlight w:val="none"/>
              </w:rPr>
              <w:t>业绩</w:t>
            </w:r>
          </w:p>
        </w:tc>
        <w:tc>
          <w:tcPr>
            <w:tcW w:w="833"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6203" w:type="dxa"/>
            <w:noWrap w:val="0"/>
            <w:vAlign w:val="center"/>
          </w:tcPr>
          <w:p>
            <w:pPr>
              <w:spacing w:line="360" w:lineRule="auto"/>
              <w:rPr>
                <w:color w:val="auto"/>
                <w:szCs w:val="21"/>
                <w:highlight w:val="none"/>
              </w:rPr>
            </w:pPr>
            <w:r>
              <w:rPr>
                <w:rFonts w:hint="eastAsia" w:hAnsi="宋体"/>
                <w:color w:val="auto"/>
                <w:szCs w:val="21"/>
                <w:highlight w:val="none"/>
              </w:rPr>
              <w:t>供应商</w:t>
            </w:r>
            <w:r>
              <w:rPr>
                <w:rFonts w:hint="eastAsia" w:hAnsi="宋体"/>
                <w:color w:val="auto"/>
                <w:szCs w:val="21"/>
                <w:highlight w:val="none"/>
                <w:lang w:val="en-US" w:eastAsia="zh-CN"/>
              </w:rPr>
              <w:t>2021年1月1日（以合同签订时间为准）</w:t>
            </w:r>
            <w:r>
              <w:rPr>
                <w:rFonts w:hint="eastAsia" w:hAnsi="宋体"/>
                <w:color w:val="auto"/>
                <w:szCs w:val="21"/>
                <w:highlight w:val="none"/>
              </w:rPr>
              <w:t>以往生活垃圾处置</w:t>
            </w:r>
            <w:r>
              <w:rPr>
                <w:rFonts w:hAnsi="宋体"/>
                <w:color w:val="auto"/>
                <w:szCs w:val="21"/>
                <w:highlight w:val="none"/>
              </w:rPr>
              <w:t>服务业绩，每提供一个</w:t>
            </w:r>
            <w:r>
              <w:rPr>
                <w:rFonts w:hint="eastAsia" w:hAnsi="宋体"/>
                <w:color w:val="auto"/>
                <w:szCs w:val="21"/>
                <w:highlight w:val="none"/>
              </w:rPr>
              <w:t>得1分，</w:t>
            </w:r>
            <w:r>
              <w:rPr>
                <w:rFonts w:hAnsi="宋体"/>
                <w:color w:val="auto"/>
                <w:szCs w:val="21"/>
                <w:highlight w:val="none"/>
              </w:rPr>
              <w:t>最多得</w:t>
            </w:r>
            <w:r>
              <w:rPr>
                <w:rFonts w:hint="eastAsia" w:hAnsi="宋体"/>
                <w:color w:val="auto"/>
                <w:szCs w:val="21"/>
                <w:highlight w:val="none"/>
                <w:lang w:val="en-US" w:eastAsia="zh-CN"/>
              </w:rPr>
              <w:t>2</w:t>
            </w:r>
            <w:r>
              <w:rPr>
                <w:rFonts w:hAnsi="宋体"/>
                <w:color w:val="auto"/>
                <w:szCs w:val="21"/>
                <w:highlight w:val="none"/>
              </w:rPr>
              <w:t>分</w:t>
            </w:r>
            <w:r>
              <w:rPr>
                <w:rFonts w:hint="eastAsia" w:hAnsi="宋体"/>
                <w:color w:val="auto"/>
                <w:szCs w:val="21"/>
                <w:highlight w:val="none"/>
              </w:rPr>
              <w:t>，</w:t>
            </w:r>
            <w:r>
              <w:rPr>
                <w:rFonts w:hAnsi="宋体"/>
                <w:color w:val="auto"/>
                <w:szCs w:val="21"/>
                <w:highlight w:val="none"/>
              </w:rPr>
              <w:t>提供合同复印件。</w:t>
            </w:r>
            <w:r>
              <w:rPr>
                <w:rFonts w:hint="eastAsia" w:hAnsi="宋体"/>
                <w:color w:val="auto"/>
                <w:szCs w:val="21"/>
                <w:highlight w:val="none"/>
              </w:rPr>
              <w:t>同一用户不重复得分。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60" w:lineRule="auto"/>
              <w:ind w:left="-50"/>
              <w:jc w:val="center"/>
              <w:rPr>
                <w:rFonts w:hint="eastAsia"/>
                <w:color w:val="auto"/>
                <w:szCs w:val="21"/>
                <w:highlight w:val="none"/>
              </w:rPr>
            </w:pPr>
            <w:r>
              <w:rPr>
                <w:rFonts w:hint="eastAsia"/>
                <w:color w:val="auto"/>
                <w:szCs w:val="21"/>
                <w:highlight w:val="none"/>
              </w:rPr>
              <w:t>6</w:t>
            </w:r>
          </w:p>
        </w:tc>
        <w:tc>
          <w:tcPr>
            <w:tcW w:w="1413" w:type="dxa"/>
            <w:noWrap w:val="0"/>
            <w:vAlign w:val="center"/>
          </w:tcPr>
          <w:p>
            <w:pPr>
              <w:spacing w:line="360" w:lineRule="auto"/>
              <w:rPr>
                <w:color w:val="auto"/>
                <w:szCs w:val="21"/>
                <w:highlight w:val="none"/>
              </w:rPr>
            </w:pPr>
            <w:r>
              <w:rPr>
                <w:rFonts w:hAnsi="宋体"/>
                <w:color w:val="auto"/>
                <w:szCs w:val="21"/>
                <w:highlight w:val="none"/>
              </w:rPr>
              <w:t>突发事件应急处理措施</w:t>
            </w:r>
          </w:p>
        </w:tc>
        <w:tc>
          <w:tcPr>
            <w:tcW w:w="833" w:type="dxa"/>
            <w:noWrap w:val="0"/>
            <w:vAlign w:val="center"/>
          </w:tcPr>
          <w:p>
            <w:pPr>
              <w:spacing w:line="360" w:lineRule="auto"/>
              <w:jc w:val="center"/>
              <w:rPr>
                <w:rFonts w:hint="eastAsia"/>
                <w:color w:val="auto"/>
                <w:szCs w:val="21"/>
                <w:highlight w:val="none"/>
              </w:rPr>
            </w:pPr>
            <w:r>
              <w:rPr>
                <w:rFonts w:hint="eastAsia"/>
                <w:color w:val="auto"/>
                <w:szCs w:val="21"/>
                <w:highlight w:val="none"/>
              </w:rPr>
              <w:t>5</w:t>
            </w:r>
          </w:p>
        </w:tc>
        <w:tc>
          <w:tcPr>
            <w:tcW w:w="6203" w:type="dxa"/>
            <w:noWrap w:val="0"/>
            <w:vAlign w:val="center"/>
          </w:tcPr>
          <w:p>
            <w:pPr>
              <w:spacing w:line="360" w:lineRule="auto"/>
              <w:rPr>
                <w:color w:val="auto"/>
                <w:szCs w:val="21"/>
                <w:highlight w:val="none"/>
              </w:rPr>
            </w:pPr>
            <w:r>
              <w:rPr>
                <w:rFonts w:hAnsi="宋体"/>
                <w:color w:val="auto"/>
                <w:szCs w:val="21"/>
                <w:highlight w:val="none"/>
              </w:rPr>
              <w:t>针对本行业制定的紧急预案</w:t>
            </w:r>
            <w:r>
              <w:rPr>
                <w:rFonts w:hint="eastAsia" w:hAnsi="宋体"/>
                <w:color w:val="auto"/>
                <w:szCs w:val="21"/>
                <w:highlight w:val="none"/>
              </w:rPr>
              <w:t>、</w:t>
            </w:r>
            <w:r>
              <w:rPr>
                <w:rFonts w:hAnsi="宋体"/>
                <w:color w:val="auto"/>
                <w:szCs w:val="21"/>
                <w:highlight w:val="none"/>
              </w:rPr>
              <w:t>具有可操作性</w:t>
            </w:r>
            <w:r>
              <w:rPr>
                <w:rFonts w:hint="eastAsia" w:hAnsi="宋体"/>
                <w:color w:val="auto"/>
                <w:szCs w:val="21"/>
                <w:highlight w:val="none"/>
              </w:rPr>
              <w:t>，根据提供方案进行评审。0-5分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60" w:lineRule="auto"/>
              <w:ind w:left="-50"/>
              <w:jc w:val="center"/>
              <w:rPr>
                <w:rFonts w:hint="eastAsia"/>
                <w:color w:val="auto"/>
                <w:szCs w:val="21"/>
                <w:highlight w:val="none"/>
              </w:rPr>
            </w:pPr>
            <w:r>
              <w:rPr>
                <w:rFonts w:hint="eastAsia"/>
                <w:color w:val="auto"/>
                <w:szCs w:val="21"/>
                <w:highlight w:val="none"/>
              </w:rPr>
              <w:t>7</w:t>
            </w:r>
          </w:p>
        </w:tc>
        <w:tc>
          <w:tcPr>
            <w:tcW w:w="1413" w:type="dxa"/>
            <w:noWrap w:val="0"/>
            <w:vAlign w:val="center"/>
          </w:tcPr>
          <w:p>
            <w:pPr>
              <w:spacing w:line="360" w:lineRule="auto"/>
              <w:rPr>
                <w:rFonts w:hint="eastAsia" w:hAnsi="宋体" w:eastAsia="宋体"/>
                <w:color w:val="auto"/>
                <w:szCs w:val="21"/>
                <w:highlight w:val="none"/>
                <w:lang w:val="en-US" w:eastAsia="zh-CN"/>
              </w:rPr>
            </w:pPr>
            <w:r>
              <w:rPr>
                <w:rFonts w:hint="eastAsia" w:hAnsi="宋体"/>
                <w:color w:val="auto"/>
                <w:szCs w:val="21"/>
                <w:highlight w:val="none"/>
              </w:rPr>
              <w:t>生活垃圾的处置及</w:t>
            </w:r>
            <w:r>
              <w:rPr>
                <w:rFonts w:hint="eastAsia" w:hAnsi="宋体"/>
                <w:color w:val="auto"/>
                <w:szCs w:val="21"/>
                <w:highlight w:val="none"/>
                <w:lang w:val="en-US" w:eastAsia="zh-CN"/>
              </w:rPr>
              <w:t>粪</w:t>
            </w:r>
            <w:r>
              <w:rPr>
                <w:rFonts w:hint="eastAsia" w:hAnsi="宋体"/>
                <w:color w:val="auto"/>
                <w:szCs w:val="21"/>
                <w:highlight w:val="none"/>
              </w:rPr>
              <w:t>池清运</w:t>
            </w:r>
            <w:r>
              <w:rPr>
                <w:rFonts w:hint="eastAsia" w:hAnsi="宋体"/>
                <w:color w:val="auto"/>
                <w:szCs w:val="21"/>
                <w:highlight w:val="none"/>
                <w:lang w:val="en-US" w:eastAsia="zh-CN"/>
              </w:rPr>
              <w:t>服务</w:t>
            </w:r>
          </w:p>
        </w:tc>
        <w:tc>
          <w:tcPr>
            <w:tcW w:w="833" w:type="dxa"/>
            <w:noWrap w:val="0"/>
            <w:vAlign w:val="center"/>
          </w:tcPr>
          <w:p>
            <w:pPr>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6203" w:type="dxa"/>
            <w:noWrap w:val="0"/>
            <w:vAlign w:val="center"/>
          </w:tcPr>
          <w:p>
            <w:pPr>
              <w:spacing w:line="360" w:lineRule="auto"/>
              <w:rPr>
                <w:rFonts w:hint="eastAsia" w:hAnsi="宋体"/>
                <w:color w:val="auto"/>
                <w:szCs w:val="21"/>
                <w:highlight w:val="none"/>
              </w:rPr>
            </w:pPr>
            <w:r>
              <w:rPr>
                <w:rFonts w:hint="eastAsia" w:hAnsi="宋体"/>
                <w:color w:val="auto"/>
                <w:szCs w:val="21"/>
                <w:highlight w:val="none"/>
              </w:rPr>
              <w:t>评委根据各供应商对生活垃圾的处置及</w:t>
            </w:r>
            <w:r>
              <w:rPr>
                <w:rFonts w:hint="eastAsia" w:hAnsi="宋体"/>
                <w:color w:val="auto"/>
                <w:szCs w:val="21"/>
                <w:highlight w:val="none"/>
                <w:lang w:val="en-US" w:eastAsia="zh-CN"/>
              </w:rPr>
              <w:t>粪</w:t>
            </w:r>
            <w:r>
              <w:rPr>
                <w:rFonts w:hint="eastAsia" w:hAnsi="宋体"/>
                <w:color w:val="auto"/>
                <w:szCs w:val="21"/>
                <w:highlight w:val="none"/>
              </w:rPr>
              <w:t>池清运</w:t>
            </w:r>
            <w:r>
              <w:rPr>
                <w:rFonts w:hint="eastAsia" w:hAnsi="宋体"/>
                <w:color w:val="auto"/>
                <w:szCs w:val="21"/>
                <w:highlight w:val="none"/>
                <w:lang w:val="en-US" w:eastAsia="zh-CN"/>
              </w:rPr>
              <w:t>服务</w:t>
            </w:r>
            <w:r>
              <w:rPr>
                <w:rFonts w:hint="eastAsia" w:hAnsi="宋体"/>
                <w:color w:val="auto"/>
                <w:szCs w:val="21"/>
                <w:highlight w:val="none"/>
              </w:rPr>
              <w:t>情况进行评分。0-</w:t>
            </w:r>
            <w:r>
              <w:rPr>
                <w:rFonts w:hint="eastAsia" w:hAnsi="宋体"/>
                <w:color w:val="auto"/>
                <w:szCs w:val="21"/>
                <w:highlight w:val="none"/>
                <w:lang w:val="en-US" w:eastAsia="zh-CN"/>
              </w:rPr>
              <w:t>6</w:t>
            </w:r>
            <w:r>
              <w:rPr>
                <w:rFonts w:hint="eastAsia" w:hAnsi="宋体"/>
                <w:color w:val="auto"/>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60" w:lineRule="auto"/>
              <w:ind w:left="-50"/>
              <w:jc w:val="center"/>
              <w:rPr>
                <w:rFonts w:hint="eastAsia"/>
                <w:color w:val="auto"/>
                <w:szCs w:val="21"/>
                <w:highlight w:val="none"/>
              </w:rPr>
            </w:pPr>
            <w:r>
              <w:rPr>
                <w:rFonts w:hint="eastAsia"/>
                <w:color w:val="auto"/>
                <w:szCs w:val="21"/>
                <w:highlight w:val="none"/>
              </w:rPr>
              <w:t>9</w:t>
            </w:r>
          </w:p>
        </w:tc>
        <w:tc>
          <w:tcPr>
            <w:tcW w:w="1413" w:type="dxa"/>
            <w:noWrap w:val="0"/>
            <w:vAlign w:val="center"/>
          </w:tcPr>
          <w:p>
            <w:pPr>
              <w:spacing w:line="360" w:lineRule="auto"/>
              <w:rPr>
                <w:color w:val="auto"/>
                <w:szCs w:val="21"/>
                <w:highlight w:val="none"/>
              </w:rPr>
            </w:pPr>
            <w:r>
              <w:rPr>
                <w:rFonts w:hint="eastAsia" w:hAnsi="宋体"/>
                <w:color w:val="auto"/>
                <w:szCs w:val="21"/>
                <w:highlight w:val="none"/>
              </w:rPr>
              <w:t>服务承诺及</w:t>
            </w:r>
            <w:r>
              <w:rPr>
                <w:rFonts w:hAnsi="宋体"/>
                <w:color w:val="auto"/>
                <w:szCs w:val="21"/>
                <w:highlight w:val="none"/>
              </w:rPr>
              <w:t>合理化创新建议</w:t>
            </w:r>
          </w:p>
        </w:tc>
        <w:tc>
          <w:tcPr>
            <w:tcW w:w="833" w:type="dxa"/>
            <w:noWrap w:val="0"/>
            <w:vAlign w:val="center"/>
          </w:tcPr>
          <w:p>
            <w:pPr>
              <w:spacing w:line="360" w:lineRule="auto"/>
              <w:jc w:val="center"/>
              <w:rPr>
                <w:rFonts w:hint="eastAsia"/>
                <w:color w:val="auto"/>
                <w:szCs w:val="21"/>
                <w:highlight w:val="none"/>
              </w:rPr>
            </w:pPr>
            <w:r>
              <w:rPr>
                <w:rFonts w:hint="eastAsia"/>
                <w:color w:val="auto"/>
                <w:szCs w:val="21"/>
                <w:highlight w:val="none"/>
              </w:rPr>
              <w:t>3</w:t>
            </w:r>
          </w:p>
        </w:tc>
        <w:tc>
          <w:tcPr>
            <w:tcW w:w="6203" w:type="dxa"/>
            <w:noWrap w:val="0"/>
            <w:vAlign w:val="center"/>
          </w:tcPr>
          <w:p>
            <w:pPr>
              <w:spacing w:line="360" w:lineRule="auto"/>
              <w:rPr>
                <w:color w:val="auto"/>
                <w:szCs w:val="21"/>
                <w:highlight w:val="none"/>
              </w:rPr>
            </w:pPr>
            <w:r>
              <w:rPr>
                <w:rFonts w:hint="eastAsia" w:hAnsi="宋体"/>
                <w:color w:val="auto"/>
                <w:szCs w:val="21"/>
                <w:highlight w:val="none"/>
              </w:rPr>
              <w:t>根据其服务承诺，</w:t>
            </w:r>
            <w:r>
              <w:rPr>
                <w:rFonts w:hAnsi="宋体"/>
                <w:color w:val="auto"/>
                <w:szCs w:val="21"/>
                <w:highlight w:val="none"/>
              </w:rPr>
              <w:t>是否给出实质性合理化创新及建议，以及针对本次采购的其他特殊承诺等情况</w:t>
            </w:r>
            <w:r>
              <w:rPr>
                <w:rFonts w:hint="eastAsia" w:hAnsi="宋体"/>
                <w:color w:val="auto"/>
                <w:szCs w:val="21"/>
                <w:highlight w:val="none"/>
              </w:rPr>
              <w:t>进行评审。0-3分</w:t>
            </w:r>
          </w:p>
        </w:tc>
      </w:tr>
    </w:tbl>
    <w:p>
      <w:pPr>
        <w:pStyle w:val="65"/>
        <w:adjustRightInd w:val="0"/>
        <w:snapToGrid w:val="0"/>
        <w:spacing w:line="360" w:lineRule="auto"/>
        <w:ind w:firstLine="420"/>
        <w:rPr>
          <w:rFonts w:eastAsia="宋体"/>
          <w:color w:val="auto"/>
          <w:sz w:val="21"/>
          <w:szCs w:val="21"/>
          <w:highlight w:val="none"/>
        </w:rPr>
      </w:pPr>
    </w:p>
    <w:p>
      <w:pPr>
        <w:pStyle w:val="65"/>
        <w:adjustRightInd w:val="0"/>
        <w:snapToGrid w:val="0"/>
        <w:spacing w:line="360" w:lineRule="auto"/>
        <w:ind w:firstLine="420"/>
        <w:rPr>
          <w:rFonts w:eastAsia="宋体"/>
          <w:color w:val="auto"/>
          <w:sz w:val="21"/>
          <w:szCs w:val="21"/>
          <w:highlight w:val="none"/>
        </w:rPr>
      </w:pPr>
    </w:p>
    <w:p>
      <w:pPr>
        <w:pStyle w:val="65"/>
        <w:adjustRightInd w:val="0"/>
        <w:snapToGrid w:val="0"/>
        <w:spacing w:line="360" w:lineRule="auto"/>
        <w:ind w:firstLine="420"/>
        <w:rPr>
          <w:rFonts w:eastAsia="宋体"/>
          <w:color w:val="auto"/>
          <w:sz w:val="21"/>
          <w:szCs w:val="21"/>
          <w:highlight w:val="none"/>
        </w:rPr>
      </w:pPr>
      <w:bookmarkStart w:id="28" w:name="_Toc345320401"/>
      <w:r>
        <w:rPr>
          <w:rFonts w:eastAsia="宋体"/>
          <w:color w:val="auto"/>
          <w:sz w:val="21"/>
          <w:szCs w:val="21"/>
          <w:highlight w:val="none"/>
        </w:rPr>
        <w:t>2）</w:t>
      </w:r>
      <w:r>
        <w:rPr>
          <w:rFonts w:eastAsia="宋体"/>
          <w:b/>
          <w:color w:val="auto"/>
          <w:sz w:val="21"/>
          <w:szCs w:val="21"/>
          <w:highlight w:val="none"/>
        </w:rPr>
        <w:t>价格分</w:t>
      </w:r>
      <w:bookmarkEnd w:id="28"/>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2</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9" w:name="_Toc82873328"/>
      <w:bookmarkStart w:id="30" w:name="_Toc211745569"/>
      <w:bookmarkStart w:id="31" w:name="_Toc495317672"/>
      <w:bookmarkStart w:id="32" w:name="_Toc82338245"/>
    </w:p>
    <w:bookmarkEnd w:id="29"/>
    <w:bookmarkEnd w:id="30"/>
    <w:bookmarkEnd w:id="31"/>
    <w:bookmarkEnd w:id="32"/>
    <w:p>
      <w:pPr>
        <w:pStyle w:val="2"/>
        <w:snapToGrid w:val="0"/>
        <w:rPr>
          <w:rFonts w:ascii="Times New Roman" w:hAnsi="Times New Roman"/>
          <w:color w:val="auto"/>
          <w:highlight w:val="none"/>
        </w:rPr>
      </w:pPr>
      <w:bookmarkStart w:id="33" w:name="_Toc495317673"/>
      <w:bookmarkStart w:id="34" w:name="_Toc82873329"/>
      <w:bookmarkStart w:id="35" w:name="_Toc211745570"/>
      <w:bookmarkStart w:id="36" w:name="_Toc82338246"/>
      <w:r>
        <w:rPr>
          <w:rFonts w:ascii="Times New Roman" w:hAnsi="Times New Roman"/>
          <w:color w:val="auto"/>
          <w:highlight w:val="none"/>
        </w:rPr>
        <w:t>第五章  采购合同</w:t>
      </w:r>
    </w:p>
    <w:p>
      <w:pPr>
        <w:snapToGrid w:val="0"/>
        <w:rPr>
          <w:rFonts w:hint="eastAsia"/>
          <w:color w:val="auto"/>
          <w:highlight w:val="none"/>
        </w:rPr>
      </w:pPr>
    </w:p>
    <w:p>
      <w:pPr>
        <w:spacing w:line="360" w:lineRule="auto"/>
        <w:ind w:firstLine="420" w:firstLineChars="200"/>
        <w:rPr>
          <w:color w:val="auto"/>
          <w:highlight w:val="none"/>
        </w:rPr>
      </w:pPr>
    </w:p>
    <w:p>
      <w:pPr>
        <w:spacing w:line="360" w:lineRule="auto"/>
        <w:rPr>
          <w:rFonts w:hint="eastAsia" w:ascii="宋体" w:hAnsi="宋体"/>
          <w:b/>
          <w:color w:val="auto"/>
          <w:sz w:val="24"/>
          <w:highlight w:val="none"/>
          <w:u w:val="single"/>
        </w:rPr>
      </w:pPr>
      <w:r>
        <w:rPr>
          <w:rFonts w:hint="eastAsia" w:ascii="宋体" w:hAnsi="宋体"/>
          <w:b/>
          <w:color w:val="auto"/>
          <w:sz w:val="24"/>
          <w:highlight w:val="none"/>
        </w:rPr>
        <w:t>采购人（以下简称“甲方”）：</w:t>
      </w:r>
      <w:r>
        <w:rPr>
          <w:rFonts w:hint="eastAsia" w:ascii="宋体" w:hAnsi="宋体"/>
          <w:b/>
          <w:color w:val="auto"/>
          <w:sz w:val="24"/>
          <w:highlight w:val="none"/>
          <w:u w:val="single"/>
        </w:rPr>
        <w:t>杭州市第三人民医院</w:t>
      </w:r>
    </w:p>
    <w:p>
      <w:pPr>
        <w:spacing w:line="360" w:lineRule="auto"/>
        <w:rPr>
          <w:rFonts w:hint="eastAsia" w:ascii="宋体" w:hAnsi="宋体"/>
          <w:b/>
          <w:color w:val="auto"/>
          <w:sz w:val="24"/>
          <w:highlight w:val="none"/>
        </w:rPr>
      </w:pPr>
      <w:r>
        <w:rPr>
          <w:rFonts w:hint="eastAsia" w:ascii="宋体" w:hAnsi="宋体"/>
          <w:b/>
          <w:color w:val="auto"/>
          <w:sz w:val="24"/>
          <w:highlight w:val="none"/>
        </w:rPr>
        <w:t>供应商（以下简称“乙方”）：</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b/>
          <w:color w:val="auto"/>
          <w:sz w:val="24"/>
          <w:highlight w:val="none"/>
        </w:rPr>
        <w:t xml:space="preserve"> </w:t>
      </w:r>
    </w:p>
    <w:p>
      <w:pPr>
        <w:spacing w:line="440" w:lineRule="exact"/>
        <w:ind w:firstLine="42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val="zh-CN"/>
        </w:rPr>
        <w:t>《中华人民共和国民法典》</w:t>
      </w:r>
      <w:r>
        <w:rPr>
          <w:rFonts w:hint="eastAsia" w:ascii="宋体" w:hAnsi="宋体"/>
          <w:color w:val="auto"/>
          <w:sz w:val="24"/>
          <w:highlight w:val="none"/>
        </w:rPr>
        <w:t>《杭州市城市环境卫生有偿服务实施办法》（杭州市人民政府令第157号）、杭城管委【2017】195号等相关法律法规、规范性文件的规定，</w:t>
      </w:r>
      <w:r>
        <w:rPr>
          <w:rFonts w:hint="eastAsia" w:ascii="宋体" w:hAnsi="宋体"/>
          <w:color w:val="auto"/>
          <w:sz w:val="24"/>
          <w:highlight w:val="none"/>
          <w:lang w:val="zh-CN"/>
        </w:rPr>
        <w:t>按照平等、自愿、公平和诚实信用的原则，经</w:t>
      </w:r>
      <w:r>
        <w:rPr>
          <w:rFonts w:hint="eastAsia" w:ascii="宋体" w:hAnsi="宋体"/>
          <w:color w:val="auto"/>
          <w:sz w:val="24"/>
          <w:highlight w:val="none"/>
          <w:u w:val="single"/>
        </w:rPr>
        <w:t>杭州市第三人民医院</w:t>
      </w:r>
      <w:r>
        <w:rPr>
          <w:rFonts w:hint="eastAsia" w:ascii="宋体" w:hAnsi="宋体"/>
          <w:color w:val="auto"/>
          <w:sz w:val="24"/>
          <w:highlight w:val="none"/>
          <w:lang w:val="zh-CN"/>
        </w:rPr>
        <w:t>(以下简称：甲方)和</w:t>
      </w:r>
      <w:r>
        <w:rPr>
          <w:rFonts w:hint="eastAsia" w:ascii="宋体" w:hAnsi="宋体"/>
          <w:color w:val="auto"/>
          <w:sz w:val="24"/>
          <w:highlight w:val="none"/>
          <w:u w:val="single"/>
        </w:rPr>
        <w:t>（中标或者成交标供应商名称）</w:t>
      </w:r>
      <w:r>
        <w:rPr>
          <w:rFonts w:hint="eastAsia" w:ascii="宋体" w:hAnsi="宋体"/>
          <w:color w:val="auto"/>
          <w:sz w:val="24"/>
          <w:highlight w:val="none"/>
          <w:lang w:val="zh-CN"/>
        </w:rPr>
        <w:t>(以下简称：乙方)</w:t>
      </w:r>
      <w:r>
        <w:rPr>
          <w:rFonts w:hint="eastAsia" w:ascii="宋体" w:hAnsi="宋体"/>
          <w:color w:val="auto"/>
          <w:sz w:val="24"/>
          <w:highlight w:val="none"/>
        </w:rPr>
        <w:t>就（生活垃圾收运处置及</w:t>
      </w:r>
      <w:r>
        <w:rPr>
          <w:rFonts w:hint="eastAsia" w:ascii="宋体" w:hAnsi="宋体"/>
          <w:color w:val="auto"/>
          <w:sz w:val="24"/>
          <w:highlight w:val="none"/>
          <w:lang w:val="en-US" w:eastAsia="zh-CN"/>
        </w:rPr>
        <w:t>粪</w:t>
      </w:r>
      <w:r>
        <w:rPr>
          <w:rFonts w:hint="eastAsia" w:ascii="宋体" w:hAnsi="宋体"/>
          <w:color w:val="auto"/>
          <w:sz w:val="24"/>
          <w:highlight w:val="none"/>
        </w:rPr>
        <w:t>池清运服务）事项</w:t>
      </w:r>
      <w:r>
        <w:rPr>
          <w:rFonts w:hint="eastAsia" w:ascii="宋体" w:hAnsi="宋体"/>
          <w:color w:val="auto"/>
          <w:sz w:val="24"/>
          <w:highlight w:val="none"/>
          <w:lang w:val="zh-CN"/>
        </w:rPr>
        <w:t>协商一致，约定以下合同</w:t>
      </w:r>
      <w:r>
        <w:rPr>
          <w:rFonts w:hint="eastAsia" w:ascii="宋体" w:hAnsi="宋体"/>
          <w:color w:val="auto"/>
          <w:sz w:val="24"/>
          <w:highlight w:val="none"/>
        </w:rPr>
        <w:t>条款，以兹共同遵守、全面履行。</w:t>
      </w:r>
    </w:p>
    <w:p>
      <w:pPr>
        <w:pStyle w:val="1336"/>
        <w:numPr>
          <w:ilvl w:val="0"/>
          <w:numId w:val="3"/>
        </w:numPr>
        <w:spacing w:line="440" w:lineRule="exact"/>
        <w:ind w:firstLineChars="0"/>
        <w:rPr>
          <w:rFonts w:ascii="宋体" w:hAnsi="宋体"/>
          <w:b/>
          <w:color w:val="auto"/>
          <w:sz w:val="24"/>
          <w:szCs w:val="24"/>
          <w:highlight w:val="none"/>
        </w:rPr>
      </w:pPr>
      <w:r>
        <w:rPr>
          <w:rFonts w:hint="eastAsia" w:ascii="宋体" w:hAnsi="宋体"/>
          <w:b/>
          <w:color w:val="auto"/>
          <w:sz w:val="24"/>
          <w:szCs w:val="24"/>
          <w:highlight w:val="none"/>
        </w:rPr>
        <w:t>项目概况：</w:t>
      </w:r>
    </w:p>
    <w:p>
      <w:pPr>
        <w:pStyle w:val="581"/>
        <w:spacing w:line="440" w:lineRule="exact"/>
        <w:ind w:firstLine="480"/>
        <w:rPr>
          <w:rFonts w:hint="eastAsia" w:ascii="宋体" w:hAnsi="宋体"/>
          <w:color w:val="auto"/>
          <w:sz w:val="24"/>
          <w:highlight w:val="none"/>
          <w:lang w:val="zh-CN"/>
        </w:rPr>
      </w:pPr>
      <w:r>
        <w:rPr>
          <w:rFonts w:hint="eastAsia" w:ascii="宋体" w:hAnsi="宋体"/>
          <w:color w:val="auto"/>
          <w:sz w:val="24"/>
          <w:highlight w:val="none"/>
          <w:lang w:val="zh-CN"/>
        </w:rPr>
        <w:t>1、项目名称：</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w:t>
      </w:r>
    </w:p>
    <w:p>
      <w:pPr>
        <w:pStyle w:val="581"/>
        <w:spacing w:line="440" w:lineRule="exact"/>
        <w:ind w:firstLine="480"/>
        <w:rPr>
          <w:rFonts w:hint="eastAsia" w:ascii="宋体" w:hAnsi="宋体"/>
          <w:color w:val="auto"/>
          <w:sz w:val="24"/>
          <w:highlight w:val="none"/>
          <w:lang w:val="zh-CN"/>
        </w:rPr>
      </w:pPr>
      <w:r>
        <w:rPr>
          <w:rFonts w:hint="eastAsia" w:ascii="宋体" w:hAnsi="宋体"/>
          <w:color w:val="auto"/>
          <w:sz w:val="24"/>
          <w:highlight w:val="none"/>
          <w:lang w:val="zh-CN"/>
        </w:rPr>
        <w:t>2、项目地点：</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w:t>
      </w:r>
    </w:p>
    <w:p>
      <w:pPr>
        <w:pStyle w:val="581"/>
        <w:spacing w:line="440" w:lineRule="exact"/>
        <w:ind w:firstLine="480"/>
        <w:rPr>
          <w:rFonts w:hint="eastAsia" w:ascii="宋体" w:hAnsi="宋体"/>
          <w:color w:val="auto"/>
          <w:sz w:val="24"/>
          <w:highlight w:val="none"/>
          <w:lang w:val="zh-CN"/>
        </w:rPr>
      </w:pPr>
      <w:r>
        <w:rPr>
          <w:rFonts w:hint="eastAsia" w:ascii="宋体" w:hAnsi="宋体"/>
          <w:color w:val="auto"/>
          <w:sz w:val="24"/>
          <w:highlight w:val="none"/>
          <w:lang w:val="zh-CN"/>
        </w:rPr>
        <w:t>3、服务概要：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w:t>
      </w:r>
    </w:p>
    <w:p>
      <w:pPr>
        <w:pStyle w:val="581"/>
        <w:spacing w:line="440" w:lineRule="exact"/>
        <w:ind w:firstLine="480"/>
        <w:rPr>
          <w:rFonts w:ascii="宋体" w:hAnsi="宋体"/>
          <w:color w:val="auto"/>
          <w:sz w:val="24"/>
          <w:highlight w:val="none"/>
        </w:rPr>
      </w:pPr>
      <w:r>
        <w:rPr>
          <w:rFonts w:hint="eastAsia" w:ascii="宋体" w:hAnsi="宋体"/>
          <w:color w:val="auto"/>
          <w:sz w:val="24"/>
          <w:highlight w:val="none"/>
        </w:rPr>
        <w:t>4、服务期限：本次服务期</w:t>
      </w:r>
      <w:r>
        <w:rPr>
          <w:rFonts w:hint="eastAsia" w:ascii="宋体" w:hAnsi="宋体"/>
          <w:color w:val="auto"/>
          <w:sz w:val="24"/>
          <w:highlight w:val="none"/>
          <w:u w:val="single"/>
        </w:rPr>
        <w:t xml:space="preserve">   </w:t>
      </w:r>
      <w:r>
        <w:rPr>
          <w:rFonts w:hint="eastAsia" w:ascii="宋体" w:hAnsi="宋体"/>
          <w:color w:val="auto"/>
          <w:sz w:val="24"/>
          <w:highlight w:val="none"/>
        </w:rPr>
        <w:t>年。自</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日起至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日止。</w:t>
      </w:r>
    </w:p>
    <w:p>
      <w:pPr>
        <w:pStyle w:val="1336"/>
        <w:numPr>
          <w:ilvl w:val="0"/>
          <w:numId w:val="3"/>
        </w:numPr>
        <w:spacing w:line="440" w:lineRule="exact"/>
        <w:ind w:firstLineChars="0"/>
        <w:rPr>
          <w:rFonts w:ascii="宋体" w:hAnsi="宋体"/>
          <w:b/>
          <w:color w:val="auto"/>
          <w:sz w:val="24"/>
          <w:szCs w:val="24"/>
          <w:highlight w:val="none"/>
        </w:rPr>
      </w:pPr>
      <w:r>
        <w:rPr>
          <w:rFonts w:hint="eastAsia" w:ascii="宋体" w:hAnsi="宋体"/>
          <w:b/>
          <w:color w:val="auto"/>
          <w:sz w:val="24"/>
          <w:szCs w:val="24"/>
          <w:highlight w:val="none"/>
        </w:rPr>
        <w:t>服务内容：</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乙方负责甲方位于</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生活垃圾清运处置、</w:t>
      </w:r>
      <w:r>
        <w:rPr>
          <w:rFonts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座化粪池的粪便清运处置服务，具体如下：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1、负责全院生活垃圾集置点区域的垃圾转运工作。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2、生活垃圾每日清运，日产日清。包括其他垃圾、易腐垃圾等。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3、按要求处理全院5处（15只）化粪池清运工作。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4、生活垃圾处置各项工作符合相关法律法规、规范标准以及政府监管要求。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5、流程符合医院要求。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6、清运清单</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052"/>
        <w:gridCol w:w="2946"/>
        <w:gridCol w:w="30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2"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序号</w:t>
            </w:r>
          </w:p>
        </w:tc>
        <w:tc>
          <w:tcPr>
            <w:tcW w:w="2052"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项目内容</w:t>
            </w:r>
          </w:p>
        </w:tc>
        <w:tc>
          <w:tcPr>
            <w:tcW w:w="2946"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数量</w:t>
            </w:r>
          </w:p>
        </w:tc>
        <w:tc>
          <w:tcPr>
            <w:tcW w:w="3000"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2"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2052"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化(贮)粪池清运处置费</w:t>
            </w:r>
          </w:p>
        </w:tc>
        <w:tc>
          <w:tcPr>
            <w:tcW w:w="2946"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5处（15只）/年</w:t>
            </w:r>
          </w:p>
        </w:tc>
        <w:tc>
          <w:tcPr>
            <w:tcW w:w="3000" w:type="dxa"/>
            <w:noWrap w:val="0"/>
            <w:vAlign w:val="center"/>
          </w:tcPr>
          <w:p>
            <w:pPr>
              <w:pStyle w:val="581"/>
              <w:ind w:firstLine="0" w:firstLineChars="0"/>
              <w:jc w:val="center"/>
              <w:rPr>
                <w:rFonts w:hint="eastAsia"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2"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2052" w:type="dxa"/>
            <w:noWrap w:val="0"/>
            <w:vAlign w:val="center"/>
          </w:tcPr>
          <w:p>
            <w:pPr>
              <w:pStyle w:val="581"/>
              <w:ind w:firstLine="0" w:firstLineChars="0"/>
              <w:jc w:val="center"/>
              <w:rPr>
                <w:rFonts w:hint="eastAsia" w:ascii="宋体" w:hAnsi="宋体"/>
                <w:color w:val="auto"/>
                <w:sz w:val="24"/>
                <w:highlight w:val="none"/>
              </w:rPr>
            </w:pPr>
            <w:r>
              <w:rPr>
                <w:rFonts w:hint="eastAsia" w:ascii="宋体" w:hAnsi="宋体"/>
                <w:color w:val="auto"/>
                <w:sz w:val="24"/>
                <w:highlight w:val="none"/>
              </w:rPr>
              <w:t>垃圾清运处置费</w:t>
            </w:r>
          </w:p>
        </w:tc>
        <w:tc>
          <w:tcPr>
            <w:tcW w:w="2946" w:type="dxa"/>
            <w:noWrap w:val="0"/>
            <w:vAlign w:val="center"/>
          </w:tcPr>
          <w:p>
            <w:pPr>
              <w:pStyle w:val="581"/>
              <w:ind w:firstLine="0" w:firstLineChars="0"/>
              <w:rPr>
                <w:rFonts w:hint="eastAsia" w:ascii="宋体" w:hAnsi="宋体"/>
                <w:color w:val="auto"/>
                <w:sz w:val="24"/>
                <w:highlight w:val="none"/>
              </w:rPr>
            </w:pPr>
            <w:r>
              <w:rPr>
                <w:rFonts w:hint="eastAsia" w:ascii="宋体" w:hAnsi="宋体"/>
                <w:color w:val="auto"/>
                <w:sz w:val="24"/>
                <w:highlight w:val="none"/>
              </w:rPr>
              <w:t>其它垃圾每天约50桶；（泔水等）易腐垃圾每天约8桶。</w:t>
            </w:r>
          </w:p>
        </w:tc>
        <w:tc>
          <w:tcPr>
            <w:tcW w:w="3000" w:type="dxa"/>
            <w:noWrap w:val="0"/>
            <w:vAlign w:val="center"/>
          </w:tcPr>
          <w:p>
            <w:pPr>
              <w:pStyle w:val="581"/>
              <w:ind w:firstLine="0" w:firstLineChars="0"/>
              <w:rPr>
                <w:rFonts w:hint="eastAsia" w:ascii="宋体" w:hAnsi="宋体"/>
                <w:color w:val="auto"/>
                <w:sz w:val="24"/>
                <w:highlight w:val="none"/>
              </w:rPr>
            </w:pPr>
            <w:r>
              <w:rPr>
                <w:rFonts w:hint="eastAsia" w:ascii="宋体" w:hAnsi="宋体"/>
                <w:color w:val="auto"/>
                <w:sz w:val="24"/>
                <w:highlight w:val="none"/>
              </w:rPr>
              <w:t>数量为预估，全年实际清运量如有变化总费用不变。</w:t>
            </w:r>
          </w:p>
        </w:tc>
      </w:tr>
    </w:tbl>
    <w:p>
      <w:pPr>
        <w:pStyle w:val="1336"/>
        <w:numPr>
          <w:ilvl w:val="0"/>
          <w:numId w:val="3"/>
        </w:numPr>
        <w:spacing w:line="440" w:lineRule="exact"/>
        <w:ind w:firstLineChars="0"/>
        <w:rPr>
          <w:rFonts w:ascii="宋体" w:hAnsi="宋体"/>
          <w:b/>
          <w:color w:val="auto"/>
          <w:sz w:val="24"/>
          <w:szCs w:val="24"/>
          <w:highlight w:val="none"/>
        </w:rPr>
      </w:pPr>
      <w:r>
        <w:rPr>
          <w:rFonts w:hint="eastAsia" w:ascii="宋体" w:hAnsi="宋体"/>
          <w:b/>
          <w:color w:val="auto"/>
          <w:sz w:val="24"/>
          <w:szCs w:val="24"/>
          <w:highlight w:val="none"/>
        </w:rPr>
        <w:t>服务费用：</w:t>
      </w:r>
    </w:p>
    <w:p>
      <w:pPr>
        <w:pStyle w:val="581"/>
        <w:spacing w:line="440" w:lineRule="exact"/>
        <w:ind w:firstLine="48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合同</w:t>
      </w:r>
      <w:r>
        <w:rPr>
          <w:rFonts w:hint="eastAsia" w:ascii="宋体" w:hAnsi="宋体"/>
          <w:color w:val="auto"/>
          <w:sz w:val="24"/>
          <w:highlight w:val="none"/>
        </w:rPr>
        <w:t>总价</w:t>
      </w:r>
      <w:r>
        <w:rPr>
          <w:rFonts w:hint="eastAsia" w:ascii="宋体" w:hAnsi="宋体"/>
          <w:color w:val="auto"/>
          <w:sz w:val="24"/>
          <w:highlight w:val="none"/>
          <w:lang w:val="zh-CN"/>
        </w:rPr>
        <w:t>：人民币</w:t>
      </w:r>
      <w:r>
        <w:rPr>
          <w:rFonts w:hint="eastAsia" w:ascii="宋体" w:hAnsi="宋体"/>
          <w:color w:val="auto"/>
          <w:sz w:val="24"/>
          <w:highlight w:val="none"/>
        </w:rPr>
        <w:t>小写</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元（大写：</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w:t>
      </w:r>
      <w:r>
        <w:rPr>
          <w:rFonts w:hint="eastAsia" w:ascii="宋体" w:hAnsi="宋体"/>
          <w:color w:val="auto"/>
          <w:sz w:val="24"/>
          <w:highlight w:val="none"/>
        </w:rPr>
        <w:t>价格分项为：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Style w:val="581"/>
        <w:spacing w:line="440" w:lineRule="exact"/>
        <w:ind w:firstLine="480"/>
        <w:rPr>
          <w:rFonts w:hint="eastAsia" w:ascii="宋体" w:hAnsi="宋体"/>
          <w:color w:val="auto"/>
          <w:sz w:val="24"/>
          <w:highlight w:val="none"/>
          <w:lang w:val="zh-CN"/>
        </w:rPr>
      </w:pPr>
      <w:r>
        <w:rPr>
          <w:rFonts w:hint="eastAsia" w:ascii="宋体" w:hAnsi="宋体"/>
          <w:color w:val="auto"/>
          <w:sz w:val="24"/>
          <w:highlight w:val="none"/>
        </w:rPr>
        <w:t>2、</w:t>
      </w:r>
      <w:r>
        <w:rPr>
          <w:rFonts w:hint="eastAsia" w:ascii="宋体" w:hAnsi="宋体"/>
          <w:color w:val="auto"/>
          <w:sz w:val="24"/>
          <w:highlight w:val="none"/>
          <w:lang w:val="zh-CN"/>
        </w:rPr>
        <w:t>该合同</w:t>
      </w:r>
      <w:r>
        <w:rPr>
          <w:rFonts w:hint="eastAsia" w:ascii="宋体" w:hAnsi="宋体"/>
          <w:color w:val="auto"/>
          <w:sz w:val="24"/>
          <w:highlight w:val="none"/>
        </w:rPr>
        <w:t>总价</w:t>
      </w:r>
      <w:r>
        <w:rPr>
          <w:rFonts w:hint="eastAsia" w:ascii="宋体" w:hAnsi="宋体"/>
          <w:color w:val="auto"/>
          <w:sz w:val="24"/>
          <w:highlight w:val="none"/>
          <w:lang w:val="zh-CN"/>
        </w:rPr>
        <w:t>已包括：服务期内医院生活垃圾处置和清运以及化粪池清运处置全部费用、在服务区域内提供服务所需的人工费（包括工人工资、奖金、节日加班费、劳保福利、高温补贴、餐费、社保、意外保险、工伤费、教育培训费、暂住费及处理一切伤亡事故等费用）、工人管理费、企业应缴税金和应得利润、应急等完成合同所需的一切本身和不可或缺的所有工作开支、政策性文件规定合同包含的所有风险、责任等各项全部费用并承担一切风险责任，实行费用总包干。</w:t>
      </w:r>
    </w:p>
    <w:p>
      <w:pPr>
        <w:pStyle w:val="1336"/>
        <w:numPr>
          <w:ilvl w:val="0"/>
          <w:numId w:val="3"/>
        </w:numPr>
        <w:spacing w:line="440" w:lineRule="exact"/>
        <w:ind w:firstLineChars="0"/>
        <w:rPr>
          <w:rFonts w:hint="eastAsia" w:ascii="宋体" w:hAnsi="宋体"/>
          <w:b/>
          <w:color w:val="auto"/>
          <w:sz w:val="24"/>
          <w:szCs w:val="24"/>
          <w:highlight w:val="none"/>
        </w:rPr>
      </w:pPr>
      <w:r>
        <w:rPr>
          <w:rFonts w:hint="eastAsia" w:ascii="宋体" w:hAnsi="宋体"/>
          <w:b/>
          <w:color w:val="auto"/>
          <w:sz w:val="24"/>
          <w:szCs w:val="24"/>
          <w:highlight w:val="none"/>
        </w:rPr>
        <w:t>服务质量及要求：</w:t>
      </w:r>
    </w:p>
    <w:p>
      <w:pPr>
        <w:pStyle w:val="581"/>
        <w:spacing w:line="440" w:lineRule="exact"/>
        <w:ind w:firstLine="480"/>
        <w:rPr>
          <w:rFonts w:hint="eastAsia" w:ascii="宋体" w:hAnsi="宋体"/>
          <w:bCs/>
          <w:color w:val="auto"/>
          <w:sz w:val="24"/>
          <w:highlight w:val="none"/>
        </w:rPr>
      </w:pPr>
      <w:r>
        <w:rPr>
          <w:rFonts w:hint="eastAsia" w:ascii="宋体" w:hAnsi="宋体"/>
          <w:bCs/>
          <w:color w:val="auto"/>
          <w:sz w:val="24"/>
          <w:highlight w:val="none"/>
        </w:rPr>
        <w:t>乙方垃圾收运处置各项具体工作的质量标准和作业规范按相关法律法规、标准及规范、合同文件内容以及甲方具体要求执行。</w:t>
      </w:r>
    </w:p>
    <w:p>
      <w:pPr>
        <w:pStyle w:val="1336"/>
        <w:numPr>
          <w:ilvl w:val="0"/>
          <w:numId w:val="3"/>
        </w:numPr>
        <w:spacing w:line="440" w:lineRule="exact"/>
        <w:ind w:firstLineChars="0"/>
        <w:rPr>
          <w:rFonts w:hint="eastAsia" w:ascii="宋体" w:hAnsi="宋体"/>
          <w:b/>
          <w:color w:val="auto"/>
          <w:sz w:val="24"/>
          <w:szCs w:val="24"/>
          <w:highlight w:val="none"/>
        </w:rPr>
      </w:pPr>
      <w:r>
        <w:rPr>
          <w:rFonts w:hint="eastAsia" w:ascii="宋体" w:hAnsi="宋体"/>
          <w:b/>
          <w:color w:val="auto"/>
          <w:sz w:val="24"/>
          <w:szCs w:val="24"/>
          <w:highlight w:val="none"/>
        </w:rPr>
        <w:t>双方权利和义务：</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1、甲方权利和义务：</w:t>
      </w:r>
    </w:p>
    <w:p>
      <w:pPr>
        <w:pStyle w:val="1336"/>
        <w:numPr>
          <w:ilvl w:val="2"/>
          <w:numId w:val="4"/>
        </w:num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甲方或其授权的人员有权对服务区域各项服务质量进行检查并提出限期整改要求。</w:t>
      </w:r>
    </w:p>
    <w:p>
      <w:pPr>
        <w:pStyle w:val="1336"/>
        <w:numPr>
          <w:ilvl w:val="2"/>
          <w:numId w:val="4"/>
        </w:num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保证乙方服务所需的人员按规定正常进入服务区域内开展服务工作。</w:t>
      </w:r>
    </w:p>
    <w:p>
      <w:pPr>
        <w:pStyle w:val="1336"/>
        <w:numPr>
          <w:ilvl w:val="2"/>
          <w:numId w:val="4"/>
        </w:num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甲方委派的项目负责人为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，联系号码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，项目负责人为履行本合同的权限为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pStyle w:val="581"/>
        <w:ind w:firstLine="480"/>
        <w:rPr>
          <w:color w:val="auto"/>
          <w:highlight w:val="none"/>
        </w:rPr>
      </w:pPr>
      <w:r>
        <w:rPr>
          <w:rFonts w:hint="eastAsia" w:ascii="宋体" w:hAnsi="宋体"/>
          <w:color w:val="auto"/>
          <w:sz w:val="24"/>
          <w:highlight w:val="none"/>
        </w:rPr>
        <w:t>（4）其他：</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Style w:val="1336"/>
        <w:spacing w:line="44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2、乙方权利和义务：</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乙方的工作人员经相关专业考核合格后持证上岗，甲方有权进行审核。</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乙方必须严格按照招标</w:t>
      </w:r>
      <w:r>
        <w:rPr>
          <w:rFonts w:hint="eastAsia" w:ascii="宋体" w:hAnsi="宋体"/>
          <w:color w:val="auto"/>
          <w:sz w:val="24"/>
          <w:szCs w:val="24"/>
          <w:highlight w:val="none"/>
        </w:rPr>
        <w:t>、投标</w:t>
      </w:r>
      <w:r>
        <w:rPr>
          <w:rFonts w:ascii="宋体" w:hAnsi="宋体"/>
          <w:color w:val="auto"/>
          <w:sz w:val="24"/>
          <w:szCs w:val="24"/>
          <w:highlight w:val="none"/>
        </w:rPr>
        <w:t>文件及合同约定提供服务，并根据甲方要求不断改进服务手段，自觉接受甲方相关部门的监督与检查。</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在服务期内，乙方所有人员的人身安全由乙方全权负责，乙方工作人员索赔金额由乙方全部承担。</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如因乙方人员失误造成损失，由乙方承担</w:t>
      </w:r>
      <w:r>
        <w:rPr>
          <w:rFonts w:hint="eastAsia" w:ascii="宋体" w:hAnsi="宋体"/>
          <w:color w:val="auto"/>
          <w:sz w:val="24"/>
          <w:szCs w:val="24"/>
          <w:highlight w:val="none"/>
        </w:rPr>
        <w:t>全部</w:t>
      </w:r>
      <w:r>
        <w:rPr>
          <w:rFonts w:ascii="宋体" w:hAnsi="宋体"/>
          <w:color w:val="auto"/>
          <w:sz w:val="24"/>
          <w:szCs w:val="24"/>
          <w:highlight w:val="none"/>
        </w:rPr>
        <w:t>责任</w:t>
      </w:r>
      <w:r>
        <w:rPr>
          <w:rFonts w:hint="eastAsia" w:ascii="宋体" w:hAnsi="宋体"/>
          <w:color w:val="auto"/>
          <w:sz w:val="24"/>
          <w:szCs w:val="24"/>
          <w:highlight w:val="none"/>
        </w:rPr>
        <w:t>及赔偿。</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乙方在服务期间要爱护甲方建筑物及室内外设施</w:t>
      </w:r>
      <w:r>
        <w:rPr>
          <w:rFonts w:hint="eastAsia" w:ascii="宋体" w:hAnsi="宋体"/>
          <w:color w:val="auto"/>
          <w:sz w:val="24"/>
          <w:szCs w:val="24"/>
          <w:highlight w:val="none"/>
        </w:rPr>
        <w:t>。</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乙方服务人员应遵守甲方内部的一切行政管理、消防安全等规章制度。</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遇突发事件或安全检查时，乙方必须配合有关部门执行任务，并指定专职人员协助工作，直至完成。</w:t>
      </w:r>
    </w:p>
    <w:p>
      <w:pPr>
        <w:pStyle w:val="1336"/>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乙方委派的项目负责人为</w:t>
      </w:r>
      <w:r>
        <w:rPr>
          <w:rFonts w:ascii="宋体" w:hAnsi="宋体"/>
          <w:color w:val="auto"/>
          <w:sz w:val="24"/>
          <w:szCs w:val="24"/>
          <w:highlight w:val="none"/>
          <w:u w:val="single"/>
        </w:rPr>
        <w:t xml:space="preserve">             </w:t>
      </w:r>
      <w:r>
        <w:rPr>
          <w:rFonts w:ascii="宋体" w:hAnsi="宋体"/>
          <w:color w:val="auto"/>
          <w:sz w:val="24"/>
          <w:szCs w:val="24"/>
          <w:highlight w:val="none"/>
        </w:rPr>
        <w:t>，联系号码</w:t>
      </w:r>
      <w:r>
        <w:rPr>
          <w:rFonts w:ascii="宋体" w:hAnsi="宋体"/>
          <w:color w:val="auto"/>
          <w:sz w:val="24"/>
          <w:szCs w:val="24"/>
          <w:highlight w:val="none"/>
          <w:u w:val="single"/>
        </w:rPr>
        <w:t xml:space="preserve">               </w:t>
      </w:r>
      <w:r>
        <w:rPr>
          <w:rFonts w:ascii="宋体" w:hAnsi="宋体"/>
          <w:color w:val="auto"/>
          <w:sz w:val="24"/>
          <w:szCs w:val="24"/>
          <w:highlight w:val="none"/>
        </w:rPr>
        <w:t>，项目负责人为履行本合同的权限为</w:t>
      </w:r>
      <w:r>
        <w:rPr>
          <w:rFonts w:ascii="宋体" w:hAnsi="宋体"/>
          <w:color w:val="auto"/>
          <w:sz w:val="24"/>
          <w:szCs w:val="24"/>
          <w:highlight w:val="none"/>
          <w:u w:val="single"/>
        </w:rPr>
        <w:t xml:space="preserve">                    </w:t>
      </w:r>
      <w:r>
        <w:rPr>
          <w:rFonts w:ascii="宋体" w:hAnsi="宋体"/>
          <w:color w:val="auto"/>
          <w:sz w:val="24"/>
          <w:szCs w:val="24"/>
          <w:highlight w:val="none"/>
        </w:rPr>
        <w:t>。项目负责人不得随意变更，因特殊原因变更需经得甲方书面同意。</w:t>
      </w:r>
    </w:p>
    <w:p>
      <w:pPr>
        <w:pStyle w:val="581"/>
        <w:ind w:firstLine="480"/>
        <w:rPr>
          <w:color w:val="auto"/>
          <w:highlight w:val="none"/>
        </w:rPr>
      </w:pPr>
      <w:r>
        <w:rPr>
          <w:rFonts w:hint="eastAsia" w:ascii="宋体" w:hAnsi="宋体"/>
          <w:color w:val="auto"/>
          <w:sz w:val="24"/>
          <w:highlight w:val="none"/>
        </w:rPr>
        <w:t>（9）其他：</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Style w:val="1336"/>
        <w:numPr>
          <w:ilvl w:val="0"/>
          <w:numId w:val="3"/>
        </w:numPr>
        <w:spacing w:line="440" w:lineRule="exact"/>
        <w:ind w:firstLineChars="0"/>
        <w:rPr>
          <w:rFonts w:ascii="宋体" w:hAnsi="宋体"/>
          <w:b/>
          <w:color w:val="auto"/>
          <w:sz w:val="24"/>
          <w:szCs w:val="24"/>
          <w:highlight w:val="none"/>
        </w:rPr>
      </w:pPr>
      <w:r>
        <w:rPr>
          <w:rFonts w:hint="eastAsia" w:ascii="宋体" w:hAnsi="宋体"/>
          <w:b/>
          <w:color w:val="auto"/>
          <w:sz w:val="24"/>
          <w:szCs w:val="24"/>
          <w:highlight w:val="none"/>
        </w:rPr>
        <w:t>付费期限、方式：</w:t>
      </w:r>
    </w:p>
    <w:p>
      <w:pPr>
        <w:pStyle w:val="1336"/>
        <w:spacing w:line="440" w:lineRule="exact"/>
        <w:ind w:left="240" w:firstLine="480"/>
        <w:rPr>
          <w:rFonts w:hint="eastAsia" w:ascii="宋体" w:hAnsi="宋体"/>
          <w:bCs/>
          <w:color w:val="auto"/>
          <w:sz w:val="24"/>
          <w:szCs w:val="24"/>
          <w:highlight w:val="none"/>
          <w:u w:val="single"/>
        </w:rPr>
      </w:pPr>
      <w:r>
        <w:rPr>
          <w:rFonts w:hint="eastAsia" w:ascii="宋体" w:hAnsi="宋体"/>
          <w:bCs/>
          <w:color w:val="auto"/>
          <w:sz w:val="24"/>
          <w:szCs w:val="24"/>
          <w:highlight w:val="none"/>
        </w:rPr>
        <w:t>1、甲方须于</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rPr>
        <w:t xml:space="preserve">年   月 </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rPr>
        <w:t xml:space="preserve"> 日</w:t>
      </w:r>
      <w:r>
        <w:rPr>
          <w:rFonts w:hint="eastAsia" w:ascii="宋体" w:hAnsi="宋体"/>
          <w:bCs/>
          <w:color w:val="auto"/>
          <w:sz w:val="24"/>
          <w:szCs w:val="24"/>
          <w:highlight w:val="none"/>
        </w:rPr>
        <w:t>前以</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方式将合同总价交至乙方。</w:t>
      </w:r>
    </w:p>
    <w:p>
      <w:pPr>
        <w:pStyle w:val="1336"/>
        <w:spacing w:line="440" w:lineRule="exact"/>
        <w:ind w:left="240" w:firstLine="480"/>
        <w:rPr>
          <w:rFonts w:hint="eastAsia" w:ascii="宋体" w:hAnsi="宋体"/>
          <w:color w:val="auto"/>
          <w:sz w:val="24"/>
          <w:szCs w:val="24"/>
          <w:highlight w:val="none"/>
        </w:rPr>
      </w:pPr>
      <w:r>
        <w:rPr>
          <w:rFonts w:hint="eastAsia" w:ascii="宋体" w:hAnsi="宋体"/>
          <w:color w:val="auto"/>
          <w:sz w:val="24"/>
          <w:szCs w:val="24"/>
          <w:highlight w:val="none"/>
        </w:rPr>
        <w:t xml:space="preserve">2、乙方应提供等额有效的发票，并承诺其开具发票的形式与内容真实、合法、准确、完整、有效。 </w:t>
      </w:r>
    </w:p>
    <w:p>
      <w:pPr>
        <w:pStyle w:val="1336"/>
        <w:spacing w:line="440" w:lineRule="exact"/>
        <w:ind w:left="240" w:firstLine="480"/>
        <w:rPr>
          <w:rFonts w:hint="eastAsia" w:ascii="宋体" w:hAnsi="宋体"/>
          <w:color w:val="auto"/>
          <w:sz w:val="24"/>
          <w:szCs w:val="24"/>
          <w:highlight w:val="none"/>
        </w:rPr>
      </w:pPr>
      <w:r>
        <w:rPr>
          <w:rFonts w:hint="eastAsia" w:ascii="宋体" w:hAnsi="宋体"/>
          <w:color w:val="auto"/>
          <w:sz w:val="24"/>
          <w:szCs w:val="24"/>
          <w:highlight w:val="none"/>
        </w:rPr>
        <w:t>3、在甲方支付费用前，双方对本合同的履行或部分履行存有争议的，甲方有权中止支付对应费用且不构成违约；待争议解决后，按双方协商结果支付。</w:t>
      </w:r>
    </w:p>
    <w:p>
      <w:pPr>
        <w:pStyle w:val="1336"/>
        <w:spacing w:line="440" w:lineRule="exact"/>
        <w:ind w:left="240" w:firstLine="480"/>
        <w:rPr>
          <w:rFonts w:hint="eastAsia" w:ascii="宋体" w:hAnsi="宋体"/>
          <w:color w:val="auto"/>
          <w:sz w:val="24"/>
          <w:szCs w:val="24"/>
          <w:highlight w:val="none"/>
        </w:rPr>
      </w:pPr>
      <w:r>
        <w:rPr>
          <w:rFonts w:hint="eastAsia" w:ascii="宋体" w:hAnsi="宋体"/>
          <w:color w:val="auto"/>
          <w:sz w:val="24"/>
          <w:szCs w:val="24"/>
          <w:highlight w:val="none"/>
        </w:rPr>
        <w:t>4、乙方所承担的违约责任所对应的金额，甲方有权从待支付费用中扣除，乙方应按照扣款后的金额开具符合等额有效的发票，甲方亦可另行向乙方主张要求支付。</w:t>
      </w:r>
    </w:p>
    <w:p>
      <w:pPr>
        <w:pStyle w:val="1336"/>
        <w:numPr>
          <w:ilvl w:val="0"/>
          <w:numId w:val="3"/>
        </w:numPr>
        <w:spacing w:line="440" w:lineRule="exact"/>
        <w:ind w:firstLineChars="0"/>
        <w:rPr>
          <w:rFonts w:ascii="宋体" w:hAnsi="宋体"/>
          <w:b/>
          <w:color w:val="auto"/>
          <w:sz w:val="24"/>
          <w:szCs w:val="24"/>
          <w:highlight w:val="none"/>
        </w:rPr>
      </w:pPr>
      <w:r>
        <w:rPr>
          <w:rFonts w:hint="eastAsia" w:ascii="宋体" w:hAnsi="宋体"/>
          <w:b/>
          <w:color w:val="auto"/>
          <w:sz w:val="24"/>
          <w:szCs w:val="24"/>
          <w:highlight w:val="none"/>
        </w:rPr>
        <w:t>违约责任：</w:t>
      </w:r>
    </w:p>
    <w:p>
      <w:pPr>
        <w:pStyle w:val="581"/>
        <w:spacing w:line="440" w:lineRule="exact"/>
        <w:ind w:firstLine="480"/>
        <w:rPr>
          <w:rFonts w:ascii="宋体" w:hAnsi="宋体"/>
          <w:color w:val="auto"/>
          <w:sz w:val="24"/>
          <w:highlight w:val="none"/>
        </w:rPr>
      </w:pPr>
      <w:r>
        <w:rPr>
          <w:rFonts w:hint="eastAsia" w:ascii="宋体" w:hAnsi="宋体"/>
          <w:color w:val="auto"/>
          <w:sz w:val="24"/>
          <w:highlight w:val="none"/>
        </w:rPr>
        <w:t>1、合同生效后，甲乙双方均应严格遵守合同约定，否则应承担相应的违约责任。</w:t>
      </w:r>
    </w:p>
    <w:p>
      <w:pPr>
        <w:pStyle w:val="581"/>
        <w:spacing w:line="440" w:lineRule="exact"/>
        <w:ind w:firstLine="480"/>
        <w:rPr>
          <w:rFonts w:hint="eastAsia" w:ascii="宋体" w:hAnsi="宋体"/>
          <w:color w:val="auto"/>
          <w:sz w:val="24"/>
          <w:highlight w:val="none"/>
        </w:rPr>
      </w:pPr>
      <w:r>
        <w:rPr>
          <w:rFonts w:hint="eastAsia" w:ascii="宋体" w:hAnsi="宋体"/>
          <w:color w:val="auto"/>
          <w:sz w:val="24"/>
          <w:highlight w:val="none"/>
        </w:rPr>
        <w:t>2、除不可抗力外，如果乙方没有按照本合同约定的期限、地点、内容和方式等要求交付服务成果或者实施服务，那么甲方可要求乙方支付违约金，迟延履行违约金按每迟延履行一日的应提供而未提供服务价格的0.05%计算，且有权要求乙方限期整改。乙方逾期未整改或整改后仍未达到甲方要求的，乙方应向甲方支付本合同总价的25%作为违约金；如该违约金不足以弥补因此所造成的甲方全部损失（该全部损失包括但不限于直接损失、间接损失和甲方因维权而产生的诉讼费、律师费、保全费、保全担保费、公证费、执行费等一切损失），乙方应予补足。</w:t>
      </w:r>
    </w:p>
    <w:p>
      <w:pPr>
        <w:pStyle w:val="581"/>
        <w:spacing w:line="440" w:lineRule="exact"/>
        <w:ind w:firstLine="480"/>
        <w:rPr>
          <w:rFonts w:ascii="宋体" w:hAnsi="宋体"/>
          <w:color w:val="auto"/>
          <w:sz w:val="24"/>
          <w:highlight w:val="none"/>
        </w:rPr>
      </w:pPr>
      <w:r>
        <w:rPr>
          <w:rFonts w:hint="eastAsia" w:ascii="宋体" w:hAnsi="宋体"/>
          <w:color w:val="auto"/>
          <w:sz w:val="24"/>
          <w:highlight w:val="none"/>
        </w:rPr>
        <w:t>3、除不可抗力和本合同另有约定外，因乙方之原因未完全履行本合同项下的义务的，乙方应向甲方支付本合同总价10%的违约金；如该违约金不足以弥补因此所造成的甲方全部损失（该全部损失包括但不限于直接损失、间接损失和甲方因维权而产生的诉讼费、律师费、保全费、保全担保费、公证费、执行费等一切损失），乙方应予补足。</w:t>
      </w:r>
    </w:p>
    <w:p>
      <w:pPr>
        <w:pStyle w:val="1336"/>
        <w:numPr>
          <w:ilvl w:val="0"/>
          <w:numId w:val="3"/>
        </w:numPr>
        <w:spacing w:line="440" w:lineRule="exact"/>
        <w:ind w:firstLineChars="0"/>
        <w:rPr>
          <w:rFonts w:ascii="宋体" w:hAnsi="宋体"/>
          <w:b/>
          <w:color w:val="auto"/>
          <w:sz w:val="24"/>
          <w:szCs w:val="24"/>
          <w:highlight w:val="none"/>
        </w:rPr>
      </w:pPr>
      <w:r>
        <w:rPr>
          <w:rFonts w:hint="eastAsia" w:ascii="宋体" w:hAnsi="宋体"/>
          <w:b/>
          <w:color w:val="auto"/>
          <w:sz w:val="24"/>
          <w:szCs w:val="24"/>
          <w:highlight w:val="none"/>
        </w:rPr>
        <w:t>解决争议的方法：</w:t>
      </w:r>
    </w:p>
    <w:p>
      <w:pPr>
        <w:pStyle w:val="1336"/>
        <w:spacing w:line="440" w:lineRule="exact"/>
        <w:ind w:left="240" w:firstLine="480"/>
        <w:rPr>
          <w:rFonts w:ascii="宋体" w:hAnsi="宋体"/>
          <w:b/>
          <w:color w:val="auto"/>
          <w:sz w:val="24"/>
          <w:szCs w:val="24"/>
          <w:highlight w:val="none"/>
        </w:rPr>
      </w:pPr>
      <w:r>
        <w:rPr>
          <w:rFonts w:hint="eastAsia" w:ascii="宋体" w:hAnsi="宋体"/>
          <w:color w:val="auto"/>
          <w:sz w:val="24"/>
          <w:szCs w:val="24"/>
          <w:highlight w:val="none"/>
        </w:rPr>
        <w:t>本合同履行中产生争议，先由双方协商解决，协商不成，任何一方应将争议提交</w:t>
      </w:r>
      <w:r>
        <w:rPr>
          <w:rFonts w:hint="eastAsia" w:ascii="宋体" w:hAnsi="宋体"/>
          <w:b/>
          <w:bCs/>
          <w:color w:val="auto"/>
          <w:sz w:val="24"/>
          <w:szCs w:val="24"/>
          <w:highlight w:val="none"/>
          <w:u w:val="single"/>
        </w:rPr>
        <w:t>甲方所在地</w:t>
      </w:r>
      <w:r>
        <w:rPr>
          <w:rFonts w:hint="eastAsia" w:ascii="宋体" w:hAnsi="宋体"/>
          <w:color w:val="auto"/>
          <w:sz w:val="24"/>
          <w:szCs w:val="24"/>
          <w:highlight w:val="none"/>
        </w:rPr>
        <w:t>人民法院提起诉讼途径解决。</w:t>
      </w:r>
    </w:p>
    <w:p>
      <w:pPr>
        <w:pStyle w:val="1336"/>
        <w:numPr>
          <w:ilvl w:val="0"/>
          <w:numId w:val="3"/>
        </w:numPr>
        <w:spacing w:line="440" w:lineRule="exact"/>
        <w:ind w:firstLineChars="0"/>
        <w:rPr>
          <w:rFonts w:ascii="宋体" w:hAnsi="宋体"/>
          <w:b/>
          <w:color w:val="auto"/>
          <w:sz w:val="24"/>
          <w:szCs w:val="24"/>
          <w:highlight w:val="none"/>
        </w:rPr>
      </w:pPr>
      <w:r>
        <w:rPr>
          <w:rFonts w:hint="eastAsia" w:ascii="宋体" w:hAnsi="宋体"/>
          <w:b/>
          <w:color w:val="auto"/>
          <w:sz w:val="24"/>
          <w:szCs w:val="24"/>
          <w:highlight w:val="none"/>
        </w:rPr>
        <w:t>其他：</w:t>
      </w:r>
    </w:p>
    <w:p>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1、知识产权：乙方应保证所提供的服务或其任何一部分均不会侵犯任何第三方的知识产权。任何第三方如果提出侵权指控，乙方应与第三方交涉并承担由此而引起的一切法律责任和费用。</w:t>
      </w:r>
    </w:p>
    <w:p>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2、保密义务：除非依照法律规定或者甲方的书面同意，乙方均应保证不向任何第三方提供或披露有关合同的或者履行合同过程中知悉的甲方任何未公开的信息和资料，包括但不限于技术情报、技术资料、商业秘密和商业信息等，并采取一切合理和必要措施和方式防止任何第三方接触到甲方的上述保密信息和资料。保密期限自乙方接收或知悉甲方信息资料之日起至该信息资料公开之日或甲方书面解除乙方保密义务之日止。</w:t>
      </w:r>
    </w:p>
    <w:p>
      <w:pPr>
        <w:snapToGrid w:val="0"/>
        <w:spacing w:line="360" w:lineRule="auto"/>
        <w:ind w:firstLine="470" w:firstLineChars="196"/>
        <w:rPr>
          <w:rFonts w:hint="eastAsia" w:ascii="宋体" w:hAnsi="宋体"/>
          <w:b/>
          <w:color w:val="auto"/>
          <w:sz w:val="24"/>
          <w:highlight w:val="none"/>
        </w:rPr>
      </w:pPr>
      <w:r>
        <w:rPr>
          <w:rFonts w:hint="eastAsia" w:ascii="宋体" w:hAnsi="宋体"/>
          <w:color w:val="auto"/>
          <w:sz w:val="24"/>
          <w:highlight w:val="none"/>
        </w:rPr>
        <w:t>3、合同转让和分包：未经甲方事先书面同意，乙方不得部分转让或全部转让本合同项下应由乙方履行的义务。乙方应向甲方支付本合同总价的30%作为违约金。如该违约金不足以弥补由此所造成的甲方全部损失（该全部损失包括但不限于直接损失、间接损失和甲方因维权而产生的诉讼费、律师费、保全费、保全担保费、公证费、执行费等一切损失），乙方应予全额赔偿。</w:t>
      </w:r>
    </w:p>
    <w:p>
      <w:pPr>
        <w:pStyle w:val="1336"/>
        <w:numPr>
          <w:ilvl w:val="0"/>
          <w:numId w:val="3"/>
        </w:numPr>
        <w:spacing w:line="440" w:lineRule="exact"/>
        <w:ind w:firstLineChars="0"/>
        <w:rPr>
          <w:rFonts w:hint="eastAsia" w:ascii="宋体" w:hAnsi="宋体"/>
          <w:b/>
          <w:color w:val="auto"/>
          <w:sz w:val="24"/>
          <w:szCs w:val="24"/>
          <w:highlight w:val="none"/>
        </w:rPr>
      </w:pPr>
      <w:r>
        <w:rPr>
          <w:rFonts w:hint="eastAsia" w:ascii="宋体" w:hAnsi="宋体"/>
          <w:b/>
          <w:color w:val="auto"/>
          <w:sz w:val="24"/>
          <w:szCs w:val="24"/>
          <w:highlight w:val="none"/>
        </w:rPr>
        <w:t>合同生效：</w:t>
      </w:r>
    </w:p>
    <w:p>
      <w:pPr>
        <w:pStyle w:val="1336"/>
        <w:spacing w:line="440" w:lineRule="exact"/>
        <w:ind w:left="240" w:firstLine="480"/>
        <w:rPr>
          <w:rFonts w:ascii="宋体" w:hAnsi="宋体"/>
          <w:bCs/>
          <w:color w:val="auto"/>
          <w:sz w:val="24"/>
          <w:szCs w:val="24"/>
          <w:highlight w:val="none"/>
        </w:rPr>
      </w:pPr>
      <w:r>
        <w:rPr>
          <w:rFonts w:hint="eastAsia" w:ascii="宋体" w:hAnsi="宋体"/>
          <w:bCs/>
          <w:color w:val="auto"/>
          <w:sz w:val="24"/>
          <w:szCs w:val="24"/>
          <w:highlight w:val="none"/>
        </w:rPr>
        <w:t>1、本合同自双方法定代表人或授权代表签字并加盖单位公章之日起生效。</w:t>
      </w:r>
    </w:p>
    <w:p>
      <w:pPr>
        <w:pStyle w:val="1336"/>
        <w:spacing w:line="440" w:lineRule="exact"/>
        <w:ind w:left="240" w:firstLine="480"/>
        <w:rPr>
          <w:rFonts w:hint="eastAsia" w:ascii="宋体" w:hAnsi="宋体"/>
          <w:bCs/>
          <w:color w:val="auto"/>
          <w:sz w:val="24"/>
          <w:szCs w:val="24"/>
          <w:highlight w:val="none"/>
        </w:rPr>
      </w:pPr>
      <w:r>
        <w:rPr>
          <w:rFonts w:hint="eastAsia" w:ascii="宋体" w:hAnsi="宋体"/>
          <w:bCs/>
          <w:color w:val="auto"/>
          <w:sz w:val="24"/>
          <w:szCs w:val="24"/>
          <w:highlight w:val="none"/>
        </w:rPr>
        <w:t>2、本合同一式贰份。甲方执壹份，乙方执壹份。</w:t>
      </w:r>
    </w:p>
    <w:p>
      <w:pPr>
        <w:pStyle w:val="1336"/>
        <w:spacing w:line="440" w:lineRule="exact"/>
        <w:ind w:left="240" w:firstLine="480"/>
        <w:rPr>
          <w:rFonts w:hint="eastAsia" w:ascii="宋体" w:hAnsi="宋体"/>
          <w:bCs/>
          <w:color w:val="auto"/>
          <w:sz w:val="24"/>
          <w:szCs w:val="24"/>
          <w:highlight w:val="none"/>
        </w:rPr>
      </w:pPr>
      <w:r>
        <w:rPr>
          <w:rFonts w:hint="eastAsia" w:ascii="宋体" w:hAnsi="宋体"/>
          <w:bCs/>
          <w:color w:val="auto"/>
          <w:sz w:val="24"/>
          <w:szCs w:val="24"/>
          <w:highlight w:val="none"/>
        </w:rPr>
        <w:t>3、下列文件为本合同的组成部分，并构成一个整体，需综合解释、相互补充。如果下列文件内容出现不一致的情形，那么在保证按照采购文件确定的事项的前提下，组成本合同的多个文件的优先适用顺序如下：（1）本采购合同及其补充合同、变更协议；（2）中标或者成交通知书；（3）投标或者响应文件（含澄清或者说明文件）；（4）采购文件（含澄清或者修改文件）；（5）其他相关采购文件。</w:t>
      </w:r>
    </w:p>
    <w:p>
      <w:pPr>
        <w:pStyle w:val="1336"/>
        <w:spacing w:line="440" w:lineRule="exact"/>
        <w:ind w:left="240" w:firstLine="480"/>
        <w:rPr>
          <w:rFonts w:hint="eastAsia" w:ascii="宋体" w:hAnsi="宋体"/>
          <w:b/>
          <w:color w:val="auto"/>
          <w:sz w:val="24"/>
          <w:szCs w:val="24"/>
          <w:highlight w:val="none"/>
        </w:rPr>
      </w:pPr>
      <w:r>
        <w:rPr>
          <w:rFonts w:hint="eastAsia" w:ascii="宋体" w:hAnsi="宋体"/>
          <w:bCs/>
          <w:color w:val="auto"/>
          <w:sz w:val="24"/>
          <w:szCs w:val="24"/>
          <w:highlight w:val="none"/>
        </w:rPr>
        <w:t>4、合同期内，如需修改或补充合同内容，经协商，双方应签署书面修改或补充协议，该协议将作为合同不可分割的一部分。</w:t>
      </w:r>
    </w:p>
    <w:p>
      <w:pPr>
        <w:tabs>
          <w:tab w:val="left" w:pos="9781"/>
        </w:tabs>
        <w:spacing w:line="360" w:lineRule="auto"/>
        <w:jc w:val="left"/>
        <w:rPr>
          <w:rFonts w:hint="eastAsia" w:ascii="宋体" w:hAnsi="宋体" w:cs="宋体"/>
          <w:color w:val="auto"/>
          <w:szCs w:val="21"/>
          <w:highlight w:val="none"/>
        </w:rPr>
      </w:pP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甲方（公章）：                             乙方（公章）：</w:t>
      </w:r>
    </w:p>
    <w:p>
      <w:pPr>
        <w:snapToGrid w:val="0"/>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             法定代表人或授权代表（签字）：</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开户行：                                   开户行：</w:t>
      </w:r>
    </w:p>
    <w:p>
      <w:pPr>
        <w:pStyle w:val="40"/>
        <w:spacing w:line="360" w:lineRule="auto"/>
        <w:ind w:firstLine="840" w:firstLineChars="400"/>
        <w:rPr>
          <w:color w:val="auto"/>
          <w:highlight w:val="none"/>
        </w:rPr>
      </w:pPr>
      <w:r>
        <w:rPr>
          <w:rFonts w:hint="eastAsia" w:hAnsi="宋体" w:cs="宋体"/>
          <w:color w:val="auto"/>
          <w:szCs w:val="21"/>
          <w:highlight w:val="none"/>
        </w:rPr>
        <w:t>账号：                                     账号：</w:t>
      </w:r>
    </w:p>
    <w:p>
      <w:pPr>
        <w:snapToGrid w:val="0"/>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签订日期：                                 签订日期：</w:t>
      </w:r>
    </w:p>
    <w:p>
      <w:pPr>
        <w:snapToGrid w:val="0"/>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电话：                                     电话：</w:t>
      </w:r>
    </w:p>
    <w:p>
      <w:pPr>
        <w:snapToGrid w:val="0"/>
        <w:spacing w:line="360" w:lineRule="auto"/>
        <w:ind w:firstLine="840" w:firstLineChars="400"/>
        <w:jc w:val="left"/>
        <w:rPr>
          <w:rFonts w:ascii="宋体" w:hAnsi="宋体" w:cs="仿宋"/>
          <w:color w:val="auto"/>
          <w:szCs w:val="21"/>
          <w:highlight w:val="none"/>
        </w:rPr>
      </w:pPr>
      <w:r>
        <w:rPr>
          <w:rFonts w:hint="eastAsia" w:ascii="宋体" w:hAnsi="宋体" w:cs="宋体"/>
          <w:color w:val="auto"/>
          <w:szCs w:val="21"/>
          <w:highlight w:val="none"/>
        </w:rPr>
        <w:t>地址：                                     地址：</w:t>
      </w:r>
    </w:p>
    <w:p>
      <w:pPr>
        <w:rPr>
          <w:rFonts w:ascii="Times New Roman" w:hAnsi="Times New Roman"/>
          <w:color w:val="auto"/>
          <w:highlight w:val="none"/>
        </w:rPr>
      </w:pPr>
      <w:r>
        <w:rPr>
          <w:rFonts w:ascii="Times New Roman" w:hAnsi="Times New Roman"/>
          <w:color w:val="auto"/>
          <w:highlight w:val="none"/>
        </w:rPr>
        <w:br w:type="page"/>
      </w:r>
    </w:p>
    <w:p>
      <w:pPr>
        <w:pStyle w:val="2"/>
        <w:snapToGrid w:val="0"/>
        <w:rPr>
          <w:rFonts w:ascii="Times New Roman" w:hAnsi="Times New Roman"/>
          <w:color w:val="auto"/>
          <w:highlight w:val="none"/>
        </w:rPr>
      </w:pPr>
      <w:r>
        <w:rPr>
          <w:rFonts w:ascii="Times New Roman" w:hAnsi="Times New Roman"/>
          <w:color w:val="auto"/>
          <w:highlight w:val="none"/>
        </w:rPr>
        <w:t>第六章  投标文件格式</w:t>
      </w:r>
      <w:bookmarkEnd w:id="33"/>
      <w:bookmarkEnd w:id="34"/>
      <w:bookmarkEnd w:id="35"/>
      <w:bookmarkEnd w:id="36"/>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bookmarkStart w:id="37" w:name="_Toc437953145"/>
      <w:bookmarkStart w:id="38" w:name="_Toc345575534"/>
      <w:r>
        <w:rPr>
          <w:rFonts w:ascii="Times New Roman" w:hAnsi="Times New Roman"/>
          <w:color w:val="auto"/>
          <w:highlight w:val="none"/>
        </w:rPr>
        <w:t>报价文件封面</w:t>
      </w:r>
      <w:bookmarkEnd w:id="37"/>
      <w:bookmarkEnd w:id="38"/>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39" w:name="_Toc345575539"/>
      <w:bookmarkStart w:id="40" w:name="_Toc336683579"/>
      <w:r>
        <w:rPr>
          <w:rFonts w:ascii="Times New Roman" w:hAnsi="Times New Roman"/>
          <w:color w:val="auto"/>
          <w:highlight w:val="none"/>
        </w:rPr>
        <w:t>1、开标一览表格式</w:t>
      </w:r>
      <w:bookmarkEnd w:id="39"/>
      <w:bookmarkEnd w:id="40"/>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0"/>
        <w:adjustRightInd w:val="0"/>
        <w:snapToGrid w:val="0"/>
        <w:spacing w:line="300" w:lineRule="auto"/>
        <w:rPr>
          <w:rFonts w:ascii="Times New Roman" w:hAnsi="Times New Roman"/>
          <w:color w:val="auto"/>
          <w:highlight w:val="none"/>
          <w:u w:val="single"/>
        </w:rPr>
      </w:pP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0"/>
        <w:adjustRightInd w:val="0"/>
        <w:snapToGrid w:val="0"/>
        <w:spacing w:line="300" w:lineRule="auto"/>
        <w:rPr>
          <w:rFonts w:ascii="Times New Roman" w:hAnsi="Times New Roman"/>
          <w:color w:val="auto"/>
          <w:highlight w:val="none"/>
        </w:rPr>
      </w:pP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0"/>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rPr>
                <w:color w:val="auto"/>
                <w:highlight w:val="none"/>
              </w:rPr>
            </w:pPr>
            <w:r>
              <w:rPr>
                <w:color w:val="auto"/>
                <w:highlight w:val="none"/>
              </w:rPr>
              <w:t>标项内容</w:t>
            </w:r>
          </w:p>
        </w:tc>
        <w:tc>
          <w:tcPr>
            <w:tcW w:w="1530" w:type="dxa"/>
            <w:vAlign w:val="center"/>
          </w:tcPr>
          <w:p>
            <w:pPr>
              <w:spacing w:line="480" w:lineRule="auto"/>
              <w:jc w:val="center"/>
              <w:rPr>
                <w:color w:val="auto"/>
                <w:highlight w:val="none"/>
              </w:rPr>
            </w:pPr>
            <w:r>
              <w:rPr>
                <w:color w:val="auto"/>
                <w:highlight w:val="none"/>
              </w:rPr>
              <w:t>型号和规格</w:t>
            </w:r>
          </w:p>
        </w:tc>
        <w:tc>
          <w:tcPr>
            <w:tcW w:w="911" w:type="dxa"/>
            <w:vAlign w:val="center"/>
          </w:tcPr>
          <w:p>
            <w:pPr>
              <w:spacing w:line="480" w:lineRule="auto"/>
              <w:jc w:val="center"/>
              <w:rPr>
                <w:color w:val="auto"/>
                <w:highlight w:val="none"/>
              </w:rPr>
            </w:pPr>
            <w:r>
              <w:rPr>
                <w:color w:val="auto"/>
                <w:highlight w:val="none"/>
              </w:rPr>
              <w:t>数量</w:t>
            </w:r>
          </w:p>
        </w:tc>
        <w:tc>
          <w:tcPr>
            <w:tcW w:w="2149" w:type="dxa"/>
            <w:vAlign w:val="center"/>
          </w:tcPr>
          <w:p>
            <w:pPr>
              <w:spacing w:line="480" w:lineRule="auto"/>
              <w:jc w:val="center"/>
              <w:rPr>
                <w:color w:val="auto"/>
                <w:highlight w:val="none"/>
              </w:rPr>
            </w:pPr>
            <w:r>
              <w:rPr>
                <w:color w:val="auto"/>
                <w:highlight w:val="none"/>
              </w:rPr>
              <w:t>制造商名称和国籍</w:t>
            </w:r>
          </w:p>
        </w:tc>
        <w:tc>
          <w:tcPr>
            <w:tcW w:w="852" w:type="dxa"/>
            <w:vAlign w:val="center"/>
          </w:tcPr>
          <w:p>
            <w:pPr>
              <w:spacing w:line="480" w:lineRule="auto"/>
              <w:jc w:val="center"/>
              <w:rPr>
                <w:color w:val="auto"/>
                <w:highlight w:val="none"/>
              </w:rPr>
            </w:pPr>
            <w:r>
              <w:rPr>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p>
        </w:tc>
        <w:tc>
          <w:tcPr>
            <w:tcW w:w="1530" w:type="dxa"/>
            <w:vAlign w:val="center"/>
          </w:tcPr>
          <w:p>
            <w:pPr>
              <w:spacing w:line="480" w:lineRule="auto"/>
              <w:rPr>
                <w:color w:val="auto"/>
                <w:highlight w:val="none"/>
              </w:rPr>
            </w:pPr>
          </w:p>
        </w:tc>
        <w:tc>
          <w:tcPr>
            <w:tcW w:w="911" w:type="dxa"/>
            <w:vAlign w:val="center"/>
          </w:tcPr>
          <w:p>
            <w:pPr>
              <w:spacing w:line="480" w:lineRule="auto"/>
              <w:rPr>
                <w:color w:val="auto"/>
                <w:highlight w:val="none"/>
              </w:rPr>
            </w:pPr>
          </w:p>
        </w:tc>
        <w:tc>
          <w:tcPr>
            <w:tcW w:w="2149" w:type="dxa"/>
            <w:vAlign w:val="center"/>
          </w:tcPr>
          <w:p>
            <w:pPr>
              <w:spacing w:line="480" w:lineRule="auto"/>
              <w:rPr>
                <w:color w:val="auto"/>
                <w:highlight w:val="none"/>
              </w:rPr>
            </w:pPr>
          </w:p>
        </w:tc>
        <w:tc>
          <w:tcPr>
            <w:tcW w:w="852" w:type="dxa"/>
            <w:vAlign w:val="center"/>
          </w:tcPr>
          <w:p>
            <w:pPr>
              <w:spacing w:line="480" w:lineRule="auto"/>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gridSpan w:val="4"/>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0"/>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41" w:name="_Toc345575540"/>
      <w:bookmarkStart w:id="42" w:name="_Toc336683580"/>
      <w:r>
        <w:rPr>
          <w:rFonts w:ascii="Times New Roman" w:hAnsi="Times New Roman"/>
          <w:color w:val="auto"/>
          <w:highlight w:val="none"/>
        </w:rPr>
        <w:t>2、投标价格组成明细表格式</w:t>
      </w:r>
      <w:bookmarkEnd w:id="41"/>
      <w:bookmarkEnd w:id="42"/>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pPr>
              <w:pStyle w:val="40"/>
              <w:adjustRightInd w:val="0"/>
              <w:snapToGrid w:val="0"/>
              <w:spacing w:line="300" w:lineRule="auto"/>
              <w:jc w:val="center"/>
              <w:rPr>
                <w:rFonts w:ascii="Times New Roman" w:hAnsi="Times New Roman"/>
                <w:color w:val="auto"/>
                <w:highlight w:val="none"/>
              </w:rPr>
            </w:pPr>
          </w:p>
        </w:tc>
        <w:tc>
          <w:tcPr>
            <w:tcW w:w="1275"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1538" w:type="dxa"/>
            <w:vAlign w:val="center"/>
          </w:tcPr>
          <w:p>
            <w:pPr>
              <w:pStyle w:val="40"/>
              <w:adjustRightInd w:val="0"/>
              <w:snapToGrid w:val="0"/>
              <w:spacing w:line="300" w:lineRule="auto"/>
              <w:jc w:val="center"/>
              <w:rPr>
                <w:rFonts w:ascii="Times New Roman" w:hAnsi="Times New Roman"/>
                <w:color w:val="auto"/>
                <w:highlight w:val="none"/>
              </w:rPr>
            </w:pPr>
          </w:p>
        </w:tc>
        <w:tc>
          <w:tcPr>
            <w:tcW w:w="937" w:type="dxa"/>
            <w:vAlign w:val="center"/>
          </w:tcPr>
          <w:p>
            <w:pPr>
              <w:pStyle w:val="40"/>
              <w:adjustRightInd w:val="0"/>
              <w:snapToGrid w:val="0"/>
              <w:spacing w:line="300" w:lineRule="auto"/>
              <w:jc w:val="center"/>
              <w:rPr>
                <w:rFonts w:ascii="Times New Roman" w:hAnsi="Times New Roman"/>
                <w:color w:val="auto"/>
                <w:highlight w:val="none"/>
              </w:rPr>
            </w:pPr>
          </w:p>
        </w:tc>
        <w:tc>
          <w:tcPr>
            <w:tcW w:w="976" w:type="dxa"/>
            <w:vAlign w:val="center"/>
          </w:tcPr>
          <w:p>
            <w:pPr>
              <w:pStyle w:val="40"/>
              <w:adjustRightInd w:val="0"/>
              <w:snapToGrid w:val="0"/>
              <w:spacing w:line="300" w:lineRule="auto"/>
              <w:jc w:val="center"/>
              <w:rPr>
                <w:rFonts w:ascii="Times New Roman" w:hAnsi="Times New Roman"/>
                <w:color w:val="auto"/>
                <w:highlight w:val="none"/>
              </w:rPr>
            </w:pPr>
          </w:p>
        </w:tc>
        <w:tc>
          <w:tcPr>
            <w:tcW w:w="816" w:type="dxa"/>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pPr>
              <w:pStyle w:val="40"/>
              <w:adjustRightInd w:val="0"/>
              <w:snapToGrid w:val="0"/>
              <w:spacing w:line="300" w:lineRule="auto"/>
              <w:jc w:val="center"/>
              <w:rPr>
                <w:rFonts w:ascii="Times New Roman" w:hAnsi="Times New Roman"/>
                <w:color w:val="auto"/>
                <w:highlight w:val="none"/>
              </w:rPr>
            </w:pPr>
          </w:p>
        </w:tc>
        <w:tc>
          <w:tcPr>
            <w:tcW w:w="1275"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1538" w:type="dxa"/>
            <w:vAlign w:val="center"/>
          </w:tcPr>
          <w:p>
            <w:pPr>
              <w:pStyle w:val="40"/>
              <w:adjustRightInd w:val="0"/>
              <w:snapToGrid w:val="0"/>
              <w:spacing w:line="300" w:lineRule="auto"/>
              <w:jc w:val="center"/>
              <w:rPr>
                <w:rFonts w:ascii="Times New Roman" w:hAnsi="Times New Roman"/>
                <w:color w:val="auto"/>
                <w:highlight w:val="none"/>
              </w:rPr>
            </w:pPr>
          </w:p>
        </w:tc>
        <w:tc>
          <w:tcPr>
            <w:tcW w:w="937" w:type="dxa"/>
            <w:vAlign w:val="center"/>
          </w:tcPr>
          <w:p>
            <w:pPr>
              <w:pStyle w:val="40"/>
              <w:adjustRightInd w:val="0"/>
              <w:snapToGrid w:val="0"/>
              <w:spacing w:line="300" w:lineRule="auto"/>
              <w:jc w:val="center"/>
              <w:rPr>
                <w:rFonts w:ascii="Times New Roman" w:hAnsi="Times New Roman"/>
                <w:color w:val="auto"/>
                <w:highlight w:val="none"/>
              </w:rPr>
            </w:pPr>
          </w:p>
        </w:tc>
        <w:tc>
          <w:tcPr>
            <w:tcW w:w="976" w:type="dxa"/>
            <w:vAlign w:val="center"/>
          </w:tcPr>
          <w:p>
            <w:pPr>
              <w:pStyle w:val="40"/>
              <w:adjustRightInd w:val="0"/>
              <w:snapToGrid w:val="0"/>
              <w:spacing w:line="300" w:lineRule="auto"/>
              <w:jc w:val="center"/>
              <w:rPr>
                <w:rFonts w:ascii="Times New Roman" w:hAnsi="Times New Roman"/>
                <w:color w:val="auto"/>
                <w:highlight w:val="none"/>
              </w:rPr>
            </w:pPr>
          </w:p>
        </w:tc>
        <w:tc>
          <w:tcPr>
            <w:tcW w:w="816" w:type="dxa"/>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pPr>
              <w:pStyle w:val="40"/>
              <w:adjustRightInd w:val="0"/>
              <w:snapToGrid w:val="0"/>
              <w:spacing w:line="300" w:lineRule="auto"/>
              <w:jc w:val="center"/>
              <w:rPr>
                <w:rFonts w:ascii="Times New Roman" w:hAnsi="Times New Roman"/>
                <w:color w:val="auto"/>
                <w:highlight w:val="none"/>
              </w:rPr>
            </w:pPr>
          </w:p>
        </w:tc>
        <w:tc>
          <w:tcPr>
            <w:tcW w:w="1275"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1538" w:type="dxa"/>
            <w:vAlign w:val="center"/>
          </w:tcPr>
          <w:p>
            <w:pPr>
              <w:pStyle w:val="40"/>
              <w:adjustRightInd w:val="0"/>
              <w:snapToGrid w:val="0"/>
              <w:spacing w:line="300" w:lineRule="auto"/>
              <w:jc w:val="center"/>
              <w:rPr>
                <w:rFonts w:ascii="Times New Roman" w:hAnsi="Times New Roman"/>
                <w:color w:val="auto"/>
                <w:highlight w:val="none"/>
              </w:rPr>
            </w:pPr>
          </w:p>
        </w:tc>
        <w:tc>
          <w:tcPr>
            <w:tcW w:w="937" w:type="dxa"/>
            <w:vAlign w:val="center"/>
          </w:tcPr>
          <w:p>
            <w:pPr>
              <w:pStyle w:val="40"/>
              <w:adjustRightInd w:val="0"/>
              <w:snapToGrid w:val="0"/>
              <w:spacing w:line="300" w:lineRule="auto"/>
              <w:jc w:val="center"/>
              <w:rPr>
                <w:rFonts w:ascii="Times New Roman" w:hAnsi="Times New Roman"/>
                <w:color w:val="auto"/>
                <w:highlight w:val="none"/>
              </w:rPr>
            </w:pPr>
          </w:p>
        </w:tc>
        <w:tc>
          <w:tcPr>
            <w:tcW w:w="976" w:type="dxa"/>
            <w:vAlign w:val="center"/>
          </w:tcPr>
          <w:p>
            <w:pPr>
              <w:pStyle w:val="40"/>
              <w:adjustRightInd w:val="0"/>
              <w:snapToGrid w:val="0"/>
              <w:spacing w:line="300" w:lineRule="auto"/>
              <w:jc w:val="center"/>
              <w:rPr>
                <w:rFonts w:ascii="Times New Roman" w:hAnsi="Times New Roman"/>
                <w:color w:val="auto"/>
                <w:highlight w:val="none"/>
              </w:rPr>
            </w:pPr>
          </w:p>
        </w:tc>
        <w:tc>
          <w:tcPr>
            <w:tcW w:w="816" w:type="dxa"/>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0"/>
              <w:adjustRightInd w:val="0"/>
              <w:snapToGrid w:val="0"/>
              <w:spacing w:line="300" w:lineRule="auto"/>
              <w:jc w:val="center"/>
              <w:rPr>
                <w:rFonts w:ascii="Times New Roman" w:hAnsi="Times New Roman"/>
                <w:color w:val="auto"/>
                <w:highlight w:val="none"/>
              </w:rPr>
            </w:pPr>
          </w:p>
        </w:tc>
        <w:tc>
          <w:tcPr>
            <w:tcW w:w="1603" w:type="dxa"/>
            <w:vAlign w:val="center"/>
          </w:tcPr>
          <w:p>
            <w:pPr>
              <w:pStyle w:val="40"/>
              <w:adjustRightInd w:val="0"/>
              <w:snapToGrid w:val="0"/>
              <w:spacing w:line="300" w:lineRule="auto"/>
              <w:jc w:val="center"/>
              <w:rPr>
                <w:rFonts w:ascii="Times New Roman" w:hAnsi="Times New Roman"/>
                <w:color w:val="auto"/>
                <w:highlight w:val="none"/>
              </w:rPr>
            </w:pPr>
          </w:p>
        </w:tc>
        <w:tc>
          <w:tcPr>
            <w:tcW w:w="1275"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720" w:type="dxa"/>
            <w:vAlign w:val="center"/>
          </w:tcPr>
          <w:p>
            <w:pPr>
              <w:pStyle w:val="40"/>
              <w:adjustRightInd w:val="0"/>
              <w:snapToGrid w:val="0"/>
              <w:spacing w:line="300" w:lineRule="auto"/>
              <w:jc w:val="center"/>
              <w:rPr>
                <w:rFonts w:ascii="Times New Roman" w:hAnsi="Times New Roman"/>
                <w:color w:val="auto"/>
                <w:highlight w:val="none"/>
              </w:rPr>
            </w:pPr>
          </w:p>
        </w:tc>
        <w:tc>
          <w:tcPr>
            <w:tcW w:w="1538" w:type="dxa"/>
            <w:vAlign w:val="center"/>
          </w:tcPr>
          <w:p>
            <w:pPr>
              <w:pStyle w:val="40"/>
              <w:adjustRightInd w:val="0"/>
              <w:snapToGrid w:val="0"/>
              <w:spacing w:line="300" w:lineRule="auto"/>
              <w:jc w:val="center"/>
              <w:rPr>
                <w:rFonts w:ascii="Times New Roman" w:hAnsi="Times New Roman"/>
                <w:color w:val="auto"/>
                <w:highlight w:val="none"/>
              </w:rPr>
            </w:pPr>
          </w:p>
        </w:tc>
        <w:tc>
          <w:tcPr>
            <w:tcW w:w="937" w:type="dxa"/>
            <w:vAlign w:val="center"/>
          </w:tcPr>
          <w:p>
            <w:pPr>
              <w:pStyle w:val="40"/>
              <w:adjustRightInd w:val="0"/>
              <w:snapToGrid w:val="0"/>
              <w:spacing w:line="300" w:lineRule="auto"/>
              <w:jc w:val="center"/>
              <w:rPr>
                <w:rFonts w:ascii="Times New Roman" w:hAnsi="Times New Roman"/>
                <w:color w:val="auto"/>
                <w:highlight w:val="none"/>
              </w:rPr>
            </w:pPr>
          </w:p>
        </w:tc>
        <w:tc>
          <w:tcPr>
            <w:tcW w:w="976" w:type="dxa"/>
            <w:vAlign w:val="center"/>
          </w:tcPr>
          <w:p>
            <w:pPr>
              <w:pStyle w:val="40"/>
              <w:adjustRightInd w:val="0"/>
              <w:snapToGrid w:val="0"/>
              <w:spacing w:line="300" w:lineRule="auto"/>
              <w:jc w:val="center"/>
              <w:rPr>
                <w:rFonts w:ascii="Times New Roman" w:hAnsi="Times New Roman"/>
                <w:color w:val="auto"/>
                <w:highlight w:val="none"/>
              </w:rPr>
            </w:pPr>
          </w:p>
        </w:tc>
        <w:tc>
          <w:tcPr>
            <w:tcW w:w="816" w:type="dxa"/>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0"/>
              <w:adjustRightInd w:val="0"/>
              <w:snapToGrid w:val="0"/>
              <w:spacing w:line="300" w:lineRule="auto"/>
              <w:jc w:val="center"/>
              <w:rPr>
                <w:rFonts w:ascii="Times New Roman" w:hAnsi="Times New Roman"/>
                <w:color w:val="auto"/>
                <w:highlight w:val="none"/>
              </w:rPr>
            </w:pPr>
          </w:p>
        </w:tc>
        <w:tc>
          <w:tcPr>
            <w:tcW w:w="8585" w:type="dxa"/>
            <w:gridSpan w:val="8"/>
            <w:vAlign w:val="center"/>
          </w:tcPr>
          <w:p>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lang w:val="en-US" w:eastAsia="zh-CN"/>
        </w:rPr>
        <w:t>材料</w:t>
      </w:r>
      <w:r>
        <w:rPr>
          <w:rFonts w:ascii="Times New Roman" w:hAnsi="Times New Roman"/>
          <w:color w:val="auto"/>
          <w:highlight w:val="none"/>
        </w:rPr>
        <w:t>费及相关服务费。</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3" w:name="_Toc437953149"/>
      <w:bookmarkStart w:id="44" w:name="_Toc336683578"/>
      <w:bookmarkStart w:id="45"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3"/>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4"/>
    <w:bookmarkEnd w:id="45"/>
    <w:p>
      <w:pPr>
        <w:pStyle w:val="126"/>
        <w:snapToGrid w:val="0"/>
        <w:spacing w:line="360" w:lineRule="auto"/>
        <w:ind w:firstLine="420"/>
        <w:rPr>
          <w:color w:val="auto"/>
          <w:highlight w:val="none"/>
        </w:rPr>
      </w:pPr>
    </w:p>
    <w:p>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4"/>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74"/>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4"/>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pPr>
        <w:pStyle w:val="74"/>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pPr>
        <w:pStyle w:val="74"/>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74"/>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4"/>
        <w:spacing w:before="0" w:beforeAutospacing="0" w:after="0" w:afterAutospacing="0" w:line="480" w:lineRule="auto"/>
        <w:ind w:firstLine="840" w:firstLineChars="400"/>
        <w:rPr>
          <w:rFonts w:hint="eastAsia" w:cs="宋体"/>
          <w:color w:val="auto"/>
          <w:sz w:val="21"/>
          <w:szCs w:val="21"/>
          <w:highlight w:val="none"/>
        </w:rPr>
      </w:pPr>
    </w:p>
    <w:p>
      <w:pPr>
        <w:pStyle w:val="74"/>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4"/>
        <w:spacing w:before="0" w:beforeAutospacing="0" w:after="0" w:afterAutospacing="0" w:line="480" w:lineRule="auto"/>
        <w:ind w:firstLine="420" w:firstLineChars="200"/>
        <w:rPr>
          <w:rFonts w:hint="eastAsia" w:cs="宋体"/>
          <w:color w:val="auto"/>
          <w:sz w:val="21"/>
          <w:szCs w:val="21"/>
          <w:highlight w:val="none"/>
        </w:rPr>
      </w:pPr>
    </w:p>
    <w:p>
      <w:pPr>
        <w:pStyle w:val="74"/>
        <w:spacing w:before="0" w:beforeAutospacing="0" w:after="0" w:afterAutospacing="0" w:line="480" w:lineRule="auto"/>
        <w:ind w:firstLine="422" w:firstLineChars="200"/>
        <w:rPr>
          <w:rFonts w:hint="eastAsia" w:cs="宋体"/>
          <w:b/>
          <w:bCs/>
          <w:color w:val="auto"/>
          <w:sz w:val="21"/>
          <w:szCs w:val="21"/>
          <w:highlight w:val="none"/>
        </w:rPr>
      </w:pPr>
    </w:p>
    <w:p>
      <w:pPr>
        <w:pStyle w:val="74"/>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6"/>
        <w:snapToGrid w:val="0"/>
        <w:spacing w:line="360" w:lineRule="auto"/>
        <w:ind w:firstLine="420"/>
        <w:rPr>
          <w:rFonts w:ascii="Times New Roman" w:hAnsi="Times New Roman"/>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服务</w:t>
      </w:r>
      <w:r>
        <w:rPr>
          <w:rFonts w:ascii="Times New Roman" w:hAnsi="Times New Roman"/>
          <w:color w:val="auto"/>
          <w:highlight w:val="none"/>
        </w:rPr>
        <w:t>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eastAsia="宋体"/>
          <w:color w:val="auto"/>
          <w:highlight w:val="none"/>
        </w:rPr>
      </w:pPr>
      <w:r>
        <w:rPr>
          <w:rFonts w:ascii="Times New Roman" w:hAnsi="Times New Roman" w:eastAsia="宋体"/>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（8）</w:t>
      </w:r>
      <w:r>
        <w:rPr>
          <w:rFonts w:ascii="Times New Roman" w:hAnsi="Times New Roman"/>
          <w:color w:val="auto"/>
          <w:highlight w:val="none"/>
        </w:rPr>
        <w:t>物资装备配置</w:t>
      </w:r>
      <w:r>
        <w:rPr>
          <w:rFonts w:hint="eastAsia" w:ascii="Times New Roman" w:hAnsi="Times New Roman"/>
          <w:color w:val="auto"/>
          <w:highlight w:val="none"/>
        </w:rPr>
        <w:t>：</w:t>
      </w:r>
      <w:r>
        <w:rPr>
          <w:rFonts w:ascii="Times New Roman" w:hAnsi="Times New Roman"/>
          <w:color w:val="auto"/>
          <w:highlight w:val="none"/>
        </w:rPr>
        <w:t>投标人</w:t>
      </w:r>
      <w:r>
        <w:rPr>
          <w:rFonts w:hint="eastAsia" w:ascii="Times New Roman" w:hAnsi="Times New Roman"/>
          <w:color w:val="auto"/>
          <w:highlight w:val="none"/>
        </w:rPr>
        <w:t>运输车辆（需提供运输许可证复印件），提供证书复印件，办公</w:t>
      </w:r>
      <w:r>
        <w:rPr>
          <w:rFonts w:ascii="Times New Roman" w:hAnsi="Times New Roman"/>
          <w:color w:val="auto"/>
          <w:highlight w:val="none"/>
        </w:rPr>
        <w:t>设备及工</w:t>
      </w:r>
      <w:r>
        <w:rPr>
          <w:rFonts w:hint="eastAsia" w:ascii="Times New Roman" w:hAnsi="Times New Roman"/>
          <w:color w:val="auto"/>
          <w:highlight w:val="none"/>
        </w:rPr>
        <w:t>器</w:t>
      </w:r>
      <w:r>
        <w:rPr>
          <w:rFonts w:ascii="Times New Roman" w:hAnsi="Times New Roman"/>
          <w:color w:val="auto"/>
          <w:highlight w:val="none"/>
        </w:rPr>
        <w:t>具、消耗材料配备</w:t>
      </w:r>
      <w:r>
        <w:rPr>
          <w:rFonts w:hint="eastAsia" w:ascii="Times New Roman" w:hAnsi="Times New Roman"/>
          <w:color w:val="auto"/>
          <w:highlight w:val="none"/>
        </w:rPr>
        <w:t>；</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（9）</w:t>
      </w:r>
      <w:r>
        <w:rPr>
          <w:rFonts w:ascii="Times New Roman" w:hAnsi="Times New Roman"/>
          <w:color w:val="auto"/>
          <w:highlight w:val="none"/>
        </w:rPr>
        <w:t>项目组织架构、人员配备、管理</w:t>
      </w:r>
      <w:r>
        <w:rPr>
          <w:rFonts w:hint="eastAsia" w:ascii="Times New Roman" w:hAnsi="Times New Roman"/>
          <w:color w:val="auto"/>
          <w:highlight w:val="none"/>
        </w:rPr>
        <w:t>；</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（10）</w:t>
      </w:r>
      <w:r>
        <w:rPr>
          <w:rFonts w:ascii="Times New Roman" w:hAnsi="Times New Roman"/>
          <w:color w:val="auto"/>
          <w:highlight w:val="none"/>
        </w:rPr>
        <w:t>项目负责人资历</w:t>
      </w:r>
      <w:r>
        <w:rPr>
          <w:rFonts w:hint="eastAsia" w:ascii="Times New Roman" w:hAnsi="Times New Roman"/>
          <w:color w:val="auto"/>
          <w:highlight w:val="none"/>
        </w:rPr>
        <w:t>和</w:t>
      </w:r>
      <w:r>
        <w:rPr>
          <w:rFonts w:ascii="Times New Roman" w:hAnsi="Times New Roman"/>
          <w:color w:val="auto"/>
          <w:highlight w:val="none"/>
        </w:rPr>
        <w:t>类似项目业绩</w:t>
      </w:r>
      <w:r>
        <w:rPr>
          <w:rFonts w:hint="eastAsia" w:ascii="Times New Roman" w:hAnsi="Times New Roman"/>
          <w:color w:val="auto"/>
          <w:highlight w:val="none"/>
        </w:rPr>
        <w:t>，提供证明材料；</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（11）</w:t>
      </w:r>
      <w:r>
        <w:rPr>
          <w:rFonts w:ascii="Times New Roman" w:hAnsi="Times New Roman"/>
          <w:color w:val="auto"/>
          <w:highlight w:val="none"/>
        </w:rPr>
        <w:t>实施方案</w:t>
      </w:r>
      <w:r>
        <w:rPr>
          <w:rFonts w:hint="eastAsia" w:ascii="Times New Roman" w:hAnsi="Times New Roman"/>
          <w:color w:val="auto"/>
          <w:highlight w:val="none"/>
        </w:rPr>
        <w:t>：</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1）管理服务模式、工作流程；</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2）各项管理服务标准；</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3）防止交叉感染和消毒隔离制度和措施；</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4）管理承诺。</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（12）</w:t>
      </w:r>
      <w:r>
        <w:rPr>
          <w:rFonts w:ascii="Times New Roman" w:hAnsi="Times New Roman"/>
          <w:color w:val="auto"/>
          <w:highlight w:val="none"/>
        </w:rPr>
        <w:t>投标人</w:t>
      </w:r>
      <w:r>
        <w:rPr>
          <w:rFonts w:hint="eastAsia" w:ascii="Times New Roman" w:hAnsi="Times New Roman"/>
          <w:color w:val="auto"/>
          <w:highlight w:val="none"/>
        </w:rPr>
        <w:t>以往本项目生活垃圾处置</w:t>
      </w:r>
      <w:r>
        <w:rPr>
          <w:rFonts w:ascii="Times New Roman" w:hAnsi="Times New Roman"/>
          <w:color w:val="auto"/>
          <w:highlight w:val="none"/>
        </w:rPr>
        <w:t>服务</w:t>
      </w:r>
      <w:r>
        <w:rPr>
          <w:rFonts w:hint="eastAsia" w:ascii="Times New Roman" w:hAnsi="Times New Roman"/>
          <w:color w:val="auto"/>
          <w:highlight w:val="none"/>
        </w:rPr>
        <w:t>的</w:t>
      </w:r>
      <w:r>
        <w:rPr>
          <w:rFonts w:ascii="Times New Roman" w:hAnsi="Times New Roman"/>
          <w:color w:val="auto"/>
          <w:highlight w:val="none"/>
        </w:rPr>
        <w:t>服务业绩（提供合同复印件），</w:t>
      </w:r>
      <w:r>
        <w:rPr>
          <w:rFonts w:hint="eastAsia" w:ascii="Times New Roman" w:hAnsi="Times New Roman"/>
          <w:color w:val="auto"/>
          <w:highlight w:val="none"/>
        </w:rPr>
        <w:t>需</w:t>
      </w:r>
      <w:r>
        <w:rPr>
          <w:rFonts w:ascii="Times New Roman" w:hAnsi="Times New Roman"/>
          <w:color w:val="auto"/>
          <w:highlight w:val="none"/>
        </w:rPr>
        <w:t>提供</w:t>
      </w:r>
      <w:r>
        <w:rPr>
          <w:rFonts w:hint="eastAsia" w:ascii="Times New Roman" w:hAnsi="Times New Roman"/>
          <w:color w:val="auto"/>
          <w:highlight w:val="none"/>
        </w:rPr>
        <w:t>不同的服务单位</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（13）</w:t>
      </w:r>
      <w:r>
        <w:rPr>
          <w:rFonts w:ascii="Times New Roman" w:hAnsi="Times New Roman"/>
          <w:color w:val="auto"/>
          <w:highlight w:val="none"/>
        </w:rPr>
        <w:t>突发事件应急处理措施</w:t>
      </w:r>
      <w:r>
        <w:rPr>
          <w:rFonts w:hint="eastAsia" w:ascii="Times New Roman" w:hAnsi="Times New Roman"/>
          <w:color w:val="auto"/>
          <w:highlight w:val="none"/>
        </w:rPr>
        <w:t>：</w:t>
      </w:r>
      <w:r>
        <w:rPr>
          <w:rFonts w:ascii="Times New Roman" w:hAnsi="Times New Roman"/>
          <w:color w:val="auto"/>
          <w:highlight w:val="none"/>
        </w:rPr>
        <w:t>在投标文件中详细说明项目的特征及针对本行业制定的紧急预案</w:t>
      </w:r>
    </w:p>
    <w:p>
      <w:pPr>
        <w:pStyle w:val="126"/>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（14）垃圾的处置：对生活垃圾的处置情况；</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（15）服务承诺及</w:t>
      </w:r>
      <w:r>
        <w:rPr>
          <w:rFonts w:ascii="Times New Roman" w:hAnsi="Times New Roman"/>
          <w:color w:val="auto"/>
          <w:highlight w:val="none"/>
        </w:rPr>
        <w:t>合理化创新建议</w:t>
      </w:r>
    </w:p>
    <w:p>
      <w:pPr>
        <w:pStyle w:val="126"/>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16</w:t>
      </w:r>
      <w:r>
        <w:rPr>
          <w:rFonts w:hint="eastAsia" w:ascii="Times New Roman" w:hAnsi="Times New Roman"/>
          <w:color w:val="auto"/>
          <w:highlight w:val="none"/>
        </w:rPr>
        <w:t>）投标人认为有必要提供的其它文件（附：中标服务费支付承</w:t>
      </w:r>
      <w:r>
        <w:rPr>
          <w:rFonts w:ascii="Times New Roman" w:hAnsi="Times New Roman"/>
          <w:color w:val="auto"/>
          <w:highlight w:val="none"/>
        </w:rPr>
        <w:t>诺书）。</w:t>
      </w:r>
    </w:p>
    <w:p>
      <w:pPr>
        <w:pStyle w:val="126"/>
        <w:snapToGrid w:val="0"/>
        <w:spacing w:line="360" w:lineRule="auto"/>
        <w:ind w:firstLine="0" w:firstLineChars="0"/>
        <w:rPr>
          <w:color w:val="auto"/>
          <w:highlight w:val="none"/>
        </w:rPr>
      </w:pPr>
    </w:p>
    <w:p>
      <w:pPr>
        <w:pStyle w:val="126"/>
        <w:snapToGrid w:val="0"/>
        <w:spacing w:line="360" w:lineRule="auto"/>
        <w:ind w:firstLine="0" w:firstLineChars="0"/>
        <w:rPr>
          <w:color w:val="auto"/>
          <w:highlight w:val="none"/>
        </w:rPr>
      </w:pPr>
    </w:p>
    <w:p>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3"/>
        <w:ind w:firstLine="422"/>
        <w:rPr>
          <w:rFonts w:ascii="Times New Roman" w:hAnsi="Times New Roman"/>
          <w:color w:val="auto"/>
          <w:sz w:val="32"/>
          <w:highlight w:val="none"/>
        </w:rPr>
      </w:pPr>
      <w:r>
        <w:rPr>
          <w:rFonts w:ascii="Times New Roman" w:hAnsi="Times New Roman"/>
          <w:color w:val="auto"/>
          <w:highlight w:val="none"/>
        </w:rPr>
        <w:br w:type="page"/>
      </w:r>
      <w:bookmarkStart w:id="46" w:name="_Toc426996340"/>
      <w:bookmarkStart w:id="47" w:name="_Toc335039028"/>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lang w:val="en-US" w:eastAsia="zh-CN"/>
        </w:rPr>
        <w:t>服务</w:t>
      </w:r>
      <w:r>
        <w:rPr>
          <w:rFonts w:ascii="Times New Roman" w:hAnsi="Times New Roman"/>
          <w:color w:val="auto"/>
          <w:highlight w:val="none"/>
        </w:rPr>
        <w:t>清单</w:t>
      </w:r>
      <w:bookmarkEnd w:id="46"/>
      <w:bookmarkEnd w:id="47"/>
    </w:p>
    <w:p>
      <w:pPr>
        <w:widowControl/>
        <w:snapToGrid w:val="0"/>
        <w:spacing w:line="300" w:lineRule="auto"/>
        <w:rPr>
          <w:color w:val="auto"/>
          <w:highlight w:val="none"/>
        </w:rPr>
      </w:pPr>
      <w:r>
        <w:rPr>
          <w:color w:val="auto"/>
          <w:highlight w:val="none"/>
        </w:rPr>
        <w:br w:type="page"/>
      </w:r>
    </w:p>
    <w:p>
      <w:pPr>
        <w:snapToGrid w:val="0"/>
        <w:spacing w:line="300" w:lineRule="auto"/>
        <w:rPr>
          <w:color w:val="auto"/>
          <w:highlight w:val="none"/>
        </w:rPr>
      </w:pPr>
      <w:r>
        <w:rPr>
          <w:rFonts w:hint="eastAsia"/>
          <w:color w:val="auto"/>
          <w:highlight w:val="none"/>
        </w:rPr>
        <w:t>3</w:t>
      </w:r>
      <w:r>
        <w:rPr>
          <w:color w:val="auto"/>
          <w:highlight w:val="none"/>
        </w:rPr>
        <w:t>、产品性能说明；</w:t>
      </w:r>
    </w:p>
    <w:p>
      <w:pPr>
        <w:rPr>
          <w:color w:val="auto"/>
          <w:highlight w:val="none"/>
        </w:rPr>
      </w:pPr>
      <w:r>
        <w:rPr>
          <w:color w:val="auto"/>
          <w:highlight w:val="none"/>
        </w:rPr>
        <w:br w:type="page"/>
      </w:r>
      <w:r>
        <w:rPr>
          <w:rFonts w:hint="eastAsia"/>
          <w:color w:val="auto"/>
          <w:highlight w:val="none"/>
        </w:rPr>
        <w:t>4</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2"/>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5</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int="eastAsia" w:hAnsi="宋体"/>
          <w:color w:val="auto"/>
          <w:sz w:val="24"/>
          <w:highlight w:val="none"/>
        </w:rPr>
      </w:pPr>
      <w:r>
        <w:rPr>
          <w:color w:val="auto"/>
          <w:spacing w:val="20"/>
          <w:highlight w:val="none"/>
        </w:rPr>
        <w:br w:type="page"/>
      </w:r>
    </w:p>
    <w:p>
      <w:pPr>
        <w:pStyle w:val="126"/>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lang w:val="en-US" w:eastAsia="zh-CN"/>
        </w:rPr>
        <w:t>6</w:t>
      </w:r>
      <w:r>
        <w:rPr>
          <w:rFonts w:hint="eastAsia" w:ascii="Times New Roman" w:hAnsi="Times New Roman"/>
          <w:color w:val="auto"/>
          <w:highlight w:val="none"/>
        </w:rPr>
        <w:t>、</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eastAsia="宋体"/>
          <w:color w:val="auto"/>
          <w:highlight w:val="none"/>
        </w:rPr>
      </w:pPr>
      <w:r>
        <w:rPr>
          <w:rFonts w:ascii="Times New Roman" w:hAnsi="Times New Roman"/>
          <w:color w:val="auto"/>
          <w:szCs w:val="21"/>
          <w:highlight w:val="none"/>
        </w:rPr>
        <w:br w:type="page"/>
      </w:r>
    </w:p>
    <w:p>
      <w:pPr>
        <w:pStyle w:val="126"/>
        <w:snapToGrid w:val="0"/>
        <w:spacing w:line="360" w:lineRule="auto"/>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8</w:t>
      </w:r>
      <w:r>
        <w:rPr>
          <w:rFonts w:hint="eastAsia" w:ascii="Times New Roman" w:hAnsi="Times New Roman"/>
          <w:b/>
          <w:bCs/>
          <w:color w:val="auto"/>
          <w:highlight w:val="none"/>
          <w:lang w:eastAsia="zh-CN"/>
        </w:rPr>
        <w:t>、</w:t>
      </w:r>
      <w:r>
        <w:rPr>
          <w:rFonts w:ascii="Times New Roman" w:hAnsi="Times New Roman"/>
          <w:b/>
          <w:bCs/>
          <w:color w:val="auto"/>
          <w:highlight w:val="none"/>
        </w:rPr>
        <w:t>物资装备配置</w:t>
      </w:r>
      <w:r>
        <w:rPr>
          <w:rFonts w:hint="eastAsia" w:ascii="Times New Roman" w:hAnsi="Times New Roman"/>
          <w:b/>
          <w:bCs/>
          <w:color w:val="auto"/>
          <w:highlight w:val="none"/>
        </w:rPr>
        <w:t>：</w:t>
      </w:r>
      <w:r>
        <w:rPr>
          <w:rFonts w:ascii="Times New Roman" w:hAnsi="Times New Roman"/>
          <w:b/>
          <w:bCs/>
          <w:color w:val="auto"/>
          <w:highlight w:val="none"/>
        </w:rPr>
        <w:t>投标人</w:t>
      </w:r>
      <w:r>
        <w:rPr>
          <w:rFonts w:hint="eastAsia" w:ascii="Times New Roman" w:hAnsi="Times New Roman"/>
          <w:b/>
          <w:bCs/>
          <w:color w:val="auto"/>
          <w:highlight w:val="none"/>
        </w:rPr>
        <w:t>运输车辆（需提供运输许可证复印件），提供证书复印件，办公</w:t>
      </w:r>
      <w:r>
        <w:rPr>
          <w:rFonts w:ascii="Times New Roman" w:hAnsi="Times New Roman"/>
          <w:b/>
          <w:bCs/>
          <w:color w:val="auto"/>
          <w:highlight w:val="none"/>
        </w:rPr>
        <w:t>设备及工</w:t>
      </w:r>
      <w:r>
        <w:rPr>
          <w:rFonts w:hint="eastAsia" w:ascii="Times New Roman" w:hAnsi="Times New Roman"/>
          <w:b/>
          <w:bCs/>
          <w:color w:val="auto"/>
          <w:highlight w:val="none"/>
        </w:rPr>
        <w:t>器</w:t>
      </w:r>
      <w:r>
        <w:rPr>
          <w:rFonts w:ascii="Times New Roman" w:hAnsi="Times New Roman"/>
          <w:b/>
          <w:bCs/>
          <w:color w:val="auto"/>
          <w:highlight w:val="none"/>
        </w:rPr>
        <w:t>具、消耗材料配备</w:t>
      </w:r>
      <w:r>
        <w:rPr>
          <w:rFonts w:hint="eastAsia" w:ascii="Times New Roman" w:hAnsi="Times New Roman"/>
          <w:b/>
          <w:bCs/>
          <w:color w:val="auto"/>
          <w:highlight w:val="none"/>
        </w:rPr>
        <w:t>；</w:t>
      </w:r>
    </w:p>
    <w:p>
      <w:pPr>
        <w:pStyle w:val="126"/>
        <w:snapToGrid w:val="0"/>
        <w:spacing w:line="360" w:lineRule="auto"/>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9</w:t>
      </w:r>
      <w:r>
        <w:rPr>
          <w:rFonts w:hint="eastAsia" w:ascii="Times New Roman" w:hAnsi="Times New Roman"/>
          <w:b/>
          <w:bCs/>
          <w:color w:val="auto"/>
          <w:highlight w:val="none"/>
          <w:lang w:eastAsia="zh-CN"/>
        </w:rPr>
        <w:t>、</w:t>
      </w:r>
      <w:r>
        <w:rPr>
          <w:rFonts w:ascii="Times New Roman" w:hAnsi="Times New Roman"/>
          <w:b/>
          <w:bCs/>
          <w:color w:val="auto"/>
          <w:highlight w:val="none"/>
        </w:rPr>
        <w:t>项目组织架构、人员配备、管理</w:t>
      </w:r>
      <w:r>
        <w:rPr>
          <w:rFonts w:hint="eastAsia" w:ascii="Times New Roman" w:hAnsi="Times New Roman"/>
          <w:b/>
          <w:bCs/>
          <w:color w:val="auto"/>
          <w:highlight w:val="none"/>
        </w:rPr>
        <w:t>；</w:t>
      </w:r>
    </w:p>
    <w:p>
      <w:pPr>
        <w:pStyle w:val="126"/>
        <w:snapToGrid w:val="0"/>
        <w:spacing w:line="360" w:lineRule="auto"/>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10</w:t>
      </w:r>
      <w:r>
        <w:rPr>
          <w:rFonts w:hint="eastAsia" w:ascii="Times New Roman" w:hAnsi="Times New Roman"/>
          <w:b/>
          <w:bCs/>
          <w:color w:val="auto"/>
          <w:highlight w:val="none"/>
          <w:lang w:eastAsia="zh-CN"/>
        </w:rPr>
        <w:t>、</w:t>
      </w:r>
      <w:r>
        <w:rPr>
          <w:rFonts w:ascii="Times New Roman" w:hAnsi="Times New Roman"/>
          <w:b/>
          <w:bCs/>
          <w:color w:val="auto"/>
          <w:highlight w:val="none"/>
        </w:rPr>
        <w:t>项目负责人资历</w:t>
      </w:r>
      <w:r>
        <w:rPr>
          <w:rFonts w:hint="eastAsia" w:ascii="Times New Roman" w:hAnsi="Times New Roman"/>
          <w:b/>
          <w:bCs/>
          <w:color w:val="auto"/>
          <w:highlight w:val="none"/>
        </w:rPr>
        <w:t>和</w:t>
      </w:r>
      <w:r>
        <w:rPr>
          <w:rFonts w:ascii="Times New Roman" w:hAnsi="Times New Roman"/>
          <w:b/>
          <w:bCs/>
          <w:color w:val="auto"/>
          <w:highlight w:val="none"/>
        </w:rPr>
        <w:t>类似项目业绩</w:t>
      </w:r>
      <w:r>
        <w:rPr>
          <w:rFonts w:hint="eastAsia" w:ascii="Times New Roman" w:hAnsi="Times New Roman"/>
          <w:b/>
          <w:bCs/>
          <w:color w:val="auto"/>
          <w:highlight w:val="none"/>
        </w:rPr>
        <w:t>，提供证明材料；</w:t>
      </w:r>
    </w:p>
    <w:p>
      <w:pPr>
        <w:pStyle w:val="126"/>
        <w:snapToGrid w:val="0"/>
        <w:spacing w:line="360" w:lineRule="auto"/>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11</w:t>
      </w:r>
      <w:r>
        <w:rPr>
          <w:rFonts w:hint="eastAsia" w:ascii="Times New Roman" w:hAnsi="Times New Roman"/>
          <w:b/>
          <w:bCs/>
          <w:color w:val="auto"/>
          <w:highlight w:val="none"/>
          <w:lang w:eastAsia="zh-CN"/>
        </w:rPr>
        <w:t>、</w:t>
      </w:r>
      <w:r>
        <w:rPr>
          <w:rFonts w:ascii="Times New Roman" w:hAnsi="Times New Roman"/>
          <w:b/>
          <w:bCs/>
          <w:color w:val="auto"/>
          <w:highlight w:val="none"/>
        </w:rPr>
        <w:t>实施方案</w:t>
      </w:r>
      <w:r>
        <w:rPr>
          <w:rFonts w:hint="eastAsia" w:ascii="Times New Roman" w:hAnsi="Times New Roman"/>
          <w:b/>
          <w:bCs/>
          <w:color w:val="auto"/>
          <w:highlight w:val="none"/>
        </w:rPr>
        <w:t>：</w:t>
      </w:r>
    </w:p>
    <w:p>
      <w:pPr>
        <w:pStyle w:val="126"/>
        <w:snapToGrid w:val="0"/>
        <w:spacing w:line="360" w:lineRule="auto"/>
        <w:ind w:firstLine="422" w:firstLineChars="200"/>
        <w:rPr>
          <w:rFonts w:hint="eastAsia" w:ascii="Times New Roman" w:hAnsi="Times New Roman"/>
          <w:b/>
          <w:bCs/>
          <w:color w:val="auto"/>
          <w:highlight w:val="none"/>
        </w:rPr>
      </w:pPr>
      <w:r>
        <w:rPr>
          <w:rFonts w:hint="eastAsia" w:ascii="Times New Roman" w:hAnsi="Times New Roman"/>
          <w:b/>
          <w:bCs/>
          <w:color w:val="auto"/>
          <w:highlight w:val="none"/>
        </w:rPr>
        <w:t>1）管理服务模式、工作流程；</w:t>
      </w:r>
    </w:p>
    <w:p>
      <w:pPr>
        <w:pStyle w:val="126"/>
        <w:snapToGrid w:val="0"/>
        <w:spacing w:line="360" w:lineRule="auto"/>
        <w:ind w:firstLine="422" w:firstLineChars="200"/>
        <w:rPr>
          <w:rFonts w:hint="eastAsia" w:ascii="Times New Roman" w:hAnsi="Times New Roman"/>
          <w:b/>
          <w:bCs/>
          <w:color w:val="auto"/>
          <w:highlight w:val="none"/>
        </w:rPr>
      </w:pPr>
      <w:r>
        <w:rPr>
          <w:rFonts w:hint="eastAsia" w:ascii="Times New Roman" w:hAnsi="Times New Roman"/>
          <w:b/>
          <w:bCs/>
          <w:color w:val="auto"/>
          <w:highlight w:val="none"/>
        </w:rPr>
        <w:t>2）各项管理服务标准；</w:t>
      </w:r>
    </w:p>
    <w:p>
      <w:pPr>
        <w:pStyle w:val="126"/>
        <w:snapToGrid w:val="0"/>
        <w:spacing w:line="360" w:lineRule="auto"/>
        <w:ind w:firstLine="422" w:firstLineChars="200"/>
        <w:rPr>
          <w:rFonts w:hint="eastAsia" w:ascii="Times New Roman" w:hAnsi="Times New Roman"/>
          <w:b/>
          <w:bCs/>
          <w:color w:val="auto"/>
          <w:highlight w:val="none"/>
        </w:rPr>
      </w:pPr>
      <w:r>
        <w:rPr>
          <w:rFonts w:hint="eastAsia" w:ascii="Times New Roman" w:hAnsi="Times New Roman"/>
          <w:b/>
          <w:bCs/>
          <w:color w:val="auto"/>
          <w:highlight w:val="none"/>
        </w:rPr>
        <w:t>3）防止交叉感染和消毒隔离制度和措施；</w:t>
      </w:r>
    </w:p>
    <w:p>
      <w:pPr>
        <w:pStyle w:val="126"/>
        <w:snapToGrid w:val="0"/>
        <w:spacing w:line="360" w:lineRule="auto"/>
        <w:ind w:firstLine="422" w:firstLineChars="200"/>
        <w:rPr>
          <w:rFonts w:hint="eastAsia" w:ascii="Times New Roman" w:hAnsi="Times New Roman"/>
          <w:b/>
          <w:bCs/>
          <w:color w:val="auto"/>
          <w:highlight w:val="none"/>
        </w:rPr>
      </w:pPr>
      <w:r>
        <w:rPr>
          <w:rFonts w:hint="eastAsia" w:ascii="Times New Roman" w:hAnsi="Times New Roman"/>
          <w:b/>
          <w:bCs/>
          <w:color w:val="auto"/>
          <w:highlight w:val="none"/>
        </w:rPr>
        <w:t>4）管理承诺。</w:t>
      </w:r>
    </w:p>
    <w:p>
      <w:pPr>
        <w:pStyle w:val="126"/>
        <w:snapToGrid w:val="0"/>
        <w:spacing w:line="360" w:lineRule="auto"/>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12</w:t>
      </w:r>
      <w:r>
        <w:rPr>
          <w:rFonts w:hint="eastAsia" w:ascii="Times New Roman" w:hAnsi="Times New Roman"/>
          <w:b/>
          <w:bCs/>
          <w:color w:val="auto"/>
          <w:highlight w:val="none"/>
          <w:lang w:eastAsia="zh-CN"/>
        </w:rPr>
        <w:t>、</w:t>
      </w:r>
      <w:r>
        <w:rPr>
          <w:rFonts w:ascii="Times New Roman" w:hAnsi="Times New Roman"/>
          <w:b/>
          <w:bCs/>
          <w:color w:val="auto"/>
          <w:highlight w:val="none"/>
        </w:rPr>
        <w:t>投标人</w:t>
      </w:r>
      <w:r>
        <w:rPr>
          <w:rFonts w:hint="eastAsia" w:ascii="Times New Roman" w:hAnsi="Times New Roman"/>
          <w:b/>
          <w:bCs/>
          <w:color w:val="auto"/>
          <w:highlight w:val="none"/>
        </w:rPr>
        <w:t>以往本项目生活垃圾处置</w:t>
      </w:r>
      <w:r>
        <w:rPr>
          <w:rFonts w:ascii="Times New Roman" w:hAnsi="Times New Roman"/>
          <w:b/>
          <w:bCs/>
          <w:color w:val="auto"/>
          <w:highlight w:val="none"/>
        </w:rPr>
        <w:t>服务</w:t>
      </w:r>
      <w:r>
        <w:rPr>
          <w:rFonts w:hint="eastAsia" w:ascii="Times New Roman" w:hAnsi="Times New Roman"/>
          <w:b/>
          <w:bCs/>
          <w:color w:val="auto"/>
          <w:highlight w:val="none"/>
        </w:rPr>
        <w:t>的</w:t>
      </w:r>
      <w:r>
        <w:rPr>
          <w:rFonts w:ascii="Times New Roman" w:hAnsi="Times New Roman"/>
          <w:b/>
          <w:bCs/>
          <w:color w:val="auto"/>
          <w:highlight w:val="none"/>
        </w:rPr>
        <w:t>服务业绩（提供合同复印件），</w:t>
      </w:r>
      <w:r>
        <w:rPr>
          <w:rFonts w:hint="eastAsia" w:ascii="Times New Roman" w:hAnsi="Times New Roman"/>
          <w:b/>
          <w:bCs/>
          <w:color w:val="auto"/>
          <w:highlight w:val="none"/>
        </w:rPr>
        <w:t>需</w:t>
      </w:r>
      <w:r>
        <w:rPr>
          <w:rFonts w:ascii="Times New Roman" w:hAnsi="Times New Roman"/>
          <w:b/>
          <w:bCs/>
          <w:color w:val="auto"/>
          <w:highlight w:val="none"/>
        </w:rPr>
        <w:t>提供</w:t>
      </w:r>
      <w:r>
        <w:rPr>
          <w:rFonts w:hint="eastAsia" w:ascii="Times New Roman" w:hAnsi="Times New Roman"/>
          <w:b/>
          <w:bCs/>
          <w:color w:val="auto"/>
          <w:highlight w:val="none"/>
        </w:rPr>
        <w:t>不同的服务单位</w:t>
      </w:r>
    </w:p>
    <w:p>
      <w:pPr>
        <w:pStyle w:val="126"/>
        <w:snapToGrid w:val="0"/>
        <w:spacing w:line="360" w:lineRule="auto"/>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13</w:t>
      </w:r>
      <w:r>
        <w:rPr>
          <w:rFonts w:hint="eastAsia" w:ascii="Times New Roman" w:hAnsi="Times New Roman"/>
          <w:b/>
          <w:bCs/>
          <w:color w:val="auto"/>
          <w:highlight w:val="none"/>
          <w:lang w:eastAsia="zh-CN"/>
        </w:rPr>
        <w:t>、</w:t>
      </w:r>
      <w:r>
        <w:rPr>
          <w:rFonts w:ascii="Times New Roman" w:hAnsi="Times New Roman"/>
          <w:b/>
          <w:bCs/>
          <w:color w:val="auto"/>
          <w:highlight w:val="none"/>
        </w:rPr>
        <w:t>突发事件应急处理措施</w:t>
      </w:r>
      <w:r>
        <w:rPr>
          <w:rFonts w:hint="eastAsia" w:ascii="Times New Roman" w:hAnsi="Times New Roman"/>
          <w:b/>
          <w:bCs/>
          <w:color w:val="auto"/>
          <w:highlight w:val="none"/>
        </w:rPr>
        <w:t>：</w:t>
      </w:r>
      <w:r>
        <w:rPr>
          <w:rFonts w:ascii="Times New Roman" w:hAnsi="Times New Roman"/>
          <w:b/>
          <w:bCs/>
          <w:color w:val="auto"/>
          <w:highlight w:val="none"/>
        </w:rPr>
        <w:t>在投标文件中详细说明项目的特征及针对本行业制定的紧急预案</w:t>
      </w:r>
    </w:p>
    <w:p>
      <w:pPr>
        <w:pStyle w:val="126"/>
        <w:snapToGrid w:val="0"/>
        <w:spacing w:line="360" w:lineRule="auto"/>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14</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垃圾的处置：对生活垃圾的处置情况；</w:t>
      </w:r>
    </w:p>
    <w:p>
      <w:pPr>
        <w:pStyle w:val="126"/>
        <w:snapToGrid w:val="0"/>
        <w:spacing w:line="360" w:lineRule="auto"/>
        <w:ind w:firstLine="0" w:firstLineChars="0"/>
        <w:rPr>
          <w:rFonts w:ascii="Times New Roman" w:hAnsi="Times New Roman"/>
          <w:b/>
          <w:bCs/>
          <w:color w:val="auto"/>
          <w:highlight w:val="none"/>
        </w:rPr>
      </w:pPr>
      <w:r>
        <w:rPr>
          <w:rFonts w:hint="eastAsia" w:ascii="Times New Roman" w:hAnsi="Times New Roman"/>
          <w:b/>
          <w:bCs/>
          <w:color w:val="auto"/>
          <w:highlight w:val="none"/>
        </w:rPr>
        <w:t>15</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服务承诺及</w:t>
      </w:r>
      <w:r>
        <w:rPr>
          <w:rFonts w:ascii="Times New Roman" w:hAnsi="Times New Roman"/>
          <w:b/>
          <w:bCs/>
          <w:color w:val="auto"/>
          <w:highlight w:val="none"/>
        </w:rPr>
        <w:t>合理化创新建议</w:t>
      </w:r>
    </w:p>
    <w:p>
      <w:pPr>
        <w:pStyle w:val="126"/>
        <w:snapToGrid w:val="0"/>
        <w:spacing w:line="360" w:lineRule="auto"/>
        <w:ind w:firstLine="0" w:firstLineChars="0"/>
        <w:rPr>
          <w:rFonts w:ascii="Times New Roman" w:hAnsi="Times New Roman"/>
          <w:b/>
          <w:bCs/>
          <w:color w:val="auto"/>
          <w:highlight w:val="none"/>
        </w:rPr>
      </w:pPr>
      <w:r>
        <w:rPr>
          <w:rFonts w:hint="eastAsia" w:ascii="Times New Roman" w:hAnsi="Times New Roman"/>
          <w:b/>
          <w:bCs/>
          <w:color w:val="auto"/>
          <w:highlight w:val="none"/>
          <w:lang w:val="en-US" w:eastAsia="zh-CN"/>
        </w:rPr>
        <w:t>16、</w:t>
      </w:r>
      <w:r>
        <w:rPr>
          <w:rFonts w:hint="eastAsia" w:ascii="Times New Roman" w:hAnsi="Times New Roman"/>
          <w:b/>
          <w:bCs/>
          <w:color w:val="auto"/>
          <w:highlight w:val="none"/>
        </w:rPr>
        <w:t>投标人认为有必要提供的其它文件（附：中标服务费支付承</w:t>
      </w:r>
      <w:r>
        <w:rPr>
          <w:rFonts w:ascii="Times New Roman" w:hAnsi="Times New Roman"/>
          <w:b/>
          <w:bCs/>
          <w:color w:val="auto"/>
          <w:highlight w:val="none"/>
        </w:rPr>
        <w:t>诺书）。</w:t>
      </w:r>
    </w:p>
    <w:p>
      <w:pPr>
        <w:rPr>
          <w:rFonts w:hint="eastAsia" w:hAnsi="宋体"/>
          <w:b/>
          <w:bCs/>
          <w:color w:val="auto"/>
          <w:highlight w:val="none"/>
        </w:rPr>
      </w:pPr>
      <w:r>
        <w:rPr>
          <w:rFonts w:hint="eastAsia" w:hAnsi="宋体"/>
          <w:b/>
          <w:bCs/>
          <w:color w:val="auto"/>
          <w:highlight w:val="none"/>
        </w:rPr>
        <w:br w:type="page"/>
      </w:r>
    </w:p>
    <w:p>
      <w:pPr>
        <w:rPr>
          <w:rFonts w:hint="eastAsia" w:hAnsi="宋体"/>
          <w:b/>
          <w:bCs/>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lang w:val="en-US" w:eastAsia="zh-CN"/>
        </w:rPr>
        <w:t>14</w:t>
      </w:r>
      <w:r>
        <w:rPr>
          <w:b/>
          <w:color w:val="auto"/>
          <w:highlight w:val="none"/>
        </w:rPr>
        <w:t>、</w:t>
      </w:r>
      <w:r>
        <w:rPr>
          <w:b/>
          <w:color w:val="auto"/>
          <w:highlight w:val="none"/>
        </w:rPr>
        <w:tab/>
      </w:r>
      <w:r>
        <w:rPr>
          <w:b/>
          <w:color w:val="auto"/>
          <w:highlight w:val="none"/>
        </w:rPr>
        <w:t>投标人认为有必要提供的其它文件。</w:t>
      </w:r>
    </w:p>
    <w:p>
      <w:pPr>
        <w:rPr>
          <w:b/>
          <w:color w:val="auto"/>
          <w:highlight w:val="none"/>
        </w:rPr>
      </w:pPr>
    </w:p>
    <w:p>
      <w:pPr>
        <w:spacing w:line="360" w:lineRule="auto"/>
        <w:rPr>
          <w:color w:val="auto"/>
          <w:highlight w:val="none"/>
        </w:rPr>
      </w:pPr>
    </w:p>
    <w:p>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3"/>
        <w:spacing w:line="360" w:lineRule="auto"/>
        <w:ind w:firstLine="480"/>
        <w:rPr>
          <w:rFonts w:ascii="Times New Roman" w:hAnsi="Times New Roman"/>
          <w:b w:val="0"/>
          <w:color w:val="auto"/>
          <w:sz w:val="24"/>
          <w:szCs w:val="24"/>
          <w:highlight w:val="none"/>
        </w:rPr>
      </w:pPr>
    </w:p>
    <w:p>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08"/>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08"/>
        <w:widowControl w:val="0"/>
        <w:adjustRightInd w:val="0"/>
        <w:snapToGrid w:val="0"/>
        <w:spacing w:line="360" w:lineRule="auto"/>
        <w:jc w:val="both"/>
        <w:rPr>
          <w:rFonts w:ascii="仿宋" w:hAnsi="仿宋"/>
          <w:color w:val="auto"/>
          <w:kern w:val="0"/>
          <w:szCs w:val="21"/>
          <w:highlight w:val="none"/>
          <w:u w:val="single"/>
        </w:rPr>
      </w:pPr>
    </w:p>
    <w:p>
      <w:pPr>
        <w:pStyle w:val="1008"/>
        <w:widowControl w:val="0"/>
        <w:adjustRightInd w:val="0"/>
        <w:snapToGrid w:val="0"/>
        <w:spacing w:line="360" w:lineRule="auto"/>
        <w:jc w:val="both"/>
        <w:rPr>
          <w:rFonts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08"/>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09"/>
        <w:widowControl/>
        <w:numPr>
          <w:ilvl w:val="0"/>
          <w:numId w:val="8"/>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08"/>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09"/>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09"/>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09"/>
        <w:widowControl/>
        <w:adjustRightInd w:val="0"/>
        <w:snapToGrid w:val="0"/>
        <w:spacing w:line="360" w:lineRule="auto"/>
        <w:rPr>
          <w:rFonts w:ascii="仿宋" w:hAnsi="仿宋"/>
          <w:color w:val="auto"/>
          <w:kern w:val="0"/>
          <w:szCs w:val="21"/>
          <w:highlight w:val="none"/>
        </w:rPr>
      </w:pPr>
    </w:p>
    <w:p>
      <w:pPr>
        <w:pStyle w:val="1009"/>
        <w:widowControl/>
        <w:adjustRightInd w:val="0"/>
        <w:snapToGrid w:val="0"/>
        <w:spacing w:line="360" w:lineRule="auto"/>
        <w:rPr>
          <w:rFonts w:ascii="仿宋" w:hAnsi="仿宋"/>
          <w:color w:val="auto"/>
          <w:kern w:val="0"/>
          <w:szCs w:val="21"/>
          <w:highlight w:val="none"/>
        </w:rPr>
      </w:pPr>
    </w:p>
    <w:p>
      <w:pPr>
        <w:pStyle w:val="1008"/>
        <w:widowControl w:val="0"/>
        <w:adjustRightInd w:val="0"/>
        <w:snapToGrid w:val="0"/>
        <w:spacing w:line="360" w:lineRule="auto"/>
        <w:ind w:firstLine="420" w:firstLineChars="200"/>
        <w:jc w:val="both"/>
        <w:rPr>
          <w:rFonts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hint="eastAsia" w:ascii="宋体" w:hAnsi="宋体"/>
          <w:b/>
          <w:color w:val="auto"/>
          <w:highlight w:val="none"/>
        </w:rPr>
      </w:pPr>
      <w:r>
        <w:rPr>
          <w:rFonts w:ascii="宋体" w:hAnsi="宋体"/>
          <w:b/>
          <w:color w:val="auto"/>
          <w:highlight w:val="none"/>
        </w:rPr>
        <w:t>────────────────────────────────────────</w:t>
      </w:r>
    </w:p>
    <w:p>
      <w:pPr>
        <w:spacing w:line="240" w:lineRule="atLeast"/>
        <w:jc w:val="center"/>
        <w:rPr>
          <w:rFonts w:hint="eastAsia"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422"/>
        <w:spacing w:line="360" w:lineRule="auto"/>
        <w:ind w:left="0" w:leftChars="0" w:firstLine="629" w:firstLineChars="0"/>
        <w:rPr>
          <w:rFonts w:ascii="Times New Roman" w:hAnsi="Times New Roman"/>
          <w:b w:val="0"/>
          <w:bCs w:val="0"/>
          <w:color w:val="auto"/>
          <w:sz w:val="24"/>
          <w:szCs w:val="24"/>
          <w:highlight w:val="none"/>
        </w:rPr>
      </w:pPr>
    </w:p>
    <w:p>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2"/>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94F783-35EB-4AD2-B1C7-55686C8273D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396D40A-AD52-41C4-A98D-C0A9D602408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0B55C819-D493-465C-B374-A776590286FC}"/>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4" w:fontKey="{63F923B3-192F-48E7-BE12-5F48E67DD8A0}"/>
  </w:font>
  <w:font w:name="方正小标宋简体">
    <w:panose1 w:val="02000000000000000000"/>
    <w:charset w:val="86"/>
    <w:family w:val="script"/>
    <w:pitch w:val="default"/>
    <w:sig w:usb0="00000001" w:usb1="08000000" w:usb2="00000000" w:usb3="00000000" w:csb0="00040000" w:csb1="00000000"/>
    <w:embedRegular r:id="rId5" w:fontKey="{FFBA4F52-16E5-45DB-B2B5-CD68EE36EE49}"/>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5"/>
      </w:rPr>
    </w:pPr>
    <w:r>
      <w:fldChar w:fldCharType="begin"/>
    </w:r>
    <w:r>
      <w:rPr>
        <w:rStyle w:val="85"/>
      </w:rPr>
      <w:instrText xml:space="preserve">PAGE  </w:instrText>
    </w:r>
    <w:r>
      <w:fldChar w:fldCharType="end"/>
    </w:r>
  </w:p>
  <w:p>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D2DF3292"/>
    <w:multiLevelType w:val="singleLevel"/>
    <w:tmpl w:val="D2DF3292"/>
    <w:lvl w:ilvl="0" w:tentative="0">
      <w:start w:val="1"/>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19D93EF8"/>
    <w:multiLevelType w:val="multilevel"/>
    <w:tmpl w:val="19D93EF8"/>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46383961"/>
    <w:multiLevelType w:val="singleLevel"/>
    <w:tmpl w:val="46383961"/>
    <w:lvl w:ilvl="0" w:tentative="0">
      <w:start w:val="3"/>
      <w:numFmt w:val="chineseCounting"/>
      <w:suff w:val="nothing"/>
      <w:lvlText w:val="%1、"/>
      <w:lvlJc w:val="left"/>
      <w:rPr>
        <w:rFonts w:hint="eastAsia"/>
      </w:rPr>
    </w:lvl>
  </w:abstractNum>
  <w:abstractNum w:abstractNumId="6">
    <w:nsid w:val="49324325"/>
    <w:multiLevelType w:val="multilevel"/>
    <w:tmpl w:val="49324325"/>
    <w:lvl w:ilvl="0" w:tentative="0">
      <w:start w:val="1"/>
      <w:numFmt w:val="japaneseCounting"/>
      <w:lvlText w:val="%1、"/>
      <w:lvlJc w:val="left"/>
      <w:pPr>
        <w:ind w:left="720" w:hanging="48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504736"/>
    <w:rsid w:val="059A6A00"/>
    <w:rsid w:val="059C797B"/>
    <w:rsid w:val="05D10289"/>
    <w:rsid w:val="05D51295"/>
    <w:rsid w:val="05F45A09"/>
    <w:rsid w:val="05FC4B31"/>
    <w:rsid w:val="066E1BC1"/>
    <w:rsid w:val="066F12AC"/>
    <w:rsid w:val="06B04863"/>
    <w:rsid w:val="06B66A52"/>
    <w:rsid w:val="06C66263"/>
    <w:rsid w:val="06E81CB3"/>
    <w:rsid w:val="0709430D"/>
    <w:rsid w:val="07174E15"/>
    <w:rsid w:val="07194A8A"/>
    <w:rsid w:val="07480532"/>
    <w:rsid w:val="077245B7"/>
    <w:rsid w:val="078C68AE"/>
    <w:rsid w:val="08156C5F"/>
    <w:rsid w:val="081B0A49"/>
    <w:rsid w:val="08532874"/>
    <w:rsid w:val="089E3906"/>
    <w:rsid w:val="08BB5F3A"/>
    <w:rsid w:val="08D70E82"/>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2D239E"/>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F0878"/>
    <w:rsid w:val="196A224C"/>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50557"/>
    <w:rsid w:val="22471176"/>
    <w:rsid w:val="22597EF7"/>
    <w:rsid w:val="22791B01"/>
    <w:rsid w:val="228962F8"/>
    <w:rsid w:val="22B932C2"/>
    <w:rsid w:val="22D37274"/>
    <w:rsid w:val="22E569AE"/>
    <w:rsid w:val="22E6302E"/>
    <w:rsid w:val="22F20284"/>
    <w:rsid w:val="230E7C34"/>
    <w:rsid w:val="233D697C"/>
    <w:rsid w:val="23445D0F"/>
    <w:rsid w:val="234D5DCC"/>
    <w:rsid w:val="23723E79"/>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7E1526"/>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A8720D"/>
    <w:rsid w:val="2ED05F2C"/>
    <w:rsid w:val="2EFE3960"/>
    <w:rsid w:val="2F2C584A"/>
    <w:rsid w:val="2F5D538B"/>
    <w:rsid w:val="2F5F051D"/>
    <w:rsid w:val="2F60046D"/>
    <w:rsid w:val="2FAE3959"/>
    <w:rsid w:val="30137C59"/>
    <w:rsid w:val="3050602F"/>
    <w:rsid w:val="305C2F7D"/>
    <w:rsid w:val="30640398"/>
    <w:rsid w:val="308B5E1C"/>
    <w:rsid w:val="30D31646"/>
    <w:rsid w:val="30F027A5"/>
    <w:rsid w:val="31056B6D"/>
    <w:rsid w:val="314D37F5"/>
    <w:rsid w:val="31A035F2"/>
    <w:rsid w:val="32067705"/>
    <w:rsid w:val="323F58AE"/>
    <w:rsid w:val="325025F3"/>
    <w:rsid w:val="32615633"/>
    <w:rsid w:val="32742131"/>
    <w:rsid w:val="32A92715"/>
    <w:rsid w:val="335D7E9A"/>
    <w:rsid w:val="33673093"/>
    <w:rsid w:val="33A15FD9"/>
    <w:rsid w:val="33A91C3C"/>
    <w:rsid w:val="33B658A8"/>
    <w:rsid w:val="340547BA"/>
    <w:rsid w:val="349B24EF"/>
    <w:rsid w:val="34AC53F9"/>
    <w:rsid w:val="34C207E6"/>
    <w:rsid w:val="351057F0"/>
    <w:rsid w:val="3566198E"/>
    <w:rsid w:val="35C209BF"/>
    <w:rsid w:val="3667350A"/>
    <w:rsid w:val="367459FA"/>
    <w:rsid w:val="368D569B"/>
    <w:rsid w:val="36B43069"/>
    <w:rsid w:val="36C64AEF"/>
    <w:rsid w:val="36F0462C"/>
    <w:rsid w:val="3722036D"/>
    <w:rsid w:val="376004E6"/>
    <w:rsid w:val="37A87D59"/>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C06C64"/>
    <w:rsid w:val="3FF5BC50"/>
    <w:rsid w:val="40081B56"/>
    <w:rsid w:val="400A4834"/>
    <w:rsid w:val="40201F22"/>
    <w:rsid w:val="40642868"/>
    <w:rsid w:val="40671125"/>
    <w:rsid w:val="40A1518E"/>
    <w:rsid w:val="40F04293"/>
    <w:rsid w:val="40F41AF4"/>
    <w:rsid w:val="41372A17"/>
    <w:rsid w:val="416F7716"/>
    <w:rsid w:val="418040B9"/>
    <w:rsid w:val="41B6305A"/>
    <w:rsid w:val="42145BD1"/>
    <w:rsid w:val="4234724D"/>
    <w:rsid w:val="42421985"/>
    <w:rsid w:val="42925CEB"/>
    <w:rsid w:val="429D4825"/>
    <w:rsid w:val="42C00723"/>
    <w:rsid w:val="42D355FF"/>
    <w:rsid w:val="42EB034A"/>
    <w:rsid w:val="43120CA1"/>
    <w:rsid w:val="43384391"/>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B502F8"/>
    <w:rsid w:val="4BC17AB6"/>
    <w:rsid w:val="4C021709"/>
    <w:rsid w:val="4C081969"/>
    <w:rsid w:val="4C5603C6"/>
    <w:rsid w:val="4CBD39C5"/>
    <w:rsid w:val="4CF4336D"/>
    <w:rsid w:val="4CFD5677"/>
    <w:rsid w:val="4D16313C"/>
    <w:rsid w:val="4D1B5958"/>
    <w:rsid w:val="4D1C4537"/>
    <w:rsid w:val="4D853C2C"/>
    <w:rsid w:val="4DDA28BA"/>
    <w:rsid w:val="4DE832FD"/>
    <w:rsid w:val="4E377211"/>
    <w:rsid w:val="4E3844BD"/>
    <w:rsid w:val="4E8934AF"/>
    <w:rsid w:val="4F195165"/>
    <w:rsid w:val="4F514ABF"/>
    <w:rsid w:val="4F8F3A41"/>
    <w:rsid w:val="4FBA7C05"/>
    <w:rsid w:val="4FC32DBB"/>
    <w:rsid w:val="4FEF9DBE"/>
    <w:rsid w:val="50310CCE"/>
    <w:rsid w:val="5033343F"/>
    <w:rsid w:val="50736CC9"/>
    <w:rsid w:val="50812FC2"/>
    <w:rsid w:val="50A218B6"/>
    <w:rsid w:val="50D9276D"/>
    <w:rsid w:val="514379B7"/>
    <w:rsid w:val="51494E7A"/>
    <w:rsid w:val="51CA03FD"/>
    <w:rsid w:val="520768B1"/>
    <w:rsid w:val="5299079A"/>
    <w:rsid w:val="52A02067"/>
    <w:rsid w:val="52DB5CCA"/>
    <w:rsid w:val="52DF2079"/>
    <w:rsid w:val="52E8017F"/>
    <w:rsid w:val="53183FEB"/>
    <w:rsid w:val="537A5F9E"/>
    <w:rsid w:val="53895230"/>
    <w:rsid w:val="53D446F2"/>
    <w:rsid w:val="53D651EE"/>
    <w:rsid w:val="53DF706D"/>
    <w:rsid w:val="54A30F3B"/>
    <w:rsid w:val="54B11BE0"/>
    <w:rsid w:val="54D173E9"/>
    <w:rsid w:val="54E83D10"/>
    <w:rsid w:val="55603BFD"/>
    <w:rsid w:val="55AF5D23"/>
    <w:rsid w:val="55C65606"/>
    <w:rsid w:val="55F15CA9"/>
    <w:rsid w:val="56151579"/>
    <w:rsid w:val="561612F7"/>
    <w:rsid w:val="56420ABE"/>
    <w:rsid w:val="56804FD9"/>
    <w:rsid w:val="569B776C"/>
    <w:rsid w:val="56C65BD3"/>
    <w:rsid w:val="56F244F8"/>
    <w:rsid w:val="56FA6BBD"/>
    <w:rsid w:val="570C114E"/>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AF80325"/>
    <w:rsid w:val="5B0F67EC"/>
    <w:rsid w:val="5B162C0A"/>
    <w:rsid w:val="5B254C44"/>
    <w:rsid w:val="5B27321E"/>
    <w:rsid w:val="5B345677"/>
    <w:rsid w:val="5B9C2F9E"/>
    <w:rsid w:val="5B9E3BDB"/>
    <w:rsid w:val="5BA05FCF"/>
    <w:rsid w:val="5BCC5EF2"/>
    <w:rsid w:val="5BEE0CC1"/>
    <w:rsid w:val="5C471E16"/>
    <w:rsid w:val="5CE05656"/>
    <w:rsid w:val="5D026AB5"/>
    <w:rsid w:val="5D0336DD"/>
    <w:rsid w:val="5D207771"/>
    <w:rsid w:val="5D4015CD"/>
    <w:rsid w:val="5D440FA8"/>
    <w:rsid w:val="5D5B51F7"/>
    <w:rsid w:val="5D7001A8"/>
    <w:rsid w:val="5D7762F3"/>
    <w:rsid w:val="5DB113F6"/>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F187C"/>
    <w:rsid w:val="61D94730"/>
    <w:rsid w:val="620C1FE5"/>
    <w:rsid w:val="62B74308"/>
    <w:rsid w:val="62DE2DEB"/>
    <w:rsid w:val="62E010C3"/>
    <w:rsid w:val="62E418BB"/>
    <w:rsid w:val="62ED4D68"/>
    <w:rsid w:val="63024F4B"/>
    <w:rsid w:val="6342167E"/>
    <w:rsid w:val="634A0090"/>
    <w:rsid w:val="63897A72"/>
    <w:rsid w:val="63FF2C9A"/>
    <w:rsid w:val="640226E3"/>
    <w:rsid w:val="641A59B7"/>
    <w:rsid w:val="641D7091"/>
    <w:rsid w:val="645C0AC9"/>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6E6DDC"/>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C22F3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862360"/>
    <w:rsid w:val="6E955D30"/>
    <w:rsid w:val="6EAD16FA"/>
    <w:rsid w:val="6EBF4F8A"/>
    <w:rsid w:val="6ECA20EF"/>
    <w:rsid w:val="6EDB736C"/>
    <w:rsid w:val="6EE5601A"/>
    <w:rsid w:val="6EE60B30"/>
    <w:rsid w:val="6F033087"/>
    <w:rsid w:val="6F120EF8"/>
    <w:rsid w:val="6F430DD8"/>
    <w:rsid w:val="6FA10952"/>
    <w:rsid w:val="6FAF0C75"/>
    <w:rsid w:val="6FF167F1"/>
    <w:rsid w:val="6FF432FD"/>
    <w:rsid w:val="6FF98DC7"/>
    <w:rsid w:val="70290C42"/>
    <w:rsid w:val="7033685E"/>
    <w:rsid w:val="70804061"/>
    <w:rsid w:val="708F0AF3"/>
    <w:rsid w:val="70AB00B0"/>
    <w:rsid w:val="70B71B45"/>
    <w:rsid w:val="70D77F30"/>
    <w:rsid w:val="70E9754F"/>
    <w:rsid w:val="710012E8"/>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915D93"/>
    <w:rsid w:val="77162492"/>
    <w:rsid w:val="77902F97"/>
    <w:rsid w:val="77C3206A"/>
    <w:rsid w:val="77FF2E04"/>
    <w:rsid w:val="780B1240"/>
    <w:rsid w:val="783111B7"/>
    <w:rsid w:val="785E32E8"/>
    <w:rsid w:val="78622EF5"/>
    <w:rsid w:val="78F53717"/>
    <w:rsid w:val="78FE2B52"/>
    <w:rsid w:val="79086BD6"/>
    <w:rsid w:val="790A1333"/>
    <w:rsid w:val="793344D1"/>
    <w:rsid w:val="7939625A"/>
    <w:rsid w:val="794225E1"/>
    <w:rsid w:val="794B0E38"/>
    <w:rsid w:val="79634E0A"/>
    <w:rsid w:val="79914096"/>
    <w:rsid w:val="79946308"/>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7666F9"/>
    <w:rsid w:val="7CB41EA6"/>
    <w:rsid w:val="7CC0228C"/>
    <w:rsid w:val="7CC91C09"/>
    <w:rsid w:val="7CD336D5"/>
    <w:rsid w:val="7D29590B"/>
    <w:rsid w:val="7D6572F5"/>
    <w:rsid w:val="7D7963E5"/>
    <w:rsid w:val="7D7E776D"/>
    <w:rsid w:val="7DC3133B"/>
    <w:rsid w:val="7DF70B05"/>
    <w:rsid w:val="7E1A15E1"/>
    <w:rsid w:val="7E372421"/>
    <w:rsid w:val="7E3F70D4"/>
    <w:rsid w:val="7E493E93"/>
    <w:rsid w:val="7E6BDB6B"/>
    <w:rsid w:val="7EB22415"/>
    <w:rsid w:val="7EB4618D"/>
    <w:rsid w:val="7EB55A72"/>
    <w:rsid w:val="7EF63593"/>
    <w:rsid w:val="7EFF92EA"/>
    <w:rsid w:val="7F231B4A"/>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字符"/>
    <w:link w:val="5"/>
    <w:qFormat/>
    <w:uiPriority w:val="9"/>
    <w:rPr>
      <w:rFonts w:ascii="Arial" w:hAnsi="Arial"/>
      <w:sz w:val="21"/>
      <w:szCs w:val="24"/>
    </w:rPr>
  </w:style>
  <w:style w:type="character" w:customStyle="1" w:styleId="98">
    <w:name w:val="标题 5 字符"/>
    <w:link w:val="6"/>
    <w:qFormat/>
    <w:uiPriority w:val="0"/>
    <w:rPr>
      <w:rFonts w:ascii="宋体" w:hAnsi="宋体"/>
      <w:b/>
      <w:bCs/>
      <w:kern w:val="2"/>
      <w:sz w:val="28"/>
      <w:szCs w:val="24"/>
    </w:rPr>
  </w:style>
  <w:style w:type="character" w:customStyle="1" w:styleId="99">
    <w:name w:val="标题 6 字符"/>
    <w:link w:val="7"/>
    <w:qFormat/>
    <w:uiPriority w:val="0"/>
    <w:rPr>
      <w:rFonts w:ascii="Arial" w:hAnsi="Arial"/>
      <w:b/>
      <w:bCs/>
      <w:kern w:val="2"/>
      <w:sz w:val="24"/>
      <w:szCs w:val="24"/>
    </w:rPr>
  </w:style>
  <w:style w:type="character" w:customStyle="1" w:styleId="100">
    <w:name w:val="标题 7 字符"/>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3"/>
    <w:next w:val="53"/>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1"/>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6"/>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6"/>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6"/>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6"/>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6"/>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6"/>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1"/>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6"/>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6"/>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6"/>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6"/>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5"/>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6"/>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6"/>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6"/>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6"/>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6"/>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6"/>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1"/>
    <w:qFormat/>
    <w:uiPriority w:val="0"/>
    <w:pPr>
      <w:widowControl/>
      <w:spacing w:afterLines="50" w:line="360" w:lineRule="auto"/>
      <w:ind w:firstLine="480"/>
      <w:jc w:val="left"/>
    </w:pPr>
  </w:style>
  <w:style w:type="paragraph" w:customStyle="1" w:styleId="944">
    <w:name w:val="Char Char2"/>
    <w:basedOn w:val="26"/>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6"/>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3"/>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2"/>
    <w:qFormat/>
    <w:uiPriority w:val="0"/>
    <w:rPr>
      <w:rFonts w:ascii="宋体"/>
      <w:sz w:val="24"/>
    </w:rPr>
  </w:style>
  <w:style w:type="character" w:customStyle="1" w:styleId="1014">
    <w:name w:val="标题 1 字符"/>
    <w:link w:val="2"/>
    <w:qFormat/>
    <w:uiPriority w:val="0"/>
    <w:rPr>
      <w:rFonts w:ascii="Arial" w:hAnsi="Arial" w:eastAsia="华文中宋"/>
      <w:b/>
      <w:color w:val="000000"/>
      <w:kern w:val="2"/>
      <w:sz w:val="32"/>
      <w:szCs w:val="24"/>
    </w:rPr>
  </w:style>
  <w:style w:type="character" w:customStyle="1" w:styleId="1015">
    <w:name w:val="标题 2 字符"/>
    <w:link w:val="3"/>
    <w:qFormat/>
    <w:uiPriority w:val="0"/>
    <w:rPr>
      <w:rFonts w:ascii="Arial" w:hAnsi="Arial"/>
      <w:b/>
      <w:bCs/>
      <w:kern w:val="2"/>
      <w:sz w:val="21"/>
      <w:szCs w:val="32"/>
    </w:rPr>
  </w:style>
  <w:style w:type="character" w:customStyle="1" w:styleId="1016">
    <w:name w:val="标题 3 字符"/>
    <w:link w:val="4"/>
    <w:qFormat/>
    <w:uiPriority w:val="9"/>
    <w:rPr>
      <w:rFonts w:ascii="Arial" w:hAnsi="Arial"/>
      <w:b/>
      <w:kern w:val="2"/>
      <w:sz w:val="21"/>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文本首行缩进 字符"/>
    <w:link w:val="78"/>
    <w:qFormat/>
    <w:uiPriority w:val="0"/>
    <w:rPr>
      <w:kern w:val="2"/>
      <w:sz w:val="21"/>
    </w:rPr>
  </w:style>
  <w:style w:type="character" w:customStyle="1" w:styleId="1021">
    <w:name w:val="注释标题 字符"/>
    <w:link w:val="18"/>
    <w:qFormat/>
    <w:uiPriority w:val="0"/>
    <w:rPr>
      <w:rFonts w:ascii="宋体" w:hAnsi="宋体"/>
      <w:kern w:val="2"/>
      <w:sz w:val="21"/>
      <w:szCs w:val="24"/>
    </w:rPr>
  </w:style>
  <w:style w:type="character" w:customStyle="1" w:styleId="1022">
    <w:name w:val="正文缩进 字符"/>
    <w:link w:val="21"/>
    <w:qFormat/>
    <w:uiPriority w:val="0"/>
    <w:rPr>
      <w:rFonts w:eastAsia="宋体"/>
      <w:kern w:val="2"/>
      <w:sz w:val="21"/>
      <w:szCs w:val="24"/>
      <w:lang w:val="en-US" w:eastAsia="zh-CN" w:bidi="ar-SA"/>
    </w:rPr>
  </w:style>
  <w:style w:type="character" w:customStyle="1" w:styleId="1023">
    <w:name w:val="题注 字符"/>
    <w:link w:val="22"/>
    <w:qFormat/>
    <w:uiPriority w:val="0"/>
    <w:rPr>
      <w:rFonts w:ascii="Arial" w:hAnsi="Arial" w:eastAsia="黑体" w:cs="Arial"/>
    </w:rPr>
  </w:style>
  <w:style w:type="character" w:customStyle="1" w:styleId="1024">
    <w:name w:val="文档结构图 字符"/>
    <w:link w:val="26"/>
    <w:qFormat/>
    <w:uiPriority w:val="99"/>
    <w:rPr>
      <w:kern w:val="2"/>
      <w:sz w:val="21"/>
      <w:szCs w:val="24"/>
      <w:shd w:val="clear" w:color="auto" w:fill="000080"/>
    </w:rPr>
  </w:style>
  <w:style w:type="character" w:customStyle="1" w:styleId="1025">
    <w:name w:val="批注文字 字符"/>
    <w:link w:val="27"/>
    <w:qFormat/>
    <w:uiPriority w:val="0"/>
    <w:rPr>
      <w:kern w:val="2"/>
      <w:sz w:val="21"/>
    </w:rPr>
  </w:style>
  <w:style w:type="character" w:customStyle="1" w:styleId="1026">
    <w:name w:val="称呼 字符"/>
    <w:link w:val="29"/>
    <w:qFormat/>
    <w:uiPriority w:val="0"/>
    <w:rPr>
      <w:sz w:val="24"/>
      <w:szCs w:val="24"/>
    </w:rPr>
  </w:style>
  <w:style w:type="character" w:customStyle="1" w:styleId="1027">
    <w:name w:val="正文文本 3 字符"/>
    <w:link w:val="30"/>
    <w:qFormat/>
    <w:uiPriority w:val="0"/>
    <w:rPr>
      <w:rFonts w:ascii="楷体_GB2312" w:eastAsia="楷体_GB2312"/>
      <w:b/>
      <w:color w:val="000000"/>
      <w:kern w:val="2"/>
      <w:sz w:val="30"/>
      <w:szCs w:val="24"/>
    </w:rPr>
  </w:style>
  <w:style w:type="character" w:customStyle="1" w:styleId="1028">
    <w:name w:val="纯文本 字符"/>
    <w:link w:val="40"/>
    <w:qFormat/>
    <w:uiPriority w:val="0"/>
    <w:rPr>
      <w:rFonts w:ascii="宋体" w:hAnsi="Courier New" w:eastAsia="宋体"/>
      <w:kern w:val="2"/>
      <w:sz w:val="21"/>
      <w:lang w:val="en-US" w:eastAsia="zh-CN" w:bidi="ar-SA"/>
    </w:rPr>
  </w:style>
  <w:style w:type="character" w:customStyle="1" w:styleId="1029">
    <w:name w:val="日期 字符"/>
    <w:link w:val="47"/>
    <w:qFormat/>
    <w:uiPriority w:val="0"/>
    <w:rPr>
      <w:color w:val="000000"/>
      <w:kern w:val="2"/>
      <w:sz w:val="24"/>
      <w:szCs w:val="24"/>
    </w:rPr>
  </w:style>
  <w:style w:type="character" w:customStyle="1" w:styleId="1030">
    <w:name w:val="正文文本缩进 2 字符"/>
    <w:link w:val="48"/>
    <w:qFormat/>
    <w:uiPriority w:val="99"/>
    <w:rPr>
      <w:rFonts w:ascii="宋体"/>
      <w:sz w:val="24"/>
    </w:rPr>
  </w:style>
  <w:style w:type="character" w:customStyle="1" w:styleId="1031">
    <w:name w:val="尾注文本 字符"/>
    <w:link w:val="49"/>
    <w:qFormat/>
    <w:uiPriority w:val="0"/>
    <w:rPr>
      <w:rFonts w:ascii="Arial" w:hAnsi="Arial" w:eastAsia="PMingLiU"/>
      <w:lang w:val="en-GB" w:eastAsia="zh-TW"/>
    </w:rPr>
  </w:style>
  <w:style w:type="character" w:customStyle="1" w:styleId="1032">
    <w:name w:val="批注框文本 字符"/>
    <w:link w:val="50"/>
    <w:qFormat/>
    <w:uiPriority w:val="99"/>
    <w:rPr>
      <w:kern w:val="2"/>
      <w:sz w:val="18"/>
      <w:szCs w:val="18"/>
    </w:rPr>
  </w:style>
  <w:style w:type="character" w:customStyle="1" w:styleId="1033">
    <w:name w:val="页脚 字符"/>
    <w:link w:val="51"/>
    <w:qFormat/>
    <w:uiPriority w:val="99"/>
    <w:rPr>
      <w:rFonts w:eastAsia="宋体"/>
      <w:kern w:val="2"/>
      <w:sz w:val="18"/>
      <w:szCs w:val="18"/>
      <w:lang w:val="en-US" w:eastAsia="zh-CN" w:bidi="ar-SA"/>
    </w:rPr>
  </w:style>
  <w:style w:type="character" w:customStyle="1" w:styleId="1034">
    <w:name w:val="页眉 字符"/>
    <w:link w:val="53"/>
    <w:qFormat/>
    <w:uiPriority w:val="99"/>
    <w:rPr>
      <w:rFonts w:eastAsia="宋体"/>
      <w:kern w:val="2"/>
      <w:sz w:val="18"/>
      <w:szCs w:val="18"/>
      <w:lang w:val="en-US" w:eastAsia="zh-CN" w:bidi="ar-SA"/>
    </w:rPr>
  </w:style>
  <w:style w:type="character" w:customStyle="1" w:styleId="1035">
    <w:name w:val="签名 字符"/>
    <w:link w:val="54"/>
    <w:qFormat/>
    <w:uiPriority w:val="0"/>
    <w:rPr>
      <w:rFonts w:ascii="Arial" w:hAnsi="Arial" w:eastAsia="PMingLiU"/>
      <w:lang w:val="en-GB" w:eastAsia="zh-TW"/>
    </w:rPr>
  </w:style>
  <w:style w:type="character" w:customStyle="1" w:styleId="1036">
    <w:name w:val="副标题 字符"/>
    <w:link w:val="59"/>
    <w:qFormat/>
    <w:uiPriority w:val="0"/>
    <w:rPr>
      <w:rFonts w:ascii="Cambria" w:hAnsi="Cambria" w:eastAsia="宋体"/>
      <w:b/>
      <w:bCs/>
      <w:kern w:val="28"/>
      <w:sz w:val="32"/>
      <w:szCs w:val="32"/>
      <w:lang w:val="en-US" w:eastAsia="zh-CN" w:bidi="ar-SA"/>
    </w:rPr>
  </w:style>
  <w:style w:type="character" w:customStyle="1" w:styleId="1037">
    <w:name w:val="脚注文本 字符"/>
    <w:link w:val="62"/>
    <w:qFormat/>
    <w:uiPriority w:val="0"/>
    <w:rPr>
      <w:rFonts w:ascii="Arial" w:hAnsi="Arial"/>
      <w:lang w:eastAsia="en-US"/>
    </w:rPr>
  </w:style>
  <w:style w:type="character" w:customStyle="1" w:styleId="1038">
    <w:name w:val="正文文本缩进 3 字符"/>
    <w:link w:val="65"/>
    <w:qFormat/>
    <w:locked/>
    <w:uiPriority w:val="99"/>
    <w:rPr>
      <w:rFonts w:eastAsia="黑体"/>
      <w:color w:val="000000"/>
      <w:kern w:val="2"/>
      <w:sz w:val="24"/>
      <w:szCs w:val="24"/>
    </w:rPr>
  </w:style>
  <w:style w:type="character" w:customStyle="1" w:styleId="1039">
    <w:name w:val="正文文本 2 字符"/>
    <w:link w:val="71"/>
    <w:qFormat/>
    <w:uiPriority w:val="0"/>
    <w:rPr>
      <w:b/>
      <w:bCs/>
      <w:color w:val="000000"/>
      <w:kern w:val="2"/>
      <w:sz w:val="28"/>
      <w:szCs w:val="24"/>
    </w:rPr>
  </w:style>
  <w:style w:type="character" w:customStyle="1" w:styleId="1040">
    <w:name w:val="HTML 预设格式 字符"/>
    <w:link w:val="73"/>
    <w:qFormat/>
    <w:uiPriority w:val="0"/>
    <w:rPr>
      <w:rFonts w:ascii="宋体" w:hAnsi="宋体" w:cs="宋体"/>
      <w:sz w:val="24"/>
      <w:szCs w:val="24"/>
    </w:rPr>
  </w:style>
  <w:style w:type="character" w:customStyle="1" w:styleId="1041">
    <w:name w:val="普通(网站) 字符"/>
    <w:link w:val="74"/>
    <w:qFormat/>
    <w:uiPriority w:val="0"/>
    <w:rPr>
      <w:rFonts w:ascii="宋体" w:hAnsi="宋体"/>
      <w:sz w:val="24"/>
      <w:szCs w:val="24"/>
    </w:rPr>
  </w:style>
  <w:style w:type="character" w:customStyle="1" w:styleId="1042">
    <w:name w:val="标题 字符"/>
    <w:link w:val="76"/>
    <w:qFormat/>
    <w:uiPriority w:val="0"/>
    <w:rPr>
      <w:kern w:val="2"/>
      <w:sz w:val="30"/>
      <w:szCs w:val="24"/>
    </w:rPr>
  </w:style>
  <w:style w:type="character" w:customStyle="1" w:styleId="1043">
    <w:name w:val="批注主题 字符"/>
    <w:link w:val="77"/>
    <w:qFormat/>
    <w:uiPriority w:val="0"/>
    <w:rPr>
      <w:b/>
      <w:bCs/>
      <w:kern w:val="2"/>
      <w:sz w:val="21"/>
    </w:rPr>
  </w:style>
  <w:style w:type="character" w:customStyle="1" w:styleId="1044">
    <w:name w:val="正文文本首行缩进 2 字符"/>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_Style 1326"/>
    <w:basedOn w:val="1"/>
    <w:next w:val="58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26020</Words>
  <Characters>27248</Characters>
  <Lines>325</Lines>
  <Paragraphs>91</Paragraphs>
  <TotalTime>37</TotalTime>
  <ScaleCrop>false</ScaleCrop>
  <LinksUpToDate>false</LinksUpToDate>
  <CharactersWithSpaces>31332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2025-01-09T06:03:15Z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8C1FC37633C248ACAD32446787536827_13</vt:lpwstr>
  </property>
  <property fmtid="{D5CDD505-2E9C-101B-9397-08002B2CF9AE}" pid="4" name="KSOTemplateDocerSaveRecord">
    <vt:lpwstr>eyJoZGlkIjoiYWM5YTllY2U0MzYxOTMyYzkwNjRiZmEzN2EyZDM5OTcifQ==</vt:lpwstr>
  </property>
</Properties>
</file>