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9BCA">
      <w:pPr>
        <w:spacing w:line="360" w:lineRule="auto"/>
        <w:jc w:val="center"/>
        <w:rPr>
          <w:rFonts w:hint="eastAsia" w:ascii="仿宋" w:hAnsi="仿宋" w:eastAsia="仿宋" w:cs="仿宋"/>
          <w:b/>
          <w:color w:val="auto"/>
          <w:sz w:val="24"/>
        </w:rPr>
      </w:pPr>
    </w:p>
    <w:p w14:paraId="144E4833">
      <w:pPr>
        <w:adjustRightInd/>
        <w:spacing w:line="360" w:lineRule="auto"/>
        <w:jc w:val="center"/>
        <w:rPr>
          <w:rFonts w:hint="eastAsia" w:ascii="仿宋" w:hAnsi="仿宋" w:eastAsia="仿宋" w:cs="仿宋"/>
          <w:b/>
          <w:bCs/>
          <w:color w:val="auto"/>
          <w:sz w:val="48"/>
          <w:szCs w:val="48"/>
          <w:lang w:eastAsia="zh-CN"/>
        </w:rPr>
      </w:pPr>
    </w:p>
    <w:p w14:paraId="17D3840C">
      <w:pPr>
        <w:adjustRightInd/>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杭州市萧山区第一人民医院</w:t>
      </w:r>
    </w:p>
    <w:p w14:paraId="47D40ED2">
      <w:pPr>
        <w:adjustRightInd/>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val="en-US" w:eastAsia="zh-CN"/>
        </w:rPr>
        <w:t>高压氧舱维护</w:t>
      </w:r>
      <w:r>
        <w:rPr>
          <w:rFonts w:hint="eastAsia" w:ascii="仿宋" w:hAnsi="仿宋" w:eastAsia="仿宋" w:cs="仿宋"/>
          <w:b/>
          <w:bCs/>
          <w:color w:val="auto"/>
          <w:sz w:val="48"/>
          <w:szCs w:val="48"/>
          <w:lang w:eastAsia="zh-CN"/>
        </w:rPr>
        <w:t>采购项目</w:t>
      </w:r>
    </w:p>
    <w:p w14:paraId="016DA8C3">
      <w:pPr>
        <w:adjustRightInd/>
        <w:spacing w:line="360" w:lineRule="auto"/>
        <w:jc w:val="center"/>
        <w:rPr>
          <w:rFonts w:hint="eastAsia" w:ascii="仿宋" w:hAnsi="仿宋" w:eastAsia="仿宋" w:cs="仿宋"/>
          <w:b/>
          <w:bCs/>
          <w:color w:val="auto"/>
          <w:sz w:val="48"/>
          <w:szCs w:val="48"/>
        </w:rPr>
      </w:pPr>
    </w:p>
    <w:p w14:paraId="094A66DB">
      <w:pPr>
        <w:adjustRightInd/>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交易文件</w:t>
      </w:r>
    </w:p>
    <w:p w14:paraId="5928B1D9">
      <w:pPr>
        <w:pStyle w:val="4"/>
        <w:rPr>
          <w:rFonts w:hint="eastAsia" w:ascii="仿宋" w:hAnsi="仿宋" w:eastAsia="仿宋" w:cs="仿宋"/>
          <w:color w:val="auto"/>
        </w:rPr>
      </w:pPr>
    </w:p>
    <w:p w14:paraId="0C3BC76D">
      <w:pPr>
        <w:spacing w:line="480" w:lineRule="exact"/>
        <w:jc w:val="center"/>
        <w:rPr>
          <w:rFonts w:hint="default" w:ascii="仿宋" w:hAnsi="仿宋" w:eastAsia="仿宋" w:cs="仿宋"/>
          <w:bCs/>
          <w:color w:val="auto"/>
          <w:sz w:val="24"/>
          <w:lang w:val="en-US" w:eastAsia="zh-CN"/>
        </w:rPr>
      </w:pPr>
      <w:r>
        <w:rPr>
          <w:rFonts w:hint="eastAsia" w:ascii="仿宋" w:hAnsi="仿宋" w:eastAsia="仿宋" w:cs="仿宋"/>
          <w:color w:val="auto"/>
          <w:sz w:val="30"/>
          <w:szCs w:val="30"/>
        </w:rPr>
        <w:t>交易编号:</w:t>
      </w:r>
      <w:r>
        <w:rPr>
          <w:rFonts w:hint="eastAsia" w:ascii="仿宋" w:hAnsi="仿宋" w:eastAsia="仿宋" w:cs="仿宋"/>
          <w:color w:val="auto"/>
          <w:sz w:val="30"/>
          <w:szCs w:val="30"/>
          <w:lang w:val="en-US" w:eastAsia="zh-CN"/>
        </w:rPr>
        <w:t>XSYY2025-GJ-03</w:t>
      </w:r>
    </w:p>
    <w:p w14:paraId="735E1EEA">
      <w:pPr>
        <w:snapToGrid w:val="0"/>
        <w:spacing w:line="360" w:lineRule="auto"/>
        <w:jc w:val="center"/>
        <w:rPr>
          <w:rFonts w:hint="eastAsia" w:ascii="仿宋" w:hAnsi="仿宋" w:eastAsia="仿宋" w:cs="仿宋"/>
          <w:color w:val="auto"/>
          <w:sz w:val="32"/>
          <w:szCs w:val="32"/>
        </w:rPr>
      </w:pPr>
    </w:p>
    <w:p w14:paraId="0E4BF2EC">
      <w:pPr>
        <w:pStyle w:val="4"/>
        <w:jc w:val="both"/>
        <w:rPr>
          <w:rFonts w:hint="eastAsia" w:ascii="仿宋" w:hAnsi="仿宋" w:eastAsia="仿宋" w:cs="仿宋"/>
          <w:color w:val="auto"/>
          <w:sz w:val="32"/>
          <w:szCs w:val="32"/>
        </w:rPr>
      </w:pPr>
    </w:p>
    <w:p w14:paraId="339C1DB0">
      <w:pPr>
        <w:rPr>
          <w:rFonts w:hint="eastAsia" w:ascii="仿宋" w:hAnsi="仿宋" w:eastAsia="仿宋" w:cs="仿宋"/>
          <w:color w:val="auto"/>
        </w:rPr>
      </w:pPr>
    </w:p>
    <w:p w14:paraId="66DCC045">
      <w:pPr>
        <w:pStyle w:val="3"/>
        <w:ind w:firstLine="640"/>
        <w:rPr>
          <w:rFonts w:hint="eastAsia" w:ascii="仿宋" w:hAnsi="仿宋" w:eastAsia="仿宋" w:cs="仿宋"/>
          <w:color w:val="auto"/>
          <w:sz w:val="32"/>
          <w:szCs w:val="32"/>
        </w:rPr>
      </w:pPr>
    </w:p>
    <w:p w14:paraId="62B3AA52">
      <w:pPr>
        <w:spacing w:line="600" w:lineRule="auto"/>
        <w:rPr>
          <w:rFonts w:hint="eastAsia" w:ascii="仿宋" w:hAnsi="仿宋" w:eastAsia="仿宋" w:cs="仿宋"/>
          <w:bCs/>
          <w:color w:val="auto"/>
          <w:sz w:val="28"/>
          <w:szCs w:val="28"/>
        </w:rPr>
      </w:pPr>
    </w:p>
    <w:p w14:paraId="3620B6DC">
      <w:pPr>
        <w:spacing w:line="600" w:lineRule="auto"/>
        <w:rPr>
          <w:rFonts w:hint="eastAsia" w:ascii="仿宋" w:hAnsi="仿宋" w:eastAsia="仿宋" w:cs="仿宋"/>
          <w:bCs/>
          <w:color w:val="auto"/>
          <w:sz w:val="28"/>
          <w:szCs w:val="28"/>
        </w:rPr>
      </w:pPr>
    </w:p>
    <w:p w14:paraId="7BDEC4D0">
      <w:pPr>
        <w:spacing w:line="600" w:lineRule="auto"/>
        <w:rPr>
          <w:rFonts w:hint="eastAsia" w:ascii="仿宋" w:hAnsi="仿宋" w:eastAsia="仿宋" w:cs="仿宋"/>
          <w:bCs/>
          <w:color w:val="auto"/>
          <w:sz w:val="28"/>
          <w:szCs w:val="28"/>
        </w:rPr>
      </w:pPr>
    </w:p>
    <w:p w14:paraId="576B5766">
      <w:pPr>
        <w:spacing w:line="360" w:lineRule="auto"/>
        <w:ind w:firstLine="720" w:firstLineChars="200"/>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杭州市萧山区第一人民医院</w:t>
      </w:r>
    </w:p>
    <w:p w14:paraId="66F9C50D">
      <w:pPr>
        <w:spacing w:line="360" w:lineRule="auto"/>
        <w:ind w:firstLine="720" w:firstLineChars="200"/>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浙江国际招投标有限公司</w:t>
      </w:r>
    </w:p>
    <w:p w14:paraId="6B8E4D9C">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6"/>
          <w:szCs w:val="36"/>
        </w:rPr>
        <w:t xml:space="preserve">  202</w:t>
      </w:r>
      <w:r>
        <w:rPr>
          <w:rFonts w:hint="eastAsia" w:ascii="仿宋" w:hAnsi="仿宋" w:eastAsia="仿宋" w:cs="仿宋"/>
          <w:bCs/>
          <w:color w:val="auto"/>
          <w:sz w:val="36"/>
          <w:szCs w:val="36"/>
          <w:lang w:val="en-US" w:eastAsia="zh-CN"/>
        </w:rPr>
        <w:t>5</w:t>
      </w:r>
      <w:r>
        <w:rPr>
          <w:rFonts w:hint="eastAsia" w:ascii="仿宋" w:hAnsi="仿宋" w:eastAsia="仿宋" w:cs="仿宋"/>
          <w:bCs/>
          <w:color w:val="auto"/>
          <w:sz w:val="36"/>
          <w:szCs w:val="36"/>
        </w:rPr>
        <w:t xml:space="preserve"> 年</w:t>
      </w:r>
      <w:r>
        <w:rPr>
          <w:rFonts w:hint="eastAsia" w:ascii="仿宋" w:hAnsi="仿宋" w:eastAsia="仿宋" w:cs="仿宋"/>
          <w:bCs/>
          <w:color w:val="auto"/>
          <w:sz w:val="36"/>
          <w:szCs w:val="36"/>
          <w:lang w:val="en-US" w:eastAsia="zh-CN"/>
        </w:rPr>
        <w:t>2</w:t>
      </w:r>
      <w:r>
        <w:rPr>
          <w:rFonts w:hint="eastAsia" w:ascii="仿宋" w:hAnsi="仿宋" w:eastAsia="仿宋" w:cs="仿宋"/>
          <w:bCs/>
          <w:color w:val="auto"/>
          <w:sz w:val="36"/>
          <w:szCs w:val="36"/>
        </w:rPr>
        <w:t>月</w:t>
      </w:r>
    </w:p>
    <w:p w14:paraId="5E55F998">
      <w:pPr>
        <w:pStyle w:val="75"/>
        <w:spacing w:before="120"/>
        <w:ind w:firstLine="640"/>
        <w:rPr>
          <w:rFonts w:hint="eastAsia" w:ascii="仿宋" w:hAnsi="仿宋" w:eastAsia="仿宋" w:cs="仿宋"/>
          <w:bCs/>
          <w:color w:val="auto"/>
          <w:sz w:val="32"/>
          <w:szCs w:val="32"/>
        </w:rPr>
      </w:pPr>
    </w:p>
    <w:p w14:paraId="3C0E2ECA">
      <w:pPr>
        <w:spacing w:line="360" w:lineRule="auto"/>
        <w:jc w:val="center"/>
        <w:rPr>
          <w:rFonts w:hint="eastAsia" w:ascii="仿宋" w:hAnsi="仿宋" w:eastAsia="仿宋" w:cs="仿宋"/>
          <w:b/>
          <w:color w:val="auto"/>
          <w:sz w:val="48"/>
          <w:szCs w:val="48"/>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bookmarkStart w:id="0" w:name="_Hlt67893495"/>
      <w:bookmarkEnd w:id="0"/>
    </w:p>
    <w:p w14:paraId="5B30F8DB">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5CECCCA8">
      <w:pPr>
        <w:spacing w:line="360" w:lineRule="auto"/>
        <w:jc w:val="center"/>
        <w:rPr>
          <w:rFonts w:hint="eastAsia" w:ascii="仿宋" w:hAnsi="仿宋" w:eastAsia="仿宋" w:cs="仿宋"/>
          <w:color w:val="auto"/>
          <w:sz w:val="32"/>
          <w:szCs w:val="32"/>
        </w:rPr>
      </w:pPr>
    </w:p>
    <w:p w14:paraId="0776EEBA">
      <w:pPr>
        <w:spacing w:line="360" w:lineRule="auto"/>
        <w:rPr>
          <w:rFonts w:hint="eastAsia" w:ascii="仿宋" w:hAnsi="仿宋" w:eastAsia="仿宋" w:cs="仿宋"/>
          <w:color w:val="auto"/>
          <w:sz w:val="32"/>
          <w:szCs w:val="32"/>
        </w:rPr>
      </w:pPr>
    </w:p>
    <w:p w14:paraId="73F0A6DA">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40886D9E">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响应人须知</w:t>
      </w:r>
    </w:p>
    <w:p w14:paraId="5B81BCD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交易需求</w:t>
      </w:r>
    </w:p>
    <w:p w14:paraId="007DE27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评标方法及评分标准</w:t>
      </w:r>
    </w:p>
    <w:p w14:paraId="08BCE2F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3536AE8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6246C929">
      <w:pPr>
        <w:spacing w:line="360" w:lineRule="auto"/>
        <w:ind w:firstLine="549" w:firstLineChars="229"/>
        <w:rPr>
          <w:rFonts w:hint="eastAsia" w:ascii="仿宋" w:hAnsi="仿宋" w:eastAsia="仿宋" w:cs="仿宋"/>
          <w:color w:val="auto"/>
          <w:sz w:val="24"/>
        </w:rPr>
      </w:pPr>
      <w:bookmarkStart w:id="405" w:name="_GoBack"/>
      <w:bookmarkEnd w:id="405"/>
      <w:bookmarkStart w:id="1" w:name="_Hlt91233176"/>
      <w:bookmarkEnd w:id="1"/>
      <w:bookmarkStart w:id="2" w:name="_Toc91899869"/>
    </w:p>
    <w:p w14:paraId="6177B943">
      <w:pPr>
        <w:spacing w:line="360" w:lineRule="auto"/>
        <w:ind w:firstLine="549" w:firstLineChars="229"/>
        <w:rPr>
          <w:rFonts w:hint="eastAsia" w:ascii="仿宋" w:hAnsi="仿宋" w:eastAsia="仿宋" w:cs="仿宋"/>
          <w:color w:val="auto"/>
          <w:sz w:val="24"/>
        </w:rPr>
      </w:pPr>
    </w:p>
    <w:p w14:paraId="7D0BBD8C">
      <w:pPr>
        <w:spacing w:line="360" w:lineRule="auto"/>
        <w:ind w:firstLine="549" w:firstLineChars="229"/>
        <w:rPr>
          <w:rFonts w:hint="eastAsia" w:ascii="仿宋" w:hAnsi="仿宋" w:eastAsia="仿宋" w:cs="仿宋"/>
          <w:color w:val="auto"/>
          <w:sz w:val="24"/>
        </w:rPr>
      </w:pPr>
    </w:p>
    <w:p w14:paraId="46E5F9FB">
      <w:pPr>
        <w:spacing w:line="360" w:lineRule="auto"/>
        <w:ind w:firstLine="549" w:firstLineChars="229"/>
        <w:rPr>
          <w:rFonts w:hint="eastAsia" w:ascii="仿宋" w:hAnsi="仿宋" w:eastAsia="仿宋" w:cs="仿宋"/>
          <w:color w:val="auto"/>
          <w:sz w:val="24"/>
        </w:rPr>
      </w:pPr>
    </w:p>
    <w:p w14:paraId="05DFE05E">
      <w:pPr>
        <w:spacing w:line="360" w:lineRule="auto"/>
        <w:ind w:firstLine="549" w:firstLineChars="229"/>
        <w:rPr>
          <w:rFonts w:hint="eastAsia" w:ascii="仿宋" w:hAnsi="仿宋" w:eastAsia="仿宋" w:cs="仿宋"/>
          <w:color w:val="auto"/>
          <w:sz w:val="24"/>
        </w:rPr>
      </w:pPr>
    </w:p>
    <w:p w14:paraId="20F1CFF8">
      <w:pPr>
        <w:spacing w:line="360" w:lineRule="auto"/>
        <w:ind w:firstLine="549" w:firstLineChars="229"/>
        <w:rPr>
          <w:rFonts w:hint="eastAsia" w:ascii="仿宋" w:hAnsi="仿宋" w:eastAsia="仿宋" w:cs="仿宋"/>
          <w:color w:val="auto"/>
          <w:sz w:val="24"/>
        </w:rPr>
      </w:pPr>
    </w:p>
    <w:p w14:paraId="2A99749B">
      <w:pPr>
        <w:spacing w:line="360" w:lineRule="auto"/>
        <w:ind w:firstLine="549" w:firstLineChars="229"/>
        <w:rPr>
          <w:rFonts w:hint="eastAsia" w:ascii="仿宋" w:hAnsi="仿宋" w:eastAsia="仿宋" w:cs="仿宋"/>
          <w:color w:val="auto"/>
          <w:sz w:val="24"/>
        </w:rPr>
      </w:pPr>
    </w:p>
    <w:p w14:paraId="7DF9D47B">
      <w:pPr>
        <w:spacing w:line="360" w:lineRule="auto"/>
        <w:ind w:firstLine="549" w:firstLineChars="229"/>
        <w:rPr>
          <w:rFonts w:hint="eastAsia" w:ascii="仿宋" w:hAnsi="仿宋" w:eastAsia="仿宋" w:cs="仿宋"/>
          <w:color w:val="auto"/>
          <w:sz w:val="24"/>
        </w:rPr>
      </w:pPr>
    </w:p>
    <w:p w14:paraId="33C61DC1">
      <w:pPr>
        <w:spacing w:line="360" w:lineRule="auto"/>
        <w:ind w:firstLine="549" w:firstLineChars="229"/>
        <w:rPr>
          <w:rFonts w:hint="eastAsia" w:ascii="仿宋" w:hAnsi="仿宋" w:eastAsia="仿宋" w:cs="仿宋"/>
          <w:color w:val="auto"/>
          <w:sz w:val="24"/>
        </w:rPr>
      </w:pPr>
    </w:p>
    <w:p w14:paraId="12FB4001">
      <w:pPr>
        <w:pStyle w:val="4"/>
        <w:rPr>
          <w:rFonts w:hint="eastAsia" w:ascii="仿宋" w:hAnsi="仿宋" w:eastAsia="仿宋" w:cs="仿宋"/>
          <w:color w:val="auto"/>
        </w:rPr>
      </w:pPr>
      <w:bookmarkStart w:id="3" w:name="第一部分"/>
      <w:r>
        <w:rPr>
          <w:rFonts w:hint="eastAsia" w:ascii="仿宋" w:hAnsi="仿宋" w:eastAsia="仿宋" w:cs="仿宋"/>
          <w:color w:val="auto"/>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color w:val="auto"/>
        </w:rPr>
        <w:t>第一部分 交易公告</w:t>
      </w:r>
    </w:p>
    <w:p w14:paraId="17C5A573">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rPr>
      </w:pPr>
      <w:r>
        <w:rPr>
          <w:rFonts w:hint="eastAsia" w:ascii="仿宋" w:hAnsi="仿宋" w:eastAsia="仿宋" w:cs="仿宋"/>
          <w:color w:val="auto"/>
          <w:sz w:val="24"/>
          <w:szCs w:val="28"/>
        </w:rPr>
        <w:t>项目概况：</w:t>
      </w:r>
    </w:p>
    <w:p w14:paraId="1C998808">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rPr>
      </w:pPr>
      <w:r>
        <w:rPr>
          <w:rFonts w:hint="eastAsia" w:ascii="仿宋" w:hAnsi="仿宋" w:eastAsia="仿宋" w:cs="仿宋"/>
          <w:color w:val="auto"/>
          <w:sz w:val="24"/>
          <w:u w:val="single"/>
          <w:lang w:eastAsia="zh-CN"/>
        </w:rPr>
        <w:t>杭州市萧山区第一人民医院高压氧舱维护采购项目</w:t>
      </w:r>
      <w:r>
        <w:rPr>
          <w:rFonts w:hint="eastAsia" w:ascii="仿宋" w:hAnsi="仿宋" w:eastAsia="仿宋" w:cs="仿宋"/>
          <w:color w:val="auto"/>
          <w:sz w:val="24"/>
        </w:rPr>
        <w:t>的潜在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应在乐采云(萧采云)平台（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https://www.zcygov.cn/）获取（下载）交易文件，并于202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rPr>
        <w:fldChar w:fldCharType="end"/>
      </w:r>
      <w:r>
        <w:rPr>
          <w:rFonts w:hint="eastAsia" w:ascii="仿宋" w:hAnsi="仿宋" w:eastAsia="仿宋" w:cs="仿宋"/>
          <w:color w:val="auto"/>
          <w:sz w:val="24"/>
          <w:u w:val="single"/>
          <w:lang w:val="en-US" w:eastAsia="zh-CN"/>
        </w:rPr>
        <w:t xml:space="preserve"> 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 xml:space="preserve">日 </w:t>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 xml:space="preserve"> 00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w:t>
      </w:r>
      <w:r>
        <w:rPr>
          <w:rFonts w:hint="eastAsia" w:ascii="仿宋" w:hAnsi="仿宋" w:eastAsia="仿宋" w:cs="仿宋"/>
          <w:color w:val="auto"/>
          <w:sz w:val="24"/>
        </w:rPr>
        <w:t>递交（上传）响应文件</w:t>
      </w:r>
    </w:p>
    <w:p w14:paraId="19B1546B">
      <w:pPr>
        <w:pStyle w:val="5"/>
        <w:numPr>
          <w:ilvl w:val="0"/>
          <w:numId w:val="0"/>
        </w:numPr>
        <w:rPr>
          <w:rFonts w:hint="eastAsia" w:ascii="仿宋" w:hAnsi="仿宋" w:eastAsia="仿宋" w:cs="仿宋"/>
          <w:color w:val="auto"/>
          <w:sz w:val="24"/>
          <w:szCs w:val="28"/>
        </w:rPr>
      </w:pPr>
      <w:bookmarkStart w:id="11" w:name="_Toc28359002"/>
      <w:bookmarkStart w:id="12" w:name="_Toc28359079"/>
      <w:bookmarkStart w:id="13" w:name="_Toc35393790"/>
      <w:bookmarkStart w:id="14" w:name="_Toc35393621"/>
      <w:bookmarkStart w:id="15" w:name="_Hlk24379207"/>
      <w:r>
        <w:rPr>
          <w:rFonts w:hint="eastAsia" w:ascii="仿宋" w:hAnsi="仿宋" w:eastAsia="仿宋" w:cs="仿宋"/>
          <w:color w:val="auto"/>
          <w:sz w:val="24"/>
          <w:szCs w:val="28"/>
        </w:rPr>
        <w:t>一、项目基本情况</w:t>
      </w:r>
      <w:bookmarkEnd w:id="11"/>
      <w:bookmarkEnd w:id="12"/>
      <w:bookmarkEnd w:id="13"/>
      <w:bookmarkEnd w:id="14"/>
    </w:p>
    <w:p w14:paraId="56BF7E4C">
      <w:pPr>
        <w:spacing w:line="360" w:lineRule="auto"/>
        <w:ind w:left="42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lang w:eastAsia="zh-CN"/>
        </w:rPr>
        <w:t>XSYY202</w:t>
      </w:r>
      <w:r>
        <w:rPr>
          <w:rFonts w:hint="eastAsia" w:ascii="仿宋" w:hAnsi="仿宋" w:eastAsia="仿宋" w:cs="仿宋"/>
          <w:color w:val="auto"/>
          <w:sz w:val="24"/>
          <w:szCs w:val="28"/>
          <w:highlight w:val="none"/>
          <w:lang w:val="en-US" w:eastAsia="zh-CN"/>
        </w:rPr>
        <w:t>5-GJ-03</w:t>
      </w:r>
    </w:p>
    <w:p w14:paraId="1D89235E">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szCs w:val="28"/>
          <w:highlight w:val="none"/>
          <w:lang w:eastAsia="zh-CN"/>
        </w:rPr>
        <w:t>杭州市萧山区第一人民医院</w:t>
      </w:r>
      <w:r>
        <w:rPr>
          <w:rFonts w:hint="eastAsia" w:ascii="仿宋" w:hAnsi="仿宋" w:eastAsia="仿宋" w:cs="仿宋"/>
          <w:color w:val="auto"/>
          <w:sz w:val="24"/>
          <w:szCs w:val="28"/>
          <w:highlight w:val="none"/>
          <w:lang w:val="en-US" w:eastAsia="zh-CN"/>
        </w:rPr>
        <w:t>高压氧舱维护</w:t>
      </w:r>
      <w:r>
        <w:rPr>
          <w:rFonts w:hint="eastAsia" w:ascii="仿宋" w:hAnsi="仿宋" w:eastAsia="仿宋" w:cs="仿宋"/>
          <w:color w:val="auto"/>
          <w:sz w:val="24"/>
          <w:szCs w:val="28"/>
          <w:highlight w:val="none"/>
          <w:lang w:eastAsia="zh-CN"/>
        </w:rPr>
        <w:t>采购项目</w:t>
      </w:r>
    </w:p>
    <w:p w14:paraId="723C9B7C">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495000</w:t>
      </w:r>
      <w:r>
        <w:rPr>
          <w:rFonts w:hint="eastAsia" w:ascii="仿宋" w:hAnsi="仿宋" w:eastAsia="仿宋" w:cs="仿宋"/>
          <w:color w:val="auto"/>
          <w:sz w:val="24"/>
          <w:szCs w:val="28"/>
          <w:highlight w:val="none"/>
        </w:rPr>
        <w:t>元</w:t>
      </w:r>
    </w:p>
    <w:p w14:paraId="4914D129">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495000</w:t>
      </w:r>
      <w:r>
        <w:rPr>
          <w:rFonts w:hint="eastAsia" w:ascii="仿宋" w:hAnsi="仿宋" w:eastAsia="仿宋" w:cs="仿宋"/>
          <w:color w:val="auto"/>
          <w:sz w:val="24"/>
          <w:szCs w:val="28"/>
          <w:highlight w:val="none"/>
        </w:rPr>
        <w:t>元</w:t>
      </w:r>
    </w:p>
    <w:p w14:paraId="59897334">
      <w:pPr>
        <w:spacing w:line="360" w:lineRule="auto"/>
        <w:ind w:left="420" w:leftChars="200"/>
        <w:jc w:val="left"/>
        <w:rPr>
          <w:rFonts w:hint="eastAsia" w:ascii="仿宋" w:hAnsi="仿宋" w:eastAsia="仿宋" w:cs="仿宋"/>
          <w:color w:val="auto"/>
          <w:sz w:val="24"/>
          <w:szCs w:val="28"/>
          <w:u w:val="single"/>
        </w:rPr>
      </w:pPr>
      <w:r>
        <w:rPr>
          <w:rFonts w:hint="eastAsia" w:ascii="仿宋" w:hAnsi="仿宋" w:eastAsia="仿宋" w:cs="仿宋"/>
          <w:color w:val="auto"/>
          <w:sz w:val="24"/>
          <w:szCs w:val="28"/>
        </w:rPr>
        <w:t>交易需求：详见交易文件</w:t>
      </w:r>
    </w:p>
    <w:p w14:paraId="00DFDC67">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color w:val="auto"/>
          <w:sz w:val="24"/>
          <w:szCs w:val="28"/>
        </w:rPr>
        <w:t>按交易文件要求</w:t>
      </w:r>
    </w:p>
    <w:p w14:paraId="7C471531">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本项目是否接受联合体交易：</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69308F52">
      <w:pPr>
        <w:pStyle w:val="4"/>
        <w:ind w:firstLine="482" w:firstLineChars="200"/>
        <w:jc w:val="both"/>
        <w:rPr>
          <w:rFonts w:hint="eastAsia" w:ascii="仿宋" w:hAnsi="仿宋" w:eastAsia="仿宋" w:cs="仿宋"/>
          <w:color w:val="auto"/>
        </w:rPr>
      </w:pPr>
      <w:r>
        <w:rPr>
          <w:rFonts w:hint="eastAsia" w:ascii="仿宋" w:hAnsi="仿宋" w:eastAsia="仿宋" w:cs="仿宋"/>
          <w:color w:val="auto"/>
          <w:sz w:val="24"/>
          <w:szCs w:val="28"/>
        </w:rPr>
        <w:t>交易方式：公开竞争</w:t>
      </w:r>
    </w:p>
    <w:p w14:paraId="1AE8418E">
      <w:pPr>
        <w:pStyle w:val="5"/>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二、</w:t>
      </w:r>
      <w:bookmarkStart w:id="16" w:name="_Toc35393622"/>
      <w:bookmarkStart w:id="17" w:name="_Toc28359003"/>
      <w:bookmarkStart w:id="18" w:name="_Toc28359080"/>
      <w:bookmarkStart w:id="19" w:name="_Toc35393791"/>
      <w:r>
        <w:rPr>
          <w:rFonts w:hint="eastAsia" w:ascii="仿宋" w:hAnsi="仿宋" w:eastAsia="仿宋" w:cs="仿宋"/>
          <w:color w:val="auto"/>
          <w:sz w:val="24"/>
          <w:szCs w:val="28"/>
        </w:rPr>
        <w:t>申请人的资格要求：</w:t>
      </w:r>
      <w:bookmarkEnd w:id="16"/>
      <w:bookmarkEnd w:id="17"/>
      <w:bookmarkEnd w:id="18"/>
      <w:bookmarkEnd w:id="19"/>
    </w:p>
    <w:p w14:paraId="55977FCB">
      <w:pPr>
        <w:adjustRightInd/>
        <w:spacing w:after="120" w:line="400" w:lineRule="exact"/>
        <w:ind w:firstLine="480" w:firstLineChars="200"/>
        <w:rPr>
          <w:rFonts w:hint="eastAsia" w:ascii="仿宋" w:hAnsi="仿宋" w:eastAsia="仿宋" w:cs="仿宋"/>
          <w:snapToGrid w:val="0"/>
          <w:color w:val="auto"/>
          <w:kern w:val="28"/>
          <w:sz w:val="24"/>
          <w:szCs w:val="20"/>
        </w:rPr>
      </w:pPr>
      <w:bookmarkStart w:id="20" w:name="_Toc28359081"/>
      <w:bookmarkStart w:id="21" w:name="_Toc35393623"/>
      <w:bookmarkStart w:id="22" w:name="_Toc28359004"/>
      <w:bookmarkStart w:id="23" w:name="_Toc35393792"/>
      <w:r>
        <w:rPr>
          <w:rFonts w:hint="eastAsia" w:ascii="仿宋" w:hAnsi="仿宋" w:eastAsia="仿宋" w:cs="仿宋"/>
          <w:snapToGrid w:val="0"/>
          <w:color w:val="auto"/>
          <w:kern w:val="28"/>
          <w:sz w:val="24"/>
          <w:szCs w:val="20"/>
        </w:rPr>
        <w:t>1.具有独立承担民事责任能力的独立法人企业。</w:t>
      </w:r>
    </w:p>
    <w:p w14:paraId="67A7816A">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2.具有良好的商业信誉和健全的财务会计制度；</w:t>
      </w:r>
    </w:p>
    <w:p w14:paraId="43167B36">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3.具有履行合同所必需的设备和专业技术能力；</w:t>
      </w:r>
    </w:p>
    <w:p w14:paraId="5B86809E">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4.具有依法缴纳税收和社会保障资金的良好记录；</w:t>
      </w:r>
    </w:p>
    <w:p w14:paraId="1589375C">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5.参加交易活动前三年内，在经营活动中没有重大违法记录；</w:t>
      </w:r>
    </w:p>
    <w:p w14:paraId="214A493E">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2484F6F0">
      <w:pPr>
        <w:spacing w:line="360" w:lineRule="auto"/>
        <w:ind w:firstLine="42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Cs w:val="20"/>
        </w:rPr>
        <w:t>7、其他特定条件：</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该特定条件的法律法规依据：《市场监管总局关于特种设备行政许可有关事项的公告〔2019年第3号〕》</w:t>
      </w:r>
      <w:r>
        <w:rPr>
          <w:rFonts w:hint="eastAsia" w:ascii="仿宋" w:hAnsi="仿宋" w:eastAsia="仿宋" w:cs="仿宋"/>
          <w:color w:val="auto"/>
          <w:sz w:val="24"/>
          <w:highlight w:val="none"/>
          <w:lang w:eastAsia="zh-CN"/>
        </w:rPr>
        <w:t>；</w:t>
      </w:r>
    </w:p>
    <w:p w14:paraId="5E12BB98">
      <w:pPr>
        <w:pStyle w:val="5"/>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三、获取</w:t>
      </w:r>
      <w:bookmarkEnd w:id="20"/>
      <w:bookmarkEnd w:id="21"/>
      <w:bookmarkEnd w:id="22"/>
      <w:bookmarkEnd w:id="23"/>
      <w:r>
        <w:rPr>
          <w:rFonts w:hint="eastAsia" w:ascii="仿宋" w:hAnsi="仿宋" w:eastAsia="仿宋" w:cs="仿宋"/>
          <w:color w:val="auto"/>
          <w:sz w:val="24"/>
          <w:szCs w:val="28"/>
        </w:rPr>
        <w:t>交易文件</w:t>
      </w:r>
    </w:p>
    <w:p w14:paraId="26BEB020">
      <w:pPr>
        <w:spacing w:line="360" w:lineRule="auto"/>
        <w:ind w:firstLine="482" w:firstLineChars="200"/>
        <w:rPr>
          <w:rFonts w:hint="eastAsia" w:ascii="仿宋" w:hAnsi="仿宋" w:eastAsia="仿宋" w:cs="仿宋"/>
          <w:color w:val="auto"/>
          <w:sz w:val="24"/>
        </w:rPr>
      </w:pPr>
      <w:bookmarkStart w:id="24" w:name="_Toc28359005"/>
      <w:bookmarkStart w:id="25" w:name="_Toc28359082"/>
      <w:bookmarkStart w:id="26" w:name="_Toc35393624"/>
      <w:bookmarkStart w:id="27" w:name="_Toc35393793"/>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2025年3月11日</w:t>
      </w:r>
      <w:r>
        <w:rPr>
          <w:rFonts w:hint="eastAsia" w:ascii="仿宋" w:hAnsi="仿宋" w:eastAsia="仿宋" w:cs="仿宋"/>
          <w:color w:val="auto"/>
          <w:sz w:val="24"/>
          <w:u w:val="single"/>
        </w:rPr>
        <w:t xml:space="preserve"> </w:t>
      </w:r>
      <w:r>
        <w:rPr>
          <w:rFonts w:hint="eastAsia" w:ascii="仿宋" w:hAnsi="仿宋" w:eastAsia="仿宋" w:cs="仿宋"/>
          <w:color w:val="auto"/>
          <w:sz w:val="24"/>
        </w:rPr>
        <w:t>，每天上午00:00至12:00 ，下午12:00至23:59（北京时间，线上获取法定节假日均可，线下获取文件法定节假日除外）</w:t>
      </w:r>
    </w:p>
    <w:p w14:paraId="31CCD78A">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地点（网址）：</w:t>
      </w:r>
      <w:r>
        <w:rPr>
          <w:rFonts w:hint="eastAsia" w:ascii="仿宋" w:hAnsi="仿宋" w:eastAsia="仿宋" w:cs="仿宋"/>
          <w:bCs/>
          <w:color w:val="auto"/>
          <w:sz w:val="24"/>
          <w:lang w:eastAsia="zh-CN"/>
        </w:rPr>
        <w:t xml:space="preserve">乐采云平台（https://www.zcygov.cn/） </w:t>
      </w:r>
    </w:p>
    <w:p w14:paraId="1812840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登录乐采云(萧采云)平台https://www.zcygov.cn/在线申请获取交易文件</w:t>
      </w:r>
      <w:r>
        <w:rPr>
          <w:rFonts w:hint="eastAsia" w:ascii="仿宋" w:hAnsi="仿宋" w:eastAsia="仿宋" w:cs="仿宋"/>
          <w:color w:val="auto"/>
          <w:sz w:val="24"/>
        </w:rPr>
        <w:t xml:space="preserve">（进入“项目交易”应用，在获取交易文件菜单中选择项目，申请获取交易文件）。 </w:t>
      </w:r>
    </w:p>
    <w:p w14:paraId="48A5F9F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09A70AD">
      <w:pPr>
        <w:pStyle w:val="5"/>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四、提交</w:t>
      </w:r>
      <w:bookmarkEnd w:id="24"/>
      <w:bookmarkEnd w:id="25"/>
      <w:r>
        <w:rPr>
          <w:rFonts w:hint="eastAsia" w:ascii="仿宋" w:hAnsi="仿宋" w:eastAsia="仿宋" w:cs="仿宋"/>
          <w:color w:val="auto"/>
          <w:sz w:val="24"/>
          <w:szCs w:val="28"/>
        </w:rPr>
        <w:t>响应文件截止时间、交易时间和地点</w:t>
      </w:r>
      <w:bookmarkEnd w:id="26"/>
      <w:bookmarkEnd w:id="27"/>
    </w:p>
    <w:p w14:paraId="7F348B3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lang w:val="en-US" w:eastAsia="zh-CN"/>
        </w:rPr>
        <w:t>2025年3月11日</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 xml:space="preserve"> 00</w:t>
      </w:r>
      <w:r>
        <w:rPr>
          <w:rFonts w:hint="eastAsia" w:ascii="仿宋" w:hAnsi="仿宋" w:eastAsia="仿宋" w:cs="仿宋"/>
          <w:bCs/>
          <w:color w:val="auto"/>
          <w:sz w:val="24"/>
          <w:u w:val="single"/>
        </w:rPr>
        <w:t>分00秒</w:t>
      </w:r>
      <w:r>
        <w:rPr>
          <w:rFonts w:hint="eastAsia" w:ascii="仿宋" w:hAnsi="仿宋" w:eastAsia="仿宋" w:cs="仿宋"/>
          <w:color w:val="auto"/>
          <w:sz w:val="24"/>
        </w:rPr>
        <w:t>（北京时间）</w:t>
      </w:r>
    </w:p>
    <w:p w14:paraId="4B87CF2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交易时间：</w:t>
      </w:r>
      <w:r>
        <w:rPr>
          <w:rFonts w:hint="eastAsia" w:ascii="仿宋" w:hAnsi="仿宋" w:eastAsia="仿宋" w:cs="仿宋"/>
          <w:color w:val="auto"/>
          <w:sz w:val="24"/>
          <w:u w:val="single"/>
          <w:lang w:val="en-US" w:eastAsia="zh-CN"/>
        </w:rPr>
        <w:t>2025年3月11日14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 xml:space="preserve"> 00</w:t>
      </w:r>
      <w:r>
        <w:rPr>
          <w:rFonts w:hint="eastAsia" w:ascii="仿宋" w:hAnsi="仿宋" w:eastAsia="仿宋" w:cs="仿宋"/>
          <w:bCs/>
          <w:color w:val="auto"/>
          <w:sz w:val="24"/>
          <w:u w:val="single"/>
        </w:rPr>
        <w:t>分00秒</w:t>
      </w:r>
      <w:r>
        <w:rPr>
          <w:rFonts w:hint="eastAsia" w:ascii="仿宋" w:hAnsi="仿宋" w:eastAsia="仿宋" w:cs="仿宋"/>
          <w:color w:val="auto"/>
          <w:sz w:val="24"/>
        </w:rPr>
        <w:t>（北京时间）</w:t>
      </w:r>
    </w:p>
    <w:p w14:paraId="57D9467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w:t>
      </w:r>
      <w:r>
        <w:rPr>
          <w:rFonts w:hint="eastAsia" w:ascii="仿宋" w:hAnsi="仿宋" w:eastAsia="仿宋" w:cs="仿宋"/>
          <w:bCs/>
          <w:color w:val="auto"/>
          <w:sz w:val="24"/>
          <w:lang w:eastAsia="zh-CN"/>
        </w:rPr>
        <w:t xml:space="preserve">乐采云平台（https://www.zcygov.cn/） </w:t>
      </w:r>
      <w:r>
        <w:rPr>
          <w:rFonts w:hint="eastAsia" w:ascii="仿宋" w:hAnsi="仿宋" w:eastAsia="仿宋" w:cs="仿宋"/>
          <w:color w:val="auto"/>
          <w:sz w:val="24"/>
        </w:rPr>
        <w:t xml:space="preserve">  </w:t>
      </w:r>
    </w:p>
    <w:p w14:paraId="00D67FAC">
      <w:pPr>
        <w:pStyle w:val="5"/>
        <w:numPr>
          <w:ilvl w:val="0"/>
          <w:numId w:val="0"/>
        </w:numPr>
        <w:rPr>
          <w:rFonts w:hint="eastAsia" w:ascii="仿宋" w:hAnsi="仿宋" w:eastAsia="仿宋" w:cs="仿宋"/>
          <w:color w:val="auto"/>
          <w:sz w:val="24"/>
        </w:rPr>
      </w:pPr>
      <w:bookmarkStart w:id="28" w:name="_Toc35393795"/>
      <w:bookmarkStart w:id="29" w:name="_Toc35393626"/>
      <w:r>
        <w:rPr>
          <w:rFonts w:hint="eastAsia" w:ascii="仿宋" w:hAnsi="仿宋" w:eastAsia="仿宋" w:cs="仿宋"/>
          <w:color w:val="auto"/>
          <w:sz w:val="24"/>
          <w:szCs w:val="28"/>
        </w:rPr>
        <w:t>五、其他补充事宜</w:t>
      </w:r>
      <w:bookmarkEnd w:id="28"/>
      <w:bookmarkEnd w:id="29"/>
      <w:bookmarkStart w:id="30" w:name="_Toc35393796"/>
      <w:bookmarkStart w:id="31" w:name="_Toc28359008"/>
      <w:bookmarkStart w:id="32" w:name="_Toc35393627"/>
      <w:bookmarkStart w:id="33" w:name="_Toc28359085"/>
    </w:p>
    <w:p w14:paraId="04C9E7C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投标人</w:t>
      </w:r>
      <w:r>
        <w:rPr>
          <w:rFonts w:hint="eastAsia" w:ascii="仿宋" w:hAnsi="仿宋" w:eastAsia="仿宋" w:cs="仿宋"/>
          <w:color w:val="auto"/>
          <w:sz w:val="24"/>
        </w:rPr>
        <w:t>认为交易文件使自己的权益受到损害的，可以自获取交易文件之日起3个工作日内，以书面形式向采购人和采购代理机构提出质疑。</w:t>
      </w:r>
    </w:p>
    <w:p w14:paraId="60F7F00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2.电子招投标的说明： 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A2D6C26">
      <w:pPr>
        <w:pStyle w:val="5"/>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六、对本次招标提出询问，请按以下方式联系。</w:t>
      </w:r>
      <w:bookmarkEnd w:id="30"/>
      <w:bookmarkEnd w:id="31"/>
      <w:bookmarkEnd w:id="32"/>
      <w:bookmarkEnd w:id="33"/>
    </w:p>
    <w:p w14:paraId="6D7C830F">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1.交易发起人信息</w:t>
      </w:r>
    </w:p>
    <w:p w14:paraId="396F4CE8">
      <w:pPr>
        <w:widowControl/>
        <w:spacing w:line="360" w:lineRule="auto"/>
        <w:jc w:val="left"/>
        <w:rPr>
          <w:rFonts w:hint="eastAsia" w:ascii="仿宋" w:hAnsi="仿宋" w:eastAsia="仿宋" w:cs="仿宋"/>
          <w:color w:val="auto"/>
          <w:sz w:val="24"/>
          <w:szCs w:val="28"/>
          <w:lang w:eastAsia="zh-CN"/>
        </w:rPr>
      </w:pPr>
      <w:bookmarkStart w:id="34" w:name="_Toc28359009"/>
      <w:bookmarkStart w:id="35" w:name="_Toc28359086"/>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杭州市萧山区第一人民医院</w:t>
      </w:r>
    </w:p>
    <w:p w14:paraId="6F118A04">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地址：杭州市萧山区城厢街道市心南路199号</w:t>
      </w:r>
    </w:p>
    <w:p w14:paraId="6CC0BE35">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传真：0571-83807019</w:t>
      </w:r>
    </w:p>
    <w:p w14:paraId="56A86F37">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项目联系人（询问）：周建设</w:t>
      </w:r>
    </w:p>
    <w:p w14:paraId="4FABE8E4">
      <w:pPr>
        <w:widowControl/>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项目联系方式（询问）：0571-8380710</w:t>
      </w:r>
      <w:r>
        <w:rPr>
          <w:rFonts w:hint="eastAsia" w:ascii="仿宋" w:hAnsi="仿宋" w:eastAsia="仿宋" w:cs="仿宋"/>
          <w:color w:val="auto"/>
          <w:sz w:val="24"/>
          <w:szCs w:val="28"/>
          <w:lang w:val="en-US" w:eastAsia="zh-CN"/>
        </w:rPr>
        <w:t>2</w:t>
      </w:r>
    </w:p>
    <w:p w14:paraId="7949BFD8">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2.交易代理机构信息</w:t>
      </w:r>
      <w:bookmarkEnd w:id="34"/>
      <w:bookmarkEnd w:id="35"/>
    </w:p>
    <w:p w14:paraId="000CAD1D">
      <w:pPr>
        <w:widowControl/>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浙江国际招投标有限公司</w:t>
      </w:r>
    </w:p>
    <w:p w14:paraId="6C7B9053">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地址：杭州市文三路90号东部软件园1号楼3楼</w:t>
      </w:r>
    </w:p>
    <w:p w14:paraId="54286911">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传真：0571-88473430</w:t>
      </w:r>
    </w:p>
    <w:p w14:paraId="3F64FDC3">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项目联系人（询问）：周卉、盛磊敏</w:t>
      </w:r>
    </w:p>
    <w:p w14:paraId="58DF5EC1">
      <w:pPr>
        <w:widowControl/>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项目联系方式（询问）：0571-81061843,810618424</w:t>
      </w:r>
    </w:p>
    <w:p w14:paraId="38B41A5A">
      <w:pPr>
        <w:wordWrap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若对项目采购电子交易系统操作有疑问，可登录乐采云平台（https://www.lecaiyun.com/），点击右侧咨询小采，获取采小蜜智能服务管家帮助，或拨打乐采云有限公司服务热线95763获取热线服务帮助。       </w:t>
      </w:r>
    </w:p>
    <w:p w14:paraId="685602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38C61983">
      <w:pPr>
        <w:pStyle w:val="59"/>
        <w:jc w:val="both"/>
        <w:rPr>
          <w:rFonts w:hint="eastAsia" w:ascii="仿宋" w:hAnsi="仿宋" w:eastAsia="仿宋" w:cs="仿宋"/>
          <w:color w:val="auto"/>
          <w:lang w:val="en-US"/>
        </w:rPr>
      </w:pPr>
    </w:p>
    <w:p w14:paraId="1C952888">
      <w:pPr>
        <w:rPr>
          <w:rFonts w:hint="eastAsia" w:ascii="仿宋" w:hAnsi="仿宋" w:eastAsia="仿宋" w:cs="仿宋"/>
          <w:color w:val="auto"/>
        </w:rPr>
      </w:pPr>
      <w:r>
        <w:rPr>
          <w:rFonts w:hint="eastAsia" w:ascii="仿宋" w:hAnsi="仿宋" w:eastAsia="仿宋" w:cs="仿宋"/>
          <w:color w:val="auto"/>
        </w:rPr>
        <w:br w:type="page"/>
      </w:r>
    </w:p>
    <w:p w14:paraId="6DAB5ADD">
      <w:pPr>
        <w:pStyle w:val="4"/>
        <w:rPr>
          <w:rFonts w:hint="eastAsia" w:ascii="仿宋" w:hAnsi="仿宋" w:eastAsia="仿宋" w:cs="仿宋"/>
          <w:color w:val="auto"/>
        </w:rPr>
      </w:pPr>
      <w:r>
        <w:rPr>
          <w:rFonts w:hint="eastAsia" w:ascii="仿宋" w:hAnsi="仿宋" w:eastAsia="仿宋" w:cs="仿宋"/>
          <w:color w:val="auto"/>
        </w:rPr>
        <w:t>第二部分</w:t>
      </w:r>
      <w:bookmarkEnd w:id="8"/>
      <w:r>
        <w:rPr>
          <w:rFonts w:hint="eastAsia" w:ascii="仿宋" w:hAnsi="仿宋" w:eastAsia="仿宋" w:cs="仿宋"/>
          <w:color w:val="auto"/>
        </w:rPr>
        <w:t xml:space="preserve"> 响应人须知</w:t>
      </w:r>
      <w:bookmarkEnd w:id="9"/>
    </w:p>
    <w:p w14:paraId="43B540A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7036F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4F84A2">
            <w:pPr>
              <w:snapToGrid w:val="0"/>
              <w:spacing w:line="360" w:lineRule="auto"/>
              <w:jc w:val="center"/>
              <w:rPr>
                <w:rFonts w:hint="eastAsia" w:ascii="仿宋" w:hAnsi="仿宋" w:eastAsia="仿宋" w:cs="仿宋"/>
                <w:b/>
                <w:color w:val="auto"/>
                <w:sz w:val="24"/>
              </w:rPr>
            </w:pPr>
            <w:bookmarkStart w:id="36" w:name="第三部分"/>
            <w:bookmarkStart w:id="37" w:name="_Toc164416483"/>
            <w:r>
              <w:rPr>
                <w:rFonts w:hint="eastAsia" w:ascii="仿宋" w:hAnsi="仿宋" w:eastAsia="仿宋" w:cs="仿宋"/>
                <w:b/>
                <w:color w:val="auto"/>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1DE5DB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83EEF9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216D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AA130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717D3A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0052A2C">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《响应（交易）一览表》是报价的唯一载体</w:t>
            </w:r>
            <w:r>
              <w:rPr>
                <w:rFonts w:hint="eastAsia" w:ascii="仿宋" w:hAnsi="仿宋" w:eastAsia="仿宋" w:cs="仿宋"/>
                <w:color w:val="auto"/>
                <w:kern w:val="0"/>
                <w:sz w:val="24"/>
                <w:highlight w:val="none"/>
                <w:lang w:val="zh-CN"/>
              </w:rPr>
              <w:t>。响应文件中价格全部采用人民币报价。交易文件未列明，而响应人认为必需的费用也需列入报价。</w:t>
            </w:r>
          </w:p>
          <w:p w14:paraId="2B0DEB6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响应报价出现下列情形的，投标无效：</w:t>
            </w:r>
          </w:p>
          <w:p w14:paraId="71A809A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响应文件出现不是唯一的、有选择性响应报价的；</w:t>
            </w:r>
          </w:p>
          <w:p w14:paraId="5C915395">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▲响应报价高于本项目采购预算或者最高限价的;</w:t>
            </w:r>
          </w:p>
          <w:p w14:paraId="28D2083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14:paraId="0B0D29B0">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▲《响应（交易）一览表》填写不完整或字迹不能辨认或有漏项的；</w:t>
            </w:r>
          </w:p>
          <w:p w14:paraId="5E1A49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▲响应人对根据修正原则修正后的报价不确认的</w:t>
            </w:r>
            <w:r>
              <w:rPr>
                <w:rFonts w:hint="eastAsia" w:ascii="仿宋" w:hAnsi="仿宋" w:eastAsia="仿宋" w:cs="仿宋"/>
                <w:b/>
                <w:color w:val="auto"/>
                <w:sz w:val="24"/>
                <w:highlight w:val="none"/>
              </w:rPr>
              <w:t>。</w:t>
            </w:r>
          </w:p>
          <w:p w14:paraId="187F26E2">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14:paraId="6E6F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61052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F05B163">
            <w:pPr>
              <w:spacing w:line="360" w:lineRule="auto"/>
              <w:rPr>
                <w:rFonts w:hint="eastAsia" w:ascii="仿宋" w:hAnsi="仿宋" w:eastAsia="仿宋" w:cs="仿宋"/>
                <w:b/>
                <w:color w:val="auto"/>
                <w:sz w:val="24"/>
              </w:rPr>
            </w:pPr>
            <w:r>
              <w:rPr>
                <w:rFonts w:hint="eastAsia" w:ascii="仿宋" w:hAnsi="仿宋" w:eastAsia="仿宋" w:cs="仿宋"/>
                <w:b/>
                <w:color w:val="auto"/>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3BE350E8">
            <w:pPr>
              <w:snapToGrid w:val="0"/>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14:paraId="51D74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296E3F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A98C87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3B2B1468">
            <w:pPr>
              <w:numPr>
                <w:ilvl w:val="0"/>
                <w:numId w:val="7"/>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资格证明文件：</w:t>
            </w:r>
            <w:r>
              <w:rPr>
                <w:rFonts w:hint="eastAsia" w:ascii="仿宋" w:hAnsi="仿宋" w:eastAsia="仿宋" w:cs="仿宋"/>
                <w:color w:val="auto"/>
                <w:kern w:val="0"/>
                <w:sz w:val="24"/>
              </w:rPr>
              <w:t>见交易文件第二部分11.1。</w:t>
            </w:r>
          </w:p>
          <w:p w14:paraId="431CCFF1">
            <w:pPr>
              <w:numPr>
                <w:ilvl w:val="0"/>
                <w:numId w:val="7"/>
              </w:numPr>
              <w:spacing w:line="360" w:lineRule="auto"/>
              <w:rPr>
                <w:rFonts w:hint="eastAsia" w:ascii="仿宋" w:hAnsi="仿宋" w:eastAsia="仿宋" w:cs="仿宋"/>
                <w:color w:val="auto"/>
                <w:sz w:val="24"/>
              </w:rPr>
            </w:pPr>
            <w:r>
              <w:rPr>
                <w:rFonts w:hint="eastAsia" w:ascii="仿宋" w:hAnsi="仿宋" w:eastAsia="仿宋" w:cs="仿宋"/>
                <w:color w:val="auto"/>
                <w:sz w:val="24"/>
              </w:rPr>
              <w:t>资信证明文件：</w:t>
            </w:r>
            <w:r>
              <w:rPr>
                <w:rFonts w:hint="eastAsia" w:ascii="仿宋" w:hAnsi="仿宋" w:eastAsia="仿宋" w:cs="仿宋"/>
                <w:color w:val="auto"/>
                <w:sz w:val="24"/>
              </w:rPr>
              <w:t>根据交易文件第四部分评标标准提供。</w:t>
            </w:r>
          </w:p>
          <w:p w14:paraId="70173C0E">
            <w:pPr>
              <w:spacing w:line="360" w:lineRule="auto"/>
              <w:rPr>
                <w:rFonts w:hint="eastAsia" w:ascii="仿宋" w:hAnsi="仿宋" w:eastAsia="仿宋" w:cs="仿宋"/>
                <w:color w:val="auto"/>
                <w:kern w:val="0"/>
                <w:sz w:val="24"/>
              </w:rPr>
            </w:pPr>
            <w:r>
              <w:rPr>
                <w:rFonts w:hint="eastAsia" w:ascii="仿宋" w:hAnsi="仿宋" w:eastAsia="仿宋" w:cs="仿宋"/>
                <w:color w:val="auto"/>
                <w:sz w:val="24"/>
              </w:rPr>
              <w:t>▲</w:t>
            </w:r>
            <w:r>
              <w:rPr>
                <w:rFonts w:hint="eastAsia" w:ascii="仿宋" w:hAnsi="仿宋" w:eastAsia="仿宋" w:cs="仿宋"/>
                <w:b/>
                <w:color w:val="auto"/>
                <w:sz w:val="24"/>
              </w:rPr>
              <w:t>响应人未提供（1）的有效的资格证明文件的，视为响应人不具备交易文件中规定的资格要求，响应无效。</w:t>
            </w:r>
          </w:p>
        </w:tc>
      </w:tr>
      <w:tr w14:paraId="697F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FE88AE">
            <w:pPr>
              <w:snapToGrid w:val="0"/>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E047CC1">
            <w:pPr>
              <w:spacing w:line="360" w:lineRule="auto"/>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F5E6E27">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2E8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D389E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2656D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13AD132">
            <w:pPr>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rPr>
              <w:t>无</w:t>
            </w:r>
          </w:p>
        </w:tc>
      </w:tr>
      <w:tr w14:paraId="162AA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30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31F7B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396285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响应文件</w:t>
            </w:r>
          </w:p>
          <w:p w14:paraId="5818349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7775F2C">
            <w:pPr>
              <w:pStyle w:val="32"/>
              <w:snapToGrid w:val="0"/>
              <w:spacing w:before="120" w:after="120" w:line="360" w:lineRule="auto"/>
              <w:rPr>
                <w:rFonts w:hint="eastAsia" w:ascii="仿宋" w:hAnsi="仿宋" w:eastAsia="仿宋" w:cs="仿宋"/>
                <w:color w:val="auto"/>
                <w:sz w:val="24"/>
              </w:rPr>
            </w:pPr>
            <w:r>
              <w:rPr>
                <w:rFonts w:hint="eastAsia" w:ascii="仿宋" w:hAnsi="仿宋" w:eastAsia="仿宋" w:cs="仿宋"/>
                <w:color w:val="auto"/>
                <w:sz w:val="24"/>
              </w:rPr>
              <w:t>本项目实行电子投标。</w:t>
            </w:r>
          </w:p>
          <w:p w14:paraId="38F65ABA">
            <w:pPr>
              <w:pStyle w:val="32"/>
              <w:snapToGrid w:val="0"/>
              <w:spacing w:before="120" w:after="120"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lang w:eastAsia="zh-CN"/>
              </w:rPr>
              <w:t>投标人</w:t>
            </w:r>
            <w:r>
              <w:rPr>
                <w:rFonts w:hint="eastAsia" w:ascii="仿宋" w:hAnsi="仿宋" w:eastAsia="仿宋" w:cs="仿宋"/>
                <w:color w:val="auto"/>
                <w:sz w:val="24"/>
              </w:rPr>
              <w:t>应准备电子响应文件参与交易：</w:t>
            </w:r>
          </w:p>
          <w:p w14:paraId="496EB2DF">
            <w:pPr>
              <w:pStyle w:val="32"/>
              <w:numPr>
                <w:ilvl w:val="0"/>
                <w:numId w:val="8"/>
              </w:numPr>
              <w:snapToGrid w:val="0"/>
              <w:spacing w:before="120" w:after="120" w:line="360" w:lineRule="auto"/>
              <w:rPr>
                <w:rFonts w:hint="eastAsia" w:ascii="仿宋" w:hAnsi="仿宋" w:eastAsia="仿宋" w:cs="仿宋"/>
                <w:color w:val="auto"/>
                <w:sz w:val="24"/>
              </w:rPr>
            </w:pPr>
            <w:r>
              <w:rPr>
                <w:rFonts w:hint="eastAsia" w:ascii="仿宋" w:hAnsi="仿宋" w:eastAsia="仿宋" w:cs="仿宋"/>
                <w:color w:val="auto"/>
                <w:sz w:val="24"/>
              </w:rPr>
              <w:t>电子响应文件，按</w:t>
            </w:r>
            <w:r>
              <w:rPr>
                <w:rFonts w:hint="eastAsia" w:ascii="仿宋" w:hAnsi="仿宋" w:eastAsia="仿宋" w:cs="仿宋"/>
                <w:color w:val="auto"/>
                <w:sz w:val="24"/>
                <w:lang w:val="en-US" w:eastAsia="zh-CN"/>
              </w:rPr>
              <w:t>乐</w:t>
            </w:r>
            <w:r>
              <w:rPr>
                <w:rFonts w:hint="eastAsia" w:ascii="仿宋" w:hAnsi="仿宋" w:eastAsia="仿宋" w:cs="仿宋"/>
                <w:color w:val="auto"/>
                <w:sz w:val="24"/>
              </w:rPr>
              <w:t>采云平台项目采购-电子招投标操作指南及本交易文件要求递交。</w:t>
            </w:r>
          </w:p>
          <w:p w14:paraId="5DDA45EE">
            <w:pPr>
              <w:spacing w:line="360" w:lineRule="auto"/>
              <w:rPr>
                <w:rFonts w:hint="eastAsia" w:ascii="仿宋" w:hAnsi="仿宋" w:eastAsia="仿宋" w:cs="仿宋"/>
                <w:b/>
                <w:color w:val="auto"/>
                <w:sz w:val="24"/>
              </w:rPr>
            </w:pPr>
            <w:r>
              <w:rPr>
                <w:rFonts w:hint="eastAsia" w:ascii="仿宋" w:hAnsi="仿宋" w:eastAsia="仿宋" w:cs="仿宋"/>
                <w:b/>
                <w:color w:val="auto"/>
                <w:sz w:val="24"/>
              </w:rPr>
              <w:t>▲未传输递交电子响应文件的，投标无效。</w:t>
            </w:r>
          </w:p>
          <w:p w14:paraId="34407EC2">
            <w:pPr>
              <w:spacing w:line="360" w:lineRule="auto"/>
              <w:rPr>
                <w:rFonts w:hint="eastAsia" w:ascii="仿宋" w:hAnsi="仿宋" w:eastAsia="仿宋" w:cs="仿宋"/>
                <w:b/>
                <w:color w:val="auto"/>
                <w:sz w:val="24"/>
              </w:rPr>
            </w:pPr>
            <w:r>
              <w:rPr>
                <w:rFonts w:hint="eastAsia" w:ascii="仿宋" w:hAnsi="仿宋" w:eastAsia="仿宋" w:cs="仿宋"/>
                <w:b/>
                <w:color w:val="auto"/>
                <w:sz w:val="24"/>
              </w:rPr>
              <w:t>▲未在系统解密时间内完成解密的，视为响应人自行放弃交易响应无效。</w:t>
            </w:r>
          </w:p>
          <w:p w14:paraId="6618F8E8">
            <w:pPr>
              <w:pStyle w:val="32"/>
              <w:spacing w:line="360" w:lineRule="auto"/>
              <w:rPr>
                <w:rFonts w:hint="eastAsia" w:ascii="仿宋" w:hAnsi="仿宋" w:eastAsia="仿宋" w:cs="仿宋"/>
                <w:color w:val="auto"/>
                <w:kern w:val="28"/>
                <w:sz w:val="24"/>
                <w:szCs w:val="24"/>
              </w:rPr>
            </w:pPr>
            <w:r>
              <w:rPr>
                <w:rFonts w:hint="eastAsia" w:ascii="仿宋" w:hAnsi="仿宋" w:eastAsia="仿宋" w:cs="仿宋"/>
                <w:b/>
                <w:color w:val="auto"/>
                <w:sz w:val="24"/>
              </w:rPr>
              <w:t>本项目备份投标文件：</w:t>
            </w:r>
            <w:r>
              <w:rPr>
                <w:rFonts w:hint="eastAsia" w:ascii="仿宋" w:hAnsi="仿宋" w:eastAsia="仿宋" w:cs="仿宋"/>
                <w:color w:val="auto"/>
                <w:kern w:val="28"/>
                <w:sz w:val="24"/>
                <w:szCs w:val="24"/>
                <w:lang w:eastAsia="zh-CN"/>
              </w:rPr>
              <w:t>不需要</w:t>
            </w:r>
            <w:r>
              <w:rPr>
                <w:rFonts w:hint="eastAsia" w:ascii="仿宋" w:hAnsi="仿宋" w:eastAsia="仿宋" w:cs="仿宋"/>
                <w:color w:val="auto"/>
                <w:kern w:val="28"/>
                <w:sz w:val="24"/>
                <w:szCs w:val="24"/>
              </w:rPr>
              <w:t>备份</w:t>
            </w:r>
          </w:p>
          <w:p w14:paraId="726DDCE9">
            <w:pPr>
              <w:spacing w:line="360" w:lineRule="auto"/>
              <w:rPr>
                <w:rFonts w:hint="eastAsia" w:ascii="仿宋" w:hAnsi="仿宋" w:eastAsia="仿宋" w:cs="仿宋"/>
                <w:b/>
                <w:color w:val="auto"/>
                <w:sz w:val="24"/>
              </w:rPr>
            </w:pPr>
            <w:r>
              <w:rPr>
                <w:rFonts w:hint="eastAsia" w:ascii="仿宋" w:hAnsi="仿宋" w:eastAsia="仿宋" w:cs="仿宋"/>
                <w:b/>
                <w:color w:val="auto"/>
                <w:sz w:val="24"/>
                <w:szCs w:val="24"/>
              </w:rPr>
              <w:t>本项目</w:t>
            </w:r>
            <w:r>
              <w:rPr>
                <w:rFonts w:hint="eastAsia" w:ascii="仿宋" w:hAnsi="仿宋" w:eastAsia="仿宋" w:cs="仿宋"/>
                <w:b/>
                <w:color w:val="auto"/>
                <w:sz w:val="24"/>
                <w:szCs w:val="24"/>
                <w:lang w:eastAsia="zh-CN"/>
              </w:rPr>
              <w:t>响应</w:t>
            </w:r>
            <w:r>
              <w:rPr>
                <w:rFonts w:hint="eastAsia" w:ascii="仿宋" w:hAnsi="仿宋" w:eastAsia="仿宋" w:cs="仿宋"/>
                <w:b/>
                <w:color w:val="auto"/>
                <w:sz w:val="24"/>
                <w:szCs w:val="24"/>
              </w:rPr>
              <w:t>单位在领取</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通知书的同时提供纸质的</w:t>
            </w:r>
            <w:r>
              <w:rPr>
                <w:rFonts w:hint="eastAsia" w:ascii="仿宋" w:hAnsi="仿宋" w:eastAsia="仿宋" w:cs="仿宋"/>
                <w:b/>
                <w:color w:val="auto"/>
                <w:sz w:val="24"/>
                <w:szCs w:val="24"/>
                <w:lang w:eastAsia="zh-CN"/>
              </w:rPr>
              <w:t>成交</w:t>
            </w:r>
            <w:r>
              <w:rPr>
                <w:rFonts w:hint="eastAsia" w:ascii="仿宋" w:hAnsi="仿宋" w:eastAsia="仿宋" w:cs="仿宋"/>
                <w:b/>
                <w:color w:val="auto"/>
                <w:sz w:val="24"/>
                <w:szCs w:val="24"/>
              </w:rPr>
              <w:t>文件一正</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副。</w:t>
            </w:r>
          </w:p>
        </w:tc>
      </w:tr>
      <w:tr w14:paraId="51FB3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2D34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61B38EB">
            <w:pPr>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7611D9F">
            <w:pPr>
              <w:spacing w:line="360" w:lineRule="auto"/>
              <w:rPr>
                <w:rFonts w:hint="eastAsia" w:ascii="仿宋" w:hAnsi="仿宋" w:eastAsia="仿宋" w:cs="仿宋"/>
                <w:color w:val="auto"/>
                <w:sz w:val="24"/>
              </w:rPr>
            </w:pPr>
            <w:r>
              <w:rPr>
                <w:rFonts w:hint="eastAsia" w:ascii="仿宋" w:hAnsi="仿宋" w:eastAsia="仿宋" w:cs="仿宋"/>
                <w:color w:val="auto"/>
                <w:sz w:val="24"/>
              </w:rPr>
              <w:t>（√）A不组织。</w:t>
            </w:r>
          </w:p>
        </w:tc>
      </w:tr>
      <w:tr w14:paraId="6C420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84FF8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F77A0E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采购机构</w:t>
            </w:r>
          </w:p>
          <w:p w14:paraId="6004E31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60F72848">
            <w:pPr>
              <w:pStyle w:val="17"/>
              <w:spacing w:line="240" w:lineRule="auto"/>
              <w:ind w:firstLine="0"/>
              <w:rPr>
                <w:rFonts w:hint="eastAsia" w:ascii="仿宋" w:hAnsi="仿宋" w:eastAsia="仿宋" w:cs="仿宋"/>
                <w:b/>
                <w:bCs/>
                <w:color w:val="auto"/>
                <w:sz w:val="24"/>
              </w:rPr>
            </w:pPr>
            <w:r>
              <w:rPr>
                <w:rFonts w:hint="eastAsia" w:ascii="仿宋" w:hAnsi="仿宋" w:eastAsia="仿宋" w:cs="仿宋"/>
                <w:color w:val="auto"/>
                <w:sz w:val="24"/>
                <w:lang w:val="zh-CN"/>
              </w:rPr>
              <w:t>本项目的招标代理服务费由成交人支付。招标代理服务费计费标准：以成交金额为计费基准，按计价格[2002]1980号文</w:t>
            </w:r>
            <w:r>
              <w:rPr>
                <w:rFonts w:hint="eastAsia" w:ascii="仿宋" w:hAnsi="仿宋" w:eastAsia="仿宋" w:cs="仿宋"/>
                <w:color w:val="auto"/>
                <w:sz w:val="24"/>
                <w:lang w:val="en-US" w:eastAsia="zh-CN"/>
              </w:rPr>
              <w:t>服务</w:t>
            </w:r>
            <w:r>
              <w:rPr>
                <w:rFonts w:hint="eastAsia" w:ascii="仿宋" w:hAnsi="仿宋" w:eastAsia="仿宋" w:cs="仿宋"/>
                <w:color w:val="auto"/>
                <w:sz w:val="24"/>
                <w:lang w:val="zh-CN"/>
              </w:rPr>
              <w:t>类收费标准下浮</w:t>
            </w:r>
            <w:r>
              <w:rPr>
                <w:rFonts w:hint="eastAsia" w:ascii="仿宋" w:hAnsi="仿宋" w:eastAsia="仿宋" w:cs="仿宋"/>
                <w:color w:val="auto"/>
                <w:sz w:val="24"/>
                <w:lang w:val="en-US" w:eastAsia="zh-CN"/>
              </w:rPr>
              <w:t>25</w:t>
            </w:r>
            <w:r>
              <w:rPr>
                <w:rFonts w:hint="eastAsia" w:ascii="仿宋" w:hAnsi="仿宋" w:eastAsia="仿宋" w:cs="仿宋"/>
                <w:color w:val="auto"/>
                <w:sz w:val="24"/>
              </w:rPr>
              <w:t>%</w:t>
            </w:r>
            <w:r>
              <w:rPr>
                <w:rFonts w:hint="eastAsia" w:ascii="仿宋" w:hAnsi="仿宋" w:eastAsia="仿宋" w:cs="仿宋"/>
                <w:color w:val="auto"/>
                <w:sz w:val="24"/>
                <w:lang w:val="zh-CN"/>
              </w:rPr>
              <w:t>计取</w:t>
            </w:r>
            <w:r>
              <w:rPr>
                <w:rFonts w:hint="eastAsia" w:ascii="仿宋" w:hAnsi="仿宋" w:eastAsia="仿宋" w:cs="仿宋"/>
                <w:color w:val="auto"/>
                <w:sz w:val="24"/>
              </w:rPr>
              <w:t>。结算方式及时间为：成交人在领取成交通知书前向采购代理机构支付代理服务费。</w:t>
            </w:r>
          </w:p>
        </w:tc>
      </w:tr>
      <w:tr w14:paraId="4DC2E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69473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FD33B3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响应保证金</w:t>
            </w:r>
          </w:p>
          <w:p w14:paraId="6085ABD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F9FE0D5">
            <w:pPr>
              <w:pStyle w:val="17"/>
              <w:spacing w:line="360" w:lineRule="auto"/>
              <w:ind w:firstLine="434" w:firstLineChars="181"/>
              <w:rPr>
                <w:rFonts w:hint="eastAsia" w:ascii="仿宋" w:hAnsi="仿宋" w:eastAsia="仿宋" w:cs="仿宋"/>
                <w:color w:val="auto"/>
                <w:sz w:val="24"/>
              </w:rPr>
            </w:pPr>
            <w:r>
              <w:rPr>
                <w:rFonts w:hint="eastAsia" w:ascii="仿宋" w:hAnsi="仿宋" w:eastAsia="仿宋" w:cs="仿宋"/>
                <w:color w:val="auto"/>
                <w:sz w:val="24"/>
              </w:rPr>
              <w:t>响应保证金：不收取。</w:t>
            </w:r>
          </w:p>
          <w:p w14:paraId="1BF9B4FD">
            <w:pPr>
              <w:pStyle w:val="17"/>
              <w:spacing w:line="360" w:lineRule="auto"/>
              <w:ind w:firstLine="434" w:firstLineChars="181"/>
              <w:rPr>
                <w:rFonts w:hint="eastAsia" w:ascii="仿宋" w:hAnsi="仿宋" w:eastAsia="仿宋" w:cs="仿宋"/>
                <w:color w:val="auto"/>
                <w:sz w:val="24"/>
              </w:rPr>
            </w:pPr>
            <w:r>
              <w:rPr>
                <w:rFonts w:hint="eastAsia" w:ascii="仿宋" w:hAnsi="仿宋" w:eastAsia="仿宋" w:cs="仿宋"/>
                <w:color w:val="auto"/>
                <w:sz w:val="24"/>
              </w:rPr>
              <w:t>履约保证金：不收取。</w:t>
            </w:r>
          </w:p>
        </w:tc>
      </w:tr>
      <w:tr w14:paraId="14E43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A30016">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0C5106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7EF0EEC">
            <w:pPr>
              <w:pStyle w:val="17"/>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4DF57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052FE9">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BC2DC5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7780B23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本项目为</w:t>
            </w:r>
            <w:r>
              <w:rPr>
                <w:rFonts w:hint="eastAsia" w:ascii="仿宋" w:hAnsi="仿宋" w:eastAsia="仿宋" w:cs="仿宋"/>
                <w:color w:val="auto"/>
                <w:sz w:val="24"/>
                <w:lang w:val="en-US" w:eastAsia="zh-CN"/>
              </w:rPr>
              <w:t>服务</w:t>
            </w:r>
            <w:r>
              <w:rPr>
                <w:rFonts w:hint="eastAsia" w:ascii="仿宋" w:hAnsi="仿宋" w:eastAsia="仿宋" w:cs="仿宋"/>
                <w:color w:val="auto"/>
                <w:sz w:val="24"/>
                <w:u w:val="single"/>
              </w:rPr>
              <w:t>类</w:t>
            </w:r>
            <w:r>
              <w:rPr>
                <w:rFonts w:hint="eastAsia" w:ascii="仿宋" w:hAnsi="仿宋" w:eastAsia="仿宋" w:cs="仿宋"/>
                <w:color w:val="auto"/>
                <w:sz w:val="24"/>
              </w:rPr>
              <w:t>采购项目</w:t>
            </w:r>
          </w:p>
        </w:tc>
      </w:tr>
      <w:tr w14:paraId="077D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AC72A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730622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156B977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标项一</w:t>
            </w:r>
            <w:r>
              <w:rPr>
                <w:rFonts w:hint="eastAsia" w:ascii="仿宋" w:hAnsi="仿宋" w:eastAsia="仿宋" w:cs="仿宋"/>
                <w:color w:val="auto"/>
                <w:sz w:val="24"/>
              </w:rPr>
              <w:t>为</w:t>
            </w:r>
            <w:r>
              <w:rPr>
                <w:rFonts w:hint="eastAsia" w:ascii="仿宋" w:hAnsi="仿宋" w:eastAsia="仿宋" w:cs="仿宋"/>
                <w:color w:val="auto"/>
                <w:sz w:val="24"/>
                <w:u w:val="single"/>
              </w:rPr>
              <w:t>综合评估法</w:t>
            </w:r>
            <w:r>
              <w:rPr>
                <w:rFonts w:hint="eastAsia" w:ascii="仿宋" w:hAnsi="仿宋" w:eastAsia="仿宋" w:cs="仿宋"/>
                <w:color w:val="auto"/>
                <w:sz w:val="24"/>
              </w:rPr>
              <w:t>采购项目</w:t>
            </w:r>
          </w:p>
        </w:tc>
      </w:tr>
      <w:tr w14:paraId="722BA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73344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43BC06C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7A2621A7">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color w:val="auto"/>
                <w:sz w:val="24"/>
              </w:rPr>
              <w:t>√</w:t>
            </w:r>
            <w:r>
              <w:rPr>
                <w:rFonts w:hint="eastAsia" w:ascii="仿宋" w:hAnsi="仿宋" w:eastAsia="仿宋" w:cs="仿宋"/>
                <w:bCs/>
                <w:color w:val="auto"/>
                <w:sz w:val="24"/>
              </w:rPr>
              <w:t>)本项目不允许采购进口产品。</w:t>
            </w:r>
          </w:p>
          <w:p w14:paraId="3AEE4008">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bCs/>
                <w:color w:val="auto"/>
                <w:sz w:val="24"/>
              </w:rPr>
              <w:t>)本项目允许采购进口产品</w:t>
            </w:r>
          </w:p>
          <w:p w14:paraId="3CEACA39">
            <w:pPr>
              <w:spacing w:line="360" w:lineRule="auto"/>
              <w:jc w:val="center"/>
              <w:rPr>
                <w:rFonts w:hint="eastAsia" w:ascii="仿宋" w:hAnsi="仿宋" w:eastAsia="仿宋" w:cs="仿宋"/>
                <w:b/>
                <w:color w:val="auto"/>
                <w:sz w:val="24"/>
              </w:rPr>
            </w:pPr>
            <w:r>
              <w:rPr>
                <w:rFonts w:hint="eastAsia" w:ascii="仿宋" w:hAnsi="仿宋" w:eastAsia="仿宋" w:cs="仿宋"/>
                <w:bCs/>
                <w:color w:val="auto"/>
                <w:sz w:val="24"/>
              </w:rPr>
              <w:t>进口产品是指通过中国海关报关验放进入中国境内且产自境关外的产品。</w:t>
            </w:r>
          </w:p>
        </w:tc>
      </w:tr>
    </w:tbl>
    <w:p w14:paraId="4ED5052C">
      <w:pPr>
        <w:rPr>
          <w:rFonts w:hint="eastAsia" w:ascii="仿宋" w:hAnsi="仿宋" w:eastAsia="仿宋" w:cs="仿宋"/>
          <w:color w:val="auto"/>
        </w:rPr>
      </w:pPr>
      <w:r>
        <w:rPr>
          <w:rFonts w:hint="eastAsia" w:ascii="仿宋" w:hAnsi="仿宋" w:eastAsia="仿宋" w:cs="仿宋"/>
          <w:b/>
          <w:color w:val="auto"/>
          <w:sz w:val="24"/>
        </w:rPr>
        <w:t>注：本项目通用总则条款与前附表等专用特别规定有冲突之处，以专用条款（特别规定）为准</w:t>
      </w:r>
    </w:p>
    <w:p w14:paraId="7FF53DD2">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6811B1E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140424CA">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7D856AE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本交易文件适用于该项目的响应、交易、资格审查及信用信息查询、评标、定标、合同、验收等行为（法律、法规另有规定的，从其规定）。</w:t>
      </w:r>
    </w:p>
    <w:p w14:paraId="78B84FBE">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157DBE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“交易发起人”系指交易公告中载明的本项目的交易发起人。</w:t>
      </w:r>
    </w:p>
    <w:p w14:paraId="3E3C4B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“采购机构”系指交易公告中载明的本项目的采购机构。</w:t>
      </w:r>
    </w:p>
    <w:p w14:paraId="30F838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color w:val="auto"/>
          <w:sz w:val="24"/>
          <w:lang w:eastAsia="zh-CN"/>
        </w:rPr>
        <w:t>投标人</w:t>
      </w:r>
      <w:r>
        <w:rPr>
          <w:rFonts w:hint="eastAsia" w:ascii="仿宋" w:hAnsi="仿宋" w:eastAsia="仿宋" w:cs="仿宋"/>
          <w:color w:val="auto"/>
          <w:sz w:val="24"/>
        </w:rPr>
        <w:t>”系指是指响应交易、参加响应竞争的法人、其他组织或者自然人。</w:t>
      </w:r>
    </w:p>
    <w:p w14:paraId="0306A3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785CFB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w:t>
      </w:r>
      <w:r>
        <w:rPr>
          <w:rFonts w:hint="eastAsia" w:ascii="仿宋" w:hAnsi="仿宋" w:eastAsia="仿宋" w:cs="仿宋"/>
          <w:color w:val="auto"/>
          <w:sz w:val="24"/>
          <w:lang w:eastAsia="zh-CN"/>
        </w:rPr>
        <w:t>投标人</w:t>
      </w:r>
      <w:r>
        <w:rPr>
          <w:rFonts w:hint="eastAsia" w:ascii="仿宋" w:hAnsi="仿宋" w:eastAsia="仿宋" w:cs="仿宋"/>
          <w:color w:val="auto"/>
          <w:sz w:val="24"/>
        </w:rPr>
        <w:t>电子签名指</w:t>
      </w:r>
      <w:r>
        <w:rPr>
          <w:rFonts w:hint="eastAsia" w:ascii="仿宋" w:hAnsi="仿宋" w:eastAsia="仿宋" w:cs="仿宋"/>
          <w:color w:val="auto"/>
          <w:sz w:val="24"/>
          <w:lang w:eastAsia="zh-CN"/>
        </w:rPr>
        <w:t>投标人</w:t>
      </w:r>
      <w:r>
        <w:rPr>
          <w:rFonts w:hint="eastAsia" w:ascii="仿宋" w:hAnsi="仿宋" w:eastAsia="仿宋" w:cs="仿宋"/>
          <w:color w:val="auto"/>
          <w:sz w:val="24"/>
        </w:rPr>
        <w:t>电子公章；“公章”系指单位法定名称章。因特殊原因需要使用冠以法定名称的业务专用章的，投标时须提供《业务专用章使用说明函》（附件4）。</w:t>
      </w:r>
    </w:p>
    <w:p w14:paraId="3AB4302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2.6“电子交易平台”是指本项目采购活动所依托的政府采购云平台（https://www.zcygov.cn/）。</w:t>
      </w:r>
    </w:p>
    <w:p w14:paraId="35BAF14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4623B88C">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 xml:space="preserve"> 询问、质疑、投诉</w:t>
      </w:r>
    </w:p>
    <w:p w14:paraId="1501EAD3">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.1投标人询问</w:t>
      </w:r>
    </w:p>
    <w:p w14:paraId="25858F80">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对采购活动事项有疑问的，可以提出询问，交易发起人或者采购代理机构应当在3个工作日内对投标人依法提出的询问作出答复，但答复的内容不得涉及商业秘密。投标人提出的询问超出交易发起人对采购代理机构委托授权范围的，采购代理机构应当告知投标人向交易发起人提出。</w:t>
      </w:r>
    </w:p>
    <w:p w14:paraId="6612FE96">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.2投标人质疑</w:t>
      </w:r>
    </w:p>
    <w:p w14:paraId="35A5AAF1">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w:t>
      </w:r>
      <w:r>
        <w:rPr>
          <w:rFonts w:hint="eastAsia" w:ascii="仿宋" w:hAnsi="仿宋" w:eastAsia="仿宋" w:cs="仿宋"/>
          <w:color w:val="auto"/>
          <w:sz w:val="24"/>
          <w:lang w:eastAsia="zh-CN"/>
        </w:rPr>
        <w:t>投标人</w:t>
      </w:r>
      <w:r>
        <w:rPr>
          <w:rFonts w:hint="eastAsia" w:ascii="仿宋" w:hAnsi="仿宋" w:eastAsia="仿宋" w:cs="仿宋"/>
          <w:color w:val="auto"/>
          <w:sz w:val="24"/>
        </w:rPr>
        <w:t>应当是参与所质疑项目采购活动的</w:t>
      </w:r>
      <w:r>
        <w:rPr>
          <w:rFonts w:hint="eastAsia" w:ascii="仿宋" w:hAnsi="仿宋" w:eastAsia="仿宋" w:cs="仿宋"/>
          <w:color w:val="auto"/>
          <w:sz w:val="24"/>
          <w:lang w:eastAsia="zh-CN"/>
        </w:rPr>
        <w:t>投标人</w:t>
      </w:r>
      <w:r>
        <w:rPr>
          <w:rFonts w:hint="eastAsia" w:ascii="仿宋" w:hAnsi="仿宋" w:eastAsia="仿宋" w:cs="仿宋"/>
          <w:color w:val="auto"/>
          <w:sz w:val="24"/>
        </w:rPr>
        <w:t>。潜在</w:t>
      </w:r>
      <w:r>
        <w:rPr>
          <w:rFonts w:hint="eastAsia" w:ascii="仿宋" w:hAnsi="仿宋" w:eastAsia="仿宋" w:cs="仿宋"/>
          <w:color w:val="auto"/>
          <w:sz w:val="24"/>
          <w:lang w:eastAsia="zh-CN"/>
        </w:rPr>
        <w:t>投标人</w:t>
      </w:r>
      <w:r>
        <w:rPr>
          <w:rFonts w:hint="eastAsia" w:ascii="仿宋" w:hAnsi="仿宋" w:eastAsia="仿宋" w:cs="仿宋"/>
          <w:color w:val="auto"/>
          <w:sz w:val="24"/>
        </w:rPr>
        <w:t>已依法获取其可质疑的交易文件的，可以对该文件提出质疑。</w:t>
      </w:r>
    </w:p>
    <w:p w14:paraId="629DF7B2">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.2</w:t>
      </w:r>
      <w:r>
        <w:rPr>
          <w:rFonts w:hint="eastAsia" w:ascii="仿宋" w:hAnsi="仿宋" w:eastAsia="仿宋" w:cs="仿宋"/>
          <w:color w:val="auto"/>
          <w:sz w:val="24"/>
          <w:lang w:eastAsia="zh-CN"/>
        </w:rPr>
        <w:t>投标人</w:t>
      </w:r>
      <w:r>
        <w:rPr>
          <w:rFonts w:hint="eastAsia" w:ascii="仿宋" w:hAnsi="仿宋" w:eastAsia="仿宋" w:cs="仿宋"/>
          <w:color w:val="auto"/>
          <w:sz w:val="24"/>
        </w:rPr>
        <w:t>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08C8ABF9">
      <w:pPr>
        <w:pStyle w:val="1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3.2.2.1对交易文件提出质疑的，质疑期限为</w:t>
      </w:r>
      <w:r>
        <w:rPr>
          <w:rFonts w:hint="eastAsia" w:ascii="仿宋" w:hAnsi="仿宋" w:eastAsia="仿宋" w:cs="仿宋"/>
          <w:snapToGrid/>
          <w:color w:val="auto"/>
          <w:kern w:val="2"/>
          <w:sz w:val="24"/>
          <w:lang w:eastAsia="zh-CN"/>
        </w:rPr>
        <w:t>投标人</w:t>
      </w:r>
      <w:r>
        <w:rPr>
          <w:rFonts w:hint="eastAsia" w:ascii="仿宋" w:hAnsi="仿宋" w:eastAsia="仿宋" w:cs="仿宋"/>
          <w:snapToGrid/>
          <w:color w:val="auto"/>
          <w:kern w:val="2"/>
          <w:sz w:val="24"/>
        </w:rPr>
        <w:t>获得交易文件之日或者交易文件公告期限届满之日起计算。</w:t>
      </w:r>
    </w:p>
    <w:p w14:paraId="08CFC8DB">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3.2.2.2对交易过程提出质疑的，质疑期限为各采购程序环节结束之日起计算。对同一采购程序环节的质疑，</w:t>
      </w:r>
      <w:r>
        <w:rPr>
          <w:rFonts w:hint="eastAsia" w:ascii="仿宋" w:hAnsi="仿宋" w:eastAsia="仿宋" w:cs="仿宋"/>
          <w:color w:val="auto"/>
          <w:sz w:val="24"/>
          <w:lang w:eastAsia="zh-CN"/>
        </w:rPr>
        <w:t>投标人</w:t>
      </w:r>
      <w:r>
        <w:rPr>
          <w:rFonts w:hint="eastAsia" w:ascii="仿宋" w:hAnsi="仿宋" w:eastAsia="仿宋" w:cs="仿宋"/>
          <w:color w:val="auto"/>
          <w:sz w:val="24"/>
        </w:rPr>
        <w:t>须一次性提出。</w:t>
      </w:r>
    </w:p>
    <w:p w14:paraId="07B8C51C">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3.2.2.3对采购结果提出质疑的，质疑期限自采购结果公告期限届满之日起计算。</w:t>
      </w:r>
    </w:p>
    <w:p w14:paraId="116A1C5B">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w:t>
      </w:r>
      <w:r>
        <w:rPr>
          <w:rFonts w:hint="eastAsia" w:ascii="仿宋" w:hAnsi="仿宋" w:eastAsia="仿宋" w:cs="仿宋"/>
          <w:color w:val="auto"/>
          <w:sz w:val="24"/>
          <w:lang w:eastAsia="zh-CN"/>
        </w:rPr>
        <w:t>投标人</w:t>
      </w:r>
      <w:r>
        <w:rPr>
          <w:rFonts w:hint="eastAsia" w:ascii="仿宋" w:hAnsi="仿宋" w:eastAsia="仿宋" w:cs="仿宋"/>
          <w:color w:val="auto"/>
          <w:sz w:val="24"/>
        </w:rPr>
        <w:t>提出质疑应当提交质疑函和必要的证明材料。质疑函应当包括下列内容：</w:t>
      </w:r>
    </w:p>
    <w:p w14:paraId="554D9519">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.2.3.1投标人的姓名或者名称、地址、邮编、联系人及联系电话；</w:t>
      </w:r>
    </w:p>
    <w:p w14:paraId="13431FD9">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.2.3.2质疑项目的名称、编号；</w:t>
      </w:r>
    </w:p>
    <w:p w14:paraId="25C45696">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.2.3.3具体、明确的质疑事项和与质疑事项相关的请求；</w:t>
      </w:r>
    </w:p>
    <w:p w14:paraId="5690D920">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.2.3.4事实依据；</w:t>
      </w:r>
    </w:p>
    <w:p w14:paraId="35BEB4F6">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.2.3.5必要的法律依据；</w:t>
      </w:r>
    </w:p>
    <w:p w14:paraId="2204843F">
      <w:pPr>
        <w:pStyle w:val="32"/>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.2.3.6提出质疑的日期。</w:t>
      </w:r>
    </w:p>
    <w:p w14:paraId="6F7ADBA4">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eastAsia="zh-CN"/>
        </w:rPr>
        <w:t>投标人</w:t>
      </w:r>
      <w:r>
        <w:rPr>
          <w:rFonts w:hint="eastAsia" w:ascii="仿宋" w:hAnsi="仿宋" w:eastAsia="仿宋" w:cs="仿宋"/>
          <w:color w:val="auto"/>
        </w:rPr>
        <w:t>提交的质疑函需一式三份。</w:t>
      </w:r>
      <w:r>
        <w:rPr>
          <w:rFonts w:hint="eastAsia" w:ascii="仿宋" w:hAnsi="仿宋" w:eastAsia="仿宋" w:cs="仿宋"/>
          <w:color w:val="auto"/>
          <w:lang w:eastAsia="zh-CN"/>
        </w:rPr>
        <w:t>投标人</w:t>
      </w:r>
      <w:r>
        <w:rPr>
          <w:rFonts w:hint="eastAsia" w:ascii="仿宋" w:hAnsi="仿宋" w:eastAsia="仿宋" w:cs="仿宋"/>
          <w:color w:val="auto"/>
        </w:rPr>
        <w:t>为自然人的，应当由本人签字；</w:t>
      </w:r>
      <w:r>
        <w:rPr>
          <w:rFonts w:hint="eastAsia" w:ascii="仿宋" w:hAnsi="仿宋" w:eastAsia="仿宋" w:cs="仿宋"/>
          <w:color w:val="auto"/>
          <w:lang w:eastAsia="zh-CN"/>
        </w:rPr>
        <w:t>投标人</w:t>
      </w:r>
      <w:r>
        <w:rPr>
          <w:rFonts w:hint="eastAsia" w:ascii="仿宋" w:hAnsi="仿宋" w:eastAsia="仿宋" w:cs="仿宋"/>
          <w:color w:val="auto"/>
        </w:rPr>
        <w:t>为法人或者其他组织的，应当由法定代表人、主要负责人，或者其授权代表签字或者盖章，并加盖公章。</w:t>
      </w:r>
    </w:p>
    <w:p w14:paraId="4FE9D84A">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340E6798">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.4交易发起人或者采购机构应当在收到</w:t>
      </w:r>
      <w:r>
        <w:rPr>
          <w:rFonts w:hint="eastAsia" w:ascii="仿宋" w:hAnsi="仿宋" w:eastAsia="仿宋" w:cs="仿宋"/>
          <w:color w:val="auto"/>
          <w:lang w:eastAsia="zh-CN"/>
        </w:rPr>
        <w:t>投标人</w:t>
      </w:r>
      <w:r>
        <w:rPr>
          <w:rFonts w:hint="eastAsia" w:ascii="仿宋" w:hAnsi="仿宋" w:eastAsia="仿宋" w:cs="仿宋"/>
          <w:color w:val="auto"/>
        </w:rPr>
        <w:t>的书面质疑后七个工作日内作出答复，并以书面形式通知质疑</w:t>
      </w:r>
      <w:r>
        <w:rPr>
          <w:rFonts w:hint="eastAsia" w:ascii="仿宋" w:hAnsi="仿宋" w:eastAsia="仿宋" w:cs="仿宋"/>
          <w:color w:val="auto"/>
          <w:lang w:eastAsia="zh-CN"/>
        </w:rPr>
        <w:t>投标人</w:t>
      </w:r>
      <w:r>
        <w:rPr>
          <w:rFonts w:hint="eastAsia" w:ascii="仿宋" w:hAnsi="仿宋" w:eastAsia="仿宋" w:cs="仿宋"/>
          <w:color w:val="auto"/>
        </w:rPr>
        <w:t>和其他与质疑处理结果有利害关系的采购当事人，但答复的内容不得涉及商业秘密。</w:t>
      </w:r>
    </w:p>
    <w:p w14:paraId="11A7437D">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.5询问或者质疑事项可能影响采购结果的，交易发起人应当暂停签订合同，已经签订合同的，应当中止履行合同。</w:t>
      </w:r>
    </w:p>
    <w:p w14:paraId="134E7C4D">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rPr>
        <w:t>3</w:t>
      </w:r>
      <w:r>
        <w:rPr>
          <w:rFonts w:hint="eastAsia" w:ascii="仿宋" w:hAnsi="仿宋" w:eastAsia="仿宋" w:cs="仿宋"/>
          <w:color w:val="auto"/>
          <w:lang w:val="zh-CN"/>
        </w:rPr>
        <w:t>.3投标人投诉</w:t>
      </w:r>
    </w:p>
    <w:p w14:paraId="7FC8F6D5">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3.3.1质疑</w:t>
      </w:r>
      <w:r>
        <w:rPr>
          <w:rFonts w:hint="eastAsia" w:ascii="仿宋" w:hAnsi="仿宋" w:eastAsia="仿宋" w:cs="仿宋"/>
          <w:color w:val="auto"/>
          <w:lang w:eastAsia="zh-CN"/>
        </w:rPr>
        <w:t>投标人</w:t>
      </w:r>
      <w:r>
        <w:rPr>
          <w:rFonts w:hint="eastAsia" w:ascii="仿宋" w:hAnsi="仿宋" w:eastAsia="仿宋" w:cs="仿宋"/>
          <w:color w:val="auto"/>
        </w:rPr>
        <w:t>对交易发起人、采购机构的答复不满意或者交易发起人、采购机构未在规定的时间内作出答复的，可以在答复期满后十五个工作日内向同级采购监督管理部门提出投诉。</w:t>
      </w:r>
    </w:p>
    <w:p w14:paraId="1B7502FC">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lang w:eastAsia="zh-CN"/>
        </w:rPr>
        <w:t>投标人</w:t>
      </w:r>
      <w:r>
        <w:rPr>
          <w:rFonts w:hint="eastAsia" w:ascii="仿宋" w:hAnsi="仿宋" w:eastAsia="仿宋" w:cs="仿宋"/>
          <w:color w:val="auto"/>
        </w:rPr>
        <w:t>投诉的事项不得超出已质疑事项的范围，基于质疑答复内容提出的投诉事项除外。</w:t>
      </w:r>
    </w:p>
    <w:p w14:paraId="76C214CF">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3.3.3</w:t>
      </w:r>
      <w:r>
        <w:rPr>
          <w:rFonts w:hint="eastAsia" w:ascii="仿宋" w:hAnsi="仿宋" w:eastAsia="仿宋" w:cs="仿宋"/>
          <w:color w:val="auto"/>
          <w:lang w:eastAsia="zh-CN"/>
        </w:rPr>
        <w:t>投标人</w:t>
      </w:r>
      <w:r>
        <w:rPr>
          <w:rFonts w:hint="eastAsia" w:ascii="仿宋" w:hAnsi="仿宋" w:eastAsia="仿宋" w:cs="仿宋"/>
          <w:color w:val="auto"/>
        </w:rPr>
        <w:t>投诉应当有明确的请求和必要的证明材料。</w:t>
      </w:r>
    </w:p>
    <w:p w14:paraId="06EFF494">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3.3.5 以联合体形式参加采购活动的，其投诉应当由组成联合体的所有</w:t>
      </w:r>
      <w:r>
        <w:rPr>
          <w:rFonts w:hint="eastAsia" w:ascii="仿宋" w:hAnsi="仿宋" w:eastAsia="仿宋" w:cs="仿宋"/>
          <w:color w:val="auto"/>
          <w:lang w:eastAsia="zh-CN"/>
        </w:rPr>
        <w:t>投标人</w:t>
      </w:r>
      <w:r>
        <w:rPr>
          <w:rFonts w:hint="eastAsia" w:ascii="仿宋" w:hAnsi="仿宋" w:eastAsia="仿宋" w:cs="仿宋"/>
          <w:color w:val="auto"/>
        </w:rPr>
        <w:t>共同提出。</w:t>
      </w:r>
    </w:p>
    <w:p w14:paraId="0E0C844E">
      <w:pPr>
        <w:pStyle w:val="61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4CB3ECE1">
      <w:pPr>
        <w:pStyle w:val="221"/>
        <w:snapToGrid w:val="0"/>
        <w:spacing w:before="0"/>
        <w:ind w:firstLine="360"/>
        <w:rPr>
          <w:rFonts w:hint="eastAsia" w:ascii="仿宋" w:hAnsi="仿宋" w:eastAsia="仿宋" w:cs="仿宋"/>
          <w:color w:val="auto"/>
          <w:sz w:val="18"/>
          <w:szCs w:val="18"/>
        </w:rPr>
      </w:pPr>
    </w:p>
    <w:p w14:paraId="1F948672">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二、交易文件的构成、澄清、修改</w:t>
      </w:r>
    </w:p>
    <w:p w14:paraId="71FE1FB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00569D53">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交易文件包括下列文件及附件：</w:t>
      </w:r>
    </w:p>
    <w:p w14:paraId="55A283BE">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516BBD09">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4.1.2</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须知；</w:t>
      </w:r>
    </w:p>
    <w:p w14:paraId="1B233B30">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4.1.3采购需求；</w:t>
      </w:r>
    </w:p>
    <w:p w14:paraId="1015251A">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4.1.4交易办法；</w:t>
      </w:r>
    </w:p>
    <w:p w14:paraId="3DC721D0">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4.1.5拟签订的合同文本；</w:t>
      </w:r>
    </w:p>
    <w:p w14:paraId="52833BF2">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4.1.6</w:t>
      </w:r>
      <w:r>
        <w:rPr>
          <w:rFonts w:hint="eastAsia" w:ascii="仿宋" w:hAnsi="仿宋" w:eastAsia="仿宋" w:cs="仿宋"/>
          <w:color w:val="auto"/>
          <w:sz w:val="24"/>
          <w:szCs w:val="24"/>
        </w:rPr>
        <w:t>应提交的有关格式范例。</w:t>
      </w:r>
    </w:p>
    <w:p w14:paraId="3202F86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517373A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 交易文件的澄清、修改</w:t>
      </w:r>
    </w:p>
    <w:p w14:paraId="609D1E2C">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5.1已获取交易文件的潜在</w:t>
      </w:r>
      <w:r>
        <w:rPr>
          <w:rFonts w:hint="eastAsia" w:ascii="仿宋" w:hAnsi="仿宋" w:eastAsia="仿宋" w:cs="仿宋"/>
          <w:color w:val="auto"/>
          <w:lang w:eastAsia="zh-CN"/>
        </w:rPr>
        <w:t>投标人</w:t>
      </w:r>
      <w:r>
        <w:rPr>
          <w:rFonts w:hint="eastAsia" w:ascii="仿宋" w:hAnsi="仿宋" w:eastAsia="仿宋" w:cs="仿宋"/>
          <w:color w:val="auto"/>
        </w:rPr>
        <w:t>，若有问题需要澄清，应于投标截止时间前，以书面形式向采购机构提出。</w:t>
      </w:r>
    </w:p>
    <w:p w14:paraId="6BB780E9">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5.2 采购机构对交易文件进行澄清或修改的，将同时通过电子交易平台通知已获取交易文件的潜在</w:t>
      </w:r>
      <w:r>
        <w:rPr>
          <w:rFonts w:hint="eastAsia" w:ascii="仿宋" w:hAnsi="仿宋" w:eastAsia="仿宋" w:cs="仿宋"/>
          <w:color w:val="auto"/>
          <w:lang w:eastAsia="zh-CN"/>
        </w:rPr>
        <w:t>投标人</w:t>
      </w:r>
      <w:r>
        <w:rPr>
          <w:rFonts w:hint="eastAsia" w:ascii="仿宋" w:hAnsi="仿宋" w:eastAsia="仿宋" w:cs="仿宋"/>
          <w:color w:val="auto"/>
        </w:rPr>
        <w:t>。依法应当公告的，将按规定公告，同时视情况延长投标截止时间和交易时间。该澄清或者修改的内容为交易文件的组成部分。</w:t>
      </w:r>
    </w:p>
    <w:p w14:paraId="4AE208C9">
      <w:pPr>
        <w:pStyle w:val="24"/>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30A2BF39">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2A2B242B">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交易文件的获取</w:t>
      </w:r>
    </w:p>
    <w:p w14:paraId="29EEEC6F">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1ECD1E7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1940A6B7">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交易发起人组织潜在</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现场考察或者召开交易前答疑会的，潜在</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按第二部分</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须知前附表的规定参加现场考察或者交易前答疑会。</w:t>
      </w:r>
    </w:p>
    <w:p w14:paraId="42CA481C">
      <w:pPr>
        <w:pStyle w:val="32"/>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6EAB2E91">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本项目不需缴纳交易保证金。</w:t>
      </w:r>
    </w:p>
    <w:p w14:paraId="7D4D442F">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0D3D6310">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w:t>
      </w:r>
      <w:r>
        <w:rPr>
          <w:rFonts w:hint="eastAsia" w:ascii="仿宋" w:hAnsi="仿宋" w:eastAsia="仿宋" w:cs="仿宋"/>
          <w:color w:val="auto"/>
          <w:sz w:val="24"/>
          <w:lang w:eastAsia="zh-CN"/>
        </w:rPr>
        <w:t>投标人</w:t>
      </w:r>
      <w:r>
        <w:rPr>
          <w:rFonts w:hint="eastAsia" w:ascii="仿宋" w:hAnsi="仿宋" w:eastAsia="仿宋" w:cs="仿宋"/>
          <w:color w:val="auto"/>
          <w:sz w:val="24"/>
        </w:rPr>
        <w:t>与采购有关的来往通知、函件和文件均应使用中文。</w:t>
      </w:r>
    </w:p>
    <w:p w14:paraId="15499122">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05C404E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5B103EE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0ADC2D81">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10.1.2本项目的特定资格要求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p>
    <w:p w14:paraId="45511EEE">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0</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657A364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10.2.1交易函；</w:t>
      </w:r>
      <w:r>
        <w:rPr>
          <w:rFonts w:hint="eastAsia" w:ascii="仿宋" w:hAnsi="仿宋" w:eastAsia="仿宋" w:cs="仿宋"/>
          <w:color w:val="auto"/>
          <w:sz w:val="24"/>
          <w:lang w:val="zh-CN"/>
        </w:rPr>
        <w:t xml:space="preserve"> </w:t>
      </w:r>
    </w:p>
    <w:p w14:paraId="111C660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41643D6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3BD9F44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10.2.4评标标准相应的商务技术资料；</w:t>
      </w:r>
    </w:p>
    <w:p w14:paraId="5B34E50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10.2.5响应标的清单；</w:t>
      </w:r>
    </w:p>
    <w:p w14:paraId="3B61C27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10.2.6商务技术偏离表；</w:t>
      </w:r>
    </w:p>
    <w:p w14:paraId="21D3589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10.2.7</w:t>
      </w:r>
      <w:r>
        <w:rPr>
          <w:rFonts w:hint="eastAsia" w:ascii="仿宋" w:hAnsi="仿宋" w:eastAsia="仿宋" w:cs="仿宋"/>
          <w:color w:val="auto"/>
          <w:sz w:val="24"/>
          <w:lang w:val="zh-CN"/>
        </w:rPr>
        <w:t>采购投标人廉洁自律承诺书；</w:t>
      </w:r>
    </w:p>
    <w:p w14:paraId="298EDBE4">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0</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5C1EAD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0FF23361">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响应文件含有交易发起人不能接受的附加条件的，交易无效；</w:t>
      </w:r>
    </w:p>
    <w:p w14:paraId="24D6F7C4">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lang w:eastAsia="zh-CN"/>
        </w:rPr>
        <w:t>投标人</w:t>
      </w:r>
      <w:r>
        <w:rPr>
          <w:rFonts w:hint="eastAsia" w:ascii="仿宋" w:hAnsi="仿宋" w:eastAsia="仿宋" w:cs="仿宋"/>
          <w:b/>
          <w:color w:val="auto"/>
          <w:sz w:val="24"/>
        </w:rPr>
        <w:t>提供虚假材料投标的，交易无效。</w:t>
      </w:r>
    </w:p>
    <w:p w14:paraId="05847D3D">
      <w:pPr>
        <w:pStyle w:val="221"/>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响应文件的编制</w:t>
      </w:r>
    </w:p>
    <w:p w14:paraId="0532B7BD">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投标人在编制响应文件时请按照交易文件第六部分规定的格式进行，混乱的编排导致响应文件被误读或评标委员会查找不到有效文件是投标人的风险。</w:t>
      </w:r>
    </w:p>
    <w:p w14:paraId="20DC0844">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66B403CA">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67B6D3AF">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479F32FB">
      <w:pPr>
        <w:pStyle w:val="221"/>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w:t>
      </w:r>
      <w:r>
        <w:rPr>
          <w:rFonts w:hint="eastAsia" w:ascii="仿宋" w:hAnsi="仿宋" w:eastAsia="仿宋" w:cs="仿宋"/>
          <w:b/>
          <w:color w:val="auto"/>
          <w:lang w:eastAsia="zh-CN"/>
        </w:rPr>
        <w:t>投标人</w:t>
      </w:r>
      <w:r>
        <w:rPr>
          <w:rFonts w:hint="eastAsia" w:ascii="仿宋" w:hAnsi="仿宋" w:eastAsia="仿宋" w:cs="仿宋"/>
          <w:b/>
          <w:color w:val="auto"/>
        </w:rPr>
        <w:t>的响应文件未按照交易文件要求签署、盖章的，其交易无效</w:t>
      </w:r>
      <w:r>
        <w:rPr>
          <w:rFonts w:hint="eastAsia" w:ascii="仿宋" w:hAnsi="仿宋" w:eastAsia="仿宋" w:cs="仿宋"/>
          <w:color w:val="auto"/>
          <w:szCs w:val="24"/>
        </w:rPr>
        <w:t>。</w:t>
      </w:r>
    </w:p>
    <w:p w14:paraId="7D4252AF">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w:t>
      </w:r>
      <w:r>
        <w:rPr>
          <w:rFonts w:hint="eastAsia" w:ascii="仿宋" w:hAnsi="仿宋" w:eastAsia="仿宋" w:cs="仿宋"/>
          <w:color w:val="auto"/>
          <w:lang w:eastAsia="zh-CN"/>
        </w:rPr>
        <w:t>投标人</w:t>
      </w:r>
      <w:r>
        <w:rPr>
          <w:rFonts w:hint="eastAsia" w:ascii="仿宋" w:hAnsi="仿宋" w:eastAsia="仿宋" w:cs="仿宋"/>
          <w:color w:val="auto"/>
        </w:rPr>
        <w:t>应当在投标截止时间前完成在“政府采购云平台”的身份认证，确保在电子投标过程中能够对相关数据电文进行加密和使用电子签名。</w:t>
      </w:r>
    </w:p>
    <w:p w14:paraId="03EAB1CD">
      <w:pPr>
        <w:pStyle w:val="221"/>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54ECD696">
      <w:pPr>
        <w:pStyle w:val="22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41BA8FB1">
      <w:pPr>
        <w:pStyle w:val="221"/>
        <w:ind w:firstLine="480"/>
        <w:rPr>
          <w:rFonts w:hint="eastAsia" w:ascii="仿宋" w:hAnsi="仿宋" w:eastAsia="仿宋" w:cs="仿宋"/>
          <w:color w:val="auto"/>
          <w:szCs w:val="24"/>
        </w:rPr>
      </w:pPr>
      <w:r>
        <w:rPr>
          <w:rFonts w:hint="eastAsia" w:ascii="仿宋" w:hAnsi="仿宋" w:eastAsia="仿宋" w:cs="仿宋"/>
          <w:color w:val="auto"/>
          <w:szCs w:val="24"/>
        </w:rPr>
        <w:t>13.1</w:t>
      </w:r>
      <w:r>
        <w:rPr>
          <w:rFonts w:hint="eastAsia" w:ascii="仿宋" w:hAnsi="仿宋" w:eastAsia="仿宋" w:cs="仿宋"/>
          <w:color w:val="auto"/>
          <w:szCs w:val="24"/>
          <w:lang w:eastAsia="zh-CN"/>
        </w:rPr>
        <w:t>投标人</w:t>
      </w:r>
      <w:r>
        <w:rPr>
          <w:rFonts w:hint="eastAsia" w:ascii="仿宋" w:hAnsi="仿宋" w:eastAsia="仿宋" w:cs="仿宋"/>
          <w:color w:val="auto"/>
          <w:szCs w:val="24"/>
        </w:rPr>
        <w:t>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CF94818">
      <w:pPr>
        <w:pStyle w:val="221"/>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w:t>
      </w:r>
      <w:r>
        <w:rPr>
          <w:rFonts w:hint="eastAsia" w:ascii="仿宋" w:hAnsi="仿宋" w:eastAsia="仿宋" w:cs="仿宋"/>
          <w:color w:val="auto"/>
          <w:szCs w:val="24"/>
          <w:lang w:eastAsia="zh-CN"/>
        </w:rPr>
        <w:t>投标人</w:t>
      </w:r>
      <w:r>
        <w:rPr>
          <w:rFonts w:hint="eastAsia" w:ascii="仿宋" w:hAnsi="仿宋" w:eastAsia="仿宋" w:cs="仿宋"/>
          <w:color w:val="auto"/>
          <w:szCs w:val="24"/>
        </w:rPr>
        <w:t>发出确认回执通知。在投标截止时间前，除</w:t>
      </w:r>
      <w:r>
        <w:rPr>
          <w:rFonts w:hint="eastAsia" w:ascii="仿宋" w:hAnsi="仿宋" w:eastAsia="仿宋" w:cs="仿宋"/>
          <w:color w:val="auto"/>
          <w:szCs w:val="24"/>
          <w:lang w:eastAsia="zh-CN"/>
        </w:rPr>
        <w:t>投标人</w:t>
      </w:r>
      <w:r>
        <w:rPr>
          <w:rFonts w:hint="eastAsia" w:ascii="仿宋" w:hAnsi="仿宋" w:eastAsia="仿宋" w:cs="仿宋"/>
          <w:color w:val="auto"/>
          <w:szCs w:val="24"/>
        </w:rPr>
        <w:t>补充、修改或者撤回响应文件外，任何单位和个人不得解密或提取响应文件。</w:t>
      </w:r>
    </w:p>
    <w:p w14:paraId="4EE53511">
      <w:pPr>
        <w:pStyle w:val="221"/>
        <w:spacing w:before="0"/>
        <w:ind w:firstLine="480"/>
        <w:rPr>
          <w:rFonts w:hint="eastAsia" w:ascii="仿宋" w:hAnsi="仿宋" w:eastAsia="仿宋" w:cs="仿宋"/>
          <w:color w:val="auto"/>
          <w:szCs w:val="24"/>
        </w:rPr>
      </w:pPr>
      <w:r>
        <w:rPr>
          <w:rFonts w:hint="eastAsia" w:ascii="仿宋" w:hAnsi="仿宋" w:eastAsia="仿宋" w:cs="仿宋"/>
          <w:color w:val="auto"/>
          <w:szCs w:val="24"/>
        </w:rPr>
        <w:t>13.3交易发起人、采购机构可以视情况延长响应文件提交的截止时间。在上述情况下，采购机构与</w:t>
      </w:r>
      <w:r>
        <w:rPr>
          <w:rFonts w:hint="eastAsia" w:ascii="仿宋" w:hAnsi="仿宋" w:eastAsia="仿宋" w:cs="仿宋"/>
          <w:color w:val="auto"/>
          <w:szCs w:val="24"/>
          <w:lang w:eastAsia="zh-CN"/>
        </w:rPr>
        <w:t>投标人</w:t>
      </w:r>
      <w:r>
        <w:rPr>
          <w:rFonts w:hint="eastAsia" w:ascii="仿宋" w:hAnsi="仿宋" w:eastAsia="仿宋" w:cs="仿宋"/>
          <w:color w:val="auto"/>
          <w:szCs w:val="24"/>
        </w:rPr>
        <w:t>以前在投标截止期方面的全部权利、责任和义务，将适用于延长至新的投标截止期。</w:t>
      </w:r>
    </w:p>
    <w:p w14:paraId="0D1D3059">
      <w:pPr>
        <w:pStyle w:val="32"/>
        <w:numPr>
          <w:ilvl w:val="0"/>
          <w:numId w:val="9"/>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备份响应文件</w:t>
      </w:r>
    </w:p>
    <w:p w14:paraId="4F9C8837">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45BB6776">
      <w:pPr>
        <w:pStyle w:val="22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39DB1EFC">
      <w:pPr>
        <w:pStyle w:val="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6A987771">
      <w:pPr>
        <w:pStyle w:val="22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16.交易有效期</w:t>
      </w:r>
    </w:p>
    <w:p w14:paraId="205E97A5">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16.1交易有效期为从提交响应文件的截止之日起90天。▲</w:t>
      </w:r>
      <w:r>
        <w:rPr>
          <w:rFonts w:hint="eastAsia" w:ascii="仿宋" w:hAnsi="仿宋" w:eastAsia="仿宋" w:cs="仿宋"/>
          <w:b/>
          <w:color w:val="auto"/>
          <w:sz w:val="24"/>
          <w:szCs w:val="20"/>
          <w:lang w:eastAsia="zh-CN"/>
        </w:rPr>
        <w:t>投标人</w:t>
      </w:r>
      <w:r>
        <w:rPr>
          <w:rFonts w:hint="eastAsia" w:ascii="仿宋" w:hAnsi="仿宋" w:eastAsia="仿宋" w:cs="仿宋"/>
          <w:b/>
          <w:color w:val="auto"/>
          <w:sz w:val="24"/>
          <w:szCs w:val="20"/>
        </w:rPr>
        <w:t>的响应文件中承</w:t>
      </w:r>
      <w:r>
        <w:rPr>
          <w:rFonts w:hint="eastAsia" w:ascii="仿宋" w:hAnsi="仿宋" w:eastAsia="仿宋" w:cs="仿宋"/>
          <w:b/>
          <w:color w:val="auto"/>
          <w:sz w:val="24"/>
          <w:szCs w:val="21"/>
        </w:rPr>
        <w:t>诺的交易有效期少于交易文件中载明的交易有效期的，交易无效。</w:t>
      </w:r>
    </w:p>
    <w:p w14:paraId="2CFCAF4B">
      <w:pPr>
        <w:pStyle w:val="221"/>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16.2响应文件合格投递后，自投标截止日期起，在交易有效期内有效。</w:t>
      </w:r>
    </w:p>
    <w:p w14:paraId="24CB4CD5">
      <w:pPr>
        <w:pStyle w:val="221"/>
        <w:spacing w:before="0"/>
        <w:ind w:firstLine="480"/>
        <w:rPr>
          <w:rFonts w:hint="eastAsia" w:ascii="仿宋" w:hAnsi="仿宋" w:eastAsia="仿宋" w:cs="仿宋"/>
          <w:color w:val="auto"/>
        </w:rPr>
      </w:pPr>
      <w:r>
        <w:rPr>
          <w:rFonts w:hint="eastAsia" w:ascii="仿宋" w:hAnsi="仿宋" w:eastAsia="仿宋" w:cs="仿宋"/>
          <w:color w:val="auto"/>
        </w:rPr>
        <w:t>16.3在原定交易有效期满之前，如果出现特殊情况，采购机构可以以书面形式通知</w:t>
      </w:r>
      <w:r>
        <w:rPr>
          <w:rFonts w:hint="eastAsia" w:ascii="仿宋" w:hAnsi="仿宋" w:eastAsia="仿宋" w:cs="仿宋"/>
          <w:color w:val="auto"/>
          <w:lang w:eastAsia="zh-CN"/>
        </w:rPr>
        <w:t>投标人</w:t>
      </w:r>
      <w:r>
        <w:rPr>
          <w:rFonts w:hint="eastAsia" w:ascii="仿宋" w:hAnsi="仿宋" w:eastAsia="仿宋" w:cs="仿宋"/>
          <w:color w:val="auto"/>
        </w:rPr>
        <w:t>延长交易有效期。</w:t>
      </w:r>
      <w:r>
        <w:rPr>
          <w:rFonts w:hint="eastAsia" w:ascii="仿宋" w:hAnsi="仿宋" w:eastAsia="仿宋" w:cs="仿宋"/>
          <w:color w:val="auto"/>
          <w:lang w:eastAsia="zh-CN"/>
        </w:rPr>
        <w:t>投标人</w:t>
      </w:r>
      <w:r>
        <w:rPr>
          <w:rFonts w:hint="eastAsia" w:ascii="仿宋" w:hAnsi="仿宋" w:eastAsia="仿宋" w:cs="仿宋"/>
          <w:color w:val="auto"/>
        </w:rPr>
        <w:t>同意延长的，不得要求或被允许修改其响应文件，</w:t>
      </w:r>
      <w:r>
        <w:rPr>
          <w:rFonts w:hint="eastAsia" w:ascii="仿宋" w:hAnsi="仿宋" w:eastAsia="仿宋" w:cs="仿宋"/>
          <w:color w:val="auto"/>
          <w:lang w:eastAsia="zh-CN"/>
        </w:rPr>
        <w:t>投标人</w:t>
      </w:r>
      <w:r>
        <w:rPr>
          <w:rFonts w:hint="eastAsia" w:ascii="仿宋" w:hAnsi="仿宋" w:eastAsia="仿宋" w:cs="仿宋"/>
          <w:color w:val="auto"/>
        </w:rPr>
        <w:t>拒绝延长的，其交易无效。</w:t>
      </w:r>
    </w:p>
    <w:p w14:paraId="5DA2431B">
      <w:pPr>
        <w:pStyle w:val="221"/>
        <w:spacing w:before="0"/>
        <w:ind w:firstLine="643"/>
        <w:rPr>
          <w:rFonts w:hint="eastAsia" w:ascii="仿宋" w:hAnsi="仿宋" w:eastAsia="仿宋" w:cs="仿宋"/>
          <w:b/>
          <w:color w:val="auto"/>
          <w:sz w:val="32"/>
        </w:rPr>
      </w:pPr>
    </w:p>
    <w:p w14:paraId="37971968">
      <w:pPr>
        <w:pStyle w:val="221"/>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196F7D9B">
      <w:pPr>
        <w:pStyle w:val="500"/>
        <w:spacing w:before="0" w:line="360" w:lineRule="auto"/>
        <w:ind w:left="0" w:firstLine="241" w:firstLineChars="100"/>
        <w:contextualSpacing/>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17.交易 </w:t>
      </w:r>
    </w:p>
    <w:p w14:paraId="53BEE218">
      <w:pPr>
        <w:pStyle w:val="50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17.1采购机构按照交易文件规定的时间通过电子交易平台组织交易，所有</w:t>
      </w:r>
      <w:r>
        <w:rPr>
          <w:rFonts w:hint="eastAsia" w:ascii="仿宋" w:hAnsi="仿宋" w:eastAsia="仿宋" w:cs="仿宋"/>
          <w:color w:val="auto"/>
          <w:sz w:val="24"/>
          <w:lang w:eastAsia="zh-CN"/>
        </w:rPr>
        <w:t>投标人</w:t>
      </w:r>
      <w:r>
        <w:rPr>
          <w:rFonts w:hint="eastAsia" w:ascii="仿宋" w:hAnsi="仿宋" w:eastAsia="仿宋" w:cs="仿宋"/>
          <w:color w:val="auto"/>
          <w:sz w:val="24"/>
        </w:rPr>
        <w:t>均应当准时在线参加。</w:t>
      </w:r>
      <w:r>
        <w:rPr>
          <w:rFonts w:hint="eastAsia" w:ascii="仿宋" w:hAnsi="仿宋" w:eastAsia="仿宋" w:cs="仿宋"/>
          <w:color w:val="auto"/>
          <w:sz w:val="24"/>
          <w:lang w:eastAsia="zh-CN"/>
        </w:rPr>
        <w:t>投标人</w:t>
      </w:r>
      <w:r>
        <w:rPr>
          <w:rFonts w:hint="eastAsia" w:ascii="仿宋" w:hAnsi="仿宋" w:eastAsia="仿宋" w:cs="仿宋"/>
          <w:color w:val="auto"/>
          <w:sz w:val="24"/>
        </w:rPr>
        <w:t>不足3家的，不得交易。</w:t>
      </w:r>
    </w:p>
    <w:p w14:paraId="53F3DD5A">
      <w:pPr>
        <w:pStyle w:val="500"/>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17.2交易时，电子交易平台按交易时间自动提取所有响应文件。采购机构依托电子交易平台发起开始解密指令，</w:t>
      </w:r>
      <w:r>
        <w:rPr>
          <w:rFonts w:hint="eastAsia" w:ascii="仿宋" w:hAnsi="仿宋" w:eastAsia="仿宋" w:cs="仿宋"/>
          <w:color w:val="auto"/>
          <w:sz w:val="24"/>
          <w:lang w:eastAsia="zh-CN"/>
        </w:rPr>
        <w:t>投标人</w:t>
      </w:r>
      <w:r>
        <w:rPr>
          <w:rFonts w:hint="eastAsia" w:ascii="仿宋" w:hAnsi="仿宋" w:eastAsia="仿宋" w:cs="仿宋"/>
          <w:color w:val="auto"/>
          <w:sz w:val="24"/>
        </w:rPr>
        <w:t>按照平台提示和交易文件的规定在半小时内完成在线解密。</w:t>
      </w:r>
    </w:p>
    <w:p w14:paraId="2F52F4EE">
      <w:pPr>
        <w:pStyle w:val="500"/>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w:t>
      </w:r>
      <w:r>
        <w:rPr>
          <w:rFonts w:hint="eastAsia" w:ascii="仿宋" w:hAnsi="仿宋" w:eastAsia="仿宋" w:cs="仿宋"/>
          <w:b/>
          <w:color w:val="auto"/>
          <w:sz w:val="24"/>
          <w:lang w:eastAsia="zh-CN"/>
        </w:rPr>
        <w:t>投标人</w:t>
      </w:r>
      <w:r>
        <w:rPr>
          <w:rFonts w:hint="eastAsia" w:ascii="仿宋" w:hAnsi="仿宋" w:eastAsia="仿宋" w:cs="仿宋"/>
          <w:b/>
          <w:color w:val="auto"/>
          <w:sz w:val="24"/>
        </w:rPr>
        <w:t>提供了备份响应文件的，以备份响应文件作为依据，否则视为响应文件撤回。响应文件已按时解密的，备份响应文件自动失效。</w:t>
      </w:r>
    </w:p>
    <w:p w14:paraId="271F543A">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18、资格审查</w:t>
      </w:r>
    </w:p>
    <w:p w14:paraId="6D5AB706">
      <w:pPr>
        <w:pStyle w:val="22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18.1交易后，交易发起人或采购机构将依法对</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的资格进行审查。</w:t>
      </w:r>
    </w:p>
    <w:p w14:paraId="6983FE0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rPr>
        <w:t>交易发起人或采购机构依据法律法规和交易文件的规定，对</w:t>
      </w:r>
      <w:r>
        <w:rPr>
          <w:rFonts w:hint="eastAsia" w:ascii="仿宋" w:hAnsi="仿宋" w:eastAsia="仿宋" w:cs="仿宋"/>
          <w:color w:val="auto"/>
          <w:sz w:val="24"/>
          <w:lang w:eastAsia="zh-CN"/>
        </w:rPr>
        <w:t>投标人</w:t>
      </w:r>
      <w:r>
        <w:rPr>
          <w:rFonts w:hint="eastAsia" w:ascii="仿宋" w:hAnsi="仿宋" w:eastAsia="仿宋" w:cs="仿宋"/>
          <w:color w:val="auto"/>
          <w:sz w:val="24"/>
        </w:rPr>
        <w:t>的基本资格条件、特定资格条件进行审查。</w:t>
      </w:r>
    </w:p>
    <w:p w14:paraId="38E560A2">
      <w:pPr>
        <w:pStyle w:val="221"/>
        <w:spacing w:before="0"/>
        <w:ind w:firstLine="480"/>
        <w:rPr>
          <w:rFonts w:hint="eastAsia" w:ascii="仿宋" w:hAnsi="仿宋" w:eastAsia="仿宋" w:cs="仿宋"/>
          <w:color w:val="auto"/>
        </w:rPr>
      </w:pPr>
      <w:r>
        <w:rPr>
          <w:rFonts w:hint="eastAsia" w:ascii="仿宋" w:hAnsi="仿宋" w:eastAsia="仿宋" w:cs="仿宋"/>
          <w:color w:val="auto"/>
          <w:kern w:val="0"/>
          <w:szCs w:val="24"/>
        </w:rPr>
        <w:t>18.3</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lang w:eastAsia="zh-CN"/>
        </w:rPr>
        <w:t>投标人</w:t>
      </w:r>
      <w:r>
        <w:rPr>
          <w:rFonts w:hint="eastAsia" w:ascii="仿宋" w:hAnsi="仿宋" w:eastAsia="仿宋" w:cs="仿宋"/>
          <w:color w:val="auto"/>
        </w:rPr>
        <w:t>不具备交易文件中规定的资格要求，其交易无效。</w:t>
      </w:r>
    </w:p>
    <w:p w14:paraId="3C2A187A">
      <w:pPr>
        <w:pStyle w:val="221"/>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w:t>
      </w:r>
      <w:r>
        <w:rPr>
          <w:rFonts w:hint="eastAsia" w:ascii="仿宋" w:hAnsi="仿宋" w:eastAsia="仿宋" w:cs="仿宋"/>
          <w:color w:val="auto"/>
          <w:lang w:eastAsia="zh-CN"/>
        </w:rPr>
        <w:t>投标人</w:t>
      </w:r>
      <w:r>
        <w:rPr>
          <w:rFonts w:hint="eastAsia" w:ascii="仿宋" w:hAnsi="仿宋" w:eastAsia="仿宋" w:cs="仿宋"/>
          <w:color w:val="auto"/>
        </w:rPr>
        <w:t>，交易发起人或采购机构告知其未通过的原因。</w:t>
      </w:r>
    </w:p>
    <w:p w14:paraId="7B74F166">
      <w:pPr>
        <w:pStyle w:val="221"/>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w:t>
      </w:r>
      <w:r>
        <w:rPr>
          <w:rFonts w:hint="eastAsia" w:ascii="仿宋" w:hAnsi="仿宋" w:eastAsia="仿宋" w:cs="仿宋"/>
          <w:color w:val="auto"/>
          <w:lang w:eastAsia="zh-CN"/>
        </w:rPr>
        <w:t>投标人</w:t>
      </w:r>
      <w:r>
        <w:rPr>
          <w:rFonts w:hint="eastAsia" w:ascii="仿宋" w:hAnsi="仿宋" w:eastAsia="仿宋" w:cs="仿宋"/>
          <w:color w:val="auto"/>
        </w:rPr>
        <w:t>不足3家的，不再评标。</w:t>
      </w:r>
    </w:p>
    <w:p w14:paraId="029DFEB6">
      <w:pPr>
        <w:pStyle w:val="221"/>
        <w:spacing w:before="0"/>
        <w:ind w:firstLine="0" w:firstLineChars="0"/>
        <w:rPr>
          <w:rFonts w:hint="eastAsia" w:ascii="仿宋" w:hAnsi="仿宋" w:eastAsia="仿宋" w:cs="仿宋"/>
          <w:color w:val="auto"/>
          <w:kern w:val="0"/>
          <w:szCs w:val="24"/>
        </w:rPr>
      </w:pPr>
    </w:p>
    <w:p w14:paraId="68C2DB93">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五、评审</w:t>
      </w:r>
    </w:p>
    <w:p w14:paraId="158BFA93">
      <w:pPr>
        <w:spacing w:line="360" w:lineRule="auto"/>
        <w:rPr>
          <w:rFonts w:hint="eastAsia" w:ascii="仿宋" w:hAnsi="仿宋" w:eastAsia="仿宋" w:cs="仿宋"/>
          <w:b/>
          <w:color w:val="auto"/>
          <w:sz w:val="24"/>
        </w:rPr>
      </w:pPr>
      <w:bookmarkStart w:id="38" w:name="_Toc91899903"/>
      <w:r>
        <w:rPr>
          <w:rFonts w:hint="eastAsia" w:ascii="仿宋" w:hAnsi="仿宋" w:eastAsia="仿宋" w:cs="仿宋"/>
          <w:b/>
          <w:color w:val="auto"/>
          <w:sz w:val="24"/>
        </w:rPr>
        <w:t>19.</w:t>
      </w:r>
      <w:r>
        <w:rPr>
          <w:rFonts w:hint="eastAsia" w:ascii="仿宋" w:hAnsi="仿宋" w:eastAsia="仿宋" w:cs="仿宋"/>
          <w:color w:val="auto"/>
        </w:rPr>
        <w:t xml:space="preserve"> </w:t>
      </w:r>
      <w:r>
        <w:rPr>
          <w:rFonts w:hint="eastAsia" w:ascii="仿宋" w:hAnsi="仿宋" w:eastAsia="仿宋" w:cs="仿宋"/>
          <w:color w:val="auto"/>
          <w:sz w:val="24"/>
        </w:rPr>
        <w:t>评标委员会将根据交易文件和有关规定，履行评标工作职责，并按照评标方法及评分标准，全面衡量各</w:t>
      </w:r>
      <w:r>
        <w:rPr>
          <w:rFonts w:hint="eastAsia" w:ascii="仿宋" w:hAnsi="仿宋" w:eastAsia="仿宋" w:cs="仿宋"/>
          <w:color w:val="auto"/>
          <w:sz w:val="24"/>
          <w:lang w:eastAsia="zh-CN"/>
        </w:rPr>
        <w:t>投标人</w:t>
      </w:r>
      <w:r>
        <w:rPr>
          <w:rFonts w:hint="eastAsia" w:ascii="仿宋" w:hAnsi="仿宋" w:eastAsia="仿宋" w:cs="仿宋"/>
          <w:color w:val="auto"/>
          <w:sz w:val="24"/>
        </w:rPr>
        <w:t>对交易文件的响应情况。对实质上响应交易文件的</w:t>
      </w:r>
      <w:r>
        <w:rPr>
          <w:rFonts w:hint="eastAsia" w:ascii="仿宋" w:hAnsi="仿宋" w:eastAsia="仿宋" w:cs="仿宋"/>
          <w:color w:val="auto"/>
          <w:sz w:val="24"/>
          <w:lang w:eastAsia="zh-CN"/>
        </w:rPr>
        <w:t>投标人</w:t>
      </w:r>
      <w:r>
        <w:rPr>
          <w:rFonts w:hint="eastAsia" w:ascii="仿宋" w:hAnsi="仿宋" w:eastAsia="仿宋" w:cs="仿宋"/>
          <w:color w:val="auto"/>
          <w:sz w:val="24"/>
        </w:rPr>
        <w:t>，按照评审因素的量化指标排出推荐成交的</w:t>
      </w:r>
      <w:r>
        <w:rPr>
          <w:rFonts w:hint="eastAsia" w:ascii="仿宋" w:hAnsi="仿宋" w:eastAsia="仿宋" w:cs="仿宋"/>
          <w:color w:val="auto"/>
          <w:sz w:val="24"/>
          <w:lang w:eastAsia="zh-CN"/>
        </w:rPr>
        <w:t>投标人</w:t>
      </w:r>
      <w:r>
        <w:rPr>
          <w:rFonts w:hint="eastAsia" w:ascii="仿宋" w:hAnsi="仿宋" w:eastAsia="仿宋" w:cs="仿宋"/>
          <w:color w:val="auto"/>
          <w:sz w:val="24"/>
        </w:rPr>
        <w:t>的先后顺序，并按顺序提出授标建议。</w:t>
      </w:r>
      <w:r>
        <w:rPr>
          <w:rFonts w:hint="eastAsia" w:ascii="仿宋" w:hAnsi="仿宋" w:eastAsia="仿宋" w:cs="仿宋"/>
          <w:b/>
          <w:color w:val="auto"/>
          <w:sz w:val="24"/>
        </w:rPr>
        <w:t>详见交易文件第四部分交易办法。</w:t>
      </w:r>
    </w:p>
    <w:p w14:paraId="2BE4F4B3">
      <w:pPr>
        <w:spacing w:line="360" w:lineRule="auto"/>
        <w:rPr>
          <w:rFonts w:hint="eastAsia" w:ascii="仿宋" w:hAnsi="仿宋" w:eastAsia="仿宋" w:cs="仿宋"/>
          <w:b/>
          <w:color w:val="auto"/>
          <w:sz w:val="24"/>
        </w:rPr>
      </w:pPr>
    </w:p>
    <w:p w14:paraId="37C4E02F">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544381AD">
      <w:pPr>
        <w:pStyle w:val="2"/>
        <w:spacing w:line="360" w:lineRule="auto"/>
        <w:ind w:left="479" w:hanging="479" w:hangingChars="199"/>
        <w:rPr>
          <w:rFonts w:hint="eastAsia" w:ascii="仿宋" w:hAnsi="仿宋" w:eastAsia="仿宋" w:cs="仿宋"/>
          <w:b/>
          <w:color w:val="auto"/>
          <w:lang w:eastAsia="zh-CN"/>
        </w:rPr>
      </w:pPr>
      <w:r>
        <w:rPr>
          <w:rFonts w:hint="eastAsia" w:ascii="仿宋" w:hAnsi="仿宋" w:eastAsia="仿宋" w:cs="仿宋"/>
          <w:b/>
          <w:color w:val="auto"/>
        </w:rPr>
        <w:t>20. 确定成交</w:t>
      </w:r>
      <w:r>
        <w:rPr>
          <w:rFonts w:hint="eastAsia" w:ascii="仿宋" w:hAnsi="仿宋" w:eastAsia="仿宋" w:cs="仿宋"/>
          <w:b/>
          <w:color w:val="auto"/>
          <w:lang w:eastAsia="zh-CN"/>
        </w:rPr>
        <w:t>投标人</w:t>
      </w:r>
    </w:p>
    <w:p w14:paraId="7AF7F0F4">
      <w:pPr>
        <w:pStyle w:val="221"/>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交易发起人将自收到评审报告之日起5个工作日内通过电子交易平台在评审报告推荐的成交候选人中按顺序确定成交</w:t>
      </w:r>
      <w:r>
        <w:rPr>
          <w:rFonts w:hint="eastAsia" w:ascii="仿宋" w:hAnsi="仿宋" w:eastAsia="仿宋" w:cs="仿宋"/>
          <w:color w:val="auto"/>
          <w:szCs w:val="24"/>
          <w:lang w:eastAsia="zh-CN"/>
        </w:rPr>
        <w:t>投标人</w:t>
      </w:r>
      <w:r>
        <w:rPr>
          <w:rFonts w:hint="eastAsia" w:ascii="仿宋" w:hAnsi="仿宋" w:eastAsia="仿宋" w:cs="仿宋"/>
          <w:color w:val="auto"/>
          <w:szCs w:val="24"/>
        </w:rPr>
        <w:t>。</w:t>
      </w:r>
    </w:p>
    <w:p w14:paraId="2321AFE8">
      <w:pPr>
        <w:pStyle w:val="221"/>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1EA33F3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21.1自成交人确定之日起2个工作日内，采购机构通过电子交易平台向成交人发出成交通知书，同时编制发布采购结果公告。采购机构也可以以纸质形式进行成交通知。</w:t>
      </w:r>
    </w:p>
    <w:p w14:paraId="7C187CCD">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2880959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2B00CBB8">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739968B8">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22. </w:t>
      </w:r>
      <w:r>
        <w:rPr>
          <w:rFonts w:hint="eastAsia" w:ascii="仿宋" w:hAnsi="仿宋" w:eastAsia="仿宋" w:cs="仿宋"/>
          <w:color w:val="auto"/>
        </w:rPr>
        <w:t>合同主要条款详见第五部分拟签订的合同文本。</w:t>
      </w:r>
    </w:p>
    <w:p w14:paraId="563C1D00">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23. 合同的签订</w:t>
      </w:r>
    </w:p>
    <w:p w14:paraId="354F0AB6">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23.1</w:t>
      </w:r>
      <w:r>
        <w:rPr>
          <w:rFonts w:hint="eastAsia" w:ascii="仿宋" w:hAnsi="仿宋" w:eastAsia="仿宋" w:cs="仿宋"/>
          <w:color w:val="auto"/>
          <w:kern w:val="0"/>
          <w:sz w:val="24"/>
        </w:rPr>
        <w:t xml:space="preserve"> 交易发起人与成交人应当通过电子交易平台在成交通知书发出之日起三十日内，按照交易文件确定的事项签订采购合同，并在合同签订之日起2个工作日内依法发布合同公告。</w:t>
      </w:r>
    </w:p>
    <w:p w14:paraId="32F1FCD8">
      <w:pPr>
        <w:pStyle w:val="221"/>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3</w:t>
      </w:r>
      <w:r>
        <w:rPr>
          <w:rFonts w:hint="eastAsia" w:ascii="仿宋" w:hAnsi="仿宋" w:eastAsia="仿宋" w:cs="仿宋"/>
          <w:color w:val="auto"/>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37FE96E6">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23.3如签订合同并生效后，</w:t>
      </w:r>
      <w:r>
        <w:rPr>
          <w:rFonts w:hint="eastAsia" w:ascii="仿宋" w:hAnsi="仿宋" w:eastAsia="仿宋" w:cs="仿宋"/>
          <w:color w:val="auto"/>
          <w:lang w:eastAsia="zh-CN"/>
        </w:rPr>
        <w:t>投标人</w:t>
      </w:r>
      <w:r>
        <w:rPr>
          <w:rFonts w:hint="eastAsia" w:ascii="仿宋" w:hAnsi="仿宋" w:eastAsia="仿宋" w:cs="仿宋"/>
          <w:color w:val="auto"/>
        </w:rPr>
        <w:t>无故拒绝或延期，除按照合同条款处理外，列入不良行为记录一次，并给予通报。</w:t>
      </w:r>
    </w:p>
    <w:p w14:paraId="4BFB2773">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23.4成交</w:t>
      </w:r>
      <w:r>
        <w:rPr>
          <w:rFonts w:hint="eastAsia" w:ascii="仿宋" w:hAnsi="仿宋" w:eastAsia="仿宋" w:cs="仿宋"/>
          <w:color w:val="auto"/>
          <w:lang w:eastAsia="zh-CN"/>
        </w:rPr>
        <w:t>投标人</w:t>
      </w:r>
      <w:r>
        <w:rPr>
          <w:rFonts w:hint="eastAsia" w:ascii="仿宋" w:hAnsi="仿宋" w:eastAsia="仿宋" w:cs="仿宋"/>
          <w:color w:val="auto"/>
        </w:rPr>
        <w:t>拒绝与交易发起人签订合同的，交易发起人可以按照评审报告推荐的成交或者成交候选人名单排序，确定下一候选人为成交</w:t>
      </w:r>
      <w:r>
        <w:rPr>
          <w:rFonts w:hint="eastAsia" w:ascii="仿宋" w:hAnsi="仿宋" w:eastAsia="仿宋" w:cs="仿宋"/>
          <w:color w:val="auto"/>
          <w:lang w:eastAsia="zh-CN"/>
        </w:rPr>
        <w:t>投标人</w:t>
      </w:r>
      <w:r>
        <w:rPr>
          <w:rFonts w:hint="eastAsia" w:ascii="仿宋" w:hAnsi="仿宋" w:eastAsia="仿宋" w:cs="仿宋"/>
          <w:color w:val="auto"/>
        </w:rPr>
        <w:t>，也可以重新开展采购活动。</w:t>
      </w:r>
    </w:p>
    <w:p w14:paraId="703970DB">
      <w:pPr>
        <w:pStyle w:val="221"/>
        <w:snapToGrid w:val="0"/>
        <w:spacing w:before="0" w:after="120"/>
        <w:ind w:firstLine="480"/>
        <w:rPr>
          <w:rFonts w:hint="eastAsia" w:ascii="仿宋" w:hAnsi="仿宋" w:eastAsia="仿宋" w:cs="仿宋"/>
          <w:color w:val="auto"/>
        </w:rPr>
      </w:pPr>
      <w:r>
        <w:rPr>
          <w:rFonts w:hint="eastAsia" w:ascii="仿宋" w:hAnsi="仿宋" w:eastAsia="仿宋" w:cs="仿宋"/>
          <w:color w:val="auto"/>
        </w:rPr>
        <w:t>23.5采购合同由交易发起人与成交</w:t>
      </w:r>
      <w:r>
        <w:rPr>
          <w:rFonts w:hint="eastAsia" w:ascii="仿宋" w:hAnsi="仿宋" w:eastAsia="仿宋" w:cs="仿宋"/>
          <w:color w:val="auto"/>
          <w:lang w:eastAsia="zh-CN"/>
        </w:rPr>
        <w:t>投标人</w:t>
      </w:r>
      <w:r>
        <w:rPr>
          <w:rFonts w:hint="eastAsia" w:ascii="仿宋" w:hAnsi="仿宋" w:eastAsia="仿宋" w:cs="仿宋"/>
          <w:color w:val="auto"/>
        </w:rPr>
        <w:t>根据交易文件、响应文件等内容通过政府采购电子交易平台在线签订，自动备案。</w:t>
      </w:r>
    </w:p>
    <w:p w14:paraId="752222EC">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24.履约保证金</w:t>
      </w:r>
    </w:p>
    <w:p w14:paraId="06ED27BC">
      <w:pPr>
        <w:tabs>
          <w:tab w:val="left" w:pos="0"/>
        </w:tabs>
        <w:spacing w:line="360" w:lineRule="auto"/>
        <w:ind w:firstLine="482"/>
        <w:rPr>
          <w:rFonts w:hint="eastAsia" w:ascii="仿宋" w:hAnsi="仿宋" w:eastAsia="仿宋" w:cs="仿宋"/>
          <w:b/>
          <w:color w:val="auto"/>
          <w:sz w:val="32"/>
        </w:rPr>
      </w:pPr>
      <w:r>
        <w:rPr>
          <w:rFonts w:hint="eastAsia" w:ascii="仿宋" w:hAnsi="仿宋" w:eastAsia="仿宋" w:cs="仿宋"/>
          <w:color w:val="auto"/>
          <w:kern w:val="0"/>
          <w:sz w:val="24"/>
        </w:rPr>
        <w:t>拟签订的合同文本要求成交</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提交履约保证金的，</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应当以支票、汇票、本票或者金融机构、担保机构出具的保函等非现金形式提交</w:t>
      </w:r>
      <w:r>
        <w:rPr>
          <w:rFonts w:hint="eastAsia" w:ascii="仿宋" w:hAnsi="仿宋" w:eastAsia="仿宋" w:cs="仿宋"/>
          <w:color w:val="auto"/>
          <w:sz w:val="24"/>
        </w:rPr>
        <w:t>。履约保证金的数额不得超过采购合同金额的2%。鼓励和支持</w:t>
      </w:r>
      <w:r>
        <w:rPr>
          <w:rFonts w:hint="eastAsia" w:ascii="仿宋" w:hAnsi="仿宋" w:eastAsia="仿宋" w:cs="仿宋"/>
          <w:color w:val="auto"/>
          <w:sz w:val="24"/>
          <w:lang w:eastAsia="zh-CN"/>
        </w:rPr>
        <w:t>投标人</w:t>
      </w:r>
      <w:r>
        <w:rPr>
          <w:rFonts w:hint="eastAsia" w:ascii="仿宋" w:hAnsi="仿宋" w:eastAsia="仿宋" w:cs="仿宋"/>
          <w:color w:val="auto"/>
          <w:sz w:val="24"/>
        </w:rPr>
        <w:t>以银行、保险公司出具的保函形式提供履约保证金。</w:t>
      </w:r>
    </w:p>
    <w:p w14:paraId="6DBAE4FB">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613075C9">
      <w:pPr>
        <w:pStyle w:val="221"/>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color w:val="auto"/>
          <w:szCs w:val="24"/>
        </w:rPr>
        <w:t>5.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37D00CFF">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25.1电子交易平台发生故障而无法登录访问的； </w:t>
      </w:r>
    </w:p>
    <w:p w14:paraId="7025CD58">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25.2电子交易平台应用或数据库出现错误，不能进行正常操作的；</w:t>
      </w:r>
    </w:p>
    <w:p w14:paraId="18D66470">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25.3电子交易平台发现严重安全漏洞，有潜在泄密危险的；</w:t>
      </w:r>
    </w:p>
    <w:p w14:paraId="188FC7B8">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25.4病毒发作导致不能进行正常操作的； </w:t>
      </w:r>
    </w:p>
    <w:p w14:paraId="0F6FEF3E">
      <w:pPr>
        <w:pStyle w:val="221"/>
        <w:snapToGrid w:val="0"/>
        <w:spacing w:before="0"/>
        <w:ind w:firstLine="480"/>
        <w:rPr>
          <w:rFonts w:hint="eastAsia" w:ascii="仿宋" w:hAnsi="仿宋" w:eastAsia="仿宋" w:cs="仿宋"/>
          <w:color w:val="auto"/>
        </w:rPr>
      </w:pPr>
      <w:r>
        <w:rPr>
          <w:rFonts w:hint="eastAsia" w:ascii="仿宋" w:hAnsi="仿宋" w:eastAsia="仿宋" w:cs="仿宋"/>
          <w:color w:val="auto"/>
        </w:rPr>
        <w:t>25.5其他无法保证电子交易的公平、公正和安全的情况。</w:t>
      </w:r>
    </w:p>
    <w:p w14:paraId="75AF8062">
      <w:pPr>
        <w:pStyle w:val="221"/>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3451ED13">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446E5107">
      <w:pPr>
        <w:pStyle w:val="2"/>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27.验收</w:t>
      </w:r>
    </w:p>
    <w:p w14:paraId="1DB7C7E2">
      <w:pPr>
        <w:tabs>
          <w:tab w:val="left" w:pos="0"/>
        </w:tabs>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27.1交易发起人应当组织对</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应在货物到货并将实施安装前，申请进行初验收。</w:t>
      </w:r>
    </w:p>
    <w:p w14:paraId="2ADB1306">
      <w:pPr>
        <w:tabs>
          <w:tab w:val="left" w:pos="0"/>
        </w:tabs>
        <w:spacing w:line="360" w:lineRule="auto"/>
        <w:ind w:firstLine="480"/>
        <w:rPr>
          <w:rFonts w:hint="eastAsia" w:ascii="仿宋" w:hAnsi="仿宋" w:eastAsia="仿宋" w:cs="仿宋"/>
          <w:b/>
          <w:color w:val="auto"/>
          <w:sz w:val="32"/>
          <w:szCs w:val="20"/>
        </w:rPr>
      </w:pPr>
      <w:r>
        <w:rPr>
          <w:rFonts w:hint="eastAsia" w:ascii="仿宋" w:hAnsi="仿宋" w:eastAsia="仿宋" w:cs="仿宋"/>
          <w:color w:val="auto"/>
          <w:kern w:val="0"/>
          <w:sz w:val="24"/>
        </w:rPr>
        <w:t>27.2交易发起人组织对</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履约的验收。除27.1情形外，大型或者复杂的政府采购项目，应当邀请国家认可的质量检测机构参加验收工作。验收方成员应当在验收书上签字，并承担相应的法律责任。如果发现与合同中要求不符，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须承担由此发生的一切损失和费用，并接受相应的处理。</w:t>
      </w:r>
      <w:bookmarkEnd w:id="38"/>
    </w:p>
    <w:bookmarkEnd w:id="36"/>
    <w:bookmarkEnd w:id="37"/>
    <w:p w14:paraId="2542A2D9">
      <w:pPr>
        <w:pStyle w:val="4"/>
        <w:jc w:val="both"/>
        <w:rPr>
          <w:rFonts w:hint="eastAsia" w:ascii="仿宋" w:hAnsi="仿宋" w:eastAsia="仿宋" w:cs="仿宋"/>
          <w:color w:val="auto"/>
        </w:rPr>
      </w:pPr>
      <w:bookmarkStart w:id="39" w:name="第四部分"/>
    </w:p>
    <w:p w14:paraId="7AF15B6A">
      <w:pPr>
        <w:pStyle w:val="4"/>
        <w:rPr>
          <w:rFonts w:hint="eastAsia" w:ascii="仿宋" w:hAnsi="仿宋" w:eastAsia="仿宋" w:cs="仿宋"/>
          <w:color w:val="auto"/>
        </w:rPr>
      </w:pPr>
    </w:p>
    <w:p w14:paraId="7EBF9A21">
      <w:pPr>
        <w:pStyle w:val="4"/>
        <w:rPr>
          <w:rFonts w:hint="eastAsia" w:ascii="仿宋" w:hAnsi="仿宋" w:eastAsia="仿宋" w:cs="仿宋"/>
          <w:color w:val="auto"/>
        </w:rPr>
      </w:pPr>
    </w:p>
    <w:p w14:paraId="25EC2812">
      <w:pPr>
        <w:pStyle w:val="3"/>
        <w:ind w:left="0" w:leftChars="0" w:firstLine="0" w:firstLineChars="0"/>
        <w:rPr>
          <w:rFonts w:hint="eastAsia" w:ascii="仿宋" w:hAnsi="仿宋" w:eastAsia="仿宋" w:cs="仿宋"/>
          <w:color w:val="auto"/>
        </w:rPr>
      </w:pPr>
    </w:p>
    <w:p w14:paraId="58E67EA6">
      <w:pPr>
        <w:pStyle w:val="4"/>
        <w:rPr>
          <w:rFonts w:hint="eastAsia" w:ascii="仿宋" w:hAnsi="仿宋" w:eastAsia="仿宋" w:cs="仿宋"/>
          <w:color w:val="auto"/>
        </w:rPr>
      </w:pPr>
    </w:p>
    <w:p w14:paraId="7D2F147F">
      <w:pPr>
        <w:pStyle w:val="4"/>
        <w:rPr>
          <w:rFonts w:hint="eastAsia" w:ascii="仿宋" w:hAnsi="仿宋" w:eastAsia="仿宋" w:cs="仿宋"/>
          <w:color w:val="auto"/>
        </w:rPr>
      </w:pPr>
      <w:r>
        <w:rPr>
          <w:rFonts w:hint="eastAsia" w:ascii="仿宋" w:hAnsi="仿宋" w:eastAsia="仿宋" w:cs="仿宋"/>
          <w:color w:val="auto"/>
        </w:rPr>
        <w:t>第三部分   交易需求</w:t>
      </w:r>
    </w:p>
    <w:p w14:paraId="5DD4C90B">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一、概述</w:t>
      </w:r>
    </w:p>
    <w:p w14:paraId="3716A51B">
      <w:pPr>
        <w:spacing w:line="360" w:lineRule="auto"/>
        <w:ind w:firstLine="480" w:firstLineChars="200"/>
        <w:outlineLvl w:val="9"/>
        <w:rPr>
          <w:rFonts w:hint="eastAsia"/>
          <w:color w:val="auto"/>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val="en-US" w:eastAsia="zh-CN"/>
        </w:rPr>
        <w:t>杭州市萧山区第一人民医院高压氧舱维护服务</w:t>
      </w:r>
      <w:r>
        <w:rPr>
          <w:rFonts w:hint="eastAsia" w:ascii="仿宋" w:hAnsi="仿宋" w:eastAsia="仿宋" w:cs="仿宋"/>
          <w:color w:val="auto"/>
          <w:sz w:val="24"/>
          <w:highlight w:val="none"/>
        </w:rPr>
        <w:t>,具体包括对高压氧舱</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年维护等工作。</w:t>
      </w:r>
    </w:p>
    <w:p w14:paraId="4241A6A8">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2E5C42E7">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2.1投标人认为需踏勘现场的，自行勘查、评估，费用自理。</w:t>
      </w:r>
    </w:p>
    <w:p w14:paraId="55C48CD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2.2本项目服务期限：自合同签订之日起至完成高压氧舱大修并正常运行后二年的维护保养。</w:t>
      </w:r>
    </w:p>
    <w:p w14:paraId="17EB69D4">
      <w:pPr>
        <w:spacing w:line="360" w:lineRule="auto"/>
        <w:ind w:firstLine="482" w:firstLineChars="200"/>
        <w:outlineLvl w:val="1"/>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维保要求</w:t>
      </w:r>
    </w:p>
    <w:p w14:paraId="784FE34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1.维保清单中的所有的硬件设备全保，如需更换配件，要求免费更换配件，且必须保证质量，不能影响采购人的正常工作，保障采购人使用。</w:t>
      </w:r>
    </w:p>
    <w:p w14:paraId="7F4E54E4">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2.维保清单中的设备出现故障时，要求中标人进行7X24小时紧急技术支持，12小时到现场，24小时故障排除；如需更换配件，要求72小时内更换配件。</w:t>
      </w:r>
    </w:p>
    <w:p w14:paraId="6CF3AC0F">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3.要求中标人每一季度要对维保清单中的设备进行巡检，每一季度要对维保进行深度分析，并形成书面巡检报告和分析报告。</w:t>
      </w:r>
    </w:p>
    <w:p w14:paraId="42B7B84E">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4.配合业务系统，对设备进行维护。</w:t>
      </w:r>
    </w:p>
    <w:p w14:paraId="3A3929C7">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5.承诺保持服务人员的稳定性，需调整人员时，须事先征求采购人的同意，经同意后方可调整，更换人员的素质不低于原有人员的素质。</w:t>
      </w:r>
    </w:p>
    <w:p w14:paraId="4767E01D">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6.服务人员应严格遵守采购人规章制度和保密制度，并与采购人签订保密协议。</w:t>
      </w:r>
    </w:p>
    <w:p w14:paraId="0C054FAA">
      <w:pPr>
        <w:spacing w:line="360" w:lineRule="auto"/>
        <w:ind w:firstLine="480" w:firstLineChars="200"/>
        <w:outlineLvl w:val="9"/>
        <w:rPr>
          <w:rFonts w:hint="eastAsia"/>
          <w:color w:val="auto"/>
          <w:highlight w:val="none"/>
        </w:rPr>
      </w:pPr>
      <w:r>
        <w:rPr>
          <w:rFonts w:hint="eastAsia" w:ascii="仿宋" w:hAnsi="仿宋" w:eastAsia="仿宋" w:cs="仿宋"/>
          <w:color w:val="auto"/>
          <w:sz w:val="24"/>
          <w:szCs w:val="24"/>
          <w:highlight w:val="none"/>
          <w:lang w:eastAsia="zh-CN"/>
        </w:rPr>
        <w:t>维保清单：</w:t>
      </w:r>
      <w:r>
        <w:rPr>
          <w:rFonts w:hint="eastAsia" w:ascii="仿宋" w:hAnsi="仿宋" w:eastAsia="仿宋" w:cs="仿宋"/>
          <w:color w:val="auto"/>
          <w:sz w:val="24"/>
          <w:szCs w:val="24"/>
          <w:highlight w:val="none"/>
          <w:lang w:val="en-US" w:eastAsia="zh-CN"/>
        </w:rPr>
        <w:t>本项目的大修</w:t>
      </w:r>
      <w:r>
        <w:rPr>
          <w:rFonts w:hint="eastAsia" w:ascii="仿宋" w:hAnsi="仿宋" w:eastAsia="仿宋" w:cs="仿宋"/>
          <w:color w:val="auto"/>
          <w:sz w:val="24"/>
          <w:szCs w:val="24"/>
          <w:highlight w:val="none"/>
          <w:lang w:eastAsia="zh-CN"/>
        </w:rPr>
        <w:t>所涉及</w:t>
      </w:r>
      <w:r>
        <w:rPr>
          <w:rFonts w:hint="eastAsia" w:ascii="仿宋" w:hAnsi="仿宋" w:eastAsia="仿宋" w:cs="仿宋"/>
          <w:b w:val="0"/>
          <w:bCs w:val="0"/>
          <w:color w:val="auto"/>
          <w:sz w:val="24"/>
          <w:szCs w:val="24"/>
          <w:highlight w:val="none"/>
          <w:lang w:val="en-US" w:eastAsia="zh-CN"/>
        </w:rPr>
        <w:t>维修内容。</w:t>
      </w:r>
    </w:p>
    <w:p w14:paraId="6D68ED72">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维修的</w:t>
      </w:r>
      <w:r>
        <w:rPr>
          <w:rFonts w:hint="eastAsia" w:ascii="仿宋" w:hAnsi="仿宋" w:eastAsia="仿宋" w:cs="仿宋"/>
          <w:b/>
          <w:bCs/>
          <w:snapToGrid/>
          <w:color w:val="auto"/>
          <w:kern w:val="2"/>
          <w:sz w:val="24"/>
          <w:szCs w:val="24"/>
          <w:highlight w:val="none"/>
          <w:lang w:val="en-US" w:eastAsia="zh-CN"/>
        </w:rPr>
        <w:t>标准规范</w:t>
      </w:r>
    </w:p>
    <w:p w14:paraId="28CEE0EC">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color w:val="auto"/>
          <w:kern w:val="2"/>
          <w:sz w:val="24"/>
          <w:szCs w:val="24"/>
          <w:highlight w:val="none"/>
          <w:lang w:val="en-US" w:eastAsia="zh-CN"/>
        </w:rPr>
        <w:t>参照GB/T12130-2020《氧舱》国家标准。</w:t>
      </w:r>
    </w:p>
    <w:p w14:paraId="0FB1CC2C">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 国家质量技术监督局TSG24-2015《氧舱安全技术监察规程》。</w:t>
      </w:r>
    </w:p>
    <w:p w14:paraId="6A1EB347">
      <w:pPr>
        <w:numPr>
          <w:ilvl w:val="-1"/>
          <w:numId w:val="0"/>
        </w:numPr>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 GB9706.1-2007《医用电气设备》第一部分：安全通用要求。</w:t>
      </w:r>
    </w:p>
    <w:p w14:paraId="4CF5C203">
      <w:pPr>
        <w:numPr>
          <w:ilvl w:val="-1"/>
          <w:numId w:val="0"/>
        </w:numPr>
        <w:spacing w:line="360" w:lineRule="auto"/>
        <w:ind w:left="0" w:leftChars="0" w:firstLine="480" w:firstLineChars="200"/>
        <w:rPr>
          <w:rFonts w:hint="default" w:ascii="仿宋" w:hAnsi="仿宋" w:eastAsia="仿宋" w:cs="仿宋"/>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4. 修理改造单位应满足国家市场监督管理局、卫生部颁发的《医用氧舱安全管理规定》中第五十六条相应要求：医用氧舱修理、改造单位，应取得国家质量技术监督局颁发的《AR5级压力容器制造许可证》。修理、改造单位应对所修理、改造的医用氧舱质量负责，修理、改造的项目应符合本规定和GB12130或相关标准的规定。修理、改造工作完成后，应出具《医用氧舱修理、改造报告》。</w:t>
      </w:r>
    </w:p>
    <w:p w14:paraId="274EC1E1">
      <w:pPr>
        <w:spacing w:line="240" w:lineRule="auto"/>
        <w:ind w:firstLine="0" w:firstLineChars="0"/>
        <w:outlineLvl w:val="9"/>
        <w:rPr>
          <w:rFonts w:hint="eastAsia"/>
          <w:color w:val="auto"/>
          <w:lang w:val="en-US" w:eastAsia="zh-CN"/>
        </w:rPr>
      </w:pPr>
    </w:p>
    <w:p w14:paraId="069A670E">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五、总体要求</w:t>
      </w:r>
    </w:p>
    <w:p w14:paraId="1CA88AB6">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1.投标人应根据氧仓的实际情况，编制维修方案，如有需要并按维修内容设计一份新的图纸。</w:t>
      </w:r>
    </w:p>
    <w:p w14:paraId="5FD9D814">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2.维修方案经投标人的技术负责人批准后，填写“特种设备改造、维修告知书”到氧仓使用单位所在地的质量技术监督行政部门办理告知。</w:t>
      </w:r>
    </w:p>
    <w:p w14:paraId="419AEEAA">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3.投标人应按编制的维修方案，对氧仓进行维修工作，并应将维修过程中涉及的维修人员资质、维修内容、施工记录等相关资料整理成册，交于医院存档。</w:t>
      </w:r>
    </w:p>
    <w:p w14:paraId="206E52DA">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4.维修过程中根据维修的内容，如需特种设备检测机构现场监督的，由投标人负责联系协调。</w:t>
      </w:r>
    </w:p>
    <w:p w14:paraId="511219F2">
      <w:pPr>
        <w:numPr>
          <w:ilvl w:val="0"/>
          <w:numId w:val="0"/>
        </w:numPr>
        <w:spacing w:line="360" w:lineRule="auto"/>
        <w:ind w:firstLine="480" w:firstLineChars="2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5.维修后的氧仓，由投标人向特种设备检测机构</w:t>
      </w:r>
      <w:r>
        <w:rPr>
          <w:rFonts w:hint="eastAsia" w:ascii="仿宋" w:hAnsi="仿宋" w:eastAsia="仿宋" w:cs="仿宋"/>
          <w:snapToGrid/>
          <w:color w:val="auto"/>
          <w:kern w:val="2"/>
          <w:sz w:val="24"/>
          <w:szCs w:val="24"/>
          <w:highlight w:val="none"/>
          <w:lang w:val="en-US" w:eastAsia="zh-CN"/>
        </w:rPr>
        <w:t>申请检测，并向医院提供检验证书或检验报告（市场监督管理部门认可），检测相关费用由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snapToGrid/>
          <w:color w:val="auto"/>
          <w:kern w:val="2"/>
          <w:sz w:val="24"/>
          <w:szCs w:val="24"/>
          <w:highlight w:val="none"/>
          <w:lang w:val="en-US" w:eastAsia="zh-CN"/>
        </w:rPr>
        <w:t>承担。</w:t>
      </w:r>
    </w:p>
    <w:p w14:paraId="6B46F465">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六、技术要求</w:t>
      </w:r>
    </w:p>
    <w:p w14:paraId="6CBF81E5">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本项目的大修包括但不限于以下维修内容。超出以下维修内容的，在维保期内由投标人负责维修更换，相关费用应包含在本次大修及维保范围内。</w:t>
      </w:r>
    </w:p>
    <w:p w14:paraId="061C6569">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6.1氧仓主体部分（型号：GY3200）大修工作要求</w:t>
      </w:r>
    </w:p>
    <w:p w14:paraId="7039B110">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1.做好</w:t>
      </w:r>
      <w:r>
        <w:rPr>
          <w:rFonts w:hint="eastAsia" w:ascii="仿宋" w:hAnsi="仿宋" w:eastAsia="仿宋" w:cs="仿宋"/>
          <w:snapToGrid/>
          <w:color w:val="auto"/>
          <w:kern w:val="2"/>
          <w:sz w:val="24"/>
          <w:szCs w:val="24"/>
          <w:highlight w:val="none"/>
          <w:lang w:val="en-US" w:eastAsia="zh-CN"/>
        </w:rPr>
        <w:t>主舱和过渡舱舱门的检修，保证舱门关闭和开启正常。更换主舱和过渡舱舱门密封圈共4条，做到密封性完好，保证在加压或减压阶段无异响，且对于舱门的外立面油漆脱开处做好补漆。</w:t>
      </w:r>
    </w:p>
    <w:p w14:paraId="3AF61F2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更换主舱和过渡舱递物筒密封圈4条，保证无气体泄漏。</w:t>
      </w:r>
    </w:p>
    <w:p w14:paraId="3F7F6926">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3.更换观察窗有机玻璃10块，照明窗玻璃14块，摄像窗有机玻璃2块，保证安装的玻璃无划伤、银纹和裂纹，符合GB/T7134标准规定的要求。</w:t>
      </w:r>
    </w:p>
    <w:p w14:paraId="68B88DFD">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4.更换摄像机2台。</w:t>
      </w:r>
    </w:p>
    <w:p w14:paraId="7B2CA422">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5.检修更换照明灯，氧舱照明应采用冷光源外照明且工作时照明所用窗玻璃外表面温度应不大于其设计温度，应急灯在突发停电时能正常工作，达到GB/T12130的规定要求，实现平均照度不小于60lx，不均匀度不大于60%的照明要求。</w:t>
      </w:r>
    </w:p>
    <w:p w14:paraId="5BFAE46F">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6.检修递物筒，保证其能够安全可靠顺畅的开启关闭。</w:t>
      </w:r>
    </w:p>
    <w:p w14:paraId="03116E65">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7.检修氧舱设置的保护接地装置，保证其接地电阻值应不大于4</w:t>
      </w:r>
      <w:r>
        <w:rPr>
          <w:rFonts w:hint="eastAsia" w:ascii="仿宋" w:hAnsi="仿宋" w:eastAsia="仿宋" w:cs="仿宋"/>
          <w:i w:val="0"/>
          <w:iCs w:val="0"/>
          <w:caps w:val="0"/>
          <w:color w:val="auto"/>
          <w:spacing w:val="0"/>
          <w:sz w:val="24"/>
          <w:szCs w:val="24"/>
          <w:highlight w:val="none"/>
          <w:shd w:val="clear"/>
        </w:rPr>
        <w:t>Ω</w:t>
      </w:r>
      <w:r>
        <w:rPr>
          <w:rFonts w:hint="eastAsia" w:ascii="仿宋" w:hAnsi="仿宋" w:eastAsia="仿宋" w:cs="仿宋"/>
          <w:snapToGrid/>
          <w:color w:val="auto"/>
          <w:kern w:val="2"/>
          <w:sz w:val="24"/>
          <w:szCs w:val="24"/>
          <w:highlight w:val="none"/>
          <w:lang w:val="en-US" w:eastAsia="zh-CN" w:bidi="ar-SA"/>
        </w:rPr>
        <w:t>,舱体与保护接地装置之间宜用镀锌扁(圆) 钢可靠连接，在舱体及保护接地装置的连接处应附有接地符号标记。</w:t>
      </w:r>
    </w:p>
    <w:p w14:paraId="263439CE">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8.检修并校准氧舱的对地漏电流应符合GB 9706.1中的规定。氧舱的电源输入端与舱体及控制台之间的绝缘强度，应符合GB 9706.1中的规定。</w:t>
      </w:r>
    </w:p>
    <w:p w14:paraId="41CA0006">
      <w:pPr>
        <w:numPr>
          <w:ilvl w:val="-1"/>
          <w:numId w:val="0"/>
        </w:numPr>
        <w:spacing w:before="0" w:line="360" w:lineRule="auto"/>
        <w:ind w:left="0" w:leftChars="0"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6.2操作台部分大修工作要求</w:t>
      </w:r>
    </w:p>
    <w:p w14:paraId="5598F509">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检修调试校准测氧仪，基本误差应不大于3%，声光报警功能正常。更换主舱和过渡舱的2个7针氧电极，保证舱内氧浓度测量值准确可靠。</w:t>
      </w:r>
    </w:p>
    <w:p w14:paraId="163D129C">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更换应急电源，保证功率大于等于1000VA，满足氧舱供电中断时，应急电源能自动投入使用，保持应急呼叫、应急照明、对讲通讯和测氧仪的正常工作时间不少于30min。</w:t>
      </w:r>
    </w:p>
    <w:p w14:paraId="2761F77E">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3.</w:t>
      </w:r>
      <w:r>
        <w:rPr>
          <w:rFonts w:hint="eastAsia" w:ascii="仿宋" w:hAnsi="仿宋" w:eastAsia="仿宋" w:cs="仿宋"/>
          <w:snapToGrid/>
          <w:color w:val="auto"/>
          <w:kern w:val="2"/>
          <w:sz w:val="24"/>
          <w:szCs w:val="24"/>
          <w:highlight w:val="none"/>
          <w:lang w:val="en-US" w:eastAsia="zh-CN"/>
        </w:rPr>
        <w:t>更换主舱和过渡舱数字温湿度仪2个，包含舱内传感器，并做好传感器探头的防护工作。</w:t>
      </w:r>
    </w:p>
    <w:p w14:paraId="4BF8517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4.</w:t>
      </w:r>
      <w:r>
        <w:rPr>
          <w:rFonts w:hint="eastAsia" w:ascii="仿宋" w:hAnsi="仿宋" w:eastAsia="仿宋" w:cs="仿宋"/>
          <w:snapToGrid/>
          <w:color w:val="auto"/>
          <w:kern w:val="2"/>
          <w:sz w:val="24"/>
          <w:szCs w:val="24"/>
          <w:highlight w:val="none"/>
          <w:lang w:val="en-US" w:eastAsia="zh-CN"/>
        </w:rPr>
        <w:t>更换1套音视频播放器，包含1个音视频播放器，1个高保真功放机以及主舱和过渡舱内的4个音箱喇叭，保证在治疗过程中的语音播报功能正常，患者治疗过程中能方便清晰的和舱外工作人员沟通。</w:t>
      </w:r>
    </w:p>
    <w:p w14:paraId="1DB6C0D0">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5.</w:t>
      </w:r>
      <w:r>
        <w:rPr>
          <w:rFonts w:hint="eastAsia" w:ascii="仿宋" w:hAnsi="仿宋" w:eastAsia="仿宋" w:cs="仿宋"/>
          <w:snapToGrid/>
          <w:color w:val="auto"/>
          <w:kern w:val="2"/>
          <w:sz w:val="24"/>
          <w:szCs w:val="24"/>
          <w:highlight w:val="none"/>
          <w:lang w:val="en-US" w:eastAsia="zh-CN"/>
        </w:rPr>
        <w:t>更换氧舱专用对讲机，满足双工方式，可同时进行双向对讲。具备应急电源支持功能，应急对讲的时间不小于30min。</w:t>
      </w:r>
    </w:p>
    <w:p w14:paraId="3E6457A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6.</w:t>
      </w:r>
      <w:r>
        <w:rPr>
          <w:rFonts w:hint="eastAsia" w:ascii="仿宋" w:hAnsi="仿宋" w:eastAsia="仿宋" w:cs="仿宋"/>
          <w:snapToGrid/>
          <w:color w:val="auto"/>
          <w:kern w:val="2"/>
          <w:sz w:val="24"/>
          <w:szCs w:val="24"/>
          <w:highlight w:val="none"/>
          <w:lang w:val="en-US" w:eastAsia="zh-CN"/>
        </w:rPr>
        <w:t>更换主舱和过渡舱的2套电动遥控操作系统，满足三个工作模式，第一正常治疗过程中的自动加压和减压，第二通过治疗软件设定加压和减压开启度，第三设置成手动模式来调节加压和减压的开启度。保证治疗过程中的加压减压功能正常。</w:t>
      </w:r>
    </w:p>
    <w:p w14:paraId="4D212AEE">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7.</w:t>
      </w:r>
      <w:r>
        <w:rPr>
          <w:rFonts w:hint="eastAsia" w:ascii="仿宋" w:hAnsi="仿宋" w:eastAsia="仿宋" w:cs="仿宋"/>
          <w:snapToGrid/>
          <w:color w:val="auto"/>
          <w:kern w:val="2"/>
          <w:sz w:val="24"/>
          <w:szCs w:val="24"/>
          <w:highlight w:val="none"/>
          <w:lang w:val="en-US" w:eastAsia="zh-CN"/>
        </w:rPr>
        <w:t>更换应急呼叫装置2套，应急呼叫装置的舱内按钮及蜂鸣器应符合本质安全型电路的要求，采用液晶感应，无触点开关。声光报警正常。声光信号应只能由操作人员在控制台上切断。</w:t>
      </w:r>
    </w:p>
    <w:p w14:paraId="3113B288">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8.</w:t>
      </w:r>
      <w:r>
        <w:rPr>
          <w:rFonts w:hint="eastAsia" w:ascii="仿宋" w:hAnsi="仿宋" w:eastAsia="仿宋" w:cs="仿宋"/>
          <w:snapToGrid/>
          <w:color w:val="auto"/>
          <w:kern w:val="2"/>
          <w:sz w:val="24"/>
          <w:szCs w:val="24"/>
          <w:highlight w:val="none"/>
          <w:lang w:val="en-US" w:eastAsia="zh-CN"/>
        </w:rPr>
        <w:t>更换主舱和过渡舱计时器2套，满足临床手控操作时准确计时。</w:t>
      </w:r>
    </w:p>
    <w:p w14:paraId="3CC9064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9.</w:t>
      </w:r>
      <w:r>
        <w:rPr>
          <w:rFonts w:hint="eastAsia" w:ascii="仿宋" w:hAnsi="仿宋" w:eastAsia="仿宋" w:cs="仿宋"/>
          <w:snapToGrid/>
          <w:color w:val="auto"/>
          <w:kern w:val="2"/>
          <w:sz w:val="24"/>
          <w:szCs w:val="24"/>
          <w:highlight w:val="none"/>
          <w:lang w:val="en-US" w:eastAsia="zh-CN"/>
        </w:rPr>
        <w:t>更换高清液晶显示器3台。</w:t>
      </w:r>
    </w:p>
    <w:p w14:paraId="012F360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10.</w:t>
      </w:r>
      <w:r>
        <w:rPr>
          <w:rFonts w:hint="eastAsia" w:ascii="仿宋" w:hAnsi="仿宋" w:eastAsia="仿宋" w:cs="仿宋"/>
          <w:snapToGrid/>
          <w:color w:val="auto"/>
          <w:kern w:val="2"/>
          <w:sz w:val="24"/>
          <w:szCs w:val="24"/>
          <w:highlight w:val="none"/>
          <w:lang w:val="en-US" w:eastAsia="zh-CN"/>
        </w:rPr>
        <w:t>增加刻录机两台，配套主舱和过渡舱摄像机使用，能够完整记录保存氧舱治疗过程。</w:t>
      </w:r>
    </w:p>
    <w:p w14:paraId="1B584542">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11.</w:t>
      </w:r>
      <w:r>
        <w:rPr>
          <w:rFonts w:hint="eastAsia" w:ascii="仿宋" w:hAnsi="仿宋" w:eastAsia="仿宋" w:cs="仿宋"/>
          <w:snapToGrid/>
          <w:color w:val="auto"/>
          <w:kern w:val="2"/>
          <w:sz w:val="24"/>
          <w:szCs w:val="24"/>
          <w:highlight w:val="none"/>
          <w:lang w:val="en-US" w:eastAsia="zh-CN"/>
        </w:rPr>
        <w:t>更换控制台空调控制盒，包含空调按键面板及控制板，线路走向布局合理整齐。</w:t>
      </w:r>
    </w:p>
    <w:p w14:paraId="65BE1BE9">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12.检修控制台上各手动控制阀门，及氧气流量表调节装置，保证调节顺畅无漏气。</w:t>
      </w:r>
    </w:p>
    <w:p w14:paraId="0088865A">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highlight w:val="none"/>
          <w:lang w:val="en-US" w:eastAsia="zh-CN"/>
        </w:rPr>
        <w:t>6.3空气供排气系统</w:t>
      </w:r>
      <w:r>
        <w:rPr>
          <w:rFonts w:hint="eastAsia" w:ascii="仿宋" w:hAnsi="仿宋" w:eastAsia="仿宋" w:cs="仿宋"/>
          <w:b/>
          <w:bCs/>
          <w:snapToGrid/>
          <w:color w:val="auto"/>
          <w:kern w:val="2"/>
          <w:sz w:val="24"/>
          <w:szCs w:val="24"/>
          <w:highlight w:val="none"/>
          <w:lang w:val="en-US" w:eastAsia="zh-CN"/>
        </w:rPr>
        <w:t>大修工作要求</w:t>
      </w:r>
    </w:p>
    <w:p w14:paraId="73041E07">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1.对2台氧舱储气罐空压机进行保养，检修2台冷干机，更换精密过滤器滤芯2套。</w:t>
      </w:r>
    </w:p>
    <w:p w14:paraId="044CCD2F">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2.对现有4台空气储气罐进行清污除锈处理。</w:t>
      </w:r>
    </w:p>
    <w:p w14:paraId="70630D2A">
      <w:pPr>
        <w:numPr>
          <w:ilvl w:val="0"/>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3.将旧的电动调节阀更换成气动薄膜阀，尺寸满足现管道连接，DN40两个，DN65一个，DND32一个。治疗过程中，自动加压减压阀门开启关闭正常稳定。</w:t>
      </w:r>
    </w:p>
    <w:p w14:paraId="1236B67C">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4.对整体供气系统气密性检测，以及管道中各阀门，法兰连接处检修紧固，确保阀门打开关闭方便且无气体泄漏。</w:t>
      </w:r>
    </w:p>
    <w:p w14:paraId="382223B8">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6.4供排氧系统大修工作要求</w:t>
      </w:r>
    </w:p>
    <w:p w14:paraId="40CB0BF4">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更换舱内患者吸氧调节器18套，以及吸氧口和排氧口的蓝白接头和波纹管18套，包括主舱14套加过渡舱4套。</w:t>
      </w:r>
    </w:p>
    <w:p w14:paraId="0640EDC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更换排氧电动阀，尺寸满足现管道连接，DN20两个。保证在治疗过程中，自动排氧功能正常。</w:t>
      </w:r>
    </w:p>
    <w:p w14:paraId="2C11A0AE">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3.</w:t>
      </w:r>
      <w:r>
        <w:rPr>
          <w:rFonts w:hint="eastAsia" w:ascii="仿宋" w:hAnsi="仿宋" w:eastAsia="仿宋" w:cs="仿宋"/>
          <w:snapToGrid/>
          <w:color w:val="auto"/>
          <w:kern w:val="2"/>
          <w:sz w:val="24"/>
          <w:szCs w:val="24"/>
          <w:highlight w:val="none"/>
          <w:lang w:val="en-US" w:eastAsia="zh-CN"/>
        </w:rPr>
        <w:t>更换排氧过滤器2套。</w:t>
      </w:r>
    </w:p>
    <w:p w14:paraId="60E2670D">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4.对整体供排氧系统气密性检测，包括控制台供氧流量计，吸呼器内管路和吸呼接口处可靠连接，无氧气泄漏。</w:t>
      </w:r>
    </w:p>
    <w:p w14:paraId="29E2D92A">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6.5空调系统大修要求</w:t>
      </w:r>
    </w:p>
    <w:p w14:paraId="0C0216E5">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本氧舱采用的是分体式空调器，更换3台空调外挂机，变频，根据分体式空调器制冷量和舱式容积的对应关系，空调功率满足≥2匹。保证治疗舱环境温度控制在：夏季≤28℃；冬季≥16℃；稳压时舱内温度：18℃~28℃。</w:t>
      </w:r>
    </w:p>
    <w:p w14:paraId="6ACD4970">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2.更换耐压空调箱内蒸发器3套和连接的空调管路，管路长度满足外机和蒸发器的合理正常连接，保证穿墙管路整根连接，无焊缝。</w:t>
      </w:r>
    </w:p>
    <w:p w14:paraId="3ECD2D4F">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3.对3台耐压空调箱内部进行清污除锈。</w:t>
      </w:r>
    </w:p>
    <w:p w14:paraId="4B641783">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4.更换3台磁耦合电机，耐压≤1MPa，转速达到（500~1500）r/min，工作温度≤80℃，噪声≤50dB(A),和耐压空调箱可靠连接，能够实现无泄漏密封转动，将空调系统的冷气或热气通过管道传输至氧舱舱体内。</w:t>
      </w:r>
    </w:p>
    <w:p w14:paraId="7B9F5FE3">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6.6消防水喷淋系统大修要求</w:t>
      </w:r>
    </w:p>
    <w:p w14:paraId="163A11ED">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消防水系统性气密性测试以及喷淋测试，检修并更换消防管道中的密封件，检修喷淋开关，保证无气体泄漏，喷淋开关关闭时舱内喷淋头无水滴渗漏。</w:t>
      </w:r>
    </w:p>
    <w:p w14:paraId="06667983">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对储水罐进行清污除锈处理，以及储水罐上固定的液位计进行清理并校准，保证液位计能准确显示储水罐中液体高度。</w:t>
      </w:r>
    </w:p>
    <w:p w14:paraId="5225F016">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6.7氧舱计算机自动化操作控制系统大修要求</w:t>
      </w:r>
    </w:p>
    <w:p w14:paraId="05424697">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en-US" w:eastAsia="zh-CN"/>
        </w:rPr>
        <w:t>更换工业控制计算机主机一台，要求满足CPU双核且≥1.6GHz,内存≥8G，采用固态硬盘≥250G。计算机内包含一套双舱模式的语音系统及一套能安全可靠驱动氧舱运行的治疗软件。</w:t>
      </w:r>
    </w:p>
    <w:p w14:paraId="6E5D9FFB">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更换一套双舱模式的一体化控制机柜总成，采用PLC控制模式，通过接收计算机治疗系统发出的指令，控制氧舱的运行。</w:t>
      </w:r>
    </w:p>
    <w:p w14:paraId="2C980468">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3.更换主舱和过渡舱的压力传感器2个，压力传感器连接精密压力表和一体化控制机柜总成，在治疗时，计算机上能够准确的实时显示舱内压力。</w:t>
      </w:r>
    </w:p>
    <w:p w14:paraId="4CA2B3D5">
      <w:pPr>
        <w:numPr>
          <w:ilvl w:val="-1"/>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4.更换RS485总线连接器，R232-485。</w:t>
      </w:r>
    </w:p>
    <w:p w14:paraId="3E4AC228">
      <w:pPr>
        <w:numPr>
          <w:ilvl w:val="-1"/>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6.8电气控制系统大修要求</w:t>
      </w:r>
    </w:p>
    <w:p w14:paraId="4571F646">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1.更换主舱和过渡舱的全舱控制线路及舱内线路和绝缘套管，更换照明线路。</w:t>
      </w:r>
    </w:p>
    <w:p w14:paraId="312C457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氧舱配电系统的电缆应具备阻燃特性，所有控制线路及照明线路的电缆规格型号应满足设备功率需求，包含4M²,2.5M²,1M²的规格。且所有安装线路按氧舱规定固定在线槽或套管中。</w:t>
      </w:r>
    </w:p>
    <w:p w14:paraId="4C688D13">
      <w:pPr>
        <w:numPr>
          <w:ilvl w:val="-1"/>
          <w:numId w:val="0"/>
        </w:numPr>
        <w:spacing w:before="0" w:line="360" w:lineRule="auto"/>
        <w:ind w:left="0" w:leftChars="0" w:firstLine="480" w:firstLineChars="200"/>
        <w:jc w:val="left"/>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2.</w:t>
      </w:r>
      <w:r>
        <w:rPr>
          <w:rFonts w:hint="eastAsia" w:ascii="仿宋" w:hAnsi="仿宋" w:eastAsia="仿宋" w:cs="仿宋"/>
          <w:snapToGrid/>
          <w:color w:val="auto"/>
          <w:kern w:val="2"/>
          <w:sz w:val="24"/>
          <w:szCs w:val="24"/>
          <w:highlight w:val="none"/>
          <w:lang w:val="en-US" w:eastAsia="zh-CN"/>
        </w:rPr>
        <w:t>更换电器控制板总成，连接配电柜和用电设备，保证设备正常供电运行。</w:t>
      </w:r>
    </w:p>
    <w:p w14:paraId="3AB2A894">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3.更换控制台上各按键、开关、声光报警灯等电气原件。</w:t>
      </w:r>
    </w:p>
    <w:p w14:paraId="75B7FC1D">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4.更换配电柜内的接线端子及其他附料元件，断路器，中间继电器及接触器，按照氧舱要求标准更换。</w:t>
      </w:r>
    </w:p>
    <w:p w14:paraId="1D006267">
      <w:pPr>
        <w:numPr>
          <w:ilvl w:val="-1"/>
          <w:numId w:val="0"/>
        </w:numPr>
        <w:spacing w:before="0" w:line="360" w:lineRule="auto"/>
        <w:ind w:left="0"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5.更换氧舱专用型的安全隔离变压器，提高设备使用安全性。</w:t>
      </w:r>
    </w:p>
    <w:p w14:paraId="1CB3597A">
      <w:pPr>
        <w:numPr>
          <w:ilvl w:val="0"/>
          <w:numId w:val="0"/>
        </w:numPr>
        <w:spacing w:before="0" w:line="360" w:lineRule="auto"/>
        <w:ind w:firstLine="480" w:firstLineChars="200"/>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更换舱内喇叭，拾音，氧舱进舱电线(缆)应采用铜芯线，中间不得有接头。舱内电线(缆)敷设应采用暗装方式，应带有保护套管，套管处应设有方磨塞。舱内电缆与舱内电器的连接点应采用焊接形式并裹以绝缘材料。进舱设备总功率不超过0.5W。</w:t>
      </w:r>
    </w:p>
    <w:p w14:paraId="360DA8B0">
      <w:pPr>
        <w:numPr>
          <w:ilvl w:val="0"/>
          <w:numId w:val="0"/>
        </w:numPr>
        <w:spacing w:before="0" w:line="360" w:lineRule="auto"/>
        <w:ind w:firstLine="482" w:firstLineChars="200"/>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6.9大修其他要求</w:t>
      </w:r>
    </w:p>
    <w:p w14:paraId="43984F01">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1.大修完成时，确保舱体安装的安全附件都在有效期内。</w:t>
      </w:r>
    </w:p>
    <w:p w14:paraId="4470EECB">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2.按要求完善并处理好排污装置，加固排污排水管路。</w:t>
      </w:r>
    </w:p>
    <w:p w14:paraId="6D0EE67A">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3.所有线路走向清晰明了，布局规范整齐合理，做好接线端子的标记标识。</w:t>
      </w:r>
    </w:p>
    <w:p w14:paraId="70E5C902">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4.做好氧舱整体的气密性测试，确保氧舱的泄漏率在允许范围内。</w:t>
      </w:r>
    </w:p>
    <w:p w14:paraId="6358ED45">
      <w:pPr>
        <w:numPr>
          <w:ilvl w:val="-1"/>
          <w:numId w:val="0"/>
        </w:numPr>
        <w:spacing w:before="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5.目前氧舱为正常使用状态，管道氧气已接通，施工时请严格遵守作业的规章制度，确保安全规范，严禁烟火。</w:t>
      </w:r>
    </w:p>
    <w:p w14:paraId="41E27506">
      <w:pPr>
        <w:numPr>
          <w:ilvl w:val="0"/>
          <w:numId w:val="0"/>
        </w:numPr>
        <w:spacing w:before="0"/>
        <w:rPr>
          <w:rFonts w:hint="eastAsia"/>
          <w:color w:val="auto"/>
          <w:highlight w:val="none"/>
          <w:lang w:val="en-US" w:eastAsia="zh-CN"/>
        </w:rPr>
      </w:pPr>
    </w:p>
    <w:p w14:paraId="01350A38">
      <w:pPr>
        <w:spacing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6.10 拟维修更换的项目清单</w:t>
      </w:r>
    </w:p>
    <w:tbl>
      <w:tblPr>
        <w:tblStyle w:val="62"/>
        <w:tblW w:w="985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880"/>
        <w:gridCol w:w="2455"/>
        <w:gridCol w:w="1387"/>
        <w:gridCol w:w="1738"/>
        <w:gridCol w:w="810"/>
      </w:tblGrid>
      <w:tr w14:paraId="5D86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850" w:type="dxa"/>
            <w:gridSpan w:val="6"/>
            <w:noWrap w:val="0"/>
            <w:vAlign w:val="center"/>
          </w:tcPr>
          <w:p w14:paraId="3CB73CD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舱体部分</w:t>
            </w:r>
          </w:p>
        </w:tc>
      </w:tr>
      <w:tr w14:paraId="6DE6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80" w:type="dxa"/>
            <w:noWrap w:val="0"/>
            <w:vAlign w:val="center"/>
          </w:tcPr>
          <w:p w14:paraId="7F6550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80" w:type="dxa"/>
            <w:noWrap w:val="0"/>
            <w:vAlign w:val="center"/>
          </w:tcPr>
          <w:p w14:paraId="5B94F3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55" w:type="dxa"/>
            <w:noWrap w:val="0"/>
            <w:vAlign w:val="center"/>
          </w:tcPr>
          <w:p w14:paraId="5283C0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87" w:type="dxa"/>
            <w:noWrap w:val="0"/>
            <w:vAlign w:val="center"/>
          </w:tcPr>
          <w:p w14:paraId="28BD023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38" w:type="dxa"/>
            <w:noWrap w:val="0"/>
            <w:vAlign w:val="center"/>
          </w:tcPr>
          <w:p w14:paraId="07F811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10" w:type="dxa"/>
            <w:noWrap w:val="0"/>
            <w:vAlign w:val="center"/>
          </w:tcPr>
          <w:p w14:paraId="782C14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B6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0F1435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80" w:type="dxa"/>
            <w:noWrap w:val="0"/>
            <w:vAlign w:val="center"/>
          </w:tcPr>
          <w:p w14:paraId="18B438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更换舱门密封圈</w:t>
            </w:r>
          </w:p>
        </w:tc>
        <w:tc>
          <w:tcPr>
            <w:tcW w:w="2455" w:type="dxa"/>
            <w:noWrap w:val="0"/>
            <w:vAlign w:val="center"/>
          </w:tcPr>
          <w:p w14:paraId="136AEB99">
            <w:pPr>
              <w:jc w:val="center"/>
              <w:rPr>
                <w:rFonts w:hint="eastAsia" w:ascii="仿宋" w:hAnsi="仿宋" w:eastAsia="仿宋" w:cs="仿宋"/>
                <w:color w:val="auto"/>
                <w:sz w:val="24"/>
                <w:szCs w:val="24"/>
                <w:highlight w:val="none"/>
              </w:rPr>
            </w:pPr>
          </w:p>
        </w:tc>
        <w:tc>
          <w:tcPr>
            <w:tcW w:w="1387" w:type="dxa"/>
            <w:noWrap w:val="0"/>
            <w:vAlign w:val="center"/>
          </w:tcPr>
          <w:p w14:paraId="119E177E">
            <w:pPr>
              <w:jc w:val="center"/>
              <w:rPr>
                <w:rFonts w:hint="eastAsia" w:ascii="仿宋" w:hAnsi="仿宋" w:eastAsia="仿宋" w:cs="仿宋"/>
                <w:color w:val="auto"/>
                <w:sz w:val="24"/>
                <w:szCs w:val="24"/>
                <w:highlight w:val="none"/>
              </w:rPr>
            </w:pPr>
          </w:p>
        </w:tc>
        <w:tc>
          <w:tcPr>
            <w:tcW w:w="1738" w:type="dxa"/>
            <w:noWrap w:val="0"/>
            <w:vAlign w:val="center"/>
          </w:tcPr>
          <w:p w14:paraId="7555FA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4条</w:t>
            </w:r>
          </w:p>
        </w:tc>
        <w:tc>
          <w:tcPr>
            <w:tcW w:w="810" w:type="dxa"/>
            <w:noWrap w:val="0"/>
            <w:vAlign w:val="center"/>
          </w:tcPr>
          <w:p w14:paraId="5E83A6CD">
            <w:pPr>
              <w:jc w:val="center"/>
              <w:rPr>
                <w:rFonts w:hint="eastAsia" w:ascii="仿宋" w:hAnsi="仿宋" w:eastAsia="仿宋" w:cs="仿宋"/>
                <w:color w:val="auto"/>
                <w:sz w:val="24"/>
                <w:szCs w:val="24"/>
                <w:highlight w:val="none"/>
              </w:rPr>
            </w:pPr>
          </w:p>
        </w:tc>
      </w:tr>
      <w:tr w14:paraId="42B2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202463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80" w:type="dxa"/>
            <w:noWrap w:val="0"/>
            <w:vAlign w:val="center"/>
          </w:tcPr>
          <w:p w14:paraId="52CB88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更换递物筒密封圈</w:t>
            </w:r>
          </w:p>
        </w:tc>
        <w:tc>
          <w:tcPr>
            <w:tcW w:w="2455" w:type="dxa"/>
            <w:noWrap w:val="0"/>
            <w:vAlign w:val="center"/>
          </w:tcPr>
          <w:p w14:paraId="6B36EF78">
            <w:pPr>
              <w:jc w:val="center"/>
              <w:rPr>
                <w:rFonts w:hint="eastAsia" w:ascii="仿宋" w:hAnsi="仿宋" w:eastAsia="仿宋" w:cs="仿宋"/>
                <w:color w:val="auto"/>
                <w:sz w:val="24"/>
                <w:szCs w:val="24"/>
                <w:highlight w:val="none"/>
              </w:rPr>
            </w:pPr>
          </w:p>
        </w:tc>
        <w:tc>
          <w:tcPr>
            <w:tcW w:w="1387" w:type="dxa"/>
            <w:noWrap w:val="0"/>
            <w:vAlign w:val="center"/>
          </w:tcPr>
          <w:p w14:paraId="485019E9">
            <w:pPr>
              <w:jc w:val="center"/>
              <w:rPr>
                <w:rFonts w:hint="eastAsia" w:ascii="仿宋" w:hAnsi="仿宋" w:eastAsia="仿宋" w:cs="仿宋"/>
                <w:color w:val="auto"/>
                <w:sz w:val="24"/>
                <w:szCs w:val="24"/>
                <w:highlight w:val="none"/>
              </w:rPr>
            </w:pPr>
          </w:p>
        </w:tc>
        <w:tc>
          <w:tcPr>
            <w:tcW w:w="1738" w:type="dxa"/>
            <w:noWrap w:val="0"/>
            <w:vAlign w:val="center"/>
          </w:tcPr>
          <w:p w14:paraId="231D79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4条</w:t>
            </w:r>
          </w:p>
        </w:tc>
        <w:tc>
          <w:tcPr>
            <w:tcW w:w="810" w:type="dxa"/>
            <w:noWrap w:val="0"/>
            <w:vAlign w:val="center"/>
          </w:tcPr>
          <w:p w14:paraId="33EE279A">
            <w:pPr>
              <w:jc w:val="center"/>
              <w:rPr>
                <w:rFonts w:hint="eastAsia" w:ascii="仿宋" w:hAnsi="仿宋" w:eastAsia="仿宋" w:cs="仿宋"/>
                <w:color w:val="auto"/>
                <w:sz w:val="24"/>
                <w:szCs w:val="24"/>
                <w:highlight w:val="none"/>
              </w:rPr>
            </w:pPr>
          </w:p>
        </w:tc>
      </w:tr>
      <w:tr w14:paraId="5429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5166F7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80" w:type="dxa"/>
            <w:noWrap w:val="0"/>
            <w:vAlign w:val="center"/>
          </w:tcPr>
          <w:p w14:paraId="685A1F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更换观察窗玻璃</w:t>
            </w:r>
          </w:p>
        </w:tc>
        <w:tc>
          <w:tcPr>
            <w:tcW w:w="2455" w:type="dxa"/>
            <w:noWrap w:val="0"/>
            <w:vAlign w:val="center"/>
          </w:tcPr>
          <w:p w14:paraId="456F80C8">
            <w:pPr>
              <w:jc w:val="center"/>
              <w:rPr>
                <w:rFonts w:hint="eastAsia" w:ascii="仿宋" w:hAnsi="仿宋" w:eastAsia="仿宋" w:cs="仿宋"/>
                <w:color w:val="auto"/>
                <w:sz w:val="24"/>
                <w:szCs w:val="24"/>
                <w:highlight w:val="none"/>
              </w:rPr>
            </w:pPr>
          </w:p>
        </w:tc>
        <w:tc>
          <w:tcPr>
            <w:tcW w:w="1387" w:type="dxa"/>
            <w:noWrap w:val="0"/>
            <w:vAlign w:val="center"/>
          </w:tcPr>
          <w:p w14:paraId="7D75A66F">
            <w:pPr>
              <w:jc w:val="center"/>
              <w:rPr>
                <w:rFonts w:hint="eastAsia" w:ascii="仿宋" w:hAnsi="仿宋" w:eastAsia="仿宋" w:cs="仿宋"/>
                <w:color w:val="auto"/>
                <w:sz w:val="24"/>
                <w:szCs w:val="24"/>
                <w:highlight w:val="none"/>
              </w:rPr>
            </w:pPr>
          </w:p>
        </w:tc>
        <w:tc>
          <w:tcPr>
            <w:tcW w:w="1738" w:type="dxa"/>
            <w:noWrap w:val="0"/>
            <w:vAlign w:val="center"/>
          </w:tcPr>
          <w:p w14:paraId="5DB932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10块</w:t>
            </w:r>
          </w:p>
        </w:tc>
        <w:tc>
          <w:tcPr>
            <w:tcW w:w="810" w:type="dxa"/>
            <w:noWrap w:val="0"/>
            <w:vAlign w:val="center"/>
          </w:tcPr>
          <w:p w14:paraId="75BD2D56">
            <w:pPr>
              <w:jc w:val="center"/>
              <w:rPr>
                <w:rFonts w:hint="eastAsia" w:ascii="仿宋" w:hAnsi="仿宋" w:eastAsia="仿宋" w:cs="仿宋"/>
                <w:color w:val="auto"/>
                <w:sz w:val="24"/>
                <w:szCs w:val="24"/>
                <w:highlight w:val="none"/>
              </w:rPr>
            </w:pPr>
          </w:p>
        </w:tc>
      </w:tr>
      <w:tr w14:paraId="5559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4AC001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80" w:type="dxa"/>
            <w:noWrap w:val="0"/>
            <w:vAlign w:val="center"/>
          </w:tcPr>
          <w:p w14:paraId="6B75D9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更换照明窗玻璃</w:t>
            </w:r>
          </w:p>
        </w:tc>
        <w:tc>
          <w:tcPr>
            <w:tcW w:w="2455" w:type="dxa"/>
            <w:noWrap w:val="0"/>
            <w:vAlign w:val="center"/>
          </w:tcPr>
          <w:p w14:paraId="0DB50F0A">
            <w:pPr>
              <w:jc w:val="center"/>
              <w:rPr>
                <w:rFonts w:hint="eastAsia" w:ascii="仿宋" w:hAnsi="仿宋" w:eastAsia="仿宋" w:cs="仿宋"/>
                <w:color w:val="auto"/>
                <w:sz w:val="24"/>
                <w:szCs w:val="24"/>
                <w:highlight w:val="none"/>
              </w:rPr>
            </w:pPr>
          </w:p>
        </w:tc>
        <w:tc>
          <w:tcPr>
            <w:tcW w:w="1387" w:type="dxa"/>
            <w:noWrap w:val="0"/>
            <w:vAlign w:val="center"/>
          </w:tcPr>
          <w:p w14:paraId="2CC036DA">
            <w:pPr>
              <w:jc w:val="center"/>
              <w:rPr>
                <w:rFonts w:hint="eastAsia" w:ascii="仿宋" w:hAnsi="仿宋" w:eastAsia="仿宋" w:cs="仿宋"/>
                <w:color w:val="auto"/>
                <w:sz w:val="24"/>
                <w:szCs w:val="24"/>
                <w:highlight w:val="none"/>
              </w:rPr>
            </w:pPr>
          </w:p>
        </w:tc>
        <w:tc>
          <w:tcPr>
            <w:tcW w:w="1738" w:type="dxa"/>
            <w:noWrap w:val="0"/>
            <w:vAlign w:val="center"/>
          </w:tcPr>
          <w:p w14:paraId="0B491D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14块</w:t>
            </w:r>
          </w:p>
        </w:tc>
        <w:tc>
          <w:tcPr>
            <w:tcW w:w="810" w:type="dxa"/>
            <w:noWrap w:val="0"/>
            <w:vAlign w:val="center"/>
          </w:tcPr>
          <w:p w14:paraId="41DBA7EA">
            <w:pPr>
              <w:jc w:val="center"/>
              <w:rPr>
                <w:rFonts w:hint="eastAsia" w:ascii="仿宋" w:hAnsi="仿宋" w:eastAsia="仿宋" w:cs="仿宋"/>
                <w:color w:val="auto"/>
                <w:sz w:val="24"/>
                <w:szCs w:val="24"/>
                <w:highlight w:val="none"/>
              </w:rPr>
            </w:pPr>
          </w:p>
        </w:tc>
      </w:tr>
      <w:tr w14:paraId="3586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0F7D3E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80" w:type="dxa"/>
            <w:noWrap w:val="0"/>
            <w:vAlign w:val="center"/>
          </w:tcPr>
          <w:p w14:paraId="0918C4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更换摄像机玻璃</w:t>
            </w:r>
          </w:p>
        </w:tc>
        <w:tc>
          <w:tcPr>
            <w:tcW w:w="2455" w:type="dxa"/>
            <w:noWrap w:val="0"/>
            <w:vAlign w:val="center"/>
          </w:tcPr>
          <w:p w14:paraId="75AC4C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120弧形</w:t>
            </w:r>
          </w:p>
        </w:tc>
        <w:tc>
          <w:tcPr>
            <w:tcW w:w="1387" w:type="dxa"/>
            <w:noWrap w:val="0"/>
            <w:vAlign w:val="center"/>
          </w:tcPr>
          <w:p w14:paraId="5F293FF1">
            <w:pPr>
              <w:jc w:val="center"/>
              <w:rPr>
                <w:rFonts w:hint="eastAsia" w:ascii="仿宋" w:hAnsi="仿宋" w:eastAsia="仿宋" w:cs="仿宋"/>
                <w:color w:val="auto"/>
                <w:sz w:val="24"/>
                <w:szCs w:val="24"/>
                <w:highlight w:val="none"/>
              </w:rPr>
            </w:pPr>
          </w:p>
        </w:tc>
        <w:tc>
          <w:tcPr>
            <w:tcW w:w="1738" w:type="dxa"/>
            <w:noWrap w:val="0"/>
            <w:vAlign w:val="center"/>
          </w:tcPr>
          <w:p w14:paraId="5D50E1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2块</w:t>
            </w:r>
          </w:p>
        </w:tc>
        <w:tc>
          <w:tcPr>
            <w:tcW w:w="810" w:type="dxa"/>
            <w:noWrap w:val="0"/>
            <w:vAlign w:val="center"/>
          </w:tcPr>
          <w:p w14:paraId="1213BE19">
            <w:pPr>
              <w:jc w:val="center"/>
              <w:rPr>
                <w:rFonts w:hint="eastAsia" w:ascii="仿宋" w:hAnsi="仿宋" w:eastAsia="仿宋" w:cs="仿宋"/>
                <w:color w:val="auto"/>
                <w:sz w:val="24"/>
                <w:szCs w:val="24"/>
                <w:highlight w:val="none"/>
              </w:rPr>
            </w:pPr>
          </w:p>
        </w:tc>
      </w:tr>
      <w:tr w14:paraId="1396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37D8E3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80" w:type="dxa"/>
            <w:noWrap w:val="0"/>
            <w:vAlign w:val="center"/>
          </w:tcPr>
          <w:p w14:paraId="7201E3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更换摄像机</w:t>
            </w:r>
          </w:p>
        </w:tc>
        <w:tc>
          <w:tcPr>
            <w:tcW w:w="2455" w:type="dxa"/>
            <w:noWrap w:val="0"/>
            <w:vAlign w:val="center"/>
          </w:tcPr>
          <w:p w14:paraId="7F35DD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w:t>
            </w:r>
          </w:p>
        </w:tc>
        <w:tc>
          <w:tcPr>
            <w:tcW w:w="1387" w:type="dxa"/>
            <w:noWrap w:val="0"/>
            <w:vAlign w:val="center"/>
          </w:tcPr>
          <w:p w14:paraId="3B1A1342">
            <w:pPr>
              <w:jc w:val="center"/>
              <w:rPr>
                <w:rFonts w:hint="eastAsia" w:ascii="仿宋" w:hAnsi="仿宋" w:eastAsia="仿宋" w:cs="仿宋"/>
                <w:color w:val="auto"/>
                <w:sz w:val="24"/>
                <w:szCs w:val="24"/>
                <w:highlight w:val="none"/>
              </w:rPr>
            </w:pPr>
          </w:p>
        </w:tc>
        <w:tc>
          <w:tcPr>
            <w:tcW w:w="1738" w:type="dxa"/>
            <w:noWrap w:val="0"/>
            <w:vAlign w:val="center"/>
          </w:tcPr>
          <w:p w14:paraId="4F734F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810" w:type="dxa"/>
            <w:noWrap w:val="0"/>
            <w:vAlign w:val="center"/>
          </w:tcPr>
          <w:p w14:paraId="03F047F9">
            <w:pPr>
              <w:jc w:val="center"/>
              <w:rPr>
                <w:rFonts w:hint="eastAsia" w:ascii="仿宋" w:hAnsi="仿宋" w:eastAsia="仿宋" w:cs="仿宋"/>
                <w:color w:val="auto"/>
                <w:sz w:val="24"/>
                <w:szCs w:val="24"/>
                <w:highlight w:val="none"/>
              </w:rPr>
            </w:pPr>
          </w:p>
        </w:tc>
      </w:tr>
      <w:tr w14:paraId="1989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52131B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80" w:type="dxa"/>
            <w:noWrap w:val="0"/>
            <w:vAlign w:val="center"/>
          </w:tcPr>
          <w:p w14:paraId="7324FC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检修递物筒</w:t>
            </w:r>
          </w:p>
        </w:tc>
        <w:tc>
          <w:tcPr>
            <w:tcW w:w="2455" w:type="dxa"/>
            <w:noWrap w:val="0"/>
            <w:vAlign w:val="center"/>
          </w:tcPr>
          <w:p w14:paraId="00FAEA91">
            <w:pPr>
              <w:jc w:val="center"/>
              <w:rPr>
                <w:rFonts w:hint="eastAsia" w:ascii="仿宋" w:hAnsi="仿宋" w:eastAsia="仿宋" w:cs="仿宋"/>
                <w:color w:val="auto"/>
                <w:sz w:val="24"/>
                <w:szCs w:val="24"/>
                <w:highlight w:val="none"/>
              </w:rPr>
            </w:pPr>
          </w:p>
        </w:tc>
        <w:tc>
          <w:tcPr>
            <w:tcW w:w="1387" w:type="dxa"/>
            <w:noWrap w:val="0"/>
            <w:vAlign w:val="center"/>
          </w:tcPr>
          <w:p w14:paraId="654BB155">
            <w:pPr>
              <w:jc w:val="center"/>
              <w:rPr>
                <w:rFonts w:hint="eastAsia" w:ascii="仿宋" w:hAnsi="仿宋" w:eastAsia="仿宋" w:cs="仿宋"/>
                <w:color w:val="auto"/>
                <w:sz w:val="24"/>
                <w:szCs w:val="24"/>
                <w:highlight w:val="none"/>
              </w:rPr>
            </w:pPr>
          </w:p>
        </w:tc>
        <w:tc>
          <w:tcPr>
            <w:tcW w:w="1738" w:type="dxa"/>
            <w:noWrap w:val="0"/>
            <w:vAlign w:val="center"/>
          </w:tcPr>
          <w:p w14:paraId="0BB1B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810" w:type="dxa"/>
            <w:noWrap w:val="0"/>
            <w:vAlign w:val="center"/>
          </w:tcPr>
          <w:p w14:paraId="14F86B8B">
            <w:pPr>
              <w:jc w:val="center"/>
              <w:rPr>
                <w:rFonts w:hint="eastAsia" w:ascii="仿宋" w:hAnsi="仿宋" w:eastAsia="仿宋" w:cs="仿宋"/>
                <w:color w:val="auto"/>
                <w:sz w:val="24"/>
                <w:szCs w:val="24"/>
                <w:highlight w:val="none"/>
              </w:rPr>
            </w:pPr>
          </w:p>
        </w:tc>
      </w:tr>
      <w:tr w14:paraId="794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7739954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880" w:type="dxa"/>
            <w:noWrap w:val="0"/>
            <w:vAlign w:val="center"/>
          </w:tcPr>
          <w:p w14:paraId="5895CF9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检修更换照明灯</w:t>
            </w:r>
          </w:p>
        </w:tc>
        <w:tc>
          <w:tcPr>
            <w:tcW w:w="2455" w:type="dxa"/>
            <w:noWrap w:val="0"/>
            <w:vAlign w:val="center"/>
          </w:tcPr>
          <w:p w14:paraId="49A9BC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LED冷光源</w:t>
            </w:r>
          </w:p>
        </w:tc>
        <w:tc>
          <w:tcPr>
            <w:tcW w:w="1387" w:type="dxa"/>
            <w:noWrap w:val="0"/>
            <w:vAlign w:val="center"/>
          </w:tcPr>
          <w:p w14:paraId="0B130DBF">
            <w:pPr>
              <w:jc w:val="center"/>
              <w:rPr>
                <w:rFonts w:hint="eastAsia" w:ascii="仿宋" w:hAnsi="仿宋" w:eastAsia="仿宋" w:cs="仿宋"/>
                <w:color w:val="auto"/>
                <w:sz w:val="24"/>
                <w:szCs w:val="24"/>
                <w:highlight w:val="none"/>
              </w:rPr>
            </w:pPr>
          </w:p>
        </w:tc>
        <w:tc>
          <w:tcPr>
            <w:tcW w:w="1738" w:type="dxa"/>
            <w:noWrap w:val="0"/>
            <w:vAlign w:val="center"/>
          </w:tcPr>
          <w:p w14:paraId="02C2E6D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14个</w:t>
            </w:r>
          </w:p>
        </w:tc>
        <w:tc>
          <w:tcPr>
            <w:tcW w:w="810" w:type="dxa"/>
            <w:noWrap w:val="0"/>
            <w:vAlign w:val="center"/>
          </w:tcPr>
          <w:p w14:paraId="7F4EE665">
            <w:pPr>
              <w:jc w:val="center"/>
              <w:rPr>
                <w:rFonts w:hint="eastAsia" w:ascii="仿宋" w:hAnsi="仿宋" w:eastAsia="仿宋" w:cs="仿宋"/>
                <w:color w:val="auto"/>
                <w:sz w:val="24"/>
                <w:szCs w:val="24"/>
                <w:highlight w:val="none"/>
              </w:rPr>
            </w:pPr>
          </w:p>
        </w:tc>
      </w:tr>
      <w:tr w14:paraId="318A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80" w:type="dxa"/>
            <w:noWrap w:val="0"/>
            <w:vAlign w:val="center"/>
          </w:tcPr>
          <w:p w14:paraId="6F0575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880" w:type="dxa"/>
            <w:noWrap w:val="0"/>
            <w:vAlign w:val="center"/>
          </w:tcPr>
          <w:p w14:paraId="48D64F7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检修氧舱接地装置</w:t>
            </w:r>
          </w:p>
        </w:tc>
        <w:tc>
          <w:tcPr>
            <w:tcW w:w="2455" w:type="dxa"/>
            <w:noWrap w:val="0"/>
            <w:vAlign w:val="center"/>
          </w:tcPr>
          <w:p w14:paraId="16490010">
            <w:pPr>
              <w:jc w:val="center"/>
              <w:rPr>
                <w:rFonts w:hint="eastAsia" w:ascii="仿宋" w:hAnsi="仿宋" w:eastAsia="仿宋" w:cs="仿宋"/>
                <w:color w:val="auto"/>
                <w:sz w:val="24"/>
                <w:szCs w:val="24"/>
                <w:highlight w:val="none"/>
                <w:lang w:val="en-US" w:eastAsia="zh-CN"/>
              </w:rPr>
            </w:pPr>
          </w:p>
        </w:tc>
        <w:tc>
          <w:tcPr>
            <w:tcW w:w="1387" w:type="dxa"/>
            <w:noWrap w:val="0"/>
            <w:vAlign w:val="center"/>
          </w:tcPr>
          <w:p w14:paraId="46AABF11">
            <w:pPr>
              <w:jc w:val="center"/>
              <w:rPr>
                <w:rFonts w:hint="eastAsia" w:ascii="仿宋" w:hAnsi="仿宋" w:eastAsia="仿宋" w:cs="仿宋"/>
                <w:color w:val="auto"/>
                <w:sz w:val="24"/>
                <w:szCs w:val="24"/>
                <w:highlight w:val="none"/>
              </w:rPr>
            </w:pPr>
          </w:p>
        </w:tc>
        <w:tc>
          <w:tcPr>
            <w:tcW w:w="1738" w:type="dxa"/>
            <w:noWrap w:val="0"/>
            <w:vAlign w:val="center"/>
          </w:tcPr>
          <w:p w14:paraId="1824A98C">
            <w:pPr>
              <w:jc w:val="center"/>
              <w:rPr>
                <w:rFonts w:hint="eastAsia" w:ascii="仿宋" w:hAnsi="仿宋" w:eastAsia="仿宋" w:cs="仿宋"/>
                <w:color w:val="auto"/>
                <w:sz w:val="24"/>
                <w:szCs w:val="24"/>
                <w:highlight w:val="none"/>
              </w:rPr>
            </w:pPr>
          </w:p>
        </w:tc>
        <w:tc>
          <w:tcPr>
            <w:tcW w:w="810" w:type="dxa"/>
            <w:noWrap w:val="0"/>
            <w:vAlign w:val="center"/>
          </w:tcPr>
          <w:p w14:paraId="60B4F4CD">
            <w:pPr>
              <w:jc w:val="center"/>
              <w:rPr>
                <w:rFonts w:hint="eastAsia" w:ascii="仿宋" w:hAnsi="仿宋" w:eastAsia="仿宋" w:cs="仿宋"/>
                <w:color w:val="auto"/>
                <w:sz w:val="24"/>
                <w:szCs w:val="24"/>
                <w:highlight w:val="none"/>
              </w:rPr>
            </w:pPr>
          </w:p>
        </w:tc>
      </w:tr>
    </w:tbl>
    <w:p w14:paraId="5A378D6C">
      <w:pPr>
        <w:rPr>
          <w:rFonts w:hint="eastAsia" w:ascii="仿宋" w:hAnsi="仿宋" w:eastAsia="仿宋" w:cs="仿宋"/>
          <w:color w:val="auto"/>
          <w:sz w:val="24"/>
          <w:szCs w:val="24"/>
          <w:highlight w:val="none"/>
        </w:rPr>
      </w:pPr>
    </w:p>
    <w:tbl>
      <w:tblPr>
        <w:tblStyle w:val="62"/>
        <w:tblW w:w="984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885"/>
        <w:gridCol w:w="2480"/>
        <w:gridCol w:w="1355"/>
        <w:gridCol w:w="1765"/>
        <w:gridCol w:w="780"/>
      </w:tblGrid>
      <w:tr w14:paraId="4E02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9840" w:type="dxa"/>
            <w:gridSpan w:val="6"/>
            <w:noWrap w:val="0"/>
            <w:vAlign w:val="center"/>
          </w:tcPr>
          <w:p w14:paraId="64A1C66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控制台部分（总成）</w:t>
            </w:r>
          </w:p>
        </w:tc>
      </w:tr>
      <w:tr w14:paraId="5B5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5" w:type="dxa"/>
            <w:noWrap w:val="0"/>
            <w:vAlign w:val="center"/>
          </w:tcPr>
          <w:p w14:paraId="2CF6BA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85" w:type="dxa"/>
            <w:noWrap w:val="0"/>
            <w:vAlign w:val="center"/>
          </w:tcPr>
          <w:p w14:paraId="6B449D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80" w:type="dxa"/>
            <w:noWrap w:val="0"/>
            <w:vAlign w:val="center"/>
          </w:tcPr>
          <w:p w14:paraId="3125D5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55" w:type="dxa"/>
            <w:noWrap w:val="0"/>
            <w:vAlign w:val="center"/>
          </w:tcPr>
          <w:p w14:paraId="1BA771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品牌</w:t>
            </w:r>
          </w:p>
        </w:tc>
        <w:tc>
          <w:tcPr>
            <w:tcW w:w="1765" w:type="dxa"/>
            <w:noWrap w:val="0"/>
            <w:vAlign w:val="center"/>
          </w:tcPr>
          <w:p w14:paraId="45B966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80" w:type="dxa"/>
            <w:noWrap w:val="0"/>
            <w:vAlign w:val="center"/>
          </w:tcPr>
          <w:p w14:paraId="7B070D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D12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B715C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85" w:type="dxa"/>
            <w:noWrap w:val="0"/>
            <w:vAlign w:val="center"/>
          </w:tcPr>
          <w:p w14:paraId="18046E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更换氧电极</w:t>
            </w:r>
          </w:p>
        </w:tc>
        <w:tc>
          <w:tcPr>
            <w:tcW w:w="2480" w:type="dxa"/>
            <w:noWrap w:val="0"/>
            <w:vAlign w:val="center"/>
          </w:tcPr>
          <w:p w14:paraId="27E5E9C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针</w:t>
            </w:r>
          </w:p>
        </w:tc>
        <w:tc>
          <w:tcPr>
            <w:tcW w:w="1355" w:type="dxa"/>
            <w:noWrap w:val="0"/>
            <w:vAlign w:val="center"/>
          </w:tcPr>
          <w:p w14:paraId="3728B5A3">
            <w:pPr>
              <w:jc w:val="center"/>
              <w:rPr>
                <w:rFonts w:hint="eastAsia" w:ascii="仿宋" w:hAnsi="仿宋" w:eastAsia="仿宋" w:cs="仿宋"/>
                <w:color w:val="auto"/>
                <w:sz w:val="24"/>
                <w:szCs w:val="24"/>
                <w:highlight w:val="none"/>
              </w:rPr>
            </w:pPr>
          </w:p>
        </w:tc>
        <w:tc>
          <w:tcPr>
            <w:tcW w:w="1765" w:type="dxa"/>
            <w:noWrap w:val="0"/>
            <w:vAlign w:val="center"/>
          </w:tcPr>
          <w:p w14:paraId="602996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2只</w:t>
            </w:r>
          </w:p>
        </w:tc>
        <w:tc>
          <w:tcPr>
            <w:tcW w:w="780" w:type="dxa"/>
            <w:noWrap w:val="0"/>
            <w:vAlign w:val="center"/>
          </w:tcPr>
          <w:p w14:paraId="3F22F422">
            <w:pPr>
              <w:jc w:val="center"/>
              <w:rPr>
                <w:rFonts w:hint="eastAsia" w:ascii="仿宋" w:hAnsi="仿宋" w:eastAsia="仿宋" w:cs="仿宋"/>
                <w:color w:val="auto"/>
                <w:sz w:val="24"/>
                <w:szCs w:val="24"/>
                <w:highlight w:val="none"/>
              </w:rPr>
            </w:pPr>
          </w:p>
        </w:tc>
      </w:tr>
      <w:tr w14:paraId="796B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2660E1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85" w:type="dxa"/>
            <w:noWrap w:val="0"/>
            <w:vAlign w:val="center"/>
          </w:tcPr>
          <w:p w14:paraId="44D79095">
            <w:pPr>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应急电源</w:t>
            </w:r>
          </w:p>
        </w:tc>
        <w:tc>
          <w:tcPr>
            <w:tcW w:w="2480" w:type="dxa"/>
            <w:noWrap w:val="0"/>
            <w:vAlign w:val="center"/>
          </w:tcPr>
          <w:p w14:paraId="276F7A3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UPS≥1000VA</w:t>
            </w:r>
          </w:p>
        </w:tc>
        <w:tc>
          <w:tcPr>
            <w:tcW w:w="1355" w:type="dxa"/>
            <w:noWrap w:val="0"/>
            <w:vAlign w:val="center"/>
          </w:tcPr>
          <w:p w14:paraId="25A2EEC1">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6733C97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6D90AE82">
            <w:pPr>
              <w:jc w:val="center"/>
              <w:rPr>
                <w:rFonts w:hint="eastAsia" w:ascii="仿宋" w:hAnsi="仿宋" w:eastAsia="仿宋" w:cs="仿宋"/>
                <w:color w:val="auto"/>
                <w:sz w:val="24"/>
                <w:szCs w:val="24"/>
                <w:highlight w:val="none"/>
              </w:rPr>
            </w:pPr>
          </w:p>
        </w:tc>
      </w:tr>
      <w:tr w14:paraId="05F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279249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85" w:type="dxa"/>
            <w:noWrap w:val="0"/>
            <w:vAlign w:val="center"/>
          </w:tcPr>
          <w:p w14:paraId="42063F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数字温湿度仪</w:t>
            </w:r>
          </w:p>
        </w:tc>
        <w:tc>
          <w:tcPr>
            <w:tcW w:w="2480" w:type="dxa"/>
            <w:noWrap w:val="0"/>
            <w:vAlign w:val="center"/>
          </w:tcPr>
          <w:p w14:paraId="1951C7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WH</w:t>
            </w:r>
          </w:p>
        </w:tc>
        <w:tc>
          <w:tcPr>
            <w:tcW w:w="1355" w:type="dxa"/>
            <w:noWrap w:val="0"/>
            <w:vAlign w:val="center"/>
          </w:tcPr>
          <w:p w14:paraId="770867B6">
            <w:pPr>
              <w:jc w:val="center"/>
              <w:rPr>
                <w:rFonts w:hint="eastAsia" w:ascii="仿宋" w:hAnsi="仿宋" w:eastAsia="仿宋" w:cs="仿宋"/>
                <w:color w:val="auto"/>
                <w:sz w:val="24"/>
                <w:szCs w:val="24"/>
                <w:highlight w:val="none"/>
              </w:rPr>
            </w:pPr>
          </w:p>
        </w:tc>
        <w:tc>
          <w:tcPr>
            <w:tcW w:w="1765" w:type="dxa"/>
            <w:noWrap w:val="0"/>
            <w:vAlign w:val="center"/>
          </w:tcPr>
          <w:p w14:paraId="2C38F4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2只</w:t>
            </w:r>
          </w:p>
        </w:tc>
        <w:tc>
          <w:tcPr>
            <w:tcW w:w="780" w:type="dxa"/>
            <w:noWrap w:val="0"/>
            <w:vAlign w:val="center"/>
          </w:tcPr>
          <w:p w14:paraId="714075FB">
            <w:pPr>
              <w:jc w:val="center"/>
              <w:rPr>
                <w:rFonts w:hint="eastAsia" w:ascii="仿宋" w:hAnsi="仿宋" w:eastAsia="仿宋" w:cs="仿宋"/>
                <w:color w:val="auto"/>
                <w:sz w:val="24"/>
                <w:szCs w:val="24"/>
                <w:highlight w:val="none"/>
              </w:rPr>
            </w:pPr>
          </w:p>
        </w:tc>
      </w:tr>
      <w:tr w14:paraId="31EA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BFE82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85" w:type="dxa"/>
            <w:noWrap w:val="0"/>
            <w:vAlign w:val="center"/>
          </w:tcPr>
          <w:p w14:paraId="21D7AEF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音视频播放器</w:t>
            </w:r>
          </w:p>
        </w:tc>
        <w:tc>
          <w:tcPr>
            <w:tcW w:w="2480" w:type="dxa"/>
            <w:noWrap w:val="0"/>
            <w:vAlign w:val="center"/>
          </w:tcPr>
          <w:p w14:paraId="0CAF855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多格式</w:t>
            </w:r>
          </w:p>
        </w:tc>
        <w:tc>
          <w:tcPr>
            <w:tcW w:w="1355" w:type="dxa"/>
            <w:noWrap w:val="0"/>
            <w:vAlign w:val="center"/>
          </w:tcPr>
          <w:p w14:paraId="0D4E4037">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3C8A384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80" w:type="dxa"/>
            <w:noWrap w:val="0"/>
            <w:vAlign w:val="center"/>
          </w:tcPr>
          <w:p w14:paraId="61BEB045">
            <w:pPr>
              <w:jc w:val="center"/>
              <w:rPr>
                <w:rFonts w:hint="eastAsia" w:ascii="仿宋" w:hAnsi="仿宋" w:eastAsia="仿宋" w:cs="仿宋"/>
                <w:color w:val="auto"/>
                <w:sz w:val="24"/>
                <w:szCs w:val="24"/>
                <w:highlight w:val="none"/>
              </w:rPr>
            </w:pPr>
          </w:p>
        </w:tc>
      </w:tr>
      <w:tr w14:paraId="39D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94F3A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85" w:type="dxa"/>
            <w:noWrap w:val="0"/>
            <w:vAlign w:val="center"/>
          </w:tcPr>
          <w:p w14:paraId="2CC311C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高保真功放机</w:t>
            </w:r>
          </w:p>
        </w:tc>
        <w:tc>
          <w:tcPr>
            <w:tcW w:w="2480" w:type="dxa"/>
            <w:noWrap w:val="0"/>
            <w:vAlign w:val="center"/>
          </w:tcPr>
          <w:p w14:paraId="4CEB353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AV-2050</w:t>
            </w:r>
          </w:p>
        </w:tc>
        <w:tc>
          <w:tcPr>
            <w:tcW w:w="1355" w:type="dxa"/>
            <w:noWrap w:val="0"/>
            <w:vAlign w:val="center"/>
          </w:tcPr>
          <w:p w14:paraId="1D02EE38">
            <w:pPr>
              <w:jc w:val="center"/>
              <w:rPr>
                <w:rFonts w:hint="eastAsia" w:ascii="仿宋" w:hAnsi="仿宋" w:eastAsia="仿宋" w:cs="仿宋"/>
                <w:color w:val="auto"/>
                <w:sz w:val="24"/>
                <w:szCs w:val="24"/>
                <w:highlight w:val="none"/>
              </w:rPr>
            </w:pPr>
          </w:p>
        </w:tc>
        <w:tc>
          <w:tcPr>
            <w:tcW w:w="1765" w:type="dxa"/>
            <w:noWrap w:val="0"/>
            <w:vAlign w:val="center"/>
          </w:tcPr>
          <w:p w14:paraId="139D4C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780" w:type="dxa"/>
            <w:noWrap w:val="0"/>
            <w:vAlign w:val="center"/>
          </w:tcPr>
          <w:p w14:paraId="40D7A8CD">
            <w:pPr>
              <w:jc w:val="center"/>
              <w:rPr>
                <w:rFonts w:hint="eastAsia" w:ascii="仿宋" w:hAnsi="仿宋" w:eastAsia="仿宋" w:cs="仿宋"/>
                <w:color w:val="auto"/>
                <w:sz w:val="24"/>
                <w:szCs w:val="24"/>
                <w:highlight w:val="none"/>
              </w:rPr>
            </w:pPr>
          </w:p>
        </w:tc>
      </w:tr>
      <w:tr w14:paraId="161C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4D5CBF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85" w:type="dxa"/>
            <w:noWrap w:val="0"/>
            <w:vAlign w:val="center"/>
          </w:tcPr>
          <w:p w14:paraId="16810E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音箱喇叭</w:t>
            </w:r>
          </w:p>
        </w:tc>
        <w:tc>
          <w:tcPr>
            <w:tcW w:w="2480" w:type="dxa"/>
            <w:noWrap w:val="0"/>
            <w:vAlign w:val="center"/>
          </w:tcPr>
          <w:p w14:paraId="146138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8Ω</w:t>
            </w:r>
          </w:p>
        </w:tc>
        <w:tc>
          <w:tcPr>
            <w:tcW w:w="1355" w:type="dxa"/>
            <w:noWrap w:val="0"/>
            <w:vAlign w:val="center"/>
          </w:tcPr>
          <w:p w14:paraId="7B8A7E59">
            <w:pPr>
              <w:jc w:val="center"/>
              <w:rPr>
                <w:rFonts w:hint="eastAsia" w:ascii="仿宋" w:hAnsi="仿宋" w:eastAsia="仿宋" w:cs="仿宋"/>
                <w:color w:val="auto"/>
                <w:sz w:val="24"/>
                <w:szCs w:val="24"/>
                <w:highlight w:val="none"/>
              </w:rPr>
            </w:pPr>
          </w:p>
        </w:tc>
        <w:tc>
          <w:tcPr>
            <w:tcW w:w="1765" w:type="dxa"/>
            <w:noWrap w:val="0"/>
            <w:vAlign w:val="center"/>
          </w:tcPr>
          <w:p w14:paraId="7E203F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4只</w:t>
            </w:r>
          </w:p>
        </w:tc>
        <w:tc>
          <w:tcPr>
            <w:tcW w:w="780" w:type="dxa"/>
            <w:noWrap w:val="0"/>
            <w:vAlign w:val="center"/>
          </w:tcPr>
          <w:p w14:paraId="328F28F9">
            <w:pPr>
              <w:jc w:val="center"/>
              <w:rPr>
                <w:rFonts w:hint="eastAsia" w:ascii="仿宋" w:hAnsi="仿宋" w:eastAsia="仿宋" w:cs="仿宋"/>
                <w:color w:val="auto"/>
                <w:sz w:val="24"/>
                <w:szCs w:val="24"/>
                <w:highlight w:val="none"/>
              </w:rPr>
            </w:pPr>
          </w:p>
        </w:tc>
      </w:tr>
      <w:tr w14:paraId="634F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CCB08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85" w:type="dxa"/>
            <w:noWrap w:val="0"/>
            <w:vAlign w:val="center"/>
          </w:tcPr>
          <w:p w14:paraId="7C9D4D16">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氧舱专用对讲机</w:t>
            </w:r>
          </w:p>
        </w:tc>
        <w:tc>
          <w:tcPr>
            <w:tcW w:w="2480" w:type="dxa"/>
            <w:noWrap w:val="0"/>
            <w:vAlign w:val="center"/>
          </w:tcPr>
          <w:p w14:paraId="00CA70C0">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（DK-Ⅱ）</w:t>
            </w:r>
          </w:p>
        </w:tc>
        <w:tc>
          <w:tcPr>
            <w:tcW w:w="1355" w:type="dxa"/>
            <w:noWrap w:val="0"/>
            <w:vAlign w:val="center"/>
          </w:tcPr>
          <w:p w14:paraId="4233D516">
            <w:pPr>
              <w:jc w:val="center"/>
              <w:rPr>
                <w:rFonts w:hint="eastAsia" w:ascii="仿宋" w:hAnsi="仿宋" w:eastAsia="仿宋" w:cs="仿宋"/>
                <w:color w:val="auto"/>
                <w:sz w:val="24"/>
                <w:szCs w:val="24"/>
                <w:highlight w:val="none"/>
              </w:rPr>
            </w:pPr>
          </w:p>
        </w:tc>
        <w:tc>
          <w:tcPr>
            <w:tcW w:w="1765" w:type="dxa"/>
            <w:noWrap w:val="0"/>
            <w:vAlign w:val="center"/>
          </w:tcPr>
          <w:p w14:paraId="3876C4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78FB2DD4">
            <w:pPr>
              <w:jc w:val="center"/>
              <w:rPr>
                <w:rFonts w:hint="eastAsia" w:ascii="仿宋" w:hAnsi="仿宋" w:eastAsia="仿宋" w:cs="仿宋"/>
                <w:color w:val="auto"/>
                <w:sz w:val="24"/>
                <w:szCs w:val="24"/>
                <w:highlight w:val="none"/>
              </w:rPr>
            </w:pPr>
          </w:p>
        </w:tc>
      </w:tr>
      <w:tr w14:paraId="4C3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3D34A2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85" w:type="dxa"/>
            <w:noWrap w:val="0"/>
            <w:vAlign w:val="center"/>
          </w:tcPr>
          <w:p w14:paraId="11A87A9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电动遥控操作系统</w:t>
            </w:r>
          </w:p>
        </w:tc>
        <w:tc>
          <w:tcPr>
            <w:tcW w:w="2480" w:type="dxa"/>
            <w:noWrap w:val="0"/>
            <w:vAlign w:val="center"/>
          </w:tcPr>
          <w:p w14:paraId="7A3E811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SB-1</w:t>
            </w:r>
          </w:p>
        </w:tc>
        <w:tc>
          <w:tcPr>
            <w:tcW w:w="1355" w:type="dxa"/>
            <w:noWrap w:val="0"/>
            <w:vAlign w:val="center"/>
          </w:tcPr>
          <w:p w14:paraId="58A575B2">
            <w:pPr>
              <w:jc w:val="center"/>
              <w:rPr>
                <w:rFonts w:hint="eastAsia" w:ascii="仿宋" w:hAnsi="仿宋" w:eastAsia="仿宋" w:cs="仿宋"/>
                <w:color w:val="auto"/>
                <w:sz w:val="24"/>
                <w:szCs w:val="24"/>
                <w:highlight w:val="none"/>
              </w:rPr>
            </w:pPr>
          </w:p>
        </w:tc>
        <w:tc>
          <w:tcPr>
            <w:tcW w:w="1765" w:type="dxa"/>
            <w:noWrap w:val="0"/>
            <w:vAlign w:val="center"/>
          </w:tcPr>
          <w:p w14:paraId="045DAB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008F70C3">
            <w:pPr>
              <w:jc w:val="center"/>
              <w:rPr>
                <w:rFonts w:hint="eastAsia" w:ascii="仿宋" w:hAnsi="仿宋" w:eastAsia="仿宋" w:cs="仿宋"/>
                <w:color w:val="auto"/>
                <w:sz w:val="24"/>
                <w:szCs w:val="24"/>
                <w:highlight w:val="none"/>
              </w:rPr>
            </w:pPr>
          </w:p>
        </w:tc>
      </w:tr>
      <w:tr w14:paraId="6CF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670D2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85" w:type="dxa"/>
            <w:noWrap w:val="0"/>
            <w:vAlign w:val="center"/>
          </w:tcPr>
          <w:p w14:paraId="190115C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呼叫系统</w:t>
            </w:r>
          </w:p>
        </w:tc>
        <w:tc>
          <w:tcPr>
            <w:tcW w:w="2480" w:type="dxa"/>
            <w:noWrap w:val="0"/>
            <w:vAlign w:val="center"/>
          </w:tcPr>
          <w:p w14:paraId="5CCF836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液晶感应、无触点</w:t>
            </w:r>
          </w:p>
        </w:tc>
        <w:tc>
          <w:tcPr>
            <w:tcW w:w="1355" w:type="dxa"/>
            <w:noWrap w:val="0"/>
            <w:vAlign w:val="center"/>
          </w:tcPr>
          <w:p w14:paraId="2B6DF543">
            <w:pPr>
              <w:jc w:val="center"/>
              <w:rPr>
                <w:rFonts w:hint="eastAsia" w:ascii="仿宋" w:hAnsi="仿宋" w:eastAsia="仿宋" w:cs="仿宋"/>
                <w:color w:val="auto"/>
                <w:sz w:val="24"/>
                <w:szCs w:val="24"/>
                <w:highlight w:val="none"/>
              </w:rPr>
            </w:pPr>
          </w:p>
        </w:tc>
        <w:tc>
          <w:tcPr>
            <w:tcW w:w="1765" w:type="dxa"/>
            <w:noWrap w:val="0"/>
            <w:vAlign w:val="center"/>
          </w:tcPr>
          <w:p w14:paraId="137A40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39C8813D">
            <w:pPr>
              <w:jc w:val="center"/>
              <w:rPr>
                <w:rFonts w:hint="eastAsia" w:ascii="仿宋" w:hAnsi="仿宋" w:eastAsia="仿宋" w:cs="仿宋"/>
                <w:color w:val="auto"/>
                <w:sz w:val="24"/>
                <w:szCs w:val="24"/>
                <w:highlight w:val="none"/>
              </w:rPr>
            </w:pPr>
          </w:p>
        </w:tc>
      </w:tr>
      <w:tr w14:paraId="13F4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7330C8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85" w:type="dxa"/>
            <w:noWrap w:val="0"/>
            <w:vAlign w:val="center"/>
          </w:tcPr>
          <w:p w14:paraId="6C2AA26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计时器</w:t>
            </w:r>
          </w:p>
        </w:tc>
        <w:tc>
          <w:tcPr>
            <w:tcW w:w="2480" w:type="dxa"/>
            <w:noWrap w:val="0"/>
            <w:vAlign w:val="center"/>
          </w:tcPr>
          <w:p w14:paraId="57E07F6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220V</w:t>
            </w:r>
          </w:p>
        </w:tc>
        <w:tc>
          <w:tcPr>
            <w:tcW w:w="1355" w:type="dxa"/>
            <w:noWrap w:val="0"/>
            <w:vAlign w:val="center"/>
          </w:tcPr>
          <w:p w14:paraId="6A490C01">
            <w:pPr>
              <w:jc w:val="center"/>
              <w:rPr>
                <w:rFonts w:hint="eastAsia" w:ascii="仿宋" w:hAnsi="仿宋" w:eastAsia="仿宋" w:cs="仿宋"/>
                <w:color w:val="auto"/>
                <w:sz w:val="24"/>
                <w:szCs w:val="24"/>
                <w:highlight w:val="none"/>
              </w:rPr>
            </w:pPr>
          </w:p>
        </w:tc>
        <w:tc>
          <w:tcPr>
            <w:tcW w:w="1765" w:type="dxa"/>
            <w:noWrap w:val="0"/>
            <w:vAlign w:val="center"/>
          </w:tcPr>
          <w:p w14:paraId="0B79A1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80" w:type="dxa"/>
            <w:noWrap w:val="0"/>
            <w:vAlign w:val="center"/>
          </w:tcPr>
          <w:p w14:paraId="41C034D3">
            <w:pPr>
              <w:jc w:val="center"/>
              <w:rPr>
                <w:rFonts w:hint="eastAsia" w:ascii="仿宋" w:hAnsi="仿宋" w:eastAsia="仿宋" w:cs="仿宋"/>
                <w:color w:val="auto"/>
                <w:sz w:val="24"/>
                <w:szCs w:val="24"/>
                <w:highlight w:val="none"/>
              </w:rPr>
            </w:pPr>
          </w:p>
        </w:tc>
      </w:tr>
      <w:tr w14:paraId="4240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56D094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885" w:type="dxa"/>
            <w:noWrap w:val="0"/>
            <w:vAlign w:val="center"/>
          </w:tcPr>
          <w:p w14:paraId="435D530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液晶显示器</w:t>
            </w:r>
          </w:p>
        </w:tc>
        <w:tc>
          <w:tcPr>
            <w:tcW w:w="2480" w:type="dxa"/>
            <w:noWrap w:val="0"/>
            <w:vAlign w:val="center"/>
          </w:tcPr>
          <w:p w14:paraId="5AA6BB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w:t>
            </w:r>
          </w:p>
        </w:tc>
        <w:tc>
          <w:tcPr>
            <w:tcW w:w="1355" w:type="dxa"/>
            <w:noWrap w:val="0"/>
            <w:vAlign w:val="center"/>
          </w:tcPr>
          <w:p w14:paraId="1A6DD1BC">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669630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780" w:type="dxa"/>
            <w:noWrap w:val="0"/>
            <w:vAlign w:val="center"/>
          </w:tcPr>
          <w:p w14:paraId="63C44EA6">
            <w:pPr>
              <w:jc w:val="center"/>
              <w:rPr>
                <w:rFonts w:hint="eastAsia" w:ascii="仿宋" w:hAnsi="仿宋" w:eastAsia="仿宋" w:cs="仿宋"/>
                <w:color w:val="auto"/>
                <w:sz w:val="24"/>
                <w:szCs w:val="24"/>
                <w:highlight w:val="none"/>
              </w:rPr>
            </w:pPr>
          </w:p>
        </w:tc>
      </w:tr>
      <w:tr w14:paraId="41AF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639A50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885" w:type="dxa"/>
            <w:noWrap w:val="0"/>
            <w:vAlign w:val="center"/>
          </w:tcPr>
          <w:p w14:paraId="505E71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增加刻录机</w:t>
            </w:r>
          </w:p>
        </w:tc>
        <w:tc>
          <w:tcPr>
            <w:tcW w:w="2480" w:type="dxa"/>
            <w:noWrap w:val="0"/>
            <w:vAlign w:val="center"/>
          </w:tcPr>
          <w:p w14:paraId="1630C8B1">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07250890">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123E3E0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80" w:type="dxa"/>
            <w:noWrap w:val="0"/>
            <w:vAlign w:val="center"/>
          </w:tcPr>
          <w:p w14:paraId="2CC6135B">
            <w:pPr>
              <w:jc w:val="center"/>
              <w:rPr>
                <w:rFonts w:hint="eastAsia" w:ascii="仿宋" w:hAnsi="仿宋" w:eastAsia="仿宋" w:cs="仿宋"/>
                <w:color w:val="auto"/>
                <w:sz w:val="24"/>
                <w:szCs w:val="24"/>
                <w:highlight w:val="none"/>
              </w:rPr>
            </w:pPr>
          </w:p>
        </w:tc>
      </w:tr>
      <w:tr w14:paraId="76BA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75" w:type="dxa"/>
            <w:noWrap w:val="0"/>
            <w:vAlign w:val="center"/>
          </w:tcPr>
          <w:p w14:paraId="05CAB8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885" w:type="dxa"/>
            <w:noWrap w:val="0"/>
            <w:vAlign w:val="center"/>
          </w:tcPr>
          <w:p w14:paraId="6BB3EB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更换空调控制盒</w:t>
            </w:r>
          </w:p>
        </w:tc>
        <w:tc>
          <w:tcPr>
            <w:tcW w:w="2480" w:type="dxa"/>
            <w:noWrap w:val="0"/>
            <w:vAlign w:val="center"/>
          </w:tcPr>
          <w:p w14:paraId="7DC567CE">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5245D774">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33567E6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780" w:type="dxa"/>
            <w:noWrap w:val="0"/>
            <w:vAlign w:val="center"/>
          </w:tcPr>
          <w:p w14:paraId="2F35FDDC">
            <w:pPr>
              <w:jc w:val="center"/>
              <w:rPr>
                <w:rFonts w:hint="eastAsia" w:ascii="仿宋" w:hAnsi="仿宋" w:eastAsia="仿宋" w:cs="仿宋"/>
                <w:color w:val="auto"/>
                <w:sz w:val="24"/>
                <w:szCs w:val="24"/>
                <w:highlight w:val="none"/>
              </w:rPr>
            </w:pPr>
          </w:p>
          <w:p w14:paraId="7B59D786">
            <w:pPr>
              <w:jc w:val="center"/>
              <w:rPr>
                <w:rFonts w:hint="eastAsia" w:ascii="仿宋" w:hAnsi="仿宋" w:eastAsia="仿宋" w:cs="仿宋"/>
                <w:color w:val="auto"/>
                <w:sz w:val="24"/>
                <w:szCs w:val="24"/>
                <w:highlight w:val="none"/>
              </w:rPr>
            </w:pPr>
          </w:p>
        </w:tc>
      </w:tr>
      <w:tr w14:paraId="15D7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575" w:type="dxa"/>
            <w:noWrap w:val="0"/>
            <w:vAlign w:val="center"/>
          </w:tcPr>
          <w:p w14:paraId="12424C9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885" w:type="dxa"/>
            <w:noWrap w:val="0"/>
            <w:vAlign w:val="center"/>
          </w:tcPr>
          <w:p w14:paraId="70D75C0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检修控制台各机械阀门及吸氧装置</w:t>
            </w:r>
          </w:p>
        </w:tc>
        <w:tc>
          <w:tcPr>
            <w:tcW w:w="2480" w:type="dxa"/>
            <w:noWrap w:val="0"/>
            <w:vAlign w:val="center"/>
          </w:tcPr>
          <w:p w14:paraId="074B6A79">
            <w:pPr>
              <w:spacing w:line="360" w:lineRule="exact"/>
              <w:jc w:val="center"/>
              <w:rPr>
                <w:rFonts w:hint="eastAsia" w:ascii="仿宋" w:hAnsi="仿宋" w:eastAsia="仿宋" w:cs="仿宋"/>
                <w:color w:val="auto"/>
                <w:sz w:val="24"/>
                <w:szCs w:val="24"/>
                <w:highlight w:val="none"/>
              </w:rPr>
            </w:pPr>
          </w:p>
        </w:tc>
        <w:tc>
          <w:tcPr>
            <w:tcW w:w="1355" w:type="dxa"/>
            <w:noWrap w:val="0"/>
            <w:vAlign w:val="center"/>
          </w:tcPr>
          <w:p w14:paraId="71089808">
            <w:pPr>
              <w:spacing w:line="360" w:lineRule="exact"/>
              <w:jc w:val="center"/>
              <w:rPr>
                <w:rFonts w:hint="eastAsia" w:ascii="仿宋" w:hAnsi="仿宋" w:eastAsia="仿宋" w:cs="仿宋"/>
                <w:color w:val="auto"/>
                <w:sz w:val="24"/>
                <w:szCs w:val="24"/>
                <w:highlight w:val="none"/>
              </w:rPr>
            </w:pPr>
          </w:p>
        </w:tc>
        <w:tc>
          <w:tcPr>
            <w:tcW w:w="1765" w:type="dxa"/>
            <w:noWrap w:val="0"/>
            <w:vAlign w:val="center"/>
          </w:tcPr>
          <w:p w14:paraId="4803BE7D">
            <w:pPr>
              <w:spacing w:line="360" w:lineRule="exact"/>
              <w:jc w:val="center"/>
              <w:rPr>
                <w:rFonts w:hint="eastAsia" w:ascii="仿宋" w:hAnsi="仿宋" w:eastAsia="仿宋" w:cs="仿宋"/>
                <w:color w:val="auto"/>
                <w:sz w:val="24"/>
                <w:szCs w:val="24"/>
                <w:highlight w:val="none"/>
              </w:rPr>
            </w:pPr>
          </w:p>
        </w:tc>
        <w:tc>
          <w:tcPr>
            <w:tcW w:w="780" w:type="dxa"/>
            <w:noWrap w:val="0"/>
            <w:vAlign w:val="center"/>
          </w:tcPr>
          <w:p w14:paraId="68A26B02">
            <w:pPr>
              <w:jc w:val="center"/>
              <w:rPr>
                <w:rFonts w:hint="eastAsia" w:ascii="仿宋" w:hAnsi="仿宋" w:eastAsia="仿宋" w:cs="仿宋"/>
                <w:color w:val="auto"/>
                <w:sz w:val="24"/>
                <w:szCs w:val="24"/>
                <w:highlight w:val="none"/>
              </w:rPr>
            </w:pPr>
          </w:p>
        </w:tc>
      </w:tr>
    </w:tbl>
    <w:p w14:paraId="53F5E548">
      <w:pPr>
        <w:rPr>
          <w:rFonts w:hint="eastAsia" w:ascii="仿宋" w:hAnsi="仿宋" w:eastAsia="仿宋" w:cs="仿宋"/>
          <w:color w:val="auto"/>
          <w:sz w:val="24"/>
          <w:szCs w:val="24"/>
          <w:highlight w:val="none"/>
        </w:rPr>
      </w:pPr>
    </w:p>
    <w:p w14:paraId="22B0699B">
      <w:pPr>
        <w:rPr>
          <w:rFonts w:hint="eastAsia" w:ascii="仿宋" w:hAnsi="仿宋" w:eastAsia="仿宋" w:cs="仿宋"/>
          <w:color w:val="auto"/>
          <w:sz w:val="24"/>
          <w:szCs w:val="24"/>
          <w:highlight w:val="none"/>
        </w:rPr>
      </w:pPr>
    </w:p>
    <w:p w14:paraId="3DE6D9E6">
      <w:pPr>
        <w:rPr>
          <w:rFonts w:hint="eastAsia" w:ascii="仿宋" w:hAnsi="仿宋" w:eastAsia="仿宋" w:cs="仿宋"/>
          <w:color w:val="auto"/>
          <w:sz w:val="24"/>
          <w:szCs w:val="24"/>
          <w:highlight w:val="none"/>
        </w:rPr>
      </w:pPr>
    </w:p>
    <w:tbl>
      <w:tblPr>
        <w:tblStyle w:val="62"/>
        <w:tblW w:w="9845"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982"/>
        <w:gridCol w:w="2450"/>
        <w:gridCol w:w="1355"/>
        <w:gridCol w:w="1795"/>
        <w:gridCol w:w="755"/>
      </w:tblGrid>
      <w:tr w14:paraId="7DA9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845" w:type="dxa"/>
            <w:gridSpan w:val="6"/>
            <w:noWrap w:val="0"/>
            <w:vAlign w:val="center"/>
          </w:tcPr>
          <w:p w14:paraId="5212FE4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三、空气系统（供排气系统）</w:t>
            </w:r>
          </w:p>
        </w:tc>
      </w:tr>
      <w:tr w14:paraId="57DC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08" w:type="dxa"/>
            <w:noWrap w:val="0"/>
            <w:vAlign w:val="center"/>
          </w:tcPr>
          <w:p w14:paraId="6CBC12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82" w:type="dxa"/>
            <w:noWrap w:val="0"/>
            <w:vAlign w:val="center"/>
          </w:tcPr>
          <w:p w14:paraId="5F9A2F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50" w:type="dxa"/>
            <w:noWrap w:val="0"/>
            <w:vAlign w:val="center"/>
          </w:tcPr>
          <w:p w14:paraId="4FF7B6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55" w:type="dxa"/>
            <w:noWrap w:val="0"/>
            <w:vAlign w:val="center"/>
          </w:tcPr>
          <w:p w14:paraId="4D98C6C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95" w:type="dxa"/>
            <w:noWrap w:val="0"/>
            <w:vAlign w:val="center"/>
          </w:tcPr>
          <w:p w14:paraId="2D7219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5" w:type="dxa"/>
            <w:noWrap w:val="0"/>
            <w:vAlign w:val="center"/>
          </w:tcPr>
          <w:p w14:paraId="7B5A0B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C0B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02CCE6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82" w:type="dxa"/>
            <w:noWrap w:val="0"/>
            <w:vAlign w:val="center"/>
          </w:tcPr>
          <w:p w14:paraId="12DF817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469D25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DN40</w:t>
            </w:r>
          </w:p>
        </w:tc>
        <w:tc>
          <w:tcPr>
            <w:tcW w:w="1355" w:type="dxa"/>
            <w:noWrap w:val="0"/>
            <w:vAlign w:val="center"/>
          </w:tcPr>
          <w:p w14:paraId="5105953E">
            <w:pPr>
              <w:jc w:val="center"/>
              <w:rPr>
                <w:rFonts w:hint="eastAsia" w:ascii="仿宋" w:hAnsi="仿宋" w:eastAsia="仿宋" w:cs="仿宋"/>
                <w:color w:val="auto"/>
                <w:sz w:val="24"/>
                <w:szCs w:val="24"/>
                <w:highlight w:val="none"/>
              </w:rPr>
            </w:pPr>
          </w:p>
        </w:tc>
        <w:tc>
          <w:tcPr>
            <w:tcW w:w="1795" w:type="dxa"/>
            <w:noWrap w:val="0"/>
            <w:vAlign w:val="center"/>
          </w:tcPr>
          <w:p w14:paraId="286BFB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4AF2D687">
            <w:pPr>
              <w:jc w:val="center"/>
              <w:rPr>
                <w:rFonts w:hint="eastAsia" w:ascii="仿宋" w:hAnsi="仿宋" w:eastAsia="仿宋" w:cs="仿宋"/>
                <w:color w:val="auto"/>
                <w:sz w:val="24"/>
                <w:szCs w:val="24"/>
                <w:highlight w:val="none"/>
              </w:rPr>
            </w:pPr>
          </w:p>
        </w:tc>
      </w:tr>
      <w:tr w14:paraId="4DA8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BDFA7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82" w:type="dxa"/>
            <w:noWrap w:val="0"/>
            <w:vAlign w:val="center"/>
          </w:tcPr>
          <w:p w14:paraId="68B9762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567AAB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DN65</w:t>
            </w:r>
          </w:p>
        </w:tc>
        <w:tc>
          <w:tcPr>
            <w:tcW w:w="1355" w:type="dxa"/>
            <w:noWrap w:val="0"/>
            <w:vAlign w:val="center"/>
          </w:tcPr>
          <w:p w14:paraId="4972180A">
            <w:pPr>
              <w:jc w:val="center"/>
              <w:rPr>
                <w:rFonts w:hint="eastAsia" w:ascii="仿宋" w:hAnsi="仿宋" w:eastAsia="仿宋" w:cs="仿宋"/>
                <w:color w:val="auto"/>
                <w:sz w:val="24"/>
                <w:szCs w:val="24"/>
                <w:highlight w:val="none"/>
              </w:rPr>
            </w:pPr>
          </w:p>
        </w:tc>
        <w:tc>
          <w:tcPr>
            <w:tcW w:w="1795" w:type="dxa"/>
            <w:noWrap w:val="0"/>
            <w:vAlign w:val="center"/>
          </w:tcPr>
          <w:p w14:paraId="7441F2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55" w:type="dxa"/>
            <w:noWrap w:val="0"/>
            <w:vAlign w:val="center"/>
          </w:tcPr>
          <w:p w14:paraId="03499E96">
            <w:pPr>
              <w:jc w:val="center"/>
              <w:rPr>
                <w:rFonts w:hint="eastAsia" w:ascii="仿宋" w:hAnsi="仿宋" w:eastAsia="仿宋" w:cs="仿宋"/>
                <w:color w:val="auto"/>
                <w:sz w:val="24"/>
                <w:szCs w:val="24"/>
                <w:highlight w:val="none"/>
              </w:rPr>
            </w:pPr>
          </w:p>
        </w:tc>
      </w:tr>
      <w:tr w14:paraId="7698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2B62B1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82" w:type="dxa"/>
            <w:noWrap w:val="0"/>
            <w:vAlign w:val="center"/>
          </w:tcPr>
          <w:p w14:paraId="636FDBE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更换气动薄膜阀</w:t>
            </w:r>
          </w:p>
        </w:tc>
        <w:tc>
          <w:tcPr>
            <w:tcW w:w="2450" w:type="dxa"/>
            <w:noWrap w:val="0"/>
            <w:vAlign w:val="center"/>
          </w:tcPr>
          <w:p w14:paraId="6AFC26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DN32</w:t>
            </w:r>
          </w:p>
        </w:tc>
        <w:tc>
          <w:tcPr>
            <w:tcW w:w="1355" w:type="dxa"/>
            <w:noWrap w:val="0"/>
            <w:vAlign w:val="center"/>
          </w:tcPr>
          <w:p w14:paraId="4589C677">
            <w:pPr>
              <w:jc w:val="center"/>
              <w:rPr>
                <w:rFonts w:hint="eastAsia" w:ascii="仿宋" w:hAnsi="仿宋" w:eastAsia="仿宋" w:cs="仿宋"/>
                <w:color w:val="auto"/>
                <w:sz w:val="24"/>
                <w:szCs w:val="24"/>
                <w:highlight w:val="none"/>
              </w:rPr>
            </w:pPr>
          </w:p>
        </w:tc>
        <w:tc>
          <w:tcPr>
            <w:tcW w:w="1795" w:type="dxa"/>
            <w:noWrap w:val="0"/>
            <w:vAlign w:val="center"/>
          </w:tcPr>
          <w:p w14:paraId="2D30D8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55" w:type="dxa"/>
            <w:noWrap w:val="0"/>
            <w:vAlign w:val="center"/>
          </w:tcPr>
          <w:p w14:paraId="51F02745">
            <w:pPr>
              <w:jc w:val="center"/>
              <w:rPr>
                <w:rFonts w:hint="eastAsia" w:ascii="仿宋" w:hAnsi="仿宋" w:eastAsia="仿宋" w:cs="仿宋"/>
                <w:color w:val="auto"/>
                <w:sz w:val="24"/>
                <w:szCs w:val="24"/>
                <w:highlight w:val="none"/>
              </w:rPr>
            </w:pPr>
          </w:p>
        </w:tc>
      </w:tr>
      <w:tr w14:paraId="6C9D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D015B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82" w:type="dxa"/>
            <w:noWrap w:val="0"/>
            <w:vAlign w:val="center"/>
          </w:tcPr>
          <w:p w14:paraId="5368241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储气罐清污除锈</w:t>
            </w:r>
          </w:p>
        </w:tc>
        <w:tc>
          <w:tcPr>
            <w:tcW w:w="2450" w:type="dxa"/>
            <w:noWrap w:val="0"/>
            <w:vAlign w:val="center"/>
          </w:tcPr>
          <w:p w14:paraId="4B0D38D5">
            <w:pPr>
              <w:jc w:val="center"/>
              <w:rPr>
                <w:rFonts w:hint="eastAsia" w:ascii="仿宋" w:hAnsi="仿宋" w:eastAsia="仿宋" w:cs="仿宋"/>
                <w:color w:val="auto"/>
                <w:sz w:val="24"/>
                <w:szCs w:val="24"/>
                <w:highlight w:val="none"/>
              </w:rPr>
            </w:pPr>
          </w:p>
        </w:tc>
        <w:tc>
          <w:tcPr>
            <w:tcW w:w="1355" w:type="dxa"/>
            <w:noWrap w:val="0"/>
            <w:vAlign w:val="center"/>
          </w:tcPr>
          <w:p w14:paraId="77D306C9">
            <w:pPr>
              <w:jc w:val="center"/>
              <w:rPr>
                <w:rFonts w:hint="eastAsia" w:ascii="仿宋" w:hAnsi="仿宋" w:eastAsia="仿宋" w:cs="仿宋"/>
                <w:color w:val="auto"/>
                <w:sz w:val="24"/>
                <w:szCs w:val="24"/>
                <w:highlight w:val="none"/>
              </w:rPr>
            </w:pPr>
          </w:p>
        </w:tc>
        <w:tc>
          <w:tcPr>
            <w:tcW w:w="1795" w:type="dxa"/>
            <w:noWrap w:val="0"/>
            <w:vAlign w:val="center"/>
          </w:tcPr>
          <w:p w14:paraId="61E786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7B016FC4">
            <w:pPr>
              <w:jc w:val="center"/>
              <w:rPr>
                <w:rFonts w:hint="eastAsia" w:ascii="仿宋" w:hAnsi="仿宋" w:eastAsia="仿宋" w:cs="仿宋"/>
                <w:color w:val="auto"/>
                <w:sz w:val="24"/>
                <w:szCs w:val="24"/>
                <w:highlight w:val="none"/>
              </w:rPr>
            </w:pPr>
          </w:p>
        </w:tc>
      </w:tr>
      <w:tr w14:paraId="4F04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35B575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82" w:type="dxa"/>
            <w:noWrap w:val="0"/>
            <w:vAlign w:val="center"/>
          </w:tcPr>
          <w:p w14:paraId="37FE009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更换精密过滤器滤芯</w:t>
            </w:r>
          </w:p>
        </w:tc>
        <w:tc>
          <w:tcPr>
            <w:tcW w:w="2450" w:type="dxa"/>
            <w:noWrap w:val="0"/>
            <w:vAlign w:val="center"/>
          </w:tcPr>
          <w:p w14:paraId="39FCA6A7">
            <w:pPr>
              <w:jc w:val="center"/>
              <w:rPr>
                <w:rFonts w:hint="eastAsia" w:ascii="仿宋" w:hAnsi="仿宋" w:eastAsia="仿宋" w:cs="仿宋"/>
                <w:color w:val="auto"/>
                <w:sz w:val="24"/>
                <w:szCs w:val="24"/>
                <w:highlight w:val="none"/>
              </w:rPr>
            </w:pPr>
          </w:p>
        </w:tc>
        <w:tc>
          <w:tcPr>
            <w:tcW w:w="1355" w:type="dxa"/>
            <w:noWrap w:val="0"/>
            <w:vAlign w:val="center"/>
          </w:tcPr>
          <w:p w14:paraId="438201A9">
            <w:pPr>
              <w:jc w:val="center"/>
              <w:rPr>
                <w:rFonts w:hint="eastAsia" w:ascii="仿宋" w:hAnsi="仿宋" w:eastAsia="仿宋" w:cs="仿宋"/>
                <w:color w:val="auto"/>
                <w:sz w:val="24"/>
                <w:szCs w:val="24"/>
                <w:highlight w:val="none"/>
              </w:rPr>
            </w:pPr>
          </w:p>
        </w:tc>
        <w:tc>
          <w:tcPr>
            <w:tcW w:w="1795" w:type="dxa"/>
            <w:noWrap w:val="0"/>
            <w:vAlign w:val="center"/>
          </w:tcPr>
          <w:p w14:paraId="39639A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755" w:type="dxa"/>
            <w:noWrap w:val="0"/>
            <w:vAlign w:val="center"/>
          </w:tcPr>
          <w:p w14:paraId="1FFB6A64">
            <w:pPr>
              <w:jc w:val="center"/>
              <w:rPr>
                <w:rFonts w:hint="eastAsia" w:ascii="仿宋" w:hAnsi="仿宋" w:eastAsia="仿宋" w:cs="仿宋"/>
                <w:color w:val="auto"/>
                <w:sz w:val="24"/>
                <w:szCs w:val="24"/>
                <w:highlight w:val="none"/>
              </w:rPr>
            </w:pPr>
          </w:p>
        </w:tc>
      </w:tr>
      <w:tr w14:paraId="5327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D1905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982" w:type="dxa"/>
            <w:noWrap w:val="0"/>
            <w:vAlign w:val="center"/>
          </w:tcPr>
          <w:p w14:paraId="3B87C91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供气系统气密性检测</w:t>
            </w:r>
          </w:p>
        </w:tc>
        <w:tc>
          <w:tcPr>
            <w:tcW w:w="2450" w:type="dxa"/>
            <w:noWrap w:val="0"/>
            <w:vAlign w:val="center"/>
          </w:tcPr>
          <w:p w14:paraId="77306101">
            <w:pPr>
              <w:jc w:val="center"/>
              <w:rPr>
                <w:rFonts w:hint="eastAsia" w:ascii="仿宋" w:hAnsi="仿宋" w:eastAsia="仿宋" w:cs="仿宋"/>
                <w:color w:val="auto"/>
                <w:sz w:val="24"/>
                <w:szCs w:val="24"/>
                <w:highlight w:val="none"/>
              </w:rPr>
            </w:pPr>
          </w:p>
        </w:tc>
        <w:tc>
          <w:tcPr>
            <w:tcW w:w="1355" w:type="dxa"/>
            <w:noWrap w:val="0"/>
            <w:vAlign w:val="center"/>
          </w:tcPr>
          <w:p w14:paraId="568BE079">
            <w:pPr>
              <w:jc w:val="center"/>
              <w:rPr>
                <w:rFonts w:hint="eastAsia" w:ascii="仿宋" w:hAnsi="仿宋" w:eastAsia="仿宋" w:cs="仿宋"/>
                <w:color w:val="auto"/>
                <w:sz w:val="24"/>
                <w:szCs w:val="24"/>
                <w:highlight w:val="none"/>
              </w:rPr>
            </w:pPr>
          </w:p>
        </w:tc>
        <w:tc>
          <w:tcPr>
            <w:tcW w:w="1795" w:type="dxa"/>
            <w:noWrap w:val="0"/>
            <w:vAlign w:val="center"/>
          </w:tcPr>
          <w:p w14:paraId="233A57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755" w:type="dxa"/>
            <w:noWrap w:val="0"/>
            <w:vAlign w:val="center"/>
          </w:tcPr>
          <w:p w14:paraId="53F2F765">
            <w:pPr>
              <w:jc w:val="center"/>
              <w:rPr>
                <w:rFonts w:hint="eastAsia" w:ascii="仿宋" w:hAnsi="仿宋" w:eastAsia="仿宋" w:cs="仿宋"/>
                <w:color w:val="auto"/>
                <w:sz w:val="24"/>
                <w:szCs w:val="24"/>
                <w:highlight w:val="none"/>
              </w:rPr>
            </w:pPr>
          </w:p>
        </w:tc>
      </w:tr>
      <w:tr w14:paraId="6A8D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648237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982" w:type="dxa"/>
            <w:noWrap w:val="0"/>
            <w:vAlign w:val="center"/>
          </w:tcPr>
          <w:p w14:paraId="7476779E">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空压机保养</w:t>
            </w:r>
          </w:p>
        </w:tc>
        <w:tc>
          <w:tcPr>
            <w:tcW w:w="2450" w:type="dxa"/>
            <w:noWrap w:val="0"/>
            <w:vAlign w:val="center"/>
          </w:tcPr>
          <w:p w14:paraId="3BD502AD">
            <w:pPr>
              <w:jc w:val="center"/>
              <w:rPr>
                <w:rFonts w:hint="eastAsia" w:ascii="仿宋" w:hAnsi="仿宋" w:eastAsia="仿宋" w:cs="仿宋"/>
                <w:color w:val="auto"/>
                <w:sz w:val="24"/>
                <w:szCs w:val="24"/>
                <w:highlight w:val="none"/>
              </w:rPr>
            </w:pPr>
          </w:p>
        </w:tc>
        <w:tc>
          <w:tcPr>
            <w:tcW w:w="1355" w:type="dxa"/>
            <w:noWrap w:val="0"/>
            <w:vAlign w:val="center"/>
          </w:tcPr>
          <w:p w14:paraId="14EFD8C2">
            <w:pPr>
              <w:jc w:val="center"/>
              <w:rPr>
                <w:rFonts w:hint="eastAsia" w:ascii="仿宋" w:hAnsi="仿宋" w:eastAsia="仿宋" w:cs="仿宋"/>
                <w:color w:val="auto"/>
                <w:sz w:val="24"/>
                <w:szCs w:val="24"/>
                <w:highlight w:val="none"/>
              </w:rPr>
            </w:pPr>
          </w:p>
        </w:tc>
        <w:tc>
          <w:tcPr>
            <w:tcW w:w="1795" w:type="dxa"/>
            <w:noWrap w:val="0"/>
            <w:vAlign w:val="center"/>
          </w:tcPr>
          <w:p w14:paraId="33CCF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4DA26A26">
            <w:pPr>
              <w:jc w:val="center"/>
              <w:rPr>
                <w:rFonts w:hint="eastAsia" w:ascii="仿宋" w:hAnsi="仿宋" w:eastAsia="仿宋" w:cs="仿宋"/>
                <w:color w:val="auto"/>
                <w:sz w:val="24"/>
                <w:szCs w:val="24"/>
                <w:highlight w:val="none"/>
              </w:rPr>
            </w:pPr>
          </w:p>
        </w:tc>
      </w:tr>
      <w:tr w14:paraId="19D7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7ADAEE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82" w:type="dxa"/>
            <w:noWrap w:val="0"/>
            <w:vAlign w:val="center"/>
          </w:tcPr>
          <w:p w14:paraId="2D54D738">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检修冷干机</w:t>
            </w:r>
          </w:p>
        </w:tc>
        <w:tc>
          <w:tcPr>
            <w:tcW w:w="2450" w:type="dxa"/>
            <w:noWrap w:val="0"/>
            <w:vAlign w:val="center"/>
          </w:tcPr>
          <w:p w14:paraId="49B43555">
            <w:pPr>
              <w:jc w:val="center"/>
              <w:rPr>
                <w:rFonts w:hint="eastAsia" w:ascii="仿宋" w:hAnsi="仿宋" w:eastAsia="仿宋" w:cs="仿宋"/>
                <w:color w:val="auto"/>
                <w:sz w:val="24"/>
                <w:szCs w:val="24"/>
                <w:highlight w:val="none"/>
              </w:rPr>
            </w:pPr>
          </w:p>
        </w:tc>
        <w:tc>
          <w:tcPr>
            <w:tcW w:w="1355" w:type="dxa"/>
            <w:noWrap w:val="0"/>
            <w:vAlign w:val="center"/>
          </w:tcPr>
          <w:p w14:paraId="36F4F6F1">
            <w:pPr>
              <w:jc w:val="center"/>
              <w:rPr>
                <w:rFonts w:hint="eastAsia" w:ascii="仿宋" w:hAnsi="仿宋" w:eastAsia="仿宋" w:cs="仿宋"/>
                <w:color w:val="auto"/>
                <w:sz w:val="24"/>
                <w:szCs w:val="24"/>
                <w:highlight w:val="none"/>
              </w:rPr>
            </w:pPr>
          </w:p>
        </w:tc>
        <w:tc>
          <w:tcPr>
            <w:tcW w:w="1795" w:type="dxa"/>
            <w:noWrap w:val="0"/>
            <w:vAlign w:val="center"/>
          </w:tcPr>
          <w:p w14:paraId="6299AF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2台</w:t>
            </w:r>
          </w:p>
        </w:tc>
        <w:tc>
          <w:tcPr>
            <w:tcW w:w="755" w:type="dxa"/>
            <w:noWrap w:val="0"/>
            <w:vAlign w:val="center"/>
          </w:tcPr>
          <w:p w14:paraId="305C8D38">
            <w:pPr>
              <w:jc w:val="center"/>
              <w:rPr>
                <w:rFonts w:hint="eastAsia" w:ascii="仿宋" w:hAnsi="仿宋" w:eastAsia="仿宋" w:cs="仿宋"/>
                <w:color w:val="auto"/>
                <w:sz w:val="24"/>
                <w:szCs w:val="24"/>
                <w:highlight w:val="none"/>
              </w:rPr>
            </w:pPr>
          </w:p>
        </w:tc>
      </w:tr>
      <w:tr w14:paraId="2B6F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8" w:type="dxa"/>
            <w:noWrap w:val="0"/>
            <w:vAlign w:val="center"/>
          </w:tcPr>
          <w:p w14:paraId="09F004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82" w:type="dxa"/>
            <w:noWrap w:val="0"/>
            <w:vAlign w:val="center"/>
          </w:tcPr>
          <w:p w14:paraId="3EEBD8C0">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检修管道各阀门法兰连接</w:t>
            </w:r>
          </w:p>
        </w:tc>
        <w:tc>
          <w:tcPr>
            <w:tcW w:w="2450" w:type="dxa"/>
            <w:noWrap w:val="0"/>
            <w:vAlign w:val="center"/>
          </w:tcPr>
          <w:p w14:paraId="56A8BB5B">
            <w:pPr>
              <w:jc w:val="center"/>
              <w:rPr>
                <w:rFonts w:hint="eastAsia" w:ascii="仿宋" w:hAnsi="仿宋" w:eastAsia="仿宋" w:cs="仿宋"/>
                <w:color w:val="auto"/>
                <w:sz w:val="24"/>
                <w:szCs w:val="24"/>
                <w:highlight w:val="none"/>
              </w:rPr>
            </w:pPr>
          </w:p>
        </w:tc>
        <w:tc>
          <w:tcPr>
            <w:tcW w:w="1355" w:type="dxa"/>
            <w:noWrap w:val="0"/>
            <w:vAlign w:val="center"/>
          </w:tcPr>
          <w:p w14:paraId="75C869B3">
            <w:pPr>
              <w:jc w:val="center"/>
              <w:rPr>
                <w:rFonts w:hint="eastAsia" w:ascii="仿宋" w:hAnsi="仿宋" w:eastAsia="仿宋" w:cs="仿宋"/>
                <w:color w:val="auto"/>
                <w:sz w:val="24"/>
                <w:szCs w:val="24"/>
                <w:highlight w:val="none"/>
              </w:rPr>
            </w:pPr>
          </w:p>
        </w:tc>
        <w:tc>
          <w:tcPr>
            <w:tcW w:w="1795" w:type="dxa"/>
            <w:noWrap w:val="0"/>
            <w:vAlign w:val="center"/>
          </w:tcPr>
          <w:p w14:paraId="54EF209D">
            <w:pPr>
              <w:jc w:val="center"/>
              <w:rPr>
                <w:rFonts w:hint="eastAsia" w:ascii="仿宋" w:hAnsi="仿宋" w:eastAsia="仿宋" w:cs="仿宋"/>
                <w:color w:val="auto"/>
                <w:sz w:val="24"/>
                <w:szCs w:val="24"/>
                <w:highlight w:val="none"/>
              </w:rPr>
            </w:pPr>
          </w:p>
        </w:tc>
        <w:tc>
          <w:tcPr>
            <w:tcW w:w="755" w:type="dxa"/>
            <w:noWrap w:val="0"/>
            <w:vAlign w:val="center"/>
          </w:tcPr>
          <w:p w14:paraId="28E59083">
            <w:pPr>
              <w:jc w:val="center"/>
              <w:rPr>
                <w:rFonts w:hint="eastAsia" w:ascii="仿宋" w:hAnsi="仿宋" w:eastAsia="仿宋" w:cs="仿宋"/>
                <w:color w:val="auto"/>
                <w:sz w:val="24"/>
                <w:szCs w:val="24"/>
                <w:highlight w:val="none"/>
              </w:rPr>
            </w:pPr>
          </w:p>
        </w:tc>
      </w:tr>
    </w:tbl>
    <w:p w14:paraId="688869D7">
      <w:pPr>
        <w:rPr>
          <w:rFonts w:hint="eastAsia" w:ascii="仿宋" w:hAnsi="仿宋" w:eastAsia="仿宋" w:cs="仿宋"/>
          <w:color w:val="auto"/>
          <w:sz w:val="24"/>
          <w:szCs w:val="24"/>
          <w:highlight w:val="none"/>
        </w:rPr>
      </w:pPr>
    </w:p>
    <w:p w14:paraId="50C10589">
      <w:pPr>
        <w:rPr>
          <w:rFonts w:hint="eastAsia" w:ascii="仿宋" w:hAnsi="仿宋" w:eastAsia="仿宋" w:cs="仿宋"/>
          <w:color w:val="auto"/>
          <w:sz w:val="24"/>
          <w:szCs w:val="24"/>
          <w:highlight w:val="none"/>
        </w:rPr>
      </w:pPr>
    </w:p>
    <w:tbl>
      <w:tblPr>
        <w:tblStyle w:val="62"/>
        <w:tblW w:w="976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082"/>
        <w:gridCol w:w="2440"/>
        <w:gridCol w:w="1365"/>
        <w:gridCol w:w="1755"/>
        <w:gridCol w:w="680"/>
      </w:tblGrid>
      <w:tr w14:paraId="3D2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9760" w:type="dxa"/>
            <w:gridSpan w:val="6"/>
            <w:noWrap w:val="0"/>
            <w:vAlign w:val="center"/>
          </w:tcPr>
          <w:p w14:paraId="431030C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四、氧气系统（供排氧系统）</w:t>
            </w:r>
          </w:p>
        </w:tc>
      </w:tr>
      <w:tr w14:paraId="26F4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8" w:type="dxa"/>
            <w:noWrap w:val="0"/>
            <w:vAlign w:val="center"/>
          </w:tcPr>
          <w:p w14:paraId="604274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2" w:type="dxa"/>
            <w:noWrap w:val="0"/>
            <w:vAlign w:val="center"/>
          </w:tcPr>
          <w:p w14:paraId="594565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40" w:type="dxa"/>
            <w:noWrap w:val="0"/>
            <w:vAlign w:val="center"/>
          </w:tcPr>
          <w:p w14:paraId="38F4E6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365" w:type="dxa"/>
            <w:noWrap w:val="0"/>
            <w:vAlign w:val="center"/>
          </w:tcPr>
          <w:p w14:paraId="74069A1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55" w:type="dxa"/>
            <w:noWrap w:val="0"/>
            <w:vAlign w:val="center"/>
          </w:tcPr>
          <w:p w14:paraId="453150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0" w:type="dxa"/>
            <w:noWrap w:val="0"/>
            <w:vAlign w:val="center"/>
          </w:tcPr>
          <w:p w14:paraId="48A0AB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6C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54C597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82" w:type="dxa"/>
            <w:noWrap w:val="0"/>
            <w:vAlign w:val="center"/>
          </w:tcPr>
          <w:p w14:paraId="791C276C">
            <w:pPr>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吸氧调节器</w:t>
            </w:r>
          </w:p>
        </w:tc>
        <w:tc>
          <w:tcPr>
            <w:tcW w:w="2440" w:type="dxa"/>
            <w:noWrap w:val="0"/>
            <w:vAlign w:val="center"/>
          </w:tcPr>
          <w:p w14:paraId="03A3EA3E">
            <w:pPr>
              <w:jc w:val="center"/>
              <w:rPr>
                <w:rFonts w:hint="eastAsia" w:ascii="仿宋" w:hAnsi="仿宋" w:eastAsia="仿宋" w:cs="仿宋"/>
                <w:color w:val="auto"/>
                <w:sz w:val="24"/>
                <w:szCs w:val="24"/>
                <w:highlight w:val="none"/>
              </w:rPr>
            </w:pPr>
          </w:p>
        </w:tc>
        <w:tc>
          <w:tcPr>
            <w:tcW w:w="1365" w:type="dxa"/>
            <w:noWrap w:val="0"/>
            <w:vAlign w:val="center"/>
          </w:tcPr>
          <w:p w14:paraId="0F37A1CB">
            <w:pPr>
              <w:jc w:val="center"/>
              <w:rPr>
                <w:rFonts w:hint="eastAsia" w:ascii="仿宋" w:hAnsi="仿宋" w:eastAsia="仿宋" w:cs="仿宋"/>
                <w:color w:val="auto"/>
                <w:sz w:val="24"/>
                <w:szCs w:val="24"/>
                <w:highlight w:val="none"/>
              </w:rPr>
            </w:pPr>
          </w:p>
        </w:tc>
        <w:tc>
          <w:tcPr>
            <w:tcW w:w="1755" w:type="dxa"/>
            <w:noWrap w:val="0"/>
            <w:vAlign w:val="center"/>
          </w:tcPr>
          <w:p w14:paraId="4A6DC4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18套</w:t>
            </w:r>
          </w:p>
        </w:tc>
        <w:tc>
          <w:tcPr>
            <w:tcW w:w="680" w:type="dxa"/>
            <w:noWrap w:val="0"/>
            <w:vAlign w:val="center"/>
          </w:tcPr>
          <w:p w14:paraId="1E34061E">
            <w:pPr>
              <w:jc w:val="center"/>
              <w:rPr>
                <w:rFonts w:hint="eastAsia" w:ascii="仿宋" w:hAnsi="仿宋" w:eastAsia="仿宋" w:cs="仿宋"/>
                <w:color w:val="auto"/>
                <w:sz w:val="24"/>
                <w:szCs w:val="24"/>
                <w:highlight w:val="none"/>
              </w:rPr>
            </w:pPr>
          </w:p>
        </w:tc>
      </w:tr>
      <w:tr w14:paraId="1257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2512AE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82" w:type="dxa"/>
            <w:noWrap w:val="0"/>
            <w:vAlign w:val="center"/>
          </w:tcPr>
          <w:p w14:paraId="0A5A30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更换排氧电动阀</w:t>
            </w:r>
          </w:p>
        </w:tc>
        <w:tc>
          <w:tcPr>
            <w:tcW w:w="2440" w:type="dxa"/>
            <w:noWrap w:val="0"/>
            <w:vAlign w:val="center"/>
          </w:tcPr>
          <w:p w14:paraId="07CE9C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DN20</w:t>
            </w:r>
          </w:p>
        </w:tc>
        <w:tc>
          <w:tcPr>
            <w:tcW w:w="1365" w:type="dxa"/>
            <w:noWrap w:val="0"/>
            <w:vAlign w:val="center"/>
          </w:tcPr>
          <w:p w14:paraId="45799B1D">
            <w:pPr>
              <w:jc w:val="center"/>
              <w:rPr>
                <w:rFonts w:hint="eastAsia" w:ascii="仿宋" w:hAnsi="仿宋" w:eastAsia="仿宋" w:cs="仿宋"/>
                <w:color w:val="auto"/>
                <w:sz w:val="24"/>
                <w:szCs w:val="24"/>
                <w:highlight w:val="none"/>
              </w:rPr>
            </w:pPr>
          </w:p>
        </w:tc>
        <w:tc>
          <w:tcPr>
            <w:tcW w:w="1755" w:type="dxa"/>
            <w:noWrap w:val="0"/>
            <w:vAlign w:val="center"/>
          </w:tcPr>
          <w:p w14:paraId="535E2F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680" w:type="dxa"/>
            <w:noWrap w:val="0"/>
            <w:vAlign w:val="center"/>
          </w:tcPr>
          <w:p w14:paraId="65B9F4EF">
            <w:pPr>
              <w:jc w:val="center"/>
              <w:rPr>
                <w:rFonts w:hint="eastAsia" w:ascii="仿宋" w:hAnsi="仿宋" w:eastAsia="仿宋" w:cs="仿宋"/>
                <w:color w:val="auto"/>
                <w:sz w:val="24"/>
                <w:szCs w:val="24"/>
                <w:highlight w:val="none"/>
              </w:rPr>
            </w:pPr>
          </w:p>
        </w:tc>
      </w:tr>
      <w:tr w14:paraId="6222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73A904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82" w:type="dxa"/>
            <w:noWrap w:val="0"/>
            <w:vAlign w:val="center"/>
          </w:tcPr>
          <w:p w14:paraId="56ABAD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更换波纹管及蓝白接头</w:t>
            </w:r>
          </w:p>
        </w:tc>
        <w:tc>
          <w:tcPr>
            <w:tcW w:w="2440" w:type="dxa"/>
            <w:noWrap w:val="0"/>
            <w:vAlign w:val="center"/>
          </w:tcPr>
          <w:p w14:paraId="2D25FFD8">
            <w:pPr>
              <w:jc w:val="center"/>
              <w:rPr>
                <w:rFonts w:hint="eastAsia" w:ascii="仿宋" w:hAnsi="仿宋" w:eastAsia="仿宋" w:cs="仿宋"/>
                <w:color w:val="auto"/>
                <w:sz w:val="24"/>
                <w:szCs w:val="24"/>
                <w:highlight w:val="none"/>
              </w:rPr>
            </w:pPr>
          </w:p>
        </w:tc>
        <w:tc>
          <w:tcPr>
            <w:tcW w:w="1365" w:type="dxa"/>
            <w:noWrap w:val="0"/>
            <w:vAlign w:val="center"/>
          </w:tcPr>
          <w:p w14:paraId="24A4C30A">
            <w:pPr>
              <w:jc w:val="center"/>
              <w:rPr>
                <w:rFonts w:hint="eastAsia" w:ascii="仿宋" w:hAnsi="仿宋" w:eastAsia="仿宋" w:cs="仿宋"/>
                <w:color w:val="auto"/>
                <w:sz w:val="24"/>
                <w:szCs w:val="24"/>
                <w:highlight w:val="none"/>
              </w:rPr>
            </w:pPr>
          </w:p>
        </w:tc>
        <w:tc>
          <w:tcPr>
            <w:tcW w:w="1755" w:type="dxa"/>
            <w:noWrap w:val="0"/>
            <w:vAlign w:val="center"/>
          </w:tcPr>
          <w:p w14:paraId="465FE3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18套</w:t>
            </w:r>
          </w:p>
        </w:tc>
        <w:tc>
          <w:tcPr>
            <w:tcW w:w="680" w:type="dxa"/>
            <w:noWrap w:val="0"/>
            <w:vAlign w:val="center"/>
          </w:tcPr>
          <w:p w14:paraId="50B81F09">
            <w:pPr>
              <w:jc w:val="center"/>
              <w:rPr>
                <w:rFonts w:hint="eastAsia" w:ascii="仿宋" w:hAnsi="仿宋" w:eastAsia="仿宋" w:cs="仿宋"/>
                <w:color w:val="auto"/>
                <w:sz w:val="24"/>
                <w:szCs w:val="24"/>
                <w:highlight w:val="none"/>
              </w:rPr>
            </w:pPr>
          </w:p>
        </w:tc>
      </w:tr>
      <w:tr w14:paraId="177D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560448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82" w:type="dxa"/>
            <w:noWrap w:val="0"/>
            <w:vAlign w:val="center"/>
          </w:tcPr>
          <w:p w14:paraId="048619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更换排氧过滤器</w:t>
            </w:r>
          </w:p>
        </w:tc>
        <w:tc>
          <w:tcPr>
            <w:tcW w:w="2440" w:type="dxa"/>
            <w:noWrap w:val="0"/>
            <w:vAlign w:val="center"/>
          </w:tcPr>
          <w:p w14:paraId="011C954D">
            <w:pPr>
              <w:jc w:val="center"/>
              <w:rPr>
                <w:rFonts w:hint="eastAsia" w:ascii="仿宋" w:hAnsi="仿宋" w:eastAsia="仿宋" w:cs="仿宋"/>
                <w:color w:val="auto"/>
                <w:sz w:val="24"/>
                <w:szCs w:val="24"/>
                <w:highlight w:val="none"/>
              </w:rPr>
            </w:pPr>
          </w:p>
        </w:tc>
        <w:tc>
          <w:tcPr>
            <w:tcW w:w="1365" w:type="dxa"/>
            <w:noWrap w:val="0"/>
            <w:vAlign w:val="center"/>
          </w:tcPr>
          <w:p w14:paraId="7BC0B0EA">
            <w:pPr>
              <w:jc w:val="center"/>
              <w:rPr>
                <w:rFonts w:hint="eastAsia" w:ascii="仿宋" w:hAnsi="仿宋" w:eastAsia="仿宋" w:cs="仿宋"/>
                <w:color w:val="auto"/>
                <w:sz w:val="24"/>
                <w:szCs w:val="24"/>
                <w:highlight w:val="none"/>
              </w:rPr>
            </w:pPr>
          </w:p>
        </w:tc>
        <w:tc>
          <w:tcPr>
            <w:tcW w:w="1755" w:type="dxa"/>
            <w:noWrap w:val="0"/>
            <w:vAlign w:val="center"/>
          </w:tcPr>
          <w:p w14:paraId="558C6A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680" w:type="dxa"/>
            <w:noWrap w:val="0"/>
            <w:vAlign w:val="center"/>
          </w:tcPr>
          <w:p w14:paraId="0C289148">
            <w:pPr>
              <w:jc w:val="center"/>
              <w:rPr>
                <w:rFonts w:hint="eastAsia" w:ascii="仿宋" w:hAnsi="仿宋" w:eastAsia="仿宋" w:cs="仿宋"/>
                <w:color w:val="auto"/>
                <w:sz w:val="24"/>
                <w:szCs w:val="24"/>
                <w:highlight w:val="none"/>
              </w:rPr>
            </w:pPr>
          </w:p>
        </w:tc>
      </w:tr>
      <w:tr w14:paraId="5FE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8" w:type="dxa"/>
            <w:noWrap w:val="0"/>
            <w:vAlign w:val="center"/>
          </w:tcPr>
          <w:p w14:paraId="7F44FB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82" w:type="dxa"/>
            <w:noWrap w:val="0"/>
            <w:vAlign w:val="center"/>
          </w:tcPr>
          <w:p w14:paraId="37394A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氧气气密性检测</w:t>
            </w:r>
          </w:p>
        </w:tc>
        <w:tc>
          <w:tcPr>
            <w:tcW w:w="2440" w:type="dxa"/>
            <w:noWrap w:val="0"/>
            <w:vAlign w:val="center"/>
          </w:tcPr>
          <w:p w14:paraId="58331BA4">
            <w:pPr>
              <w:jc w:val="center"/>
              <w:rPr>
                <w:rFonts w:hint="eastAsia" w:ascii="仿宋" w:hAnsi="仿宋" w:eastAsia="仿宋" w:cs="仿宋"/>
                <w:color w:val="auto"/>
                <w:sz w:val="24"/>
                <w:szCs w:val="24"/>
                <w:highlight w:val="none"/>
              </w:rPr>
            </w:pPr>
          </w:p>
        </w:tc>
        <w:tc>
          <w:tcPr>
            <w:tcW w:w="1365" w:type="dxa"/>
            <w:noWrap w:val="0"/>
            <w:vAlign w:val="center"/>
          </w:tcPr>
          <w:p w14:paraId="3E9F3B95">
            <w:pPr>
              <w:jc w:val="center"/>
              <w:rPr>
                <w:rFonts w:hint="eastAsia" w:ascii="仿宋" w:hAnsi="仿宋" w:eastAsia="仿宋" w:cs="仿宋"/>
                <w:color w:val="auto"/>
                <w:sz w:val="24"/>
                <w:szCs w:val="24"/>
                <w:highlight w:val="none"/>
              </w:rPr>
            </w:pPr>
          </w:p>
        </w:tc>
        <w:tc>
          <w:tcPr>
            <w:tcW w:w="1755" w:type="dxa"/>
            <w:noWrap w:val="0"/>
            <w:vAlign w:val="center"/>
          </w:tcPr>
          <w:p w14:paraId="02CC5B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80" w:type="dxa"/>
            <w:noWrap w:val="0"/>
            <w:vAlign w:val="center"/>
          </w:tcPr>
          <w:p w14:paraId="70A7ED3E">
            <w:pPr>
              <w:jc w:val="center"/>
              <w:rPr>
                <w:rFonts w:hint="eastAsia" w:ascii="仿宋" w:hAnsi="仿宋" w:eastAsia="仿宋" w:cs="仿宋"/>
                <w:color w:val="auto"/>
                <w:sz w:val="24"/>
                <w:szCs w:val="24"/>
                <w:highlight w:val="none"/>
              </w:rPr>
            </w:pPr>
          </w:p>
        </w:tc>
      </w:tr>
    </w:tbl>
    <w:p w14:paraId="2CEBC0CC">
      <w:pPr>
        <w:rPr>
          <w:rFonts w:hint="eastAsia" w:ascii="仿宋" w:hAnsi="仿宋" w:eastAsia="仿宋" w:cs="仿宋"/>
          <w:color w:val="auto"/>
          <w:sz w:val="24"/>
          <w:szCs w:val="24"/>
          <w:highlight w:val="none"/>
        </w:rPr>
      </w:pPr>
    </w:p>
    <w:tbl>
      <w:tblPr>
        <w:tblStyle w:val="62"/>
        <w:tblpPr w:leftFromText="180" w:rightFromText="180" w:vertAnchor="text" w:horzAnchor="page" w:tblpX="1420" w:tblpY="412"/>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55"/>
        <w:gridCol w:w="2485"/>
        <w:gridCol w:w="1547"/>
        <w:gridCol w:w="1755"/>
        <w:gridCol w:w="653"/>
      </w:tblGrid>
      <w:tr w14:paraId="5448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170" w:type="dxa"/>
            <w:gridSpan w:val="6"/>
            <w:noWrap w:val="0"/>
            <w:vAlign w:val="center"/>
          </w:tcPr>
          <w:p w14:paraId="18BD2DC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五、空调系统</w:t>
            </w:r>
          </w:p>
        </w:tc>
      </w:tr>
      <w:tr w14:paraId="081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675" w:type="dxa"/>
            <w:noWrap w:val="0"/>
            <w:vAlign w:val="center"/>
          </w:tcPr>
          <w:p w14:paraId="39F23D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55" w:type="dxa"/>
            <w:noWrap w:val="0"/>
            <w:vAlign w:val="center"/>
          </w:tcPr>
          <w:p w14:paraId="408C31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85" w:type="dxa"/>
            <w:noWrap w:val="0"/>
            <w:vAlign w:val="center"/>
          </w:tcPr>
          <w:p w14:paraId="1F0A5A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547" w:type="dxa"/>
            <w:noWrap w:val="0"/>
            <w:vAlign w:val="center"/>
          </w:tcPr>
          <w:p w14:paraId="4BF83F8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755" w:type="dxa"/>
            <w:noWrap w:val="0"/>
            <w:vAlign w:val="center"/>
          </w:tcPr>
          <w:p w14:paraId="5F92E1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53" w:type="dxa"/>
            <w:noWrap w:val="0"/>
            <w:vAlign w:val="center"/>
          </w:tcPr>
          <w:p w14:paraId="3EA28E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895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6CFE6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55" w:type="dxa"/>
            <w:noWrap w:val="0"/>
            <w:vAlign w:val="center"/>
          </w:tcPr>
          <w:p w14:paraId="5A32E7E2">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更换空调外挂机</w:t>
            </w:r>
          </w:p>
        </w:tc>
        <w:tc>
          <w:tcPr>
            <w:tcW w:w="2485" w:type="dxa"/>
            <w:noWrap w:val="0"/>
            <w:vAlign w:val="center"/>
          </w:tcPr>
          <w:p w14:paraId="1B2F3FAA">
            <w:pPr>
              <w:autoSpaceDE w:val="0"/>
              <w:autoSpaceDN w:val="0"/>
              <w:adjustRightIn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功率≥2匹</w:t>
            </w:r>
          </w:p>
        </w:tc>
        <w:tc>
          <w:tcPr>
            <w:tcW w:w="1547" w:type="dxa"/>
            <w:noWrap w:val="0"/>
            <w:vAlign w:val="center"/>
          </w:tcPr>
          <w:p w14:paraId="2BB2ED4A">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64C66C03">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57D468A3">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497C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390AC6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55" w:type="dxa"/>
            <w:noWrap w:val="0"/>
            <w:vAlign w:val="center"/>
          </w:tcPr>
          <w:p w14:paraId="209571AA">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耐压空调箱清污除锈</w:t>
            </w:r>
          </w:p>
        </w:tc>
        <w:tc>
          <w:tcPr>
            <w:tcW w:w="2485" w:type="dxa"/>
            <w:noWrap w:val="0"/>
            <w:vAlign w:val="center"/>
          </w:tcPr>
          <w:p w14:paraId="5B73FD9E">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729C8F78">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4772CF85">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6CE0D0D3">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65A1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29CD8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55" w:type="dxa"/>
            <w:noWrap w:val="0"/>
            <w:vAlign w:val="center"/>
          </w:tcPr>
          <w:p w14:paraId="362DAD5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更换蒸发器</w:t>
            </w:r>
          </w:p>
        </w:tc>
        <w:tc>
          <w:tcPr>
            <w:tcW w:w="2485" w:type="dxa"/>
            <w:noWrap w:val="0"/>
            <w:vAlign w:val="center"/>
          </w:tcPr>
          <w:p w14:paraId="76E6E09A">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118F4F26">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40AD9C6D">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4391184B">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7B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5" w:type="dxa"/>
            <w:noWrap w:val="0"/>
            <w:vAlign w:val="center"/>
          </w:tcPr>
          <w:p w14:paraId="23FCC5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55" w:type="dxa"/>
            <w:noWrap w:val="0"/>
            <w:vAlign w:val="center"/>
          </w:tcPr>
          <w:p w14:paraId="5727512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更换磁耦合电机</w:t>
            </w:r>
          </w:p>
        </w:tc>
        <w:tc>
          <w:tcPr>
            <w:tcW w:w="2485" w:type="dxa"/>
            <w:noWrap w:val="0"/>
            <w:vAlign w:val="center"/>
          </w:tcPr>
          <w:p w14:paraId="6D90AB33">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5ED2D7E0">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689C877B">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w:t>
            </w:r>
          </w:p>
        </w:tc>
        <w:tc>
          <w:tcPr>
            <w:tcW w:w="653" w:type="dxa"/>
            <w:noWrap w:val="0"/>
            <w:vAlign w:val="top"/>
          </w:tcPr>
          <w:p w14:paraId="7A4E31FC">
            <w:pPr>
              <w:autoSpaceDE w:val="0"/>
              <w:autoSpaceDN w:val="0"/>
              <w:adjustRightInd w:val="0"/>
              <w:spacing w:line="480" w:lineRule="exact"/>
              <w:jc w:val="center"/>
              <w:rPr>
                <w:rFonts w:hint="eastAsia" w:ascii="仿宋" w:hAnsi="仿宋" w:eastAsia="仿宋" w:cs="仿宋"/>
                <w:color w:val="auto"/>
                <w:sz w:val="24"/>
                <w:szCs w:val="24"/>
                <w:highlight w:val="none"/>
              </w:rPr>
            </w:pPr>
          </w:p>
        </w:tc>
      </w:tr>
      <w:tr w14:paraId="6EAC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75" w:type="dxa"/>
            <w:noWrap w:val="0"/>
            <w:vAlign w:val="center"/>
          </w:tcPr>
          <w:p w14:paraId="6E4ADE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55" w:type="dxa"/>
            <w:noWrap w:val="0"/>
            <w:vAlign w:val="center"/>
          </w:tcPr>
          <w:p w14:paraId="677E84E6">
            <w:pPr>
              <w:autoSpaceDE w:val="0"/>
              <w:autoSpaceDN w:val="0"/>
              <w:adjustRightInd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更换空调管路</w:t>
            </w:r>
          </w:p>
        </w:tc>
        <w:tc>
          <w:tcPr>
            <w:tcW w:w="2485" w:type="dxa"/>
            <w:noWrap w:val="0"/>
            <w:vAlign w:val="center"/>
          </w:tcPr>
          <w:p w14:paraId="1BD2B94E">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547" w:type="dxa"/>
            <w:noWrap w:val="0"/>
            <w:vAlign w:val="center"/>
          </w:tcPr>
          <w:p w14:paraId="31F834C1">
            <w:pPr>
              <w:autoSpaceDE w:val="0"/>
              <w:autoSpaceDN w:val="0"/>
              <w:adjustRightInd w:val="0"/>
              <w:spacing w:line="480" w:lineRule="exact"/>
              <w:jc w:val="center"/>
              <w:rPr>
                <w:rFonts w:hint="eastAsia" w:ascii="仿宋" w:hAnsi="仿宋" w:eastAsia="仿宋" w:cs="仿宋"/>
                <w:color w:val="auto"/>
                <w:sz w:val="24"/>
                <w:szCs w:val="24"/>
                <w:highlight w:val="none"/>
              </w:rPr>
            </w:pPr>
          </w:p>
        </w:tc>
        <w:tc>
          <w:tcPr>
            <w:tcW w:w="1755" w:type="dxa"/>
            <w:noWrap w:val="0"/>
            <w:vAlign w:val="center"/>
          </w:tcPr>
          <w:p w14:paraId="59C7EBA0">
            <w:pPr>
              <w:autoSpaceDE w:val="0"/>
              <w:autoSpaceDN w:val="0"/>
              <w:adjustRightInd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53" w:type="dxa"/>
            <w:noWrap w:val="0"/>
            <w:vAlign w:val="top"/>
          </w:tcPr>
          <w:p w14:paraId="308C3FDC">
            <w:pPr>
              <w:autoSpaceDE w:val="0"/>
              <w:autoSpaceDN w:val="0"/>
              <w:adjustRightInd w:val="0"/>
              <w:spacing w:line="480" w:lineRule="exact"/>
              <w:jc w:val="center"/>
              <w:rPr>
                <w:rFonts w:hint="eastAsia" w:ascii="仿宋" w:hAnsi="仿宋" w:eastAsia="仿宋" w:cs="仿宋"/>
                <w:color w:val="auto"/>
                <w:sz w:val="24"/>
                <w:szCs w:val="24"/>
                <w:highlight w:val="none"/>
              </w:rPr>
            </w:pPr>
          </w:p>
        </w:tc>
      </w:tr>
    </w:tbl>
    <w:p w14:paraId="667B3B79">
      <w:pPr>
        <w:rPr>
          <w:rFonts w:hint="eastAsia" w:ascii="仿宋" w:hAnsi="仿宋" w:eastAsia="仿宋" w:cs="仿宋"/>
          <w:color w:val="auto"/>
          <w:sz w:val="24"/>
          <w:szCs w:val="24"/>
          <w:highlight w:val="none"/>
        </w:rPr>
      </w:pPr>
    </w:p>
    <w:p w14:paraId="1DB42677">
      <w:pPr>
        <w:rPr>
          <w:rFonts w:hint="eastAsia" w:ascii="仿宋" w:hAnsi="仿宋" w:eastAsia="仿宋" w:cs="仿宋"/>
          <w:color w:val="auto"/>
          <w:sz w:val="24"/>
          <w:szCs w:val="24"/>
          <w:highlight w:val="none"/>
        </w:rPr>
      </w:pPr>
    </w:p>
    <w:p w14:paraId="3944673B">
      <w:pPr>
        <w:rPr>
          <w:rFonts w:hint="eastAsia" w:ascii="仿宋" w:hAnsi="仿宋" w:eastAsia="仿宋" w:cs="仿宋"/>
          <w:color w:val="auto"/>
          <w:sz w:val="24"/>
          <w:szCs w:val="24"/>
          <w:highlight w:val="none"/>
        </w:rPr>
      </w:pPr>
    </w:p>
    <w:tbl>
      <w:tblPr>
        <w:tblStyle w:val="62"/>
        <w:tblpPr w:leftFromText="180" w:rightFromText="180" w:vertAnchor="text" w:horzAnchor="page" w:tblpX="1404" w:tblpY="5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960"/>
        <w:gridCol w:w="2540"/>
        <w:gridCol w:w="1595"/>
        <w:gridCol w:w="1725"/>
        <w:gridCol w:w="735"/>
      </w:tblGrid>
      <w:tr w14:paraId="61F3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exact"/>
        </w:trPr>
        <w:tc>
          <w:tcPr>
            <w:tcW w:w="10238" w:type="dxa"/>
            <w:gridSpan w:val="6"/>
            <w:noWrap w:val="0"/>
            <w:vAlign w:val="center"/>
          </w:tcPr>
          <w:p w14:paraId="095F22D1">
            <w:pPr>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、消防水喷淋系统</w:t>
            </w:r>
          </w:p>
        </w:tc>
      </w:tr>
      <w:tr w14:paraId="5A9E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683" w:type="dxa"/>
            <w:noWrap w:val="0"/>
            <w:vAlign w:val="center"/>
          </w:tcPr>
          <w:p w14:paraId="6D9C6C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60" w:type="dxa"/>
            <w:noWrap w:val="0"/>
            <w:vAlign w:val="center"/>
          </w:tcPr>
          <w:p w14:paraId="1624CD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540" w:type="dxa"/>
            <w:noWrap w:val="0"/>
            <w:vAlign w:val="center"/>
          </w:tcPr>
          <w:p w14:paraId="5D0B92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595" w:type="dxa"/>
            <w:noWrap w:val="0"/>
            <w:vAlign w:val="center"/>
          </w:tcPr>
          <w:p w14:paraId="2FBB23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品牌</w:t>
            </w:r>
          </w:p>
        </w:tc>
        <w:tc>
          <w:tcPr>
            <w:tcW w:w="1725" w:type="dxa"/>
            <w:noWrap w:val="0"/>
            <w:vAlign w:val="center"/>
          </w:tcPr>
          <w:p w14:paraId="584C1C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 w:type="dxa"/>
            <w:noWrap w:val="0"/>
            <w:vAlign w:val="center"/>
          </w:tcPr>
          <w:p w14:paraId="6BFBE3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F1D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419EAE5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60" w:type="dxa"/>
            <w:noWrap w:val="0"/>
            <w:vAlign w:val="center"/>
          </w:tcPr>
          <w:p w14:paraId="7A3A57B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消防水系统气密性测试</w:t>
            </w:r>
          </w:p>
        </w:tc>
        <w:tc>
          <w:tcPr>
            <w:tcW w:w="2540" w:type="dxa"/>
            <w:noWrap w:val="0"/>
            <w:vAlign w:val="center"/>
          </w:tcPr>
          <w:p w14:paraId="73B05A7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含更换密封件</w:t>
            </w:r>
          </w:p>
        </w:tc>
        <w:tc>
          <w:tcPr>
            <w:tcW w:w="1595" w:type="dxa"/>
            <w:noWrap w:val="0"/>
            <w:vAlign w:val="center"/>
          </w:tcPr>
          <w:p w14:paraId="792B3E45">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0F6FA1B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735" w:type="dxa"/>
            <w:noWrap w:val="0"/>
            <w:vAlign w:val="top"/>
          </w:tcPr>
          <w:p w14:paraId="679CC074">
            <w:pPr>
              <w:spacing w:line="360" w:lineRule="exact"/>
              <w:rPr>
                <w:rFonts w:hint="eastAsia" w:ascii="仿宋" w:hAnsi="仿宋" w:eastAsia="仿宋" w:cs="仿宋"/>
                <w:color w:val="auto"/>
                <w:sz w:val="24"/>
                <w:szCs w:val="24"/>
                <w:highlight w:val="none"/>
              </w:rPr>
            </w:pPr>
          </w:p>
        </w:tc>
      </w:tr>
      <w:tr w14:paraId="610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71B6CCA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60" w:type="dxa"/>
            <w:noWrap w:val="0"/>
            <w:vAlign w:val="center"/>
          </w:tcPr>
          <w:p w14:paraId="3505E9B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储水罐清污除锈</w:t>
            </w:r>
          </w:p>
        </w:tc>
        <w:tc>
          <w:tcPr>
            <w:tcW w:w="2540" w:type="dxa"/>
            <w:noWrap w:val="0"/>
            <w:vAlign w:val="center"/>
          </w:tcPr>
          <w:p w14:paraId="515D24CA">
            <w:pPr>
              <w:spacing w:line="360" w:lineRule="exact"/>
              <w:jc w:val="center"/>
              <w:rPr>
                <w:rFonts w:hint="eastAsia" w:ascii="仿宋" w:hAnsi="仿宋" w:eastAsia="仿宋" w:cs="仿宋"/>
                <w:color w:val="auto"/>
                <w:sz w:val="24"/>
                <w:szCs w:val="24"/>
                <w:highlight w:val="none"/>
              </w:rPr>
            </w:pPr>
          </w:p>
        </w:tc>
        <w:tc>
          <w:tcPr>
            <w:tcW w:w="1595" w:type="dxa"/>
            <w:noWrap w:val="0"/>
            <w:vAlign w:val="center"/>
          </w:tcPr>
          <w:p w14:paraId="1FEE0CFC">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50EE2A7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735" w:type="dxa"/>
            <w:noWrap w:val="0"/>
            <w:vAlign w:val="top"/>
          </w:tcPr>
          <w:p w14:paraId="1824DD15">
            <w:pPr>
              <w:spacing w:line="360" w:lineRule="exact"/>
              <w:rPr>
                <w:rFonts w:hint="eastAsia" w:ascii="仿宋" w:hAnsi="仿宋" w:eastAsia="仿宋" w:cs="仿宋"/>
                <w:color w:val="auto"/>
                <w:sz w:val="24"/>
                <w:szCs w:val="24"/>
                <w:highlight w:val="none"/>
              </w:rPr>
            </w:pPr>
          </w:p>
        </w:tc>
      </w:tr>
      <w:tr w14:paraId="39E0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83" w:type="dxa"/>
            <w:noWrap w:val="0"/>
            <w:vAlign w:val="center"/>
          </w:tcPr>
          <w:p w14:paraId="5DB05B08">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960" w:type="dxa"/>
            <w:noWrap w:val="0"/>
            <w:vAlign w:val="center"/>
          </w:tcPr>
          <w:p w14:paraId="46D2C54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检修清洗液位计</w:t>
            </w:r>
          </w:p>
        </w:tc>
        <w:tc>
          <w:tcPr>
            <w:tcW w:w="2540" w:type="dxa"/>
            <w:noWrap w:val="0"/>
            <w:vAlign w:val="center"/>
          </w:tcPr>
          <w:p w14:paraId="61C4A39F">
            <w:pPr>
              <w:spacing w:line="360" w:lineRule="exact"/>
              <w:rPr>
                <w:rFonts w:hint="eastAsia" w:ascii="仿宋" w:hAnsi="仿宋" w:eastAsia="仿宋" w:cs="仿宋"/>
                <w:color w:val="auto"/>
                <w:sz w:val="24"/>
                <w:szCs w:val="24"/>
                <w:highlight w:val="none"/>
              </w:rPr>
            </w:pPr>
          </w:p>
        </w:tc>
        <w:tc>
          <w:tcPr>
            <w:tcW w:w="1595" w:type="dxa"/>
            <w:noWrap w:val="0"/>
            <w:vAlign w:val="center"/>
          </w:tcPr>
          <w:p w14:paraId="1476494E">
            <w:pPr>
              <w:spacing w:line="360" w:lineRule="exact"/>
              <w:jc w:val="center"/>
              <w:rPr>
                <w:rFonts w:hint="eastAsia" w:ascii="仿宋" w:hAnsi="仿宋" w:eastAsia="仿宋" w:cs="仿宋"/>
                <w:color w:val="auto"/>
                <w:sz w:val="24"/>
                <w:szCs w:val="24"/>
                <w:highlight w:val="none"/>
              </w:rPr>
            </w:pPr>
          </w:p>
        </w:tc>
        <w:tc>
          <w:tcPr>
            <w:tcW w:w="1725" w:type="dxa"/>
            <w:noWrap w:val="0"/>
            <w:vAlign w:val="center"/>
          </w:tcPr>
          <w:p w14:paraId="0022FE73">
            <w:pPr>
              <w:spacing w:line="360" w:lineRule="exact"/>
              <w:jc w:val="center"/>
              <w:rPr>
                <w:rFonts w:hint="eastAsia" w:ascii="仿宋" w:hAnsi="仿宋" w:eastAsia="仿宋" w:cs="仿宋"/>
                <w:color w:val="auto"/>
                <w:sz w:val="24"/>
                <w:szCs w:val="24"/>
                <w:highlight w:val="none"/>
              </w:rPr>
            </w:pPr>
          </w:p>
        </w:tc>
        <w:tc>
          <w:tcPr>
            <w:tcW w:w="735" w:type="dxa"/>
            <w:noWrap w:val="0"/>
            <w:vAlign w:val="top"/>
          </w:tcPr>
          <w:p w14:paraId="28415EE9">
            <w:pPr>
              <w:spacing w:line="360" w:lineRule="exact"/>
              <w:rPr>
                <w:rFonts w:hint="eastAsia" w:ascii="仿宋" w:hAnsi="仿宋" w:eastAsia="仿宋" w:cs="仿宋"/>
                <w:color w:val="auto"/>
                <w:sz w:val="24"/>
                <w:szCs w:val="24"/>
                <w:highlight w:val="none"/>
              </w:rPr>
            </w:pPr>
          </w:p>
        </w:tc>
      </w:tr>
    </w:tbl>
    <w:p w14:paraId="4FCBBB7C">
      <w:pPr>
        <w:rPr>
          <w:rFonts w:hint="eastAsia" w:ascii="仿宋" w:hAnsi="仿宋" w:eastAsia="仿宋" w:cs="仿宋"/>
          <w:color w:val="auto"/>
          <w:sz w:val="24"/>
          <w:szCs w:val="24"/>
          <w:highlight w:val="none"/>
        </w:rPr>
      </w:pPr>
    </w:p>
    <w:tbl>
      <w:tblPr>
        <w:tblStyle w:val="62"/>
        <w:tblpPr w:leftFromText="180" w:rightFromText="180" w:vertAnchor="text" w:horzAnchor="page" w:tblpX="1420" w:tblpY="517"/>
        <w:tblOverlap w:val="never"/>
        <w:tblW w:w="10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318"/>
        <w:gridCol w:w="3180"/>
        <w:gridCol w:w="1680"/>
        <w:gridCol w:w="1590"/>
        <w:gridCol w:w="865"/>
      </w:tblGrid>
      <w:tr w14:paraId="72DD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0182" w:type="dxa"/>
            <w:gridSpan w:val="6"/>
            <w:noWrap w:val="0"/>
            <w:vAlign w:val="center"/>
          </w:tcPr>
          <w:p w14:paraId="3B9DDE99">
            <w:pPr>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七、计算机自动化操作控制系统</w:t>
            </w:r>
          </w:p>
        </w:tc>
      </w:tr>
      <w:tr w14:paraId="63BB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49" w:type="dxa"/>
            <w:noWrap w:val="0"/>
            <w:vAlign w:val="center"/>
          </w:tcPr>
          <w:p w14:paraId="64246C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18" w:type="dxa"/>
            <w:noWrap w:val="0"/>
            <w:vAlign w:val="center"/>
          </w:tcPr>
          <w:p w14:paraId="4302CD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3180" w:type="dxa"/>
            <w:noWrap w:val="0"/>
            <w:vAlign w:val="center"/>
          </w:tcPr>
          <w:p w14:paraId="0DB46D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680" w:type="dxa"/>
            <w:noWrap w:val="0"/>
            <w:vAlign w:val="center"/>
          </w:tcPr>
          <w:p w14:paraId="75BBC78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590" w:type="dxa"/>
            <w:noWrap w:val="0"/>
            <w:vAlign w:val="center"/>
          </w:tcPr>
          <w:p w14:paraId="5A605B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65" w:type="dxa"/>
            <w:noWrap w:val="0"/>
            <w:vAlign w:val="center"/>
          </w:tcPr>
          <w:p w14:paraId="6EA94B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18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549" w:type="dxa"/>
            <w:noWrap w:val="0"/>
            <w:vAlign w:val="center"/>
          </w:tcPr>
          <w:p w14:paraId="0A1C381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18" w:type="dxa"/>
            <w:noWrap w:val="0"/>
            <w:vAlign w:val="center"/>
          </w:tcPr>
          <w:p w14:paraId="152041A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工业控制计算机</w:t>
            </w:r>
          </w:p>
        </w:tc>
        <w:tc>
          <w:tcPr>
            <w:tcW w:w="3180" w:type="dxa"/>
            <w:noWrap w:val="0"/>
            <w:vAlign w:val="center"/>
          </w:tcPr>
          <w:p w14:paraId="091C9C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CPU双核≥1.6g、内存≥8G、固</w:t>
            </w:r>
            <w:r>
              <w:rPr>
                <w:rFonts w:hint="eastAsia" w:ascii="仿宋" w:hAnsi="仿宋" w:eastAsia="仿宋" w:cs="仿宋"/>
                <w:color w:val="auto"/>
                <w:sz w:val="24"/>
                <w:szCs w:val="24"/>
                <w:highlight w:val="none"/>
                <w:lang w:val="en-US" w:eastAsia="zh-CN"/>
              </w:rPr>
              <w:t>态硬</w:t>
            </w:r>
            <w:r>
              <w:rPr>
                <w:rFonts w:hint="eastAsia" w:ascii="仿宋" w:hAnsi="仿宋" w:eastAsia="仿宋" w:cs="仿宋"/>
                <w:color w:val="auto"/>
                <w:sz w:val="24"/>
                <w:szCs w:val="24"/>
                <w:highlight w:val="none"/>
              </w:rPr>
              <w:t>盘≥250G</w:t>
            </w:r>
          </w:p>
        </w:tc>
        <w:tc>
          <w:tcPr>
            <w:tcW w:w="1680" w:type="dxa"/>
            <w:noWrap w:val="0"/>
            <w:vAlign w:val="center"/>
          </w:tcPr>
          <w:p w14:paraId="70B24C2B">
            <w:pPr>
              <w:spacing w:line="460" w:lineRule="exact"/>
              <w:jc w:val="both"/>
              <w:rPr>
                <w:rFonts w:hint="eastAsia" w:ascii="仿宋" w:hAnsi="仿宋" w:eastAsia="仿宋" w:cs="仿宋"/>
                <w:color w:val="auto"/>
                <w:sz w:val="24"/>
                <w:szCs w:val="24"/>
                <w:highlight w:val="none"/>
                <w:lang w:eastAsia="zh-CN"/>
              </w:rPr>
            </w:pPr>
          </w:p>
        </w:tc>
        <w:tc>
          <w:tcPr>
            <w:tcW w:w="1590" w:type="dxa"/>
            <w:noWrap w:val="0"/>
            <w:vAlign w:val="center"/>
          </w:tcPr>
          <w:p w14:paraId="0C3D2F5E">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865" w:type="dxa"/>
            <w:noWrap w:val="0"/>
            <w:vAlign w:val="center"/>
          </w:tcPr>
          <w:p w14:paraId="160AA05E">
            <w:pPr>
              <w:jc w:val="center"/>
              <w:rPr>
                <w:rFonts w:hint="eastAsia" w:ascii="仿宋" w:hAnsi="仿宋" w:eastAsia="仿宋" w:cs="仿宋"/>
                <w:color w:val="auto"/>
                <w:sz w:val="24"/>
                <w:szCs w:val="24"/>
                <w:highlight w:val="none"/>
              </w:rPr>
            </w:pPr>
          </w:p>
        </w:tc>
      </w:tr>
      <w:tr w14:paraId="3E37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549" w:type="dxa"/>
            <w:noWrap w:val="0"/>
            <w:vAlign w:val="center"/>
          </w:tcPr>
          <w:p w14:paraId="78B9556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18" w:type="dxa"/>
            <w:noWrap w:val="0"/>
            <w:vAlign w:val="center"/>
          </w:tcPr>
          <w:p w14:paraId="1309DD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一体化控制机柜总成</w:t>
            </w:r>
          </w:p>
        </w:tc>
        <w:tc>
          <w:tcPr>
            <w:tcW w:w="3180" w:type="dxa"/>
            <w:noWrap w:val="0"/>
            <w:vAlign w:val="center"/>
          </w:tcPr>
          <w:p w14:paraId="711E06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w:t>
            </w:r>
            <w:r>
              <w:rPr>
                <w:rFonts w:hint="eastAsia" w:ascii="仿宋" w:hAnsi="仿宋" w:eastAsia="仿宋" w:cs="仿宋"/>
                <w:color w:val="auto"/>
                <w:sz w:val="24"/>
                <w:szCs w:val="24"/>
                <w:highlight w:val="none"/>
                <w:lang w:val="en-US" w:eastAsia="zh-CN"/>
              </w:rPr>
              <w:t>控制</w:t>
            </w:r>
            <w:r>
              <w:rPr>
                <w:rFonts w:hint="eastAsia" w:ascii="仿宋" w:hAnsi="仿宋" w:eastAsia="仿宋" w:cs="仿宋"/>
                <w:color w:val="auto"/>
                <w:sz w:val="24"/>
                <w:szCs w:val="24"/>
                <w:highlight w:val="none"/>
              </w:rPr>
              <w:t xml:space="preserve"> 双舱模式</w:t>
            </w:r>
          </w:p>
        </w:tc>
        <w:tc>
          <w:tcPr>
            <w:tcW w:w="1680" w:type="dxa"/>
            <w:noWrap w:val="0"/>
            <w:vAlign w:val="center"/>
          </w:tcPr>
          <w:p w14:paraId="3708E005">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7FC00B04">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69E746B7">
            <w:pPr>
              <w:jc w:val="center"/>
              <w:rPr>
                <w:rFonts w:hint="eastAsia" w:ascii="仿宋" w:hAnsi="仿宋" w:eastAsia="仿宋" w:cs="仿宋"/>
                <w:color w:val="auto"/>
                <w:sz w:val="24"/>
                <w:szCs w:val="24"/>
                <w:highlight w:val="none"/>
              </w:rPr>
            </w:pPr>
          </w:p>
        </w:tc>
      </w:tr>
      <w:tr w14:paraId="5F4D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7AC7DE2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18" w:type="dxa"/>
            <w:noWrap w:val="0"/>
            <w:vAlign w:val="center"/>
          </w:tcPr>
          <w:p w14:paraId="5974BA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RS485总线连接器</w:t>
            </w:r>
          </w:p>
        </w:tc>
        <w:tc>
          <w:tcPr>
            <w:tcW w:w="3180" w:type="dxa"/>
            <w:noWrap w:val="0"/>
            <w:vAlign w:val="center"/>
          </w:tcPr>
          <w:p w14:paraId="625F38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R232-485</w:t>
            </w:r>
          </w:p>
        </w:tc>
        <w:tc>
          <w:tcPr>
            <w:tcW w:w="1680" w:type="dxa"/>
            <w:noWrap w:val="0"/>
            <w:vAlign w:val="center"/>
          </w:tcPr>
          <w:p w14:paraId="4A9F4FD2">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27E87C5D">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251348B4">
            <w:pPr>
              <w:jc w:val="center"/>
              <w:rPr>
                <w:rFonts w:hint="eastAsia" w:ascii="仿宋" w:hAnsi="仿宋" w:eastAsia="仿宋" w:cs="仿宋"/>
                <w:color w:val="auto"/>
                <w:sz w:val="24"/>
                <w:szCs w:val="24"/>
                <w:highlight w:val="none"/>
              </w:rPr>
            </w:pPr>
          </w:p>
        </w:tc>
      </w:tr>
      <w:tr w14:paraId="6F3B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66F07D8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18" w:type="dxa"/>
            <w:noWrap w:val="0"/>
            <w:vAlign w:val="center"/>
          </w:tcPr>
          <w:p w14:paraId="2157DC2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压力传感器</w:t>
            </w:r>
          </w:p>
        </w:tc>
        <w:tc>
          <w:tcPr>
            <w:tcW w:w="3180" w:type="dxa"/>
            <w:noWrap w:val="0"/>
            <w:vAlign w:val="center"/>
          </w:tcPr>
          <w:p w14:paraId="12BD4CA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200kPa</w:t>
            </w:r>
          </w:p>
        </w:tc>
        <w:tc>
          <w:tcPr>
            <w:tcW w:w="1680" w:type="dxa"/>
            <w:noWrap w:val="0"/>
            <w:vAlign w:val="center"/>
          </w:tcPr>
          <w:p w14:paraId="348A617B">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1D7D7521">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2套</w:t>
            </w:r>
          </w:p>
        </w:tc>
        <w:tc>
          <w:tcPr>
            <w:tcW w:w="865" w:type="dxa"/>
            <w:noWrap w:val="0"/>
            <w:vAlign w:val="center"/>
          </w:tcPr>
          <w:p w14:paraId="4AA3C66D">
            <w:pPr>
              <w:jc w:val="center"/>
              <w:rPr>
                <w:rFonts w:hint="eastAsia" w:ascii="仿宋" w:hAnsi="仿宋" w:eastAsia="仿宋" w:cs="仿宋"/>
                <w:color w:val="auto"/>
                <w:sz w:val="24"/>
                <w:szCs w:val="24"/>
                <w:highlight w:val="none"/>
              </w:rPr>
            </w:pPr>
          </w:p>
        </w:tc>
      </w:tr>
      <w:tr w14:paraId="6840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465D807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18" w:type="dxa"/>
            <w:noWrap w:val="0"/>
            <w:vAlign w:val="center"/>
          </w:tcPr>
          <w:p w14:paraId="7B7C789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语音系统</w:t>
            </w:r>
          </w:p>
        </w:tc>
        <w:tc>
          <w:tcPr>
            <w:tcW w:w="3180" w:type="dxa"/>
            <w:noWrap w:val="0"/>
            <w:vAlign w:val="center"/>
          </w:tcPr>
          <w:p w14:paraId="1D7794A6">
            <w:pPr>
              <w:spacing w:line="360" w:lineRule="exact"/>
              <w:jc w:val="center"/>
              <w:rPr>
                <w:rFonts w:hint="eastAsia" w:ascii="仿宋" w:hAnsi="仿宋" w:eastAsia="仿宋" w:cs="仿宋"/>
                <w:color w:val="auto"/>
                <w:sz w:val="24"/>
                <w:szCs w:val="24"/>
                <w:highlight w:val="none"/>
              </w:rPr>
            </w:pPr>
          </w:p>
        </w:tc>
        <w:tc>
          <w:tcPr>
            <w:tcW w:w="1680" w:type="dxa"/>
            <w:noWrap w:val="0"/>
            <w:vAlign w:val="center"/>
          </w:tcPr>
          <w:p w14:paraId="408902AD">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7E45B5CF">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双舱</w:t>
            </w:r>
          </w:p>
        </w:tc>
        <w:tc>
          <w:tcPr>
            <w:tcW w:w="865" w:type="dxa"/>
            <w:noWrap w:val="0"/>
            <w:vAlign w:val="center"/>
          </w:tcPr>
          <w:p w14:paraId="7F764131">
            <w:pPr>
              <w:jc w:val="center"/>
              <w:rPr>
                <w:rFonts w:hint="eastAsia" w:ascii="仿宋" w:hAnsi="仿宋" w:eastAsia="仿宋" w:cs="仿宋"/>
                <w:color w:val="auto"/>
                <w:sz w:val="24"/>
                <w:szCs w:val="24"/>
                <w:highlight w:val="none"/>
              </w:rPr>
            </w:pPr>
          </w:p>
        </w:tc>
      </w:tr>
      <w:tr w14:paraId="6015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9" w:type="dxa"/>
            <w:noWrap w:val="0"/>
            <w:vAlign w:val="center"/>
          </w:tcPr>
          <w:p w14:paraId="5132864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18" w:type="dxa"/>
            <w:noWrap w:val="0"/>
            <w:vAlign w:val="center"/>
          </w:tcPr>
          <w:p w14:paraId="0669CE0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编程软件</w:t>
            </w:r>
          </w:p>
        </w:tc>
        <w:tc>
          <w:tcPr>
            <w:tcW w:w="3180" w:type="dxa"/>
            <w:noWrap w:val="0"/>
            <w:vAlign w:val="center"/>
          </w:tcPr>
          <w:p w14:paraId="1A9F327A">
            <w:pPr>
              <w:spacing w:line="360" w:lineRule="exact"/>
              <w:jc w:val="center"/>
              <w:rPr>
                <w:rFonts w:hint="eastAsia" w:ascii="仿宋" w:hAnsi="仿宋" w:eastAsia="仿宋" w:cs="仿宋"/>
                <w:color w:val="auto"/>
                <w:sz w:val="24"/>
                <w:szCs w:val="24"/>
                <w:highlight w:val="none"/>
              </w:rPr>
            </w:pPr>
          </w:p>
        </w:tc>
        <w:tc>
          <w:tcPr>
            <w:tcW w:w="1680" w:type="dxa"/>
            <w:noWrap w:val="0"/>
            <w:vAlign w:val="center"/>
          </w:tcPr>
          <w:p w14:paraId="491DC4D0">
            <w:pPr>
              <w:spacing w:line="460" w:lineRule="exact"/>
              <w:jc w:val="center"/>
              <w:rPr>
                <w:rFonts w:hint="eastAsia" w:ascii="仿宋" w:hAnsi="仿宋" w:eastAsia="仿宋" w:cs="仿宋"/>
                <w:color w:val="auto"/>
                <w:sz w:val="24"/>
                <w:szCs w:val="24"/>
                <w:highlight w:val="none"/>
              </w:rPr>
            </w:pPr>
          </w:p>
        </w:tc>
        <w:tc>
          <w:tcPr>
            <w:tcW w:w="1590" w:type="dxa"/>
            <w:noWrap w:val="0"/>
            <w:vAlign w:val="center"/>
          </w:tcPr>
          <w:p w14:paraId="5EF9F2D8">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865" w:type="dxa"/>
            <w:noWrap w:val="0"/>
            <w:vAlign w:val="center"/>
          </w:tcPr>
          <w:p w14:paraId="2B6AF0AB">
            <w:pPr>
              <w:jc w:val="center"/>
              <w:rPr>
                <w:rFonts w:hint="eastAsia" w:ascii="仿宋" w:hAnsi="仿宋" w:eastAsia="仿宋" w:cs="仿宋"/>
                <w:color w:val="auto"/>
                <w:sz w:val="24"/>
                <w:szCs w:val="24"/>
                <w:highlight w:val="none"/>
              </w:rPr>
            </w:pPr>
          </w:p>
        </w:tc>
      </w:tr>
    </w:tbl>
    <w:p w14:paraId="529F8624">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2C9E4A7">
      <w:pPr>
        <w:pStyle w:val="649"/>
        <w:numPr>
          <w:ilvl w:val="0"/>
          <w:numId w:val="0"/>
        </w:numPr>
        <w:ind w:firstLine="480" w:firstLineChars="200"/>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p>
    <w:tbl>
      <w:tblPr>
        <w:tblStyle w:val="62"/>
        <w:tblpPr w:leftFromText="180" w:rightFromText="180" w:vertAnchor="text" w:horzAnchor="page" w:tblpX="1420" w:tblpY="52"/>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824"/>
        <w:gridCol w:w="2415"/>
        <w:gridCol w:w="1607"/>
        <w:gridCol w:w="1443"/>
        <w:gridCol w:w="686"/>
      </w:tblGrid>
      <w:tr w14:paraId="3889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67" w:type="dxa"/>
            <w:gridSpan w:val="6"/>
            <w:noWrap w:val="0"/>
            <w:vAlign w:val="center"/>
          </w:tcPr>
          <w:p w14:paraId="024C7E7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、电气控制系统</w:t>
            </w:r>
          </w:p>
        </w:tc>
      </w:tr>
      <w:tr w14:paraId="706F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592" w:type="dxa"/>
            <w:noWrap w:val="0"/>
            <w:vAlign w:val="center"/>
          </w:tcPr>
          <w:p w14:paraId="1DEF03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4" w:type="dxa"/>
            <w:noWrap w:val="0"/>
            <w:vAlign w:val="center"/>
          </w:tcPr>
          <w:p w14:paraId="0C25E0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设备及材料名称</w:t>
            </w:r>
          </w:p>
        </w:tc>
        <w:tc>
          <w:tcPr>
            <w:tcW w:w="2415" w:type="dxa"/>
            <w:noWrap w:val="0"/>
            <w:vAlign w:val="center"/>
          </w:tcPr>
          <w:p w14:paraId="666D85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 格 型 号</w:t>
            </w:r>
          </w:p>
        </w:tc>
        <w:tc>
          <w:tcPr>
            <w:tcW w:w="1607" w:type="dxa"/>
            <w:noWrap w:val="0"/>
            <w:vAlign w:val="center"/>
          </w:tcPr>
          <w:p w14:paraId="528F896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443" w:type="dxa"/>
            <w:noWrap w:val="0"/>
            <w:vAlign w:val="center"/>
          </w:tcPr>
          <w:p w14:paraId="5F948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6" w:type="dxa"/>
            <w:noWrap w:val="0"/>
            <w:vAlign w:val="center"/>
          </w:tcPr>
          <w:p w14:paraId="058D8E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98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12F6A0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24" w:type="dxa"/>
            <w:noWrap w:val="0"/>
            <w:vAlign w:val="center"/>
          </w:tcPr>
          <w:p w14:paraId="49820171">
            <w:pPr>
              <w:spacing w:line="36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更换全舱控制线路</w:t>
            </w:r>
          </w:p>
        </w:tc>
        <w:tc>
          <w:tcPr>
            <w:tcW w:w="2415" w:type="dxa"/>
            <w:noWrap w:val="0"/>
            <w:vAlign w:val="center"/>
          </w:tcPr>
          <w:p w14:paraId="77B9570A">
            <w:pPr>
              <w:spacing w:line="360" w:lineRule="exact"/>
              <w:rPr>
                <w:rFonts w:hint="eastAsia" w:ascii="仿宋" w:hAnsi="仿宋" w:eastAsia="仿宋" w:cs="仿宋"/>
                <w:color w:val="auto"/>
                <w:sz w:val="24"/>
                <w:szCs w:val="24"/>
                <w:highlight w:val="none"/>
              </w:rPr>
            </w:pPr>
          </w:p>
        </w:tc>
        <w:tc>
          <w:tcPr>
            <w:tcW w:w="1607" w:type="dxa"/>
            <w:noWrap w:val="0"/>
            <w:vAlign w:val="center"/>
          </w:tcPr>
          <w:p w14:paraId="7230CEC0">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5BDA9942">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65B30C19">
            <w:pPr>
              <w:jc w:val="center"/>
              <w:rPr>
                <w:rFonts w:hint="eastAsia" w:ascii="仿宋" w:hAnsi="仿宋" w:eastAsia="仿宋" w:cs="仿宋"/>
                <w:color w:val="auto"/>
                <w:sz w:val="24"/>
                <w:szCs w:val="24"/>
                <w:highlight w:val="none"/>
              </w:rPr>
            </w:pPr>
          </w:p>
        </w:tc>
      </w:tr>
      <w:tr w14:paraId="7A77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454038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24" w:type="dxa"/>
            <w:noWrap w:val="0"/>
            <w:vAlign w:val="center"/>
          </w:tcPr>
          <w:p w14:paraId="3E17A96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更换舱内线路及绝缘套管</w:t>
            </w:r>
          </w:p>
        </w:tc>
        <w:tc>
          <w:tcPr>
            <w:tcW w:w="2415" w:type="dxa"/>
            <w:noWrap w:val="0"/>
            <w:vAlign w:val="center"/>
          </w:tcPr>
          <w:p w14:paraId="3B3BB82D">
            <w:pPr>
              <w:jc w:val="center"/>
              <w:rPr>
                <w:rFonts w:hint="eastAsia" w:ascii="仿宋" w:hAnsi="仿宋" w:eastAsia="仿宋" w:cs="仿宋"/>
                <w:color w:val="auto"/>
                <w:sz w:val="24"/>
                <w:szCs w:val="24"/>
                <w:highlight w:val="none"/>
              </w:rPr>
            </w:pPr>
          </w:p>
        </w:tc>
        <w:tc>
          <w:tcPr>
            <w:tcW w:w="1607" w:type="dxa"/>
            <w:noWrap w:val="0"/>
            <w:vAlign w:val="center"/>
          </w:tcPr>
          <w:p w14:paraId="0C50FFDE">
            <w:pPr>
              <w:jc w:val="center"/>
              <w:rPr>
                <w:rFonts w:hint="eastAsia" w:ascii="仿宋" w:hAnsi="仿宋" w:eastAsia="仿宋" w:cs="仿宋"/>
                <w:color w:val="auto"/>
                <w:sz w:val="24"/>
                <w:szCs w:val="24"/>
                <w:highlight w:val="none"/>
              </w:rPr>
            </w:pPr>
          </w:p>
        </w:tc>
        <w:tc>
          <w:tcPr>
            <w:tcW w:w="1443" w:type="dxa"/>
            <w:noWrap w:val="0"/>
            <w:vAlign w:val="center"/>
          </w:tcPr>
          <w:p w14:paraId="331E1E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05C3083A">
            <w:pPr>
              <w:jc w:val="center"/>
              <w:rPr>
                <w:rFonts w:hint="eastAsia" w:ascii="仿宋" w:hAnsi="仿宋" w:eastAsia="仿宋" w:cs="仿宋"/>
                <w:color w:val="auto"/>
                <w:sz w:val="24"/>
                <w:szCs w:val="24"/>
                <w:highlight w:val="none"/>
              </w:rPr>
            </w:pPr>
          </w:p>
        </w:tc>
      </w:tr>
      <w:tr w14:paraId="2CE2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2893CC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24" w:type="dxa"/>
            <w:noWrap w:val="0"/>
            <w:vAlign w:val="center"/>
          </w:tcPr>
          <w:p w14:paraId="4B02C1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更换照明线路</w:t>
            </w:r>
          </w:p>
        </w:tc>
        <w:tc>
          <w:tcPr>
            <w:tcW w:w="2415" w:type="dxa"/>
            <w:noWrap w:val="0"/>
            <w:vAlign w:val="center"/>
          </w:tcPr>
          <w:p w14:paraId="3782ACF4">
            <w:pPr>
              <w:jc w:val="both"/>
              <w:rPr>
                <w:rFonts w:hint="eastAsia" w:ascii="仿宋" w:hAnsi="仿宋" w:eastAsia="仿宋" w:cs="仿宋"/>
                <w:color w:val="auto"/>
                <w:sz w:val="24"/>
                <w:szCs w:val="24"/>
                <w:highlight w:val="none"/>
              </w:rPr>
            </w:pPr>
          </w:p>
        </w:tc>
        <w:tc>
          <w:tcPr>
            <w:tcW w:w="1607" w:type="dxa"/>
            <w:noWrap w:val="0"/>
            <w:vAlign w:val="center"/>
          </w:tcPr>
          <w:p w14:paraId="3C70081A">
            <w:pPr>
              <w:jc w:val="center"/>
              <w:rPr>
                <w:rFonts w:hint="eastAsia" w:ascii="仿宋" w:hAnsi="仿宋" w:eastAsia="仿宋" w:cs="仿宋"/>
                <w:color w:val="auto"/>
                <w:sz w:val="24"/>
                <w:szCs w:val="24"/>
                <w:highlight w:val="none"/>
              </w:rPr>
            </w:pPr>
          </w:p>
        </w:tc>
        <w:tc>
          <w:tcPr>
            <w:tcW w:w="1443" w:type="dxa"/>
            <w:noWrap w:val="0"/>
            <w:vAlign w:val="center"/>
          </w:tcPr>
          <w:p w14:paraId="242140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51BACDA9">
            <w:pPr>
              <w:jc w:val="center"/>
              <w:rPr>
                <w:rFonts w:hint="eastAsia" w:ascii="仿宋" w:hAnsi="仿宋" w:eastAsia="仿宋" w:cs="仿宋"/>
                <w:color w:val="auto"/>
                <w:sz w:val="24"/>
                <w:szCs w:val="24"/>
                <w:highlight w:val="none"/>
              </w:rPr>
            </w:pPr>
          </w:p>
        </w:tc>
      </w:tr>
      <w:tr w14:paraId="78A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341AB0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24" w:type="dxa"/>
            <w:noWrap w:val="0"/>
            <w:vAlign w:val="center"/>
          </w:tcPr>
          <w:p w14:paraId="79DC6329">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接线端子及其它附料元件</w:t>
            </w:r>
          </w:p>
        </w:tc>
        <w:tc>
          <w:tcPr>
            <w:tcW w:w="2415" w:type="dxa"/>
            <w:noWrap w:val="0"/>
            <w:vAlign w:val="center"/>
          </w:tcPr>
          <w:p w14:paraId="590D2F73">
            <w:pPr>
              <w:spacing w:line="360" w:lineRule="exact"/>
              <w:rPr>
                <w:rFonts w:hint="eastAsia" w:ascii="仿宋" w:hAnsi="仿宋" w:eastAsia="仿宋" w:cs="仿宋"/>
                <w:color w:val="auto"/>
                <w:sz w:val="24"/>
                <w:szCs w:val="24"/>
                <w:highlight w:val="none"/>
              </w:rPr>
            </w:pPr>
          </w:p>
        </w:tc>
        <w:tc>
          <w:tcPr>
            <w:tcW w:w="1607" w:type="dxa"/>
            <w:noWrap w:val="0"/>
            <w:vAlign w:val="center"/>
          </w:tcPr>
          <w:p w14:paraId="3AF0F298">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6ADD0FEA">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686" w:type="dxa"/>
            <w:noWrap w:val="0"/>
            <w:vAlign w:val="center"/>
          </w:tcPr>
          <w:p w14:paraId="7978E9A5">
            <w:pPr>
              <w:jc w:val="center"/>
              <w:rPr>
                <w:rFonts w:hint="eastAsia" w:ascii="仿宋" w:hAnsi="仿宋" w:eastAsia="仿宋" w:cs="仿宋"/>
                <w:color w:val="auto"/>
                <w:sz w:val="24"/>
                <w:szCs w:val="24"/>
                <w:highlight w:val="none"/>
              </w:rPr>
            </w:pPr>
          </w:p>
        </w:tc>
      </w:tr>
      <w:tr w14:paraId="44A5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592" w:type="dxa"/>
            <w:noWrap w:val="0"/>
            <w:vAlign w:val="center"/>
          </w:tcPr>
          <w:p w14:paraId="33A5A9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24" w:type="dxa"/>
            <w:noWrap w:val="0"/>
            <w:vAlign w:val="center"/>
          </w:tcPr>
          <w:p w14:paraId="3C538D7E">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4"/>
                <w:sz w:val="24"/>
                <w:szCs w:val="24"/>
                <w:highlight w:val="none"/>
              </w:rPr>
              <w:t>更换按键、开关、电气元件</w:t>
            </w:r>
          </w:p>
        </w:tc>
        <w:tc>
          <w:tcPr>
            <w:tcW w:w="2415" w:type="dxa"/>
            <w:noWrap w:val="0"/>
            <w:vAlign w:val="center"/>
          </w:tcPr>
          <w:p w14:paraId="02610A51">
            <w:pPr>
              <w:spacing w:line="360" w:lineRule="exact"/>
              <w:rPr>
                <w:rFonts w:hint="eastAsia" w:ascii="仿宋" w:hAnsi="仿宋" w:eastAsia="仿宋" w:cs="仿宋"/>
                <w:color w:val="auto"/>
                <w:sz w:val="24"/>
                <w:szCs w:val="24"/>
                <w:highlight w:val="none"/>
              </w:rPr>
            </w:pPr>
          </w:p>
        </w:tc>
        <w:tc>
          <w:tcPr>
            <w:tcW w:w="1607" w:type="dxa"/>
            <w:noWrap w:val="0"/>
            <w:vAlign w:val="center"/>
          </w:tcPr>
          <w:p w14:paraId="3FEB4FDB">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29A75DC0">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686" w:type="dxa"/>
            <w:noWrap w:val="0"/>
            <w:vAlign w:val="center"/>
          </w:tcPr>
          <w:p w14:paraId="228CF355">
            <w:pPr>
              <w:jc w:val="center"/>
              <w:rPr>
                <w:rFonts w:hint="eastAsia" w:ascii="仿宋" w:hAnsi="仿宋" w:eastAsia="仿宋" w:cs="仿宋"/>
                <w:color w:val="auto"/>
                <w:sz w:val="24"/>
                <w:szCs w:val="24"/>
                <w:highlight w:val="none"/>
              </w:rPr>
            </w:pPr>
          </w:p>
        </w:tc>
      </w:tr>
      <w:tr w14:paraId="626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5767A8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24" w:type="dxa"/>
            <w:noWrap w:val="0"/>
            <w:vAlign w:val="center"/>
          </w:tcPr>
          <w:p w14:paraId="4B3F625D">
            <w:pPr>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电器控制板（总成）</w:t>
            </w:r>
          </w:p>
        </w:tc>
        <w:tc>
          <w:tcPr>
            <w:tcW w:w="2415" w:type="dxa"/>
            <w:noWrap w:val="0"/>
            <w:vAlign w:val="center"/>
          </w:tcPr>
          <w:p w14:paraId="04FCBF4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集成电路控制</w:t>
            </w:r>
          </w:p>
        </w:tc>
        <w:tc>
          <w:tcPr>
            <w:tcW w:w="1607" w:type="dxa"/>
            <w:noWrap w:val="0"/>
            <w:vAlign w:val="center"/>
          </w:tcPr>
          <w:p w14:paraId="5F14832F">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2D85947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686" w:type="dxa"/>
            <w:noWrap w:val="0"/>
            <w:vAlign w:val="center"/>
          </w:tcPr>
          <w:p w14:paraId="7F26B83D">
            <w:pPr>
              <w:jc w:val="center"/>
              <w:rPr>
                <w:rFonts w:hint="eastAsia" w:ascii="仿宋" w:hAnsi="仿宋" w:eastAsia="仿宋" w:cs="仿宋"/>
                <w:color w:val="auto"/>
                <w:sz w:val="24"/>
                <w:szCs w:val="24"/>
                <w:highlight w:val="none"/>
              </w:rPr>
            </w:pPr>
          </w:p>
        </w:tc>
      </w:tr>
      <w:tr w14:paraId="699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329610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24" w:type="dxa"/>
            <w:noWrap w:val="0"/>
            <w:vAlign w:val="center"/>
          </w:tcPr>
          <w:p w14:paraId="3DE3F5C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断路器</w:t>
            </w:r>
          </w:p>
        </w:tc>
        <w:tc>
          <w:tcPr>
            <w:tcW w:w="2415" w:type="dxa"/>
            <w:noWrap w:val="0"/>
            <w:vAlign w:val="center"/>
          </w:tcPr>
          <w:p w14:paraId="316B9EED">
            <w:pPr>
              <w:jc w:val="center"/>
              <w:rPr>
                <w:rFonts w:hint="eastAsia" w:ascii="仿宋" w:hAnsi="仿宋" w:eastAsia="仿宋" w:cs="仿宋"/>
                <w:color w:val="auto"/>
                <w:sz w:val="24"/>
                <w:szCs w:val="24"/>
                <w:highlight w:val="none"/>
              </w:rPr>
            </w:pPr>
          </w:p>
        </w:tc>
        <w:tc>
          <w:tcPr>
            <w:tcW w:w="1607" w:type="dxa"/>
            <w:noWrap w:val="0"/>
            <w:vAlign w:val="center"/>
          </w:tcPr>
          <w:p w14:paraId="215A8855">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5C7A39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686" w:type="dxa"/>
            <w:noWrap w:val="0"/>
            <w:vAlign w:val="center"/>
          </w:tcPr>
          <w:p w14:paraId="4F6FCF33">
            <w:pPr>
              <w:jc w:val="center"/>
              <w:rPr>
                <w:rFonts w:hint="eastAsia" w:ascii="仿宋" w:hAnsi="仿宋" w:eastAsia="仿宋" w:cs="仿宋"/>
                <w:color w:val="auto"/>
                <w:sz w:val="24"/>
                <w:szCs w:val="24"/>
                <w:highlight w:val="none"/>
              </w:rPr>
            </w:pPr>
          </w:p>
        </w:tc>
      </w:tr>
      <w:tr w14:paraId="2E3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507005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24" w:type="dxa"/>
            <w:noWrap w:val="0"/>
            <w:vAlign w:val="center"/>
          </w:tcPr>
          <w:p w14:paraId="3C6E9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中间继电器及接触器</w:t>
            </w:r>
          </w:p>
        </w:tc>
        <w:tc>
          <w:tcPr>
            <w:tcW w:w="2415" w:type="dxa"/>
            <w:noWrap w:val="0"/>
            <w:vAlign w:val="center"/>
          </w:tcPr>
          <w:p w14:paraId="31026253">
            <w:pPr>
              <w:jc w:val="center"/>
              <w:rPr>
                <w:rFonts w:hint="eastAsia" w:ascii="仿宋" w:hAnsi="仿宋" w:eastAsia="仿宋" w:cs="仿宋"/>
                <w:color w:val="auto"/>
                <w:sz w:val="24"/>
                <w:szCs w:val="24"/>
                <w:highlight w:val="none"/>
              </w:rPr>
            </w:pPr>
          </w:p>
        </w:tc>
        <w:tc>
          <w:tcPr>
            <w:tcW w:w="1607" w:type="dxa"/>
            <w:noWrap w:val="0"/>
            <w:vAlign w:val="center"/>
          </w:tcPr>
          <w:p w14:paraId="5B58C4E6">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BED6B5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686" w:type="dxa"/>
            <w:noWrap w:val="0"/>
            <w:vAlign w:val="center"/>
          </w:tcPr>
          <w:p w14:paraId="2BFDAAE7">
            <w:pPr>
              <w:jc w:val="center"/>
              <w:rPr>
                <w:rFonts w:hint="eastAsia" w:ascii="仿宋" w:hAnsi="仿宋" w:eastAsia="仿宋" w:cs="仿宋"/>
                <w:color w:val="auto"/>
                <w:sz w:val="24"/>
                <w:szCs w:val="24"/>
                <w:highlight w:val="none"/>
              </w:rPr>
            </w:pPr>
          </w:p>
        </w:tc>
      </w:tr>
      <w:tr w14:paraId="6181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592" w:type="dxa"/>
            <w:noWrap w:val="0"/>
            <w:vAlign w:val="center"/>
          </w:tcPr>
          <w:p w14:paraId="0C6B88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24" w:type="dxa"/>
            <w:noWrap w:val="0"/>
            <w:vAlign w:val="center"/>
          </w:tcPr>
          <w:p w14:paraId="2769F1D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隔离变压器</w:t>
            </w:r>
          </w:p>
        </w:tc>
        <w:tc>
          <w:tcPr>
            <w:tcW w:w="2415" w:type="dxa"/>
            <w:noWrap w:val="0"/>
            <w:vAlign w:val="center"/>
          </w:tcPr>
          <w:p w14:paraId="7C12D991">
            <w:pPr>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氧舱专用</w:t>
            </w:r>
          </w:p>
        </w:tc>
        <w:tc>
          <w:tcPr>
            <w:tcW w:w="1607" w:type="dxa"/>
            <w:noWrap w:val="0"/>
            <w:vAlign w:val="center"/>
          </w:tcPr>
          <w:p w14:paraId="0AB16A78">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00416B8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1台</w:t>
            </w:r>
          </w:p>
        </w:tc>
        <w:tc>
          <w:tcPr>
            <w:tcW w:w="686" w:type="dxa"/>
            <w:noWrap w:val="0"/>
            <w:vAlign w:val="center"/>
          </w:tcPr>
          <w:p w14:paraId="72F76311">
            <w:pPr>
              <w:jc w:val="center"/>
              <w:rPr>
                <w:rFonts w:hint="eastAsia" w:ascii="仿宋" w:hAnsi="仿宋" w:eastAsia="仿宋" w:cs="仿宋"/>
                <w:color w:val="auto"/>
                <w:sz w:val="24"/>
                <w:szCs w:val="24"/>
                <w:highlight w:val="none"/>
              </w:rPr>
            </w:pPr>
          </w:p>
        </w:tc>
      </w:tr>
      <w:tr w14:paraId="4541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592" w:type="dxa"/>
            <w:noWrap w:val="0"/>
            <w:vAlign w:val="center"/>
          </w:tcPr>
          <w:p w14:paraId="0ADB6C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24" w:type="dxa"/>
            <w:noWrap w:val="0"/>
            <w:vAlign w:val="center"/>
          </w:tcPr>
          <w:p w14:paraId="75DBD13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更换舱内电器元件</w:t>
            </w:r>
          </w:p>
        </w:tc>
        <w:tc>
          <w:tcPr>
            <w:tcW w:w="2415" w:type="dxa"/>
            <w:noWrap w:val="0"/>
            <w:vAlign w:val="center"/>
          </w:tcPr>
          <w:p w14:paraId="05775249">
            <w:pPr>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喇叭、拾音</w:t>
            </w:r>
          </w:p>
        </w:tc>
        <w:tc>
          <w:tcPr>
            <w:tcW w:w="1607" w:type="dxa"/>
            <w:noWrap w:val="0"/>
            <w:vAlign w:val="center"/>
          </w:tcPr>
          <w:p w14:paraId="2F14B0F9">
            <w:pPr>
              <w:spacing w:line="360" w:lineRule="exact"/>
              <w:jc w:val="center"/>
              <w:rPr>
                <w:rFonts w:hint="eastAsia" w:ascii="仿宋" w:hAnsi="仿宋" w:eastAsia="仿宋" w:cs="仿宋"/>
                <w:color w:val="auto"/>
                <w:sz w:val="24"/>
                <w:szCs w:val="24"/>
                <w:highlight w:val="none"/>
              </w:rPr>
            </w:pPr>
          </w:p>
        </w:tc>
        <w:tc>
          <w:tcPr>
            <w:tcW w:w="1443" w:type="dxa"/>
            <w:noWrap w:val="0"/>
            <w:vAlign w:val="center"/>
          </w:tcPr>
          <w:p w14:paraId="42F9C10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2舱</w:t>
            </w:r>
          </w:p>
        </w:tc>
        <w:tc>
          <w:tcPr>
            <w:tcW w:w="686" w:type="dxa"/>
            <w:noWrap w:val="0"/>
            <w:vAlign w:val="center"/>
          </w:tcPr>
          <w:p w14:paraId="030E25A1">
            <w:pPr>
              <w:jc w:val="center"/>
              <w:rPr>
                <w:rFonts w:hint="eastAsia" w:ascii="仿宋" w:hAnsi="仿宋" w:eastAsia="仿宋" w:cs="仿宋"/>
                <w:color w:val="auto"/>
                <w:sz w:val="24"/>
                <w:szCs w:val="24"/>
                <w:highlight w:val="none"/>
              </w:rPr>
            </w:pPr>
          </w:p>
        </w:tc>
      </w:tr>
    </w:tbl>
    <w:p w14:paraId="65487F0B">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备注：维修所需材料不仅限于上</w:t>
      </w:r>
      <w:r>
        <w:rPr>
          <w:rFonts w:hint="eastAsia" w:ascii="仿宋" w:hAnsi="仿宋" w:eastAsia="仿宋" w:cs="仿宋"/>
          <w:color w:val="auto"/>
          <w:sz w:val="24"/>
          <w:szCs w:val="24"/>
          <w:highlight w:val="none"/>
          <w:lang w:val="en-US" w:eastAsia="zh-CN"/>
        </w:rPr>
        <w:t>述</w:t>
      </w:r>
      <w:r>
        <w:rPr>
          <w:rFonts w:hint="eastAsia" w:ascii="仿宋" w:hAnsi="仿宋" w:eastAsia="仿宋" w:cs="仿宋"/>
          <w:color w:val="auto"/>
          <w:sz w:val="24"/>
          <w:szCs w:val="24"/>
          <w:highlight w:val="none"/>
          <w:lang w:val="en-GB" w:eastAsia="zh-CN"/>
        </w:rPr>
        <w:t>清单内容，维修过程中所需材料均由中标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en-GB" w:eastAsia="zh-CN"/>
        </w:rPr>
        <w:t>负责。</w:t>
      </w:r>
    </w:p>
    <w:p w14:paraId="1B162CE3">
      <w:p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en-US"/>
        </w:rPr>
        <w:t>报价说明</w:t>
      </w:r>
    </w:p>
    <w:p w14:paraId="1FE2F280">
      <w:pPr>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rPr>
        <w:t>本次采购报价以全包形式，主要包含对现有机组存在的故障材料更换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维修</w:t>
      </w:r>
      <w:r>
        <w:rPr>
          <w:rFonts w:hint="eastAsia" w:ascii="仿宋" w:hAnsi="仿宋" w:eastAsia="仿宋" w:cs="仿宋"/>
          <w:b/>
          <w:bCs/>
          <w:color w:val="auto"/>
          <w:sz w:val="24"/>
          <w:szCs w:val="24"/>
          <w:highlight w:val="none"/>
        </w:rPr>
        <w:t>费用、人工费用、运输费用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安装过程中可能产生的</w:t>
      </w:r>
      <w:r>
        <w:rPr>
          <w:rFonts w:hint="eastAsia" w:ascii="仿宋" w:hAnsi="仿宋" w:eastAsia="仿宋" w:cs="仿宋"/>
          <w:b/>
          <w:bCs/>
          <w:color w:val="auto"/>
          <w:sz w:val="24"/>
          <w:szCs w:val="24"/>
          <w:highlight w:val="none"/>
        </w:rPr>
        <w:t>税金等一切费用及</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年维护保养费用和保养期间所产生的维修材料、人工等一切费用。</w:t>
      </w:r>
    </w:p>
    <w:p w14:paraId="7808E51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u w:val="none"/>
          <w:lang w:val="en-US" w:eastAsia="zh-CN"/>
        </w:rPr>
        <w:t>中标人须</w:t>
      </w:r>
      <w:r>
        <w:rPr>
          <w:rFonts w:hint="eastAsia" w:ascii="仿宋" w:hAnsi="仿宋" w:eastAsia="仿宋" w:cs="仿宋"/>
          <w:color w:val="auto"/>
          <w:kern w:val="2"/>
          <w:sz w:val="24"/>
          <w:szCs w:val="24"/>
          <w:highlight w:val="none"/>
          <w:u w:val="none"/>
        </w:rPr>
        <w:t>为</w:t>
      </w:r>
      <w:r>
        <w:rPr>
          <w:rFonts w:hint="eastAsia" w:ascii="仿宋" w:hAnsi="仿宋" w:eastAsia="仿宋" w:cs="仿宋"/>
          <w:color w:val="auto"/>
          <w:kern w:val="2"/>
          <w:sz w:val="24"/>
          <w:szCs w:val="24"/>
          <w:highlight w:val="none"/>
          <w:u w:val="none"/>
          <w:lang w:val="en-US" w:eastAsia="zh-CN"/>
        </w:rPr>
        <w:t>安装</w:t>
      </w:r>
      <w:r>
        <w:rPr>
          <w:rFonts w:hint="eastAsia" w:ascii="仿宋" w:hAnsi="仿宋" w:eastAsia="仿宋" w:cs="仿宋"/>
          <w:color w:val="auto"/>
          <w:kern w:val="2"/>
          <w:sz w:val="24"/>
          <w:szCs w:val="24"/>
          <w:highlight w:val="none"/>
          <w:u w:val="none"/>
        </w:rPr>
        <w:t>场地内的自有人员设备及第三方生命财产办理保险并支付保险费用，费用已包含在总价内。期间所发生的一切与本</w:t>
      </w:r>
      <w:r>
        <w:rPr>
          <w:rFonts w:hint="eastAsia" w:ascii="仿宋" w:hAnsi="仿宋" w:eastAsia="仿宋" w:cs="仿宋"/>
          <w:color w:val="auto"/>
          <w:kern w:val="2"/>
          <w:sz w:val="24"/>
          <w:szCs w:val="24"/>
          <w:highlight w:val="none"/>
          <w:u w:val="none"/>
          <w:lang w:val="en-US" w:eastAsia="zh-CN"/>
        </w:rPr>
        <w:t>项目</w:t>
      </w:r>
      <w:r>
        <w:rPr>
          <w:rFonts w:hint="eastAsia" w:ascii="仿宋" w:hAnsi="仿宋" w:eastAsia="仿宋" w:cs="仿宋"/>
          <w:color w:val="auto"/>
          <w:kern w:val="2"/>
          <w:sz w:val="24"/>
          <w:szCs w:val="24"/>
          <w:highlight w:val="none"/>
          <w:u w:val="none"/>
        </w:rPr>
        <w:t>有关的</w:t>
      </w:r>
      <w:r>
        <w:rPr>
          <w:rFonts w:hint="eastAsia" w:ascii="仿宋" w:hAnsi="仿宋" w:eastAsia="仿宋" w:cs="仿宋"/>
          <w:color w:val="auto"/>
          <w:kern w:val="2"/>
          <w:sz w:val="24"/>
          <w:szCs w:val="24"/>
          <w:highlight w:val="none"/>
          <w:u w:val="none"/>
          <w:lang w:val="en-US" w:eastAsia="zh-CN"/>
        </w:rPr>
        <w:t>中标</w:t>
      </w:r>
      <w:r>
        <w:rPr>
          <w:rFonts w:hint="eastAsia" w:ascii="仿宋" w:hAnsi="仿宋" w:eastAsia="仿宋" w:cs="仿宋"/>
          <w:color w:val="auto"/>
          <w:kern w:val="2"/>
          <w:sz w:val="24"/>
          <w:szCs w:val="24"/>
          <w:highlight w:val="none"/>
          <w:u w:val="none"/>
        </w:rPr>
        <w:t>人及第三方的人员、财产等意外伤害、损失，由</w:t>
      </w:r>
      <w:r>
        <w:rPr>
          <w:rFonts w:hint="eastAsia" w:ascii="仿宋" w:hAnsi="仿宋" w:eastAsia="仿宋" w:cs="仿宋"/>
          <w:color w:val="auto"/>
          <w:kern w:val="2"/>
          <w:sz w:val="24"/>
          <w:szCs w:val="24"/>
          <w:highlight w:val="none"/>
          <w:u w:val="none"/>
          <w:lang w:val="en-US" w:eastAsia="zh-CN"/>
        </w:rPr>
        <w:t>中标人</w:t>
      </w:r>
      <w:r>
        <w:rPr>
          <w:rFonts w:hint="eastAsia" w:ascii="仿宋" w:hAnsi="仿宋" w:eastAsia="仿宋" w:cs="仿宋"/>
          <w:color w:val="auto"/>
          <w:kern w:val="2"/>
          <w:sz w:val="24"/>
          <w:szCs w:val="24"/>
          <w:highlight w:val="none"/>
          <w:u w:val="none"/>
        </w:rPr>
        <w:t>承担全部责任和费用</w:t>
      </w:r>
      <w:r>
        <w:rPr>
          <w:rFonts w:hint="eastAsia" w:ascii="仿宋" w:hAnsi="仿宋" w:eastAsia="仿宋" w:cs="仿宋"/>
          <w:color w:val="auto"/>
          <w:kern w:val="2"/>
          <w:sz w:val="24"/>
          <w:szCs w:val="24"/>
          <w:highlight w:val="none"/>
          <w:u w:val="none"/>
          <w:lang w:eastAsia="zh-CN"/>
        </w:rPr>
        <w:t>。</w:t>
      </w:r>
    </w:p>
    <w:p w14:paraId="1E96FF5A">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、维修工期及维保服务期</w:t>
      </w:r>
    </w:p>
    <w:p w14:paraId="02D8036D">
      <w:pPr>
        <w:spacing w:line="360" w:lineRule="auto"/>
        <w:ind w:firstLine="480" w:firstLineChars="200"/>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维保服务期：自合同签订之日起至完成现有机组存在的故障材料更换、更新改造并正常运行后二年的维护保养。其中针对原系统的维修更新：要求在合同签订之日起2 个月内完成并能投入正常使用。</w:t>
      </w:r>
    </w:p>
    <w:p w14:paraId="36B84417">
      <w:pPr>
        <w:numPr>
          <w:ilvl w:val="0"/>
          <w:numId w:val="10"/>
        </w:num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付款方式</w:t>
      </w:r>
    </w:p>
    <w:p w14:paraId="200F720C">
      <w:pPr>
        <w:numPr>
          <w:ilvl w:val="0"/>
          <w:numId w:val="0"/>
        </w:numPr>
        <w:adjustRightInd/>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支付至合同金额的90%</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793A709E">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十、验收</w:t>
      </w:r>
    </w:p>
    <w:p w14:paraId="2BC6FC84">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验收合格条件</w:t>
      </w:r>
    </w:p>
    <w:p w14:paraId="6436C52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（1）中标人提供的货物的品牌、规格、型号、数量、性能及服务承诺等必须与应标文件中一致。双方参照货物清单，进行产品品牌、型号、数量到货初验，如果发现数量不足或有质量、技术等问题，</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应在5日内，按照</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的要求，采取补足、更换或退货等处理措施，并承担由此发生的一切损失和费用。货物符合要求的，给予签收。</w:t>
      </w:r>
    </w:p>
    <w:p w14:paraId="6C08656B">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运行结果符合合同要求。</w:t>
      </w:r>
    </w:p>
    <w:p w14:paraId="5F41144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）在进行测试、验收运行过程中发生的故障和发现的隐患已被排除并得到采购人认可。</w:t>
      </w:r>
    </w:p>
    <w:p w14:paraId="59BC7576">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）所有合同中规定的货物和资料都已提交。</w:t>
      </w:r>
    </w:p>
    <w:p w14:paraId="29A60764">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GB"/>
        </w:rPr>
        <w:t>完成现有更新维修</w:t>
      </w:r>
      <w:r>
        <w:rPr>
          <w:rFonts w:hint="eastAsia" w:ascii="仿宋" w:hAnsi="仿宋" w:eastAsia="仿宋" w:cs="仿宋"/>
          <w:color w:val="auto"/>
          <w:sz w:val="24"/>
          <w:szCs w:val="24"/>
          <w:highlight w:val="none"/>
          <w:lang w:val="en-GB" w:eastAsia="zh-CN"/>
        </w:rPr>
        <w:t>后</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highlight w:val="none"/>
          <w:lang w:eastAsia="zh-CN"/>
        </w:rPr>
        <w:t>通过特种设备检测机构检测。</w:t>
      </w:r>
    </w:p>
    <w:p w14:paraId="45EA50F2">
      <w:pPr>
        <w:numPr>
          <w:ilvl w:val="-1"/>
          <w:numId w:val="0"/>
        </w:numPr>
        <w:snapToGrid w:val="0"/>
        <w:spacing w:line="500" w:lineRule="exact"/>
        <w:ind w:left="0" w:firstLine="480" w:firstLineChars="200"/>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双方共同签署验收合格证书</w:t>
      </w:r>
      <w:r>
        <w:rPr>
          <w:rFonts w:hint="eastAsia" w:ascii="仿宋" w:hAnsi="仿宋" w:eastAsia="仿宋" w:cs="仿宋"/>
          <w:color w:val="auto"/>
          <w:sz w:val="24"/>
          <w:highlight w:val="none"/>
          <w:lang w:eastAsia="zh-CN"/>
        </w:rPr>
        <w:t>。</w:t>
      </w:r>
    </w:p>
    <w:p w14:paraId="00A2DB46">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十一、其它要求</w:t>
      </w:r>
    </w:p>
    <w:p w14:paraId="65D4E3D7">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1.投标人应具有202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年1月1日至今（以合同签订时间为准）</w:t>
      </w:r>
      <w:r>
        <w:rPr>
          <w:rFonts w:hint="eastAsia" w:ascii="仿宋" w:hAnsi="仿宋" w:eastAsia="仿宋" w:cs="仿宋"/>
          <w:i w:val="0"/>
          <w:iCs w:val="0"/>
          <w:color w:val="auto"/>
          <w:kern w:val="0"/>
          <w:sz w:val="24"/>
          <w:szCs w:val="24"/>
          <w:highlight w:val="none"/>
          <w:u w:val="none"/>
          <w:lang w:val="en-US" w:eastAsia="zh-CN" w:bidi="ar"/>
        </w:rPr>
        <w:t>具有高压氧舱新建或改建或维修实施业绩的</w:t>
      </w:r>
      <w:r>
        <w:rPr>
          <w:rFonts w:hint="eastAsia" w:ascii="仿宋" w:hAnsi="仿宋" w:eastAsia="仿宋" w:cs="仿宋"/>
          <w:color w:val="auto"/>
          <w:sz w:val="24"/>
          <w:highlight w:val="none"/>
          <w:lang w:val="en-US" w:eastAsia="zh-CN"/>
        </w:rPr>
        <w:t>。</w:t>
      </w:r>
    </w:p>
    <w:p w14:paraId="0BAE5D4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2.投标人应具有质量管理体系认证、环境管理体系认证、职业健康体系认证且在有效期内。</w:t>
      </w:r>
    </w:p>
    <w:p w14:paraId="35B0853B">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w:t>
      </w:r>
      <w:r>
        <w:rPr>
          <w:rFonts w:hint="eastAsia" w:ascii="仿宋" w:hAnsi="仿宋" w:eastAsia="仿宋" w:cs="仿宋"/>
          <w:color w:val="auto"/>
          <w:sz w:val="24"/>
          <w:highlight w:val="none"/>
          <w:lang w:val="en-US" w:eastAsia="zh-CN"/>
        </w:rPr>
        <w:t>改造的</w:t>
      </w:r>
      <w:r>
        <w:rPr>
          <w:rFonts w:hint="eastAsia" w:ascii="仿宋" w:hAnsi="仿宋" w:eastAsia="仿宋" w:cs="仿宋"/>
          <w:i w:val="0"/>
          <w:iCs w:val="0"/>
          <w:color w:val="auto"/>
          <w:kern w:val="0"/>
          <w:sz w:val="24"/>
          <w:szCs w:val="24"/>
          <w:highlight w:val="none"/>
          <w:u w:val="none"/>
          <w:lang w:val="en-US" w:eastAsia="zh-CN" w:bidi="ar"/>
        </w:rPr>
        <w:t>实施方案</w:t>
      </w:r>
      <w:r>
        <w:rPr>
          <w:rFonts w:hint="eastAsia" w:ascii="仿宋" w:hAnsi="仿宋" w:eastAsia="仿宋" w:cs="仿宋"/>
          <w:color w:val="auto"/>
          <w:sz w:val="24"/>
          <w:highlight w:val="none"/>
        </w:rPr>
        <w:t>：但不限于设备的运输、安装调试、系统集成、试运行、测试、调优等内容，以及组织机构、工作程序和步骤、管理和协调方法、关键步骤的思路和要点等。</w:t>
      </w:r>
    </w:p>
    <w:p w14:paraId="2F2F10B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w:t>
      </w:r>
      <w:r>
        <w:rPr>
          <w:rFonts w:hint="eastAsia" w:ascii="仿宋" w:hAnsi="仿宋" w:eastAsia="仿宋" w:cs="仿宋"/>
          <w:color w:val="auto"/>
          <w:sz w:val="24"/>
          <w:highlight w:val="none"/>
          <w:lang w:val="en-US" w:eastAsia="zh-CN"/>
        </w:rPr>
        <w:t>针对本项目的</w:t>
      </w:r>
      <w:r>
        <w:rPr>
          <w:rFonts w:hint="eastAsia" w:ascii="仿宋" w:hAnsi="仿宋" w:eastAsia="仿宋" w:cs="仿宋"/>
          <w:i w:val="0"/>
          <w:iCs w:val="0"/>
          <w:color w:val="auto"/>
          <w:kern w:val="0"/>
          <w:sz w:val="24"/>
          <w:szCs w:val="24"/>
          <w:highlight w:val="none"/>
          <w:u w:val="none"/>
          <w:lang w:val="en-US" w:eastAsia="zh-CN" w:bidi="ar"/>
        </w:rPr>
        <w:t>质量保证措施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包含但不限于维修质量控制措施、质量保证体系等，确保设备质量符合采购要求和国家有关标准等</w:t>
      </w:r>
      <w:r>
        <w:rPr>
          <w:rFonts w:hint="eastAsia" w:ascii="仿宋" w:hAnsi="仿宋" w:eastAsia="仿宋" w:cs="仿宋"/>
          <w:color w:val="auto"/>
          <w:sz w:val="24"/>
          <w:highlight w:val="none"/>
        </w:rPr>
        <w:t>。</w:t>
      </w:r>
    </w:p>
    <w:p w14:paraId="06F46F9F">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w:t>
      </w:r>
      <w:r>
        <w:rPr>
          <w:rFonts w:hint="eastAsia" w:ascii="仿宋" w:hAnsi="仿宋" w:eastAsia="仿宋" w:cs="仿宋"/>
          <w:i w:val="0"/>
          <w:iCs w:val="0"/>
          <w:color w:val="auto"/>
          <w:kern w:val="0"/>
          <w:sz w:val="24"/>
          <w:szCs w:val="24"/>
          <w:highlight w:val="none"/>
          <w:u w:val="none"/>
          <w:lang w:val="en-US" w:eastAsia="zh-CN" w:bidi="ar"/>
        </w:rPr>
        <w:t>提供安全文明施工及环境保护措施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包含但不限于对该项目安全文明施工、施工现场扬尘污染防治措施及环境保护方面等</w:t>
      </w:r>
      <w:r>
        <w:rPr>
          <w:rFonts w:hint="eastAsia" w:ascii="仿宋" w:hAnsi="仿宋" w:eastAsia="仿宋" w:cs="仿宋"/>
          <w:color w:val="auto"/>
          <w:sz w:val="24"/>
          <w:highlight w:val="none"/>
        </w:rPr>
        <w:t>。</w:t>
      </w:r>
    </w:p>
    <w:p w14:paraId="46218ED2">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投标人应</w:t>
      </w:r>
      <w:r>
        <w:rPr>
          <w:rFonts w:hint="eastAsia" w:ascii="仿宋" w:hAnsi="仿宋" w:eastAsia="仿宋" w:cs="仿宋"/>
          <w:i w:val="0"/>
          <w:iCs w:val="0"/>
          <w:color w:val="auto"/>
          <w:kern w:val="0"/>
          <w:sz w:val="24"/>
          <w:szCs w:val="24"/>
          <w:highlight w:val="none"/>
          <w:u w:val="none"/>
          <w:lang w:val="en-US" w:eastAsia="zh-CN" w:bidi="ar"/>
        </w:rPr>
        <w:t>提供施工进度计划和进度措施。内容包含但不限于进度控制点，进度计划表，材料的供应计划等</w:t>
      </w:r>
      <w:r>
        <w:rPr>
          <w:rFonts w:hint="eastAsia" w:ascii="仿宋" w:hAnsi="仿宋" w:eastAsia="仿宋" w:cs="仿宋"/>
          <w:color w:val="auto"/>
          <w:sz w:val="24"/>
          <w:highlight w:val="none"/>
          <w:lang w:val="en-US" w:eastAsia="zh-CN"/>
        </w:rPr>
        <w:t>，投标人须提供巡检服务方案。</w:t>
      </w:r>
    </w:p>
    <w:p w14:paraId="0E2A4C8A">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7.为保障项目实施，投标人应根据项目实际情况，组建项目团队，</w:t>
      </w:r>
      <w:r>
        <w:rPr>
          <w:rFonts w:hint="eastAsia" w:ascii="仿宋" w:hAnsi="仿宋" w:eastAsia="仿宋" w:cs="仿宋"/>
          <w:i w:val="0"/>
          <w:iCs w:val="0"/>
          <w:color w:val="auto"/>
          <w:kern w:val="0"/>
          <w:sz w:val="24"/>
          <w:szCs w:val="24"/>
          <w:highlight w:val="none"/>
          <w:u w:val="none"/>
          <w:lang w:val="en-US" w:eastAsia="zh-CN" w:bidi="ar"/>
        </w:rPr>
        <w:t>拟派项目负责人具有机电类相关专业中级及以上职称</w:t>
      </w:r>
      <w:r>
        <w:rPr>
          <w:rFonts w:hint="eastAsia" w:ascii="仿宋" w:hAnsi="仿宋" w:eastAsia="仿宋" w:cs="仿宋"/>
          <w:color w:val="auto"/>
          <w:sz w:val="24"/>
          <w:highlight w:val="none"/>
          <w:lang w:val="en-US" w:eastAsia="zh-CN"/>
        </w:rPr>
        <w:t>。</w:t>
      </w:r>
    </w:p>
    <w:p w14:paraId="5C03481D">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为保障维保期内设备正常运转，投标人须提供巡检服务方案</w:t>
      </w:r>
      <w:r>
        <w:rPr>
          <w:rFonts w:hint="eastAsia" w:ascii="仿宋" w:hAnsi="仿宋" w:eastAsia="仿宋" w:cs="仿宋"/>
          <w:color w:val="auto"/>
          <w:sz w:val="24"/>
          <w:highlight w:val="none"/>
          <w:lang w:eastAsia="zh-CN"/>
        </w:rPr>
        <w:t>。</w:t>
      </w:r>
    </w:p>
    <w:p w14:paraId="590176F3">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9.为保障项目实施，指定详细的维保方案，包括维保服务范围、响应时间、维保人员配置等。</w:t>
      </w:r>
    </w:p>
    <w:p w14:paraId="204A42DD">
      <w:pPr>
        <w:pStyle w:val="61"/>
        <w:shd w:val="clear"/>
        <w:ind w:firstLine="480" w:firstLineChars="200"/>
        <w:rPr>
          <w:rFonts w:ascii="仿宋" w:hAnsi="仿宋" w:eastAsia="仿宋" w:cs="仿宋"/>
          <w:color w:val="auto"/>
          <w:highlight w:val="none"/>
        </w:rPr>
      </w:pPr>
    </w:p>
    <w:p w14:paraId="2C9002EF">
      <w:pPr>
        <w:snapToGrid w:val="0"/>
        <w:spacing w:line="360" w:lineRule="auto"/>
        <w:rPr>
          <w:rFonts w:hint="eastAsia" w:ascii="仿宋" w:hAnsi="仿宋" w:eastAsia="仿宋" w:cs="仿宋"/>
          <w:b/>
          <w:color w:val="auto"/>
          <w:sz w:val="32"/>
          <w:highlight w:val="none"/>
        </w:rPr>
      </w:pPr>
      <w:r>
        <w:rPr>
          <w:rFonts w:hint="eastAsia" w:ascii="仿宋" w:hAnsi="仿宋" w:eastAsia="仿宋" w:cs="仿宋"/>
          <w:color w:val="auto"/>
          <w:highlight w:val="none"/>
        </w:rPr>
        <w:br w:type="page"/>
      </w:r>
    </w:p>
    <w:p w14:paraId="5A71C52F">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0" w:name="_Toc184312098"/>
      <w:bookmarkEnd w:id="40"/>
      <w:bookmarkStart w:id="41" w:name="_Toc184312130"/>
      <w:bookmarkEnd w:id="41"/>
      <w:bookmarkStart w:id="42" w:name="_Toc184308080"/>
      <w:bookmarkEnd w:id="42"/>
      <w:bookmarkStart w:id="43" w:name="_Toc184312104"/>
      <w:bookmarkEnd w:id="43"/>
      <w:bookmarkStart w:id="44" w:name="_Toc184313256"/>
      <w:bookmarkEnd w:id="44"/>
      <w:bookmarkStart w:id="45" w:name="_Toc184310313"/>
      <w:bookmarkEnd w:id="45"/>
      <w:bookmarkStart w:id="46" w:name="_Toc184308088"/>
      <w:bookmarkEnd w:id="46"/>
      <w:bookmarkStart w:id="47" w:name="_Toc184312105"/>
      <w:bookmarkEnd w:id="47"/>
      <w:bookmarkStart w:id="48" w:name="_Toc184310275"/>
      <w:bookmarkEnd w:id="48"/>
      <w:bookmarkStart w:id="49" w:name="_Toc184308054"/>
      <w:bookmarkEnd w:id="49"/>
      <w:bookmarkStart w:id="50" w:name="_Toc184310322"/>
      <w:bookmarkEnd w:id="50"/>
      <w:bookmarkStart w:id="51" w:name="_Toc184313271"/>
      <w:bookmarkEnd w:id="51"/>
      <w:bookmarkStart w:id="52" w:name="_Toc184312117"/>
      <w:bookmarkEnd w:id="52"/>
      <w:bookmarkStart w:id="53" w:name="_Toc184308083"/>
      <w:bookmarkEnd w:id="53"/>
      <w:bookmarkStart w:id="54" w:name="_Toc184314417"/>
      <w:bookmarkEnd w:id="54"/>
      <w:bookmarkStart w:id="55" w:name="_Toc184308086"/>
      <w:bookmarkEnd w:id="55"/>
      <w:bookmarkStart w:id="56" w:name="_Toc184313243"/>
      <w:bookmarkEnd w:id="56"/>
      <w:bookmarkStart w:id="57" w:name="_Toc184312097"/>
      <w:bookmarkEnd w:id="57"/>
      <w:bookmarkStart w:id="58" w:name="_Toc184312109"/>
      <w:bookmarkEnd w:id="58"/>
      <w:bookmarkStart w:id="59" w:name="_Toc184312069"/>
      <w:bookmarkEnd w:id="59"/>
      <w:bookmarkStart w:id="60" w:name="_Toc184313250"/>
      <w:bookmarkEnd w:id="60"/>
      <w:bookmarkStart w:id="61" w:name="_Toc184308072"/>
      <w:bookmarkEnd w:id="61"/>
      <w:bookmarkStart w:id="62" w:name="_Toc184313257"/>
      <w:bookmarkEnd w:id="62"/>
      <w:bookmarkStart w:id="63" w:name="_Toc184308036"/>
      <w:bookmarkEnd w:id="63"/>
      <w:bookmarkStart w:id="64" w:name="_Toc184308101"/>
      <w:bookmarkEnd w:id="64"/>
      <w:bookmarkStart w:id="65" w:name="_Toc184310327"/>
      <w:bookmarkEnd w:id="65"/>
      <w:bookmarkStart w:id="66" w:name="_Toc184310335"/>
      <w:bookmarkEnd w:id="66"/>
      <w:bookmarkStart w:id="67" w:name="_Toc184312100"/>
      <w:bookmarkEnd w:id="67"/>
      <w:bookmarkStart w:id="68" w:name="_Toc184314445"/>
      <w:bookmarkEnd w:id="68"/>
      <w:bookmarkStart w:id="69" w:name="_Toc184314451"/>
      <w:bookmarkEnd w:id="69"/>
      <w:bookmarkStart w:id="70" w:name="_Toc184313310"/>
      <w:bookmarkEnd w:id="70"/>
      <w:bookmarkStart w:id="71" w:name="_Toc184312119"/>
      <w:bookmarkEnd w:id="71"/>
      <w:bookmarkStart w:id="72" w:name="_Toc184314450"/>
      <w:bookmarkEnd w:id="72"/>
      <w:bookmarkStart w:id="73" w:name="_Toc184314481"/>
      <w:bookmarkEnd w:id="73"/>
      <w:bookmarkStart w:id="74" w:name="_Toc184314440"/>
      <w:bookmarkEnd w:id="74"/>
      <w:bookmarkStart w:id="75" w:name="_Toc184314468"/>
      <w:bookmarkEnd w:id="75"/>
      <w:bookmarkStart w:id="76" w:name="_Toc184314462"/>
      <w:bookmarkEnd w:id="76"/>
      <w:bookmarkStart w:id="77" w:name="_Toc184314475"/>
      <w:bookmarkEnd w:id="77"/>
      <w:bookmarkStart w:id="78" w:name="_Toc184312083"/>
      <w:bookmarkEnd w:id="78"/>
      <w:bookmarkStart w:id="79" w:name="_Toc184310329"/>
      <w:bookmarkEnd w:id="79"/>
      <w:bookmarkStart w:id="80" w:name="_Toc184312080"/>
      <w:bookmarkEnd w:id="80"/>
      <w:bookmarkStart w:id="81" w:name="_Toc184313284"/>
      <w:bookmarkEnd w:id="81"/>
      <w:bookmarkStart w:id="82" w:name="_Toc184310284"/>
      <w:bookmarkEnd w:id="82"/>
      <w:bookmarkStart w:id="83" w:name="_Toc184314447"/>
      <w:bookmarkEnd w:id="83"/>
      <w:bookmarkStart w:id="84" w:name="_Toc184310297"/>
      <w:bookmarkEnd w:id="84"/>
      <w:bookmarkStart w:id="85" w:name="_Toc184314411"/>
      <w:bookmarkEnd w:id="85"/>
      <w:bookmarkStart w:id="86" w:name="_Toc184312137"/>
      <w:bookmarkEnd w:id="86"/>
      <w:bookmarkStart w:id="87" w:name="_Toc184312114"/>
      <w:bookmarkEnd w:id="87"/>
      <w:bookmarkStart w:id="88" w:name="_Toc184313266"/>
      <w:bookmarkEnd w:id="88"/>
      <w:bookmarkStart w:id="89" w:name="_Toc184308067"/>
      <w:bookmarkEnd w:id="89"/>
      <w:bookmarkStart w:id="90" w:name="_Toc184312077"/>
      <w:bookmarkEnd w:id="90"/>
      <w:bookmarkStart w:id="91" w:name="_Toc184313279"/>
      <w:bookmarkEnd w:id="91"/>
      <w:bookmarkStart w:id="92" w:name="_Toc184312087"/>
      <w:bookmarkEnd w:id="92"/>
      <w:bookmarkStart w:id="93" w:name="_Toc184313304"/>
      <w:bookmarkEnd w:id="93"/>
      <w:bookmarkStart w:id="94" w:name="_Toc184314425"/>
      <w:bookmarkEnd w:id="94"/>
      <w:bookmarkStart w:id="95" w:name="_Toc184314452"/>
      <w:bookmarkEnd w:id="95"/>
      <w:bookmarkStart w:id="96" w:name="_Toc184308048"/>
      <w:bookmarkEnd w:id="96"/>
      <w:bookmarkStart w:id="97" w:name="_Toc184313270"/>
      <w:bookmarkEnd w:id="97"/>
      <w:bookmarkStart w:id="98" w:name="_Toc184314416"/>
      <w:bookmarkEnd w:id="98"/>
      <w:bookmarkStart w:id="99" w:name="_Toc184314420"/>
      <w:bookmarkEnd w:id="99"/>
      <w:bookmarkStart w:id="100" w:name="_Toc184313308"/>
      <w:bookmarkEnd w:id="100"/>
      <w:bookmarkStart w:id="101" w:name="_Toc184308105"/>
      <w:bookmarkEnd w:id="101"/>
      <w:bookmarkStart w:id="102" w:name="_Toc184308087"/>
      <w:bookmarkEnd w:id="102"/>
      <w:bookmarkStart w:id="103" w:name="_Toc184308070"/>
      <w:bookmarkEnd w:id="103"/>
      <w:bookmarkStart w:id="104" w:name="_Toc184314460"/>
      <w:bookmarkEnd w:id="104"/>
      <w:bookmarkStart w:id="105" w:name="_Toc184310309"/>
      <w:bookmarkEnd w:id="105"/>
      <w:bookmarkStart w:id="106" w:name="_Toc184313274"/>
      <w:bookmarkEnd w:id="106"/>
      <w:bookmarkStart w:id="107" w:name="_Toc184308053"/>
      <w:bookmarkEnd w:id="107"/>
      <w:bookmarkStart w:id="108" w:name="_Toc184313238"/>
      <w:bookmarkEnd w:id="108"/>
      <w:bookmarkStart w:id="109" w:name="_Toc184313287"/>
      <w:bookmarkEnd w:id="109"/>
      <w:bookmarkStart w:id="110" w:name="_Toc184314478"/>
      <w:bookmarkEnd w:id="110"/>
      <w:bookmarkStart w:id="111" w:name="_Toc184314472"/>
      <w:bookmarkEnd w:id="111"/>
      <w:bookmarkStart w:id="112" w:name="_Toc184310277"/>
      <w:bookmarkEnd w:id="112"/>
      <w:bookmarkStart w:id="113" w:name="_Toc184314465"/>
      <w:bookmarkEnd w:id="113"/>
      <w:bookmarkStart w:id="114" w:name="_Toc184310319"/>
      <w:bookmarkEnd w:id="114"/>
      <w:bookmarkStart w:id="115" w:name="_Toc184313273"/>
      <w:bookmarkEnd w:id="115"/>
      <w:bookmarkStart w:id="116" w:name="_Toc184312072"/>
      <w:bookmarkEnd w:id="116"/>
      <w:bookmarkStart w:id="117" w:name="_Toc184313285"/>
      <w:bookmarkEnd w:id="117"/>
      <w:bookmarkStart w:id="118" w:name="_Toc184308066"/>
      <w:bookmarkEnd w:id="118"/>
      <w:bookmarkStart w:id="119" w:name="_Toc184312095"/>
      <w:bookmarkEnd w:id="119"/>
      <w:bookmarkStart w:id="120" w:name="_Toc184313255"/>
      <w:bookmarkEnd w:id="120"/>
      <w:bookmarkStart w:id="121" w:name="_Toc184310280"/>
      <w:bookmarkEnd w:id="121"/>
      <w:bookmarkStart w:id="122" w:name="_Toc184313264"/>
      <w:bookmarkEnd w:id="122"/>
      <w:bookmarkStart w:id="123" w:name="_Toc184314410"/>
      <w:bookmarkEnd w:id="123"/>
      <w:bookmarkStart w:id="124" w:name="_Toc184313239"/>
      <w:bookmarkEnd w:id="124"/>
      <w:bookmarkStart w:id="125" w:name="_Toc184308052"/>
      <w:bookmarkEnd w:id="125"/>
      <w:bookmarkStart w:id="126" w:name="_Toc184313306"/>
      <w:bookmarkEnd w:id="126"/>
      <w:bookmarkStart w:id="127" w:name="_Toc184313280"/>
      <w:bookmarkEnd w:id="127"/>
      <w:bookmarkStart w:id="128" w:name="_Toc184310302"/>
      <w:bookmarkEnd w:id="128"/>
      <w:bookmarkStart w:id="129" w:name="_Toc184312123"/>
      <w:bookmarkEnd w:id="129"/>
      <w:bookmarkStart w:id="130" w:name="_Toc184314453"/>
      <w:bookmarkEnd w:id="130"/>
      <w:bookmarkStart w:id="131" w:name="_Toc184312131"/>
      <w:bookmarkEnd w:id="131"/>
      <w:bookmarkStart w:id="132" w:name="_Toc184312128"/>
      <w:bookmarkEnd w:id="132"/>
      <w:bookmarkStart w:id="133" w:name="_Toc184313276"/>
      <w:bookmarkEnd w:id="133"/>
      <w:bookmarkStart w:id="134" w:name="_Toc184312113"/>
      <w:bookmarkEnd w:id="134"/>
      <w:bookmarkStart w:id="135" w:name="_Toc184312132"/>
      <w:bookmarkEnd w:id="135"/>
      <w:bookmarkStart w:id="136" w:name="_Toc184314421"/>
      <w:bookmarkEnd w:id="136"/>
      <w:bookmarkStart w:id="137" w:name="_Toc184310304"/>
      <w:bookmarkEnd w:id="137"/>
      <w:bookmarkStart w:id="138" w:name="_Toc184313245"/>
      <w:bookmarkEnd w:id="138"/>
      <w:bookmarkStart w:id="139" w:name="_Toc184314482"/>
      <w:bookmarkEnd w:id="139"/>
      <w:bookmarkStart w:id="140" w:name="_Toc184313249"/>
      <w:bookmarkEnd w:id="140"/>
      <w:bookmarkStart w:id="141" w:name="_Toc184310296"/>
      <w:bookmarkEnd w:id="141"/>
      <w:bookmarkStart w:id="142" w:name="_Toc184310299"/>
      <w:bookmarkEnd w:id="142"/>
      <w:bookmarkStart w:id="143" w:name="_Toc184313246"/>
      <w:bookmarkEnd w:id="143"/>
      <w:bookmarkStart w:id="144" w:name="_Toc184310283"/>
      <w:bookmarkEnd w:id="144"/>
      <w:bookmarkStart w:id="145" w:name="_Toc184312134"/>
      <w:bookmarkEnd w:id="145"/>
      <w:bookmarkStart w:id="146" w:name="_Toc184314427"/>
      <w:bookmarkEnd w:id="146"/>
      <w:bookmarkStart w:id="147" w:name="_Toc184313277"/>
      <w:bookmarkEnd w:id="147"/>
      <w:bookmarkStart w:id="148" w:name="_Toc184310333"/>
      <w:bookmarkEnd w:id="148"/>
      <w:bookmarkStart w:id="149" w:name="_Toc184314469"/>
      <w:bookmarkEnd w:id="149"/>
      <w:bookmarkStart w:id="150" w:name="_Toc184308061"/>
      <w:bookmarkEnd w:id="150"/>
      <w:bookmarkStart w:id="151" w:name="_Toc184314446"/>
      <w:bookmarkEnd w:id="151"/>
      <w:bookmarkStart w:id="152" w:name="_Toc184308073"/>
      <w:bookmarkEnd w:id="152"/>
      <w:bookmarkStart w:id="153" w:name="_Toc184308091"/>
      <w:bookmarkEnd w:id="153"/>
      <w:bookmarkStart w:id="154" w:name="_Toc184308082"/>
      <w:bookmarkEnd w:id="154"/>
      <w:bookmarkStart w:id="155" w:name="_Toc184314477"/>
      <w:bookmarkEnd w:id="155"/>
      <w:bookmarkStart w:id="156" w:name="_Toc184314442"/>
      <w:bookmarkEnd w:id="156"/>
      <w:bookmarkStart w:id="157" w:name="_Toc184310281"/>
      <w:bookmarkEnd w:id="157"/>
      <w:bookmarkStart w:id="158" w:name="_Toc184313283"/>
      <w:bookmarkEnd w:id="158"/>
      <w:bookmarkStart w:id="159" w:name="_Toc184310328"/>
      <w:bookmarkEnd w:id="159"/>
      <w:bookmarkStart w:id="160" w:name="_Toc184310308"/>
      <w:bookmarkEnd w:id="160"/>
      <w:bookmarkStart w:id="161" w:name="_Toc184310320"/>
      <w:bookmarkEnd w:id="161"/>
      <w:bookmarkStart w:id="162" w:name="_Toc184310341"/>
      <w:bookmarkEnd w:id="162"/>
      <w:bookmarkStart w:id="163" w:name="_Toc184308076"/>
      <w:bookmarkEnd w:id="163"/>
      <w:bookmarkStart w:id="164" w:name="_Toc184314480"/>
      <w:bookmarkEnd w:id="164"/>
      <w:bookmarkStart w:id="165" w:name="_Toc184310279"/>
      <w:bookmarkEnd w:id="165"/>
      <w:bookmarkStart w:id="166" w:name="_Toc184308096"/>
      <w:bookmarkEnd w:id="166"/>
      <w:bookmarkStart w:id="167" w:name="_Toc184314432"/>
      <w:bookmarkEnd w:id="167"/>
      <w:bookmarkStart w:id="168" w:name="_Toc184312110"/>
      <w:bookmarkEnd w:id="168"/>
      <w:bookmarkStart w:id="169" w:name="_Toc184308047"/>
      <w:bookmarkEnd w:id="169"/>
      <w:bookmarkStart w:id="170" w:name="_Toc184312116"/>
      <w:bookmarkEnd w:id="170"/>
      <w:bookmarkStart w:id="171" w:name="_Toc184310292"/>
      <w:bookmarkEnd w:id="171"/>
      <w:bookmarkStart w:id="172" w:name="_Toc184308099"/>
      <w:bookmarkEnd w:id="172"/>
      <w:bookmarkStart w:id="173" w:name="_Toc184312071"/>
      <w:bookmarkEnd w:id="173"/>
      <w:bookmarkStart w:id="174" w:name="_Toc184310274"/>
      <w:bookmarkEnd w:id="174"/>
      <w:bookmarkStart w:id="175" w:name="_Toc184312124"/>
      <w:bookmarkEnd w:id="175"/>
      <w:bookmarkStart w:id="176" w:name="_Toc184313298"/>
      <w:bookmarkEnd w:id="176"/>
      <w:bookmarkStart w:id="177" w:name="_Toc184313281"/>
      <w:bookmarkEnd w:id="177"/>
      <w:bookmarkStart w:id="178" w:name="_Toc184312126"/>
      <w:bookmarkEnd w:id="178"/>
      <w:bookmarkStart w:id="179" w:name="_Toc184313299"/>
      <w:bookmarkEnd w:id="179"/>
      <w:bookmarkStart w:id="180" w:name="_Toc184308056"/>
      <w:bookmarkEnd w:id="180"/>
      <w:bookmarkStart w:id="181" w:name="_Toc184313292"/>
      <w:bookmarkEnd w:id="181"/>
      <w:bookmarkStart w:id="182" w:name="_Toc184314455"/>
      <w:bookmarkEnd w:id="182"/>
      <w:bookmarkStart w:id="183" w:name="_Toc184308100"/>
      <w:bookmarkEnd w:id="183"/>
      <w:bookmarkStart w:id="184" w:name="_Toc184312089"/>
      <w:bookmarkEnd w:id="184"/>
      <w:bookmarkStart w:id="185" w:name="_Toc184313263"/>
      <w:bookmarkEnd w:id="185"/>
      <w:bookmarkStart w:id="186" w:name="_Toc184308093"/>
      <w:bookmarkEnd w:id="186"/>
      <w:bookmarkStart w:id="187" w:name="_Toc184313265"/>
      <w:bookmarkEnd w:id="187"/>
      <w:bookmarkStart w:id="188" w:name="_Toc184314415"/>
      <w:bookmarkEnd w:id="188"/>
      <w:bookmarkStart w:id="189" w:name="_Toc184312112"/>
      <w:bookmarkEnd w:id="189"/>
      <w:bookmarkStart w:id="190" w:name="_Toc184308077"/>
      <w:bookmarkEnd w:id="190"/>
      <w:bookmarkStart w:id="191" w:name="_Toc184313309"/>
      <w:bookmarkEnd w:id="191"/>
      <w:bookmarkStart w:id="192" w:name="_Toc184313242"/>
      <w:bookmarkEnd w:id="192"/>
      <w:bookmarkStart w:id="193" w:name="_Toc184313305"/>
      <w:bookmarkEnd w:id="193"/>
      <w:bookmarkStart w:id="194" w:name="_Toc184313261"/>
      <w:bookmarkEnd w:id="194"/>
      <w:bookmarkStart w:id="195" w:name="_Toc184308039"/>
      <w:bookmarkEnd w:id="195"/>
      <w:bookmarkStart w:id="196" w:name="_Toc184308055"/>
      <w:bookmarkEnd w:id="196"/>
      <w:bookmarkStart w:id="197" w:name="_Toc184308063"/>
      <w:bookmarkEnd w:id="197"/>
      <w:bookmarkStart w:id="198" w:name="_Toc184314467"/>
      <w:bookmarkEnd w:id="198"/>
      <w:bookmarkStart w:id="199" w:name="_Toc184312111"/>
      <w:bookmarkEnd w:id="199"/>
      <w:bookmarkStart w:id="200" w:name="_Toc184312106"/>
      <w:bookmarkEnd w:id="200"/>
      <w:bookmarkStart w:id="201" w:name="_Toc184310331"/>
      <w:bookmarkEnd w:id="201"/>
      <w:bookmarkStart w:id="202" w:name="_Toc184310285"/>
      <w:bookmarkEnd w:id="202"/>
      <w:bookmarkStart w:id="203" w:name="_Toc184313241"/>
      <w:bookmarkEnd w:id="203"/>
      <w:bookmarkStart w:id="204" w:name="_Toc184314461"/>
      <w:bookmarkEnd w:id="204"/>
      <w:bookmarkStart w:id="205" w:name="_Toc184310295"/>
      <w:bookmarkEnd w:id="205"/>
      <w:bookmarkStart w:id="206" w:name="_Toc184313247"/>
      <w:bookmarkEnd w:id="206"/>
      <w:bookmarkStart w:id="207" w:name="_Toc184310301"/>
      <w:bookmarkEnd w:id="207"/>
      <w:bookmarkStart w:id="208" w:name="_Toc184312078"/>
      <w:bookmarkEnd w:id="208"/>
      <w:bookmarkStart w:id="209" w:name="_Toc184312120"/>
      <w:bookmarkEnd w:id="209"/>
      <w:bookmarkStart w:id="210" w:name="_Toc184313260"/>
      <w:bookmarkEnd w:id="210"/>
      <w:bookmarkStart w:id="211" w:name="_Toc184312094"/>
      <w:bookmarkEnd w:id="211"/>
      <w:bookmarkStart w:id="212" w:name="_Toc184310288"/>
      <w:bookmarkEnd w:id="212"/>
      <w:bookmarkStart w:id="213" w:name="_Toc184308094"/>
      <w:bookmarkEnd w:id="213"/>
      <w:bookmarkStart w:id="214" w:name="_Toc184308102"/>
      <w:bookmarkEnd w:id="214"/>
      <w:bookmarkStart w:id="215" w:name="_Toc184314474"/>
      <w:bookmarkEnd w:id="215"/>
      <w:bookmarkStart w:id="216" w:name="_Toc184312073"/>
      <w:bookmarkEnd w:id="216"/>
      <w:bookmarkStart w:id="217" w:name="_Toc184310305"/>
      <w:bookmarkEnd w:id="217"/>
      <w:bookmarkStart w:id="218" w:name="_Toc184313253"/>
      <w:bookmarkEnd w:id="218"/>
      <w:bookmarkStart w:id="219" w:name="_Toc184312079"/>
      <w:bookmarkEnd w:id="219"/>
      <w:bookmarkStart w:id="220" w:name="_Toc184312067"/>
      <w:bookmarkEnd w:id="220"/>
      <w:bookmarkStart w:id="221" w:name="_Toc184314456"/>
      <w:bookmarkEnd w:id="221"/>
      <w:bookmarkStart w:id="222" w:name="_Toc184308089"/>
      <w:bookmarkEnd w:id="222"/>
      <w:bookmarkStart w:id="223" w:name="_Toc184314413"/>
      <w:bookmarkEnd w:id="223"/>
      <w:bookmarkStart w:id="224" w:name="_Toc184310314"/>
      <w:bookmarkEnd w:id="224"/>
      <w:bookmarkStart w:id="225" w:name="_Toc184308050"/>
      <w:bookmarkEnd w:id="225"/>
      <w:bookmarkStart w:id="226" w:name="_Toc184312081"/>
      <w:bookmarkEnd w:id="226"/>
      <w:bookmarkStart w:id="227" w:name="_Toc184314444"/>
      <w:bookmarkEnd w:id="227"/>
      <w:bookmarkStart w:id="228" w:name="_Toc184314412"/>
      <w:bookmarkEnd w:id="228"/>
      <w:bookmarkStart w:id="229" w:name="_Toc184313262"/>
      <w:bookmarkEnd w:id="229"/>
      <w:bookmarkStart w:id="230" w:name="_Toc184313258"/>
      <w:bookmarkEnd w:id="230"/>
      <w:bookmarkStart w:id="231" w:name="_Toc184310310"/>
      <w:bookmarkEnd w:id="231"/>
      <w:bookmarkStart w:id="232" w:name="_Toc184313259"/>
      <w:bookmarkEnd w:id="232"/>
      <w:bookmarkStart w:id="233" w:name="_Toc184313294"/>
      <w:bookmarkEnd w:id="233"/>
      <w:bookmarkStart w:id="234" w:name="_Toc184308081"/>
      <w:bookmarkEnd w:id="234"/>
      <w:bookmarkStart w:id="235" w:name="_Toc184308042"/>
      <w:bookmarkEnd w:id="235"/>
      <w:bookmarkStart w:id="236" w:name="_Toc184310290"/>
      <w:bookmarkEnd w:id="236"/>
      <w:bookmarkStart w:id="237" w:name="_Toc184308090"/>
      <w:bookmarkEnd w:id="237"/>
      <w:bookmarkStart w:id="238" w:name="_Toc184308062"/>
      <w:bookmarkEnd w:id="238"/>
      <w:bookmarkStart w:id="239" w:name="_Toc184310332"/>
      <w:bookmarkEnd w:id="239"/>
      <w:bookmarkStart w:id="240" w:name="_Toc184308069"/>
      <w:bookmarkEnd w:id="240"/>
      <w:bookmarkStart w:id="241" w:name="_Toc184308106"/>
      <w:bookmarkEnd w:id="241"/>
      <w:bookmarkStart w:id="242" w:name="_Toc184308043"/>
      <w:bookmarkEnd w:id="242"/>
      <w:bookmarkStart w:id="243" w:name="_Toc184312103"/>
      <w:bookmarkEnd w:id="243"/>
      <w:bookmarkStart w:id="244" w:name="_Toc184314436"/>
      <w:bookmarkEnd w:id="244"/>
      <w:bookmarkStart w:id="245" w:name="_Toc184314443"/>
      <w:bookmarkEnd w:id="245"/>
      <w:bookmarkStart w:id="246" w:name="_Toc184308058"/>
      <w:bookmarkEnd w:id="246"/>
      <w:bookmarkStart w:id="247" w:name="_Toc184308095"/>
      <w:bookmarkEnd w:id="247"/>
      <w:bookmarkStart w:id="248" w:name="_Toc184308079"/>
      <w:bookmarkEnd w:id="248"/>
      <w:bookmarkStart w:id="249" w:name="_Toc184312127"/>
      <w:bookmarkEnd w:id="249"/>
      <w:bookmarkStart w:id="250" w:name="_Toc184314471"/>
      <w:bookmarkEnd w:id="250"/>
      <w:bookmarkStart w:id="251" w:name="_Toc184310315"/>
      <w:bookmarkEnd w:id="251"/>
      <w:bookmarkStart w:id="252" w:name="_Toc184308045"/>
      <w:bookmarkEnd w:id="252"/>
      <w:bookmarkStart w:id="253" w:name="_Toc184310276"/>
      <w:bookmarkEnd w:id="253"/>
      <w:bookmarkStart w:id="254" w:name="_Toc184312138"/>
      <w:bookmarkEnd w:id="254"/>
      <w:bookmarkStart w:id="255" w:name="_Toc184312136"/>
      <w:bookmarkEnd w:id="255"/>
      <w:bookmarkStart w:id="256" w:name="_Toc184313296"/>
      <w:bookmarkEnd w:id="256"/>
      <w:bookmarkStart w:id="257" w:name="_Toc184313295"/>
      <w:bookmarkEnd w:id="257"/>
      <w:bookmarkStart w:id="258" w:name="_Toc184314419"/>
      <w:bookmarkEnd w:id="258"/>
      <w:bookmarkStart w:id="259" w:name="_Toc184310342"/>
      <w:bookmarkEnd w:id="259"/>
      <w:bookmarkStart w:id="260" w:name="_Toc184310291"/>
      <w:bookmarkEnd w:id="260"/>
      <w:bookmarkStart w:id="261" w:name="_Toc184312075"/>
      <w:bookmarkEnd w:id="261"/>
      <w:bookmarkStart w:id="262" w:name="_Toc184313288"/>
      <w:bookmarkEnd w:id="262"/>
      <w:bookmarkStart w:id="263" w:name="_Toc184314454"/>
      <w:bookmarkEnd w:id="263"/>
      <w:bookmarkStart w:id="264" w:name="_Toc184310323"/>
      <w:bookmarkEnd w:id="264"/>
      <w:bookmarkStart w:id="265" w:name="_Toc184314449"/>
      <w:bookmarkEnd w:id="265"/>
      <w:bookmarkStart w:id="266" w:name="_Toc184310282"/>
      <w:bookmarkEnd w:id="266"/>
      <w:bookmarkStart w:id="267" w:name="_Toc184313290"/>
      <w:bookmarkEnd w:id="267"/>
      <w:bookmarkStart w:id="268" w:name="_Toc184310338"/>
      <w:bookmarkEnd w:id="268"/>
      <w:bookmarkStart w:id="269" w:name="_Toc184308037"/>
      <w:bookmarkEnd w:id="269"/>
      <w:bookmarkStart w:id="270" w:name="_Toc184314457"/>
      <w:bookmarkEnd w:id="270"/>
      <w:bookmarkStart w:id="271" w:name="_Toc184312068"/>
      <w:bookmarkEnd w:id="271"/>
      <w:bookmarkStart w:id="272" w:name="_Toc184308059"/>
      <w:bookmarkEnd w:id="272"/>
      <w:bookmarkStart w:id="273" w:name="_Toc184310287"/>
      <w:bookmarkEnd w:id="273"/>
      <w:bookmarkStart w:id="274" w:name="_Toc184312101"/>
      <w:bookmarkEnd w:id="274"/>
      <w:bookmarkStart w:id="275" w:name="_Toc184310298"/>
      <w:bookmarkEnd w:id="275"/>
      <w:bookmarkStart w:id="276" w:name="_Toc184314433"/>
      <w:bookmarkEnd w:id="276"/>
      <w:bookmarkStart w:id="277" w:name="_Toc184313267"/>
      <w:bookmarkEnd w:id="277"/>
      <w:bookmarkStart w:id="278" w:name="_Toc184312139"/>
      <w:bookmarkEnd w:id="278"/>
      <w:bookmarkStart w:id="279" w:name="_Toc184313278"/>
      <w:bookmarkEnd w:id="279"/>
      <w:bookmarkStart w:id="280" w:name="_Toc184314418"/>
      <w:bookmarkEnd w:id="280"/>
      <w:bookmarkStart w:id="281" w:name="_Toc184313301"/>
      <w:bookmarkEnd w:id="281"/>
      <w:bookmarkStart w:id="282" w:name="_Toc184313268"/>
      <w:bookmarkEnd w:id="282"/>
      <w:bookmarkStart w:id="283" w:name="_Toc184312085"/>
      <w:bookmarkEnd w:id="283"/>
      <w:bookmarkStart w:id="284" w:name="_Toc184314435"/>
      <w:bookmarkEnd w:id="284"/>
      <w:bookmarkStart w:id="285" w:name="_Toc184313272"/>
      <w:bookmarkEnd w:id="285"/>
      <w:bookmarkStart w:id="286" w:name="_Toc184313244"/>
      <w:bookmarkEnd w:id="286"/>
      <w:bookmarkStart w:id="287" w:name="_Toc184313275"/>
      <w:bookmarkEnd w:id="287"/>
      <w:bookmarkStart w:id="288" w:name="_Toc184312090"/>
      <w:bookmarkEnd w:id="288"/>
      <w:bookmarkStart w:id="289" w:name="_Toc184314439"/>
      <w:bookmarkEnd w:id="289"/>
      <w:bookmarkStart w:id="290" w:name="_Toc184313240"/>
      <w:bookmarkEnd w:id="290"/>
      <w:bookmarkStart w:id="291" w:name="_Toc184310273"/>
      <w:bookmarkEnd w:id="291"/>
      <w:bookmarkStart w:id="292" w:name="_Toc184314434"/>
      <w:bookmarkEnd w:id="292"/>
      <w:bookmarkStart w:id="293" w:name="_Toc184314424"/>
      <w:bookmarkEnd w:id="293"/>
      <w:bookmarkStart w:id="294" w:name="_Toc184310325"/>
      <w:bookmarkEnd w:id="294"/>
      <w:bookmarkStart w:id="295" w:name="_Toc184310312"/>
      <w:bookmarkEnd w:id="295"/>
      <w:bookmarkStart w:id="296" w:name="_Toc184308097"/>
      <w:bookmarkEnd w:id="296"/>
      <w:bookmarkStart w:id="297" w:name="_Toc184313251"/>
      <w:bookmarkEnd w:id="297"/>
      <w:bookmarkStart w:id="298" w:name="_Toc184312133"/>
      <w:bookmarkEnd w:id="298"/>
      <w:bookmarkStart w:id="299" w:name="_Toc184310326"/>
      <w:bookmarkEnd w:id="299"/>
      <w:bookmarkStart w:id="300" w:name="_Toc184312121"/>
      <w:bookmarkEnd w:id="300"/>
      <w:bookmarkStart w:id="301" w:name="_Toc184308104"/>
      <w:bookmarkEnd w:id="301"/>
      <w:bookmarkStart w:id="302" w:name="_Toc184313252"/>
      <w:bookmarkEnd w:id="302"/>
      <w:bookmarkStart w:id="303" w:name="_Toc184308074"/>
      <w:bookmarkEnd w:id="303"/>
      <w:bookmarkStart w:id="304" w:name="_Toc184313282"/>
      <w:bookmarkEnd w:id="304"/>
      <w:bookmarkStart w:id="305" w:name="_Toc184314448"/>
      <w:bookmarkEnd w:id="305"/>
      <w:bookmarkStart w:id="306" w:name="_Toc184308075"/>
      <w:bookmarkEnd w:id="306"/>
      <w:bookmarkStart w:id="307" w:name="_Toc184308065"/>
      <w:bookmarkEnd w:id="307"/>
      <w:bookmarkStart w:id="308" w:name="_Toc184313254"/>
      <w:bookmarkEnd w:id="308"/>
      <w:bookmarkStart w:id="309" w:name="_Toc184314470"/>
      <w:bookmarkEnd w:id="309"/>
      <w:bookmarkStart w:id="310" w:name="_Toc184312088"/>
      <w:bookmarkEnd w:id="310"/>
      <w:bookmarkStart w:id="311" w:name="_Toc184314430"/>
      <w:bookmarkEnd w:id="311"/>
      <w:bookmarkStart w:id="312" w:name="_Toc184314464"/>
      <w:bookmarkEnd w:id="312"/>
      <w:bookmarkStart w:id="313" w:name="_Toc184310344"/>
      <w:bookmarkEnd w:id="313"/>
      <w:bookmarkStart w:id="314" w:name="_Toc184310306"/>
      <w:bookmarkEnd w:id="314"/>
      <w:bookmarkStart w:id="315" w:name="_Toc184310343"/>
      <w:bookmarkEnd w:id="315"/>
      <w:bookmarkStart w:id="316" w:name="_Toc184308041"/>
      <w:bookmarkEnd w:id="316"/>
      <w:bookmarkStart w:id="317" w:name="_Toc184308084"/>
      <w:bookmarkEnd w:id="317"/>
      <w:bookmarkStart w:id="318" w:name="_Toc184308057"/>
      <w:bookmarkEnd w:id="318"/>
      <w:bookmarkStart w:id="319" w:name="_Toc184310311"/>
      <w:bookmarkEnd w:id="319"/>
      <w:bookmarkStart w:id="320" w:name="_Toc184312118"/>
      <w:bookmarkEnd w:id="320"/>
      <w:bookmarkStart w:id="321" w:name="_Toc184314458"/>
      <w:bookmarkEnd w:id="321"/>
      <w:bookmarkStart w:id="322" w:name="_Toc184308049"/>
      <w:bookmarkEnd w:id="322"/>
      <w:bookmarkStart w:id="323" w:name="_Toc184314437"/>
      <w:bookmarkEnd w:id="323"/>
      <w:bookmarkStart w:id="324" w:name="_Toc184308092"/>
      <w:bookmarkEnd w:id="324"/>
      <w:bookmarkStart w:id="325" w:name="_Toc184312070"/>
      <w:bookmarkEnd w:id="325"/>
      <w:bookmarkStart w:id="326" w:name="_Toc184313293"/>
      <w:bookmarkEnd w:id="326"/>
      <w:bookmarkStart w:id="327" w:name="_Toc184310293"/>
      <w:bookmarkEnd w:id="327"/>
      <w:bookmarkStart w:id="328" w:name="_Toc184313307"/>
      <w:bookmarkEnd w:id="328"/>
      <w:bookmarkStart w:id="329" w:name="_Toc184308098"/>
      <w:bookmarkEnd w:id="329"/>
      <w:bookmarkStart w:id="330" w:name="_Toc184308051"/>
      <w:bookmarkEnd w:id="330"/>
      <w:bookmarkStart w:id="331" w:name="_Toc184308060"/>
      <w:bookmarkEnd w:id="331"/>
      <w:bookmarkStart w:id="332" w:name="_Toc184310278"/>
      <w:bookmarkEnd w:id="332"/>
      <w:bookmarkStart w:id="333" w:name="_Toc184308103"/>
      <w:bookmarkEnd w:id="333"/>
      <w:bookmarkStart w:id="334" w:name="_Toc184312122"/>
      <w:bookmarkEnd w:id="334"/>
      <w:bookmarkStart w:id="335" w:name="_Toc184310337"/>
      <w:bookmarkEnd w:id="335"/>
      <w:bookmarkStart w:id="336" w:name="_Toc184308078"/>
      <w:bookmarkEnd w:id="336"/>
      <w:bookmarkStart w:id="337" w:name="_Toc184314441"/>
      <w:bookmarkEnd w:id="337"/>
      <w:bookmarkStart w:id="338" w:name="_Toc184310339"/>
      <w:bookmarkEnd w:id="338"/>
      <w:bookmarkStart w:id="339" w:name="_Toc184314473"/>
      <w:bookmarkEnd w:id="339"/>
      <w:bookmarkStart w:id="340" w:name="_Toc184314466"/>
      <w:bookmarkEnd w:id="340"/>
      <w:bookmarkStart w:id="341" w:name="_Toc184310294"/>
      <w:bookmarkEnd w:id="341"/>
      <w:bookmarkStart w:id="342" w:name="_Toc184313300"/>
      <w:bookmarkEnd w:id="342"/>
      <w:bookmarkStart w:id="343" w:name="_Toc184314422"/>
      <w:bookmarkEnd w:id="343"/>
      <w:bookmarkStart w:id="344" w:name="_Toc184312091"/>
      <w:bookmarkEnd w:id="344"/>
      <w:bookmarkStart w:id="345" w:name="_Toc184310286"/>
      <w:bookmarkEnd w:id="345"/>
      <w:bookmarkStart w:id="346" w:name="_Toc184310330"/>
      <w:bookmarkEnd w:id="346"/>
      <w:bookmarkStart w:id="347" w:name="_Toc184312093"/>
      <w:bookmarkEnd w:id="347"/>
      <w:bookmarkStart w:id="348" w:name="_Toc184314438"/>
      <w:bookmarkEnd w:id="348"/>
      <w:bookmarkStart w:id="349" w:name="_Toc184314426"/>
      <w:bookmarkEnd w:id="349"/>
      <w:bookmarkStart w:id="350" w:name="_Toc184312125"/>
      <w:bookmarkEnd w:id="350"/>
      <w:bookmarkStart w:id="351" w:name="_Toc184310317"/>
      <w:bookmarkEnd w:id="351"/>
      <w:bookmarkStart w:id="352" w:name="_Toc184312074"/>
      <w:bookmarkEnd w:id="352"/>
      <w:bookmarkStart w:id="353" w:name="_Toc184308046"/>
      <w:bookmarkEnd w:id="353"/>
      <w:bookmarkStart w:id="354" w:name="_Toc184310316"/>
      <w:bookmarkEnd w:id="354"/>
      <w:bookmarkStart w:id="355" w:name="_Toc184313303"/>
      <w:bookmarkEnd w:id="355"/>
      <w:bookmarkStart w:id="356" w:name="_Toc184310324"/>
      <w:bookmarkEnd w:id="356"/>
      <w:bookmarkStart w:id="357" w:name="_Toc184314428"/>
      <w:bookmarkEnd w:id="357"/>
      <w:bookmarkStart w:id="358" w:name="_Toc184310336"/>
      <w:bookmarkEnd w:id="358"/>
      <w:bookmarkStart w:id="359" w:name="_Toc184312129"/>
      <w:bookmarkEnd w:id="359"/>
      <w:bookmarkStart w:id="360" w:name="_Toc184312115"/>
      <w:bookmarkEnd w:id="360"/>
      <w:bookmarkStart w:id="361" w:name="_Toc184312084"/>
      <w:bookmarkEnd w:id="361"/>
      <w:bookmarkStart w:id="362" w:name="_Toc184314429"/>
      <w:bookmarkEnd w:id="362"/>
      <w:bookmarkStart w:id="363" w:name="_Toc184313269"/>
      <w:bookmarkEnd w:id="363"/>
      <w:bookmarkStart w:id="364" w:name="_Toc184313286"/>
      <w:bookmarkEnd w:id="364"/>
      <w:bookmarkStart w:id="365" w:name="_Toc184308108"/>
      <w:bookmarkEnd w:id="365"/>
      <w:bookmarkStart w:id="366" w:name="_Toc184312086"/>
      <w:bookmarkEnd w:id="366"/>
      <w:bookmarkStart w:id="367" w:name="_Toc184312107"/>
      <w:bookmarkEnd w:id="367"/>
      <w:bookmarkStart w:id="368" w:name="_Toc184310300"/>
      <w:bookmarkEnd w:id="368"/>
      <w:bookmarkStart w:id="369" w:name="_Toc184308038"/>
      <w:bookmarkEnd w:id="369"/>
      <w:bookmarkStart w:id="370" w:name="_Toc184308064"/>
      <w:bookmarkEnd w:id="370"/>
      <w:bookmarkStart w:id="371" w:name="_Toc184310307"/>
      <w:bookmarkEnd w:id="371"/>
      <w:bookmarkStart w:id="372" w:name="_Toc184313289"/>
      <w:bookmarkEnd w:id="372"/>
      <w:bookmarkStart w:id="373" w:name="_Toc184312082"/>
      <w:bookmarkEnd w:id="373"/>
      <w:bookmarkStart w:id="374" w:name="_Toc184312096"/>
      <w:bookmarkEnd w:id="374"/>
      <w:bookmarkStart w:id="375" w:name="_Toc184313297"/>
      <w:bookmarkEnd w:id="375"/>
      <w:bookmarkStart w:id="376" w:name="_Toc184308107"/>
      <w:bookmarkEnd w:id="376"/>
      <w:bookmarkStart w:id="377" w:name="_Toc184312108"/>
      <w:bookmarkEnd w:id="377"/>
      <w:bookmarkStart w:id="378" w:name="_Toc184314476"/>
      <w:bookmarkEnd w:id="378"/>
      <w:bookmarkStart w:id="379" w:name="_Toc184310340"/>
      <w:bookmarkEnd w:id="379"/>
      <w:bookmarkStart w:id="380" w:name="_Toc184314463"/>
      <w:bookmarkEnd w:id="380"/>
      <w:bookmarkStart w:id="381" w:name="_Toc184314459"/>
      <w:bookmarkEnd w:id="381"/>
      <w:bookmarkStart w:id="382" w:name="_Toc184312135"/>
      <w:bookmarkEnd w:id="382"/>
      <w:bookmarkStart w:id="383" w:name="_Toc184313248"/>
      <w:bookmarkEnd w:id="383"/>
      <w:bookmarkStart w:id="384" w:name="_Toc184310303"/>
      <w:bookmarkEnd w:id="384"/>
      <w:bookmarkStart w:id="385" w:name="_Toc184314479"/>
      <w:bookmarkEnd w:id="385"/>
      <w:bookmarkStart w:id="386" w:name="_Toc184313291"/>
      <w:bookmarkEnd w:id="386"/>
      <w:bookmarkStart w:id="387" w:name="_Toc184312099"/>
      <w:bookmarkEnd w:id="387"/>
      <w:bookmarkStart w:id="388" w:name="_Toc184314423"/>
      <w:bookmarkEnd w:id="388"/>
      <w:bookmarkStart w:id="389" w:name="_Toc184308085"/>
      <w:bookmarkEnd w:id="389"/>
      <w:bookmarkStart w:id="390" w:name="_Toc184314414"/>
      <w:bookmarkEnd w:id="390"/>
      <w:bookmarkStart w:id="391" w:name="_Toc184308040"/>
      <w:bookmarkEnd w:id="391"/>
      <w:bookmarkStart w:id="392" w:name="_Toc184308068"/>
      <w:bookmarkEnd w:id="392"/>
      <w:bookmarkStart w:id="393" w:name="_Toc184310289"/>
      <w:bookmarkEnd w:id="393"/>
      <w:bookmarkStart w:id="394" w:name="_Toc184308044"/>
      <w:bookmarkEnd w:id="394"/>
      <w:bookmarkStart w:id="395" w:name="_Toc184310318"/>
      <w:bookmarkEnd w:id="395"/>
      <w:bookmarkStart w:id="396" w:name="_Toc184310334"/>
      <w:bookmarkEnd w:id="396"/>
      <w:bookmarkStart w:id="397" w:name="_Toc184312076"/>
      <w:bookmarkEnd w:id="397"/>
      <w:bookmarkStart w:id="398" w:name="_Toc184314431"/>
      <w:bookmarkEnd w:id="398"/>
      <w:bookmarkStart w:id="399" w:name="_Toc184312102"/>
      <w:bookmarkEnd w:id="399"/>
      <w:bookmarkStart w:id="400" w:name="_Toc184312092"/>
      <w:bookmarkEnd w:id="400"/>
      <w:bookmarkStart w:id="401" w:name="_Toc184310272"/>
      <w:bookmarkEnd w:id="401"/>
      <w:bookmarkStart w:id="402" w:name="_Toc184308071"/>
      <w:bookmarkEnd w:id="402"/>
      <w:bookmarkStart w:id="403" w:name="_Toc184313302"/>
      <w:bookmarkEnd w:id="403"/>
      <w:bookmarkStart w:id="404" w:name="_Toc184310321"/>
      <w:bookmarkEnd w:id="404"/>
      <w:r>
        <w:rPr>
          <w:rFonts w:hint="eastAsia" w:ascii="仿宋" w:hAnsi="仿宋" w:eastAsia="仿宋" w:cs="仿宋"/>
          <w:b/>
          <w:color w:val="auto"/>
          <w:sz w:val="36"/>
          <w:szCs w:val="36"/>
          <w:highlight w:val="none"/>
        </w:rPr>
        <w:t>交易办法</w:t>
      </w:r>
    </w:p>
    <w:p w14:paraId="742F0A3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交易办法前附表</w:t>
      </w:r>
    </w:p>
    <w:p w14:paraId="4F2E29F6">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1、资信与商务部分（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tbl>
      <w:tblPr>
        <w:tblStyle w:val="62"/>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1147"/>
        <w:gridCol w:w="4751"/>
        <w:gridCol w:w="725"/>
        <w:gridCol w:w="708"/>
      </w:tblGrid>
      <w:tr w14:paraId="754A2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893" w:type="dxa"/>
            <w:shd w:val="clear" w:color="auto" w:fill="auto"/>
            <w:vAlign w:val="center"/>
          </w:tcPr>
          <w:p w14:paraId="30C54AA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0" w:type="dxa"/>
            <w:tcBorders>
              <w:tl2br w:val="nil"/>
              <w:tr2bl w:val="nil"/>
            </w:tcBorders>
            <w:shd w:val="clear" w:color="auto" w:fill="auto"/>
            <w:vAlign w:val="center"/>
          </w:tcPr>
          <w:p w14:paraId="6E40129D">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898" w:type="dxa"/>
            <w:gridSpan w:val="2"/>
            <w:tcBorders>
              <w:tl2br w:val="nil"/>
              <w:tr2bl w:val="nil"/>
            </w:tcBorders>
            <w:shd w:val="clear" w:color="auto" w:fill="auto"/>
            <w:vAlign w:val="center"/>
          </w:tcPr>
          <w:p w14:paraId="681F4F96">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5" w:type="dxa"/>
            <w:tcBorders>
              <w:tl2br w:val="nil"/>
              <w:tr2bl w:val="nil"/>
            </w:tcBorders>
            <w:shd w:val="clear" w:color="auto" w:fill="auto"/>
            <w:vAlign w:val="center"/>
          </w:tcPr>
          <w:p w14:paraId="1995EA34">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8" w:type="dxa"/>
            <w:tcBorders>
              <w:tl2br w:val="nil"/>
              <w:tr2bl w:val="nil"/>
            </w:tcBorders>
            <w:vAlign w:val="center"/>
          </w:tcPr>
          <w:p w14:paraId="1AEF3EC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w:t>
            </w:r>
          </w:p>
          <w:p w14:paraId="47543A2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31772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14:paraId="5138C294">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w:t>
            </w:r>
          </w:p>
          <w:p w14:paraId="1C632E5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00B0EDCA">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w:t>
            </w:r>
          </w:p>
          <w:p w14:paraId="67D463C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6B8F3356">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7" w:type="dxa"/>
            <w:tcBorders>
              <w:tl2br w:val="nil"/>
              <w:tr2bl w:val="nil"/>
            </w:tcBorders>
            <w:shd w:val="clear" w:color="auto" w:fill="auto"/>
            <w:vAlign w:val="center"/>
          </w:tcPr>
          <w:p w14:paraId="3E2AD9E8">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投标人管理体系</w:t>
            </w:r>
          </w:p>
        </w:tc>
        <w:tc>
          <w:tcPr>
            <w:tcW w:w="4751" w:type="dxa"/>
            <w:tcBorders>
              <w:tl2br w:val="nil"/>
              <w:tr2bl w:val="nil"/>
            </w:tcBorders>
            <w:shd w:val="clear" w:color="auto" w:fill="auto"/>
            <w:vAlign w:val="center"/>
          </w:tcPr>
          <w:p w14:paraId="22638F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投标人提供有效期内的质量管理体系认证、环境管理体系认证、职业健康体系认证，每项得1分。</w:t>
            </w:r>
          </w:p>
          <w:p w14:paraId="1E91455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证明材料：提供证书的复印件/扫描件和全国认证认可信息公共服务平台截图为准。</w:t>
            </w:r>
          </w:p>
        </w:tc>
        <w:tc>
          <w:tcPr>
            <w:tcW w:w="725" w:type="dxa"/>
            <w:tcBorders>
              <w:tl2br w:val="nil"/>
              <w:tr2bl w:val="nil"/>
            </w:tcBorders>
            <w:shd w:val="clear" w:color="auto" w:fill="auto"/>
            <w:vAlign w:val="center"/>
          </w:tcPr>
          <w:p w14:paraId="4B04AE74">
            <w:pP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3</w:t>
            </w:r>
          </w:p>
        </w:tc>
        <w:tc>
          <w:tcPr>
            <w:tcW w:w="708" w:type="dxa"/>
            <w:tcBorders>
              <w:tl2br w:val="nil"/>
              <w:tr2bl w:val="nil"/>
            </w:tcBorders>
            <w:shd w:val="clear" w:color="auto" w:fill="auto"/>
            <w:vAlign w:val="center"/>
          </w:tcPr>
          <w:p w14:paraId="1FC40DFA">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2DB54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7C3E5EE5">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4D8E9721">
            <w:pPr>
              <w:widowControl/>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7" w:type="dxa"/>
            <w:tcBorders>
              <w:tl2br w:val="nil"/>
              <w:tr2bl w:val="nil"/>
            </w:tcBorders>
            <w:shd w:val="clear" w:color="auto" w:fill="auto"/>
            <w:vAlign w:val="center"/>
          </w:tcPr>
          <w:p w14:paraId="163022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投标人员配置</w:t>
            </w:r>
          </w:p>
        </w:tc>
        <w:tc>
          <w:tcPr>
            <w:tcW w:w="4751" w:type="dxa"/>
            <w:tcBorders>
              <w:tl2br w:val="nil"/>
              <w:tr2bl w:val="nil"/>
            </w:tcBorders>
            <w:shd w:val="clear" w:color="auto" w:fill="auto"/>
            <w:vAlign w:val="center"/>
          </w:tcPr>
          <w:p w14:paraId="5E396A3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拟派项目负责人具有机电类相关专业中级职称的，得1分；具有机电类相关专业高级及以上职称的，得2分。</w:t>
            </w:r>
          </w:p>
          <w:p w14:paraId="30B7AB09">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评审依据/证明材料：项目负责人职称证书扫描件及近三个月内任意时间的社保证明扫描件。</w:t>
            </w:r>
          </w:p>
        </w:tc>
        <w:tc>
          <w:tcPr>
            <w:tcW w:w="725" w:type="dxa"/>
            <w:tcBorders>
              <w:tl2br w:val="nil"/>
              <w:tr2bl w:val="nil"/>
            </w:tcBorders>
            <w:shd w:val="clear" w:color="auto" w:fill="auto"/>
            <w:vAlign w:val="center"/>
          </w:tcPr>
          <w:p w14:paraId="4AE567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08" w:type="dxa"/>
            <w:tcBorders>
              <w:tl2br w:val="nil"/>
              <w:tr2bl w:val="nil"/>
            </w:tcBorders>
            <w:shd w:val="clear" w:color="auto" w:fill="auto"/>
            <w:vAlign w:val="center"/>
          </w:tcPr>
          <w:p w14:paraId="20E00F3B">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43C9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2FEB81DF">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500BE5C8">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47" w:type="dxa"/>
            <w:tcBorders>
              <w:tl2br w:val="nil"/>
              <w:tr2bl w:val="nil"/>
            </w:tcBorders>
            <w:shd w:val="clear" w:color="auto" w:fill="auto"/>
            <w:vAlign w:val="center"/>
          </w:tcPr>
          <w:p w14:paraId="7DE71F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投标人项目案例</w:t>
            </w:r>
          </w:p>
        </w:tc>
        <w:tc>
          <w:tcPr>
            <w:tcW w:w="4751" w:type="dxa"/>
            <w:tcBorders>
              <w:tl2br w:val="nil"/>
              <w:tr2bl w:val="nil"/>
            </w:tcBorders>
            <w:shd w:val="clear" w:color="auto" w:fill="auto"/>
            <w:vAlign w:val="center"/>
          </w:tcPr>
          <w:p w14:paraId="2C09322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投标人自2022年1月1日以来【</w:t>
            </w:r>
            <w:r>
              <w:rPr>
                <w:rFonts w:hint="eastAsia" w:ascii="仿宋" w:hAnsi="仿宋" w:eastAsia="仿宋" w:cs="仿宋"/>
                <w:color w:val="auto"/>
                <w:sz w:val="24"/>
                <w:highlight w:val="none"/>
              </w:rPr>
              <w:t>以合同签订时间为准</w:t>
            </w:r>
            <w:r>
              <w:rPr>
                <w:rFonts w:hint="eastAsia" w:ascii="仿宋" w:hAnsi="仿宋" w:eastAsia="仿宋" w:cs="仿宋"/>
                <w:i w:val="0"/>
                <w:iCs w:val="0"/>
                <w:color w:val="auto"/>
                <w:kern w:val="0"/>
                <w:sz w:val="24"/>
                <w:szCs w:val="24"/>
                <w:highlight w:val="none"/>
                <w:u w:val="none"/>
                <w:lang w:val="en-US" w:eastAsia="zh-CN" w:bidi="ar"/>
              </w:rPr>
              <w:t>】以来具有高压氧舱新建或改建或维修实施业绩的，每项得1分，本项最高得2分。业绩证明材料：合同复印件</w:t>
            </w:r>
          </w:p>
        </w:tc>
        <w:tc>
          <w:tcPr>
            <w:tcW w:w="725" w:type="dxa"/>
            <w:tcBorders>
              <w:tl2br w:val="nil"/>
              <w:tr2bl w:val="nil"/>
            </w:tcBorders>
            <w:shd w:val="clear" w:color="auto" w:fill="auto"/>
            <w:vAlign w:val="center"/>
          </w:tcPr>
          <w:p w14:paraId="06A370F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8" w:type="dxa"/>
            <w:tcBorders>
              <w:tl2br w:val="nil"/>
              <w:tr2bl w:val="nil"/>
            </w:tcBorders>
            <w:shd w:val="clear" w:color="auto" w:fill="auto"/>
            <w:vAlign w:val="center"/>
          </w:tcPr>
          <w:p w14:paraId="368DC7C4">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0C55F5FE">
      <w:pPr>
        <w:widowControl/>
        <w:adjustRightInd/>
        <w:spacing w:line="360" w:lineRule="auto"/>
        <w:jc w:val="left"/>
        <w:rPr>
          <w:rFonts w:ascii="仿宋" w:hAnsi="仿宋" w:eastAsia="仿宋" w:cs="仿宋"/>
          <w:color w:val="auto"/>
          <w:sz w:val="24"/>
          <w:highlight w:val="none"/>
        </w:rPr>
      </w:pPr>
    </w:p>
    <w:p w14:paraId="45616849">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2、技术和服务方案（</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分）</w:t>
      </w:r>
    </w:p>
    <w:tbl>
      <w:tblPr>
        <w:tblStyle w:val="62"/>
        <w:tblW w:w="91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37"/>
        <w:gridCol w:w="5900"/>
        <w:gridCol w:w="713"/>
        <w:gridCol w:w="737"/>
      </w:tblGrid>
      <w:tr w14:paraId="63993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restart"/>
            <w:tcBorders>
              <w:tl2br w:val="nil"/>
              <w:tr2bl w:val="nil"/>
            </w:tcBorders>
            <w:shd w:val="clear" w:color="auto" w:fill="auto"/>
            <w:vAlign w:val="center"/>
          </w:tcPr>
          <w:p w14:paraId="505ACFD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w:t>
            </w:r>
          </w:p>
          <w:p w14:paraId="3CCC97B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术</w:t>
            </w:r>
          </w:p>
          <w:p w14:paraId="36C22B3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w:t>
            </w:r>
          </w:p>
          <w:p w14:paraId="6209AE0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w:t>
            </w:r>
          </w:p>
          <w:p w14:paraId="7BF5AF5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3B4896F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方</w:t>
            </w:r>
          </w:p>
          <w:p w14:paraId="339F95D5">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案</w:t>
            </w:r>
          </w:p>
        </w:tc>
        <w:tc>
          <w:tcPr>
            <w:tcW w:w="737" w:type="dxa"/>
            <w:tcBorders>
              <w:tl2br w:val="nil"/>
              <w:tr2bl w:val="nil"/>
            </w:tcBorders>
            <w:shd w:val="clear" w:color="auto" w:fill="auto"/>
            <w:vAlign w:val="center"/>
          </w:tcPr>
          <w:p w14:paraId="6AB8250D">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00" w:type="dxa"/>
            <w:tcBorders>
              <w:tl2br w:val="nil"/>
              <w:tr2bl w:val="nil"/>
            </w:tcBorders>
            <w:shd w:val="clear" w:color="auto" w:fill="auto"/>
            <w:vAlign w:val="center"/>
          </w:tcPr>
          <w:p w14:paraId="6C54346D">
            <w:pPr>
              <w:widowControl/>
              <w:spacing w:line="360" w:lineRule="auto"/>
              <w:ind w:right="134" w:rightChars="64"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713" w:type="dxa"/>
            <w:tcBorders>
              <w:tl2br w:val="nil"/>
              <w:tr2bl w:val="nil"/>
            </w:tcBorders>
            <w:shd w:val="clear" w:color="auto" w:fill="auto"/>
            <w:vAlign w:val="center"/>
          </w:tcPr>
          <w:p w14:paraId="50AE182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7" w:type="dxa"/>
            <w:tcBorders>
              <w:tl2br w:val="nil"/>
              <w:tr2bl w:val="nil"/>
            </w:tcBorders>
            <w:shd w:val="clear" w:color="auto" w:fill="auto"/>
            <w:vAlign w:val="center"/>
          </w:tcPr>
          <w:p w14:paraId="6F2C600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4120E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057" w:type="dxa"/>
            <w:vMerge w:val="continue"/>
            <w:tcBorders>
              <w:tl2br w:val="nil"/>
              <w:tr2bl w:val="nil"/>
            </w:tcBorders>
            <w:shd w:val="clear" w:color="auto" w:fill="auto"/>
            <w:vAlign w:val="center"/>
          </w:tcPr>
          <w:p w14:paraId="7F97EB3A">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p>
        </w:tc>
        <w:tc>
          <w:tcPr>
            <w:tcW w:w="737" w:type="dxa"/>
            <w:tcBorders>
              <w:tl2br w:val="nil"/>
              <w:tr2bl w:val="nil"/>
            </w:tcBorders>
            <w:shd w:val="clear" w:color="auto" w:fill="auto"/>
            <w:vAlign w:val="center"/>
          </w:tcPr>
          <w:p w14:paraId="1054DF1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5900" w:type="dxa"/>
            <w:tcBorders>
              <w:tl2br w:val="nil"/>
              <w:tr2bl w:val="nil"/>
            </w:tcBorders>
            <w:shd w:val="clear" w:color="auto" w:fill="auto"/>
            <w:vAlign w:val="center"/>
          </w:tcPr>
          <w:p w14:paraId="07803915">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2CBF3565">
            <w:pPr>
              <w:keepNext w:val="0"/>
              <w:keepLines w:val="0"/>
              <w:widowControl/>
              <w:suppressLineNumbers w:val="0"/>
              <w:spacing w:line="360" w:lineRule="auto"/>
              <w:jc w:val="left"/>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3.2</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FA86EC2">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5EA00349">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037AF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trPr>
        <w:tc>
          <w:tcPr>
            <w:tcW w:w="1057" w:type="dxa"/>
            <w:vMerge w:val="continue"/>
            <w:tcBorders>
              <w:tl2br w:val="nil"/>
              <w:tr2bl w:val="nil"/>
            </w:tcBorders>
            <w:shd w:val="clear" w:color="auto" w:fill="auto"/>
            <w:vAlign w:val="center"/>
          </w:tcPr>
          <w:p w14:paraId="3B07FE10">
            <w:pPr>
              <w:widowControl/>
              <w:spacing w:line="360" w:lineRule="auto"/>
              <w:jc w:val="center"/>
              <w:rPr>
                <w:rFonts w:hint="eastAsia" w:ascii="仿宋" w:hAnsi="仿宋" w:eastAsia="仿宋" w:cs="仿宋"/>
                <w:color w:val="auto"/>
                <w:sz w:val="24"/>
                <w:highlight w:val="none"/>
                <w:lang w:eastAsia="zh-CN"/>
              </w:rPr>
            </w:pPr>
          </w:p>
        </w:tc>
        <w:tc>
          <w:tcPr>
            <w:tcW w:w="737" w:type="dxa"/>
            <w:tcBorders>
              <w:tl2br w:val="nil"/>
              <w:tr2bl w:val="nil"/>
            </w:tcBorders>
            <w:shd w:val="clear" w:color="auto" w:fill="auto"/>
            <w:vAlign w:val="center"/>
          </w:tcPr>
          <w:p w14:paraId="233A984C">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5900" w:type="dxa"/>
            <w:tcBorders>
              <w:tl2br w:val="nil"/>
              <w:tr2bl w:val="nil"/>
            </w:tcBorders>
            <w:shd w:val="clear" w:color="auto" w:fill="auto"/>
            <w:vAlign w:val="center"/>
          </w:tcPr>
          <w:p w14:paraId="0631ED36">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3F8838C3">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3.4</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94D5208">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7F686E5E">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44AD1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1057" w:type="dxa"/>
            <w:vMerge w:val="continue"/>
            <w:tcBorders>
              <w:tl2br w:val="nil"/>
              <w:tr2bl w:val="nil"/>
            </w:tcBorders>
            <w:shd w:val="clear" w:color="auto" w:fill="auto"/>
            <w:vAlign w:val="center"/>
          </w:tcPr>
          <w:p w14:paraId="754089D4">
            <w:pPr>
              <w:widowControl/>
              <w:spacing w:line="360" w:lineRule="auto"/>
              <w:jc w:val="center"/>
              <w:rPr>
                <w:rFonts w:hint="eastAsia" w:ascii="仿宋" w:hAnsi="仿宋" w:eastAsia="仿宋" w:cs="仿宋"/>
                <w:color w:val="auto"/>
                <w:sz w:val="24"/>
                <w:highlight w:val="none"/>
                <w:lang w:eastAsia="zh-CN"/>
              </w:rPr>
            </w:pPr>
          </w:p>
        </w:tc>
        <w:tc>
          <w:tcPr>
            <w:tcW w:w="737" w:type="dxa"/>
            <w:tcBorders>
              <w:tl2br w:val="nil"/>
              <w:tr2bl w:val="nil"/>
            </w:tcBorders>
            <w:shd w:val="clear" w:color="auto" w:fill="auto"/>
            <w:vAlign w:val="center"/>
          </w:tcPr>
          <w:p w14:paraId="4F7A97B4">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5900" w:type="dxa"/>
            <w:tcBorders>
              <w:tl2br w:val="nil"/>
              <w:tr2bl w:val="nil"/>
            </w:tcBorders>
            <w:shd w:val="clear" w:color="auto" w:fill="auto"/>
            <w:vAlign w:val="center"/>
          </w:tcPr>
          <w:p w14:paraId="1878D4B8">
            <w:pPr>
              <w:spacing w:line="360" w:lineRule="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u w:val="none"/>
                <w:lang w:bidi="ar"/>
              </w:rPr>
              <w:t>根据采购文件第三部分采购需求</w:t>
            </w:r>
            <w:r>
              <w:rPr>
                <w:rFonts w:hint="eastAsia" w:ascii="仿宋" w:hAnsi="仿宋" w:eastAsia="仿宋" w:cs="仿宋"/>
                <w:b w:val="0"/>
                <w:b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lang w:val="en-US" w:eastAsia="zh-CN"/>
              </w:rPr>
              <w:t>三、总体要求</w:t>
            </w:r>
          </w:p>
          <w:p w14:paraId="70E8EF70">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3.5</w:t>
            </w:r>
            <w:r>
              <w:rPr>
                <w:rFonts w:hint="eastAsia" w:ascii="仿宋" w:hAnsi="仿宋" w:eastAsia="仿宋" w:cs="仿宋"/>
                <w:b w:val="0"/>
                <w:bCs w:val="0"/>
                <w:color w:val="auto"/>
                <w:kern w:val="0"/>
                <w:sz w:val="24"/>
                <w:szCs w:val="24"/>
                <w:highlight w:val="none"/>
                <w:u w:val="none"/>
                <w:lang w:bidi="ar"/>
              </w:rPr>
              <w:t>条</w:t>
            </w:r>
            <w:r>
              <w:rPr>
                <w:rFonts w:hint="eastAsia" w:ascii="仿宋" w:hAnsi="仿宋" w:eastAsia="仿宋" w:cs="仿宋"/>
                <w:b w:val="0"/>
                <w:bCs w:val="0"/>
                <w:color w:val="auto"/>
                <w:kern w:val="0"/>
                <w:sz w:val="24"/>
                <w:szCs w:val="24"/>
                <w:highlight w:val="none"/>
                <w:u w:val="none"/>
                <w:lang w:eastAsia="zh-CN" w:bidi="ar"/>
              </w:rPr>
              <w:t>，</w:t>
            </w:r>
            <w:r>
              <w:rPr>
                <w:rFonts w:hint="eastAsia" w:ascii="仿宋" w:hAnsi="仿宋" w:eastAsia="仿宋" w:cs="仿宋"/>
                <w:b w:val="0"/>
                <w:bCs w:val="0"/>
                <w:color w:val="auto"/>
                <w:kern w:val="0"/>
                <w:sz w:val="24"/>
                <w:szCs w:val="24"/>
                <w:highlight w:val="none"/>
                <w:u w:val="none"/>
                <w:lang w:val="en-US" w:eastAsia="zh-CN" w:bidi="ar"/>
              </w:rPr>
              <w:t>承诺能满足要求的得1分，其余不得分。</w:t>
            </w:r>
          </w:p>
        </w:tc>
        <w:tc>
          <w:tcPr>
            <w:tcW w:w="713" w:type="dxa"/>
            <w:tcBorders>
              <w:tl2br w:val="nil"/>
              <w:tr2bl w:val="nil"/>
            </w:tcBorders>
            <w:shd w:val="clear" w:color="auto" w:fill="auto"/>
            <w:vAlign w:val="center"/>
          </w:tcPr>
          <w:p w14:paraId="5D3B1D0E">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37" w:type="dxa"/>
            <w:tcBorders>
              <w:tl2br w:val="nil"/>
              <w:tr2bl w:val="nil"/>
            </w:tcBorders>
            <w:shd w:val="clear" w:color="auto" w:fill="auto"/>
            <w:vAlign w:val="center"/>
          </w:tcPr>
          <w:p w14:paraId="1C9D3CB6">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客</w:t>
            </w:r>
            <w:r>
              <w:rPr>
                <w:rFonts w:hint="eastAsia" w:ascii="仿宋" w:hAnsi="仿宋" w:eastAsia="仿宋" w:cs="仿宋"/>
                <w:color w:val="auto"/>
                <w:sz w:val="24"/>
                <w:highlight w:val="none"/>
              </w:rPr>
              <w:t>观分</w:t>
            </w:r>
          </w:p>
        </w:tc>
      </w:tr>
      <w:tr w14:paraId="060C0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34B7CA6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9D6ACE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5900" w:type="dxa"/>
            <w:tcBorders>
              <w:tl2br w:val="nil"/>
              <w:tr2bl w:val="nil"/>
            </w:tcBorders>
            <w:shd w:val="clear" w:color="auto" w:fill="auto"/>
            <w:vAlign w:val="center"/>
          </w:tcPr>
          <w:p w14:paraId="0BC0D037">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技术指标响应情况（针对第三部分采购需求四、技术要求）。所有维修响应内容均满足的得37分，存在偏离不满足的，每项扣0.75分，扣完为止。</w:t>
            </w:r>
          </w:p>
        </w:tc>
        <w:tc>
          <w:tcPr>
            <w:tcW w:w="713" w:type="dxa"/>
            <w:tcBorders>
              <w:tl2br w:val="nil"/>
              <w:tr2bl w:val="nil"/>
            </w:tcBorders>
            <w:shd w:val="clear" w:color="auto" w:fill="auto"/>
            <w:vAlign w:val="center"/>
          </w:tcPr>
          <w:p w14:paraId="1FB07B8F">
            <w:pPr>
              <w:keepNext w:val="0"/>
              <w:keepLines w:val="0"/>
              <w:widowControl/>
              <w:suppressLineNumbers w:val="0"/>
              <w:spacing w:line="360" w:lineRule="auto"/>
              <w:jc w:val="center"/>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737" w:type="dxa"/>
            <w:tcBorders>
              <w:tl2br w:val="nil"/>
              <w:tr2bl w:val="nil"/>
            </w:tcBorders>
            <w:shd w:val="clear" w:color="auto" w:fill="auto"/>
            <w:vAlign w:val="center"/>
          </w:tcPr>
          <w:p w14:paraId="117AEA6C">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8C6F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atLeast"/>
        </w:trPr>
        <w:tc>
          <w:tcPr>
            <w:tcW w:w="1057" w:type="dxa"/>
            <w:vMerge w:val="continue"/>
            <w:tcBorders>
              <w:tl2br w:val="nil"/>
              <w:tr2bl w:val="nil"/>
            </w:tcBorders>
            <w:shd w:val="clear" w:color="auto" w:fill="auto"/>
            <w:vAlign w:val="center"/>
          </w:tcPr>
          <w:p w14:paraId="62769943">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7161144">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5900" w:type="dxa"/>
            <w:tcBorders>
              <w:tl2br w:val="nil"/>
              <w:tr2bl w:val="nil"/>
            </w:tcBorders>
            <w:shd w:val="clear" w:color="auto" w:fill="auto"/>
            <w:vAlign w:val="center"/>
          </w:tcPr>
          <w:p w14:paraId="1406EB9D">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针对本项目实施方案应包括但不限于设备的运输、安装调试、系统集成、试运行、测试、调优等内容，以及组织机构、工作程序和步骤、管理和协调方法、关键步骤的思路和要点等。分值（5.0、4.0、3.0、2.0、1.0、0）</w:t>
            </w:r>
          </w:p>
        </w:tc>
        <w:tc>
          <w:tcPr>
            <w:tcW w:w="713" w:type="dxa"/>
            <w:tcBorders>
              <w:tl2br w:val="nil"/>
              <w:tr2bl w:val="nil"/>
            </w:tcBorders>
            <w:shd w:val="clear" w:color="auto" w:fill="auto"/>
            <w:vAlign w:val="center"/>
          </w:tcPr>
          <w:p w14:paraId="2232DC21">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844ED76">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A860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22AAF7A8">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0B82D9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5900" w:type="dxa"/>
            <w:tcBorders>
              <w:tl2br w:val="nil"/>
              <w:tr2bl w:val="nil"/>
            </w:tcBorders>
            <w:shd w:val="clear" w:color="auto" w:fill="auto"/>
            <w:vAlign w:val="center"/>
          </w:tcPr>
          <w:p w14:paraId="7B70359E">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针对本项目的质量保证措施，内容包含但不限于维修质量控制措施、质量保证体系等，确保设备质量符合采购要求和国家有关标准进行评分。分值（5.0、4.0、3.0、2.0、1.0、0）</w:t>
            </w:r>
          </w:p>
        </w:tc>
        <w:tc>
          <w:tcPr>
            <w:tcW w:w="713" w:type="dxa"/>
            <w:tcBorders>
              <w:tl2br w:val="nil"/>
              <w:tr2bl w:val="nil"/>
            </w:tcBorders>
            <w:shd w:val="clear" w:color="auto" w:fill="auto"/>
            <w:vAlign w:val="center"/>
          </w:tcPr>
          <w:p w14:paraId="547DBDE0">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0F2087AD">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E17F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51551D44">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30155B20">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5900" w:type="dxa"/>
            <w:tcBorders>
              <w:tl2br w:val="nil"/>
              <w:tr2bl w:val="nil"/>
            </w:tcBorders>
            <w:shd w:val="clear" w:color="auto" w:fill="auto"/>
            <w:vAlign w:val="center"/>
          </w:tcPr>
          <w:p w14:paraId="4AA6B978">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提供安全文明施工及环境保护措施。包含但不限于对该项目安全文明施工、施工现场扬尘污染防治措施及环境保护方面等。分值（5.0、4.0、3.0、2.0、1.0、0）</w:t>
            </w:r>
          </w:p>
        </w:tc>
        <w:tc>
          <w:tcPr>
            <w:tcW w:w="713" w:type="dxa"/>
            <w:tcBorders>
              <w:tl2br w:val="nil"/>
              <w:tr2bl w:val="nil"/>
            </w:tcBorders>
            <w:shd w:val="clear" w:color="auto" w:fill="auto"/>
            <w:vAlign w:val="center"/>
          </w:tcPr>
          <w:p w14:paraId="46AE1174">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43DCBB0A">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60A7A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45124F40">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EC8592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5900" w:type="dxa"/>
            <w:tcBorders>
              <w:tl2br w:val="nil"/>
              <w:tr2bl w:val="nil"/>
            </w:tcBorders>
            <w:shd w:val="clear" w:color="auto" w:fill="auto"/>
            <w:vAlign w:val="center"/>
          </w:tcPr>
          <w:p w14:paraId="31D35D31">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施工进度计划和进度措施。内容包含但不限于进度控制点，进度计划表，材料的供应计划等。分值（5.0、4.0、3.0、2.0、1.0、0）</w:t>
            </w:r>
          </w:p>
        </w:tc>
        <w:tc>
          <w:tcPr>
            <w:tcW w:w="713" w:type="dxa"/>
            <w:tcBorders>
              <w:tl2br w:val="nil"/>
              <w:tr2bl w:val="nil"/>
            </w:tcBorders>
            <w:shd w:val="clear" w:color="auto" w:fill="auto"/>
            <w:vAlign w:val="center"/>
          </w:tcPr>
          <w:p w14:paraId="27DD239B">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AA088AF">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3F91F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0454C08D">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046630CB">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5900" w:type="dxa"/>
            <w:tcBorders>
              <w:tl2br w:val="nil"/>
              <w:tr2bl w:val="nil"/>
            </w:tcBorders>
            <w:shd w:val="clear" w:color="auto" w:fill="auto"/>
            <w:vAlign w:val="center"/>
          </w:tcPr>
          <w:p w14:paraId="4C81DC6F">
            <w:pPr>
              <w:keepNext w:val="0"/>
              <w:keepLines w:val="0"/>
              <w:widowControl/>
              <w:suppressLineNumbers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投入本项目其他人数（不包括项目负责人）、技术水平和经验、分工合理安排情况；提供上述人员近3个月中任意1个月在本次投标单位的社保证明。</w:t>
            </w:r>
          </w:p>
        </w:tc>
        <w:tc>
          <w:tcPr>
            <w:tcW w:w="713" w:type="dxa"/>
            <w:tcBorders>
              <w:tl2br w:val="nil"/>
              <w:tr2bl w:val="nil"/>
            </w:tcBorders>
            <w:shd w:val="clear" w:color="auto" w:fill="auto"/>
            <w:vAlign w:val="center"/>
          </w:tcPr>
          <w:p w14:paraId="24324EF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26573E60">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7F84B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trPr>
        <w:tc>
          <w:tcPr>
            <w:tcW w:w="1057" w:type="dxa"/>
            <w:vMerge w:val="continue"/>
            <w:tcBorders>
              <w:tl2br w:val="nil"/>
              <w:tr2bl w:val="nil"/>
            </w:tcBorders>
            <w:shd w:val="clear" w:color="auto" w:fill="auto"/>
            <w:vAlign w:val="center"/>
          </w:tcPr>
          <w:p w14:paraId="138DA803">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14:paraId="7E952B17">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5900" w:type="dxa"/>
            <w:tcBorders>
              <w:tl2br w:val="nil"/>
              <w:tr2bl w:val="nil"/>
            </w:tcBorders>
            <w:shd w:val="clear" w:color="auto" w:fill="auto"/>
            <w:vAlign w:val="center"/>
          </w:tcPr>
          <w:p w14:paraId="4EDF29D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维保服务范围涵盖全面、服务响应时间快、服务人员配备充足。分值（5.0、4.0、3.0、2.0、1.0、0）</w:t>
            </w:r>
          </w:p>
          <w:p w14:paraId="300544E4">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评审依据/证明材料：服务方案的详细描述</w:t>
            </w:r>
          </w:p>
        </w:tc>
        <w:tc>
          <w:tcPr>
            <w:tcW w:w="713" w:type="dxa"/>
            <w:tcBorders>
              <w:tl2br w:val="nil"/>
              <w:tr2bl w:val="nil"/>
            </w:tcBorders>
            <w:shd w:val="clear" w:color="auto" w:fill="auto"/>
            <w:vAlign w:val="center"/>
          </w:tcPr>
          <w:p w14:paraId="6C5F87C0">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737" w:type="dxa"/>
            <w:tcBorders>
              <w:tl2br w:val="nil"/>
              <w:tr2bl w:val="nil"/>
            </w:tcBorders>
            <w:shd w:val="clear" w:color="auto" w:fill="auto"/>
            <w:vAlign w:val="center"/>
          </w:tcPr>
          <w:p w14:paraId="7FD7CC0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11429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2" w:hRule="atLeast"/>
        </w:trPr>
        <w:tc>
          <w:tcPr>
            <w:tcW w:w="1057" w:type="dxa"/>
            <w:vMerge w:val="continue"/>
            <w:tcBorders>
              <w:tl2br w:val="nil"/>
              <w:tr2bl w:val="nil"/>
            </w:tcBorders>
            <w:shd w:val="clear" w:color="auto" w:fill="auto"/>
            <w:vAlign w:val="center"/>
          </w:tcPr>
          <w:p w14:paraId="1C91874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0A9C9711">
            <w:pPr>
              <w:widowControl/>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5900" w:type="dxa"/>
            <w:tcBorders>
              <w:tl2br w:val="nil"/>
              <w:tr2bl w:val="nil"/>
            </w:tcBorders>
            <w:shd w:val="clear" w:color="auto" w:fill="auto"/>
            <w:vAlign w:val="center"/>
          </w:tcPr>
          <w:p w14:paraId="0557C683">
            <w:pPr>
              <w:keepNext w:val="0"/>
              <w:keepLines w:val="0"/>
              <w:widowControl/>
              <w:suppressLineNumbers w:val="0"/>
              <w:snapToGrid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巡检服务合理、具有可操作。分值（3.0、2.0、1.0、0）</w:t>
            </w:r>
          </w:p>
          <w:p w14:paraId="59759DC0">
            <w:pPr>
              <w:pStyle w:val="24"/>
              <w:rPr>
                <w:rFonts w:hint="eastAsia" w:ascii="仿宋" w:hAnsi="仿宋" w:eastAsia="仿宋" w:cs="仿宋"/>
                <w:i w:val="0"/>
                <w:iCs w:val="0"/>
                <w:snapToGrid/>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评审依据/证明材料：巡检服务的详细描述</w:t>
            </w:r>
          </w:p>
        </w:tc>
        <w:tc>
          <w:tcPr>
            <w:tcW w:w="713" w:type="dxa"/>
            <w:tcBorders>
              <w:tl2br w:val="nil"/>
              <w:tr2bl w:val="nil"/>
            </w:tcBorders>
            <w:shd w:val="clear" w:color="auto" w:fill="auto"/>
            <w:vAlign w:val="center"/>
          </w:tcPr>
          <w:p w14:paraId="0170D3F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3</w:t>
            </w:r>
          </w:p>
        </w:tc>
        <w:tc>
          <w:tcPr>
            <w:tcW w:w="737" w:type="dxa"/>
            <w:tcBorders>
              <w:tl2br w:val="nil"/>
              <w:tr2bl w:val="nil"/>
            </w:tcBorders>
            <w:shd w:val="clear" w:color="auto" w:fill="auto"/>
            <w:vAlign w:val="center"/>
          </w:tcPr>
          <w:p w14:paraId="53B70E4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主观分</w:t>
            </w:r>
          </w:p>
        </w:tc>
      </w:tr>
    </w:tbl>
    <w:p w14:paraId="376C6A51">
      <w:pPr>
        <w:widowControl/>
        <w:spacing w:line="360" w:lineRule="auto"/>
        <w:rPr>
          <w:rFonts w:ascii="仿宋" w:hAnsi="仿宋" w:eastAsia="仿宋" w:cs="仿宋"/>
          <w:b/>
          <w:color w:val="auto"/>
          <w:sz w:val="24"/>
          <w:highlight w:val="none"/>
        </w:rPr>
      </w:pPr>
    </w:p>
    <w:p w14:paraId="17732120">
      <w:pPr>
        <w:widowControl/>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1、评分条款中涉及的业绩、荣誉、人员、社保等证明材料如为投标人或其分公司出具的均有效。</w:t>
      </w:r>
    </w:p>
    <w:p w14:paraId="350962D4">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F9EC3CE">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62C4D8C1">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2"/>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507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D2EBC70">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D72743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18F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CD9441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17414BA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CAA6FE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 xml:space="preserve">%）×100 </w:t>
            </w:r>
          </w:p>
          <w:p w14:paraId="3779C729">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50AD9939">
      <w:pPr>
        <w:snapToGrid w:val="0"/>
        <w:spacing w:line="570" w:lineRule="exact"/>
        <w:rPr>
          <w:rFonts w:hint="eastAsia" w:ascii="仿宋" w:hAnsi="仿宋" w:eastAsia="仿宋" w:cs="仿宋"/>
          <w:b/>
          <w:color w:val="auto"/>
          <w:sz w:val="28"/>
          <w:szCs w:val="28"/>
        </w:rPr>
      </w:pPr>
      <w:r>
        <w:rPr>
          <w:rFonts w:hint="eastAsia" w:ascii="仿宋" w:hAnsi="仿宋" w:eastAsia="仿宋" w:cs="仿宋"/>
          <w:b/>
          <w:color w:val="auto"/>
          <w:sz w:val="32"/>
        </w:rPr>
        <w:t>一、交易方法</w:t>
      </w:r>
    </w:p>
    <w:p w14:paraId="4238D1FC">
      <w:pPr>
        <w:adjustRightInd/>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1.本项目采用综合评估法。</w:t>
      </w:r>
      <w:r>
        <w:rPr>
          <w:rFonts w:hint="eastAsia" w:ascii="仿宋" w:hAnsi="仿宋" w:eastAsia="仿宋" w:cs="仿宋"/>
          <w:color w:val="auto"/>
          <w:kern w:val="0"/>
          <w:sz w:val="24"/>
        </w:rPr>
        <w:t>综合评估法，是指响应文件满足交易文件全部实质性要求，且按照评审因素的量化指标评审得分最高的</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为成交候选人的评审方法。</w:t>
      </w:r>
    </w:p>
    <w:p w14:paraId="681DBC29">
      <w:pPr>
        <w:adjustRightInd/>
        <w:spacing w:line="570" w:lineRule="exact"/>
        <w:rPr>
          <w:rFonts w:hint="eastAsia" w:ascii="仿宋" w:hAnsi="仿宋" w:eastAsia="仿宋" w:cs="仿宋"/>
          <w:color w:val="auto"/>
          <w:kern w:val="0"/>
          <w:sz w:val="24"/>
        </w:rPr>
      </w:pPr>
      <w:r>
        <w:rPr>
          <w:rFonts w:hint="eastAsia" w:ascii="仿宋" w:hAnsi="仿宋" w:eastAsia="仿宋" w:cs="仿宋"/>
          <w:b/>
          <w:color w:val="auto"/>
          <w:sz w:val="32"/>
        </w:rPr>
        <w:t>二、交易标准</w:t>
      </w:r>
    </w:p>
    <w:p w14:paraId="055642F5">
      <w:pPr>
        <w:spacing w:line="57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评审标准：</w:t>
      </w:r>
      <w:r>
        <w:rPr>
          <w:rFonts w:hint="eastAsia" w:ascii="仿宋" w:hAnsi="仿宋" w:eastAsia="仿宋" w:cs="仿宋"/>
          <w:color w:val="auto"/>
          <w:kern w:val="0"/>
          <w:sz w:val="24"/>
        </w:rPr>
        <w:t>见交易办法前附表。</w:t>
      </w:r>
    </w:p>
    <w:p w14:paraId="7EA83B76">
      <w:pPr>
        <w:spacing w:line="570" w:lineRule="exact"/>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w:t>
      </w:r>
      <w:r>
        <w:rPr>
          <w:rFonts w:hint="eastAsia" w:ascii="仿宋" w:hAnsi="仿宋" w:eastAsia="仿宋" w:cs="仿宋"/>
          <w:b/>
          <w:color w:val="auto"/>
          <w:sz w:val="32"/>
        </w:rPr>
        <w:t>交易程序</w:t>
      </w:r>
    </w:p>
    <w:p w14:paraId="5372B408">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的响应文件进行符合性审查，以确定其是否满足交易文件的实质性要求。不满足交易文件的实质性要求的，交易无效。</w:t>
      </w:r>
    </w:p>
    <w:p w14:paraId="4DD350A2">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5610D49D">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的商务和技术文件进行评价，并汇总商务技术得分情况。</w:t>
      </w:r>
    </w:p>
    <w:p w14:paraId="2ACA0D46">
      <w:pPr>
        <w:spacing w:line="570" w:lineRule="exact"/>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4DCD2DAD">
      <w:pPr>
        <w:pStyle w:val="221"/>
        <w:spacing w:before="0" w:line="570" w:lineRule="exact"/>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3477C229">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18CB9179">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C8F0F15">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55B000AA">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59064A0">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确认后产生约束力。</w:t>
      </w:r>
    </w:p>
    <w:p w14:paraId="4B068187">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3.4.2响应文件出现不是唯一的、有选择性交易报价的，交易无效。</w:t>
      </w:r>
    </w:p>
    <w:p w14:paraId="0E3A0922">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3.4.3交易报价超过交易文件中规定的预算金额或者最高限价的，交易无效。</w:t>
      </w:r>
    </w:p>
    <w:p w14:paraId="2CAADD48">
      <w:pPr>
        <w:pStyle w:val="221"/>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3.4.4评审委员会认为</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的报价明显低于其他通过符合性审查</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不能证明其报价合理性的，评标委员会应当将其作为无效投响应处理。</w:t>
      </w:r>
    </w:p>
    <w:p w14:paraId="69699A0C">
      <w:pPr>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为排名第一的成交候选人。</w:t>
      </w:r>
    </w:p>
    <w:p w14:paraId="67C21F97">
      <w:pPr>
        <w:spacing w:line="570" w:lineRule="exact"/>
        <w:rPr>
          <w:rFonts w:hint="eastAsia" w:ascii="仿宋" w:hAnsi="仿宋" w:eastAsia="仿宋" w:cs="仿宋"/>
          <w:b/>
          <w:color w:val="auto"/>
          <w:kern w:val="0"/>
          <w:sz w:val="24"/>
        </w:rPr>
      </w:pPr>
      <w:r>
        <w:rPr>
          <w:rFonts w:hint="eastAsia" w:ascii="仿宋" w:hAnsi="仿宋" w:eastAsia="仿宋" w:cs="仿宋"/>
          <w:color w:val="auto"/>
          <w:kern w:val="0"/>
          <w:sz w:val="24"/>
        </w:rPr>
        <w:t>多家</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参加同一合同项下投标的，按一家</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计算，评审后得分最高的同品牌</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获得成交人推荐资格；评审得分相同的，采取随机抽取方式确定，其他同品牌</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不作为成交候选人。</w:t>
      </w:r>
    </w:p>
    <w:p w14:paraId="28F47741">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8034A7">
      <w:pPr>
        <w:widowControl/>
        <w:shd w:val="clear" w:color="auto" w:fill="FFFFFF"/>
        <w:adjustRightInd/>
        <w:spacing w:after="225" w:line="570" w:lineRule="exac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193A27">
      <w:pPr>
        <w:pStyle w:val="221"/>
        <w:spacing w:before="0" w:line="57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w:t>
      </w:r>
      <w:r>
        <w:rPr>
          <w:rFonts w:hint="eastAsia" w:ascii="仿宋" w:hAnsi="仿宋" w:eastAsia="仿宋" w:cs="仿宋"/>
          <w:b/>
          <w:color w:val="auto"/>
          <w:kern w:val="0"/>
          <w:szCs w:val="24"/>
          <w:lang w:eastAsia="zh-CN"/>
        </w:rPr>
        <w:t>投标人</w:t>
      </w:r>
      <w:r>
        <w:rPr>
          <w:rFonts w:hint="eastAsia" w:ascii="仿宋" w:hAnsi="仿宋" w:eastAsia="仿宋" w:cs="仿宋"/>
          <w:b/>
          <w:color w:val="auto"/>
          <w:kern w:val="0"/>
          <w:szCs w:val="24"/>
        </w:rPr>
        <w:t>澄清、说明或者补正。</w:t>
      </w:r>
      <w:r>
        <w:rPr>
          <w:rFonts w:hint="eastAsia" w:ascii="仿宋" w:hAnsi="仿宋" w:eastAsia="仿宋" w:cs="仿宋"/>
          <w:color w:val="auto"/>
          <w:kern w:val="0"/>
          <w:szCs w:val="24"/>
        </w:rPr>
        <w:t>对于响应文件中含义不明确、同类问题表述不一致或者有明显文字和计算错误的内容需要</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作出必要的澄清、说明或者补正的，评标委员会和</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通过电子交易平台交换数据电文，</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提交使用电子签名的相关数据电文或通过平台上传加盖公章的扫描件。给予</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提交澄清、说明或补正的时间不得少于半小时，</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已经明确表示澄清说明或补正完毕的除外。</w:t>
      </w:r>
      <w:r>
        <w:rPr>
          <w:rFonts w:hint="eastAsia" w:ascii="仿宋" w:hAnsi="仿宋" w:eastAsia="仿宋" w:cs="仿宋"/>
          <w:color w:val="auto"/>
          <w:kern w:val="0"/>
          <w:szCs w:val="24"/>
          <w:lang w:eastAsia="zh-CN"/>
        </w:rPr>
        <w:t>投标人</w:t>
      </w:r>
      <w:r>
        <w:rPr>
          <w:rFonts w:hint="eastAsia" w:ascii="仿宋" w:hAnsi="仿宋" w:eastAsia="仿宋" w:cs="仿宋"/>
          <w:color w:val="auto"/>
          <w:kern w:val="0"/>
          <w:szCs w:val="24"/>
        </w:rPr>
        <w:t>的澄清、说明或者补正不得超出响应文件的范围或者改变响应文件的实质性内容。</w:t>
      </w:r>
    </w:p>
    <w:p w14:paraId="0DD52EF6">
      <w:pPr>
        <w:pStyle w:val="2"/>
        <w:spacing w:line="57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5A4E09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A5159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35C38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A4E97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FC4DCF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39DA1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71EAA9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5A1C9B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0FFE72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254130B5">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7EE639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 xml:space="preserve">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46F1AEB">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3F1F6C91">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w:t>
      </w:r>
      <w:r>
        <w:rPr>
          <w:rFonts w:hint="eastAsia" w:ascii="仿宋" w:hAnsi="仿宋" w:eastAsia="仿宋" w:cs="仿宋"/>
          <w:b w:val="0"/>
          <w:bCs w:val="0"/>
          <w:color w:val="auto"/>
          <w:kern w:val="0"/>
          <w:sz w:val="24"/>
          <w:szCs w:val="24"/>
          <w:highlight w:val="none"/>
          <w:lang w:val="en-US" w:eastAsia="zh-CN"/>
        </w:rPr>
        <w:t>13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54A9B3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6DEF2FD">
      <w:pPr>
        <w:pStyle w:val="2"/>
        <w:snapToGrid w:val="0"/>
        <w:spacing w:line="57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04E28507">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5.1符合专业条件的</w:t>
      </w:r>
      <w:r>
        <w:rPr>
          <w:rFonts w:hint="eastAsia" w:ascii="仿宋" w:hAnsi="仿宋" w:eastAsia="仿宋" w:cs="仿宋"/>
          <w:color w:val="auto"/>
          <w:lang w:eastAsia="zh-CN"/>
        </w:rPr>
        <w:t>投标人</w:t>
      </w:r>
      <w:r>
        <w:rPr>
          <w:rFonts w:hint="eastAsia" w:ascii="仿宋" w:hAnsi="仿宋" w:eastAsia="仿宋" w:cs="仿宋"/>
          <w:color w:val="auto"/>
        </w:rPr>
        <w:t>或者对交易文件作实质响应的</w:t>
      </w:r>
      <w:r>
        <w:rPr>
          <w:rFonts w:hint="eastAsia" w:ascii="仿宋" w:hAnsi="仿宋" w:eastAsia="仿宋" w:cs="仿宋"/>
          <w:color w:val="auto"/>
          <w:lang w:eastAsia="zh-CN"/>
        </w:rPr>
        <w:t>投标人</w:t>
      </w:r>
      <w:r>
        <w:rPr>
          <w:rFonts w:hint="eastAsia" w:ascii="仿宋" w:hAnsi="仿宋" w:eastAsia="仿宋" w:cs="仿宋"/>
          <w:color w:val="auto"/>
        </w:rPr>
        <w:t>不足3家的；</w:t>
      </w:r>
    </w:p>
    <w:p w14:paraId="5BBAA9D4">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6232DC03">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5.3</w:t>
      </w:r>
      <w:r>
        <w:rPr>
          <w:rFonts w:hint="eastAsia" w:ascii="仿宋" w:hAnsi="仿宋" w:eastAsia="仿宋" w:cs="仿宋"/>
          <w:color w:val="auto"/>
          <w:lang w:eastAsia="zh-CN"/>
        </w:rPr>
        <w:t>投标人</w:t>
      </w:r>
      <w:r>
        <w:rPr>
          <w:rFonts w:hint="eastAsia" w:ascii="仿宋" w:hAnsi="仿宋" w:eastAsia="仿宋" w:cs="仿宋"/>
          <w:color w:val="auto"/>
        </w:rPr>
        <w:t>的报价均超过了采购预算，交易发起人不能支付的；</w:t>
      </w:r>
    </w:p>
    <w:p w14:paraId="58691A65">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5.4因重大变故，采购任务取消的。</w:t>
      </w:r>
    </w:p>
    <w:p w14:paraId="3E03C8D1">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w:t>
      </w:r>
      <w:r>
        <w:rPr>
          <w:rFonts w:hint="eastAsia" w:ascii="仿宋" w:hAnsi="仿宋" w:eastAsia="仿宋" w:cs="仿宋"/>
          <w:color w:val="auto"/>
          <w:lang w:eastAsia="zh-CN"/>
        </w:rPr>
        <w:t>投标人</w:t>
      </w:r>
      <w:r>
        <w:rPr>
          <w:rFonts w:hint="eastAsia" w:ascii="仿宋" w:hAnsi="仿宋" w:eastAsia="仿宋" w:cs="仿宋"/>
          <w:color w:val="auto"/>
        </w:rPr>
        <w:t>。</w:t>
      </w:r>
    </w:p>
    <w:p w14:paraId="71EA7D55">
      <w:pPr>
        <w:pStyle w:val="2"/>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871E717">
      <w:pPr>
        <w:pStyle w:val="2"/>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有政府采购法第七十一条、第七十二条规定的违法行为之一，影响或者可能影响成交、成交结果的，依照下列规定处理：</w:t>
      </w:r>
    </w:p>
    <w:p w14:paraId="37553409">
      <w:pPr>
        <w:pStyle w:val="2"/>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7.1未确定成交或者成交人的，终止本次政府采购活动，重新开展政府采购活动。</w:t>
      </w:r>
    </w:p>
    <w:p w14:paraId="5DDEE4BD">
      <w:pPr>
        <w:pStyle w:val="2"/>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7.2已确定成交或者成交人但尚未签订政府采购合同的，成交或者成交结果无效，从合格的成交或者成交候选人中另行确定成交或者成交人；没有合格的成交或者成交候选人的，重新开展政府采购活动。</w:t>
      </w:r>
    </w:p>
    <w:p w14:paraId="7110E1FB">
      <w:pPr>
        <w:pStyle w:val="2"/>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7.3采购合同已签订但尚未履行的，撤销合同，从合格的成交或者成交候选人中另行确定成交或者成交人；没有合格的成交或者成交候选人的，重新开展政府采购活动。</w:t>
      </w:r>
    </w:p>
    <w:p w14:paraId="069A461C">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7.4采购合同已经履行，给交易发起人、</w:t>
      </w:r>
      <w:r>
        <w:rPr>
          <w:rFonts w:hint="eastAsia" w:ascii="仿宋" w:hAnsi="仿宋" w:eastAsia="仿宋" w:cs="仿宋"/>
          <w:color w:val="auto"/>
          <w:lang w:eastAsia="zh-CN"/>
        </w:rPr>
        <w:t>投标人</w:t>
      </w:r>
      <w:r>
        <w:rPr>
          <w:rFonts w:hint="eastAsia" w:ascii="仿宋" w:hAnsi="仿宋" w:eastAsia="仿宋" w:cs="仿宋"/>
          <w:color w:val="auto"/>
        </w:rPr>
        <w:t>造成损失的，由责任人承担赔偿责任。</w:t>
      </w:r>
    </w:p>
    <w:p w14:paraId="20D43FCA">
      <w:pPr>
        <w:pStyle w:val="2"/>
        <w:snapToGrid w:val="0"/>
        <w:spacing w:line="570" w:lineRule="exact"/>
        <w:rPr>
          <w:rFonts w:hint="eastAsia" w:ascii="仿宋" w:hAnsi="仿宋" w:eastAsia="仿宋" w:cs="仿宋"/>
          <w:color w:val="auto"/>
        </w:rPr>
      </w:pPr>
      <w:r>
        <w:rPr>
          <w:rFonts w:hint="eastAsia" w:ascii="仿宋" w:hAnsi="仿宋" w:eastAsia="仿宋" w:cs="仿宋"/>
          <w:color w:val="auto"/>
        </w:rPr>
        <w:t>7.5采购当事人有其他违反政府采购法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的行为，经改正后仍然影响或者可能影响成交、成交结果或者依法被认定为成交、成交无效的，依照7.1-7.4规定处理。</w:t>
      </w:r>
    </w:p>
    <w:p w14:paraId="29724583">
      <w:pPr>
        <w:widowControl/>
        <w:spacing w:line="360" w:lineRule="auto"/>
        <w:rPr>
          <w:rFonts w:hint="eastAsia" w:ascii="仿宋" w:hAnsi="仿宋" w:eastAsia="仿宋" w:cs="仿宋"/>
          <w:color w:val="auto"/>
          <w:sz w:val="24"/>
        </w:rPr>
      </w:pPr>
    </w:p>
    <w:p w14:paraId="003A4382">
      <w:pPr>
        <w:widowControl/>
        <w:spacing w:line="360" w:lineRule="auto"/>
        <w:rPr>
          <w:rFonts w:hint="eastAsia" w:ascii="仿宋" w:hAnsi="仿宋" w:eastAsia="仿宋" w:cs="仿宋"/>
          <w:color w:val="auto"/>
          <w:sz w:val="24"/>
        </w:rPr>
      </w:pPr>
    </w:p>
    <w:p w14:paraId="650488B1">
      <w:pPr>
        <w:pStyle w:val="4"/>
        <w:rPr>
          <w:rFonts w:hint="eastAsia" w:ascii="仿宋" w:hAnsi="仿宋" w:eastAsia="仿宋" w:cs="仿宋"/>
          <w:color w:val="auto"/>
          <w:sz w:val="24"/>
        </w:rPr>
      </w:pPr>
    </w:p>
    <w:p w14:paraId="42C8BB33">
      <w:pPr>
        <w:rPr>
          <w:rFonts w:hint="eastAsia" w:ascii="仿宋" w:hAnsi="仿宋" w:eastAsia="仿宋" w:cs="仿宋"/>
          <w:color w:val="auto"/>
          <w:sz w:val="24"/>
        </w:rPr>
      </w:pPr>
    </w:p>
    <w:p w14:paraId="0ED62239">
      <w:pPr>
        <w:pStyle w:val="4"/>
        <w:rPr>
          <w:rFonts w:hint="eastAsia" w:ascii="仿宋" w:hAnsi="仿宋" w:eastAsia="仿宋" w:cs="仿宋"/>
          <w:color w:val="auto"/>
          <w:sz w:val="24"/>
        </w:rPr>
      </w:pPr>
    </w:p>
    <w:p w14:paraId="4F5C3079">
      <w:pPr>
        <w:pStyle w:val="4"/>
        <w:jc w:val="both"/>
        <w:rPr>
          <w:rFonts w:hint="eastAsia" w:ascii="仿宋" w:hAnsi="仿宋" w:eastAsia="仿宋" w:cs="仿宋"/>
          <w:color w:val="auto"/>
        </w:rPr>
      </w:pPr>
    </w:p>
    <w:p w14:paraId="4436974A">
      <w:pPr>
        <w:rPr>
          <w:rFonts w:hint="eastAsia" w:ascii="仿宋" w:hAnsi="仿宋" w:eastAsia="仿宋" w:cs="仿宋"/>
          <w:color w:val="auto"/>
        </w:rPr>
      </w:pPr>
    </w:p>
    <w:p w14:paraId="7220F612">
      <w:pPr>
        <w:widowControl/>
        <w:adjustRightInd/>
        <w:jc w:val="left"/>
        <w:rPr>
          <w:rFonts w:hint="eastAsia" w:ascii="仿宋" w:hAnsi="仿宋" w:eastAsia="仿宋" w:cs="仿宋"/>
          <w:b/>
          <w:color w:val="auto"/>
          <w:sz w:val="32"/>
        </w:rPr>
      </w:pPr>
    </w:p>
    <w:bookmarkEnd w:id="39"/>
    <w:p w14:paraId="543DBD63">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2D02A5D1">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5F0AB1F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（货物类样本）</w:t>
      </w:r>
    </w:p>
    <w:p w14:paraId="28EAEEDE">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eastAsia="zh-CN"/>
        </w:rPr>
        <w:t>人</w:t>
      </w:r>
      <w:r>
        <w:rPr>
          <w:rFonts w:hint="eastAsia" w:ascii="仿宋" w:hAnsi="仿宋" w:eastAsia="仿宋" w:cs="仿宋"/>
          <w:color w:val="auto"/>
          <w:szCs w:val="21"/>
          <w:highlight w:val="none"/>
        </w:rPr>
        <w:t>（以下简称乙方）结合本项目具体情况协商后签订。以下为</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提出涉及乙方的主要条款，</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在招标文件中应对其进行确认或拒绝。如</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在其招标文件中未做拒绝或提出修改要求的，采购人将视作认同。</w:t>
      </w:r>
    </w:p>
    <w:p w14:paraId="252B9604">
      <w:pPr>
        <w:rPr>
          <w:rFonts w:hint="eastAsia" w:ascii="仿宋" w:hAnsi="仿宋" w:eastAsia="仿宋" w:cs="仿宋"/>
          <w:color w:val="auto"/>
          <w:szCs w:val="21"/>
          <w:highlight w:val="none"/>
        </w:rPr>
      </w:pPr>
    </w:p>
    <w:p w14:paraId="684366A2">
      <w:pPr>
        <w:pStyle w:val="5"/>
        <w:numPr>
          <w:ilvl w:val="0"/>
          <w:numId w:val="0"/>
        </w:numPr>
        <w:ind w:leftChars="0"/>
        <w:rPr>
          <w:color w:val="auto"/>
        </w:rPr>
      </w:pPr>
    </w:p>
    <w:p w14:paraId="42DDB115">
      <w:pPr>
        <w:shd w:val="clear"/>
        <w:tabs>
          <w:tab w:val="left" w:pos="2143"/>
          <w:tab w:val="center" w:pos="4664"/>
        </w:tabs>
        <w:spacing w:line="360" w:lineRule="auto"/>
        <w:jc w:val="center"/>
        <w:rPr>
          <w:rFonts w:hint="eastAsia" w:ascii="仿宋" w:hAnsi="仿宋" w:eastAsia="仿宋" w:cs="仿宋"/>
          <w:b/>
          <w:color w:val="auto"/>
          <w:sz w:val="36"/>
          <w:szCs w:val="36"/>
          <w:highlight w:val="none"/>
          <w:lang w:val="en-US" w:eastAsia="zh-CN"/>
        </w:rPr>
      </w:pPr>
    </w:p>
    <w:p w14:paraId="71FD3D89">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杭州市萧山区第一人民医院XXX </w:t>
      </w:r>
      <w:r>
        <w:rPr>
          <w:rFonts w:hint="eastAsia" w:ascii="仿宋" w:hAnsi="仿宋" w:eastAsia="仿宋" w:cs="仿宋"/>
          <w:b/>
          <w:color w:val="auto"/>
          <w:sz w:val="36"/>
          <w:szCs w:val="36"/>
          <w:highlight w:val="none"/>
        </w:rPr>
        <w:t>采购合同</w:t>
      </w:r>
    </w:p>
    <w:p w14:paraId="3075EDCC">
      <w:pPr>
        <w:pStyle w:val="5"/>
        <w:numPr>
          <w:ilvl w:val="0"/>
          <w:numId w:val="0"/>
        </w:numPr>
        <w:ind w:leftChars="0"/>
        <w:rPr>
          <w:rFonts w:hint="eastAsia"/>
          <w:color w:val="auto"/>
        </w:rPr>
      </w:pPr>
    </w:p>
    <w:p w14:paraId="0DE1C606">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7B076516">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418B3AE7">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w:t>
      </w:r>
      <w:r>
        <w:rPr>
          <w:rFonts w:hint="eastAsia" w:ascii="仿宋" w:hAnsi="仿宋" w:eastAsia="仿宋" w:cs="仿宋"/>
          <w:color w:val="auto"/>
          <w:kern w:val="0"/>
          <w:sz w:val="24"/>
          <w:highlight w:val="none"/>
          <w:lang w:val="en-US" w:eastAsia="zh-CN"/>
        </w:rPr>
        <w:t>5-GJ-03)</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公开竞争</w:t>
      </w:r>
      <w:r>
        <w:rPr>
          <w:rFonts w:hint="eastAsia" w:ascii="仿宋" w:hAnsi="仿宋" w:eastAsia="仿宋" w:cs="仿宋"/>
          <w:color w:val="auto"/>
          <w:kern w:val="0"/>
          <w:sz w:val="24"/>
          <w:highlight w:val="none"/>
        </w:rPr>
        <w:t>结果及《中华人民共和国民法典》等有关规定，经双方友好协商，订立本合同。</w:t>
      </w:r>
    </w:p>
    <w:p w14:paraId="682C284E">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维保内容</w:t>
      </w:r>
    </w:p>
    <w:tbl>
      <w:tblPr>
        <w:tblStyle w:val="62"/>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0E34E8C9">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A63F5C">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9163A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A1BAD9">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3FDC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331BA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35E32F81">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53762">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446D9339">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FE2E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9B27B2">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631A3">
            <w:pPr>
              <w:pStyle w:val="5"/>
              <w:jc w:val="center"/>
              <w:rPr>
                <w:rFonts w:hint="eastAsia" w:asci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EADBF5">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E27BAF">
            <w:pPr>
              <w:pStyle w:val="5"/>
              <w:jc w:val="center"/>
              <w:rPr>
                <w:rFonts w:hint="eastAsia" w:asci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DDB41">
            <w:pPr>
              <w:spacing w:line="240" w:lineRule="auto"/>
              <w:jc w:val="center"/>
              <w:rPr>
                <w:rFonts w:hint="eastAsia" w:ascii="仿宋" w:hAnsi="仿宋" w:eastAsia="仿宋" w:cs="仿宋"/>
                <w:color w:val="auto"/>
                <w:sz w:val="24"/>
                <w:highlight w:val="none"/>
                <w:lang w:val="en-US" w:eastAsia="zh-CN"/>
              </w:rPr>
            </w:pPr>
          </w:p>
        </w:tc>
      </w:tr>
      <w:tr w14:paraId="32404A2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89CAF4">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F02D04">
            <w:pPr>
              <w:spacing w:line="240" w:lineRule="auto"/>
              <w:jc w:val="center"/>
              <w:rPr>
                <w:rFonts w:hint="eastAsia" w:ascii="仿宋" w:hAnsi="仿宋" w:eastAsia="仿宋" w:cs="仿宋"/>
                <w:color w:val="auto"/>
                <w:sz w:val="24"/>
                <w:szCs w:val="24"/>
                <w:highlight w:val="none"/>
                <w:lang w:val="en-US" w:eastAsia="zh-CN"/>
              </w:rPr>
            </w:pPr>
          </w:p>
        </w:tc>
      </w:tr>
      <w:tr w14:paraId="2B83383C">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BBE2F">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349CD">
            <w:pPr>
              <w:spacing w:line="240" w:lineRule="auto"/>
              <w:jc w:val="center"/>
              <w:rPr>
                <w:rFonts w:hint="eastAsia" w:ascii="仿宋" w:hAnsi="仿宋" w:eastAsia="仿宋" w:cs="仿宋"/>
                <w:color w:val="auto"/>
                <w:sz w:val="24"/>
                <w:szCs w:val="24"/>
                <w:highlight w:val="none"/>
                <w:lang w:val="en-US" w:eastAsia="zh-CN"/>
              </w:rPr>
            </w:pPr>
          </w:p>
        </w:tc>
      </w:tr>
    </w:tbl>
    <w:p w14:paraId="213AEB31">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3EE55E1E">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二、维保期限</w:t>
      </w:r>
    </w:p>
    <w:p w14:paraId="10D9A9D5">
      <w:pPr>
        <w:pStyle w:val="24"/>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31417BF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eastAsia="zh-CN"/>
        </w:rPr>
        <w:t>三</w:t>
      </w:r>
      <w:r>
        <w:rPr>
          <w:rFonts w:hint="eastAsia" w:ascii="仿宋" w:hAnsi="仿宋" w:eastAsia="仿宋" w:cs="仿宋"/>
          <w:b/>
          <w:bCs/>
          <w:color w:val="auto"/>
          <w:spacing w:val="-6"/>
          <w:sz w:val="24"/>
          <w:szCs w:val="24"/>
          <w:highlight w:val="none"/>
        </w:rPr>
        <w:t>、双方权利和义务</w:t>
      </w:r>
    </w:p>
    <w:p w14:paraId="179C7C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0F6AD50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6F0FF4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3B94C93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09C1024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1C3BFDA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lang w:val="en-US" w:eastAsia="zh-CN"/>
        </w:rPr>
        <w:t xml:space="preserve"> </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47"/>
          <w:highlight w:val="none"/>
          <w:lang w:val="en-US" w:eastAsia="zh-CN"/>
        </w:rPr>
        <w:t xml:space="preserve">        </w:t>
      </w:r>
      <w:r>
        <w:rPr>
          <w:rFonts w:hint="eastAsia" w:ascii="仿宋" w:hAnsi="仿宋" w:eastAsia="仿宋" w:cs="仿宋"/>
          <w:color w:val="auto"/>
          <w:spacing w:val="-4"/>
          <w:highlight w:val="none"/>
        </w:rPr>
        <w:t>小时内，</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b w:val="0"/>
          <w:bCs w:val="0"/>
          <w:color w:val="auto"/>
          <w:sz w:val="24"/>
          <w:szCs w:val="24"/>
          <w:highlight w:val="none"/>
          <w:lang w:val="en-US" w:eastAsia="zh-CN"/>
        </w:rPr>
        <w:t xml:space="preserve"> 小时故障排除；如需更换配件，要求72小时内更换配件</w:t>
      </w:r>
      <w:r>
        <w:rPr>
          <w:rFonts w:hint="eastAsia" w:ascii="仿宋" w:hAnsi="仿宋" w:eastAsia="仿宋" w:cs="仿宋"/>
          <w:color w:val="auto"/>
          <w:spacing w:val="-4"/>
          <w:highlight w:val="none"/>
        </w:rPr>
        <w:t>。免费提供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rPr>
        <w:t>。</w:t>
      </w:r>
    </w:p>
    <w:p w14:paraId="55E9E7A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0FCE95E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22547F1C">
      <w:pPr>
        <w:pStyle w:val="505"/>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1A8BC4F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82338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12C00CE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4EBC728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5B3945B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2C7DC0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3"/>
          <w:highlight w:val="none"/>
          <w:lang w:eastAsia="zh-CN"/>
        </w:rPr>
        <w:t>四</w:t>
      </w:r>
      <w:r>
        <w:rPr>
          <w:rFonts w:hint="eastAsia" w:ascii="仿宋" w:hAnsi="仿宋" w:eastAsia="仿宋" w:cs="仿宋"/>
          <w:b/>
          <w:bCs/>
          <w:color w:val="auto"/>
          <w:spacing w:val="-3"/>
          <w:highlight w:val="none"/>
        </w:rPr>
        <w:t>、维保费及支付方式</w:t>
      </w:r>
    </w:p>
    <w:p w14:paraId="70B3C78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61674FF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2649F6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2A6FD6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支付至合同金额的90%</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5B18AF1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lang w:val="en-US" w:eastAsia="zh-CN"/>
        </w:rPr>
        <w:t>2</w:t>
      </w:r>
      <w:r>
        <w:rPr>
          <w:rFonts w:hint="eastAsia" w:ascii="仿宋" w:hAnsi="仿宋" w:eastAsia="仿宋" w:cs="仿宋"/>
          <w:color w:val="auto"/>
          <w:spacing w:val="-3"/>
          <w:highlight w:val="none"/>
        </w:rPr>
        <w:t>.乙方未提供符合规定要求增值税发票的，甲方有权拒绝付款并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5ED5ECD8">
      <w:pPr>
        <w:pStyle w:val="505"/>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6E1B9C5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五</w:t>
      </w:r>
      <w:r>
        <w:rPr>
          <w:rFonts w:hint="eastAsia" w:ascii="仿宋" w:hAnsi="仿宋" w:eastAsia="仿宋" w:cs="仿宋"/>
          <w:b/>
          <w:bCs/>
          <w:color w:val="auto"/>
          <w:spacing w:val="-4"/>
          <w:highlight w:val="none"/>
        </w:rPr>
        <w:t>、违约责任</w:t>
      </w:r>
    </w:p>
    <w:p w14:paraId="533C3BF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782450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76DEBAB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1B5BD0D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602AD2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六</w:t>
      </w:r>
      <w:r>
        <w:rPr>
          <w:rFonts w:hint="eastAsia" w:ascii="仿宋" w:hAnsi="仿宋" w:eastAsia="仿宋" w:cs="仿宋"/>
          <w:b/>
          <w:bCs/>
          <w:color w:val="auto"/>
          <w:spacing w:val="-4"/>
          <w:highlight w:val="none"/>
        </w:rPr>
        <w:t>、总结考核</w:t>
      </w:r>
    </w:p>
    <w:p w14:paraId="77673CC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026AFA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460548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3EE901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5BCC6F7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“廉洁协议书”</w:t>
      </w:r>
      <w:r>
        <w:rPr>
          <w:rFonts w:hint="eastAsia" w:ascii="仿宋" w:hAnsi="仿宋" w:eastAsia="仿宋" w:cs="仿宋"/>
          <w:color w:val="auto"/>
          <w:spacing w:val="-2"/>
          <w:highlight w:val="none"/>
        </w:rPr>
        <w:t>，杜绝商业贿赂。</w:t>
      </w:r>
    </w:p>
    <w:p w14:paraId="2C978DD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0D7ED3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6970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4EA7B819">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4E96A2CD">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0064BD3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4E7B329">
            <w:pPr>
              <w:pStyle w:val="3"/>
              <w:ind w:firstLine="0" w:firstLineChars="0"/>
              <w:jc w:val="left"/>
              <w:rPr>
                <w:rFonts w:hint="eastAsia" w:ascii="仿宋" w:hAnsi="仿宋" w:eastAsia="仿宋" w:cs="仿宋"/>
                <w:color w:val="auto"/>
                <w:sz w:val="24"/>
                <w:szCs w:val="24"/>
                <w:highlight w:val="none"/>
              </w:rPr>
            </w:pPr>
          </w:p>
        </w:tc>
      </w:tr>
      <w:tr w14:paraId="473B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646422C1">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148AD176">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22A84038">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A3EA6D8">
            <w:pPr>
              <w:pStyle w:val="3"/>
              <w:ind w:firstLine="0" w:firstLineChars="0"/>
              <w:jc w:val="left"/>
              <w:rPr>
                <w:rFonts w:hint="eastAsia" w:ascii="仿宋" w:hAnsi="仿宋" w:eastAsia="仿宋" w:cs="仿宋"/>
                <w:color w:val="auto"/>
                <w:kern w:val="2"/>
                <w:sz w:val="24"/>
                <w:szCs w:val="24"/>
                <w:highlight w:val="none"/>
                <w:lang w:val="en-US" w:eastAsia="zh-CN"/>
              </w:rPr>
            </w:pPr>
          </w:p>
        </w:tc>
      </w:tr>
      <w:tr w14:paraId="6F81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60A96B71">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1BB2F4DB">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4703C263">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110E729">
            <w:pPr>
              <w:pStyle w:val="3"/>
              <w:ind w:firstLine="0" w:firstLineChars="0"/>
              <w:jc w:val="left"/>
              <w:rPr>
                <w:rFonts w:hint="eastAsia" w:ascii="仿宋" w:hAnsi="仿宋" w:eastAsia="仿宋" w:cs="仿宋"/>
                <w:color w:val="auto"/>
                <w:sz w:val="24"/>
                <w:szCs w:val="24"/>
                <w:highlight w:val="none"/>
                <w:lang w:val="en-US" w:eastAsia="zh-CN"/>
              </w:rPr>
            </w:pPr>
          </w:p>
        </w:tc>
      </w:tr>
      <w:tr w14:paraId="6AAC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543A958">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4CA3AB28">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0293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5FCE1FD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14F42F1E">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1C442252">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40973A9F">
            <w:pPr>
              <w:pStyle w:val="3"/>
              <w:ind w:firstLine="0" w:firstLineChars="0"/>
              <w:rPr>
                <w:rFonts w:hint="eastAsia" w:ascii="仿宋" w:hAnsi="仿宋" w:eastAsia="仿宋" w:cs="仿宋"/>
                <w:color w:val="auto"/>
                <w:sz w:val="24"/>
                <w:szCs w:val="24"/>
                <w:highlight w:val="none"/>
                <w:lang w:val="en-US" w:eastAsia="zh-CN"/>
              </w:rPr>
            </w:pPr>
          </w:p>
        </w:tc>
      </w:tr>
      <w:tr w14:paraId="6044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4CFDB0D5">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6AE7A4B3">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0AE8E20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14373DF0">
            <w:pPr>
              <w:pStyle w:val="3"/>
              <w:ind w:firstLine="0" w:firstLineChars="0"/>
              <w:rPr>
                <w:rFonts w:hint="eastAsia" w:ascii="仿宋" w:hAnsi="仿宋" w:eastAsia="仿宋" w:cs="仿宋"/>
                <w:color w:val="auto"/>
                <w:sz w:val="24"/>
                <w:szCs w:val="24"/>
                <w:highlight w:val="none"/>
                <w:lang w:val="en-US" w:eastAsia="zh-CN"/>
              </w:rPr>
            </w:pPr>
          </w:p>
        </w:tc>
      </w:tr>
      <w:tr w14:paraId="111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61A45259">
            <w:pPr>
              <w:pStyle w:val="3"/>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7480D7AB">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5A503D5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2372B6E5">
            <w:pPr>
              <w:pStyle w:val="3"/>
              <w:ind w:firstLine="0" w:firstLineChars="0"/>
              <w:jc w:val="left"/>
              <w:rPr>
                <w:rFonts w:hint="eastAsia" w:ascii="仿宋" w:hAnsi="仿宋" w:eastAsia="仿宋" w:cs="仿宋"/>
                <w:color w:val="auto"/>
                <w:kern w:val="2"/>
                <w:sz w:val="24"/>
                <w:szCs w:val="24"/>
                <w:highlight w:val="none"/>
                <w:lang w:val="en-US" w:eastAsia="zh-CN" w:bidi="ar-SA"/>
              </w:rPr>
            </w:pPr>
          </w:p>
        </w:tc>
      </w:tr>
      <w:tr w14:paraId="6AD5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4B943C6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35B87CBB">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07FC35">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54E5CEFE">
            <w:pPr>
              <w:pStyle w:val="3"/>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2DF8A72">
      <w:pPr>
        <w:shd w:val="clear"/>
        <w:spacing w:line="360" w:lineRule="auto"/>
        <w:rPr>
          <w:rFonts w:hint="eastAsia" w:ascii="仿宋" w:hAnsi="仿宋" w:eastAsia="仿宋" w:cs="仿宋"/>
          <w:color w:val="auto"/>
          <w:sz w:val="24"/>
          <w:highlight w:val="none"/>
        </w:rPr>
      </w:pPr>
    </w:p>
    <w:p w14:paraId="22CC034E">
      <w:pP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br w:type="page"/>
      </w:r>
    </w:p>
    <w:p w14:paraId="424096DD">
      <w:pPr>
        <w:pStyle w:val="580"/>
        <w:shd w:val="clear"/>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廉洁合规相关承诺书</w:t>
      </w:r>
    </w:p>
    <w:p w14:paraId="092C739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甲方：杭州市萧山区第一人民医院  </w:t>
      </w:r>
    </w:p>
    <w:p w14:paraId="7675712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乙方：  </w:t>
      </w:r>
    </w:p>
    <w:p w14:paraId="551EDFF4">
      <w:pPr>
        <w:pStyle w:val="2"/>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1"/>
          <w:szCs w:val="21"/>
        </w:rPr>
      </w:pPr>
    </w:p>
    <w:p w14:paraId="36B33F9F">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1"/>
          <w:szCs w:val="21"/>
          <w:lang w:eastAsia="zh-CN"/>
        </w:rPr>
        <w:t>严格贯彻执行</w:t>
      </w:r>
      <w:r>
        <w:rPr>
          <w:rFonts w:hint="eastAsia" w:ascii="仿宋" w:hAnsi="仿宋" w:eastAsia="仿宋" w:cs="仿宋"/>
          <w:color w:val="auto"/>
          <w:sz w:val="21"/>
          <w:szCs w:val="21"/>
        </w:rPr>
        <w:t>《医疗机构工作人员廉洁从业九项准则》</w:t>
      </w:r>
      <w:r>
        <w:rPr>
          <w:rFonts w:hint="eastAsia" w:ascii="仿宋" w:hAnsi="仿宋" w:eastAsia="仿宋" w:cs="仿宋"/>
          <w:color w:val="auto"/>
          <w:sz w:val="21"/>
          <w:szCs w:val="21"/>
          <w:lang w:eastAsia="zh-CN"/>
        </w:rPr>
        <w:t>各项要求。</w:t>
      </w:r>
      <w:r>
        <w:rPr>
          <w:rFonts w:hint="eastAsia" w:ascii="仿宋" w:hAnsi="仿宋" w:eastAsia="仿宋" w:cs="仿宋"/>
          <w:color w:val="auto"/>
          <w:sz w:val="21"/>
          <w:szCs w:val="21"/>
        </w:rPr>
        <w:t>双方在相互信赖、平等自愿、协商一致的基础上，签署本合同，并共同遵守合同条款。</w:t>
      </w:r>
    </w:p>
    <w:p w14:paraId="4EFF967F">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一、合同目的</w:t>
      </w:r>
    </w:p>
    <w:p w14:paraId="465E2E47">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甲乙双方根据法律法规规范的相关规定，规范医疗卫生机构采购药品、医用设备、医用耗材等各类物资/服务行为，制止非法交易活动，打击商业贿赂行为，营造公平交易、诚实守信的购销环境。</w:t>
      </w:r>
    </w:p>
    <w:p w14:paraId="5517A95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二、甲方责任</w:t>
      </w:r>
    </w:p>
    <w:p w14:paraId="5AEB8D2D">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1.甲方应当严格执行购销合同验收、入库制度，对采购物资及发票进行查验，不得违反有关规定</w:t>
      </w:r>
      <w:r>
        <w:rPr>
          <w:rFonts w:hint="eastAsia" w:ascii="仿宋" w:hAnsi="仿宋" w:eastAsia="仿宋" w:cs="仿宋"/>
          <w:color w:val="auto"/>
          <w:sz w:val="21"/>
          <w:szCs w:val="21"/>
          <w:lang w:eastAsia="zh-CN"/>
        </w:rPr>
        <w:t>进行</w:t>
      </w:r>
      <w:r>
        <w:rPr>
          <w:rFonts w:hint="eastAsia" w:ascii="仿宋" w:hAnsi="仿宋" w:eastAsia="仿宋" w:cs="仿宋"/>
          <w:color w:val="auto"/>
          <w:sz w:val="21"/>
          <w:szCs w:val="21"/>
        </w:rPr>
        <w:t>合同外采购、</w:t>
      </w:r>
      <w:r>
        <w:rPr>
          <w:rFonts w:hint="eastAsia" w:ascii="仿宋" w:hAnsi="仿宋" w:eastAsia="仿宋" w:cs="仿宋"/>
          <w:color w:val="auto"/>
          <w:sz w:val="21"/>
          <w:szCs w:val="21"/>
          <w:lang w:eastAsia="zh-CN"/>
        </w:rPr>
        <w:t>违规</w:t>
      </w:r>
      <w:r>
        <w:rPr>
          <w:rFonts w:hint="eastAsia" w:ascii="仿宋" w:hAnsi="仿宋" w:eastAsia="仿宋" w:cs="仿宋"/>
          <w:color w:val="auto"/>
          <w:sz w:val="21"/>
          <w:szCs w:val="21"/>
        </w:rPr>
        <w:t xml:space="preserve">采购或从非规定渠道采购。  </w:t>
      </w:r>
    </w:p>
    <w:p w14:paraId="36F0EE23">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1"/>
          <w:szCs w:val="21"/>
          <w:lang w:eastAsia="zh-CN"/>
        </w:rPr>
        <w:t>纪检部门</w:t>
      </w:r>
      <w:r>
        <w:rPr>
          <w:rFonts w:hint="eastAsia" w:ascii="仿宋" w:hAnsi="仿宋" w:eastAsia="仿宋" w:cs="仿宋"/>
          <w:color w:val="auto"/>
          <w:sz w:val="21"/>
          <w:szCs w:val="21"/>
        </w:rPr>
        <w:t xml:space="preserve">反映情况。  </w:t>
      </w:r>
    </w:p>
    <w:p w14:paraId="6F1958BB">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3.严禁甲方工作人员利用任何途径和方式，为乙方统计用量信息</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为乙方统计提供便利。</w:t>
      </w:r>
    </w:p>
    <w:p w14:paraId="7928445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三、乙方责任</w:t>
      </w:r>
    </w:p>
    <w:p w14:paraId="439115F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1.乙方不得以回扣、宴请等方式影响甲方工作人员采购或使用物资产品的选择权，不得在物资采购活动中提供旅游，超标准支付食宿费用。  </w:t>
      </w:r>
    </w:p>
    <w:p w14:paraId="736A351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乙方指定</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，身份证号：</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作为销售代表洽谈业务。销售代表必须在工作时间到甲方指定地点联系商谈，不得到</w:t>
      </w:r>
      <w:r>
        <w:rPr>
          <w:rFonts w:hint="eastAsia" w:ascii="仿宋" w:hAnsi="仿宋" w:eastAsia="仿宋" w:cs="仿宋"/>
          <w:color w:val="auto"/>
          <w:sz w:val="21"/>
          <w:szCs w:val="21"/>
          <w:lang w:eastAsia="zh-CN"/>
        </w:rPr>
        <w:t>病区</w:t>
      </w:r>
      <w:r>
        <w:rPr>
          <w:rFonts w:hint="eastAsia" w:ascii="仿宋" w:hAnsi="仿宋" w:eastAsia="仿宋" w:cs="仿宋"/>
          <w:color w:val="auto"/>
          <w:sz w:val="21"/>
          <w:szCs w:val="21"/>
        </w:rPr>
        <w:t>、门诊、医技科室等</w:t>
      </w:r>
      <w:r>
        <w:rPr>
          <w:rFonts w:hint="eastAsia" w:ascii="仿宋" w:hAnsi="仿宋" w:eastAsia="仿宋" w:cs="仿宋"/>
          <w:color w:val="auto"/>
          <w:sz w:val="21"/>
          <w:szCs w:val="21"/>
          <w:lang w:eastAsia="zh-CN"/>
        </w:rPr>
        <w:t>区域</w:t>
      </w:r>
      <w:r>
        <w:rPr>
          <w:rFonts w:hint="eastAsia" w:ascii="仿宋" w:hAnsi="仿宋" w:eastAsia="仿宋" w:cs="仿宋"/>
          <w:color w:val="auto"/>
          <w:sz w:val="21"/>
          <w:szCs w:val="21"/>
        </w:rPr>
        <w:t>推销医药产品，不得借故到甲方相关领导、部门负责人及相关工作人员家中访谈并提供任何好处费。</w:t>
      </w:r>
    </w:p>
    <w:p w14:paraId="4F02D69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乙方如违反本合同，一经发现，甲方有权终止购销合同，并向有关</w:t>
      </w:r>
      <w:r>
        <w:rPr>
          <w:rFonts w:hint="eastAsia" w:ascii="仿宋" w:hAnsi="仿宋" w:eastAsia="仿宋" w:cs="仿宋"/>
          <w:color w:val="auto"/>
          <w:sz w:val="21"/>
          <w:szCs w:val="21"/>
          <w:lang w:eastAsia="zh-CN"/>
        </w:rPr>
        <w:t>上级</w:t>
      </w:r>
      <w:r>
        <w:rPr>
          <w:rFonts w:hint="eastAsia" w:ascii="仿宋" w:hAnsi="仿宋" w:eastAsia="仿宋" w:cs="仿宋"/>
          <w:color w:val="auto"/>
          <w:sz w:val="21"/>
          <w:szCs w:val="21"/>
        </w:rPr>
        <w:t>行政部门报告。</w:t>
      </w:r>
      <w:r>
        <w:rPr>
          <w:rFonts w:hint="eastAsia" w:ascii="仿宋" w:hAnsi="仿宋" w:eastAsia="仿宋" w:cs="仿宋"/>
          <w:color w:val="auto"/>
          <w:sz w:val="21"/>
          <w:szCs w:val="21"/>
          <w:lang w:eastAsia="zh-CN"/>
        </w:rPr>
        <w:t>甲方将严格按照</w:t>
      </w:r>
      <w:r>
        <w:rPr>
          <w:rFonts w:hint="eastAsia" w:ascii="仿宋" w:hAnsi="仿宋" w:eastAsia="仿宋" w:cs="仿宋"/>
          <w:color w:val="auto"/>
          <w:sz w:val="21"/>
          <w:szCs w:val="21"/>
        </w:rPr>
        <w:t>《中华人民共和国反不正当竞争法》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中华人民共和国药品管理法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《关于建立医药购销领域商业贿赂不良记录的规定》</w:t>
      </w:r>
      <w:r>
        <w:rPr>
          <w:rFonts w:hint="eastAsia" w:ascii="仿宋" w:hAnsi="仿宋" w:eastAsia="仿宋" w:cs="仿宋"/>
          <w:color w:val="auto"/>
          <w:sz w:val="21"/>
          <w:szCs w:val="21"/>
          <w:lang w:eastAsia="zh-CN"/>
        </w:rPr>
        <w:t>等相关法律法规相关规定处理。</w:t>
      </w:r>
    </w:p>
    <w:p w14:paraId="58F186BE">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四</w:t>
      </w:r>
      <w:r>
        <w:rPr>
          <w:rFonts w:hint="eastAsia" w:ascii="仿宋" w:hAnsi="仿宋" w:eastAsia="仿宋" w:cs="仿宋"/>
          <w:color w:val="auto"/>
          <w:sz w:val="21"/>
          <w:szCs w:val="21"/>
        </w:rPr>
        <w:t>、其他约定事项</w:t>
      </w:r>
    </w:p>
    <w:p w14:paraId="7FDF6E1A">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本合</w:t>
      </w:r>
      <w:r>
        <w:rPr>
          <w:rFonts w:hint="eastAsia" w:ascii="仿宋" w:hAnsi="仿宋" w:eastAsia="仿宋" w:cs="仿宋"/>
          <w:color w:val="auto"/>
          <w:sz w:val="21"/>
          <w:szCs w:val="21"/>
          <w:lang w:eastAsia="zh-CN"/>
        </w:rPr>
        <w:t>同作为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eastAsia="zh-CN"/>
        </w:rPr>
        <w:t>合同的附件，是其</w:t>
      </w:r>
      <w:r>
        <w:rPr>
          <w:rFonts w:hint="eastAsia" w:ascii="仿宋" w:hAnsi="仿宋" w:eastAsia="仿宋" w:cs="仿宋"/>
          <w:color w:val="auto"/>
          <w:sz w:val="21"/>
          <w:szCs w:val="21"/>
        </w:rPr>
        <w:t>重要组成</w:t>
      </w:r>
      <w:r>
        <w:rPr>
          <w:rFonts w:hint="eastAsia" w:ascii="仿宋" w:hAnsi="仿宋" w:eastAsia="仿宋" w:cs="仿宋"/>
          <w:color w:val="auto"/>
          <w:sz w:val="21"/>
          <w:szCs w:val="21"/>
          <w:lang w:eastAsia="zh-CN"/>
        </w:rPr>
        <w:t>部分</w:t>
      </w:r>
      <w:r>
        <w:rPr>
          <w:rFonts w:hint="eastAsia" w:ascii="仿宋" w:hAnsi="仿宋" w:eastAsia="仿宋" w:cs="仿宋"/>
          <w:color w:val="auto"/>
          <w:sz w:val="21"/>
          <w:szCs w:val="21"/>
        </w:rPr>
        <w:t>，与购销合同一并执行，具有同等的法律效力</w:t>
      </w:r>
      <w:r>
        <w:rPr>
          <w:rFonts w:hint="eastAsia" w:ascii="仿宋" w:hAnsi="仿宋" w:eastAsia="仿宋" w:cs="仿宋"/>
          <w:color w:val="auto"/>
          <w:sz w:val="21"/>
          <w:szCs w:val="21"/>
          <w:lang w:eastAsia="zh-CN"/>
        </w:rPr>
        <w:t>，经合同双方签署立即生效。</w:t>
      </w:r>
    </w:p>
    <w:p w14:paraId="1EFCEA2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1.本合同自双方签字盖章之日起生效，有效期至</w:t>
      </w:r>
      <w:r>
        <w:rPr>
          <w:rFonts w:hint="eastAsia" w:ascii="仿宋" w:hAnsi="仿宋" w:eastAsia="仿宋" w:cs="仿宋"/>
          <w:color w:val="auto"/>
          <w:sz w:val="21"/>
          <w:szCs w:val="21"/>
          <w:lang w:val="en-US" w:eastAsia="zh-CN"/>
        </w:rPr>
        <w:t>____</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_____</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_____</w:t>
      </w:r>
      <w:r>
        <w:rPr>
          <w:rFonts w:hint="eastAsia" w:ascii="仿宋" w:hAnsi="仿宋" w:eastAsia="仿宋" w:cs="仿宋"/>
          <w:color w:val="auto"/>
          <w:sz w:val="21"/>
          <w:szCs w:val="21"/>
        </w:rPr>
        <w:t>日。</w:t>
      </w:r>
      <w:r>
        <w:rPr>
          <w:rFonts w:hint="eastAsia" w:ascii="仿宋" w:hAnsi="仿宋" w:eastAsia="仿宋" w:cs="仿宋"/>
          <w:color w:val="auto"/>
          <w:sz w:val="21"/>
          <w:szCs w:val="21"/>
          <w:lang w:eastAsia="zh-CN"/>
        </w:rPr>
        <w:t>（时间根据购销合同实际填写）</w:t>
      </w:r>
      <w:r>
        <w:rPr>
          <w:rFonts w:hint="eastAsia" w:ascii="仿宋" w:hAnsi="仿宋" w:eastAsia="仿宋" w:cs="仿宋"/>
          <w:color w:val="auto"/>
          <w:sz w:val="21"/>
          <w:szCs w:val="21"/>
        </w:rPr>
        <w:t xml:space="preserve">  </w:t>
      </w:r>
    </w:p>
    <w:p w14:paraId="323D7E9B">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2.本合同一式三份，甲乙双方各执一份，</w:t>
      </w:r>
      <w:r>
        <w:rPr>
          <w:rFonts w:hint="eastAsia" w:ascii="仿宋" w:hAnsi="仿宋" w:eastAsia="仿宋" w:cs="仿宋"/>
          <w:color w:val="auto"/>
          <w:sz w:val="21"/>
          <w:szCs w:val="21"/>
          <w:lang w:eastAsia="zh-CN"/>
        </w:rPr>
        <w:t>甲方</w:t>
      </w:r>
      <w:r>
        <w:rPr>
          <w:rFonts w:hint="eastAsia" w:ascii="仿宋" w:hAnsi="仿宋" w:eastAsia="仿宋" w:cs="仿宋"/>
          <w:color w:val="auto"/>
          <w:sz w:val="21"/>
          <w:szCs w:val="21"/>
        </w:rPr>
        <w:t>纪检监察部门留存一份，具有同等法律效力。</w:t>
      </w:r>
    </w:p>
    <w:p w14:paraId="176C16CD">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1"/>
          <w:szCs w:val="21"/>
        </w:rPr>
      </w:pPr>
    </w:p>
    <w:p w14:paraId="2969F8E8">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甲方（盖章）：</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乙方（盖章）：</w:t>
      </w:r>
    </w:p>
    <w:p w14:paraId="1CEBC637">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法定代表人（签字）：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法定代表人（签字）：</w:t>
      </w:r>
    </w:p>
    <w:p w14:paraId="21B31890">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日期：</w:t>
      </w:r>
      <w:r>
        <w:rPr>
          <w:rFonts w:hint="eastAsia" w:ascii="仿宋" w:hAnsi="仿宋" w:eastAsia="仿宋" w:cs="仿宋"/>
          <w:color w:val="auto"/>
          <w:sz w:val="21"/>
          <w:szCs w:val="21"/>
          <w:lang w:val="en-US" w:eastAsia="zh-CN"/>
        </w:rPr>
        <w:t>_____</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___</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___</w:t>
      </w:r>
      <w:r>
        <w:rPr>
          <w:rFonts w:hint="eastAsia" w:ascii="仿宋" w:hAnsi="仿宋" w:eastAsia="仿宋" w:cs="仿宋"/>
          <w:color w:val="auto"/>
          <w:sz w:val="21"/>
          <w:szCs w:val="21"/>
        </w:rPr>
        <w:t xml:space="preserve">日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日期</w:t>
      </w:r>
      <w:r>
        <w:rPr>
          <w:rFonts w:hint="eastAsia" w:ascii="仿宋" w:hAnsi="仿宋" w:eastAsia="仿宋" w:cs="仿宋"/>
          <w:color w:val="auto"/>
          <w:sz w:val="21"/>
          <w:szCs w:val="21"/>
          <w:lang w:val="en-US" w:eastAsia="zh-CN"/>
        </w:rPr>
        <w:t>：_____</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___</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___</w:t>
      </w:r>
      <w:r>
        <w:rPr>
          <w:rFonts w:hint="eastAsia" w:ascii="仿宋" w:hAnsi="仿宋" w:eastAsia="仿宋" w:cs="仿宋"/>
          <w:color w:val="auto"/>
          <w:sz w:val="21"/>
          <w:szCs w:val="21"/>
        </w:rPr>
        <w:t xml:space="preserve">日  </w:t>
      </w:r>
    </w:p>
    <w:p w14:paraId="4C294998">
      <w:pPr>
        <w:rPr>
          <w:rFonts w:hint="eastAsia" w:ascii="仿宋" w:hAnsi="仿宋" w:eastAsia="仿宋" w:cs="仿宋"/>
          <w:color w:val="auto"/>
          <w:sz w:val="21"/>
          <w:szCs w:val="21"/>
        </w:rPr>
      </w:pPr>
    </w:p>
    <w:p w14:paraId="1BDC6500">
      <w:pPr>
        <w:rPr>
          <w:rFonts w:hint="eastAsia" w:ascii="仿宋" w:hAnsi="仿宋" w:eastAsia="仿宋" w:cs="仿宋"/>
          <w:color w:val="auto"/>
          <w:sz w:val="21"/>
          <w:szCs w:val="21"/>
        </w:rPr>
      </w:pPr>
    </w:p>
    <w:p w14:paraId="704AEC8A">
      <w:pPr>
        <w:rPr>
          <w:rFonts w:hint="eastAsia" w:ascii="仿宋" w:hAnsi="仿宋" w:eastAsia="仿宋" w:cs="仿宋"/>
          <w:color w:val="auto"/>
          <w:sz w:val="21"/>
          <w:szCs w:val="21"/>
        </w:rPr>
      </w:pPr>
    </w:p>
    <w:p w14:paraId="7CF02820">
      <w:pPr>
        <w:rPr>
          <w:rFonts w:hint="eastAsia" w:ascii="仿宋" w:hAnsi="仿宋" w:eastAsia="仿宋" w:cs="仿宋"/>
          <w:color w:val="auto"/>
          <w:sz w:val="21"/>
          <w:szCs w:val="21"/>
        </w:rPr>
      </w:pPr>
    </w:p>
    <w:p w14:paraId="226A0839">
      <w:pPr>
        <w:rPr>
          <w:rFonts w:hint="eastAsia" w:ascii="仿宋" w:hAnsi="仿宋" w:eastAsia="仿宋" w:cs="仿宋"/>
          <w:color w:val="auto"/>
          <w:sz w:val="21"/>
          <w:szCs w:val="21"/>
        </w:rPr>
      </w:pPr>
    </w:p>
    <w:p w14:paraId="7161E10C">
      <w:pPr>
        <w:rPr>
          <w:rFonts w:hint="eastAsia" w:ascii="仿宋" w:hAnsi="仿宋" w:eastAsia="仿宋" w:cs="仿宋"/>
          <w:color w:val="auto"/>
          <w:sz w:val="21"/>
          <w:szCs w:val="21"/>
        </w:rPr>
      </w:pPr>
    </w:p>
    <w:p w14:paraId="1EBDD9A4">
      <w:pPr>
        <w:rPr>
          <w:rFonts w:hint="eastAsia" w:ascii="仿宋" w:hAnsi="仿宋" w:eastAsia="仿宋" w:cs="仿宋"/>
          <w:color w:val="auto"/>
          <w:sz w:val="21"/>
          <w:szCs w:val="21"/>
        </w:rPr>
      </w:pPr>
    </w:p>
    <w:p w14:paraId="63AAAE36">
      <w:pPr>
        <w:spacing w:line="360" w:lineRule="auto"/>
        <w:ind w:left="720" w:firstLine="422" w:firstLineChars="200"/>
        <w:outlineLvl w:val="0"/>
        <w:rPr>
          <w:rFonts w:hint="eastAsia" w:ascii="仿宋" w:hAnsi="仿宋" w:eastAsia="仿宋" w:cs="仿宋"/>
          <w:b/>
          <w:color w:val="auto"/>
          <w:sz w:val="21"/>
          <w:szCs w:val="21"/>
        </w:rPr>
      </w:pPr>
    </w:p>
    <w:p w14:paraId="7301360B">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14:paraId="02B455A8">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 应提交的有关格式范例</w:t>
      </w:r>
    </w:p>
    <w:p w14:paraId="4EFC9B14">
      <w:pPr>
        <w:spacing w:line="360" w:lineRule="auto"/>
        <w:jc w:val="center"/>
        <w:outlineLvl w:val="0"/>
        <w:rPr>
          <w:rFonts w:hint="eastAsia" w:ascii="仿宋" w:hAnsi="仿宋" w:eastAsia="仿宋" w:cs="仿宋"/>
          <w:b/>
          <w:color w:val="auto"/>
          <w:kern w:val="0"/>
          <w:sz w:val="36"/>
          <w:szCs w:val="36"/>
        </w:rPr>
      </w:pPr>
    </w:p>
    <w:p w14:paraId="4B07C75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3331E45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9A2DCFE">
      <w:pPr>
        <w:spacing w:line="360" w:lineRule="auto"/>
        <w:jc w:val="center"/>
        <w:outlineLvl w:val="0"/>
        <w:rPr>
          <w:rFonts w:hint="eastAsia" w:ascii="仿宋" w:hAnsi="仿宋" w:eastAsia="仿宋" w:cs="仿宋"/>
          <w:b/>
          <w:color w:val="auto"/>
          <w:kern w:val="0"/>
          <w:sz w:val="36"/>
          <w:szCs w:val="36"/>
        </w:rPr>
      </w:pPr>
    </w:p>
    <w:p w14:paraId="0F1F078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（1）符合参加采购活动应当具备的一般条件的承诺函……………（页码）</w:t>
      </w:r>
    </w:p>
    <w:p w14:paraId="06AA97A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（2）本项目的特定资格要求………………………………………………（页码）</w:t>
      </w:r>
    </w:p>
    <w:p w14:paraId="1629AC8C">
      <w:pPr>
        <w:snapToGrid w:val="0"/>
        <w:spacing w:line="360" w:lineRule="auto"/>
        <w:ind w:firstLine="480" w:firstLineChars="200"/>
        <w:rPr>
          <w:rFonts w:hint="eastAsia" w:ascii="仿宋" w:hAnsi="仿宋" w:eastAsia="仿宋" w:cs="仿宋"/>
          <w:color w:val="auto"/>
          <w:sz w:val="24"/>
        </w:rPr>
      </w:pPr>
    </w:p>
    <w:p w14:paraId="16DE6827">
      <w:pPr>
        <w:spacing w:line="360" w:lineRule="auto"/>
        <w:ind w:firstLine="480" w:firstLineChars="200"/>
        <w:rPr>
          <w:rFonts w:hint="eastAsia" w:ascii="仿宋" w:hAnsi="仿宋" w:eastAsia="仿宋" w:cs="仿宋"/>
          <w:color w:val="auto"/>
          <w:sz w:val="24"/>
        </w:rPr>
      </w:pPr>
    </w:p>
    <w:p w14:paraId="28C7DFF0">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符合参加采购活动应当具备的一般条件的承诺函</w:t>
      </w:r>
    </w:p>
    <w:p w14:paraId="5467C918">
      <w:pPr>
        <w:snapToGrid w:val="0"/>
        <w:spacing w:line="360" w:lineRule="auto"/>
        <w:rPr>
          <w:rFonts w:hint="eastAsia" w:ascii="仿宋" w:hAnsi="仿宋" w:eastAsia="仿宋" w:cs="仿宋"/>
          <w:color w:val="auto"/>
          <w:sz w:val="24"/>
        </w:rPr>
      </w:pPr>
    </w:p>
    <w:p w14:paraId="52527C58">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（交易发起人）、（采购代理机构）：</w:t>
      </w:r>
    </w:p>
    <w:p w14:paraId="0BFFFF7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采购活动，郑重承诺：</w:t>
      </w:r>
    </w:p>
    <w:p w14:paraId="2641873C">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（一）具备以下条件：</w:t>
      </w:r>
    </w:p>
    <w:p w14:paraId="7287B37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7C371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A3F324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3DB720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9A4ED3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5F3E5A7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513B8D64">
      <w:pPr>
        <w:snapToGrid w:val="0"/>
        <w:spacing w:line="360" w:lineRule="auto"/>
        <w:ind w:firstLine="5520" w:firstLineChars="2300"/>
        <w:rPr>
          <w:rFonts w:hint="eastAsia" w:ascii="仿宋" w:hAnsi="仿宋" w:eastAsia="仿宋" w:cs="仿宋"/>
          <w:color w:val="auto"/>
          <w:kern w:val="0"/>
          <w:sz w:val="24"/>
          <w:lang w:val="zh-CN"/>
        </w:rPr>
      </w:pPr>
    </w:p>
    <w:p w14:paraId="20EF8214">
      <w:pPr>
        <w:snapToGrid w:val="0"/>
        <w:spacing w:line="360" w:lineRule="auto"/>
        <w:ind w:firstLine="5520" w:firstLineChars="2300"/>
        <w:rPr>
          <w:rFonts w:hint="eastAsia" w:ascii="仿宋" w:hAnsi="仿宋" w:eastAsia="仿宋" w:cs="仿宋"/>
          <w:color w:val="auto"/>
          <w:kern w:val="0"/>
          <w:sz w:val="24"/>
          <w:lang w:val="zh-CN"/>
        </w:rPr>
      </w:pPr>
    </w:p>
    <w:p w14:paraId="635C2F6F">
      <w:pPr>
        <w:snapToGrid w:val="0"/>
        <w:spacing w:line="360" w:lineRule="auto"/>
        <w:ind w:firstLine="5520" w:firstLineChars="2300"/>
        <w:rPr>
          <w:rFonts w:hint="eastAsia" w:ascii="仿宋" w:hAnsi="仿宋" w:eastAsia="仿宋" w:cs="仿宋"/>
          <w:color w:val="auto"/>
          <w:kern w:val="0"/>
          <w:sz w:val="24"/>
          <w:lang w:val="zh-CN"/>
        </w:rPr>
      </w:pPr>
    </w:p>
    <w:p w14:paraId="456295E4">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7EA29C3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EE52F96">
      <w:pPr>
        <w:snapToGrid w:val="0"/>
        <w:spacing w:line="360" w:lineRule="auto"/>
        <w:ind w:right="480"/>
        <w:jc w:val="center"/>
        <w:rPr>
          <w:rFonts w:hint="eastAsia" w:ascii="仿宋" w:hAnsi="仿宋" w:eastAsia="仿宋" w:cs="仿宋"/>
          <w:b/>
          <w:color w:val="auto"/>
          <w:kern w:val="0"/>
          <w:sz w:val="32"/>
          <w:szCs w:val="32"/>
        </w:rPr>
      </w:pPr>
    </w:p>
    <w:p w14:paraId="5F3AC914">
      <w:pPr>
        <w:snapToGrid w:val="0"/>
        <w:spacing w:line="360" w:lineRule="auto"/>
        <w:ind w:right="480"/>
        <w:jc w:val="center"/>
        <w:rPr>
          <w:rFonts w:hint="eastAsia" w:ascii="仿宋" w:hAnsi="仿宋" w:eastAsia="仿宋" w:cs="仿宋"/>
          <w:b/>
          <w:color w:val="auto"/>
          <w:kern w:val="0"/>
          <w:sz w:val="32"/>
          <w:szCs w:val="32"/>
        </w:rPr>
      </w:pPr>
    </w:p>
    <w:p w14:paraId="0542B57A">
      <w:pPr>
        <w:snapToGrid w:val="0"/>
        <w:spacing w:line="360" w:lineRule="auto"/>
        <w:ind w:right="480"/>
        <w:jc w:val="center"/>
        <w:rPr>
          <w:rFonts w:hint="eastAsia" w:ascii="仿宋" w:hAnsi="仿宋" w:eastAsia="仿宋" w:cs="仿宋"/>
          <w:b/>
          <w:color w:val="auto"/>
          <w:kern w:val="0"/>
          <w:sz w:val="32"/>
          <w:szCs w:val="32"/>
        </w:rPr>
      </w:pPr>
    </w:p>
    <w:p w14:paraId="7E44DB0C">
      <w:pPr>
        <w:rPr>
          <w:rFonts w:hint="eastAsia" w:ascii="仿宋" w:hAnsi="仿宋" w:eastAsia="仿宋" w:cs="仿宋"/>
          <w:color w:val="auto"/>
        </w:rPr>
      </w:pPr>
    </w:p>
    <w:p w14:paraId="5FF92E8C">
      <w:pPr>
        <w:rPr>
          <w:rFonts w:hint="eastAsia" w:ascii="仿宋" w:hAnsi="仿宋" w:eastAsia="仿宋" w:cs="仿宋"/>
          <w:b/>
          <w:color w:val="auto"/>
          <w:kern w:val="0"/>
          <w:sz w:val="32"/>
          <w:szCs w:val="32"/>
        </w:rPr>
      </w:pPr>
    </w:p>
    <w:p w14:paraId="24D39179">
      <w:pPr>
        <w:widowControl/>
        <w:spacing w:line="360" w:lineRule="auto"/>
        <w:ind w:left="150"/>
        <w:jc w:val="center"/>
        <w:rPr>
          <w:rFonts w:hint="eastAsia" w:ascii="仿宋" w:hAnsi="仿宋" w:eastAsia="仿宋" w:cs="仿宋"/>
          <w:b/>
          <w:color w:val="auto"/>
          <w:kern w:val="0"/>
          <w:sz w:val="32"/>
          <w:szCs w:val="32"/>
        </w:rPr>
      </w:pPr>
    </w:p>
    <w:p w14:paraId="07FBA2D6">
      <w:pPr>
        <w:widowControl/>
        <w:spacing w:line="360" w:lineRule="auto"/>
        <w:ind w:left="150"/>
        <w:jc w:val="center"/>
        <w:rPr>
          <w:rFonts w:hint="eastAsia" w:ascii="仿宋" w:hAnsi="仿宋" w:eastAsia="仿宋" w:cs="仿宋"/>
          <w:b/>
          <w:color w:val="auto"/>
          <w:kern w:val="0"/>
          <w:sz w:val="32"/>
          <w:szCs w:val="32"/>
        </w:rPr>
      </w:pPr>
    </w:p>
    <w:p w14:paraId="11F871B2">
      <w:pPr>
        <w:widowControl/>
        <w:spacing w:line="360" w:lineRule="auto"/>
        <w:ind w:left="150"/>
        <w:jc w:val="center"/>
        <w:rPr>
          <w:rFonts w:hint="eastAsia" w:ascii="仿宋" w:hAnsi="仿宋" w:eastAsia="仿宋" w:cs="仿宋"/>
          <w:b/>
          <w:color w:val="auto"/>
          <w:kern w:val="0"/>
          <w:sz w:val="32"/>
          <w:szCs w:val="32"/>
        </w:rPr>
      </w:pPr>
    </w:p>
    <w:p w14:paraId="7B6F75C9">
      <w:pPr>
        <w:widowControl/>
        <w:spacing w:line="360" w:lineRule="auto"/>
        <w:ind w:left="150"/>
        <w:jc w:val="center"/>
        <w:rPr>
          <w:rFonts w:hint="eastAsia" w:ascii="仿宋" w:hAnsi="仿宋" w:eastAsia="仿宋" w:cs="仿宋"/>
          <w:b/>
          <w:color w:val="auto"/>
          <w:kern w:val="0"/>
          <w:sz w:val="32"/>
          <w:szCs w:val="32"/>
        </w:rPr>
      </w:pPr>
    </w:p>
    <w:p w14:paraId="1DC719F0">
      <w:pPr>
        <w:widowControl/>
        <w:spacing w:line="360" w:lineRule="auto"/>
        <w:ind w:left="150"/>
        <w:jc w:val="center"/>
        <w:rPr>
          <w:rFonts w:hint="eastAsia" w:ascii="仿宋" w:hAnsi="仿宋" w:eastAsia="仿宋" w:cs="仿宋"/>
          <w:b/>
          <w:color w:val="auto"/>
          <w:kern w:val="0"/>
          <w:sz w:val="32"/>
          <w:szCs w:val="32"/>
        </w:rPr>
      </w:pPr>
    </w:p>
    <w:p w14:paraId="66612301">
      <w:pPr>
        <w:widowControl/>
        <w:spacing w:line="360" w:lineRule="auto"/>
        <w:ind w:left="150"/>
        <w:jc w:val="center"/>
        <w:rPr>
          <w:rFonts w:hint="eastAsia" w:ascii="仿宋" w:hAnsi="仿宋" w:eastAsia="仿宋" w:cs="仿宋"/>
          <w:b/>
          <w:color w:val="auto"/>
          <w:kern w:val="0"/>
          <w:sz w:val="32"/>
          <w:szCs w:val="32"/>
        </w:rPr>
      </w:pPr>
    </w:p>
    <w:p w14:paraId="1DCD97FA">
      <w:pPr>
        <w:widowControl/>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二、本项目的特定资格要求</w:t>
      </w:r>
    </w:p>
    <w:p w14:paraId="1F7F4F8C">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国家市场监督管理总局颁发的特种设备生产许可证（压力容器制造（含氧舱A5））</w:t>
      </w:r>
    </w:p>
    <w:p w14:paraId="1CCA2899">
      <w:pPr>
        <w:widowControl/>
        <w:spacing w:line="360" w:lineRule="auto"/>
        <w:ind w:left="150"/>
        <w:jc w:val="center"/>
        <w:rPr>
          <w:rFonts w:hint="eastAsia" w:ascii="仿宋" w:hAnsi="仿宋" w:eastAsia="仿宋" w:cs="仿宋"/>
          <w:b/>
          <w:color w:val="auto"/>
          <w:kern w:val="0"/>
          <w:sz w:val="32"/>
          <w:szCs w:val="32"/>
        </w:rPr>
      </w:pPr>
    </w:p>
    <w:p w14:paraId="14E854C7">
      <w:pPr>
        <w:rPr>
          <w:rFonts w:hint="eastAsia" w:ascii="仿宋" w:hAnsi="仿宋" w:eastAsia="仿宋" w:cs="仿宋"/>
          <w:color w:val="auto"/>
        </w:rPr>
      </w:pPr>
    </w:p>
    <w:p w14:paraId="78DB00DC">
      <w:pPr>
        <w:snapToGrid w:val="0"/>
        <w:spacing w:line="360" w:lineRule="auto"/>
        <w:ind w:right="480"/>
        <w:jc w:val="center"/>
        <w:rPr>
          <w:rFonts w:hint="eastAsia" w:ascii="仿宋" w:hAnsi="仿宋" w:eastAsia="仿宋" w:cs="仿宋"/>
          <w:b/>
          <w:color w:val="auto"/>
          <w:kern w:val="0"/>
          <w:sz w:val="32"/>
          <w:szCs w:val="32"/>
        </w:rPr>
      </w:pPr>
    </w:p>
    <w:p w14:paraId="10A93A7F">
      <w:pPr>
        <w:snapToGrid w:val="0"/>
        <w:spacing w:line="360" w:lineRule="auto"/>
        <w:ind w:right="480"/>
        <w:jc w:val="center"/>
        <w:rPr>
          <w:rFonts w:hint="eastAsia" w:ascii="仿宋" w:hAnsi="仿宋" w:eastAsia="仿宋" w:cs="仿宋"/>
          <w:b/>
          <w:color w:val="auto"/>
          <w:kern w:val="0"/>
          <w:sz w:val="32"/>
          <w:szCs w:val="32"/>
        </w:rPr>
      </w:pPr>
    </w:p>
    <w:p w14:paraId="37CB8B31">
      <w:pPr>
        <w:snapToGrid w:val="0"/>
        <w:spacing w:line="360" w:lineRule="auto"/>
        <w:ind w:right="480"/>
        <w:jc w:val="center"/>
        <w:rPr>
          <w:rFonts w:hint="eastAsia" w:ascii="仿宋" w:hAnsi="仿宋" w:eastAsia="仿宋" w:cs="仿宋"/>
          <w:b/>
          <w:color w:val="auto"/>
          <w:kern w:val="0"/>
          <w:sz w:val="32"/>
          <w:szCs w:val="32"/>
        </w:rPr>
      </w:pPr>
    </w:p>
    <w:p w14:paraId="17A0A9A4">
      <w:pPr>
        <w:snapToGrid w:val="0"/>
        <w:spacing w:line="360" w:lineRule="auto"/>
        <w:ind w:right="480"/>
        <w:jc w:val="center"/>
        <w:rPr>
          <w:rFonts w:hint="eastAsia" w:ascii="仿宋" w:hAnsi="仿宋" w:eastAsia="仿宋" w:cs="仿宋"/>
          <w:b/>
          <w:color w:val="auto"/>
          <w:kern w:val="0"/>
          <w:sz w:val="32"/>
          <w:szCs w:val="32"/>
        </w:rPr>
      </w:pPr>
    </w:p>
    <w:p w14:paraId="30B0C75F">
      <w:pPr>
        <w:snapToGrid w:val="0"/>
        <w:spacing w:line="360" w:lineRule="auto"/>
        <w:ind w:right="480"/>
        <w:jc w:val="center"/>
        <w:rPr>
          <w:rFonts w:hint="eastAsia" w:ascii="仿宋" w:hAnsi="仿宋" w:eastAsia="仿宋" w:cs="仿宋"/>
          <w:b/>
          <w:color w:val="auto"/>
          <w:kern w:val="0"/>
          <w:sz w:val="32"/>
          <w:szCs w:val="32"/>
        </w:rPr>
      </w:pPr>
    </w:p>
    <w:p w14:paraId="3C68F5FF">
      <w:pPr>
        <w:snapToGrid w:val="0"/>
        <w:spacing w:line="360" w:lineRule="auto"/>
        <w:ind w:right="480"/>
        <w:jc w:val="center"/>
        <w:rPr>
          <w:rFonts w:hint="eastAsia" w:ascii="仿宋" w:hAnsi="仿宋" w:eastAsia="仿宋" w:cs="仿宋"/>
          <w:b/>
          <w:color w:val="auto"/>
          <w:kern w:val="0"/>
          <w:sz w:val="32"/>
          <w:szCs w:val="32"/>
        </w:rPr>
      </w:pPr>
    </w:p>
    <w:p w14:paraId="5923306C">
      <w:pPr>
        <w:spacing w:line="360" w:lineRule="auto"/>
        <w:jc w:val="center"/>
        <w:outlineLvl w:val="0"/>
        <w:rPr>
          <w:rFonts w:hint="eastAsia" w:ascii="仿宋" w:hAnsi="仿宋" w:eastAsia="仿宋" w:cs="仿宋"/>
          <w:b/>
          <w:color w:val="auto"/>
          <w:kern w:val="0"/>
          <w:sz w:val="36"/>
          <w:szCs w:val="36"/>
        </w:rPr>
      </w:pPr>
    </w:p>
    <w:p w14:paraId="1214371B">
      <w:pPr>
        <w:snapToGrid w:val="0"/>
        <w:spacing w:line="360" w:lineRule="auto"/>
        <w:ind w:right="480"/>
        <w:jc w:val="center"/>
        <w:rPr>
          <w:rFonts w:hint="eastAsia" w:ascii="仿宋" w:hAnsi="仿宋" w:eastAsia="仿宋" w:cs="仿宋"/>
          <w:b/>
          <w:color w:val="auto"/>
          <w:kern w:val="0"/>
          <w:sz w:val="32"/>
          <w:szCs w:val="32"/>
        </w:rPr>
      </w:pPr>
    </w:p>
    <w:p w14:paraId="52F0CCD2">
      <w:pPr>
        <w:spacing w:line="360" w:lineRule="auto"/>
        <w:jc w:val="center"/>
        <w:outlineLvl w:val="0"/>
        <w:rPr>
          <w:rFonts w:hint="eastAsia" w:ascii="仿宋" w:hAnsi="仿宋" w:eastAsia="仿宋" w:cs="仿宋"/>
          <w:b/>
          <w:color w:val="auto"/>
          <w:kern w:val="0"/>
          <w:sz w:val="36"/>
          <w:szCs w:val="36"/>
        </w:rPr>
      </w:pPr>
    </w:p>
    <w:p w14:paraId="06B6663E">
      <w:pPr>
        <w:snapToGrid w:val="0"/>
        <w:spacing w:line="360" w:lineRule="auto"/>
        <w:ind w:right="480"/>
        <w:jc w:val="center"/>
        <w:rPr>
          <w:rFonts w:hint="eastAsia" w:ascii="仿宋" w:hAnsi="仿宋" w:eastAsia="仿宋" w:cs="仿宋"/>
          <w:b/>
          <w:color w:val="auto"/>
          <w:kern w:val="0"/>
          <w:sz w:val="32"/>
          <w:szCs w:val="32"/>
        </w:rPr>
      </w:pPr>
    </w:p>
    <w:p w14:paraId="5A359A71">
      <w:pPr>
        <w:spacing w:line="360" w:lineRule="auto"/>
        <w:jc w:val="center"/>
        <w:outlineLvl w:val="0"/>
        <w:rPr>
          <w:rFonts w:hint="eastAsia" w:ascii="仿宋" w:hAnsi="仿宋" w:eastAsia="仿宋" w:cs="仿宋"/>
          <w:b/>
          <w:color w:val="auto"/>
          <w:kern w:val="0"/>
          <w:sz w:val="36"/>
          <w:szCs w:val="36"/>
        </w:rPr>
      </w:pPr>
    </w:p>
    <w:p w14:paraId="47683453">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6C0A1CB">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60AB72B2">
      <w:pPr>
        <w:spacing w:line="360" w:lineRule="auto"/>
        <w:jc w:val="center"/>
        <w:outlineLvl w:val="0"/>
        <w:rPr>
          <w:rFonts w:hint="eastAsia" w:ascii="仿宋" w:hAnsi="仿宋" w:eastAsia="仿宋" w:cs="仿宋"/>
          <w:b/>
          <w:color w:val="auto"/>
          <w:kern w:val="0"/>
          <w:sz w:val="24"/>
        </w:rPr>
      </w:pPr>
    </w:p>
    <w:p w14:paraId="7E79563C">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0FE925EF">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（1）交易函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45F265C2">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（3）符合性审查资料</w:t>
      </w:r>
      <w:r>
        <w:rPr>
          <w:rFonts w:hint="eastAsia" w:ascii="仿宋" w:hAnsi="仿宋" w:eastAsia="仿宋" w:cs="仿宋"/>
          <w:color w:val="auto"/>
        </w:rPr>
        <w:t>………………………………………………………………………（页码）</w:t>
      </w:r>
    </w:p>
    <w:p w14:paraId="2E1158A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06CD5B27">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（5）响应标的清单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70E72E98">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（6）商务技术偏离表</w:t>
      </w:r>
      <w:r>
        <w:rPr>
          <w:rFonts w:hint="eastAsia" w:ascii="仿宋" w:hAnsi="仿宋" w:eastAsia="仿宋" w:cs="仿宋"/>
          <w:color w:val="auto"/>
        </w:rPr>
        <w:t>………………………………………………………………………（页码）</w:t>
      </w:r>
    </w:p>
    <w:p w14:paraId="791F4191">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采购投标人廉洁自律承诺书</w:t>
      </w:r>
      <w:r>
        <w:rPr>
          <w:rFonts w:hint="eastAsia" w:ascii="仿宋" w:hAnsi="仿宋" w:eastAsia="仿宋" w:cs="仿宋"/>
          <w:color w:val="auto"/>
        </w:rPr>
        <w:t>…………………………………………………（页码）</w:t>
      </w:r>
    </w:p>
    <w:p w14:paraId="71C129A5">
      <w:pPr>
        <w:snapToGrid w:val="0"/>
        <w:spacing w:line="360" w:lineRule="auto"/>
        <w:jc w:val="center"/>
        <w:rPr>
          <w:rFonts w:hint="eastAsia" w:ascii="仿宋" w:hAnsi="仿宋" w:eastAsia="仿宋" w:cs="仿宋"/>
          <w:b/>
          <w:color w:val="auto"/>
          <w:kern w:val="0"/>
          <w:sz w:val="32"/>
          <w:szCs w:val="32"/>
          <w:lang w:val="zh-CN"/>
        </w:rPr>
      </w:pPr>
    </w:p>
    <w:p w14:paraId="65D163E7">
      <w:pPr>
        <w:snapToGrid w:val="0"/>
        <w:spacing w:line="360" w:lineRule="auto"/>
        <w:jc w:val="center"/>
        <w:rPr>
          <w:rFonts w:hint="eastAsia" w:ascii="仿宋" w:hAnsi="仿宋" w:eastAsia="仿宋" w:cs="仿宋"/>
          <w:b/>
          <w:color w:val="auto"/>
          <w:kern w:val="0"/>
          <w:sz w:val="32"/>
          <w:szCs w:val="32"/>
          <w:lang w:val="zh-CN"/>
        </w:rPr>
      </w:pPr>
    </w:p>
    <w:p w14:paraId="2CF89196">
      <w:pPr>
        <w:snapToGrid w:val="0"/>
        <w:spacing w:line="360" w:lineRule="auto"/>
        <w:jc w:val="center"/>
        <w:rPr>
          <w:rFonts w:hint="eastAsia" w:ascii="仿宋" w:hAnsi="仿宋" w:eastAsia="仿宋" w:cs="仿宋"/>
          <w:b/>
          <w:color w:val="auto"/>
          <w:kern w:val="0"/>
          <w:sz w:val="32"/>
          <w:szCs w:val="32"/>
          <w:lang w:val="zh-CN"/>
        </w:rPr>
      </w:pPr>
    </w:p>
    <w:p w14:paraId="1BC00647">
      <w:pPr>
        <w:snapToGrid w:val="0"/>
        <w:spacing w:line="360" w:lineRule="auto"/>
        <w:jc w:val="center"/>
        <w:rPr>
          <w:rFonts w:hint="eastAsia" w:ascii="仿宋" w:hAnsi="仿宋" w:eastAsia="仿宋" w:cs="仿宋"/>
          <w:b/>
          <w:color w:val="auto"/>
          <w:kern w:val="0"/>
          <w:sz w:val="32"/>
          <w:szCs w:val="32"/>
          <w:lang w:val="zh-CN"/>
        </w:rPr>
      </w:pPr>
    </w:p>
    <w:p w14:paraId="5E81F918">
      <w:pPr>
        <w:snapToGrid w:val="0"/>
        <w:spacing w:line="360" w:lineRule="auto"/>
        <w:jc w:val="center"/>
        <w:rPr>
          <w:rFonts w:hint="eastAsia" w:ascii="仿宋" w:hAnsi="仿宋" w:eastAsia="仿宋" w:cs="仿宋"/>
          <w:b/>
          <w:color w:val="auto"/>
          <w:kern w:val="0"/>
          <w:sz w:val="32"/>
          <w:szCs w:val="32"/>
          <w:lang w:val="zh-CN"/>
        </w:rPr>
      </w:pPr>
    </w:p>
    <w:p w14:paraId="4AACDEC7">
      <w:pPr>
        <w:snapToGrid w:val="0"/>
        <w:spacing w:line="360" w:lineRule="auto"/>
        <w:jc w:val="center"/>
        <w:outlineLvl w:val="0"/>
        <w:rPr>
          <w:rFonts w:hint="eastAsia" w:ascii="仿宋" w:hAnsi="仿宋" w:eastAsia="仿宋" w:cs="仿宋"/>
          <w:b/>
          <w:color w:val="auto"/>
          <w:kern w:val="0"/>
          <w:sz w:val="32"/>
          <w:szCs w:val="32"/>
        </w:rPr>
      </w:pPr>
    </w:p>
    <w:p w14:paraId="66DCBC03">
      <w:pPr>
        <w:snapToGrid w:val="0"/>
        <w:spacing w:line="360" w:lineRule="auto"/>
        <w:jc w:val="center"/>
        <w:outlineLvl w:val="0"/>
        <w:rPr>
          <w:rFonts w:hint="eastAsia" w:ascii="仿宋" w:hAnsi="仿宋" w:eastAsia="仿宋" w:cs="仿宋"/>
          <w:b/>
          <w:color w:val="auto"/>
          <w:kern w:val="0"/>
          <w:sz w:val="32"/>
          <w:szCs w:val="32"/>
        </w:rPr>
      </w:pPr>
    </w:p>
    <w:p w14:paraId="174ADB0F">
      <w:pPr>
        <w:rPr>
          <w:rFonts w:hint="eastAsia" w:ascii="仿宋" w:hAnsi="仿宋" w:eastAsia="仿宋" w:cs="仿宋"/>
          <w:color w:val="auto"/>
        </w:rPr>
      </w:pPr>
    </w:p>
    <w:p w14:paraId="55642057">
      <w:pPr>
        <w:snapToGrid w:val="0"/>
        <w:spacing w:line="360" w:lineRule="auto"/>
        <w:outlineLvl w:val="0"/>
        <w:rPr>
          <w:rFonts w:hint="eastAsia" w:ascii="仿宋" w:hAnsi="仿宋" w:eastAsia="仿宋" w:cs="仿宋"/>
          <w:b/>
          <w:color w:val="auto"/>
          <w:kern w:val="0"/>
          <w:sz w:val="32"/>
          <w:szCs w:val="32"/>
        </w:rPr>
      </w:pPr>
    </w:p>
    <w:p w14:paraId="1BF64699">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0BA39CC">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一、交易函</w:t>
      </w:r>
    </w:p>
    <w:p w14:paraId="193D4CE6">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（交易发起人）、（采购代理机构）：</w:t>
      </w:r>
    </w:p>
    <w:p w14:paraId="18F902D0">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招标的有关活动，并对此项目进行投标。为此：</w:t>
      </w:r>
    </w:p>
    <w:p w14:paraId="7E0382CB">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1、我方承诺交易有效期从提交响应文件的截止之日起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本响应文件在交易有效期满之前均具有约束力。</w:t>
      </w:r>
    </w:p>
    <w:p w14:paraId="79A05EB8">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53B4FF20">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2496AEE">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2C352F6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2.1.2本项目的特定资格要求（如果有）。</w:t>
      </w:r>
    </w:p>
    <w:p w14:paraId="37045DE1">
      <w:pPr>
        <w:snapToGrid w:val="0"/>
        <w:spacing w:line="44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2791390A">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2.2.1交易函；</w:t>
      </w:r>
      <w:r>
        <w:rPr>
          <w:rFonts w:hint="eastAsia" w:ascii="仿宋" w:hAnsi="仿宋" w:eastAsia="仿宋" w:cs="仿宋"/>
          <w:color w:val="auto"/>
          <w:sz w:val="24"/>
          <w:lang w:val="zh-CN"/>
        </w:rPr>
        <w:t xml:space="preserve"> </w:t>
      </w:r>
    </w:p>
    <w:p w14:paraId="10328B9D">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D8040F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2.2.3符合性审查资料；</w:t>
      </w:r>
    </w:p>
    <w:p w14:paraId="2DE70A5C">
      <w:pPr>
        <w:snapToGrid w:val="0"/>
        <w:spacing w:line="440" w:lineRule="exact"/>
        <w:ind w:left="420" w:leftChars="200" w:firstLine="480" w:firstLineChars="200"/>
        <w:rPr>
          <w:rFonts w:hint="eastAsia" w:ascii="仿宋" w:hAnsi="仿宋" w:eastAsia="仿宋" w:cs="仿宋"/>
          <w:color w:val="auto"/>
        </w:rPr>
      </w:pPr>
      <w:r>
        <w:rPr>
          <w:rFonts w:hint="eastAsia" w:ascii="仿宋" w:hAnsi="仿宋" w:eastAsia="仿宋" w:cs="仿宋"/>
          <w:color w:val="auto"/>
          <w:sz w:val="24"/>
        </w:rPr>
        <w:t>2.2.4评标标准相应的商务技术资料；</w:t>
      </w:r>
    </w:p>
    <w:p w14:paraId="26F7ECE1">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2.2.5响应标的清单；</w:t>
      </w:r>
    </w:p>
    <w:p w14:paraId="3148C972">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14:paraId="28268E8F">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w:t>
      </w:r>
      <w:r>
        <w:rPr>
          <w:rFonts w:hint="eastAsia" w:ascii="仿宋" w:hAnsi="仿宋" w:eastAsia="仿宋" w:cs="仿宋"/>
          <w:color w:val="auto"/>
          <w:sz w:val="24"/>
          <w:lang w:val="zh-CN"/>
        </w:rPr>
        <w:t>采购投标人廉洁自律承诺书</w:t>
      </w:r>
    </w:p>
    <w:p w14:paraId="48060940">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2B36BD4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2.3.1交易一览表（报价表）；</w:t>
      </w:r>
    </w:p>
    <w:p w14:paraId="59A96DD5">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1437B7F4">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38EFC0C6">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66AEF94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2D5333E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4.3按照交易文件要求提交履约保证金； </w:t>
      </w:r>
    </w:p>
    <w:p w14:paraId="6C2189D1">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1D9EC4F5">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833929E">
      <w:pPr>
        <w:spacing w:line="44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lang w:eastAsia="zh-CN"/>
        </w:rPr>
        <w:t>投标人</w:t>
      </w:r>
      <w:r>
        <w:rPr>
          <w:rFonts w:hint="eastAsia" w:ascii="仿宋" w:hAnsi="仿宋" w:eastAsia="仿宋" w:cs="仿宋"/>
          <w:color w:val="auto"/>
          <w:sz w:val="24"/>
        </w:rPr>
        <w:t xml:space="preserve">名称（电子签名）：                          </w:t>
      </w:r>
    </w:p>
    <w:p w14:paraId="4035708A">
      <w:pPr>
        <w:spacing w:line="440" w:lineRule="exact"/>
        <w:jc w:val="center"/>
        <w:rPr>
          <w:rFonts w:hint="eastAsia" w:ascii="仿宋" w:hAnsi="仿宋" w:eastAsia="仿宋" w:cs="仿宋"/>
          <w:color w:val="auto"/>
          <w:kern w:val="0"/>
          <w:sz w:val="24"/>
          <w:u w:val="single"/>
        </w:rPr>
      </w:pPr>
      <w:r>
        <w:rPr>
          <w:rFonts w:hint="eastAsia" w:ascii="仿宋" w:hAnsi="仿宋" w:eastAsia="仿宋" w:cs="仿宋"/>
          <w:color w:val="auto"/>
          <w:sz w:val="24"/>
        </w:rPr>
        <w:t xml:space="preserve">     日期：  年   月   日</w:t>
      </w:r>
    </w:p>
    <w:p w14:paraId="0B01AA7E">
      <w:pPr>
        <w:rPr>
          <w:rFonts w:hint="eastAsia" w:ascii="仿宋" w:hAnsi="仿宋" w:eastAsia="仿宋" w:cs="仿宋"/>
          <w:b/>
          <w:color w:val="auto"/>
          <w:kern w:val="0"/>
          <w:sz w:val="32"/>
          <w:szCs w:val="32"/>
        </w:rPr>
      </w:pPr>
      <w:r>
        <w:rPr>
          <w:rFonts w:hint="eastAsia" w:ascii="仿宋" w:hAnsi="仿宋" w:eastAsia="仿宋" w:cs="仿宋"/>
          <w:color w:val="auto"/>
          <w:sz w:val="24"/>
        </w:rPr>
        <w:t>注：按本格式和要求提供。</w:t>
      </w:r>
    </w:p>
    <w:p w14:paraId="0469DA36">
      <w:pPr>
        <w:jc w:val="center"/>
        <w:rPr>
          <w:rFonts w:hint="eastAsia" w:ascii="仿宋" w:hAnsi="仿宋" w:eastAsia="仿宋" w:cs="仿宋"/>
          <w:b/>
          <w:color w:val="auto"/>
          <w:kern w:val="0"/>
          <w:sz w:val="32"/>
          <w:szCs w:val="32"/>
        </w:rPr>
      </w:pPr>
    </w:p>
    <w:p w14:paraId="4A49B47F">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778C1C6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256BFC03">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r>
        <w:rPr>
          <w:rFonts w:hint="eastAsia" w:ascii="仿宋" w:hAnsi="仿宋" w:eastAsia="仿宋" w:cs="仿宋"/>
          <w:color w:val="auto"/>
        </w:rPr>
        <w:t xml:space="preserve">                               </w:t>
      </w:r>
    </w:p>
    <w:p w14:paraId="346C515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（交易发起人）、（采购代理机构）</w:t>
      </w:r>
      <w:r>
        <w:rPr>
          <w:rFonts w:hint="eastAsia" w:ascii="仿宋" w:hAnsi="仿宋" w:eastAsia="仿宋" w:cs="仿宋"/>
          <w:color w:val="auto"/>
          <w:kern w:val="0"/>
          <w:sz w:val="24"/>
          <w:lang w:val="zh-CN"/>
        </w:rPr>
        <w:t>：</w:t>
      </w:r>
    </w:p>
    <w:p w14:paraId="55FEA69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（项目名称）【交易编号：（采购编号）】</w:t>
      </w:r>
      <w:r>
        <w:rPr>
          <w:rFonts w:hint="eastAsia" w:ascii="仿宋" w:hAnsi="仿宋" w:eastAsia="仿宋" w:cs="仿宋"/>
          <w:color w:val="auto"/>
          <w:kern w:val="0"/>
          <w:sz w:val="24"/>
          <w:lang w:val="zh-CN"/>
        </w:rPr>
        <w:t>采购投标的一切事项，其法律后果由我方承担。</w:t>
      </w:r>
    </w:p>
    <w:p w14:paraId="6AA0FB3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14571E8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26D9D8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2DAD18D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766E93AE">
      <w:pPr>
        <w:snapToGrid w:val="0"/>
        <w:spacing w:line="360" w:lineRule="auto"/>
        <w:rPr>
          <w:rFonts w:hint="eastAsia" w:ascii="仿宋" w:hAnsi="仿宋" w:eastAsia="仿宋" w:cs="仿宋"/>
          <w:color w:val="auto"/>
          <w:sz w:val="24"/>
        </w:rPr>
      </w:pPr>
    </w:p>
    <w:p w14:paraId="1E099DF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b/>
          <w:color w:val="auto"/>
          <w:kern w:val="0"/>
          <w:sz w:val="32"/>
          <w:szCs w:val="32"/>
          <w:lang w:val="zh-CN"/>
        </w:rPr>
        <w:t xml:space="preserve">    </w:t>
      </w:r>
    </w:p>
    <w:p w14:paraId="70F2B103">
      <w:pPr>
        <w:autoSpaceDE w:val="0"/>
        <w:autoSpaceDN w:val="0"/>
        <w:spacing w:line="360" w:lineRule="auto"/>
        <w:jc w:val="center"/>
        <w:rPr>
          <w:rFonts w:hint="eastAsia" w:ascii="仿宋" w:hAnsi="仿宋" w:eastAsia="仿宋" w:cs="仿宋"/>
          <w:b/>
          <w:color w:val="auto"/>
          <w:kern w:val="0"/>
          <w:sz w:val="32"/>
          <w:szCs w:val="32"/>
          <w:lang w:val="zh-CN"/>
        </w:rPr>
      </w:pPr>
    </w:p>
    <w:p w14:paraId="2C1DBA5E">
      <w:pPr>
        <w:autoSpaceDE w:val="0"/>
        <w:autoSpaceDN w:val="0"/>
        <w:spacing w:line="360" w:lineRule="auto"/>
        <w:jc w:val="center"/>
        <w:rPr>
          <w:rFonts w:hint="eastAsia" w:ascii="仿宋" w:hAnsi="仿宋" w:eastAsia="仿宋" w:cs="仿宋"/>
          <w:b/>
          <w:color w:val="auto"/>
          <w:kern w:val="0"/>
          <w:sz w:val="32"/>
          <w:szCs w:val="32"/>
          <w:lang w:val="zh-CN"/>
        </w:rPr>
      </w:pPr>
    </w:p>
    <w:p w14:paraId="6355FD26">
      <w:pPr>
        <w:autoSpaceDE w:val="0"/>
        <w:autoSpaceDN w:val="0"/>
        <w:spacing w:line="360" w:lineRule="auto"/>
        <w:jc w:val="center"/>
        <w:rPr>
          <w:rFonts w:hint="eastAsia" w:ascii="仿宋" w:hAnsi="仿宋" w:eastAsia="仿宋" w:cs="仿宋"/>
          <w:b/>
          <w:color w:val="auto"/>
          <w:kern w:val="0"/>
          <w:sz w:val="32"/>
          <w:szCs w:val="32"/>
          <w:lang w:val="zh-CN"/>
        </w:rPr>
      </w:pPr>
    </w:p>
    <w:p w14:paraId="3ADE822C">
      <w:pPr>
        <w:autoSpaceDE w:val="0"/>
        <w:autoSpaceDN w:val="0"/>
        <w:spacing w:line="360" w:lineRule="auto"/>
        <w:jc w:val="center"/>
        <w:rPr>
          <w:rFonts w:hint="eastAsia" w:ascii="仿宋" w:hAnsi="仿宋" w:eastAsia="仿宋" w:cs="仿宋"/>
          <w:b/>
          <w:color w:val="auto"/>
          <w:kern w:val="0"/>
          <w:sz w:val="32"/>
          <w:szCs w:val="32"/>
          <w:lang w:val="zh-CN"/>
        </w:rPr>
      </w:pPr>
    </w:p>
    <w:p w14:paraId="51841A7E">
      <w:pPr>
        <w:autoSpaceDE w:val="0"/>
        <w:autoSpaceDN w:val="0"/>
        <w:spacing w:line="360" w:lineRule="auto"/>
        <w:jc w:val="center"/>
        <w:rPr>
          <w:rFonts w:hint="eastAsia" w:ascii="仿宋" w:hAnsi="仿宋" w:eastAsia="仿宋" w:cs="仿宋"/>
          <w:b/>
          <w:color w:val="auto"/>
          <w:kern w:val="0"/>
          <w:sz w:val="32"/>
          <w:szCs w:val="32"/>
          <w:lang w:val="zh-CN"/>
        </w:rPr>
      </w:pPr>
    </w:p>
    <w:p w14:paraId="02526801">
      <w:pPr>
        <w:autoSpaceDE w:val="0"/>
        <w:autoSpaceDN w:val="0"/>
        <w:spacing w:line="360" w:lineRule="auto"/>
        <w:jc w:val="center"/>
        <w:rPr>
          <w:rFonts w:hint="eastAsia" w:ascii="仿宋" w:hAnsi="仿宋" w:eastAsia="仿宋" w:cs="仿宋"/>
          <w:b/>
          <w:color w:val="auto"/>
          <w:kern w:val="0"/>
          <w:sz w:val="32"/>
          <w:szCs w:val="32"/>
          <w:lang w:val="zh-CN"/>
        </w:rPr>
      </w:pPr>
    </w:p>
    <w:p w14:paraId="3FAB8ACE">
      <w:pPr>
        <w:autoSpaceDE w:val="0"/>
        <w:autoSpaceDN w:val="0"/>
        <w:spacing w:line="360" w:lineRule="auto"/>
        <w:jc w:val="center"/>
        <w:rPr>
          <w:rFonts w:hint="eastAsia" w:ascii="仿宋" w:hAnsi="仿宋" w:eastAsia="仿宋" w:cs="仿宋"/>
          <w:b/>
          <w:color w:val="auto"/>
          <w:kern w:val="0"/>
          <w:sz w:val="32"/>
          <w:szCs w:val="32"/>
          <w:lang w:val="zh-CN"/>
        </w:rPr>
      </w:pPr>
    </w:p>
    <w:p w14:paraId="7A127E23">
      <w:pPr>
        <w:autoSpaceDE w:val="0"/>
        <w:autoSpaceDN w:val="0"/>
        <w:spacing w:line="360" w:lineRule="auto"/>
        <w:jc w:val="center"/>
        <w:rPr>
          <w:rFonts w:hint="eastAsia" w:ascii="仿宋" w:hAnsi="仿宋" w:eastAsia="仿宋" w:cs="仿宋"/>
          <w:b/>
          <w:color w:val="auto"/>
          <w:kern w:val="0"/>
          <w:sz w:val="32"/>
          <w:szCs w:val="32"/>
          <w:lang w:val="zh-CN"/>
        </w:rPr>
      </w:pPr>
    </w:p>
    <w:p w14:paraId="32BEA74E">
      <w:pPr>
        <w:autoSpaceDE w:val="0"/>
        <w:autoSpaceDN w:val="0"/>
        <w:spacing w:line="360" w:lineRule="auto"/>
        <w:jc w:val="center"/>
        <w:rPr>
          <w:rFonts w:hint="eastAsia" w:ascii="仿宋" w:hAnsi="仿宋" w:eastAsia="仿宋" w:cs="仿宋"/>
          <w:b/>
          <w:color w:val="auto"/>
          <w:kern w:val="0"/>
          <w:sz w:val="32"/>
          <w:szCs w:val="32"/>
          <w:lang w:val="zh-CN"/>
        </w:rPr>
      </w:pPr>
    </w:p>
    <w:p w14:paraId="5F2B3E39">
      <w:pPr>
        <w:autoSpaceDE w:val="0"/>
        <w:autoSpaceDN w:val="0"/>
        <w:spacing w:line="360" w:lineRule="auto"/>
        <w:jc w:val="center"/>
        <w:rPr>
          <w:rFonts w:hint="eastAsia" w:ascii="仿宋" w:hAnsi="仿宋" w:eastAsia="仿宋" w:cs="仿宋"/>
          <w:b/>
          <w:color w:val="auto"/>
          <w:kern w:val="0"/>
          <w:sz w:val="32"/>
          <w:szCs w:val="32"/>
          <w:lang w:val="zh-CN"/>
        </w:rPr>
      </w:pPr>
    </w:p>
    <w:p w14:paraId="626EE011">
      <w:pPr>
        <w:autoSpaceDE w:val="0"/>
        <w:autoSpaceDN w:val="0"/>
        <w:spacing w:line="360" w:lineRule="auto"/>
        <w:jc w:val="center"/>
        <w:rPr>
          <w:rFonts w:hint="eastAsia" w:ascii="仿宋" w:hAnsi="仿宋" w:eastAsia="仿宋" w:cs="仿宋"/>
          <w:b/>
          <w:color w:val="auto"/>
          <w:kern w:val="0"/>
          <w:sz w:val="32"/>
          <w:szCs w:val="32"/>
          <w:lang w:val="zh-CN"/>
        </w:rPr>
      </w:pPr>
    </w:p>
    <w:p w14:paraId="4EFAD0A7">
      <w:pPr>
        <w:autoSpaceDE w:val="0"/>
        <w:autoSpaceDN w:val="0"/>
        <w:spacing w:line="360" w:lineRule="auto"/>
        <w:jc w:val="center"/>
        <w:rPr>
          <w:rFonts w:hint="eastAsia" w:ascii="仿宋" w:hAnsi="仿宋" w:eastAsia="仿宋" w:cs="仿宋"/>
          <w:b/>
          <w:color w:val="auto"/>
          <w:kern w:val="0"/>
          <w:sz w:val="32"/>
          <w:szCs w:val="32"/>
          <w:lang w:val="zh-CN"/>
        </w:rPr>
      </w:pPr>
    </w:p>
    <w:p w14:paraId="3A97911F">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w:t>
      </w:r>
      <w:r>
        <w:rPr>
          <w:rFonts w:hint="eastAsia" w:ascii="仿宋" w:hAnsi="仿宋" w:eastAsia="仿宋" w:cs="仿宋"/>
          <w:b/>
          <w:color w:val="auto"/>
          <w:sz w:val="30"/>
          <w:szCs w:val="30"/>
          <w:lang w:eastAsia="zh-CN"/>
        </w:rPr>
        <w:t>投标人</w:t>
      </w:r>
      <w:r>
        <w:rPr>
          <w:rFonts w:hint="eastAsia" w:ascii="仿宋" w:hAnsi="仿宋" w:eastAsia="仿宋" w:cs="仿宋"/>
          <w:b/>
          <w:color w:val="auto"/>
          <w:sz w:val="30"/>
          <w:szCs w:val="30"/>
        </w:rPr>
        <w:t>参加投标）</w:t>
      </w:r>
    </w:p>
    <w:p w14:paraId="7A3F77DC">
      <w:pPr>
        <w:pStyle w:val="620"/>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64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F350062">
            <w:pPr>
              <w:pStyle w:val="620"/>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FE2306C">
            <w:pPr>
              <w:pStyle w:val="620"/>
              <w:adjustRightInd w:val="0"/>
              <w:spacing w:line="360" w:lineRule="auto"/>
              <w:rPr>
                <w:rFonts w:hint="eastAsia" w:ascii="仿宋" w:hAnsi="仿宋" w:eastAsia="仿宋" w:cs="仿宋"/>
                <w:bCs/>
                <w:color w:val="auto"/>
                <w:sz w:val="24"/>
              </w:rPr>
            </w:pPr>
          </w:p>
        </w:tc>
      </w:tr>
    </w:tbl>
    <w:p w14:paraId="4370398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113884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599E3974">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F2C8850">
      <w:pPr>
        <w:jc w:val="center"/>
        <w:rPr>
          <w:rFonts w:hint="eastAsia" w:ascii="仿宋" w:hAnsi="仿宋" w:eastAsia="仿宋" w:cs="仿宋"/>
          <w:b/>
          <w:color w:val="auto"/>
          <w:kern w:val="0"/>
          <w:sz w:val="32"/>
          <w:szCs w:val="32"/>
        </w:rPr>
      </w:pPr>
    </w:p>
    <w:p w14:paraId="638B15F5">
      <w:pPr>
        <w:jc w:val="center"/>
        <w:rPr>
          <w:rFonts w:hint="eastAsia" w:ascii="仿宋" w:hAnsi="仿宋" w:eastAsia="仿宋" w:cs="仿宋"/>
          <w:b/>
          <w:color w:val="auto"/>
          <w:kern w:val="0"/>
          <w:sz w:val="32"/>
          <w:szCs w:val="32"/>
        </w:rPr>
      </w:pPr>
    </w:p>
    <w:p w14:paraId="20C8E504">
      <w:pPr>
        <w:jc w:val="center"/>
        <w:rPr>
          <w:rFonts w:hint="eastAsia" w:ascii="仿宋" w:hAnsi="仿宋" w:eastAsia="仿宋" w:cs="仿宋"/>
          <w:b/>
          <w:color w:val="auto"/>
          <w:kern w:val="0"/>
          <w:sz w:val="32"/>
          <w:szCs w:val="32"/>
        </w:rPr>
      </w:pPr>
    </w:p>
    <w:p w14:paraId="55C89D3F">
      <w:pPr>
        <w:jc w:val="center"/>
        <w:rPr>
          <w:rFonts w:hint="eastAsia" w:ascii="仿宋" w:hAnsi="仿宋" w:eastAsia="仿宋" w:cs="仿宋"/>
          <w:b/>
          <w:color w:val="auto"/>
          <w:kern w:val="0"/>
          <w:sz w:val="32"/>
          <w:szCs w:val="32"/>
        </w:rPr>
      </w:pPr>
    </w:p>
    <w:p w14:paraId="2A9C9EED">
      <w:pPr>
        <w:jc w:val="center"/>
        <w:rPr>
          <w:rFonts w:hint="eastAsia" w:ascii="仿宋" w:hAnsi="仿宋" w:eastAsia="仿宋" w:cs="仿宋"/>
          <w:b/>
          <w:color w:val="auto"/>
          <w:kern w:val="0"/>
          <w:sz w:val="32"/>
          <w:szCs w:val="32"/>
        </w:rPr>
      </w:pPr>
    </w:p>
    <w:p w14:paraId="275C00C8">
      <w:pPr>
        <w:jc w:val="center"/>
        <w:rPr>
          <w:rFonts w:hint="eastAsia" w:ascii="仿宋" w:hAnsi="仿宋" w:eastAsia="仿宋" w:cs="仿宋"/>
          <w:b/>
          <w:color w:val="auto"/>
          <w:kern w:val="0"/>
          <w:sz w:val="32"/>
          <w:szCs w:val="32"/>
        </w:rPr>
      </w:pPr>
    </w:p>
    <w:p w14:paraId="60438A69">
      <w:pPr>
        <w:jc w:val="center"/>
        <w:rPr>
          <w:rFonts w:hint="eastAsia" w:ascii="仿宋" w:hAnsi="仿宋" w:eastAsia="仿宋" w:cs="仿宋"/>
          <w:b/>
          <w:color w:val="auto"/>
          <w:kern w:val="0"/>
          <w:sz w:val="32"/>
          <w:szCs w:val="32"/>
        </w:rPr>
      </w:pPr>
    </w:p>
    <w:p w14:paraId="15D2D575">
      <w:pPr>
        <w:jc w:val="center"/>
        <w:rPr>
          <w:rFonts w:hint="eastAsia" w:ascii="仿宋" w:hAnsi="仿宋" w:eastAsia="仿宋" w:cs="仿宋"/>
          <w:b/>
          <w:color w:val="auto"/>
          <w:kern w:val="0"/>
          <w:sz w:val="32"/>
          <w:szCs w:val="32"/>
        </w:rPr>
      </w:pPr>
    </w:p>
    <w:p w14:paraId="060F66C2">
      <w:pPr>
        <w:jc w:val="center"/>
        <w:rPr>
          <w:rFonts w:hint="eastAsia" w:ascii="仿宋" w:hAnsi="仿宋" w:eastAsia="仿宋" w:cs="仿宋"/>
          <w:b/>
          <w:color w:val="auto"/>
          <w:kern w:val="0"/>
          <w:sz w:val="32"/>
          <w:szCs w:val="32"/>
        </w:rPr>
      </w:pPr>
    </w:p>
    <w:p w14:paraId="6187977B">
      <w:pPr>
        <w:jc w:val="center"/>
        <w:rPr>
          <w:rFonts w:hint="eastAsia" w:ascii="仿宋" w:hAnsi="仿宋" w:eastAsia="仿宋" w:cs="仿宋"/>
          <w:b/>
          <w:color w:val="auto"/>
          <w:kern w:val="0"/>
          <w:sz w:val="32"/>
          <w:szCs w:val="32"/>
        </w:rPr>
      </w:pPr>
    </w:p>
    <w:p w14:paraId="29FA5334">
      <w:pPr>
        <w:jc w:val="center"/>
        <w:rPr>
          <w:rFonts w:hint="eastAsia" w:ascii="仿宋" w:hAnsi="仿宋" w:eastAsia="仿宋" w:cs="仿宋"/>
          <w:b/>
          <w:color w:val="auto"/>
          <w:kern w:val="0"/>
          <w:sz w:val="32"/>
          <w:szCs w:val="32"/>
        </w:rPr>
      </w:pPr>
    </w:p>
    <w:p w14:paraId="21FA5353">
      <w:pPr>
        <w:jc w:val="center"/>
        <w:rPr>
          <w:rFonts w:hint="eastAsia" w:ascii="仿宋" w:hAnsi="仿宋" w:eastAsia="仿宋" w:cs="仿宋"/>
          <w:b/>
          <w:color w:val="auto"/>
          <w:kern w:val="0"/>
          <w:sz w:val="32"/>
          <w:szCs w:val="32"/>
        </w:rPr>
      </w:pPr>
    </w:p>
    <w:p w14:paraId="432A9636">
      <w:pPr>
        <w:jc w:val="center"/>
        <w:rPr>
          <w:rFonts w:hint="eastAsia" w:ascii="仿宋" w:hAnsi="仿宋" w:eastAsia="仿宋" w:cs="仿宋"/>
          <w:b/>
          <w:color w:val="auto"/>
          <w:kern w:val="0"/>
          <w:sz w:val="32"/>
          <w:szCs w:val="32"/>
        </w:rPr>
      </w:pPr>
    </w:p>
    <w:p w14:paraId="26A948AE">
      <w:pPr>
        <w:jc w:val="center"/>
        <w:rPr>
          <w:rFonts w:hint="eastAsia" w:ascii="仿宋" w:hAnsi="仿宋" w:eastAsia="仿宋" w:cs="仿宋"/>
          <w:b/>
          <w:color w:val="auto"/>
          <w:kern w:val="0"/>
          <w:sz w:val="32"/>
          <w:szCs w:val="32"/>
        </w:rPr>
      </w:pPr>
    </w:p>
    <w:p w14:paraId="6AF224C0">
      <w:pPr>
        <w:jc w:val="center"/>
        <w:rPr>
          <w:rFonts w:hint="eastAsia" w:ascii="仿宋" w:hAnsi="仿宋" w:eastAsia="仿宋" w:cs="仿宋"/>
          <w:b/>
          <w:color w:val="auto"/>
          <w:kern w:val="0"/>
          <w:sz w:val="32"/>
          <w:szCs w:val="32"/>
        </w:rPr>
      </w:pPr>
    </w:p>
    <w:p w14:paraId="5D86039B">
      <w:pPr>
        <w:jc w:val="center"/>
        <w:rPr>
          <w:rFonts w:hint="eastAsia" w:ascii="仿宋" w:hAnsi="仿宋" w:eastAsia="仿宋" w:cs="仿宋"/>
          <w:b/>
          <w:color w:val="auto"/>
          <w:kern w:val="0"/>
          <w:sz w:val="32"/>
          <w:szCs w:val="32"/>
        </w:rPr>
      </w:pPr>
    </w:p>
    <w:p w14:paraId="67F75AB8">
      <w:pPr>
        <w:jc w:val="center"/>
        <w:rPr>
          <w:rFonts w:hint="eastAsia" w:ascii="仿宋" w:hAnsi="仿宋" w:eastAsia="仿宋" w:cs="仿宋"/>
          <w:b/>
          <w:color w:val="auto"/>
          <w:kern w:val="0"/>
          <w:sz w:val="32"/>
          <w:szCs w:val="32"/>
        </w:rPr>
      </w:pPr>
    </w:p>
    <w:p w14:paraId="712B342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68A5DE68">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A9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B8B6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976" w:type="dxa"/>
            <w:vAlign w:val="center"/>
          </w:tcPr>
          <w:p w14:paraId="681A2A8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566" w:type="dxa"/>
            <w:vAlign w:val="center"/>
          </w:tcPr>
          <w:p w14:paraId="21B0003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29797DEF">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响应文件中的</w:t>
            </w:r>
          </w:p>
          <w:p w14:paraId="5DCDB1E8">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6EF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7429E9">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76" w:type="dxa"/>
            <w:vAlign w:val="center"/>
          </w:tcPr>
          <w:p w14:paraId="6E06E83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3566" w:type="dxa"/>
            <w:vAlign w:val="center"/>
          </w:tcPr>
          <w:p w14:paraId="1FE27A80">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74A5C107">
            <w:pPr>
              <w:jc w:val="center"/>
              <w:rPr>
                <w:rFonts w:hint="eastAsia" w:ascii="仿宋" w:hAnsi="仿宋" w:eastAsia="仿宋" w:cs="仿宋"/>
                <w:color w:val="auto"/>
                <w:sz w:val="24"/>
              </w:rPr>
            </w:pPr>
          </w:p>
          <w:p w14:paraId="798C95B7">
            <w:pPr>
              <w:jc w:val="center"/>
              <w:rPr>
                <w:rFonts w:hint="eastAsia" w:ascii="仿宋" w:hAnsi="仿宋" w:eastAsia="仿宋" w:cs="仿宋"/>
                <w:color w:val="auto"/>
                <w:sz w:val="24"/>
              </w:rPr>
            </w:pPr>
            <w:r>
              <w:rPr>
                <w:rFonts w:hint="eastAsia" w:ascii="仿宋" w:hAnsi="仿宋" w:eastAsia="仿宋" w:cs="仿宋"/>
                <w:color w:val="auto"/>
                <w:sz w:val="24"/>
              </w:rPr>
              <w:t>见响应文件</w:t>
            </w:r>
          </w:p>
          <w:p w14:paraId="210F40D2">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874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25B6F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976" w:type="dxa"/>
            <w:vAlign w:val="center"/>
          </w:tcPr>
          <w:p w14:paraId="11FC3FE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响应文件中承诺的交易有效期不少于交易文件中载明的交易有效期。</w:t>
            </w:r>
          </w:p>
        </w:tc>
        <w:tc>
          <w:tcPr>
            <w:tcW w:w="3566" w:type="dxa"/>
            <w:vAlign w:val="center"/>
          </w:tcPr>
          <w:p w14:paraId="239DC6FC">
            <w:pPr>
              <w:jc w:val="center"/>
              <w:rPr>
                <w:rFonts w:hint="eastAsia" w:ascii="仿宋" w:hAnsi="仿宋" w:eastAsia="仿宋" w:cs="仿宋"/>
                <w:color w:val="auto"/>
                <w:sz w:val="24"/>
              </w:rPr>
            </w:pPr>
            <w:r>
              <w:rPr>
                <w:rFonts w:hint="eastAsia" w:ascii="仿宋" w:hAnsi="仿宋" w:eastAsia="仿宋" w:cs="仿宋"/>
                <w:color w:val="auto"/>
                <w:sz w:val="24"/>
              </w:rPr>
              <w:t>交易函</w:t>
            </w:r>
          </w:p>
        </w:tc>
        <w:tc>
          <w:tcPr>
            <w:tcW w:w="1418" w:type="dxa"/>
            <w:vAlign w:val="center"/>
          </w:tcPr>
          <w:p w14:paraId="283BBD05">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2E5D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9E541">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976" w:type="dxa"/>
            <w:vAlign w:val="center"/>
          </w:tcPr>
          <w:p w14:paraId="0D5E54D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3566" w:type="dxa"/>
            <w:vAlign w:val="center"/>
          </w:tcPr>
          <w:p w14:paraId="52709A27">
            <w:pPr>
              <w:jc w:val="center"/>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1418" w:type="dxa"/>
            <w:vAlign w:val="center"/>
          </w:tcPr>
          <w:p w14:paraId="3DB7FE68">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4923EAE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8EBA828">
      <w:pPr>
        <w:jc w:val="center"/>
        <w:rPr>
          <w:rFonts w:hint="eastAsia" w:ascii="仿宋" w:hAnsi="仿宋" w:eastAsia="仿宋" w:cs="仿宋"/>
          <w:b/>
          <w:color w:val="auto"/>
          <w:kern w:val="0"/>
          <w:sz w:val="32"/>
          <w:szCs w:val="32"/>
        </w:rPr>
      </w:pPr>
    </w:p>
    <w:p w14:paraId="6CCC50F2">
      <w:pPr>
        <w:jc w:val="center"/>
        <w:rPr>
          <w:rFonts w:hint="eastAsia" w:ascii="仿宋" w:hAnsi="仿宋" w:eastAsia="仿宋" w:cs="仿宋"/>
          <w:b/>
          <w:color w:val="auto"/>
          <w:kern w:val="0"/>
          <w:sz w:val="32"/>
          <w:szCs w:val="32"/>
        </w:rPr>
      </w:pPr>
    </w:p>
    <w:p w14:paraId="25BB5867">
      <w:pPr>
        <w:jc w:val="center"/>
        <w:rPr>
          <w:rFonts w:hint="eastAsia" w:ascii="仿宋" w:hAnsi="仿宋" w:eastAsia="仿宋" w:cs="仿宋"/>
          <w:b/>
          <w:color w:val="auto"/>
          <w:kern w:val="0"/>
          <w:sz w:val="32"/>
          <w:szCs w:val="32"/>
        </w:rPr>
      </w:pPr>
    </w:p>
    <w:p w14:paraId="41B4435F">
      <w:pPr>
        <w:jc w:val="center"/>
        <w:rPr>
          <w:rFonts w:hint="eastAsia" w:ascii="仿宋" w:hAnsi="仿宋" w:eastAsia="仿宋" w:cs="仿宋"/>
          <w:b/>
          <w:color w:val="auto"/>
          <w:kern w:val="0"/>
          <w:sz w:val="32"/>
          <w:szCs w:val="32"/>
        </w:rPr>
      </w:pPr>
    </w:p>
    <w:p w14:paraId="3A1B962E">
      <w:pPr>
        <w:jc w:val="center"/>
        <w:rPr>
          <w:rFonts w:hint="eastAsia" w:ascii="仿宋" w:hAnsi="仿宋" w:eastAsia="仿宋" w:cs="仿宋"/>
          <w:b/>
          <w:color w:val="auto"/>
          <w:kern w:val="0"/>
          <w:sz w:val="32"/>
          <w:szCs w:val="32"/>
        </w:rPr>
      </w:pPr>
    </w:p>
    <w:p w14:paraId="4F8C201C">
      <w:pPr>
        <w:jc w:val="center"/>
        <w:rPr>
          <w:rFonts w:hint="eastAsia" w:ascii="仿宋" w:hAnsi="仿宋" w:eastAsia="仿宋" w:cs="仿宋"/>
          <w:b/>
          <w:color w:val="auto"/>
          <w:kern w:val="0"/>
          <w:sz w:val="32"/>
          <w:szCs w:val="32"/>
        </w:rPr>
      </w:pPr>
    </w:p>
    <w:p w14:paraId="2237F733">
      <w:pPr>
        <w:jc w:val="center"/>
        <w:rPr>
          <w:rFonts w:hint="eastAsia" w:ascii="仿宋" w:hAnsi="仿宋" w:eastAsia="仿宋" w:cs="仿宋"/>
          <w:b/>
          <w:color w:val="auto"/>
          <w:kern w:val="0"/>
          <w:sz w:val="32"/>
          <w:szCs w:val="32"/>
        </w:rPr>
      </w:pPr>
    </w:p>
    <w:p w14:paraId="3CA6EC00">
      <w:pPr>
        <w:jc w:val="center"/>
        <w:rPr>
          <w:rFonts w:hint="eastAsia" w:ascii="仿宋" w:hAnsi="仿宋" w:eastAsia="仿宋" w:cs="仿宋"/>
          <w:b/>
          <w:color w:val="auto"/>
          <w:kern w:val="0"/>
          <w:sz w:val="32"/>
          <w:szCs w:val="32"/>
        </w:rPr>
      </w:pPr>
    </w:p>
    <w:p w14:paraId="6893926E">
      <w:pPr>
        <w:jc w:val="center"/>
        <w:rPr>
          <w:rFonts w:hint="eastAsia" w:ascii="仿宋" w:hAnsi="仿宋" w:eastAsia="仿宋" w:cs="仿宋"/>
          <w:b/>
          <w:color w:val="auto"/>
          <w:kern w:val="0"/>
          <w:sz w:val="32"/>
          <w:szCs w:val="32"/>
        </w:rPr>
      </w:pPr>
    </w:p>
    <w:p w14:paraId="66741F32">
      <w:pPr>
        <w:rPr>
          <w:rFonts w:hint="eastAsia" w:ascii="仿宋" w:hAnsi="仿宋" w:eastAsia="仿宋" w:cs="仿宋"/>
          <w:b/>
          <w:color w:val="auto"/>
          <w:kern w:val="0"/>
          <w:sz w:val="32"/>
          <w:szCs w:val="32"/>
        </w:rPr>
      </w:pPr>
    </w:p>
    <w:p w14:paraId="79BFD2BD">
      <w:pPr>
        <w:jc w:val="center"/>
        <w:rPr>
          <w:rFonts w:hint="eastAsia" w:ascii="仿宋" w:hAnsi="仿宋" w:eastAsia="仿宋" w:cs="仿宋"/>
          <w:b/>
          <w:color w:val="auto"/>
          <w:kern w:val="0"/>
          <w:sz w:val="32"/>
          <w:szCs w:val="32"/>
        </w:rPr>
      </w:pPr>
    </w:p>
    <w:p w14:paraId="59751FB2">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14:paraId="540DFD5B">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（按交易文件第四部分交易办法前附表中“响应文件中评标标准相应的商务技术资料目录”提供资料。）</w:t>
      </w:r>
    </w:p>
    <w:p w14:paraId="3D032938">
      <w:pPr>
        <w:jc w:val="center"/>
        <w:rPr>
          <w:rFonts w:hint="eastAsia" w:ascii="仿宋" w:hAnsi="仿宋" w:eastAsia="仿宋" w:cs="仿宋"/>
          <w:b/>
          <w:color w:val="auto"/>
          <w:kern w:val="0"/>
          <w:sz w:val="32"/>
          <w:szCs w:val="32"/>
        </w:rPr>
      </w:pPr>
    </w:p>
    <w:p w14:paraId="37769C92">
      <w:pPr>
        <w:jc w:val="center"/>
        <w:rPr>
          <w:rFonts w:hint="eastAsia" w:ascii="仿宋" w:hAnsi="仿宋" w:eastAsia="仿宋" w:cs="仿宋"/>
          <w:b/>
          <w:color w:val="auto"/>
          <w:kern w:val="0"/>
          <w:sz w:val="32"/>
          <w:szCs w:val="32"/>
        </w:rPr>
      </w:pPr>
    </w:p>
    <w:p w14:paraId="0FFD0DAA">
      <w:pPr>
        <w:jc w:val="center"/>
        <w:rPr>
          <w:rFonts w:hint="eastAsia" w:ascii="仿宋" w:hAnsi="仿宋" w:eastAsia="仿宋" w:cs="仿宋"/>
          <w:b/>
          <w:color w:val="auto"/>
          <w:kern w:val="0"/>
          <w:sz w:val="32"/>
          <w:szCs w:val="32"/>
        </w:rPr>
      </w:pPr>
    </w:p>
    <w:p w14:paraId="703E4191">
      <w:pPr>
        <w:jc w:val="center"/>
        <w:rPr>
          <w:rFonts w:hint="eastAsia" w:ascii="仿宋" w:hAnsi="仿宋" w:eastAsia="仿宋" w:cs="仿宋"/>
          <w:b/>
          <w:color w:val="auto"/>
          <w:kern w:val="0"/>
          <w:sz w:val="32"/>
          <w:szCs w:val="32"/>
        </w:rPr>
      </w:pPr>
    </w:p>
    <w:p w14:paraId="15CD73E4">
      <w:pPr>
        <w:rPr>
          <w:rFonts w:hint="eastAsia" w:ascii="仿宋" w:hAnsi="仿宋" w:eastAsia="仿宋" w:cs="仿宋"/>
          <w:b/>
          <w:color w:val="auto"/>
          <w:kern w:val="0"/>
          <w:sz w:val="32"/>
          <w:szCs w:val="32"/>
        </w:rPr>
      </w:pPr>
    </w:p>
    <w:p w14:paraId="466AC748">
      <w:pPr>
        <w:ind w:firstLine="2891" w:firstLineChars="900"/>
        <w:rPr>
          <w:rFonts w:hint="eastAsia" w:ascii="仿宋" w:hAnsi="仿宋" w:eastAsia="仿宋" w:cs="仿宋"/>
          <w:b/>
          <w:color w:val="auto"/>
          <w:kern w:val="0"/>
          <w:sz w:val="32"/>
          <w:szCs w:val="32"/>
        </w:rPr>
      </w:pPr>
    </w:p>
    <w:p w14:paraId="6A4EF15F">
      <w:pPr>
        <w:ind w:firstLine="2891" w:firstLineChars="900"/>
        <w:rPr>
          <w:rFonts w:hint="eastAsia" w:ascii="仿宋" w:hAnsi="仿宋" w:eastAsia="仿宋" w:cs="仿宋"/>
          <w:b/>
          <w:color w:val="auto"/>
          <w:kern w:val="0"/>
          <w:sz w:val="32"/>
          <w:szCs w:val="32"/>
        </w:rPr>
      </w:pPr>
    </w:p>
    <w:p w14:paraId="79599A7F">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173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E3C8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94C07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A5CA08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0ABEF48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6B922B4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6533D8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6B9702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442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EF0A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B00D0">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B69D27">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5CD08C73">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6EAE2340">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6A828B">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4C472D5">
            <w:pPr>
              <w:spacing w:line="360" w:lineRule="auto"/>
              <w:jc w:val="center"/>
              <w:rPr>
                <w:rFonts w:hint="eastAsia" w:ascii="仿宋" w:hAnsi="仿宋" w:eastAsia="仿宋" w:cs="仿宋"/>
                <w:color w:val="auto"/>
                <w:sz w:val="24"/>
              </w:rPr>
            </w:pPr>
          </w:p>
        </w:tc>
      </w:tr>
      <w:tr w14:paraId="0D7B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4414C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D69E26">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7483A3">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0FF923BE">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74671FBE">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AA4B34">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58FA07">
            <w:pPr>
              <w:spacing w:line="360" w:lineRule="auto"/>
              <w:jc w:val="center"/>
              <w:rPr>
                <w:rFonts w:hint="eastAsia" w:ascii="仿宋" w:hAnsi="仿宋" w:eastAsia="仿宋" w:cs="仿宋"/>
                <w:color w:val="auto"/>
                <w:sz w:val="24"/>
              </w:rPr>
            </w:pPr>
          </w:p>
        </w:tc>
      </w:tr>
      <w:tr w14:paraId="11E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19F2B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1D13C0">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DCC0AA">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11D84284">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2CF72436">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40F5FD">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10262C">
            <w:pPr>
              <w:spacing w:line="360" w:lineRule="auto"/>
              <w:jc w:val="center"/>
              <w:rPr>
                <w:rFonts w:hint="eastAsia" w:ascii="仿宋" w:hAnsi="仿宋" w:eastAsia="仿宋" w:cs="仿宋"/>
                <w:color w:val="auto"/>
                <w:sz w:val="24"/>
              </w:rPr>
            </w:pPr>
          </w:p>
        </w:tc>
      </w:tr>
    </w:tbl>
    <w:p w14:paraId="5F4DC33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53FFBAB">
      <w:pPr>
        <w:jc w:val="center"/>
        <w:rPr>
          <w:rFonts w:hint="eastAsia" w:ascii="仿宋" w:hAnsi="仿宋" w:eastAsia="仿宋" w:cs="仿宋"/>
          <w:b/>
          <w:color w:val="auto"/>
          <w:kern w:val="0"/>
          <w:sz w:val="32"/>
          <w:szCs w:val="32"/>
        </w:rPr>
      </w:pPr>
    </w:p>
    <w:p w14:paraId="422AFACD">
      <w:pPr>
        <w:jc w:val="center"/>
        <w:rPr>
          <w:rFonts w:hint="eastAsia" w:ascii="仿宋" w:hAnsi="仿宋" w:eastAsia="仿宋" w:cs="仿宋"/>
          <w:b/>
          <w:color w:val="auto"/>
          <w:kern w:val="0"/>
          <w:sz w:val="32"/>
          <w:szCs w:val="32"/>
        </w:rPr>
      </w:pPr>
    </w:p>
    <w:p w14:paraId="1789585F">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FC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E9EE447">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02A51C8F">
            <w:pPr>
              <w:jc w:val="center"/>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46" w:type="dxa"/>
          </w:tcPr>
          <w:p w14:paraId="6B44277B">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4CB8D1CE">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097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33D3BD">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50C1E125">
            <w:pPr>
              <w:jc w:val="center"/>
              <w:rPr>
                <w:rFonts w:hint="eastAsia" w:ascii="仿宋" w:hAnsi="仿宋" w:eastAsia="仿宋" w:cs="仿宋"/>
                <w:b/>
                <w:color w:val="auto"/>
                <w:kern w:val="0"/>
                <w:sz w:val="32"/>
                <w:szCs w:val="32"/>
              </w:rPr>
            </w:pPr>
          </w:p>
        </w:tc>
        <w:tc>
          <w:tcPr>
            <w:tcW w:w="3546" w:type="dxa"/>
          </w:tcPr>
          <w:p w14:paraId="1D76F461">
            <w:pPr>
              <w:jc w:val="center"/>
              <w:rPr>
                <w:rFonts w:hint="eastAsia" w:ascii="仿宋" w:hAnsi="仿宋" w:eastAsia="仿宋" w:cs="仿宋"/>
                <w:b/>
                <w:color w:val="auto"/>
                <w:kern w:val="0"/>
                <w:sz w:val="32"/>
                <w:szCs w:val="32"/>
              </w:rPr>
            </w:pPr>
          </w:p>
        </w:tc>
        <w:tc>
          <w:tcPr>
            <w:tcW w:w="1276" w:type="dxa"/>
          </w:tcPr>
          <w:p w14:paraId="1D8F1E22">
            <w:pPr>
              <w:jc w:val="center"/>
              <w:rPr>
                <w:rFonts w:hint="eastAsia" w:ascii="仿宋" w:hAnsi="仿宋" w:eastAsia="仿宋" w:cs="仿宋"/>
                <w:b/>
                <w:color w:val="auto"/>
                <w:kern w:val="0"/>
                <w:sz w:val="32"/>
                <w:szCs w:val="32"/>
              </w:rPr>
            </w:pPr>
          </w:p>
        </w:tc>
      </w:tr>
      <w:tr w14:paraId="42C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CD1DF2">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07E95B09">
            <w:pPr>
              <w:jc w:val="center"/>
              <w:rPr>
                <w:rFonts w:hint="eastAsia" w:ascii="仿宋" w:hAnsi="仿宋" w:eastAsia="仿宋" w:cs="仿宋"/>
                <w:b/>
                <w:color w:val="auto"/>
                <w:kern w:val="0"/>
                <w:sz w:val="32"/>
                <w:szCs w:val="32"/>
              </w:rPr>
            </w:pPr>
          </w:p>
        </w:tc>
        <w:tc>
          <w:tcPr>
            <w:tcW w:w="3546" w:type="dxa"/>
          </w:tcPr>
          <w:p w14:paraId="1B886BAD">
            <w:pPr>
              <w:jc w:val="center"/>
              <w:rPr>
                <w:rFonts w:hint="eastAsia" w:ascii="仿宋" w:hAnsi="仿宋" w:eastAsia="仿宋" w:cs="仿宋"/>
                <w:b/>
                <w:color w:val="auto"/>
                <w:kern w:val="0"/>
                <w:sz w:val="32"/>
                <w:szCs w:val="32"/>
              </w:rPr>
            </w:pPr>
          </w:p>
        </w:tc>
        <w:tc>
          <w:tcPr>
            <w:tcW w:w="1276" w:type="dxa"/>
          </w:tcPr>
          <w:p w14:paraId="1F2484F2">
            <w:pPr>
              <w:jc w:val="center"/>
              <w:rPr>
                <w:rFonts w:hint="eastAsia" w:ascii="仿宋" w:hAnsi="仿宋" w:eastAsia="仿宋" w:cs="仿宋"/>
                <w:b/>
                <w:color w:val="auto"/>
                <w:kern w:val="0"/>
                <w:sz w:val="32"/>
                <w:szCs w:val="32"/>
              </w:rPr>
            </w:pPr>
          </w:p>
        </w:tc>
      </w:tr>
      <w:tr w14:paraId="256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8F7F4">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51A9F1DF">
            <w:pPr>
              <w:jc w:val="center"/>
              <w:rPr>
                <w:rFonts w:hint="eastAsia" w:ascii="仿宋" w:hAnsi="仿宋" w:eastAsia="仿宋" w:cs="仿宋"/>
                <w:b/>
                <w:color w:val="auto"/>
                <w:kern w:val="0"/>
                <w:sz w:val="32"/>
                <w:szCs w:val="32"/>
              </w:rPr>
            </w:pPr>
          </w:p>
        </w:tc>
        <w:tc>
          <w:tcPr>
            <w:tcW w:w="3546" w:type="dxa"/>
          </w:tcPr>
          <w:p w14:paraId="7ECCEC26">
            <w:pPr>
              <w:jc w:val="center"/>
              <w:rPr>
                <w:rFonts w:hint="eastAsia" w:ascii="仿宋" w:hAnsi="仿宋" w:eastAsia="仿宋" w:cs="仿宋"/>
                <w:b/>
                <w:color w:val="auto"/>
                <w:kern w:val="0"/>
                <w:sz w:val="32"/>
                <w:szCs w:val="32"/>
              </w:rPr>
            </w:pPr>
          </w:p>
        </w:tc>
        <w:tc>
          <w:tcPr>
            <w:tcW w:w="1276" w:type="dxa"/>
          </w:tcPr>
          <w:p w14:paraId="6985B216">
            <w:pPr>
              <w:jc w:val="center"/>
              <w:rPr>
                <w:rFonts w:hint="eastAsia" w:ascii="仿宋" w:hAnsi="仿宋" w:eastAsia="仿宋" w:cs="仿宋"/>
                <w:b/>
                <w:color w:val="auto"/>
                <w:kern w:val="0"/>
                <w:sz w:val="32"/>
                <w:szCs w:val="32"/>
              </w:rPr>
            </w:pPr>
          </w:p>
        </w:tc>
      </w:tr>
    </w:tbl>
    <w:p w14:paraId="799DFAA5">
      <w:pPr>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保证：除商务技术偏离表列出的偏离外，</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响应交易文件的全部要求</w:t>
      </w:r>
    </w:p>
    <w:p w14:paraId="2096122A">
      <w:pPr>
        <w:jc w:val="center"/>
        <w:rPr>
          <w:rFonts w:hint="eastAsia" w:ascii="仿宋" w:hAnsi="仿宋" w:eastAsia="仿宋" w:cs="仿宋"/>
          <w:b/>
          <w:color w:val="auto"/>
          <w:kern w:val="0"/>
          <w:sz w:val="32"/>
          <w:szCs w:val="32"/>
        </w:rPr>
      </w:pPr>
    </w:p>
    <w:p w14:paraId="2A156B59">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3F1F5B9">
      <w:pPr>
        <w:jc w:val="center"/>
        <w:rPr>
          <w:rFonts w:hint="eastAsia" w:ascii="仿宋" w:hAnsi="仿宋" w:eastAsia="仿宋" w:cs="仿宋"/>
          <w:b/>
          <w:color w:val="auto"/>
          <w:kern w:val="0"/>
          <w:sz w:val="32"/>
          <w:szCs w:val="32"/>
        </w:rPr>
      </w:pPr>
    </w:p>
    <w:p w14:paraId="4A8B4E92">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6767F950">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采购投标人廉洁自律承诺书</w:t>
      </w:r>
    </w:p>
    <w:p w14:paraId="079B80F6">
      <w:pPr>
        <w:snapToGrid w:val="0"/>
        <w:spacing w:line="360" w:lineRule="auto"/>
        <w:rPr>
          <w:rFonts w:hint="eastAsia" w:ascii="仿宋" w:hAnsi="仿宋" w:eastAsia="仿宋" w:cs="仿宋"/>
          <w:color w:val="auto"/>
          <w:sz w:val="24"/>
        </w:rPr>
      </w:pPr>
    </w:p>
    <w:p w14:paraId="7EAD74A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（交易发起人）、（采购代理机构）</w:t>
      </w:r>
      <w:r>
        <w:rPr>
          <w:rFonts w:hint="eastAsia" w:ascii="仿宋" w:hAnsi="仿宋" w:eastAsia="仿宋" w:cs="仿宋"/>
          <w:color w:val="auto"/>
          <w:kern w:val="0"/>
          <w:sz w:val="24"/>
          <w:lang w:val="zh-CN"/>
        </w:rPr>
        <w:t>：</w:t>
      </w:r>
    </w:p>
    <w:p w14:paraId="617EF9F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项目招标要求参加投标。在这次投标过程中和成交后，我们将严格遵守国家法律法规要求，并郑重承诺：</w:t>
      </w:r>
    </w:p>
    <w:p w14:paraId="54F6DF2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052EB96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05B9D2E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118B867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9257E0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CC97626">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78E75E49">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20FAD373">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70F37ABD">
      <w:pPr>
        <w:autoSpaceDE w:val="0"/>
        <w:autoSpaceDN w:val="0"/>
        <w:spacing w:line="360" w:lineRule="auto"/>
        <w:jc w:val="left"/>
        <w:rPr>
          <w:rFonts w:hint="eastAsia" w:ascii="仿宋" w:hAnsi="仿宋" w:eastAsia="仿宋" w:cs="仿宋"/>
          <w:color w:val="auto"/>
          <w:kern w:val="0"/>
          <w:sz w:val="24"/>
          <w:lang w:val="zh-CN"/>
        </w:rPr>
      </w:pPr>
    </w:p>
    <w:p w14:paraId="6BDD9F24">
      <w:pPr>
        <w:autoSpaceDE w:val="0"/>
        <w:autoSpaceDN w:val="0"/>
        <w:spacing w:line="360" w:lineRule="auto"/>
        <w:ind w:left="2"/>
        <w:jc w:val="left"/>
        <w:rPr>
          <w:rFonts w:hint="eastAsia" w:ascii="仿宋" w:hAnsi="仿宋" w:eastAsia="仿宋" w:cs="仿宋"/>
          <w:color w:val="auto"/>
          <w:kern w:val="0"/>
          <w:sz w:val="24"/>
          <w:lang w:val="zh-CN"/>
        </w:rPr>
      </w:pPr>
    </w:p>
    <w:p w14:paraId="22E92EA2">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1AF950">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01FE896">
      <w:pPr>
        <w:spacing w:line="360" w:lineRule="auto"/>
        <w:jc w:val="center"/>
        <w:rPr>
          <w:rFonts w:hint="eastAsia" w:ascii="仿宋" w:hAnsi="仿宋" w:eastAsia="仿宋" w:cs="仿宋"/>
          <w:b/>
          <w:bCs/>
          <w:color w:val="auto"/>
          <w:sz w:val="24"/>
        </w:rPr>
      </w:pPr>
    </w:p>
    <w:p w14:paraId="59D37D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8EB8480">
      <w:pPr>
        <w:spacing w:line="360" w:lineRule="auto"/>
        <w:jc w:val="center"/>
        <w:rPr>
          <w:rFonts w:hint="eastAsia" w:ascii="仿宋" w:hAnsi="仿宋" w:eastAsia="仿宋" w:cs="仿宋"/>
          <w:b/>
          <w:bCs/>
          <w:color w:val="auto"/>
          <w:sz w:val="24"/>
        </w:rPr>
        <w:sectPr>
          <w:footerReference r:id="rId8" w:type="first"/>
          <w:footerReference r:id="rId7" w:type="default"/>
          <w:pgSz w:w="11906" w:h="16838"/>
          <w:pgMar w:top="1276" w:right="1418" w:bottom="1247" w:left="1418" w:header="851" w:footer="992" w:gutter="0"/>
          <w:pgNumType w:fmt="decimal" w:start="1"/>
          <w:cols w:space="720" w:num="1"/>
          <w:titlePg/>
          <w:docGrid w:linePitch="312" w:charSpace="0"/>
        </w:sectPr>
      </w:pPr>
    </w:p>
    <w:p w14:paraId="540AD9EE">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30977EA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DD97EB5">
      <w:pPr>
        <w:spacing w:line="360" w:lineRule="auto"/>
        <w:jc w:val="center"/>
        <w:outlineLvl w:val="0"/>
        <w:rPr>
          <w:rFonts w:hint="eastAsia" w:ascii="仿宋" w:hAnsi="仿宋" w:eastAsia="仿宋" w:cs="仿宋"/>
          <w:b/>
          <w:color w:val="auto"/>
          <w:kern w:val="0"/>
          <w:sz w:val="36"/>
          <w:szCs w:val="36"/>
        </w:rPr>
      </w:pPr>
    </w:p>
    <w:p w14:paraId="13D09E6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（1）交易一览表（报价表）………………………………………………………（页码）</w:t>
      </w:r>
    </w:p>
    <w:p w14:paraId="674A3DC3">
      <w:pPr>
        <w:snapToGrid w:val="0"/>
        <w:spacing w:line="360" w:lineRule="auto"/>
        <w:ind w:right="480"/>
        <w:jc w:val="center"/>
        <w:rPr>
          <w:rFonts w:hint="eastAsia" w:ascii="仿宋" w:hAnsi="仿宋" w:eastAsia="仿宋" w:cs="仿宋"/>
          <w:b/>
          <w:color w:val="auto"/>
          <w:kern w:val="0"/>
          <w:sz w:val="32"/>
          <w:szCs w:val="32"/>
        </w:rPr>
      </w:pPr>
    </w:p>
    <w:p w14:paraId="28EC3EA8">
      <w:pPr>
        <w:snapToGrid w:val="0"/>
        <w:spacing w:line="360" w:lineRule="auto"/>
        <w:ind w:right="480"/>
        <w:jc w:val="center"/>
        <w:rPr>
          <w:rFonts w:hint="eastAsia" w:ascii="仿宋" w:hAnsi="仿宋" w:eastAsia="仿宋" w:cs="仿宋"/>
          <w:b/>
          <w:color w:val="auto"/>
          <w:kern w:val="0"/>
          <w:sz w:val="32"/>
          <w:szCs w:val="32"/>
        </w:rPr>
      </w:pPr>
    </w:p>
    <w:p w14:paraId="1150EA87">
      <w:pPr>
        <w:snapToGrid w:val="0"/>
        <w:spacing w:line="360" w:lineRule="auto"/>
        <w:ind w:right="480"/>
        <w:jc w:val="center"/>
        <w:rPr>
          <w:rFonts w:hint="eastAsia" w:ascii="仿宋" w:hAnsi="仿宋" w:eastAsia="仿宋" w:cs="仿宋"/>
          <w:b/>
          <w:color w:val="auto"/>
          <w:kern w:val="0"/>
          <w:sz w:val="32"/>
          <w:szCs w:val="32"/>
        </w:rPr>
      </w:pPr>
    </w:p>
    <w:p w14:paraId="5599B872">
      <w:pPr>
        <w:snapToGrid w:val="0"/>
        <w:spacing w:line="360" w:lineRule="auto"/>
        <w:ind w:right="480"/>
        <w:jc w:val="center"/>
        <w:rPr>
          <w:rFonts w:hint="eastAsia" w:ascii="仿宋" w:hAnsi="仿宋" w:eastAsia="仿宋" w:cs="仿宋"/>
          <w:b/>
          <w:color w:val="auto"/>
          <w:kern w:val="0"/>
          <w:sz w:val="32"/>
          <w:szCs w:val="32"/>
        </w:rPr>
      </w:pPr>
    </w:p>
    <w:p w14:paraId="5D61A0A5">
      <w:pPr>
        <w:snapToGrid w:val="0"/>
        <w:spacing w:line="360" w:lineRule="auto"/>
        <w:ind w:right="480"/>
        <w:jc w:val="center"/>
        <w:rPr>
          <w:rFonts w:hint="eastAsia" w:ascii="仿宋" w:hAnsi="仿宋" w:eastAsia="仿宋" w:cs="仿宋"/>
          <w:b/>
          <w:color w:val="auto"/>
          <w:kern w:val="0"/>
          <w:sz w:val="32"/>
          <w:szCs w:val="32"/>
        </w:rPr>
      </w:pPr>
    </w:p>
    <w:p w14:paraId="71037861">
      <w:pPr>
        <w:snapToGrid w:val="0"/>
        <w:spacing w:line="360" w:lineRule="auto"/>
        <w:ind w:right="480"/>
        <w:jc w:val="center"/>
        <w:rPr>
          <w:rFonts w:hint="eastAsia" w:ascii="仿宋" w:hAnsi="仿宋" w:eastAsia="仿宋" w:cs="仿宋"/>
          <w:b/>
          <w:color w:val="auto"/>
          <w:kern w:val="0"/>
          <w:sz w:val="32"/>
          <w:szCs w:val="32"/>
        </w:rPr>
      </w:pPr>
    </w:p>
    <w:p w14:paraId="3D21AAE9">
      <w:pPr>
        <w:snapToGrid w:val="0"/>
        <w:spacing w:line="360" w:lineRule="auto"/>
        <w:ind w:right="480"/>
        <w:jc w:val="center"/>
        <w:rPr>
          <w:rFonts w:hint="eastAsia" w:ascii="仿宋" w:hAnsi="仿宋" w:eastAsia="仿宋" w:cs="仿宋"/>
          <w:b/>
          <w:color w:val="auto"/>
          <w:kern w:val="0"/>
          <w:sz w:val="32"/>
          <w:szCs w:val="32"/>
        </w:rPr>
      </w:pPr>
    </w:p>
    <w:p w14:paraId="7D5A588E">
      <w:pPr>
        <w:snapToGrid w:val="0"/>
        <w:spacing w:line="360" w:lineRule="auto"/>
        <w:ind w:right="480"/>
        <w:jc w:val="center"/>
        <w:rPr>
          <w:rFonts w:hint="eastAsia" w:ascii="仿宋" w:hAnsi="仿宋" w:eastAsia="仿宋" w:cs="仿宋"/>
          <w:b/>
          <w:color w:val="auto"/>
          <w:kern w:val="0"/>
          <w:sz w:val="32"/>
          <w:szCs w:val="32"/>
        </w:rPr>
      </w:pPr>
    </w:p>
    <w:p w14:paraId="46953AEC">
      <w:pPr>
        <w:snapToGrid w:val="0"/>
        <w:spacing w:line="360" w:lineRule="auto"/>
        <w:ind w:right="480"/>
        <w:jc w:val="center"/>
        <w:rPr>
          <w:rFonts w:hint="eastAsia" w:ascii="仿宋" w:hAnsi="仿宋" w:eastAsia="仿宋" w:cs="仿宋"/>
          <w:b/>
          <w:color w:val="auto"/>
          <w:kern w:val="0"/>
          <w:sz w:val="32"/>
          <w:szCs w:val="32"/>
        </w:rPr>
      </w:pPr>
    </w:p>
    <w:p w14:paraId="6DCB85EC">
      <w:pPr>
        <w:snapToGrid w:val="0"/>
        <w:spacing w:line="360" w:lineRule="auto"/>
        <w:ind w:right="480"/>
        <w:jc w:val="center"/>
        <w:rPr>
          <w:rFonts w:hint="eastAsia" w:ascii="仿宋" w:hAnsi="仿宋" w:eastAsia="仿宋" w:cs="仿宋"/>
          <w:b/>
          <w:color w:val="auto"/>
          <w:kern w:val="0"/>
          <w:sz w:val="32"/>
          <w:szCs w:val="32"/>
        </w:rPr>
      </w:pPr>
    </w:p>
    <w:p w14:paraId="08157216">
      <w:pPr>
        <w:snapToGrid w:val="0"/>
        <w:spacing w:line="360" w:lineRule="auto"/>
        <w:ind w:right="480"/>
        <w:jc w:val="center"/>
        <w:rPr>
          <w:rFonts w:hint="eastAsia" w:ascii="仿宋" w:hAnsi="仿宋" w:eastAsia="仿宋" w:cs="仿宋"/>
          <w:b/>
          <w:color w:val="auto"/>
          <w:kern w:val="0"/>
          <w:sz w:val="32"/>
          <w:szCs w:val="32"/>
        </w:rPr>
      </w:pPr>
    </w:p>
    <w:p w14:paraId="483DF576">
      <w:pPr>
        <w:pStyle w:val="599"/>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headerReference r:id="rId10" w:type="first"/>
          <w:footerReference r:id="rId12" w:type="first"/>
          <w:headerReference r:id="rId9" w:type="default"/>
          <w:footerReference r:id="rId11" w:type="default"/>
          <w:pgSz w:w="11906" w:h="16838"/>
          <w:pgMar w:top="1247" w:right="1418" w:bottom="1276" w:left="1418" w:header="851" w:footer="992" w:gutter="0"/>
          <w:pgNumType w:fmt="decimal"/>
          <w:cols w:space="720" w:num="1"/>
          <w:titlePg/>
          <w:docGrid w:linePitch="312" w:charSpace="0"/>
        </w:sectPr>
      </w:pPr>
    </w:p>
    <w:p w14:paraId="2386AAEA">
      <w:pPr>
        <w:pStyle w:val="599"/>
        <w:keepNext w:val="0"/>
        <w:pageBreakBefore w:val="0"/>
        <w:tabs>
          <w:tab w:val="clear" w:pos="720"/>
        </w:tabs>
        <w:snapToGrid w:val="0"/>
        <w:spacing w:before="120" w:after="12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3FE6F25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（交易发起人）、（代理机构）</w:t>
      </w:r>
      <w:r>
        <w:rPr>
          <w:rFonts w:hint="eastAsia" w:ascii="仿宋" w:hAnsi="仿宋" w:eastAsia="仿宋" w:cs="仿宋"/>
          <w:color w:val="auto"/>
          <w:kern w:val="0"/>
          <w:sz w:val="24"/>
          <w:lang w:val="zh-CN"/>
        </w:rPr>
        <w:t>：</w:t>
      </w:r>
    </w:p>
    <w:p w14:paraId="7F9459CF">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按你方交易文件要求，我们，本响应文件签字方，谨此向你方发出要约如下：如你方接受本次交易，我方承诺按照如下响应一览表（报价表）的价格完成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u w:val="single"/>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4F007866">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9E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195F41C">
            <w:pPr>
              <w:jc w:val="center"/>
              <w:rPr>
                <w:rFonts w:hint="eastAsia" w:ascii="仿宋" w:hAnsi="仿宋" w:eastAsia="仿宋" w:cs="仿宋"/>
                <w:b/>
                <w:color w:val="auto"/>
              </w:rPr>
            </w:pPr>
            <w:r>
              <w:rPr>
                <w:rFonts w:hint="eastAsia" w:ascii="仿宋" w:hAnsi="仿宋" w:eastAsia="仿宋" w:cs="仿宋"/>
                <w:b/>
                <w:color w:val="auto"/>
              </w:rPr>
              <w:t>序号</w:t>
            </w:r>
          </w:p>
        </w:tc>
        <w:tc>
          <w:tcPr>
            <w:tcW w:w="1417" w:type="dxa"/>
            <w:vAlign w:val="center"/>
          </w:tcPr>
          <w:p w14:paraId="3539E8B6">
            <w:pPr>
              <w:jc w:val="center"/>
              <w:rPr>
                <w:rFonts w:hint="eastAsia" w:ascii="仿宋" w:hAnsi="仿宋" w:eastAsia="仿宋" w:cs="仿宋"/>
                <w:b/>
                <w:color w:val="auto"/>
              </w:rPr>
            </w:pPr>
            <w:r>
              <w:rPr>
                <w:rFonts w:hint="eastAsia" w:ascii="仿宋" w:hAnsi="仿宋" w:eastAsia="仿宋" w:cs="仿宋"/>
                <w:b/>
                <w:color w:val="auto"/>
              </w:rPr>
              <w:t>名称</w:t>
            </w:r>
          </w:p>
        </w:tc>
        <w:tc>
          <w:tcPr>
            <w:tcW w:w="1843" w:type="dxa"/>
          </w:tcPr>
          <w:p w14:paraId="0547AA14">
            <w:pPr>
              <w:jc w:val="center"/>
              <w:rPr>
                <w:rFonts w:hint="eastAsia" w:ascii="仿宋" w:hAnsi="仿宋" w:eastAsia="仿宋" w:cs="仿宋"/>
                <w:b/>
                <w:color w:val="auto"/>
              </w:rPr>
            </w:pPr>
          </w:p>
          <w:p w14:paraId="48A54E9A">
            <w:pPr>
              <w:jc w:val="center"/>
              <w:rPr>
                <w:rFonts w:hint="eastAsia" w:ascii="仿宋" w:hAnsi="仿宋" w:eastAsia="仿宋" w:cs="仿宋"/>
                <w:b/>
                <w:color w:val="auto"/>
              </w:rPr>
            </w:pPr>
          </w:p>
          <w:p w14:paraId="61FE981F">
            <w:pPr>
              <w:jc w:val="center"/>
              <w:rPr>
                <w:rFonts w:hint="eastAsia" w:ascii="仿宋" w:hAnsi="仿宋" w:eastAsia="仿宋" w:cs="仿宋"/>
                <w:b/>
                <w:color w:val="auto"/>
              </w:rPr>
            </w:pPr>
            <w:r>
              <w:rPr>
                <w:rFonts w:hint="eastAsia" w:ascii="仿宋" w:hAnsi="仿宋" w:eastAsia="仿宋" w:cs="仿宋"/>
                <w:b/>
                <w:color w:val="auto"/>
              </w:rPr>
              <w:t>品牌（如果有）</w:t>
            </w:r>
          </w:p>
        </w:tc>
        <w:tc>
          <w:tcPr>
            <w:tcW w:w="3118" w:type="dxa"/>
            <w:vAlign w:val="center"/>
          </w:tcPr>
          <w:p w14:paraId="7589F646">
            <w:pPr>
              <w:jc w:val="center"/>
              <w:rPr>
                <w:rFonts w:hint="eastAsia" w:ascii="仿宋" w:hAnsi="仿宋" w:eastAsia="仿宋" w:cs="仿宋"/>
                <w:b/>
                <w:color w:val="auto"/>
              </w:rPr>
            </w:pPr>
            <w:r>
              <w:rPr>
                <w:rFonts w:hint="eastAsia" w:ascii="仿宋" w:hAnsi="仿宋" w:eastAsia="仿宋" w:cs="仿宋"/>
                <w:b/>
                <w:color w:val="auto"/>
              </w:rPr>
              <w:t>规格型号（或具体服务）</w:t>
            </w:r>
          </w:p>
        </w:tc>
        <w:tc>
          <w:tcPr>
            <w:tcW w:w="993" w:type="dxa"/>
            <w:vAlign w:val="center"/>
          </w:tcPr>
          <w:p w14:paraId="6B24055A">
            <w:pPr>
              <w:jc w:val="center"/>
              <w:rPr>
                <w:rFonts w:hint="eastAsia" w:ascii="仿宋" w:hAnsi="仿宋" w:eastAsia="仿宋" w:cs="仿宋"/>
                <w:b/>
                <w:color w:val="auto"/>
              </w:rPr>
            </w:pPr>
            <w:r>
              <w:rPr>
                <w:rFonts w:hint="eastAsia" w:ascii="仿宋" w:hAnsi="仿宋" w:eastAsia="仿宋" w:cs="仿宋"/>
                <w:b/>
                <w:color w:val="auto"/>
              </w:rPr>
              <w:t>数量</w:t>
            </w:r>
          </w:p>
        </w:tc>
        <w:tc>
          <w:tcPr>
            <w:tcW w:w="1559" w:type="dxa"/>
            <w:vAlign w:val="center"/>
          </w:tcPr>
          <w:p w14:paraId="735C5937">
            <w:pPr>
              <w:jc w:val="center"/>
              <w:rPr>
                <w:rFonts w:hint="eastAsia" w:ascii="仿宋" w:hAnsi="仿宋" w:eastAsia="仿宋" w:cs="仿宋"/>
                <w:b/>
                <w:color w:val="auto"/>
              </w:rPr>
            </w:pPr>
            <w:r>
              <w:rPr>
                <w:rFonts w:hint="eastAsia" w:ascii="仿宋" w:hAnsi="仿宋" w:eastAsia="仿宋" w:cs="仿宋"/>
                <w:b/>
                <w:color w:val="auto"/>
              </w:rPr>
              <w:t>单价</w:t>
            </w:r>
          </w:p>
        </w:tc>
        <w:tc>
          <w:tcPr>
            <w:tcW w:w="1984" w:type="dxa"/>
            <w:vAlign w:val="center"/>
          </w:tcPr>
          <w:p w14:paraId="3D47499D">
            <w:pPr>
              <w:jc w:val="center"/>
              <w:rPr>
                <w:rFonts w:hint="eastAsia" w:ascii="仿宋" w:hAnsi="仿宋" w:eastAsia="仿宋" w:cs="仿宋"/>
                <w:b/>
                <w:color w:val="auto"/>
              </w:rPr>
            </w:pPr>
            <w:r>
              <w:rPr>
                <w:rFonts w:hint="eastAsia" w:ascii="仿宋" w:hAnsi="仿宋" w:eastAsia="仿宋" w:cs="仿宋"/>
                <w:b/>
                <w:color w:val="auto"/>
              </w:rPr>
              <w:t>总价</w:t>
            </w:r>
          </w:p>
        </w:tc>
        <w:tc>
          <w:tcPr>
            <w:tcW w:w="3119" w:type="dxa"/>
            <w:vAlign w:val="center"/>
          </w:tcPr>
          <w:p w14:paraId="38C73875">
            <w:pPr>
              <w:jc w:val="center"/>
              <w:rPr>
                <w:rFonts w:hint="eastAsia" w:ascii="仿宋" w:hAnsi="仿宋" w:eastAsia="仿宋" w:cs="仿宋"/>
                <w:b/>
                <w:color w:val="auto"/>
              </w:rPr>
            </w:pPr>
          </w:p>
          <w:p w14:paraId="6B4308E0">
            <w:pPr>
              <w:jc w:val="center"/>
              <w:rPr>
                <w:rFonts w:hint="eastAsia" w:ascii="仿宋" w:hAnsi="仿宋" w:eastAsia="仿宋" w:cs="仿宋"/>
                <w:b/>
                <w:color w:val="auto"/>
              </w:rPr>
            </w:pPr>
            <w:r>
              <w:rPr>
                <w:rFonts w:hint="eastAsia" w:ascii="仿宋" w:hAnsi="仿宋" w:eastAsia="仿宋" w:cs="仿宋"/>
                <w:b/>
                <w:color w:val="auto"/>
              </w:rPr>
              <w:t>质保或服务年限</w:t>
            </w:r>
          </w:p>
          <w:p w14:paraId="168D29BA">
            <w:pPr>
              <w:jc w:val="center"/>
              <w:rPr>
                <w:rFonts w:hint="eastAsia" w:ascii="仿宋" w:hAnsi="仿宋" w:eastAsia="仿宋" w:cs="仿宋"/>
                <w:b/>
                <w:color w:val="auto"/>
              </w:rPr>
            </w:pPr>
          </w:p>
        </w:tc>
      </w:tr>
      <w:tr w14:paraId="02F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173602">
            <w:pPr>
              <w:rPr>
                <w:rFonts w:hint="eastAsia" w:ascii="仿宋" w:hAnsi="仿宋" w:eastAsia="仿宋" w:cs="仿宋"/>
                <w:color w:val="auto"/>
              </w:rPr>
            </w:pPr>
            <w:r>
              <w:rPr>
                <w:rFonts w:hint="eastAsia" w:ascii="仿宋" w:hAnsi="仿宋" w:eastAsia="仿宋" w:cs="仿宋"/>
                <w:color w:val="auto"/>
              </w:rPr>
              <w:t>1</w:t>
            </w:r>
          </w:p>
        </w:tc>
        <w:tc>
          <w:tcPr>
            <w:tcW w:w="1417" w:type="dxa"/>
            <w:vAlign w:val="center"/>
          </w:tcPr>
          <w:p w14:paraId="28E54B46">
            <w:pPr>
              <w:rPr>
                <w:rFonts w:hint="eastAsia" w:ascii="仿宋" w:hAnsi="仿宋" w:eastAsia="仿宋" w:cs="仿宋"/>
                <w:color w:val="auto"/>
              </w:rPr>
            </w:pPr>
          </w:p>
        </w:tc>
        <w:tc>
          <w:tcPr>
            <w:tcW w:w="1843" w:type="dxa"/>
            <w:vAlign w:val="center"/>
          </w:tcPr>
          <w:p w14:paraId="7DFD7195">
            <w:pPr>
              <w:rPr>
                <w:rFonts w:hint="eastAsia" w:ascii="仿宋" w:hAnsi="仿宋" w:eastAsia="仿宋" w:cs="仿宋"/>
                <w:color w:val="auto"/>
              </w:rPr>
            </w:pPr>
          </w:p>
        </w:tc>
        <w:tc>
          <w:tcPr>
            <w:tcW w:w="3118" w:type="dxa"/>
            <w:vAlign w:val="center"/>
          </w:tcPr>
          <w:p w14:paraId="713FD06E">
            <w:pPr>
              <w:rPr>
                <w:rFonts w:hint="eastAsia" w:ascii="仿宋" w:hAnsi="仿宋" w:eastAsia="仿宋" w:cs="仿宋"/>
                <w:color w:val="auto"/>
              </w:rPr>
            </w:pPr>
          </w:p>
        </w:tc>
        <w:tc>
          <w:tcPr>
            <w:tcW w:w="993" w:type="dxa"/>
            <w:vAlign w:val="center"/>
          </w:tcPr>
          <w:p w14:paraId="06CCA9F0">
            <w:pPr>
              <w:rPr>
                <w:rFonts w:hint="eastAsia" w:ascii="仿宋" w:hAnsi="仿宋" w:eastAsia="仿宋" w:cs="仿宋"/>
                <w:color w:val="auto"/>
              </w:rPr>
            </w:pPr>
          </w:p>
        </w:tc>
        <w:tc>
          <w:tcPr>
            <w:tcW w:w="1559" w:type="dxa"/>
            <w:vAlign w:val="center"/>
          </w:tcPr>
          <w:p w14:paraId="45915D9F">
            <w:pPr>
              <w:rPr>
                <w:rFonts w:hint="eastAsia" w:ascii="仿宋" w:hAnsi="仿宋" w:eastAsia="仿宋" w:cs="仿宋"/>
                <w:color w:val="auto"/>
              </w:rPr>
            </w:pPr>
          </w:p>
        </w:tc>
        <w:tc>
          <w:tcPr>
            <w:tcW w:w="1984" w:type="dxa"/>
            <w:vAlign w:val="center"/>
          </w:tcPr>
          <w:p w14:paraId="22544B30">
            <w:pPr>
              <w:rPr>
                <w:rFonts w:hint="eastAsia" w:ascii="仿宋" w:hAnsi="仿宋" w:eastAsia="仿宋" w:cs="仿宋"/>
                <w:color w:val="auto"/>
              </w:rPr>
            </w:pPr>
          </w:p>
        </w:tc>
        <w:tc>
          <w:tcPr>
            <w:tcW w:w="3119" w:type="dxa"/>
            <w:vAlign w:val="center"/>
          </w:tcPr>
          <w:p w14:paraId="5F088437">
            <w:pPr>
              <w:rPr>
                <w:rFonts w:hint="eastAsia" w:ascii="仿宋" w:hAnsi="仿宋" w:eastAsia="仿宋" w:cs="仿宋"/>
                <w:color w:val="auto"/>
              </w:rPr>
            </w:pPr>
          </w:p>
        </w:tc>
      </w:tr>
      <w:tr w14:paraId="163B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100870">
            <w:pPr>
              <w:rPr>
                <w:rFonts w:hint="eastAsia" w:ascii="仿宋" w:hAnsi="仿宋" w:eastAsia="仿宋" w:cs="仿宋"/>
                <w:color w:val="auto"/>
              </w:rPr>
            </w:pPr>
            <w:r>
              <w:rPr>
                <w:rFonts w:hint="eastAsia" w:ascii="仿宋" w:hAnsi="仿宋" w:eastAsia="仿宋" w:cs="仿宋"/>
                <w:color w:val="auto"/>
              </w:rPr>
              <w:t>2</w:t>
            </w:r>
          </w:p>
        </w:tc>
        <w:tc>
          <w:tcPr>
            <w:tcW w:w="1417" w:type="dxa"/>
            <w:vAlign w:val="center"/>
          </w:tcPr>
          <w:p w14:paraId="1A3A4186">
            <w:pPr>
              <w:rPr>
                <w:rFonts w:hint="eastAsia" w:ascii="仿宋" w:hAnsi="仿宋" w:eastAsia="仿宋" w:cs="仿宋"/>
                <w:color w:val="auto"/>
              </w:rPr>
            </w:pPr>
          </w:p>
        </w:tc>
        <w:tc>
          <w:tcPr>
            <w:tcW w:w="1843" w:type="dxa"/>
            <w:vAlign w:val="center"/>
          </w:tcPr>
          <w:p w14:paraId="11DEB501">
            <w:pPr>
              <w:rPr>
                <w:rFonts w:hint="eastAsia" w:ascii="仿宋" w:hAnsi="仿宋" w:eastAsia="仿宋" w:cs="仿宋"/>
                <w:color w:val="auto"/>
              </w:rPr>
            </w:pPr>
          </w:p>
        </w:tc>
        <w:tc>
          <w:tcPr>
            <w:tcW w:w="3118" w:type="dxa"/>
            <w:vAlign w:val="center"/>
          </w:tcPr>
          <w:p w14:paraId="08B72506">
            <w:pPr>
              <w:rPr>
                <w:rFonts w:hint="eastAsia" w:ascii="仿宋" w:hAnsi="仿宋" w:eastAsia="仿宋" w:cs="仿宋"/>
                <w:color w:val="auto"/>
              </w:rPr>
            </w:pPr>
          </w:p>
        </w:tc>
        <w:tc>
          <w:tcPr>
            <w:tcW w:w="993" w:type="dxa"/>
            <w:vAlign w:val="center"/>
          </w:tcPr>
          <w:p w14:paraId="01FD0E5E">
            <w:pPr>
              <w:rPr>
                <w:rFonts w:hint="eastAsia" w:ascii="仿宋" w:hAnsi="仿宋" w:eastAsia="仿宋" w:cs="仿宋"/>
                <w:color w:val="auto"/>
              </w:rPr>
            </w:pPr>
          </w:p>
        </w:tc>
        <w:tc>
          <w:tcPr>
            <w:tcW w:w="1559" w:type="dxa"/>
            <w:vAlign w:val="center"/>
          </w:tcPr>
          <w:p w14:paraId="1EC8CA23">
            <w:pPr>
              <w:rPr>
                <w:rFonts w:hint="eastAsia" w:ascii="仿宋" w:hAnsi="仿宋" w:eastAsia="仿宋" w:cs="仿宋"/>
                <w:color w:val="auto"/>
              </w:rPr>
            </w:pPr>
          </w:p>
        </w:tc>
        <w:tc>
          <w:tcPr>
            <w:tcW w:w="1984" w:type="dxa"/>
            <w:vAlign w:val="center"/>
          </w:tcPr>
          <w:p w14:paraId="13B20E6D">
            <w:pPr>
              <w:rPr>
                <w:rFonts w:hint="eastAsia" w:ascii="仿宋" w:hAnsi="仿宋" w:eastAsia="仿宋" w:cs="仿宋"/>
                <w:color w:val="auto"/>
              </w:rPr>
            </w:pPr>
          </w:p>
        </w:tc>
        <w:tc>
          <w:tcPr>
            <w:tcW w:w="3119" w:type="dxa"/>
            <w:vAlign w:val="center"/>
          </w:tcPr>
          <w:p w14:paraId="68E872B8">
            <w:pPr>
              <w:rPr>
                <w:rFonts w:hint="eastAsia" w:ascii="仿宋" w:hAnsi="仿宋" w:eastAsia="仿宋" w:cs="仿宋"/>
                <w:color w:val="auto"/>
              </w:rPr>
            </w:pPr>
          </w:p>
        </w:tc>
      </w:tr>
      <w:tr w14:paraId="6B56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F38265">
            <w:pPr>
              <w:rPr>
                <w:rFonts w:hint="eastAsia" w:ascii="仿宋" w:hAnsi="仿宋" w:eastAsia="仿宋" w:cs="仿宋"/>
                <w:color w:val="auto"/>
              </w:rPr>
            </w:pPr>
            <w:r>
              <w:rPr>
                <w:rFonts w:hint="eastAsia" w:ascii="仿宋" w:hAnsi="仿宋" w:eastAsia="仿宋" w:cs="仿宋"/>
                <w:color w:val="auto"/>
              </w:rPr>
              <w:t>…</w:t>
            </w:r>
          </w:p>
        </w:tc>
        <w:tc>
          <w:tcPr>
            <w:tcW w:w="1417" w:type="dxa"/>
            <w:vAlign w:val="center"/>
          </w:tcPr>
          <w:p w14:paraId="21BBEFBD">
            <w:pPr>
              <w:rPr>
                <w:rFonts w:hint="eastAsia" w:ascii="仿宋" w:hAnsi="仿宋" w:eastAsia="仿宋" w:cs="仿宋"/>
                <w:color w:val="auto"/>
              </w:rPr>
            </w:pPr>
          </w:p>
        </w:tc>
        <w:tc>
          <w:tcPr>
            <w:tcW w:w="1843" w:type="dxa"/>
            <w:vAlign w:val="center"/>
          </w:tcPr>
          <w:p w14:paraId="084069F1">
            <w:pPr>
              <w:rPr>
                <w:rFonts w:hint="eastAsia" w:ascii="仿宋" w:hAnsi="仿宋" w:eastAsia="仿宋" w:cs="仿宋"/>
                <w:color w:val="auto"/>
              </w:rPr>
            </w:pPr>
          </w:p>
        </w:tc>
        <w:tc>
          <w:tcPr>
            <w:tcW w:w="3118" w:type="dxa"/>
            <w:vAlign w:val="center"/>
          </w:tcPr>
          <w:p w14:paraId="32F9BC81">
            <w:pPr>
              <w:rPr>
                <w:rFonts w:hint="eastAsia" w:ascii="仿宋" w:hAnsi="仿宋" w:eastAsia="仿宋" w:cs="仿宋"/>
                <w:color w:val="auto"/>
              </w:rPr>
            </w:pPr>
          </w:p>
        </w:tc>
        <w:tc>
          <w:tcPr>
            <w:tcW w:w="993" w:type="dxa"/>
            <w:vAlign w:val="center"/>
          </w:tcPr>
          <w:p w14:paraId="506CAC49">
            <w:pPr>
              <w:rPr>
                <w:rFonts w:hint="eastAsia" w:ascii="仿宋" w:hAnsi="仿宋" w:eastAsia="仿宋" w:cs="仿宋"/>
                <w:color w:val="auto"/>
              </w:rPr>
            </w:pPr>
          </w:p>
        </w:tc>
        <w:tc>
          <w:tcPr>
            <w:tcW w:w="1559" w:type="dxa"/>
            <w:vAlign w:val="center"/>
          </w:tcPr>
          <w:p w14:paraId="2390D2D3">
            <w:pPr>
              <w:rPr>
                <w:rFonts w:hint="eastAsia" w:ascii="仿宋" w:hAnsi="仿宋" w:eastAsia="仿宋" w:cs="仿宋"/>
                <w:color w:val="auto"/>
              </w:rPr>
            </w:pPr>
          </w:p>
        </w:tc>
        <w:tc>
          <w:tcPr>
            <w:tcW w:w="1984" w:type="dxa"/>
            <w:vAlign w:val="center"/>
          </w:tcPr>
          <w:p w14:paraId="6DA79AE9">
            <w:pPr>
              <w:rPr>
                <w:rFonts w:hint="eastAsia" w:ascii="仿宋" w:hAnsi="仿宋" w:eastAsia="仿宋" w:cs="仿宋"/>
                <w:color w:val="auto"/>
              </w:rPr>
            </w:pPr>
          </w:p>
        </w:tc>
        <w:tc>
          <w:tcPr>
            <w:tcW w:w="3119" w:type="dxa"/>
            <w:vAlign w:val="center"/>
          </w:tcPr>
          <w:p w14:paraId="4E92A9E9">
            <w:pPr>
              <w:rPr>
                <w:rFonts w:hint="eastAsia" w:ascii="仿宋" w:hAnsi="仿宋" w:eastAsia="仿宋" w:cs="仿宋"/>
                <w:color w:val="auto"/>
              </w:rPr>
            </w:pPr>
          </w:p>
        </w:tc>
      </w:tr>
      <w:tr w14:paraId="1B5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F61CA5">
            <w:pPr>
              <w:rPr>
                <w:rFonts w:hint="eastAsia" w:ascii="仿宋" w:hAnsi="仿宋" w:eastAsia="仿宋" w:cs="仿宋"/>
                <w:b/>
                <w:color w:val="auto"/>
              </w:rPr>
            </w:pPr>
            <w:r>
              <w:rPr>
                <w:rFonts w:hint="eastAsia" w:ascii="仿宋" w:hAnsi="仿宋" w:eastAsia="仿宋" w:cs="仿宋"/>
                <w:b/>
                <w:color w:val="auto"/>
              </w:rPr>
              <w:t>响应报价（小写）</w:t>
            </w:r>
          </w:p>
        </w:tc>
        <w:tc>
          <w:tcPr>
            <w:tcW w:w="7655" w:type="dxa"/>
            <w:gridSpan w:val="4"/>
            <w:vAlign w:val="center"/>
          </w:tcPr>
          <w:p w14:paraId="7507607F">
            <w:pPr>
              <w:rPr>
                <w:rFonts w:hint="eastAsia" w:ascii="仿宋" w:hAnsi="仿宋" w:eastAsia="仿宋" w:cs="仿宋"/>
                <w:color w:val="auto"/>
              </w:rPr>
            </w:pPr>
          </w:p>
        </w:tc>
      </w:tr>
      <w:tr w14:paraId="5DD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5CA59E">
            <w:pPr>
              <w:rPr>
                <w:rFonts w:hint="eastAsia" w:ascii="仿宋" w:hAnsi="仿宋" w:eastAsia="仿宋" w:cs="仿宋"/>
                <w:b/>
                <w:color w:val="auto"/>
              </w:rPr>
            </w:pPr>
            <w:r>
              <w:rPr>
                <w:rFonts w:hint="eastAsia" w:ascii="仿宋" w:hAnsi="仿宋" w:eastAsia="仿宋" w:cs="仿宋"/>
                <w:b/>
                <w:color w:val="auto"/>
              </w:rPr>
              <w:t>响应报价（大写）</w:t>
            </w:r>
          </w:p>
        </w:tc>
        <w:tc>
          <w:tcPr>
            <w:tcW w:w="7655" w:type="dxa"/>
            <w:gridSpan w:val="4"/>
            <w:vAlign w:val="center"/>
          </w:tcPr>
          <w:p w14:paraId="70FA8D12">
            <w:pPr>
              <w:rPr>
                <w:rFonts w:hint="eastAsia" w:ascii="仿宋" w:hAnsi="仿宋" w:eastAsia="仿宋" w:cs="仿宋"/>
                <w:color w:val="auto"/>
              </w:rPr>
            </w:pPr>
          </w:p>
        </w:tc>
      </w:tr>
    </w:tbl>
    <w:p w14:paraId="60D8557E">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54E48F7">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1、响应人需按本表格式填写，不得自行更改。</w:t>
      </w:r>
    </w:p>
    <w:p w14:paraId="57356237">
      <w:pPr>
        <w:snapToGrid w:val="0"/>
        <w:spacing w:line="360" w:lineRule="auto"/>
        <w:ind w:left="480"/>
        <w:rPr>
          <w:rFonts w:hint="eastAsia" w:ascii="仿宋" w:hAnsi="仿宋" w:eastAsia="仿宋" w:cs="仿宋"/>
          <w:b/>
          <w:color w:val="auto"/>
          <w:kern w:val="0"/>
          <w:sz w:val="24"/>
        </w:rPr>
      </w:pPr>
      <w:r>
        <w:rPr>
          <w:rFonts w:hint="eastAsia" w:ascii="仿宋" w:hAnsi="仿宋" w:eastAsia="仿宋" w:cs="仿宋"/>
          <w:color w:val="auto"/>
          <w:kern w:val="0"/>
          <w:sz w:val="24"/>
          <w:lang w:val="zh-CN"/>
        </w:rPr>
        <w:t>2、有关本项目实施所涉及的一切费用均计入报价。</w:t>
      </w:r>
    </w:p>
    <w:p w14:paraId="17A4FD6D">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r>
        <w:rPr>
          <w:rFonts w:hint="eastAsia" w:ascii="仿宋" w:hAnsi="仿宋" w:eastAsia="仿宋" w:cs="仿宋"/>
          <w:color w:val="auto"/>
          <w:sz w:val="24"/>
        </w:rPr>
        <w:t xml:space="preserve">                                                                               </w:t>
      </w:r>
    </w:p>
    <w:p w14:paraId="5A067E95">
      <w:pPr>
        <w:spacing w:line="360" w:lineRule="auto"/>
        <w:ind w:firstLine="480" w:firstLineChars="200"/>
        <w:jc w:val="center"/>
        <w:rPr>
          <w:rFonts w:hint="eastAsia" w:ascii="仿宋" w:hAnsi="仿宋" w:eastAsia="仿宋" w:cs="仿宋"/>
          <w:color w:val="auto"/>
        </w:rPr>
      </w:pPr>
      <w:r>
        <w:rPr>
          <w:rFonts w:hint="eastAsia" w:ascii="仿宋" w:hAnsi="仿宋" w:eastAsia="仿宋" w:cs="仿宋"/>
          <w:color w:val="auto"/>
          <w:sz w:val="24"/>
        </w:rPr>
        <w:t xml:space="preserve">                                                              日期：  年   月   日</w:t>
      </w:r>
    </w:p>
    <w:sectPr>
      <w:pgSz w:w="16838" w:h="11906" w:orient="landscape"/>
      <w:pgMar w:top="1417" w:right="1247" w:bottom="1417" w:left="1276"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69E3">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B06E4">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6B06E4">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14:paraId="249A87D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DC42">
    <w:pPr>
      <w:pStyle w:val="39"/>
      <w:jc w:val="center"/>
      <w:rPr>
        <w:rFonts w:ascii="仿宋_GB2312" w:eastAsia="仿宋_GB2312"/>
      </w:rPr>
    </w:pPr>
  </w:p>
  <w:p w14:paraId="381255C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37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AD3D">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F0AD3D">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516C2D3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E5AC">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B33E">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3CB33E">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379D11F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FEC5">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E78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19E78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014A">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2372">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272372">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F364">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F9B">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8782">
    <w:pPr>
      <w:pStyle w:val="41"/>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1C5">
    <w:pPr>
      <w:pStyle w:val="41"/>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A709DAC"/>
    <w:multiLevelType w:val="singleLevel"/>
    <w:tmpl w:val="6A709DAC"/>
    <w:lvl w:ilvl="0" w:tentative="0">
      <w:start w:val="9"/>
      <w:numFmt w:val="chineseCounting"/>
      <w:suff w:val="nothing"/>
      <w:lvlText w:val="%1、"/>
      <w:lvlJc w:val="left"/>
      <w:rPr>
        <w:rFonts w:hint="eastAsia"/>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7"/>
  </w:num>
  <w:num w:numId="6">
    <w:abstractNumId w:val="10"/>
  </w:num>
  <w:num w:numId="7">
    <w:abstractNumId w:val="9"/>
  </w:num>
  <w:num w:numId="8">
    <w:abstractNumId w:val="6"/>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jg0MTc2Y2QyZjZiZWRiYWMxN2QxMTE4YjU1ZG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41C5"/>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5A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0D13"/>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554"/>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5E0"/>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4E27"/>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64CB6"/>
    <w:rsid w:val="018E2C4B"/>
    <w:rsid w:val="01E97726"/>
    <w:rsid w:val="03DD35E4"/>
    <w:rsid w:val="043D4E77"/>
    <w:rsid w:val="04F96FF0"/>
    <w:rsid w:val="05720B50"/>
    <w:rsid w:val="065A6178"/>
    <w:rsid w:val="06EE4D29"/>
    <w:rsid w:val="081050AA"/>
    <w:rsid w:val="082029DB"/>
    <w:rsid w:val="08B642FA"/>
    <w:rsid w:val="090021E3"/>
    <w:rsid w:val="090135A2"/>
    <w:rsid w:val="093C6733"/>
    <w:rsid w:val="0A5B7E63"/>
    <w:rsid w:val="0A94666D"/>
    <w:rsid w:val="0B660640"/>
    <w:rsid w:val="0B76395D"/>
    <w:rsid w:val="0C87121B"/>
    <w:rsid w:val="0D2B6006"/>
    <w:rsid w:val="0D86163D"/>
    <w:rsid w:val="0DF702FE"/>
    <w:rsid w:val="0E990EFC"/>
    <w:rsid w:val="0EED1247"/>
    <w:rsid w:val="0F11020C"/>
    <w:rsid w:val="0F816ACD"/>
    <w:rsid w:val="0FF705D0"/>
    <w:rsid w:val="1034202F"/>
    <w:rsid w:val="104233D7"/>
    <w:rsid w:val="10F90651"/>
    <w:rsid w:val="10FC16EA"/>
    <w:rsid w:val="113F5F4C"/>
    <w:rsid w:val="118963A1"/>
    <w:rsid w:val="127723A9"/>
    <w:rsid w:val="12EA3624"/>
    <w:rsid w:val="13072A44"/>
    <w:rsid w:val="139E23E7"/>
    <w:rsid w:val="13B435E0"/>
    <w:rsid w:val="142A23DE"/>
    <w:rsid w:val="152D2A4D"/>
    <w:rsid w:val="16261020"/>
    <w:rsid w:val="16AE5ED9"/>
    <w:rsid w:val="183176AC"/>
    <w:rsid w:val="18912E67"/>
    <w:rsid w:val="18ED0158"/>
    <w:rsid w:val="1A564531"/>
    <w:rsid w:val="1A886703"/>
    <w:rsid w:val="1A9C090B"/>
    <w:rsid w:val="1AF20BEF"/>
    <w:rsid w:val="1B2A271F"/>
    <w:rsid w:val="1B872F9C"/>
    <w:rsid w:val="1B900ADB"/>
    <w:rsid w:val="1C631F5D"/>
    <w:rsid w:val="1D266CE1"/>
    <w:rsid w:val="1D3963AF"/>
    <w:rsid w:val="1D3C0749"/>
    <w:rsid w:val="1DDA0D29"/>
    <w:rsid w:val="1E5B7150"/>
    <w:rsid w:val="1E714A66"/>
    <w:rsid w:val="1E85324A"/>
    <w:rsid w:val="1EA27958"/>
    <w:rsid w:val="1F6317DE"/>
    <w:rsid w:val="1F927D5B"/>
    <w:rsid w:val="1F9D27DB"/>
    <w:rsid w:val="1FE868A9"/>
    <w:rsid w:val="201C59EE"/>
    <w:rsid w:val="213276BA"/>
    <w:rsid w:val="216C24A0"/>
    <w:rsid w:val="21F961C3"/>
    <w:rsid w:val="2403533D"/>
    <w:rsid w:val="250008E8"/>
    <w:rsid w:val="25111243"/>
    <w:rsid w:val="25707998"/>
    <w:rsid w:val="25932478"/>
    <w:rsid w:val="25CB3688"/>
    <w:rsid w:val="262852E2"/>
    <w:rsid w:val="265E5200"/>
    <w:rsid w:val="27096DE3"/>
    <w:rsid w:val="283C5338"/>
    <w:rsid w:val="289350CF"/>
    <w:rsid w:val="2896735B"/>
    <w:rsid w:val="28EA3250"/>
    <w:rsid w:val="294B77A1"/>
    <w:rsid w:val="298C7E17"/>
    <w:rsid w:val="29F008B0"/>
    <w:rsid w:val="2A7367E9"/>
    <w:rsid w:val="2B6D5106"/>
    <w:rsid w:val="2B9B3C8A"/>
    <w:rsid w:val="2BCE728D"/>
    <w:rsid w:val="2C0E2AD1"/>
    <w:rsid w:val="2C4A7CF2"/>
    <w:rsid w:val="2C974041"/>
    <w:rsid w:val="2CEB3A12"/>
    <w:rsid w:val="2D457B2F"/>
    <w:rsid w:val="2DCE4FFC"/>
    <w:rsid w:val="2DD15014"/>
    <w:rsid w:val="2E404358"/>
    <w:rsid w:val="2E8F473D"/>
    <w:rsid w:val="2F147428"/>
    <w:rsid w:val="2F9061DA"/>
    <w:rsid w:val="2F983071"/>
    <w:rsid w:val="2FA14099"/>
    <w:rsid w:val="2FD25781"/>
    <w:rsid w:val="302A3B86"/>
    <w:rsid w:val="307A40E7"/>
    <w:rsid w:val="31302DE8"/>
    <w:rsid w:val="319C6071"/>
    <w:rsid w:val="31B41A25"/>
    <w:rsid w:val="32FF13C6"/>
    <w:rsid w:val="334B0167"/>
    <w:rsid w:val="33C02F0E"/>
    <w:rsid w:val="342E63AB"/>
    <w:rsid w:val="345C3B38"/>
    <w:rsid w:val="363B0967"/>
    <w:rsid w:val="364F3BB1"/>
    <w:rsid w:val="364F4412"/>
    <w:rsid w:val="365302AE"/>
    <w:rsid w:val="37AD3154"/>
    <w:rsid w:val="38074E65"/>
    <w:rsid w:val="38B8203E"/>
    <w:rsid w:val="38C00A50"/>
    <w:rsid w:val="38CB6F1C"/>
    <w:rsid w:val="391060DB"/>
    <w:rsid w:val="39A07E4D"/>
    <w:rsid w:val="3A5231D0"/>
    <w:rsid w:val="3A561EB2"/>
    <w:rsid w:val="3BF22272"/>
    <w:rsid w:val="3C220F0A"/>
    <w:rsid w:val="3C5E1BBB"/>
    <w:rsid w:val="3C5F759A"/>
    <w:rsid w:val="3DBC05DF"/>
    <w:rsid w:val="3DBD7EB3"/>
    <w:rsid w:val="3E0F28DF"/>
    <w:rsid w:val="3E524A9F"/>
    <w:rsid w:val="3EA23A0F"/>
    <w:rsid w:val="3F455D33"/>
    <w:rsid w:val="3F4D5267"/>
    <w:rsid w:val="3FDE1C36"/>
    <w:rsid w:val="3FE80680"/>
    <w:rsid w:val="41691CE6"/>
    <w:rsid w:val="41771E1A"/>
    <w:rsid w:val="417A41A4"/>
    <w:rsid w:val="41C757A4"/>
    <w:rsid w:val="421840E7"/>
    <w:rsid w:val="42397027"/>
    <w:rsid w:val="4282199D"/>
    <w:rsid w:val="429C7661"/>
    <w:rsid w:val="42CD1204"/>
    <w:rsid w:val="42E1381E"/>
    <w:rsid w:val="43665590"/>
    <w:rsid w:val="436F0FA5"/>
    <w:rsid w:val="44027F8E"/>
    <w:rsid w:val="44E67CEF"/>
    <w:rsid w:val="459E0E54"/>
    <w:rsid w:val="45A33AF3"/>
    <w:rsid w:val="465428A2"/>
    <w:rsid w:val="46C728EC"/>
    <w:rsid w:val="47973F6B"/>
    <w:rsid w:val="47DC3815"/>
    <w:rsid w:val="48895BD3"/>
    <w:rsid w:val="48F744FA"/>
    <w:rsid w:val="4A304A43"/>
    <w:rsid w:val="4A392FB7"/>
    <w:rsid w:val="4AC40AD3"/>
    <w:rsid w:val="4AE10572"/>
    <w:rsid w:val="4C7B78B7"/>
    <w:rsid w:val="4CF82CB6"/>
    <w:rsid w:val="4D0F3D33"/>
    <w:rsid w:val="4E3813D1"/>
    <w:rsid w:val="4E4C2555"/>
    <w:rsid w:val="4E6C4202"/>
    <w:rsid w:val="4ED7081A"/>
    <w:rsid w:val="4FD531A2"/>
    <w:rsid w:val="4FE83D59"/>
    <w:rsid w:val="50586B5C"/>
    <w:rsid w:val="51A0432A"/>
    <w:rsid w:val="52A96B6F"/>
    <w:rsid w:val="52C31719"/>
    <w:rsid w:val="54A232E9"/>
    <w:rsid w:val="54C3004D"/>
    <w:rsid w:val="54DC48BA"/>
    <w:rsid w:val="550764A4"/>
    <w:rsid w:val="559F53DA"/>
    <w:rsid w:val="55AD2460"/>
    <w:rsid w:val="56A71A30"/>
    <w:rsid w:val="579D76DE"/>
    <w:rsid w:val="57CC6A61"/>
    <w:rsid w:val="57D367F9"/>
    <w:rsid w:val="58017E10"/>
    <w:rsid w:val="58271F27"/>
    <w:rsid w:val="586D7B01"/>
    <w:rsid w:val="58AE4F0C"/>
    <w:rsid w:val="595A2534"/>
    <w:rsid w:val="597F0373"/>
    <w:rsid w:val="59D16D68"/>
    <w:rsid w:val="59E35C6F"/>
    <w:rsid w:val="5A0F3C8E"/>
    <w:rsid w:val="5A2A7C7B"/>
    <w:rsid w:val="5A4968FF"/>
    <w:rsid w:val="5AC00150"/>
    <w:rsid w:val="5B1647AE"/>
    <w:rsid w:val="5B231846"/>
    <w:rsid w:val="5B41386F"/>
    <w:rsid w:val="5B57547B"/>
    <w:rsid w:val="5BB931FB"/>
    <w:rsid w:val="5BE208D3"/>
    <w:rsid w:val="5BF55428"/>
    <w:rsid w:val="5C80234E"/>
    <w:rsid w:val="5E261785"/>
    <w:rsid w:val="5E4A639D"/>
    <w:rsid w:val="5E506100"/>
    <w:rsid w:val="5EC9691B"/>
    <w:rsid w:val="5ED11E4A"/>
    <w:rsid w:val="5EDF01CA"/>
    <w:rsid w:val="5EEA486F"/>
    <w:rsid w:val="5F011E9E"/>
    <w:rsid w:val="5F1529A6"/>
    <w:rsid w:val="5F4B0077"/>
    <w:rsid w:val="5FCC5339"/>
    <w:rsid w:val="61054A27"/>
    <w:rsid w:val="611D2366"/>
    <w:rsid w:val="616D55C9"/>
    <w:rsid w:val="627F6465"/>
    <w:rsid w:val="62885958"/>
    <w:rsid w:val="62E36E51"/>
    <w:rsid w:val="63E61662"/>
    <w:rsid w:val="640876F3"/>
    <w:rsid w:val="64393534"/>
    <w:rsid w:val="647C292B"/>
    <w:rsid w:val="64CE2EAA"/>
    <w:rsid w:val="64ED05DD"/>
    <w:rsid w:val="651D2E62"/>
    <w:rsid w:val="654267EC"/>
    <w:rsid w:val="658A253F"/>
    <w:rsid w:val="662E75B1"/>
    <w:rsid w:val="66342C2E"/>
    <w:rsid w:val="663E784C"/>
    <w:rsid w:val="6642317E"/>
    <w:rsid w:val="66977CD4"/>
    <w:rsid w:val="669902F5"/>
    <w:rsid w:val="67022B21"/>
    <w:rsid w:val="677A596A"/>
    <w:rsid w:val="686D4100"/>
    <w:rsid w:val="69456BF2"/>
    <w:rsid w:val="6958521B"/>
    <w:rsid w:val="69652C93"/>
    <w:rsid w:val="69684F4F"/>
    <w:rsid w:val="69BC35D6"/>
    <w:rsid w:val="6AF76722"/>
    <w:rsid w:val="6B517D09"/>
    <w:rsid w:val="6BED1D9C"/>
    <w:rsid w:val="6C0C75B9"/>
    <w:rsid w:val="6C3463E2"/>
    <w:rsid w:val="6D75048C"/>
    <w:rsid w:val="6D8A7447"/>
    <w:rsid w:val="6DF818E5"/>
    <w:rsid w:val="6E5F273D"/>
    <w:rsid w:val="6E6E55BC"/>
    <w:rsid w:val="6E8E12EF"/>
    <w:rsid w:val="6FB1310C"/>
    <w:rsid w:val="6FD76303"/>
    <w:rsid w:val="704E619F"/>
    <w:rsid w:val="7079096D"/>
    <w:rsid w:val="7120378C"/>
    <w:rsid w:val="71A07FB8"/>
    <w:rsid w:val="71B21F4E"/>
    <w:rsid w:val="71D43752"/>
    <w:rsid w:val="71E116BB"/>
    <w:rsid w:val="72097D64"/>
    <w:rsid w:val="72F24B59"/>
    <w:rsid w:val="732F7275"/>
    <w:rsid w:val="73554E8F"/>
    <w:rsid w:val="73A11331"/>
    <w:rsid w:val="746815A4"/>
    <w:rsid w:val="746E713D"/>
    <w:rsid w:val="749C4185"/>
    <w:rsid w:val="750F66CA"/>
    <w:rsid w:val="7567043F"/>
    <w:rsid w:val="757E71D5"/>
    <w:rsid w:val="75DA2C18"/>
    <w:rsid w:val="770E3CAE"/>
    <w:rsid w:val="77705F3A"/>
    <w:rsid w:val="798828FC"/>
    <w:rsid w:val="7A0B340F"/>
    <w:rsid w:val="7A3A374C"/>
    <w:rsid w:val="7A3F3423"/>
    <w:rsid w:val="7A4D5B40"/>
    <w:rsid w:val="7A67303B"/>
    <w:rsid w:val="7A8F31CB"/>
    <w:rsid w:val="7AAB1D04"/>
    <w:rsid w:val="7ABA4368"/>
    <w:rsid w:val="7B257FFD"/>
    <w:rsid w:val="7B5A6D55"/>
    <w:rsid w:val="7CBB5876"/>
    <w:rsid w:val="7CBE7304"/>
    <w:rsid w:val="7CEC7892"/>
    <w:rsid w:val="7D1D248E"/>
    <w:rsid w:val="7D8621F2"/>
    <w:rsid w:val="7DFC2BC5"/>
    <w:rsid w:val="7EB7283E"/>
    <w:rsid w:val="7F65675B"/>
    <w:rsid w:val="DEFDE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5"/>
    <w:qFormat/>
    <w:uiPriority w:val="0"/>
    <w:pPr>
      <w:spacing w:line="480" w:lineRule="exact"/>
      <w:ind w:firstLine="480" w:firstLineChars="200"/>
    </w:pPr>
    <w:rPr>
      <w:rFonts w:ascii="宋体" w:hAnsi="宋体"/>
      <w:sz w:val="24"/>
    </w:rPr>
  </w:style>
  <w:style w:type="paragraph" w:styleId="3">
    <w:name w:val="Body Text First Indent 2"/>
    <w:basedOn w:val="2"/>
    <w:link w:val="24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50"/>
    <w:qFormat/>
    <w:uiPriority w:val="99"/>
    <w:pPr>
      <w:jc w:val="left"/>
    </w:pPr>
  </w:style>
  <w:style w:type="paragraph" w:styleId="22">
    <w:name w:val="Salutation"/>
    <w:basedOn w:val="1"/>
    <w:next w:val="1"/>
    <w:link w:val="215"/>
    <w:qFormat/>
    <w:uiPriority w:val="0"/>
    <w:rPr>
      <w:rFonts w:ascii="仿宋_GB2312" w:eastAsia="仿宋_GB2312"/>
      <w:sz w:val="28"/>
      <w:szCs w:val="20"/>
    </w:rPr>
  </w:style>
  <w:style w:type="paragraph" w:styleId="23">
    <w:name w:val="Body Text 3"/>
    <w:basedOn w:val="1"/>
    <w:link w:val="188"/>
    <w:qFormat/>
    <w:uiPriority w:val="0"/>
    <w:pPr>
      <w:jc w:val="center"/>
    </w:pPr>
    <w:rPr>
      <w:szCs w:val="20"/>
    </w:rPr>
  </w:style>
  <w:style w:type="paragraph" w:styleId="24">
    <w:name w:val="Body Text"/>
    <w:basedOn w:val="1"/>
    <w:link w:val="124"/>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endnote text"/>
    <w:basedOn w:val="1"/>
    <w:unhideWhenUsed/>
    <w:qFormat/>
    <w:uiPriority w:val="99"/>
    <w:pPr>
      <w:snapToGrid w:val="0"/>
      <w:jc w:val="left"/>
    </w:pPr>
  </w:style>
  <w:style w:type="paragraph" w:styleId="38">
    <w:name w:val="Balloon Text"/>
    <w:basedOn w:val="1"/>
    <w:link w:val="251"/>
    <w:semiHidden/>
    <w:qFormat/>
    <w:uiPriority w:val="0"/>
    <w:rPr>
      <w:sz w:val="18"/>
      <w:szCs w:val="18"/>
    </w:rPr>
  </w:style>
  <w:style w:type="paragraph" w:styleId="39">
    <w:name w:val="footer"/>
    <w:basedOn w:val="1"/>
    <w:link w:val="63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link w:val="137"/>
    <w:qFormat/>
    <w:uiPriority w:val="0"/>
    <w:pPr>
      <w:ind w:firstLine="420"/>
    </w:pPr>
    <w:rPr>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正文文本缩进 字符1"/>
    <w:link w:val="2"/>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7"/>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11"/>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2"/>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61"/>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4"/>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7"/>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7"/>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8"/>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3"/>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3"/>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10"/>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2"/>
    <w:qFormat/>
    <w:uiPriority w:val="0"/>
    <w:rPr>
      <w:rFonts w:ascii="仿宋_GB2312" w:eastAsia="仿宋_GB2312"/>
      <w:kern w:val="2"/>
      <w:sz w:val="28"/>
    </w:rPr>
  </w:style>
  <w:style w:type="character" w:customStyle="1" w:styleId="216">
    <w:name w:val="标题 4 字符"/>
    <w:link w:val="7"/>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50"/>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9"/>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7"/>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3"/>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21"/>
    <w:qFormat/>
    <w:uiPriority w:val="0"/>
    <w:rPr>
      <w:kern w:val="2"/>
      <w:sz w:val="21"/>
      <w:szCs w:val="24"/>
    </w:rPr>
  </w:style>
  <w:style w:type="character" w:customStyle="1" w:styleId="251">
    <w:name w:val="批注框文本 字符"/>
    <w:link w:val="38"/>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2"/>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6"/>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7"/>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5"/>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8"/>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8"/>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9"/>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20"/>
    <w:qFormat/>
    <w:uiPriority w:val="0"/>
    <w:pPr>
      <w:snapToGrid w:val="0"/>
      <w:spacing w:line="360" w:lineRule="auto"/>
    </w:pPr>
  </w:style>
  <w:style w:type="paragraph" w:customStyle="1" w:styleId="4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6"/>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5"/>
    <w:next w:val="1"/>
    <w:qFormat/>
    <w:uiPriority w:val="0"/>
    <w:pPr>
      <w:numPr>
        <w:ilvl w:val="1"/>
        <w:numId w:val="5"/>
      </w:numPr>
    </w:pPr>
    <w:rPr>
      <w:rFonts w:ascii="Times New Roman" w:eastAsia="宋体"/>
      <w:i/>
      <w:sz w:val="36"/>
      <w:szCs w:val="36"/>
      <w:lang w:val="en-US"/>
    </w:rPr>
  </w:style>
  <w:style w:type="paragraph" w:customStyle="1" w:styleId="453">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4"/>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4"/>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6"/>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7"/>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9"/>
    <w:qFormat/>
    <w:locked/>
    <w:uiPriority w:val="99"/>
    <w:rPr>
      <w:kern w:val="2"/>
      <w:sz w:val="18"/>
      <w:szCs w:val="18"/>
    </w:rPr>
  </w:style>
  <w:style w:type="character" w:customStyle="1" w:styleId="633">
    <w:name w:val="页眉 字符"/>
    <w:link w:val="41"/>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 w:type="character" w:customStyle="1" w:styleId="645">
    <w:name w:val="font51"/>
    <w:basedOn w:val="64"/>
    <w:qFormat/>
    <w:uiPriority w:val="0"/>
    <w:rPr>
      <w:rFonts w:hint="eastAsia" w:ascii="仿宋" w:hAnsi="仿宋" w:eastAsia="仿宋" w:cs="仿宋"/>
      <w:color w:val="000000"/>
      <w:sz w:val="20"/>
      <w:szCs w:val="20"/>
      <w:u w:val="none"/>
    </w:rPr>
  </w:style>
  <w:style w:type="character" w:customStyle="1" w:styleId="646">
    <w:name w:val="font91"/>
    <w:basedOn w:val="64"/>
    <w:qFormat/>
    <w:uiPriority w:val="0"/>
    <w:rPr>
      <w:rFonts w:hint="eastAsia" w:ascii="仿宋" w:hAnsi="仿宋" w:eastAsia="仿宋" w:cs="仿宋"/>
      <w:color w:val="000000"/>
      <w:sz w:val="22"/>
      <w:szCs w:val="22"/>
      <w:u w:val="none"/>
    </w:rPr>
  </w:style>
  <w:style w:type="table" w:customStyle="1" w:styleId="647">
    <w:name w:val="Table Normal"/>
    <w:unhideWhenUsed/>
    <w:qFormat/>
    <w:uiPriority w:val="0"/>
    <w:tblPr>
      <w:tblCellMar>
        <w:top w:w="0" w:type="dxa"/>
        <w:left w:w="0" w:type="dxa"/>
        <w:bottom w:w="0" w:type="dxa"/>
        <w:right w:w="0" w:type="dxa"/>
      </w:tblCellMar>
    </w:tblPr>
  </w:style>
  <w:style w:type="paragraph" w:customStyle="1" w:styleId="6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9">
    <w:name w:val="正文 "/>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18169</Words>
  <Characters>19949</Characters>
  <Lines>156</Lines>
  <Paragraphs>44</Paragraphs>
  <TotalTime>1</TotalTime>
  <ScaleCrop>false</ScaleCrop>
  <LinksUpToDate>false</LinksUpToDate>
  <CharactersWithSpaces>20189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石头</cp:lastModifiedBy>
  <cp:lastPrinted>2023-02-22T08:59:00Z</cp:lastPrinted>
  <dcterms:modified xsi:type="dcterms:W3CDTF">2025-02-25T07:30:28Z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1C497E20C3224B9ABCACEB74ED9E5F8A_13</vt:lpwstr>
  </property>
  <property fmtid="{D5CDD505-2E9C-101B-9397-08002B2CF9AE}" pid="4" name="KSOTemplateDocerSaveRecord">
    <vt:lpwstr>eyJoZGlkIjoiZGIxMGQ2NzI5ZmVmYWIzNTZmNjhkNDU4YmRhODNjM2UiLCJ1c2VySWQiOiI3NTIwNjcyNjQifQ==</vt:lpwstr>
  </property>
</Properties>
</file>