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9BCA">
      <w:pPr>
        <w:spacing w:line="360" w:lineRule="auto"/>
        <w:jc w:val="center"/>
        <w:rPr>
          <w:rFonts w:hint="eastAsia" w:ascii="仿宋" w:hAnsi="仿宋" w:eastAsia="仿宋" w:cs="仿宋"/>
          <w:b/>
          <w:color w:val="000000"/>
          <w:sz w:val="24"/>
          <w:highlight w:val="none"/>
        </w:rPr>
      </w:pPr>
    </w:p>
    <w:p w14:paraId="144E4833">
      <w:pPr>
        <w:adjustRightInd/>
        <w:spacing w:line="360" w:lineRule="auto"/>
        <w:jc w:val="center"/>
        <w:rPr>
          <w:rFonts w:hint="eastAsia" w:ascii="仿宋" w:hAnsi="仿宋" w:eastAsia="仿宋" w:cs="仿宋"/>
          <w:b/>
          <w:bCs/>
          <w:sz w:val="48"/>
          <w:szCs w:val="48"/>
          <w:highlight w:val="none"/>
          <w:lang w:eastAsia="zh-CN"/>
        </w:rPr>
      </w:pPr>
    </w:p>
    <w:p w14:paraId="17D3840C">
      <w:pPr>
        <w:adjustRightInd/>
        <w:spacing w:line="360" w:lineRule="auto"/>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eastAsia="zh-CN"/>
        </w:rPr>
        <w:t>杭州市萧山区第一人民医院</w:t>
      </w:r>
    </w:p>
    <w:p w14:paraId="47D40ED2">
      <w:pPr>
        <w:adjustRightInd/>
        <w:spacing w:line="360" w:lineRule="auto"/>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val="en-US" w:eastAsia="zh-CN"/>
        </w:rPr>
        <w:t>医用器械快速风干柜</w:t>
      </w:r>
      <w:r>
        <w:rPr>
          <w:rFonts w:hint="eastAsia" w:ascii="仿宋" w:hAnsi="仿宋" w:eastAsia="仿宋" w:cs="仿宋"/>
          <w:b/>
          <w:bCs/>
          <w:sz w:val="48"/>
          <w:szCs w:val="48"/>
          <w:highlight w:val="none"/>
          <w:lang w:eastAsia="zh-CN"/>
        </w:rPr>
        <w:t>采购项目</w:t>
      </w:r>
    </w:p>
    <w:p w14:paraId="016DA8C3">
      <w:pPr>
        <w:adjustRightInd/>
        <w:spacing w:line="360" w:lineRule="auto"/>
        <w:jc w:val="center"/>
        <w:rPr>
          <w:rFonts w:hint="eastAsia" w:ascii="仿宋" w:hAnsi="仿宋" w:eastAsia="仿宋" w:cs="仿宋"/>
          <w:b/>
          <w:bCs/>
          <w:sz w:val="48"/>
          <w:szCs w:val="48"/>
          <w:highlight w:val="none"/>
        </w:rPr>
      </w:pPr>
    </w:p>
    <w:p w14:paraId="094A66DB">
      <w:pPr>
        <w:adjustRightIn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交易文件</w:t>
      </w:r>
    </w:p>
    <w:p w14:paraId="5928B1D9">
      <w:pPr>
        <w:pStyle w:val="2"/>
        <w:rPr>
          <w:rFonts w:hint="eastAsia" w:ascii="仿宋" w:hAnsi="仿宋" w:eastAsia="仿宋" w:cs="仿宋"/>
          <w:highlight w:val="none"/>
        </w:rPr>
      </w:pPr>
    </w:p>
    <w:p w14:paraId="0C3BC76D">
      <w:pPr>
        <w:spacing w:line="480" w:lineRule="exact"/>
        <w:jc w:val="center"/>
        <w:rPr>
          <w:rFonts w:hint="eastAsia" w:ascii="仿宋" w:hAnsi="仿宋" w:eastAsia="仿宋" w:cs="仿宋"/>
          <w:bCs/>
          <w:color w:val="000000"/>
          <w:sz w:val="24"/>
          <w:highlight w:val="none"/>
          <w:lang w:val="en-US" w:eastAsia="zh-CN"/>
        </w:rPr>
      </w:pPr>
      <w:r>
        <w:rPr>
          <w:rFonts w:hint="eastAsia" w:ascii="仿宋" w:hAnsi="仿宋" w:eastAsia="仿宋" w:cs="仿宋"/>
          <w:sz w:val="30"/>
          <w:szCs w:val="30"/>
          <w:highlight w:val="none"/>
        </w:rPr>
        <w:t>交易编号:</w:t>
      </w:r>
      <w:r>
        <w:rPr>
          <w:rFonts w:hint="eastAsia" w:ascii="仿宋" w:hAnsi="仿宋" w:eastAsia="仿宋" w:cs="仿宋"/>
          <w:sz w:val="30"/>
          <w:szCs w:val="30"/>
          <w:highlight w:val="none"/>
          <w:lang w:val="en-US" w:eastAsia="zh-CN"/>
        </w:rPr>
        <w:t>XSYY2024-GJ-20</w:t>
      </w:r>
    </w:p>
    <w:p w14:paraId="735E1EEA">
      <w:pPr>
        <w:snapToGrid w:val="0"/>
        <w:spacing w:line="360" w:lineRule="auto"/>
        <w:jc w:val="center"/>
        <w:rPr>
          <w:rFonts w:hint="eastAsia" w:ascii="仿宋" w:hAnsi="仿宋" w:eastAsia="仿宋" w:cs="仿宋"/>
          <w:sz w:val="32"/>
          <w:szCs w:val="32"/>
          <w:highlight w:val="none"/>
        </w:rPr>
      </w:pPr>
    </w:p>
    <w:p w14:paraId="0E4BF2EC">
      <w:pPr>
        <w:pStyle w:val="2"/>
        <w:jc w:val="both"/>
        <w:rPr>
          <w:rFonts w:hint="eastAsia" w:ascii="仿宋" w:hAnsi="仿宋" w:eastAsia="仿宋" w:cs="仿宋"/>
          <w:color w:val="auto"/>
          <w:sz w:val="32"/>
          <w:szCs w:val="32"/>
          <w:highlight w:val="none"/>
        </w:rPr>
      </w:pPr>
    </w:p>
    <w:p w14:paraId="339C1DB0">
      <w:pPr>
        <w:rPr>
          <w:rFonts w:hint="eastAsia" w:ascii="仿宋" w:hAnsi="仿宋" w:eastAsia="仿宋" w:cs="仿宋"/>
          <w:highlight w:val="none"/>
        </w:rPr>
      </w:pPr>
    </w:p>
    <w:p w14:paraId="66DCC045">
      <w:pPr>
        <w:pStyle w:val="61"/>
        <w:ind w:firstLine="640"/>
        <w:rPr>
          <w:rFonts w:hint="eastAsia" w:ascii="仿宋" w:hAnsi="仿宋" w:eastAsia="仿宋" w:cs="仿宋"/>
          <w:sz w:val="32"/>
          <w:szCs w:val="32"/>
          <w:highlight w:val="none"/>
        </w:rPr>
      </w:pPr>
    </w:p>
    <w:p w14:paraId="62B3AA52">
      <w:pPr>
        <w:spacing w:line="600" w:lineRule="auto"/>
        <w:rPr>
          <w:rFonts w:hint="eastAsia" w:ascii="仿宋" w:hAnsi="仿宋" w:eastAsia="仿宋" w:cs="仿宋"/>
          <w:bCs/>
          <w:sz w:val="28"/>
          <w:szCs w:val="28"/>
          <w:highlight w:val="none"/>
        </w:rPr>
      </w:pPr>
    </w:p>
    <w:p w14:paraId="3620B6DC">
      <w:pPr>
        <w:spacing w:line="600" w:lineRule="auto"/>
        <w:rPr>
          <w:rFonts w:hint="eastAsia" w:ascii="仿宋" w:hAnsi="仿宋" w:eastAsia="仿宋" w:cs="仿宋"/>
          <w:bCs/>
          <w:sz w:val="28"/>
          <w:szCs w:val="28"/>
          <w:highlight w:val="none"/>
        </w:rPr>
      </w:pPr>
    </w:p>
    <w:p w14:paraId="7BDEC4D0">
      <w:pPr>
        <w:spacing w:line="600" w:lineRule="auto"/>
        <w:rPr>
          <w:rFonts w:hint="eastAsia" w:ascii="仿宋" w:hAnsi="仿宋" w:eastAsia="仿宋" w:cs="仿宋"/>
          <w:bCs/>
          <w:sz w:val="28"/>
          <w:szCs w:val="28"/>
          <w:highlight w:val="none"/>
        </w:rPr>
      </w:pPr>
    </w:p>
    <w:p w14:paraId="576B5766">
      <w:pPr>
        <w:spacing w:line="360" w:lineRule="auto"/>
        <w:ind w:firstLine="720" w:firstLineChars="200"/>
        <w:jc w:val="center"/>
        <w:rPr>
          <w:rFonts w:hint="eastAsia" w:ascii="仿宋" w:hAnsi="仿宋" w:eastAsia="仿宋" w:cs="仿宋"/>
          <w:bCs/>
          <w:sz w:val="36"/>
          <w:szCs w:val="36"/>
          <w:highlight w:val="none"/>
          <w:lang w:eastAsia="zh-CN"/>
        </w:rPr>
      </w:pPr>
      <w:r>
        <w:rPr>
          <w:rFonts w:hint="eastAsia" w:ascii="仿宋" w:hAnsi="仿宋" w:eastAsia="仿宋" w:cs="仿宋"/>
          <w:bCs/>
          <w:sz w:val="36"/>
          <w:szCs w:val="36"/>
          <w:highlight w:val="none"/>
          <w:lang w:eastAsia="zh-CN"/>
        </w:rPr>
        <w:t>杭州市萧山区第一人民医院</w:t>
      </w:r>
    </w:p>
    <w:p w14:paraId="66F9C50D">
      <w:pPr>
        <w:spacing w:line="360" w:lineRule="auto"/>
        <w:ind w:firstLine="720" w:firstLineChars="200"/>
        <w:jc w:val="center"/>
        <w:rPr>
          <w:rFonts w:hint="eastAsia" w:ascii="仿宋" w:hAnsi="仿宋" w:eastAsia="仿宋" w:cs="仿宋"/>
          <w:bCs/>
          <w:sz w:val="36"/>
          <w:szCs w:val="36"/>
          <w:highlight w:val="none"/>
          <w:lang w:eastAsia="zh-CN"/>
        </w:rPr>
      </w:pPr>
      <w:r>
        <w:rPr>
          <w:rFonts w:hint="eastAsia" w:ascii="仿宋" w:hAnsi="仿宋" w:eastAsia="仿宋" w:cs="仿宋"/>
          <w:bCs/>
          <w:sz w:val="36"/>
          <w:szCs w:val="36"/>
          <w:highlight w:val="none"/>
          <w:lang w:eastAsia="zh-CN"/>
        </w:rPr>
        <w:t>浙江国际招投标有限公司</w:t>
      </w:r>
    </w:p>
    <w:p w14:paraId="6B8E4D9C">
      <w:pPr>
        <w:snapToGrid w:val="0"/>
        <w:spacing w:line="360" w:lineRule="auto"/>
        <w:jc w:val="center"/>
        <w:rPr>
          <w:rFonts w:hint="eastAsia" w:ascii="仿宋" w:hAnsi="仿宋" w:eastAsia="仿宋" w:cs="仿宋"/>
          <w:bCs/>
          <w:color w:val="000000"/>
          <w:sz w:val="32"/>
          <w:szCs w:val="32"/>
          <w:highlight w:val="none"/>
          <w:lang w:val="en-US" w:eastAsia="zh-CN"/>
        </w:rPr>
      </w:pPr>
      <w:r>
        <w:rPr>
          <w:rFonts w:hint="eastAsia" w:ascii="仿宋" w:hAnsi="仿宋" w:eastAsia="仿宋" w:cs="仿宋"/>
          <w:bCs/>
          <w:sz w:val="36"/>
          <w:szCs w:val="36"/>
          <w:highlight w:val="none"/>
        </w:rPr>
        <w:t xml:space="preserve">  202</w:t>
      </w:r>
      <w:r>
        <w:rPr>
          <w:rFonts w:hint="eastAsia" w:ascii="仿宋" w:hAnsi="仿宋" w:eastAsia="仿宋" w:cs="仿宋"/>
          <w:bCs/>
          <w:sz w:val="36"/>
          <w:szCs w:val="36"/>
          <w:highlight w:val="none"/>
          <w:lang w:val="en-US" w:eastAsia="zh-CN"/>
        </w:rPr>
        <w:t>4</w:t>
      </w:r>
      <w:r>
        <w:rPr>
          <w:rFonts w:hint="eastAsia" w:ascii="仿宋" w:hAnsi="仿宋" w:eastAsia="仿宋" w:cs="仿宋"/>
          <w:bCs/>
          <w:sz w:val="36"/>
          <w:szCs w:val="36"/>
          <w:highlight w:val="none"/>
        </w:rPr>
        <w:t xml:space="preserve"> 年</w:t>
      </w:r>
      <w:r>
        <w:rPr>
          <w:rFonts w:hint="eastAsia" w:ascii="仿宋" w:hAnsi="仿宋" w:eastAsia="仿宋" w:cs="仿宋"/>
          <w:bCs/>
          <w:sz w:val="36"/>
          <w:szCs w:val="36"/>
          <w:highlight w:val="none"/>
          <w:lang w:val="en-US" w:eastAsia="zh-CN"/>
        </w:rPr>
        <w:t>12</w:t>
      </w:r>
      <w:r>
        <w:rPr>
          <w:rFonts w:hint="eastAsia" w:ascii="仿宋" w:hAnsi="仿宋" w:eastAsia="仿宋" w:cs="仿宋"/>
          <w:bCs/>
          <w:sz w:val="36"/>
          <w:szCs w:val="36"/>
          <w:highlight w:val="none"/>
        </w:rPr>
        <w:t>月</w:t>
      </w:r>
    </w:p>
    <w:p w14:paraId="5E55F998">
      <w:pPr>
        <w:pStyle w:val="75"/>
        <w:spacing w:before="120"/>
        <w:ind w:firstLine="640"/>
        <w:rPr>
          <w:rFonts w:hint="eastAsia" w:ascii="仿宋" w:hAnsi="仿宋" w:eastAsia="仿宋" w:cs="仿宋"/>
          <w:bCs/>
          <w:color w:val="000000"/>
          <w:sz w:val="32"/>
          <w:szCs w:val="32"/>
          <w:highlight w:val="none"/>
        </w:rPr>
      </w:pPr>
    </w:p>
    <w:p w14:paraId="1E4F19D5">
      <w:pPr>
        <w:spacing w:line="360" w:lineRule="auto"/>
        <w:jc w:val="center"/>
        <w:rPr>
          <w:rFonts w:hint="eastAsia" w:ascii="仿宋" w:hAnsi="仿宋" w:eastAsia="仿宋" w:cs="仿宋"/>
          <w:b/>
          <w:color w:val="000000"/>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bookmarkStart w:id="0" w:name="_Hlt67893495"/>
      <w:bookmarkEnd w:id="0"/>
    </w:p>
    <w:p w14:paraId="5B30F8DB">
      <w:pPr>
        <w:spacing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目  录</w:t>
      </w:r>
    </w:p>
    <w:p w14:paraId="5CECCCA8">
      <w:pPr>
        <w:spacing w:line="360" w:lineRule="auto"/>
        <w:jc w:val="center"/>
        <w:rPr>
          <w:rFonts w:hint="eastAsia" w:ascii="仿宋" w:hAnsi="仿宋" w:eastAsia="仿宋" w:cs="仿宋"/>
          <w:color w:val="000000"/>
          <w:sz w:val="32"/>
          <w:szCs w:val="32"/>
          <w:highlight w:val="none"/>
        </w:rPr>
      </w:pPr>
    </w:p>
    <w:p w14:paraId="0776EEBA">
      <w:pPr>
        <w:spacing w:line="360" w:lineRule="auto"/>
        <w:rPr>
          <w:rFonts w:hint="eastAsia" w:ascii="仿宋" w:hAnsi="仿宋" w:eastAsia="仿宋" w:cs="仿宋"/>
          <w:color w:val="000000"/>
          <w:sz w:val="32"/>
          <w:szCs w:val="32"/>
          <w:highlight w:val="none"/>
        </w:rPr>
      </w:pPr>
    </w:p>
    <w:p w14:paraId="73F0A6DA">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第一部分      交易公告</w:t>
      </w:r>
    </w:p>
    <w:p w14:paraId="40886D9E">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第二部分      响应人须知</w:t>
      </w:r>
    </w:p>
    <w:p w14:paraId="5B81BCD7">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第三部分      交易需求</w:t>
      </w:r>
    </w:p>
    <w:p w14:paraId="007DE270">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第四部分      评标方法及评分标准</w:t>
      </w:r>
    </w:p>
    <w:p w14:paraId="08BCE2FC">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第五部分      拟签订的合同文本</w:t>
      </w:r>
    </w:p>
    <w:p w14:paraId="3536AE80">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第六部分      应提交的有关格式范例</w:t>
      </w:r>
    </w:p>
    <w:p w14:paraId="6246C929">
      <w:pPr>
        <w:spacing w:line="360" w:lineRule="auto"/>
        <w:ind w:firstLine="549" w:firstLineChars="229"/>
        <w:rPr>
          <w:rFonts w:hint="eastAsia" w:ascii="仿宋" w:hAnsi="仿宋" w:eastAsia="仿宋" w:cs="仿宋"/>
          <w:color w:val="000000"/>
          <w:sz w:val="24"/>
          <w:highlight w:val="none"/>
        </w:rPr>
      </w:pPr>
      <w:bookmarkStart w:id="1" w:name="_Hlt91233176"/>
      <w:bookmarkEnd w:id="1"/>
      <w:bookmarkStart w:id="2" w:name="_Toc91899869"/>
    </w:p>
    <w:p w14:paraId="6177B943">
      <w:pPr>
        <w:spacing w:line="360" w:lineRule="auto"/>
        <w:ind w:firstLine="549" w:firstLineChars="229"/>
        <w:rPr>
          <w:rFonts w:hint="eastAsia" w:ascii="仿宋" w:hAnsi="仿宋" w:eastAsia="仿宋" w:cs="仿宋"/>
          <w:color w:val="000000"/>
          <w:sz w:val="24"/>
          <w:highlight w:val="none"/>
        </w:rPr>
      </w:pPr>
    </w:p>
    <w:p w14:paraId="7D0BBD8C">
      <w:pPr>
        <w:spacing w:line="360" w:lineRule="auto"/>
        <w:ind w:firstLine="549" w:firstLineChars="229"/>
        <w:rPr>
          <w:rFonts w:hint="eastAsia" w:ascii="仿宋" w:hAnsi="仿宋" w:eastAsia="仿宋" w:cs="仿宋"/>
          <w:color w:val="000000"/>
          <w:sz w:val="24"/>
          <w:highlight w:val="none"/>
        </w:rPr>
      </w:pPr>
    </w:p>
    <w:p w14:paraId="46E5F9FB">
      <w:pPr>
        <w:spacing w:line="360" w:lineRule="auto"/>
        <w:ind w:firstLine="549" w:firstLineChars="229"/>
        <w:rPr>
          <w:rFonts w:hint="eastAsia" w:ascii="仿宋" w:hAnsi="仿宋" w:eastAsia="仿宋" w:cs="仿宋"/>
          <w:color w:val="000000"/>
          <w:sz w:val="24"/>
          <w:highlight w:val="none"/>
        </w:rPr>
      </w:pPr>
    </w:p>
    <w:p w14:paraId="05DFE05E">
      <w:pPr>
        <w:spacing w:line="360" w:lineRule="auto"/>
        <w:ind w:firstLine="549" w:firstLineChars="229"/>
        <w:rPr>
          <w:rFonts w:hint="eastAsia" w:ascii="仿宋" w:hAnsi="仿宋" w:eastAsia="仿宋" w:cs="仿宋"/>
          <w:color w:val="000000"/>
          <w:sz w:val="24"/>
          <w:highlight w:val="none"/>
        </w:rPr>
      </w:pPr>
    </w:p>
    <w:p w14:paraId="20F1CFF8">
      <w:pPr>
        <w:spacing w:line="360" w:lineRule="auto"/>
        <w:ind w:firstLine="549" w:firstLineChars="229"/>
        <w:rPr>
          <w:rFonts w:hint="eastAsia" w:ascii="仿宋" w:hAnsi="仿宋" w:eastAsia="仿宋" w:cs="仿宋"/>
          <w:color w:val="000000"/>
          <w:sz w:val="24"/>
          <w:highlight w:val="none"/>
        </w:rPr>
      </w:pPr>
    </w:p>
    <w:p w14:paraId="2A99749B">
      <w:pPr>
        <w:spacing w:line="360" w:lineRule="auto"/>
        <w:ind w:firstLine="549" w:firstLineChars="229"/>
        <w:rPr>
          <w:rFonts w:hint="eastAsia" w:ascii="仿宋" w:hAnsi="仿宋" w:eastAsia="仿宋" w:cs="仿宋"/>
          <w:color w:val="000000"/>
          <w:sz w:val="24"/>
          <w:highlight w:val="none"/>
        </w:rPr>
      </w:pPr>
    </w:p>
    <w:p w14:paraId="7DF9D47B">
      <w:pPr>
        <w:spacing w:line="360" w:lineRule="auto"/>
        <w:ind w:firstLine="549" w:firstLineChars="229"/>
        <w:rPr>
          <w:rFonts w:hint="eastAsia" w:ascii="仿宋" w:hAnsi="仿宋" w:eastAsia="仿宋" w:cs="仿宋"/>
          <w:color w:val="000000"/>
          <w:sz w:val="24"/>
          <w:highlight w:val="none"/>
        </w:rPr>
      </w:pPr>
    </w:p>
    <w:p w14:paraId="33C61DC1">
      <w:pPr>
        <w:spacing w:line="360" w:lineRule="auto"/>
        <w:ind w:firstLine="549" w:firstLineChars="229"/>
        <w:rPr>
          <w:rFonts w:hint="eastAsia" w:ascii="仿宋" w:hAnsi="仿宋" w:eastAsia="仿宋" w:cs="仿宋"/>
          <w:color w:val="000000"/>
          <w:sz w:val="24"/>
          <w:highlight w:val="none"/>
        </w:rPr>
      </w:pPr>
    </w:p>
    <w:p w14:paraId="12FB4001">
      <w:pPr>
        <w:pStyle w:val="2"/>
        <w:rPr>
          <w:rFonts w:hint="eastAsia" w:ascii="仿宋" w:hAnsi="仿宋" w:eastAsia="仿宋" w:cs="仿宋"/>
          <w:highlight w:val="none"/>
        </w:rPr>
      </w:pPr>
      <w:bookmarkStart w:id="3" w:name="第一部分"/>
      <w:r>
        <w:rPr>
          <w:rFonts w:hint="eastAsia" w:ascii="仿宋" w:hAnsi="仿宋" w:eastAsia="仿宋" w:cs="仿宋"/>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highlight w:val="none"/>
        </w:rPr>
        <w:t>第一部分 交易公告</w:t>
      </w:r>
    </w:p>
    <w:p w14:paraId="17C5A573">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highlight w:val="none"/>
        </w:rPr>
      </w:pPr>
      <w:r>
        <w:rPr>
          <w:rFonts w:hint="eastAsia" w:ascii="仿宋" w:hAnsi="仿宋" w:eastAsia="仿宋" w:cs="仿宋"/>
          <w:sz w:val="24"/>
          <w:szCs w:val="28"/>
          <w:highlight w:val="none"/>
        </w:rPr>
        <w:t>项目概况：</w:t>
      </w:r>
    </w:p>
    <w:p w14:paraId="1C998808">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highlight w:val="none"/>
        </w:rPr>
      </w:pPr>
      <w:r>
        <w:rPr>
          <w:rFonts w:hint="eastAsia" w:ascii="仿宋" w:hAnsi="仿宋" w:eastAsia="仿宋" w:cs="仿宋"/>
          <w:sz w:val="24"/>
          <w:highlight w:val="none"/>
          <w:u w:val="single"/>
          <w:lang w:eastAsia="zh-CN"/>
        </w:rPr>
        <w:t>杭州市萧山区第一人民医院医用器械快速风干柜采购项目</w:t>
      </w:r>
      <w:r>
        <w:rPr>
          <w:rFonts w:hint="eastAsia" w:ascii="仿宋" w:hAnsi="仿宋" w:eastAsia="仿宋" w:cs="仿宋"/>
          <w:sz w:val="24"/>
          <w:highlight w:val="none"/>
        </w:rPr>
        <w:t>的潜在</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应在乐采云(萧采云)平台（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Fonts w:hint="eastAsia" w:ascii="仿宋" w:hAnsi="仿宋" w:eastAsia="仿宋" w:cs="仿宋"/>
          <w:sz w:val="24"/>
          <w:highlight w:val="none"/>
        </w:rPr>
        <w:t>https://www.zcygov.cn/）获取（下载）交易文件，并于202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rPr>
        <w:fldChar w:fldCharType="end"/>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 xml:space="preserve">日 </w:t>
      </w:r>
      <w:r>
        <w:rPr>
          <w:rFonts w:hint="eastAsia" w:ascii="仿宋" w:hAnsi="仿宋" w:eastAsia="仿宋" w:cs="仿宋"/>
          <w:sz w:val="24"/>
          <w:highlight w:val="none"/>
          <w:u w:val="single"/>
          <w:lang w:val="en-US" w:eastAsia="zh-CN"/>
        </w:rPr>
        <w:t>15</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 xml:space="preserve"> 30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递交（上传）响应文件</w:t>
      </w:r>
    </w:p>
    <w:p w14:paraId="19B1546B">
      <w:pPr>
        <w:pStyle w:val="3"/>
        <w:numPr>
          <w:ilvl w:val="0"/>
          <w:numId w:val="0"/>
        </w:numPr>
        <w:rPr>
          <w:rFonts w:hint="eastAsia" w:ascii="仿宋" w:hAnsi="仿宋" w:eastAsia="仿宋" w:cs="仿宋"/>
          <w:sz w:val="24"/>
          <w:szCs w:val="28"/>
          <w:highlight w:val="none"/>
        </w:rPr>
      </w:pPr>
      <w:bookmarkStart w:id="11" w:name="_Toc28359079"/>
      <w:bookmarkStart w:id="12" w:name="_Toc28359002"/>
      <w:bookmarkStart w:id="13" w:name="_Toc35393621"/>
      <w:bookmarkStart w:id="14" w:name="_Toc35393790"/>
      <w:bookmarkStart w:id="15" w:name="_Hlk24379207"/>
      <w:r>
        <w:rPr>
          <w:rFonts w:hint="eastAsia" w:ascii="仿宋" w:hAnsi="仿宋" w:eastAsia="仿宋" w:cs="仿宋"/>
          <w:sz w:val="24"/>
          <w:szCs w:val="28"/>
          <w:highlight w:val="none"/>
        </w:rPr>
        <w:t>一、项目基本情况</w:t>
      </w:r>
      <w:bookmarkEnd w:id="11"/>
      <w:bookmarkEnd w:id="12"/>
      <w:bookmarkEnd w:id="13"/>
      <w:bookmarkEnd w:id="14"/>
    </w:p>
    <w:p w14:paraId="56BF7E4C">
      <w:pPr>
        <w:spacing w:line="360" w:lineRule="auto"/>
        <w:ind w:left="420" w:leftChars="200"/>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项目编号：</w:t>
      </w:r>
      <w:r>
        <w:rPr>
          <w:rFonts w:hint="eastAsia" w:ascii="仿宋" w:hAnsi="仿宋" w:eastAsia="仿宋" w:cs="仿宋"/>
          <w:sz w:val="24"/>
          <w:szCs w:val="28"/>
          <w:highlight w:val="none"/>
          <w:lang w:eastAsia="zh-CN"/>
        </w:rPr>
        <w:t>XSYY2024-GJ-</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lang w:eastAsia="zh-CN"/>
        </w:rPr>
        <w:t>0</w:t>
      </w:r>
      <w:r>
        <w:rPr>
          <w:rFonts w:hint="eastAsia" w:ascii="仿宋" w:hAnsi="仿宋" w:eastAsia="仿宋" w:cs="仿宋"/>
          <w:sz w:val="24"/>
          <w:szCs w:val="28"/>
          <w:highlight w:val="none"/>
          <w:lang w:val="en-US" w:eastAsia="zh-CN"/>
        </w:rPr>
        <w:t xml:space="preserve"> </w:t>
      </w:r>
    </w:p>
    <w:p w14:paraId="1D89235E">
      <w:pPr>
        <w:spacing w:line="360" w:lineRule="auto"/>
        <w:ind w:left="420" w:leftChars="2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szCs w:val="28"/>
          <w:highlight w:val="none"/>
          <w:lang w:eastAsia="zh-CN"/>
        </w:rPr>
        <w:t>杭州市萧山区第一人民医院</w:t>
      </w:r>
      <w:r>
        <w:rPr>
          <w:rFonts w:hint="eastAsia" w:ascii="仿宋" w:hAnsi="仿宋" w:eastAsia="仿宋" w:cs="仿宋"/>
          <w:sz w:val="24"/>
          <w:szCs w:val="28"/>
          <w:highlight w:val="none"/>
          <w:lang w:val="en-US" w:eastAsia="zh-CN"/>
        </w:rPr>
        <w:t>医用器械快速风干柜</w:t>
      </w:r>
      <w:r>
        <w:rPr>
          <w:rFonts w:hint="eastAsia" w:ascii="仿宋" w:hAnsi="仿宋" w:eastAsia="仿宋" w:cs="仿宋"/>
          <w:sz w:val="24"/>
          <w:szCs w:val="28"/>
          <w:highlight w:val="none"/>
          <w:lang w:eastAsia="zh-CN"/>
        </w:rPr>
        <w:t>采购项目</w:t>
      </w:r>
    </w:p>
    <w:p w14:paraId="723C9B7C">
      <w:pPr>
        <w:spacing w:line="360" w:lineRule="auto"/>
        <w:ind w:left="420" w:leftChars="200"/>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150000.00</w:t>
      </w:r>
    </w:p>
    <w:p w14:paraId="4914D129">
      <w:pPr>
        <w:spacing w:line="360" w:lineRule="auto"/>
        <w:ind w:left="420" w:left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最高限价：</w:t>
      </w:r>
      <w:r>
        <w:rPr>
          <w:rFonts w:hint="eastAsia" w:ascii="仿宋" w:hAnsi="仿宋" w:eastAsia="仿宋" w:cs="仿宋"/>
          <w:sz w:val="24"/>
          <w:szCs w:val="28"/>
          <w:highlight w:val="none"/>
          <w:lang w:val="en-US" w:eastAsia="zh-CN"/>
        </w:rPr>
        <w:t>150000.00</w:t>
      </w:r>
    </w:p>
    <w:p w14:paraId="59897334">
      <w:pPr>
        <w:spacing w:line="360" w:lineRule="auto"/>
        <w:ind w:left="420" w:leftChars="200"/>
        <w:jc w:val="left"/>
        <w:rPr>
          <w:rFonts w:hint="eastAsia" w:ascii="仿宋" w:hAnsi="仿宋" w:eastAsia="仿宋" w:cs="仿宋"/>
          <w:sz w:val="24"/>
          <w:szCs w:val="28"/>
          <w:highlight w:val="none"/>
          <w:u w:val="single"/>
        </w:rPr>
      </w:pPr>
      <w:r>
        <w:rPr>
          <w:rFonts w:hint="eastAsia" w:ascii="仿宋" w:hAnsi="仿宋" w:eastAsia="仿宋" w:cs="仿宋"/>
          <w:sz w:val="24"/>
          <w:szCs w:val="28"/>
          <w:highlight w:val="none"/>
        </w:rPr>
        <w:t>交易需求：详见交易文件</w:t>
      </w:r>
    </w:p>
    <w:p w14:paraId="00DFDC67">
      <w:pPr>
        <w:spacing w:line="360" w:lineRule="auto"/>
        <w:ind w:firstLine="480"/>
        <w:rPr>
          <w:rFonts w:hint="eastAsia" w:ascii="仿宋" w:hAnsi="仿宋" w:eastAsia="仿宋" w:cs="仿宋"/>
          <w:bCs/>
          <w:sz w:val="24"/>
          <w:highlight w:val="none"/>
        </w:rPr>
      </w:pPr>
      <w:r>
        <w:rPr>
          <w:rFonts w:hint="eastAsia" w:ascii="仿宋" w:hAnsi="仿宋" w:eastAsia="仿宋" w:cs="仿宋"/>
          <w:b/>
          <w:sz w:val="24"/>
          <w:highlight w:val="none"/>
        </w:rPr>
        <w:t>合同履约期限：</w:t>
      </w:r>
      <w:r>
        <w:rPr>
          <w:rFonts w:hint="eastAsia" w:ascii="仿宋" w:hAnsi="仿宋" w:eastAsia="仿宋" w:cs="仿宋"/>
          <w:sz w:val="24"/>
          <w:szCs w:val="28"/>
          <w:highlight w:val="none"/>
        </w:rPr>
        <w:t>按交易文件要求</w:t>
      </w:r>
    </w:p>
    <w:p w14:paraId="7C471531">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本项目是否接受联合体交易：</w:t>
      </w:r>
      <w:sdt>
        <w:sdtPr>
          <w:rPr>
            <w:rFonts w:hint="eastAsia" w:ascii="仿宋" w:hAnsi="仿宋" w:eastAsia="仿宋" w:cs="仿宋"/>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sz w:val="24"/>
          <w:highlight w:val="none"/>
        </w:rPr>
        <w:t>是，</w:t>
      </w:r>
      <w:sdt>
        <w:sdtPr>
          <w:rPr>
            <w:rFonts w:hint="eastAsia" w:ascii="仿宋" w:hAnsi="仿宋" w:eastAsia="仿宋" w:cs="仿宋"/>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b/>
          <w:sz w:val="24"/>
          <w:highlight w:val="none"/>
        </w:rPr>
        <w:t>否</w:t>
      </w:r>
      <w:r>
        <w:rPr>
          <w:rFonts w:hint="eastAsia" w:ascii="仿宋" w:hAnsi="仿宋" w:eastAsia="仿宋" w:cs="仿宋"/>
          <w:kern w:val="0"/>
          <w:sz w:val="24"/>
          <w:highlight w:val="none"/>
        </w:rPr>
        <w:t>。</w:t>
      </w:r>
    </w:p>
    <w:p w14:paraId="69308F52">
      <w:pPr>
        <w:pStyle w:val="2"/>
        <w:ind w:firstLine="482" w:firstLineChars="200"/>
        <w:jc w:val="both"/>
        <w:rPr>
          <w:rFonts w:hint="eastAsia" w:ascii="仿宋" w:hAnsi="仿宋" w:eastAsia="仿宋" w:cs="仿宋"/>
          <w:highlight w:val="none"/>
        </w:rPr>
      </w:pPr>
      <w:r>
        <w:rPr>
          <w:rFonts w:hint="eastAsia" w:ascii="仿宋" w:hAnsi="仿宋" w:eastAsia="仿宋" w:cs="仿宋"/>
          <w:color w:val="auto"/>
          <w:sz w:val="24"/>
          <w:szCs w:val="28"/>
          <w:highlight w:val="none"/>
        </w:rPr>
        <w:t>交易方式：公开竞争</w:t>
      </w:r>
    </w:p>
    <w:p w14:paraId="1AE8418E">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二、</w:t>
      </w:r>
      <w:bookmarkStart w:id="16" w:name="_Toc28359003"/>
      <w:bookmarkStart w:id="17" w:name="_Toc28359080"/>
      <w:bookmarkStart w:id="18" w:name="_Toc35393791"/>
      <w:bookmarkStart w:id="19" w:name="_Toc35393622"/>
      <w:r>
        <w:rPr>
          <w:rFonts w:hint="eastAsia" w:ascii="仿宋" w:hAnsi="仿宋" w:eastAsia="仿宋" w:cs="仿宋"/>
          <w:sz w:val="24"/>
          <w:szCs w:val="28"/>
          <w:highlight w:val="none"/>
        </w:rPr>
        <w:t>申请人的资格要求：</w:t>
      </w:r>
      <w:bookmarkEnd w:id="16"/>
      <w:bookmarkEnd w:id="17"/>
      <w:bookmarkEnd w:id="18"/>
      <w:bookmarkEnd w:id="19"/>
    </w:p>
    <w:p w14:paraId="55977FCB">
      <w:pPr>
        <w:adjustRightInd/>
        <w:spacing w:after="120" w:line="400" w:lineRule="exact"/>
        <w:ind w:firstLine="480" w:firstLineChars="200"/>
        <w:rPr>
          <w:rFonts w:hint="eastAsia" w:ascii="仿宋" w:hAnsi="仿宋" w:eastAsia="仿宋" w:cs="仿宋"/>
          <w:snapToGrid w:val="0"/>
          <w:color w:val="000000"/>
          <w:kern w:val="28"/>
          <w:sz w:val="24"/>
          <w:szCs w:val="20"/>
          <w:highlight w:val="none"/>
        </w:rPr>
      </w:pPr>
      <w:bookmarkStart w:id="20" w:name="_Toc28359081"/>
      <w:bookmarkStart w:id="21" w:name="_Toc28359004"/>
      <w:bookmarkStart w:id="22" w:name="_Toc35393792"/>
      <w:bookmarkStart w:id="23" w:name="_Toc35393623"/>
      <w:r>
        <w:rPr>
          <w:rFonts w:hint="eastAsia" w:ascii="仿宋" w:hAnsi="仿宋" w:eastAsia="仿宋" w:cs="仿宋"/>
          <w:snapToGrid w:val="0"/>
          <w:color w:val="000000"/>
          <w:kern w:val="28"/>
          <w:sz w:val="24"/>
          <w:szCs w:val="20"/>
          <w:highlight w:val="none"/>
        </w:rPr>
        <w:t>1.具有独立承担民事责任能力的独立法人企业。</w:t>
      </w:r>
    </w:p>
    <w:p w14:paraId="67A7816A">
      <w:pPr>
        <w:spacing w:after="120" w:line="400" w:lineRule="exact"/>
        <w:ind w:firstLine="480" w:firstLineChars="200"/>
        <w:jc w:val="left"/>
        <w:rPr>
          <w:rFonts w:hint="eastAsia" w:ascii="仿宋" w:hAnsi="仿宋" w:eastAsia="仿宋" w:cs="仿宋"/>
          <w:snapToGrid w:val="0"/>
          <w:color w:val="000000"/>
          <w:kern w:val="28"/>
          <w:sz w:val="24"/>
          <w:szCs w:val="20"/>
          <w:highlight w:val="none"/>
        </w:rPr>
      </w:pPr>
      <w:r>
        <w:rPr>
          <w:rFonts w:hint="eastAsia" w:ascii="仿宋" w:hAnsi="仿宋" w:eastAsia="仿宋" w:cs="仿宋"/>
          <w:snapToGrid w:val="0"/>
          <w:color w:val="000000"/>
          <w:kern w:val="28"/>
          <w:sz w:val="24"/>
          <w:szCs w:val="20"/>
          <w:highlight w:val="none"/>
        </w:rPr>
        <w:t>2.具有良好的商业信誉和健全的财务会计制度；</w:t>
      </w:r>
    </w:p>
    <w:p w14:paraId="43167B36">
      <w:pPr>
        <w:spacing w:after="120" w:line="400" w:lineRule="exact"/>
        <w:ind w:firstLine="480" w:firstLineChars="200"/>
        <w:jc w:val="left"/>
        <w:rPr>
          <w:rFonts w:hint="eastAsia" w:ascii="仿宋" w:hAnsi="仿宋" w:eastAsia="仿宋" w:cs="仿宋"/>
          <w:snapToGrid w:val="0"/>
          <w:color w:val="000000"/>
          <w:kern w:val="28"/>
          <w:sz w:val="24"/>
          <w:szCs w:val="20"/>
          <w:highlight w:val="none"/>
        </w:rPr>
      </w:pPr>
      <w:r>
        <w:rPr>
          <w:rFonts w:hint="eastAsia" w:ascii="仿宋" w:hAnsi="仿宋" w:eastAsia="仿宋" w:cs="仿宋"/>
          <w:snapToGrid w:val="0"/>
          <w:color w:val="000000"/>
          <w:kern w:val="28"/>
          <w:sz w:val="24"/>
          <w:szCs w:val="20"/>
          <w:highlight w:val="none"/>
        </w:rPr>
        <w:t>3.具有履行合同所必需的设备和专业技术能力；</w:t>
      </w:r>
    </w:p>
    <w:p w14:paraId="5B86809E">
      <w:pPr>
        <w:spacing w:after="120" w:line="400" w:lineRule="exact"/>
        <w:ind w:firstLine="480" w:firstLineChars="200"/>
        <w:jc w:val="left"/>
        <w:rPr>
          <w:rFonts w:hint="eastAsia" w:ascii="仿宋" w:hAnsi="仿宋" w:eastAsia="仿宋" w:cs="仿宋"/>
          <w:snapToGrid w:val="0"/>
          <w:color w:val="000000"/>
          <w:kern w:val="28"/>
          <w:sz w:val="24"/>
          <w:szCs w:val="20"/>
          <w:highlight w:val="none"/>
        </w:rPr>
      </w:pPr>
      <w:r>
        <w:rPr>
          <w:rFonts w:hint="eastAsia" w:ascii="仿宋" w:hAnsi="仿宋" w:eastAsia="仿宋" w:cs="仿宋"/>
          <w:snapToGrid w:val="0"/>
          <w:color w:val="000000"/>
          <w:kern w:val="28"/>
          <w:sz w:val="24"/>
          <w:szCs w:val="20"/>
          <w:highlight w:val="none"/>
        </w:rPr>
        <w:t>4.具有依法缴纳税收和社会保障资金的良好记录；</w:t>
      </w:r>
    </w:p>
    <w:p w14:paraId="1589375C">
      <w:pPr>
        <w:spacing w:after="120" w:line="400" w:lineRule="exact"/>
        <w:ind w:firstLine="480" w:firstLineChars="200"/>
        <w:jc w:val="left"/>
        <w:rPr>
          <w:rFonts w:hint="eastAsia" w:ascii="仿宋" w:hAnsi="仿宋" w:eastAsia="仿宋" w:cs="仿宋"/>
          <w:snapToGrid w:val="0"/>
          <w:color w:val="000000"/>
          <w:kern w:val="28"/>
          <w:sz w:val="24"/>
          <w:szCs w:val="20"/>
          <w:highlight w:val="none"/>
        </w:rPr>
      </w:pPr>
      <w:r>
        <w:rPr>
          <w:rFonts w:hint="eastAsia" w:ascii="仿宋" w:hAnsi="仿宋" w:eastAsia="仿宋" w:cs="仿宋"/>
          <w:snapToGrid w:val="0"/>
          <w:color w:val="000000"/>
          <w:kern w:val="28"/>
          <w:sz w:val="24"/>
          <w:szCs w:val="20"/>
          <w:highlight w:val="none"/>
        </w:rPr>
        <w:t>5.参加交易活动前三年内，在经营活动中没有重大违法记录；</w:t>
      </w:r>
    </w:p>
    <w:p w14:paraId="214A493E">
      <w:pPr>
        <w:spacing w:after="120" w:line="400" w:lineRule="exact"/>
        <w:ind w:firstLine="480" w:firstLineChars="200"/>
        <w:jc w:val="left"/>
        <w:rPr>
          <w:rFonts w:hint="eastAsia" w:ascii="仿宋" w:hAnsi="仿宋" w:eastAsia="仿宋" w:cs="仿宋"/>
          <w:snapToGrid w:val="0"/>
          <w:color w:val="000000"/>
          <w:kern w:val="28"/>
          <w:sz w:val="24"/>
          <w:szCs w:val="20"/>
          <w:highlight w:val="none"/>
        </w:rPr>
      </w:pPr>
      <w:r>
        <w:rPr>
          <w:rFonts w:hint="eastAsia" w:ascii="仿宋" w:hAnsi="仿宋" w:eastAsia="仿宋" w:cs="仿宋"/>
          <w:snapToGrid w:val="0"/>
          <w:color w:val="000000"/>
          <w:kern w:val="28"/>
          <w:sz w:val="24"/>
          <w:szCs w:val="20"/>
          <w:highlight w:val="none"/>
        </w:rPr>
        <w:t>6.法律、行政法规规定的其他条件；</w:t>
      </w:r>
    </w:p>
    <w:p w14:paraId="3C923565">
      <w:pPr>
        <w:pStyle w:val="635"/>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7、其他特定条件：</w:t>
      </w:r>
    </w:p>
    <w:p w14:paraId="3713D9FD">
      <w:pPr>
        <w:pStyle w:val="635"/>
        <w:rPr>
          <w:rFonts w:hint="eastAsia" w:ascii="仿宋" w:hAnsi="仿宋" w:eastAsia="仿宋" w:cs="仿宋"/>
          <w:snapToGrid w:val="0"/>
          <w:color w:val="auto"/>
          <w:kern w:val="28"/>
          <w:szCs w:val="20"/>
          <w:highlight w:val="none"/>
          <w:lang w:eastAsia="zh-CN"/>
        </w:rPr>
      </w:pPr>
      <w:r>
        <w:rPr>
          <w:rFonts w:hint="eastAsia" w:ascii="仿宋" w:hAnsi="仿宋" w:eastAsia="仿宋" w:cs="仿宋"/>
          <w:snapToGrid w:val="0"/>
          <w:color w:val="auto"/>
          <w:kern w:val="28"/>
          <w:szCs w:val="20"/>
          <w:highlight w:val="none"/>
          <w:lang w:eastAsia="zh-CN"/>
        </w:rPr>
        <w:t>投标产品属于第二、第三类医疗器械的，应当提供厂家关于产品的有效的医疗器械注册证和厂家的医疗器械生产许可证；投标产品属于第一类医疗器械的，应当提供生产厂家关于产品的医疗器械产品备案凭证和厂家的生产备案凭证；投标产品为非医疗器械的无需提供。</w:t>
      </w:r>
    </w:p>
    <w:p w14:paraId="748E50CC">
      <w:pPr>
        <w:pStyle w:val="635"/>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投标产品属第三类医疗器械的，</w:t>
      </w:r>
      <w:r>
        <w:rPr>
          <w:rFonts w:hint="eastAsia" w:ascii="仿宋" w:hAnsi="仿宋" w:eastAsia="仿宋" w:cs="仿宋"/>
          <w:snapToGrid w:val="0"/>
          <w:color w:val="auto"/>
          <w:kern w:val="28"/>
          <w:szCs w:val="20"/>
          <w:highlight w:val="none"/>
          <w:lang w:eastAsia="zh-CN"/>
        </w:rPr>
        <w:t>投标人为经营企业的，除提供营业执照外，还应当</w:t>
      </w:r>
      <w:r>
        <w:rPr>
          <w:rFonts w:hint="eastAsia" w:ascii="仿宋" w:hAnsi="仿宋" w:eastAsia="仿宋" w:cs="仿宋"/>
          <w:snapToGrid w:val="0"/>
          <w:color w:val="auto"/>
          <w:kern w:val="28"/>
          <w:szCs w:val="20"/>
          <w:highlight w:val="none"/>
        </w:rPr>
        <w:t>提供有效的医疗器械经营许可证</w:t>
      </w:r>
      <w:r>
        <w:rPr>
          <w:rFonts w:hint="eastAsia" w:ascii="仿宋" w:hAnsi="仿宋" w:eastAsia="仿宋" w:cs="仿宋"/>
          <w:snapToGrid w:val="0"/>
          <w:color w:val="auto"/>
          <w:kern w:val="28"/>
          <w:szCs w:val="20"/>
          <w:highlight w:val="none"/>
          <w:lang w:eastAsia="zh-CN"/>
        </w:rPr>
        <w:t>；投标人是生产厂家的，除提供营业执照外，只需要提供医疗器械生产许可证。</w:t>
      </w:r>
      <w:r>
        <w:rPr>
          <w:rFonts w:hint="eastAsia" w:ascii="仿宋" w:hAnsi="仿宋" w:eastAsia="仿宋" w:cs="仿宋"/>
          <w:snapToGrid w:val="0"/>
          <w:color w:val="auto"/>
          <w:kern w:val="28"/>
          <w:szCs w:val="20"/>
          <w:highlight w:val="none"/>
        </w:rPr>
        <w:t>投标产品属第</w:t>
      </w:r>
      <w:r>
        <w:rPr>
          <w:rFonts w:hint="eastAsia" w:ascii="仿宋" w:hAnsi="仿宋" w:eastAsia="仿宋" w:cs="仿宋"/>
          <w:snapToGrid w:val="0"/>
          <w:color w:val="auto"/>
          <w:kern w:val="28"/>
          <w:szCs w:val="20"/>
          <w:highlight w:val="none"/>
          <w:lang w:eastAsia="zh-CN"/>
        </w:rPr>
        <w:t>二</w:t>
      </w:r>
      <w:r>
        <w:rPr>
          <w:rFonts w:hint="eastAsia" w:ascii="仿宋" w:hAnsi="仿宋" w:eastAsia="仿宋" w:cs="仿宋"/>
          <w:snapToGrid w:val="0"/>
          <w:color w:val="auto"/>
          <w:kern w:val="28"/>
          <w:szCs w:val="20"/>
          <w:highlight w:val="none"/>
        </w:rPr>
        <w:t>类医疗器械的，</w:t>
      </w:r>
      <w:r>
        <w:rPr>
          <w:rFonts w:hint="eastAsia" w:ascii="仿宋" w:hAnsi="仿宋" w:eastAsia="仿宋" w:cs="仿宋"/>
          <w:snapToGrid w:val="0"/>
          <w:color w:val="auto"/>
          <w:kern w:val="28"/>
          <w:szCs w:val="20"/>
          <w:highlight w:val="none"/>
          <w:lang w:eastAsia="zh-CN"/>
        </w:rPr>
        <w:t>投标人为经营企业的，除提供营业执照外，还应当</w:t>
      </w:r>
      <w:r>
        <w:rPr>
          <w:rFonts w:hint="eastAsia" w:ascii="仿宋" w:hAnsi="仿宋" w:eastAsia="仿宋" w:cs="仿宋"/>
          <w:snapToGrid w:val="0"/>
          <w:color w:val="auto"/>
          <w:kern w:val="28"/>
          <w:szCs w:val="20"/>
          <w:highlight w:val="none"/>
        </w:rPr>
        <w:t>提供有效的</w:t>
      </w:r>
      <w:r>
        <w:rPr>
          <w:rFonts w:hint="eastAsia" w:ascii="仿宋" w:hAnsi="仿宋" w:eastAsia="仿宋" w:cs="仿宋"/>
          <w:snapToGrid w:val="0"/>
          <w:color w:val="auto"/>
          <w:kern w:val="28"/>
          <w:szCs w:val="20"/>
          <w:highlight w:val="none"/>
          <w:lang w:eastAsia="zh-CN"/>
        </w:rPr>
        <w:t>第二类</w:t>
      </w:r>
      <w:r>
        <w:rPr>
          <w:rFonts w:hint="eastAsia" w:ascii="仿宋" w:hAnsi="仿宋" w:eastAsia="仿宋" w:cs="仿宋"/>
          <w:snapToGrid w:val="0"/>
          <w:color w:val="auto"/>
          <w:kern w:val="28"/>
          <w:szCs w:val="20"/>
          <w:highlight w:val="none"/>
        </w:rPr>
        <w:t>医疗器械经营</w:t>
      </w:r>
      <w:r>
        <w:rPr>
          <w:rFonts w:hint="eastAsia" w:ascii="仿宋" w:hAnsi="仿宋" w:eastAsia="仿宋" w:cs="仿宋"/>
          <w:snapToGrid w:val="0"/>
          <w:color w:val="auto"/>
          <w:kern w:val="28"/>
          <w:szCs w:val="20"/>
          <w:highlight w:val="none"/>
          <w:lang w:eastAsia="zh-CN"/>
        </w:rPr>
        <w:t>备案凭证；投标人为生产厂家的，除提供营业执照外，只需要提供医疗器械生产许可证。</w:t>
      </w:r>
      <w:r>
        <w:rPr>
          <w:rFonts w:hint="eastAsia" w:ascii="仿宋" w:hAnsi="仿宋" w:eastAsia="仿宋" w:cs="仿宋"/>
          <w:snapToGrid w:val="0"/>
          <w:color w:val="auto"/>
          <w:kern w:val="28"/>
          <w:szCs w:val="20"/>
          <w:highlight w:val="none"/>
        </w:rPr>
        <w:t>投标产品属第</w:t>
      </w:r>
      <w:r>
        <w:rPr>
          <w:rFonts w:hint="eastAsia" w:ascii="仿宋" w:hAnsi="仿宋" w:eastAsia="仿宋" w:cs="仿宋"/>
          <w:snapToGrid w:val="0"/>
          <w:color w:val="auto"/>
          <w:kern w:val="28"/>
          <w:szCs w:val="20"/>
          <w:highlight w:val="none"/>
          <w:lang w:eastAsia="zh-CN"/>
        </w:rPr>
        <w:t>一</w:t>
      </w:r>
      <w:r>
        <w:rPr>
          <w:rFonts w:hint="eastAsia" w:ascii="仿宋" w:hAnsi="仿宋" w:eastAsia="仿宋" w:cs="仿宋"/>
          <w:snapToGrid w:val="0"/>
          <w:color w:val="auto"/>
          <w:kern w:val="28"/>
          <w:szCs w:val="20"/>
          <w:highlight w:val="none"/>
        </w:rPr>
        <w:t>类医疗器械的，</w:t>
      </w:r>
      <w:r>
        <w:rPr>
          <w:rFonts w:hint="eastAsia" w:ascii="仿宋" w:hAnsi="仿宋" w:eastAsia="仿宋" w:cs="仿宋"/>
          <w:snapToGrid w:val="0"/>
          <w:color w:val="auto"/>
          <w:kern w:val="28"/>
          <w:szCs w:val="20"/>
          <w:highlight w:val="none"/>
          <w:lang w:eastAsia="zh-CN"/>
        </w:rPr>
        <w:t>投标人为经营企业的，只需要提供营业执照；投标人为生产厂家的，出提供营业执照外，还应当</w:t>
      </w:r>
      <w:r>
        <w:rPr>
          <w:rFonts w:hint="eastAsia" w:ascii="仿宋" w:hAnsi="仿宋" w:eastAsia="仿宋" w:cs="仿宋"/>
          <w:snapToGrid w:val="0"/>
          <w:color w:val="auto"/>
          <w:kern w:val="28"/>
          <w:szCs w:val="20"/>
          <w:highlight w:val="none"/>
        </w:rPr>
        <w:t>提供有效的</w:t>
      </w:r>
      <w:r>
        <w:rPr>
          <w:rFonts w:hint="eastAsia" w:ascii="仿宋" w:hAnsi="仿宋" w:eastAsia="仿宋" w:cs="仿宋"/>
          <w:snapToGrid w:val="0"/>
          <w:color w:val="auto"/>
          <w:kern w:val="28"/>
          <w:szCs w:val="20"/>
          <w:highlight w:val="none"/>
          <w:lang w:eastAsia="zh-CN"/>
        </w:rPr>
        <w:t>第</w:t>
      </w:r>
      <w:r>
        <w:rPr>
          <w:rFonts w:hint="eastAsia" w:ascii="仿宋" w:hAnsi="仿宋" w:eastAsia="仿宋" w:cs="仿宋"/>
          <w:snapToGrid w:val="0"/>
          <w:color w:val="auto"/>
          <w:kern w:val="28"/>
          <w:szCs w:val="20"/>
          <w:highlight w:val="none"/>
        </w:rPr>
        <w:t>医疗器械</w:t>
      </w:r>
      <w:r>
        <w:rPr>
          <w:rFonts w:hint="eastAsia" w:ascii="仿宋" w:hAnsi="仿宋" w:eastAsia="仿宋" w:cs="仿宋"/>
          <w:snapToGrid w:val="0"/>
          <w:color w:val="auto"/>
          <w:kern w:val="28"/>
          <w:szCs w:val="20"/>
          <w:highlight w:val="none"/>
          <w:lang w:eastAsia="zh-CN"/>
        </w:rPr>
        <w:t>生产备案凭证。投标产品为非医疗器械的，只需要提供营业执照。</w:t>
      </w:r>
    </w:p>
    <w:p w14:paraId="5E12BB98">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三、获取</w:t>
      </w:r>
      <w:bookmarkEnd w:id="20"/>
      <w:bookmarkEnd w:id="21"/>
      <w:bookmarkEnd w:id="22"/>
      <w:bookmarkEnd w:id="23"/>
      <w:r>
        <w:rPr>
          <w:rFonts w:hint="eastAsia" w:ascii="仿宋" w:hAnsi="仿宋" w:eastAsia="仿宋" w:cs="仿宋"/>
          <w:sz w:val="24"/>
          <w:szCs w:val="28"/>
          <w:highlight w:val="none"/>
        </w:rPr>
        <w:t>交易文件</w:t>
      </w:r>
    </w:p>
    <w:p w14:paraId="26BEB020">
      <w:pPr>
        <w:spacing w:line="360" w:lineRule="auto"/>
        <w:ind w:firstLine="482" w:firstLineChars="200"/>
        <w:rPr>
          <w:rFonts w:hint="eastAsia" w:ascii="仿宋" w:hAnsi="仿宋" w:eastAsia="仿宋" w:cs="仿宋"/>
          <w:sz w:val="24"/>
          <w:highlight w:val="none"/>
        </w:rPr>
      </w:pPr>
      <w:bookmarkStart w:id="24" w:name="_Toc28359082"/>
      <w:bookmarkStart w:id="25" w:name="_Toc28359005"/>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val="en-US" w:eastAsia="zh-CN"/>
        </w:rPr>
        <w:t>2025年1月10日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，每天上午00:00至12:00 ，下午12:00至23:59（北京时间，线上获取法定节假日均可，线下获取文件法定节假日除外）</w:t>
      </w:r>
    </w:p>
    <w:p w14:paraId="31CCD78A">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地点（网址）：</w:t>
      </w:r>
      <w:r>
        <w:rPr>
          <w:rFonts w:hint="eastAsia" w:ascii="仿宋" w:hAnsi="仿宋" w:eastAsia="仿宋" w:cs="仿宋"/>
          <w:bCs/>
          <w:sz w:val="24"/>
          <w:highlight w:val="none"/>
          <w:lang w:eastAsia="zh-CN"/>
        </w:rPr>
        <w:t xml:space="preserve">乐采云平台（https://www.zcygov.cn/） </w:t>
      </w:r>
    </w:p>
    <w:p w14:paraId="1812840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登录乐采云(萧采云)平台https://www.zcygov.cn/在线申请获取交易文件</w:t>
      </w:r>
      <w:r>
        <w:rPr>
          <w:rFonts w:hint="eastAsia" w:ascii="仿宋" w:hAnsi="仿宋" w:eastAsia="仿宋" w:cs="仿宋"/>
          <w:sz w:val="24"/>
          <w:highlight w:val="none"/>
        </w:rPr>
        <w:t xml:space="preserve">（进入“项目交易”应用，在获取交易文件菜单中选择项目，申请获取交易文件）。 </w:t>
      </w:r>
    </w:p>
    <w:p w14:paraId="48A5F9F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09A70AD">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四、提交</w:t>
      </w:r>
      <w:bookmarkEnd w:id="24"/>
      <w:bookmarkEnd w:id="25"/>
      <w:r>
        <w:rPr>
          <w:rFonts w:hint="eastAsia" w:ascii="仿宋" w:hAnsi="仿宋" w:eastAsia="仿宋" w:cs="仿宋"/>
          <w:sz w:val="24"/>
          <w:szCs w:val="28"/>
          <w:highlight w:val="none"/>
        </w:rPr>
        <w:t>响应文件截止时间、交易时间和地点</w:t>
      </w:r>
      <w:bookmarkEnd w:id="26"/>
      <w:bookmarkEnd w:id="27"/>
    </w:p>
    <w:p w14:paraId="7F348B3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提交响应文件截止时间：</w:t>
      </w:r>
      <w:r>
        <w:rPr>
          <w:rFonts w:hint="eastAsia" w:ascii="仿宋" w:hAnsi="仿宋" w:eastAsia="仿宋" w:cs="仿宋"/>
          <w:sz w:val="24"/>
          <w:highlight w:val="none"/>
          <w:u w:val="single"/>
          <w:lang w:val="en-US" w:eastAsia="zh-CN"/>
        </w:rPr>
        <w:t>2025年1月10日15</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分00秒</w:t>
      </w:r>
      <w:r>
        <w:rPr>
          <w:rFonts w:hint="eastAsia" w:ascii="仿宋" w:hAnsi="仿宋" w:eastAsia="仿宋" w:cs="仿宋"/>
          <w:sz w:val="24"/>
          <w:highlight w:val="none"/>
        </w:rPr>
        <w:t>（北京时间）</w:t>
      </w:r>
    </w:p>
    <w:p w14:paraId="4B87CF2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交易时间：</w:t>
      </w:r>
      <w:r>
        <w:rPr>
          <w:rFonts w:hint="eastAsia" w:ascii="仿宋" w:hAnsi="仿宋" w:eastAsia="仿宋" w:cs="仿宋"/>
          <w:sz w:val="24"/>
          <w:highlight w:val="none"/>
          <w:u w:val="single"/>
          <w:lang w:val="en-US" w:eastAsia="zh-CN"/>
        </w:rPr>
        <w:t>2025年1月10日15</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分00秒</w:t>
      </w:r>
      <w:r>
        <w:rPr>
          <w:rFonts w:hint="eastAsia" w:ascii="仿宋" w:hAnsi="仿宋" w:eastAsia="仿宋" w:cs="仿宋"/>
          <w:sz w:val="24"/>
          <w:highlight w:val="none"/>
        </w:rPr>
        <w:t>（北京时间）</w:t>
      </w:r>
    </w:p>
    <w:p w14:paraId="57D9467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交易地点：</w:t>
      </w:r>
      <w:r>
        <w:rPr>
          <w:rFonts w:hint="eastAsia" w:ascii="仿宋" w:hAnsi="仿宋" w:eastAsia="仿宋" w:cs="仿宋"/>
          <w:bCs/>
          <w:sz w:val="24"/>
          <w:highlight w:val="none"/>
          <w:lang w:eastAsia="zh-CN"/>
        </w:rPr>
        <w:t xml:space="preserve">乐采云平台（https://www.zcygov.cn/） </w:t>
      </w:r>
      <w:r>
        <w:rPr>
          <w:rFonts w:hint="eastAsia" w:ascii="仿宋" w:hAnsi="仿宋" w:eastAsia="仿宋" w:cs="仿宋"/>
          <w:sz w:val="24"/>
          <w:highlight w:val="none"/>
        </w:rPr>
        <w:t xml:space="preserve">  </w:t>
      </w:r>
    </w:p>
    <w:p w14:paraId="00D67FAC">
      <w:pPr>
        <w:pStyle w:val="3"/>
        <w:numPr>
          <w:ilvl w:val="0"/>
          <w:numId w:val="0"/>
        </w:numPr>
        <w:rPr>
          <w:rFonts w:hint="eastAsia" w:ascii="仿宋" w:hAnsi="仿宋" w:eastAsia="仿宋" w:cs="仿宋"/>
          <w:sz w:val="24"/>
          <w:highlight w:val="none"/>
        </w:rPr>
      </w:pPr>
      <w:bookmarkStart w:id="28" w:name="_Toc35393795"/>
      <w:bookmarkStart w:id="29" w:name="_Toc35393626"/>
      <w:r>
        <w:rPr>
          <w:rFonts w:hint="eastAsia" w:ascii="仿宋" w:hAnsi="仿宋" w:eastAsia="仿宋" w:cs="仿宋"/>
          <w:sz w:val="24"/>
          <w:szCs w:val="28"/>
          <w:highlight w:val="none"/>
        </w:rPr>
        <w:t>五、其他补充事宜</w:t>
      </w:r>
      <w:bookmarkEnd w:id="28"/>
      <w:bookmarkEnd w:id="29"/>
      <w:bookmarkStart w:id="30" w:name="_Toc35393796"/>
      <w:bookmarkStart w:id="31" w:name="_Toc35393627"/>
      <w:bookmarkStart w:id="32" w:name="_Toc28359008"/>
      <w:bookmarkStart w:id="33" w:name="_Toc28359085"/>
    </w:p>
    <w:p w14:paraId="04C9E7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认为交易文件使自己的权益受到损害的，可以自获取交易文件之日起3个工作日内，以书面形式向采购人和采购代理机构提出质疑。</w:t>
      </w:r>
    </w:p>
    <w:p w14:paraId="60F7F0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 1）电子招投标：本项目以数据电文形式，依托“乐采云(萧采云)平台（https://www.zcygov.cn/）”进行交易活动，不接受纸质响应文件。2）投标准备：注册账号--点击“商家入驻”，进行政府采购</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交易文件菜单中选择项目，获取交易文件。4）响应文件的制作：在“政采云电子交易客户端”中完成“填写基本信息”、“导入响应文件”、“标书关联”、“标书检查”、“公章”、“生成电子标书”等操作。5）采购人、采购机构将依托政采云平台完成本项目的电子交易活动，平台不接受未按上述方式获取交易文件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进行交易活动； 6）对未按上述方式获取交易文件的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对该文件提出的质疑，采购人或采购代理机构将不予处理；7）不提供交易文件纸质版。8）响应文件的传输递交：</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在交易截止时间前将加密的响应文件上传至政府采购云平台，还可以在交易截止时间前直接提交或者以邮政快递方式递交备份响应文件1份。备份响应文件的制作、存储、密封详见交易文件第二部分第15点—“备份响应文件”。9）响应文件的解密：</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按照平台提示和交易文件的规定在半小时内完成在线解密。通过“政府采购云平台”上传递交的响应文件无法按时解密，</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递交了备份响应文件的，以备份响应文件为依据，否则视为响应文件撤回。通过“政府采购云平台”上传递交的响应文件已按时解密的，备份响应文件自动失效。</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仅提交备份响应文件，没有在电子交易平台传输递交响应文件的，交易无效。10）具体操作指南：详见政采云平台“服务中心-帮助文档-项目采购-操作流程-电子招投标-政府采购项目电子交易管理操作指南-</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p>
    <w:p w14:paraId="6A2D6C26">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六、对本次招标提出询问，请按以下方式联系。</w:t>
      </w:r>
      <w:bookmarkEnd w:id="30"/>
      <w:bookmarkEnd w:id="31"/>
      <w:bookmarkEnd w:id="32"/>
      <w:bookmarkEnd w:id="33"/>
    </w:p>
    <w:p w14:paraId="6D7C830F">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1.交易发起人信息</w:t>
      </w:r>
    </w:p>
    <w:p w14:paraId="396F4CE8">
      <w:pPr>
        <w:widowControl/>
        <w:spacing w:line="360" w:lineRule="auto"/>
        <w:jc w:val="left"/>
        <w:rPr>
          <w:rFonts w:hint="eastAsia" w:ascii="仿宋" w:hAnsi="仿宋" w:eastAsia="仿宋" w:cs="仿宋"/>
          <w:sz w:val="24"/>
          <w:szCs w:val="28"/>
          <w:highlight w:val="none"/>
          <w:lang w:eastAsia="zh-CN"/>
        </w:rPr>
      </w:pPr>
      <w:bookmarkStart w:id="34" w:name="_Toc28359086"/>
      <w:bookmarkStart w:id="35" w:name="_Toc28359009"/>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杭州市萧山区第一人民医院</w:t>
      </w:r>
    </w:p>
    <w:p w14:paraId="6F118A04">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地址：杭州市萧山区城厢街道市心南路199号</w:t>
      </w:r>
    </w:p>
    <w:p w14:paraId="6CC0BE35">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传真：0571-83807019</w:t>
      </w:r>
    </w:p>
    <w:p w14:paraId="56A86F37">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项目联系人（询问）：周建设</w:t>
      </w:r>
    </w:p>
    <w:p w14:paraId="4FABE8E4">
      <w:pPr>
        <w:widowControl/>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项目联系方式（询问）：0571-8380710</w:t>
      </w:r>
      <w:r>
        <w:rPr>
          <w:rFonts w:hint="eastAsia" w:ascii="仿宋" w:hAnsi="仿宋" w:eastAsia="仿宋" w:cs="仿宋"/>
          <w:sz w:val="24"/>
          <w:szCs w:val="28"/>
          <w:highlight w:val="none"/>
          <w:lang w:val="en-US" w:eastAsia="zh-CN"/>
        </w:rPr>
        <w:t>2</w:t>
      </w:r>
    </w:p>
    <w:p w14:paraId="7949BFD8">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2.交易代理机构信息</w:t>
      </w:r>
      <w:bookmarkEnd w:id="34"/>
      <w:bookmarkEnd w:id="35"/>
    </w:p>
    <w:p w14:paraId="000CAD1D">
      <w:pPr>
        <w:widowControl/>
        <w:spacing w:line="360" w:lineRule="auto"/>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浙江国际招投标有限公司</w:t>
      </w:r>
    </w:p>
    <w:p w14:paraId="6C7B9053">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地址：杭州市文三路90号东部软件园1号楼3楼</w:t>
      </w:r>
    </w:p>
    <w:p w14:paraId="54286911">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传真：0571-88473430</w:t>
      </w:r>
    </w:p>
    <w:p w14:paraId="3F64FDC3">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项目联系人（询问）：周卉、盛磊敏</w:t>
      </w:r>
    </w:p>
    <w:p w14:paraId="58DF5EC1">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项目联系方式（询问）：0571-81061843,810618424</w:t>
      </w:r>
    </w:p>
    <w:p w14:paraId="38B41A5A">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若对项目交易电子交易系统操作有疑问，可登录政采云（https://www.zcygov.cn/），点击右侧咨询小采，获取采小蜜智能服务管家帮助，或拨打政采云服务热线</w:t>
      </w:r>
      <w:r>
        <w:rPr>
          <w:rFonts w:hint="eastAsia" w:ascii="仿宋" w:hAnsi="仿宋" w:eastAsia="仿宋" w:cs="仿宋"/>
          <w:sz w:val="24"/>
          <w:highlight w:val="none"/>
          <w:lang w:val="en-US" w:eastAsia="zh-CN"/>
        </w:rPr>
        <w:t>95763</w:t>
      </w:r>
      <w:r>
        <w:rPr>
          <w:rFonts w:hint="eastAsia" w:ascii="仿宋" w:hAnsi="仿宋" w:eastAsia="仿宋" w:cs="仿宋"/>
          <w:sz w:val="24"/>
          <w:highlight w:val="none"/>
        </w:rPr>
        <w:t xml:space="preserve">获取热线服务帮助。       </w:t>
      </w:r>
    </w:p>
    <w:p w14:paraId="6856020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38C61983">
      <w:pPr>
        <w:pStyle w:val="58"/>
        <w:jc w:val="both"/>
        <w:rPr>
          <w:rFonts w:hint="eastAsia" w:ascii="仿宋" w:hAnsi="仿宋" w:eastAsia="仿宋" w:cs="仿宋"/>
          <w:highlight w:val="none"/>
          <w:lang w:val="en-US"/>
        </w:rPr>
      </w:pPr>
    </w:p>
    <w:p w14:paraId="1C952888">
      <w:pPr>
        <w:rPr>
          <w:rFonts w:hint="eastAsia" w:ascii="仿宋" w:hAnsi="仿宋" w:eastAsia="仿宋" w:cs="仿宋"/>
          <w:highlight w:val="none"/>
        </w:rPr>
      </w:pPr>
      <w:r>
        <w:rPr>
          <w:rFonts w:hint="eastAsia" w:ascii="仿宋" w:hAnsi="仿宋" w:eastAsia="仿宋" w:cs="仿宋"/>
          <w:highlight w:val="none"/>
        </w:rPr>
        <w:br w:type="page"/>
      </w:r>
    </w:p>
    <w:p w14:paraId="6DAB5ADD">
      <w:pPr>
        <w:pStyle w:val="2"/>
        <w:rPr>
          <w:rFonts w:hint="eastAsia" w:ascii="仿宋" w:hAnsi="仿宋" w:eastAsia="仿宋" w:cs="仿宋"/>
          <w:highlight w:val="none"/>
        </w:rPr>
      </w:pPr>
      <w:r>
        <w:rPr>
          <w:rFonts w:hint="eastAsia" w:ascii="仿宋" w:hAnsi="仿宋" w:eastAsia="仿宋" w:cs="仿宋"/>
          <w:highlight w:val="none"/>
        </w:rPr>
        <w:t>第二部分</w:t>
      </w:r>
      <w:bookmarkEnd w:id="8"/>
      <w:r>
        <w:rPr>
          <w:rFonts w:hint="eastAsia" w:ascii="仿宋" w:hAnsi="仿宋" w:eastAsia="仿宋" w:cs="仿宋"/>
          <w:highlight w:val="none"/>
        </w:rPr>
        <w:t xml:space="preserve"> 响应人须知</w:t>
      </w:r>
      <w:bookmarkEnd w:id="9"/>
    </w:p>
    <w:p w14:paraId="43B540A3">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7036F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4F84A2">
            <w:pPr>
              <w:snapToGrid w:val="0"/>
              <w:spacing w:line="360" w:lineRule="auto"/>
              <w:jc w:val="center"/>
              <w:rPr>
                <w:rFonts w:hint="eastAsia" w:ascii="仿宋" w:hAnsi="仿宋" w:eastAsia="仿宋" w:cs="仿宋"/>
                <w:b/>
                <w:color w:val="000000"/>
                <w:sz w:val="24"/>
                <w:highlight w:val="none"/>
              </w:rPr>
            </w:pPr>
            <w:bookmarkStart w:id="36" w:name="第三部分"/>
            <w:bookmarkStart w:id="37" w:name="_Toc164416483"/>
            <w:r>
              <w:rPr>
                <w:rFonts w:hint="eastAsia" w:ascii="仿宋" w:hAnsi="仿宋" w:eastAsia="仿宋" w:cs="仿宋"/>
                <w:b/>
                <w:color w:val="000000"/>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1DE5DB8">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83EEF98">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本项目的特别规定</w:t>
            </w:r>
          </w:p>
        </w:tc>
      </w:tr>
      <w:tr w14:paraId="216D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AA130A">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717D3A2">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0052A2C">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有关本项目开展所需的</w:t>
            </w:r>
            <w:r>
              <w:rPr>
                <w:rFonts w:hint="eastAsia" w:ascii="仿宋" w:hAnsi="仿宋" w:eastAsia="仿宋" w:cs="仿宋"/>
                <w:sz w:val="24"/>
                <w:highlight w:val="none"/>
              </w:rPr>
              <w:t>所有</w:t>
            </w:r>
            <w:r>
              <w:rPr>
                <w:rFonts w:hint="eastAsia" w:ascii="仿宋" w:hAnsi="仿宋" w:eastAsia="仿宋" w:cs="仿宋"/>
                <w:color w:val="000000"/>
                <w:kern w:val="0"/>
                <w:sz w:val="24"/>
                <w:highlight w:val="none"/>
                <w:lang w:val="zh-CN"/>
              </w:rPr>
              <w:t>费用均计入报价。</w:t>
            </w:r>
            <w:r>
              <w:rPr>
                <w:rFonts w:hint="eastAsia" w:ascii="仿宋" w:hAnsi="仿宋" w:eastAsia="仿宋" w:cs="仿宋"/>
                <w:color w:val="000000"/>
                <w:sz w:val="24"/>
                <w:highlight w:val="none"/>
              </w:rPr>
              <w:t>《响应（交易）一览表》是报价的唯一载体</w:t>
            </w:r>
            <w:r>
              <w:rPr>
                <w:rFonts w:hint="eastAsia" w:ascii="仿宋" w:hAnsi="仿宋" w:eastAsia="仿宋" w:cs="仿宋"/>
                <w:color w:val="000000"/>
                <w:kern w:val="0"/>
                <w:sz w:val="24"/>
                <w:highlight w:val="none"/>
                <w:lang w:val="zh-CN"/>
              </w:rPr>
              <w:t>。响应文件中价格全部采用人民币报价。交易文件未列明，而响应人认为必需的费用也需列入报价。</w:t>
            </w:r>
          </w:p>
          <w:p w14:paraId="2B0DEB6B">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响应报价出现下列情形的，投标无效：</w:t>
            </w:r>
          </w:p>
          <w:p w14:paraId="71A809A6">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lang w:val="zh-CN"/>
              </w:rPr>
              <w:t>响应文件出现不是唯一的、有选择性响应报价的；</w:t>
            </w:r>
          </w:p>
          <w:p w14:paraId="5C915395">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b/>
                <w:color w:val="000000"/>
                <w:sz w:val="24"/>
                <w:highlight w:val="none"/>
              </w:rPr>
              <w:t>▲响应报价高于本项目采购预算或者最高限价的;</w:t>
            </w:r>
          </w:p>
          <w:p w14:paraId="28D20834">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000000"/>
                <w:sz w:val="24"/>
                <w:szCs w:val="21"/>
                <w:highlight w:val="none"/>
              </w:rPr>
              <w:t>;</w:t>
            </w:r>
          </w:p>
          <w:p w14:paraId="0B0D29B0">
            <w:pPr>
              <w:spacing w:line="360" w:lineRule="auto"/>
              <w:rPr>
                <w:rFonts w:hint="eastAsia" w:ascii="仿宋" w:hAnsi="仿宋" w:eastAsia="仿宋" w:cs="仿宋"/>
                <w:color w:val="000000"/>
                <w:sz w:val="24"/>
                <w:szCs w:val="21"/>
                <w:highlight w:val="none"/>
              </w:rPr>
            </w:pPr>
            <w:r>
              <w:rPr>
                <w:rFonts w:hint="eastAsia" w:ascii="仿宋" w:hAnsi="仿宋" w:eastAsia="仿宋" w:cs="仿宋"/>
                <w:b/>
                <w:color w:val="000000"/>
                <w:sz w:val="24"/>
                <w:highlight w:val="none"/>
              </w:rPr>
              <w:t>▲《响应（交易）一览表》填写不完整或字迹不能辨认或有漏项的；</w:t>
            </w:r>
          </w:p>
          <w:p w14:paraId="5E1A49B1">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▲响应人对根据修正原则修正后的报价不确认的</w:t>
            </w:r>
            <w:r>
              <w:rPr>
                <w:rFonts w:hint="eastAsia" w:ascii="仿宋" w:hAnsi="仿宋" w:eastAsia="仿宋" w:cs="仿宋"/>
                <w:b/>
                <w:color w:val="000000"/>
                <w:sz w:val="24"/>
                <w:highlight w:val="none"/>
              </w:rPr>
              <w:t>。</w:t>
            </w:r>
          </w:p>
          <w:p w14:paraId="187F26E2">
            <w:pPr>
              <w:spacing w:line="360" w:lineRule="auto"/>
              <w:rPr>
                <w:rFonts w:hint="eastAsia" w:ascii="仿宋" w:hAnsi="仿宋" w:eastAsia="仿宋" w:cs="仿宋"/>
                <w:color w:val="000000"/>
                <w:sz w:val="24"/>
                <w:highlight w:val="none"/>
              </w:rPr>
            </w:pPr>
            <w:r>
              <w:rPr>
                <w:rFonts w:hint="eastAsia" w:ascii="仿宋" w:hAnsi="仿宋" w:eastAsia="仿宋" w:cs="仿宋"/>
                <w:b/>
                <w:color w:val="000000"/>
                <w:kern w:val="0"/>
                <w:sz w:val="24"/>
                <w:highlight w:val="none"/>
              </w:rPr>
              <w:t>▲资格文件、商务技术文件与报价文件未分开制作</w:t>
            </w:r>
            <w:r>
              <w:rPr>
                <w:rFonts w:hint="eastAsia" w:ascii="仿宋" w:hAnsi="仿宋" w:eastAsia="仿宋" w:cs="仿宋"/>
                <w:b/>
                <w:color w:val="000000"/>
                <w:sz w:val="24"/>
                <w:highlight w:val="none"/>
              </w:rPr>
              <w:t>。</w:t>
            </w:r>
          </w:p>
        </w:tc>
      </w:tr>
      <w:tr w14:paraId="6E6F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610525">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F05B163">
            <w:pPr>
              <w:spacing w:line="360" w:lineRule="auto"/>
              <w:rPr>
                <w:rFonts w:hint="eastAsia" w:ascii="仿宋" w:hAnsi="仿宋" w:eastAsia="仿宋" w:cs="仿宋"/>
                <w:b/>
                <w:color w:val="000000"/>
                <w:sz w:val="24"/>
                <w:highlight w:val="none"/>
              </w:rPr>
            </w:pPr>
            <w:r>
              <w:rPr>
                <w:rFonts w:hint="eastAsia" w:ascii="仿宋" w:hAnsi="仿宋" w:eastAsia="仿宋" w:cs="仿宋"/>
                <w:b/>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3BE350E8">
            <w:pPr>
              <w:snapToGrid w:val="0"/>
              <w:spacing w:line="360" w:lineRule="auto"/>
              <w:rPr>
                <w:rFonts w:hint="eastAsia" w:ascii="仿宋" w:hAnsi="仿宋" w:eastAsia="仿宋" w:cs="仿宋"/>
                <w:color w:val="000000"/>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tc>
      </w:tr>
      <w:tr w14:paraId="51D74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296E3F0">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A98C870">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3B2B1468">
            <w:pPr>
              <w:numPr>
                <w:ilvl w:val="0"/>
                <w:numId w:val="7"/>
              </w:num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资格证明文件：</w:t>
            </w:r>
            <w:r>
              <w:rPr>
                <w:rFonts w:hint="eastAsia" w:ascii="仿宋" w:hAnsi="仿宋" w:eastAsia="仿宋" w:cs="仿宋"/>
                <w:kern w:val="0"/>
                <w:sz w:val="24"/>
                <w:highlight w:val="none"/>
              </w:rPr>
              <w:t>见交易文件第二部分11.1。</w:t>
            </w:r>
          </w:p>
          <w:p w14:paraId="431CCFF1">
            <w:pPr>
              <w:numPr>
                <w:ilvl w:val="0"/>
                <w:numId w:val="7"/>
              </w:numPr>
              <w:spacing w:line="360" w:lineRule="auto"/>
              <w:rPr>
                <w:rFonts w:hint="eastAsia" w:ascii="仿宋" w:hAnsi="仿宋" w:eastAsia="仿宋" w:cs="仿宋"/>
                <w:color w:val="0000FF"/>
                <w:sz w:val="24"/>
                <w:highlight w:val="none"/>
              </w:rPr>
            </w:pPr>
            <w:r>
              <w:rPr>
                <w:rFonts w:hint="eastAsia" w:ascii="仿宋" w:hAnsi="仿宋" w:eastAsia="仿宋" w:cs="仿宋"/>
                <w:color w:val="000000"/>
                <w:sz w:val="24"/>
                <w:highlight w:val="none"/>
              </w:rPr>
              <w:t>资信证明文件：</w:t>
            </w:r>
            <w:r>
              <w:rPr>
                <w:rFonts w:hint="eastAsia" w:ascii="仿宋" w:hAnsi="仿宋" w:eastAsia="仿宋" w:cs="仿宋"/>
                <w:sz w:val="24"/>
                <w:highlight w:val="none"/>
              </w:rPr>
              <w:t>根据交易文件第四部分评标标准提供。</w:t>
            </w:r>
          </w:p>
          <w:p w14:paraId="70173C0E">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响应人未提供（1）的有效的资格证明文件的，视为响应人不具备交易文件中规定的资格要求，响应无效。</w:t>
            </w:r>
          </w:p>
        </w:tc>
      </w:tr>
      <w:tr w14:paraId="697F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FE88AE">
            <w:pPr>
              <w:snapToGrid w:val="0"/>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E047CC1">
            <w:pPr>
              <w:spacing w:line="360" w:lineRule="auto"/>
              <w:rPr>
                <w:rFonts w:hint="eastAsia" w:ascii="仿宋" w:hAnsi="仿宋" w:eastAsia="仿宋" w:cs="仿宋"/>
                <w:b/>
                <w:color w:val="000000"/>
                <w:sz w:val="24"/>
                <w:highlight w:val="none"/>
              </w:rPr>
            </w:pPr>
            <w:r>
              <w:rPr>
                <w:rFonts w:hint="eastAsia" w:ascii="仿宋" w:hAnsi="仿宋" w:eastAsia="仿宋" w:cs="仿宋"/>
                <w:b/>
                <w:sz w:val="24"/>
                <w:highlight w:val="none"/>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F5E6E27">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2E8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D389EA">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2656DB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13AD132">
            <w:pPr>
              <w:spacing w:line="360" w:lineRule="auto"/>
              <w:rPr>
                <w:rFonts w:hint="eastAsia" w:ascii="仿宋" w:hAnsi="仿宋" w:eastAsia="仿宋" w:cs="仿宋"/>
                <w:sz w:val="24"/>
                <w:highlight w:val="none"/>
              </w:rPr>
            </w:pPr>
            <w:r>
              <w:rPr>
                <w:rFonts w:hint="eastAsia" w:ascii="仿宋" w:hAnsi="仿宋" w:eastAsia="仿宋" w:cs="仿宋"/>
                <w:snapToGrid w:val="0"/>
                <w:kern w:val="28"/>
                <w:sz w:val="24"/>
                <w:highlight w:val="none"/>
              </w:rPr>
              <w:t>无</w:t>
            </w:r>
          </w:p>
        </w:tc>
      </w:tr>
      <w:tr w14:paraId="162AA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31F7B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396285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w:t>
            </w:r>
          </w:p>
          <w:p w14:paraId="5818349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7775F2C">
            <w:pPr>
              <w:pStyle w:val="31"/>
              <w:snapToGrid w:val="0"/>
              <w:spacing w:before="120" w:after="120"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本项目实行电子投标。</w:t>
            </w:r>
          </w:p>
          <w:p w14:paraId="38F65ABA">
            <w:pPr>
              <w:pStyle w:val="31"/>
              <w:snapToGrid w:val="0"/>
              <w:spacing w:before="120" w:after="120"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应准备电子响应文件参与交易：</w:t>
            </w:r>
          </w:p>
          <w:p w14:paraId="496EB2DF">
            <w:pPr>
              <w:pStyle w:val="31"/>
              <w:numPr>
                <w:ilvl w:val="0"/>
                <w:numId w:val="8"/>
              </w:numPr>
              <w:snapToGrid w:val="0"/>
              <w:spacing w:before="120" w:after="120"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电子响应文件，按政采云平台项目采购-电子招投标操作指南及本交易文件要求递交。</w:t>
            </w:r>
          </w:p>
          <w:p w14:paraId="5DDA45E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▲未传输递交电子响应文件的，投标无效。</w:t>
            </w:r>
          </w:p>
          <w:p w14:paraId="34407EC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▲未在系统解密时间内完成解密的，视为响应人自行放弃交易响应无效。</w:t>
            </w:r>
          </w:p>
          <w:p w14:paraId="6618F8E8">
            <w:pPr>
              <w:pStyle w:val="31"/>
              <w:spacing w:line="360" w:lineRule="auto"/>
              <w:rPr>
                <w:rFonts w:hint="eastAsia" w:ascii="仿宋" w:hAnsi="仿宋" w:eastAsia="仿宋" w:cs="仿宋"/>
                <w:kern w:val="28"/>
                <w:sz w:val="24"/>
                <w:szCs w:val="24"/>
                <w:highlight w:val="none"/>
              </w:rPr>
            </w:pPr>
            <w:r>
              <w:rPr>
                <w:rFonts w:hint="eastAsia" w:ascii="仿宋" w:hAnsi="仿宋" w:eastAsia="仿宋" w:cs="仿宋"/>
                <w:b/>
                <w:color w:val="000000" w:themeColor="text1"/>
                <w:sz w:val="24"/>
                <w:highlight w:val="none"/>
                <w14:textFill>
                  <w14:solidFill>
                    <w14:schemeClr w14:val="tx1"/>
                  </w14:solidFill>
                </w14:textFill>
              </w:rPr>
              <w:t>本项目备份投标文件：</w:t>
            </w:r>
            <w:r>
              <w:rPr>
                <w:rFonts w:hint="eastAsia" w:ascii="仿宋" w:hAnsi="仿宋" w:eastAsia="仿宋" w:cs="仿宋"/>
                <w:kern w:val="28"/>
                <w:sz w:val="24"/>
                <w:szCs w:val="24"/>
                <w:highlight w:val="none"/>
                <w:lang w:eastAsia="zh-CN"/>
              </w:rPr>
              <w:t>不需要</w:t>
            </w:r>
            <w:r>
              <w:rPr>
                <w:rFonts w:hint="eastAsia" w:ascii="仿宋" w:hAnsi="仿宋" w:eastAsia="仿宋" w:cs="仿宋"/>
                <w:kern w:val="28"/>
                <w:sz w:val="24"/>
                <w:szCs w:val="24"/>
                <w:highlight w:val="none"/>
              </w:rPr>
              <w:t>备份</w:t>
            </w:r>
          </w:p>
          <w:p w14:paraId="726DDCE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sz w:val="24"/>
                <w:szCs w:val="24"/>
                <w:highlight w:val="none"/>
              </w:rPr>
              <w:t>本项目</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单位在领取</w:t>
            </w:r>
            <w:r>
              <w:rPr>
                <w:rFonts w:hint="eastAsia" w:ascii="仿宋" w:hAnsi="仿宋" w:eastAsia="仿宋" w:cs="仿宋"/>
                <w:b/>
                <w:sz w:val="24"/>
                <w:szCs w:val="24"/>
                <w:highlight w:val="none"/>
                <w:lang w:eastAsia="zh-CN"/>
              </w:rPr>
              <w:t>成交</w:t>
            </w:r>
            <w:r>
              <w:rPr>
                <w:rFonts w:hint="eastAsia" w:ascii="仿宋" w:hAnsi="仿宋" w:eastAsia="仿宋" w:cs="仿宋"/>
                <w:b/>
                <w:sz w:val="24"/>
                <w:szCs w:val="24"/>
                <w:highlight w:val="none"/>
              </w:rPr>
              <w:t>通知书的同时提供纸质的</w:t>
            </w:r>
            <w:r>
              <w:rPr>
                <w:rFonts w:hint="eastAsia" w:ascii="仿宋" w:hAnsi="仿宋" w:eastAsia="仿宋" w:cs="仿宋"/>
                <w:b/>
                <w:sz w:val="24"/>
                <w:szCs w:val="24"/>
                <w:highlight w:val="none"/>
                <w:lang w:eastAsia="zh-CN"/>
              </w:rPr>
              <w:t>成交</w:t>
            </w:r>
            <w:r>
              <w:rPr>
                <w:rFonts w:hint="eastAsia" w:ascii="仿宋" w:hAnsi="仿宋" w:eastAsia="仿宋" w:cs="仿宋"/>
                <w:b/>
                <w:sz w:val="24"/>
                <w:szCs w:val="24"/>
                <w:highlight w:val="none"/>
              </w:rPr>
              <w:t>文件一正</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副。</w:t>
            </w:r>
          </w:p>
        </w:tc>
      </w:tr>
      <w:tr w14:paraId="51FB3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2D348">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61B38EB">
            <w:pPr>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7611D9F">
            <w:pPr>
              <w:spacing w:line="360" w:lineRule="auto"/>
              <w:rPr>
                <w:rFonts w:hint="eastAsia" w:ascii="仿宋" w:hAnsi="仿宋" w:eastAsia="仿宋" w:cs="仿宋"/>
                <w:sz w:val="24"/>
                <w:highlight w:val="none"/>
              </w:rPr>
            </w:pPr>
            <w:r>
              <w:rPr>
                <w:rFonts w:hint="eastAsia" w:ascii="仿宋" w:hAnsi="仿宋" w:eastAsia="仿宋" w:cs="仿宋"/>
                <w:sz w:val="24"/>
                <w:highlight w:val="none"/>
              </w:rPr>
              <w:t>（√）A不组织。</w:t>
            </w:r>
          </w:p>
        </w:tc>
      </w:tr>
      <w:tr w14:paraId="6C420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84FF80">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F77A0E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采购机构</w:t>
            </w:r>
          </w:p>
          <w:p w14:paraId="6004E31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60F72848">
            <w:pPr>
              <w:pStyle w:val="15"/>
              <w:spacing w:line="240" w:lineRule="auto"/>
              <w:ind w:firstLine="0"/>
              <w:rPr>
                <w:rFonts w:hint="eastAsia" w:ascii="仿宋" w:hAnsi="仿宋" w:eastAsia="仿宋" w:cs="仿宋"/>
                <w:b/>
                <w:bCs/>
                <w:sz w:val="24"/>
                <w:highlight w:val="none"/>
              </w:rPr>
            </w:pPr>
            <w:r>
              <w:rPr>
                <w:rFonts w:hint="eastAsia" w:ascii="仿宋" w:hAnsi="仿宋" w:eastAsia="仿宋" w:cs="仿宋"/>
                <w:sz w:val="24"/>
                <w:highlight w:val="none"/>
                <w:lang w:val="zh-CN"/>
              </w:rPr>
              <w:t>本项目的招标代理服务费由成交人支付。招标代理服务费计费标准：以成交金额为计费基准，按计价格[2002]1980号文货物类收费标准下浮</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zh-CN"/>
              </w:rPr>
              <w:t>计取</w:t>
            </w:r>
            <w:r>
              <w:rPr>
                <w:rFonts w:hint="eastAsia" w:ascii="仿宋" w:hAnsi="仿宋" w:eastAsia="仿宋" w:cs="仿宋"/>
                <w:sz w:val="24"/>
                <w:highlight w:val="none"/>
              </w:rPr>
              <w:t>。结算方式及时间为：成交人在领取成交通知书前向采购代理机构支付代理服务费。</w:t>
            </w:r>
          </w:p>
        </w:tc>
      </w:tr>
      <w:tr w14:paraId="4DC2E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69473A">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FD33B3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响应保证金</w:t>
            </w:r>
          </w:p>
          <w:p w14:paraId="6085ABD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F9FE0D5">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响应保证金：不收取。</w:t>
            </w:r>
          </w:p>
          <w:p w14:paraId="1BF9B4FD">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履约保证金：不收取。</w:t>
            </w:r>
          </w:p>
        </w:tc>
      </w:tr>
      <w:tr w14:paraId="14E43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A3001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0C5106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7EF0EEC">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4DF57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052FE9">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BC2DC5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7780B23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本项目为</w:t>
            </w:r>
            <w:r>
              <w:rPr>
                <w:rFonts w:hint="eastAsia" w:ascii="仿宋" w:hAnsi="仿宋" w:eastAsia="仿宋" w:cs="仿宋"/>
                <w:sz w:val="24"/>
                <w:highlight w:val="none"/>
                <w:u w:val="single"/>
              </w:rPr>
              <w:t>货物类</w:t>
            </w:r>
            <w:r>
              <w:rPr>
                <w:rFonts w:hint="eastAsia" w:ascii="仿宋" w:hAnsi="仿宋" w:eastAsia="仿宋" w:cs="仿宋"/>
                <w:sz w:val="24"/>
                <w:highlight w:val="none"/>
              </w:rPr>
              <w:t>采购项目</w:t>
            </w:r>
          </w:p>
        </w:tc>
      </w:tr>
      <w:tr w14:paraId="077D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AC72AF">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730622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156B977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本项目为</w:t>
            </w:r>
            <w:r>
              <w:rPr>
                <w:rFonts w:hint="eastAsia" w:ascii="仿宋" w:hAnsi="仿宋" w:eastAsia="仿宋" w:cs="仿宋"/>
                <w:sz w:val="24"/>
                <w:highlight w:val="none"/>
                <w:u w:val="single"/>
              </w:rPr>
              <w:t>综合评估法</w:t>
            </w:r>
            <w:r>
              <w:rPr>
                <w:rFonts w:hint="eastAsia" w:ascii="仿宋" w:hAnsi="仿宋" w:eastAsia="仿宋" w:cs="仿宋"/>
                <w:sz w:val="24"/>
                <w:highlight w:val="none"/>
              </w:rPr>
              <w:t>采购项目</w:t>
            </w:r>
          </w:p>
        </w:tc>
      </w:tr>
      <w:tr w14:paraId="722BA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73344D">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43BC06C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7A2621A7">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sz w:val="24"/>
                <w:highlight w:val="none"/>
              </w:rPr>
              <w:t>√</w:t>
            </w:r>
            <w:r>
              <w:rPr>
                <w:rFonts w:hint="eastAsia" w:ascii="仿宋" w:hAnsi="仿宋" w:eastAsia="仿宋" w:cs="仿宋"/>
                <w:bCs/>
                <w:sz w:val="24"/>
                <w:highlight w:val="none"/>
              </w:rPr>
              <w:t>)本项目不允许采购进口产品。</w:t>
            </w:r>
          </w:p>
          <w:p w14:paraId="3AEE4008">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sz w:val="24"/>
                <w:highlight w:val="none"/>
                <w:lang w:val="en-US" w:eastAsia="zh-CN"/>
              </w:rPr>
              <w:t xml:space="preserve"> </w:t>
            </w:r>
            <w:r>
              <w:rPr>
                <w:rFonts w:hint="eastAsia" w:ascii="仿宋" w:hAnsi="仿宋" w:eastAsia="仿宋" w:cs="仿宋"/>
                <w:bCs/>
                <w:sz w:val="24"/>
                <w:highlight w:val="none"/>
              </w:rPr>
              <w:t>)本项目允许采购进口产品</w:t>
            </w:r>
          </w:p>
          <w:p w14:paraId="3CEACA39">
            <w:pPr>
              <w:spacing w:line="360" w:lineRule="auto"/>
              <w:jc w:val="center"/>
              <w:rPr>
                <w:rFonts w:hint="eastAsia" w:ascii="仿宋" w:hAnsi="仿宋" w:eastAsia="仿宋" w:cs="仿宋"/>
                <w:b/>
                <w:sz w:val="24"/>
                <w:highlight w:val="none"/>
              </w:rPr>
            </w:pPr>
            <w:r>
              <w:rPr>
                <w:rFonts w:hint="eastAsia" w:ascii="仿宋" w:hAnsi="仿宋" w:eastAsia="仿宋" w:cs="仿宋"/>
                <w:bCs/>
                <w:sz w:val="24"/>
                <w:highlight w:val="none"/>
              </w:rPr>
              <w:t>进口产品是指通过中国海关报关验放进入中国境内且产自境关外的产品。</w:t>
            </w:r>
          </w:p>
        </w:tc>
      </w:tr>
    </w:tbl>
    <w:p w14:paraId="4ED5052C">
      <w:pPr>
        <w:rPr>
          <w:rFonts w:hint="eastAsia" w:ascii="仿宋" w:hAnsi="仿宋" w:eastAsia="仿宋" w:cs="仿宋"/>
          <w:highlight w:val="none"/>
        </w:rPr>
      </w:pPr>
      <w:r>
        <w:rPr>
          <w:rFonts w:hint="eastAsia" w:ascii="仿宋" w:hAnsi="仿宋" w:eastAsia="仿宋" w:cs="仿宋"/>
          <w:b/>
          <w:color w:val="000000"/>
          <w:sz w:val="24"/>
          <w:highlight w:val="none"/>
        </w:rPr>
        <w:t>注：本项目通用总则条款与前附表等专用特别规定有冲突之处，以专用条款（特别规定）为准</w:t>
      </w:r>
    </w:p>
    <w:p w14:paraId="7FF53DD2">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6811B1EB">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140424CA">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7D856AE4">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本交易文件适用于该项目的响应、交易、资格审查及信用信息查询、评标、定标、合同、验收等行为（法律、法规另有规定的，从其规定）。</w:t>
      </w:r>
    </w:p>
    <w:p w14:paraId="78B84FBE">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157DBE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“交易发起人”系指交易公告中载明的本项目的交易发起人。</w:t>
      </w:r>
    </w:p>
    <w:p w14:paraId="3E3C4B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“采购机构”系指交易公告中载明的本项目的采购机构。</w:t>
      </w:r>
    </w:p>
    <w:p w14:paraId="30F838F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”系指是指响应交易、参加响应竞争的法人、其他组织或者自然人。</w:t>
      </w:r>
    </w:p>
    <w:p w14:paraId="0306A3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785CFB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电子签名指</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电子公章；“公章”系指单位法定名称章。因特殊原因需要使用冠以法定名称的业务专用章的，投标时须提供《业务专用章使用说明函》（附件4）。</w:t>
      </w:r>
    </w:p>
    <w:p w14:paraId="3AB4302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35BAF14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4623B88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1501EAD3">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.1投标人询问</w:t>
      </w:r>
    </w:p>
    <w:p w14:paraId="25858F8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对采购活动事项有疑问的，可以提出询问，交易发起人或者采购代理机构应当在3个工作日内对投标人依法提出的询问作出答复，但答复的内容不得涉及商业秘密。投标人提出的询问超出交易发起人对采购代理机构委托授权范围的，采购代理机构应当告知投标人向交易发起人提出。</w:t>
      </w:r>
    </w:p>
    <w:p w14:paraId="6612FE96">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.2投标人质疑</w:t>
      </w:r>
    </w:p>
    <w:p w14:paraId="35A5AAF1">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应当是参与所质疑项目采购活动的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已依法获取其可质疑的交易文件的，可以对该文件提出质疑。</w:t>
      </w:r>
    </w:p>
    <w:p w14:paraId="629DF7B2">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08C8ABF9">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3.2.2.1对交易文件提出质疑的，质疑期限为</w:t>
      </w:r>
      <w:r>
        <w:rPr>
          <w:rFonts w:hint="eastAsia" w:ascii="仿宋" w:hAnsi="仿宋" w:eastAsia="仿宋" w:cs="仿宋"/>
          <w:snapToGrid/>
          <w:color w:val="000000" w:themeColor="text1"/>
          <w:kern w:val="2"/>
          <w:sz w:val="24"/>
          <w:highlight w:val="none"/>
          <w:lang w:eastAsia="zh-CN"/>
          <w14:textFill>
            <w14:solidFill>
              <w14:schemeClr w14:val="tx1"/>
            </w14:solidFill>
          </w14:textFill>
        </w:rPr>
        <w:t>投标人</w:t>
      </w:r>
      <w:r>
        <w:rPr>
          <w:rFonts w:hint="eastAsia" w:ascii="仿宋" w:hAnsi="仿宋" w:eastAsia="仿宋" w:cs="仿宋"/>
          <w:snapToGrid/>
          <w:color w:val="000000" w:themeColor="text1"/>
          <w:kern w:val="2"/>
          <w:sz w:val="24"/>
          <w:highlight w:val="none"/>
          <w14:textFill>
            <w14:solidFill>
              <w14:schemeClr w14:val="tx1"/>
            </w14:solidFill>
          </w14:textFill>
        </w:rPr>
        <w:t>获得交易文件之日或者交易文件公告期限届满之日起计算。</w:t>
      </w:r>
    </w:p>
    <w:p w14:paraId="08CFC8DB">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3.2.2.2对交易过程提出质疑的，质疑期限为各采购程序环节结束之日起计算。对同一采购程序环节的质疑，</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须一次性提出。</w:t>
      </w:r>
    </w:p>
    <w:p w14:paraId="07B8C51C">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3.2.2.3对采购结果提出质疑的，质疑期限自采购结果公告期限届满之日起计算。</w:t>
      </w:r>
    </w:p>
    <w:p w14:paraId="116A1C5B">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提出质疑应当提交质疑函和必要的证明材料。质疑函应当包括下列内容：</w:t>
      </w:r>
    </w:p>
    <w:p w14:paraId="554D9519">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.2.3.1投标人的姓名或者名称、地址、邮编、联系人及联系电话；</w:t>
      </w:r>
    </w:p>
    <w:p w14:paraId="13431FD9">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25C45696">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5690D920">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35BEB4F6">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2204843F">
      <w:pPr>
        <w:pStyle w:val="31"/>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6F7ADBA4">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提交的质疑函需一式三份。</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为自然人的，应当由本人签字；</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为法人或者其他组织的，应当由法定代表人、主要负责人，或者其授权代表签字或者盖章，并加盖公章。</w:t>
      </w:r>
    </w:p>
    <w:p w14:paraId="4FE9D84A">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340E6798">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.4交易发起人或者采购机构应当在收到</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的书面质疑后七个工作日内作出答复，并以书面形式通知质疑</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和其他与质疑处理结果有利害关系的采购当事人，但答复的内容不得涉及商业秘密。</w:t>
      </w:r>
    </w:p>
    <w:p w14:paraId="11A7437D">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.5询问或者质疑事项可能影响采购结果的，交易发起人应当暂停签订合同，已经签订合同的，应当中止履行合同。</w:t>
      </w:r>
    </w:p>
    <w:p w14:paraId="134E7C4D">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.3投标人投诉</w:t>
      </w:r>
    </w:p>
    <w:p w14:paraId="7FC8F6D5">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3.3.1质疑</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对交易发起人、采购机构的答复不满意或者交易发起人、采购机构未在规定的时间内作出答复的，可以在答复期满后十五个工作日内向同级采购监督管理部门提出投诉。</w:t>
      </w:r>
    </w:p>
    <w:p w14:paraId="1B7502FC">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投诉的事项不得超出已质疑事项的范围，基于质疑答复内容提出的投诉事项除外。</w:t>
      </w:r>
    </w:p>
    <w:p w14:paraId="76C214C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3.3.3</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投诉应当有明确的请求和必要的证明材料。</w:t>
      </w:r>
    </w:p>
    <w:p w14:paraId="06EFF494">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3.3.5 以联合体形式参加采购活动的，其投诉应当由组成联合体的所有</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共同提出。</w:t>
      </w:r>
    </w:p>
    <w:p w14:paraId="0E0C844E">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CB3ECE1">
      <w:pPr>
        <w:pStyle w:val="221"/>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1F948672">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二、交易文件的构成、澄清、修改</w:t>
      </w:r>
    </w:p>
    <w:p w14:paraId="71FE1FB1">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4．交易文件的构成</w:t>
      </w:r>
    </w:p>
    <w:p w14:paraId="00569D53">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 交易文件包括下列文件及附件：</w:t>
      </w:r>
    </w:p>
    <w:p w14:paraId="55A283BE">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4.1.1交易公告；</w:t>
      </w:r>
    </w:p>
    <w:p w14:paraId="516BBD09">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须知；</w:t>
      </w:r>
    </w:p>
    <w:p w14:paraId="1B233B30">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4.1.3采购需求；</w:t>
      </w:r>
    </w:p>
    <w:p w14:paraId="1015251A">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4.1.4交易办法；</w:t>
      </w:r>
    </w:p>
    <w:p w14:paraId="3DC721D0">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4.1.5拟签订的合同文本；</w:t>
      </w:r>
    </w:p>
    <w:p w14:paraId="52833BF2">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3202F8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澄清或者修改的内容为交易文件的组成部分</w:t>
      </w:r>
      <w:r>
        <w:rPr>
          <w:rFonts w:hint="eastAsia" w:ascii="仿宋" w:hAnsi="仿宋" w:eastAsia="仿宋" w:cs="仿宋"/>
          <w:color w:val="000000" w:themeColor="text1"/>
          <w:sz w:val="24"/>
          <w:highlight w:val="none"/>
          <w14:textFill>
            <w14:solidFill>
              <w14:schemeClr w14:val="tx1"/>
            </w14:solidFill>
          </w14:textFill>
        </w:rPr>
        <w:t>。</w:t>
      </w:r>
    </w:p>
    <w:p w14:paraId="517373A1">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 交易文件的澄清、修改</w:t>
      </w:r>
    </w:p>
    <w:p w14:paraId="609D1E2C">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5.1已获取交易文件的潜在</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6BB780E9">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 采购机构对交易文件进行澄清或修改的，将同时通过电子交易平台通知已获取交易文件的潜在</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。依法应当公告的，将按规定公告，同时视情况延长投标截止时间和交易时间。该澄清或者修改的内容为交易文件的组成部分。</w:t>
      </w:r>
    </w:p>
    <w:p w14:paraId="4AE208C9">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0A2BF39">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三、交易</w:t>
      </w:r>
    </w:p>
    <w:p w14:paraId="2A2B242B">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交易文件的获取</w:t>
      </w:r>
    </w:p>
    <w:p w14:paraId="29EEEC6F">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详见交易公告中获取交易文件的时间期限、地点、方式及交易文件售价。</w:t>
      </w:r>
    </w:p>
    <w:p w14:paraId="1ECD1E71">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7.交易前答疑会或现场考察</w:t>
      </w:r>
    </w:p>
    <w:p w14:paraId="1940A6B7">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交易发起人组织潜在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现场考察或者召开交易前答疑会的，潜在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须知前附表的规定参加现场考察或者交易前答疑会。</w:t>
      </w:r>
    </w:p>
    <w:p w14:paraId="42CA481C">
      <w:pPr>
        <w:pStyle w:val="31"/>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8.交易保证金</w:t>
      </w:r>
    </w:p>
    <w:p w14:paraId="6EAB2E91">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本项目不需缴纳交易保证金。</w:t>
      </w:r>
    </w:p>
    <w:p w14:paraId="7D4D442F">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 响应文件的语言</w:t>
      </w:r>
    </w:p>
    <w:p w14:paraId="0D3D6310">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15499122">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响应文件的组成</w:t>
      </w:r>
    </w:p>
    <w:p w14:paraId="05C404E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5B103EE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10.1.1符合参加采购活动应当具备的一般条件的承诺函；</w:t>
      </w:r>
    </w:p>
    <w:p w14:paraId="0ADC2D8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10.1.2本项目的特定资格要求。</w:t>
      </w:r>
    </w:p>
    <w:p w14:paraId="45511EEE">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657A364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10.2.1交易函；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11C660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10.2.2授权委托书或法定代表人（单位负责人、自然人本人）身份证明；</w:t>
      </w:r>
    </w:p>
    <w:p w14:paraId="41643D6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10.2.3符合性审查资料；</w:t>
      </w:r>
    </w:p>
    <w:p w14:paraId="3BD9F44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10.2.4评标标准相应的商务技术资料；</w:t>
      </w:r>
    </w:p>
    <w:p w14:paraId="5B34E50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10.2.5响应标的清单；</w:t>
      </w:r>
    </w:p>
    <w:p w14:paraId="3B61C27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10.2.6商务技术偏离表；</w:t>
      </w:r>
    </w:p>
    <w:p w14:paraId="21D3589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10.2.7</w:t>
      </w:r>
      <w:r>
        <w:rPr>
          <w:rFonts w:hint="eastAsia" w:ascii="仿宋" w:hAnsi="仿宋" w:eastAsia="仿宋" w:cs="仿宋"/>
          <w:color w:val="000000" w:themeColor="text1"/>
          <w:sz w:val="24"/>
          <w:highlight w:val="none"/>
          <w:lang w:val="zh-CN"/>
          <w14:textFill>
            <w14:solidFill>
              <w14:schemeClr w14:val="tx1"/>
            </w14:solidFill>
          </w14:textFill>
        </w:rPr>
        <w:t>采购投标人廉洁自律承诺书；</w:t>
      </w:r>
    </w:p>
    <w:p w14:paraId="298EDBE4">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75C1EAD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10.3.1交易一览表（报价表）；</w:t>
      </w:r>
    </w:p>
    <w:p w14:paraId="0FF23361">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响应文件含有交易发起人不能接受的附加条件的，交易无效；</w:t>
      </w:r>
    </w:p>
    <w:p w14:paraId="24D6F7C4">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投标人</w:t>
      </w:r>
      <w:r>
        <w:rPr>
          <w:rFonts w:hint="eastAsia" w:ascii="仿宋" w:hAnsi="仿宋" w:eastAsia="仿宋" w:cs="仿宋"/>
          <w:b/>
          <w:color w:val="000000" w:themeColor="text1"/>
          <w:sz w:val="24"/>
          <w:highlight w:val="none"/>
          <w14:textFill>
            <w14:solidFill>
              <w14:schemeClr w14:val="tx1"/>
            </w14:solidFill>
          </w14:textFill>
        </w:rPr>
        <w:t>提供虚假材料投标的，交易无效。</w:t>
      </w:r>
    </w:p>
    <w:p w14:paraId="05847D3D">
      <w:pPr>
        <w:pStyle w:val="221"/>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响应文件的编制</w:t>
      </w:r>
    </w:p>
    <w:p w14:paraId="0532B7BD">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投标人在编制响应文件时请按照交易文件第六部分规定的格式进行，混乱的编排导致响应文件被误读或评标委员会查找不到有效文件是投标人的风险。</w:t>
      </w:r>
    </w:p>
    <w:p w14:paraId="20DC0844">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.2投标人进行电子投标应安装客户端软件—“政采云电子交易客户端”，并按照交易文件和电子交易平台的要求编制并加密响应文件。投标人未按规定加密的响应文件，电子交易平台将拒收并提示。</w:t>
      </w:r>
    </w:p>
    <w:p w14:paraId="66B403CA">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7B6D3AF">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12.响应文件的签署、盖章</w:t>
      </w:r>
    </w:p>
    <w:p w14:paraId="479F32FB">
      <w:pPr>
        <w:pStyle w:val="221"/>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12.1响应文件按照交易文件第六部分格式要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投标人</w:t>
      </w:r>
      <w:r>
        <w:rPr>
          <w:rFonts w:hint="eastAsia" w:ascii="仿宋" w:hAnsi="仿宋" w:eastAsia="仿宋" w:cs="仿宋"/>
          <w:b/>
          <w:color w:val="000000" w:themeColor="text1"/>
          <w:highlight w:val="none"/>
          <w14:textFill>
            <w14:solidFill>
              <w14:schemeClr w14:val="tx1"/>
            </w14:solidFill>
          </w14:textFill>
        </w:rPr>
        <w:t>的响应文件未按照交易文件要求签署、盖章的，其交易无效</w:t>
      </w:r>
      <w:r>
        <w:rPr>
          <w:rFonts w:hint="eastAsia" w:ascii="仿宋" w:hAnsi="仿宋" w:eastAsia="仿宋" w:cs="仿宋"/>
          <w:color w:val="000000" w:themeColor="text1"/>
          <w:szCs w:val="24"/>
          <w:highlight w:val="none"/>
          <w14:textFill>
            <w14:solidFill>
              <w14:schemeClr w14:val="tx1"/>
            </w14:solidFill>
          </w14:textFill>
        </w:rPr>
        <w:t>。</w:t>
      </w:r>
    </w:p>
    <w:p w14:paraId="7D4252AF">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03EAB1CD">
      <w:pPr>
        <w:pStyle w:val="22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12.3交易文件对响应文件签署、盖章的要求适用于电子签名。</w:t>
      </w:r>
    </w:p>
    <w:p w14:paraId="54ECD696">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13. 响应文件的提交、补充、修改、撤回</w:t>
      </w:r>
    </w:p>
    <w:p w14:paraId="41BA8FB1">
      <w:pPr>
        <w:pStyle w:val="221"/>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w:t>
      </w: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CF94818">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13.2电子交易平台收到响应文件，将妥善保存并即时向</w:t>
      </w: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发出确认回执通知。在投标截止时间前，除</w:t>
      </w: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补充、修改或者撤回响应文件外，任何单位和个人不得解密或提取响应文件。</w:t>
      </w:r>
    </w:p>
    <w:p w14:paraId="4EE53511">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13.3交易发起人、采购机构可以视情况延长响应文件提交的截止时间。在上述情况下，采购机构与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0D1D3059">
      <w:pPr>
        <w:pStyle w:val="31"/>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备份响应文件</w:t>
      </w:r>
    </w:p>
    <w:p w14:paraId="4F9C8837">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不收取备份响应文件</w:t>
      </w:r>
    </w:p>
    <w:p w14:paraId="45BB6776">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15.响应文件的无效处理</w:t>
      </w:r>
    </w:p>
    <w:p w14:paraId="39DB1EFC">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有交易文件第四部分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的情形之一的，交易无效：</w:t>
      </w:r>
    </w:p>
    <w:p w14:paraId="6A987771">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16.交易有效期</w:t>
      </w:r>
    </w:p>
    <w:p w14:paraId="205E97A5">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投标人</w:t>
      </w:r>
      <w:r>
        <w:rPr>
          <w:rFonts w:hint="eastAsia" w:ascii="仿宋" w:hAnsi="仿宋" w:eastAsia="仿宋" w:cs="仿宋"/>
          <w:b/>
          <w:color w:val="000000" w:themeColor="text1"/>
          <w:sz w:val="24"/>
          <w:szCs w:val="20"/>
          <w:highlight w:val="none"/>
          <w14:textFill>
            <w14:solidFill>
              <w14:schemeClr w14:val="tx1"/>
            </w14:solidFill>
          </w14:textFill>
        </w:rPr>
        <w:t>的响应文件中承</w:t>
      </w:r>
      <w:r>
        <w:rPr>
          <w:rFonts w:hint="eastAsia" w:ascii="仿宋" w:hAnsi="仿宋" w:eastAsia="仿宋" w:cs="仿宋"/>
          <w:b/>
          <w:color w:val="000000" w:themeColor="text1"/>
          <w:sz w:val="24"/>
          <w:szCs w:val="21"/>
          <w:highlight w:val="none"/>
          <w14:textFill>
            <w14:solidFill>
              <w14:schemeClr w14:val="tx1"/>
            </w14:solidFill>
          </w14:textFill>
        </w:rPr>
        <w:t>诺的交易有效期少于交易文件中载明的交易有效期的，交易无效。</w:t>
      </w:r>
    </w:p>
    <w:p w14:paraId="2CFCAF4B">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16.2响应文件合格投递后，自投标截止日期起，在交易有效期内有效。</w:t>
      </w:r>
    </w:p>
    <w:p w14:paraId="24CB4CD5">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16.3在原定交易有效期满之前，如果出现特殊情况，采购机构可以以书面形式通知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延长交易有效期。</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同意延长的，不得要求或被允许修改其响应文件，</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拒绝延长的，其交易无效。</w:t>
      </w:r>
    </w:p>
    <w:p w14:paraId="5DA2431B">
      <w:pPr>
        <w:pStyle w:val="221"/>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37971968">
      <w:pPr>
        <w:pStyle w:val="221"/>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四、交易、资格审查</w:t>
      </w:r>
    </w:p>
    <w:p w14:paraId="196F7D9B">
      <w:pPr>
        <w:pStyle w:val="500"/>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 xml:space="preserve">17.交易 </w:t>
      </w:r>
    </w:p>
    <w:p w14:paraId="53BEE218">
      <w:pPr>
        <w:pStyle w:val="50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17.1采购机构按照交易文件规定的时间通过电子交易平台组织交易，所有</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不足3家的，不得交易。</w:t>
      </w:r>
    </w:p>
    <w:p w14:paraId="53F3DD5A">
      <w:pPr>
        <w:pStyle w:val="50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17.2交易时，电子交易平台按交易时间自动提取所有响应文件。采购机构依托电子交易平台发起开始解密指令，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按照平台提示和交易文件的规定在半小时内完成在线解密。</w:t>
      </w:r>
    </w:p>
    <w:p w14:paraId="2F52F4EE">
      <w:pPr>
        <w:pStyle w:val="50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17.3</w:t>
      </w:r>
      <w:r>
        <w:rPr>
          <w:rFonts w:hint="eastAsia" w:ascii="仿宋" w:hAnsi="仿宋" w:eastAsia="仿宋" w:cs="仿宋"/>
          <w:b/>
          <w:color w:val="000000" w:themeColor="text1"/>
          <w:sz w:val="24"/>
          <w:highlight w:val="none"/>
          <w14:textFill>
            <w14:solidFill>
              <w14:schemeClr w14:val="tx1"/>
            </w14:solidFill>
          </w14:textFill>
        </w:rPr>
        <w:t>响应文件未按时解密，</w:t>
      </w:r>
      <w:r>
        <w:rPr>
          <w:rFonts w:hint="eastAsia" w:ascii="仿宋" w:hAnsi="仿宋" w:eastAsia="仿宋" w:cs="仿宋"/>
          <w:b/>
          <w:color w:val="000000" w:themeColor="text1"/>
          <w:sz w:val="24"/>
          <w:highlight w:val="none"/>
          <w:lang w:eastAsia="zh-CN"/>
          <w14:textFill>
            <w14:solidFill>
              <w14:schemeClr w14:val="tx1"/>
            </w14:solidFill>
          </w14:textFill>
        </w:rPr>
        <w:t>投标人</w:t>
      </w:r>
      <w:r>
        <w:rPr>
          <w:rFonts w:hint="eastAsia" w:ascii="仿宋" w:hAnsi="仿宋" w:eastAsia="仿宋" w:cs="仿宋"/>
          <w:b/>
          <w:color w:val="000000" w:themeColor="text1"/>
          <w:sz w:val="24"/>
          <w:highlight w:val="none"/>
          <w14:textFill>
            <w14:solidFill>
              <w14:schemeClr w14:val="tx1"/>
            </w14:solidFill>
          </w14:textFill>
        </w:rPr>
        <w:t>提供了备份响应文件的，以备份响应文件作为依据，否则视为响应文件撤回。响应文件已按时解密的，备份响应文件自动失效。</w:t>
      </w:r>
    </w:p>
    <w:p w14:paraId="271F543A">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18、资格审查</w:t>
      </w:r>
    </w:p>
    <w:p w14:paraId="6D5AB706">
      <w:pPr>
        <w:pStyle w:val="2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18.1交易后，交易发起人或采购机构将依法对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6983FE0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18.2</w:t>
      </w:r>
      <w:r>
        <w:rPr>
          <w:rFonts w:hint="eastAsia" w:ascii="仿宋" w:hAnsi="仿宋" w:eastAsia="仿宋" w:cs="仿宋"/>
          <w:color w:val="000000" w:themeColor="text1"/>
          <w:sz w:val="24"/>
          <w:highlight w:val="none"/>
          <w14:textFill>
            <w14:solidFill>
              <w14:schemeClr w14:val="tx1"/>
            </w14:solidFill>
          </w14:textFill>
        </w:rPr>
        <w:t>交易发起人或采购机构依据法律法规和交易文件的规定，对</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38E560A2">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18.3</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未按照交易文件要求提供与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不具备交易文件中规定的资格要求，其交易无效。</w:t>
      </w:r>
    </w:p>
    <w:p w14:paraId="3C2A187A">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，交易发起人或采购机构告知其未通过的原因。</w:t>
      </w:r>
    </w:p>
    <w:p w14:paraId="7B74F166">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不足3家的，不再评标。</w:t>
      </w:r>
    </w:p>
    <w:p w14:paraId="029DFEB6">
      <w:pPr>
        <w:pStyle w:val="221"/>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68C2DB9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五、评审</w:t>
      </w:r>
    </w:p>
    <w:p w14:paraId="158BFA93">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评标委员会将根据交易文件和有关规定，履行评标工作职责，并按照评标方法及评分标准，全面衡量各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对交易文件的响应情况。对实质上响应交易文件的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，按照评审因素的量化指标排出推荐成交的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详见交易文件第四部分交易办法。</w:t>
      </w:r>
    </w:p>
    <w:p w14:paraId="2BE4F4B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7C4E02F">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544381AD">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20. 确定成交</w:t>
      </w:r>
      <w:r>
        <w:rPr>
          <w:rFonts w:hint="eastAsia" w:ascii="仿宋" w:hAnsi="仿宋" w:eastAsia="仿宋" w:cs="仿宋"/>
          <w:b/>
          <w:color w:val="000000" w:themeColor="text1"/>
          <w:highlight w:val="none"/>
          <w:lang w:eastAsia="zh-CN"/>
          <w14:textFill>
            <w14:solidFill>
              <w14:schemeClr w14:val="tx1"/>
            </w14:solidFill>
          </w14:textFill>
        </w:rPr>
        <w:t>投标人</w:t>
      </w:r>
    </w:p>
    <w:p w14:paraId="7AF7F0F4">
      <w:pPr>
        <w:pStyle w:val="22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交易发起人将自收到评审报告之日起5个工作日内通过电子交易平台在评审报告推荐的成交候选人中按顺序确定成交</w:t>
      </w: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w:t>
      </w:r>
    </w:p>
    <w:p w14:paraId="2321AFE8">
      <w:pPr>
        <w:pStyle w:val="22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21. 成交通知与成交结果公告</w:t>
      </w:r>
    </w:p>
    <w:p w14:paraId="1EA33F32">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7C187CCD">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2880959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21.3公告期限为1个工作日。</w:t>
      </w:r>
    </w:p>
    <w:p w14:paraId="2B00CBB8">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739968B8">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22.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563C1D00">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23. 合同的签订</w:t>
      </w:r>
    </w:p>
    <w:p w14:paraId="354F0AB6">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kern w:val="0"/>
          <w:sz w:val="24"/>
          <w:highlight w:val="none"/>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32F1FCD8">
      <w:pPr>
        <w:pStyle w:val="221"/>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37FE96E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23.3如签订合同并生效后，</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无故拒绝或延期，除按照合同条款处理外，列入不良行为记录一次，并给予通报。</w:t>
      </w:r>
    </w:p>
    <w:p w14:paraId="4BFB2773">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23.4成交</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拒绝与交易发起人签订合同的，交易发起人可以按照评审报告推荐的成交或者成交候选人名单排序，确定下一候选人为成交</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，也可以重新开展采购活动。</w:t>
      </w:r>
    </w:p>
    <w:p w14:paraId="703970DB">
      <w:pPr>
        <w:pStyle w:val="221"/>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23.5采购合同由交易发起人与成交</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根据交易文件、响应文件等内容通过政府采购电子交易平台在线签订，自动备案。</w:t>
      </w:r>
    </w:p>
    <w:p w14:paraId="752222EC">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24.履约保证金</w:t>
      </w:r>
    </w:p>
    <w:p w14:paraId="06ED27BC">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提交履约保证金的，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。履约保证金的数额不得超过采购合同金额的2%。鼓励和支持</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以银行、保险公司出具的保函形式提供履约保证金。</w:t>
      </w:r>
    </w:p>
    <w:p w14:paraId="6DBAE4FB">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613075C9">
      <w:pPr>
        <w:pStyle w:val="22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14:textFill>
            <w14:solidFill>
              <w14:schemeClr w14:val="tx1"/>
            </w14:solidFill>
          </w14:textFill>
        </w:rPr>
        <w:t>5.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37D00CFF">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25.1电子交易平台发生故障而无法登录访问的； </w:t>
      </w:r>
    </w:p>
    <w:p w14:paraId="7025CD58">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25.2电子交易平台应用或数据库出现错误，不能进行正常操作的；</w:t>
      </w:r>
    </w:p>
    <w:p w14:paraId="18D66470">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25.3电子交易平台发现严重安全漏洞，有潜在泄密危险的；</w:t>
      </w:r>
    </w:p>
    <w:p w14:paraId="188FC7B8">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25.4病毒发作导致不能进行正常操作的； </w:t>
      </w:r>
    </w:p>
    <w:p w14:paraId="0F6FEF3E">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25.5其他无法保证电子交易的公平、公正和安全的情况。</w:t>
      </w:r>
    </w:p>
    <w:p w14:paraId="75AF8062">
      <w:pPr>
        <w:pStyle w:val="22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3451ED13">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446E5107">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27.验收</w:t>
      </w:r>
    </w:p>
    <w:p w14:paraId="1DB7C7E2">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27.1交易发起人应当组织对</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应在货物到货并将实施安装前，申请进行初验收。</w:t>
      </w:r>
    </w:p>
    <w:p w14:paraId="2ADB1306">
      <w:pPr>
        <w:tabs>
          <w:tab w:val="left" w:pos="0"/>
        </w:tabs>
        <w:spacing w:line="360" w:lineRule="auto"/>
        <w:ind w:firstLine="480"/>
        <w:rPr>
          <w:rFonts w:hint="eastAsia" w:ascii="仿宋" w:hAnsi="仿宋" w:eastAsia="仿宋" w:cs="仿宋"/>
          <w:b/>
          <w:color w:val="000000"/>
          <w:sz w:val="32"/>
          <w:szCs w:val="20"/>
          <w:highlight w:val="none"/>
        </w:rPr>
      </w:pPr>
      <w:r>
        <w:rPr>
          <w:rFonts w:hint="eastAsia" w:ascii="仿宋" w:hAnsi="仿宋" w:eastAsia="仿宋" w:cs="仿宋"/>
          <w:color w:val="000000" w:themeColor="text1"/>
          <w:kern w:val="0"/>
          <w:sz w:val="24"/>
          <w:highlight w:val="none"/>
          <w14:textFill>
            <w14:solidFill>
              <w14:schemeClr w14:val="tx1"/>
            </w14:solidFill>
          </w14:textFill>
        </w:rPr>
        <w:t>27.2交易发起人组织对</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履约的验收。除27.1情形外，大型或者复杂的政府采购项目，应当邀请国家认可的质量检测机构参加验收工作。验收方成员应当在验收书上签字，并承担相应的法律责任。如果发现与合同中要求不符，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须承担由此发生的一切损失和费用，并接受相应的处理。</w:t>
      </w:r>
      <w:bookmarkEnd w:id="38"/>
    </w:p>
    <w:bookmarkEnd w:id="36"/>
    <w:bookmarkEnd w:id="37"/>
    <w:p w14:paraId="2542A2D9">
      <w:pPr>
        <w:pStyle w:val="2"/>
        <w:jc w:val="both"/>
        <w:rPr>
          <w:rFonts w:hint="eastAsia" w:ascii="仿宋" w:hAnsi="仿宋" w:eastAsia="仿宋" w:cs="仿宋"/>
          <w:highlight w:val="none"/>
        </w:rPr>
      </w:pPr>
      <w:bookmarkStart w:id="39" w:name="第四部分"/>
    </w:p>
    <w:p w14:paraId="7AF15B6A">
      <w:pPr>
        <w:pStyle w:val="2"/>
        <w:rPr>
          <w:rFonts w:hint="eastAsia" w:ascii="仿宋" w:hAnsi="仿宋" w:eastAsia="仿宋" w:cs="仿宋"/>
          <w:highlight w:val="none"/>
        </w:rPr>
      </w:pPr>
    </w:p>
    <w:p w14:paraId="7EBF9A21">
      <w:pPr>
        <w:pStyle w:val="2"/>
        <w:rPr>
          <w:rFonts w:hint="eastAsia" w:ascii="仿宋" w:hAnsi="仿宋" w:eastAsia="仿宋" w:cs="仿宋"/>
          <w:highlight w:val="none"/>
        </w:rPr>
      </w:pPr>
    </w:p>
    <w:p w14:paraId="25EC2812">
      <w:pPr>
        <w:pStyle w:val="61"/>
        <w:ind w:left="0" w:leftChars="0" w:firstLine="0" w:firstLineChars="0"/>
        <w:rPr>
          <w:rFonts w:hint="eastAsia" w:ascii="仿宋" w:hAnsi="仿宋" w:eastAsia="仿宋" w:cs="仿宋"/>
          <w:highlight w:val="none"/>
        </w:rPr>
      </w:pPr>
    </w:p>
    <w:p w14:paraId="58E67EA6">
      <w:pPr>
        <w:pStyle w:val="2"/>
        <w:rPr>
          <w:rFonts w:hint="eastAsia" w:ascii="仿宋" w:hAnsi="仿宋" w:eastAsia="仿宋" w:cs="仿宋"/>
          <w:highlight w:val="none"/>
        </w:rPr>
      </w:pPr>
    </w:p>
    <w:p w14:paraId="7D2F147F">
      <w:pPr>
        <w:pStyle w:val="2"/>
        <w:rPr>
          <w:rFonts w:hint="eastAsia" w:ascii="仿宋" w:hAnsi="仿宋" w:eastAsia="仿宋" w:cs="仿宋"/>
          <w:highlight w:val="none"/>
        </w:rPr>
      </w:pPr>
      <w:r>
        <w:rPr>
          <w:rFonts w:hint="eastAsia" w:ascii="仿宋" w:hAnsi="仿宋" w:eastAsia="仿宋" w:cs="仿宋"/>
          <w:highlight w:val="none"/>
        </w:rPr>
        <w:t>第三部分   交易需求</w:t>
      </w:r>
    </w:p>
    <w:p w14:paraId="2B61DDB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105ECF4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中单一产品或核心产品。</w:t>
      </w:r>
    </w:p>
    <w:p w14:paraId="76913E36">
      <w:p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w:t>
      </w:r>
      <w:r>
        <w:rPr>
          <w:rFonts w:hint="eastAsia" w:ascii="仿宋" w:hAnsi="仿宋" w:eastAsia="仿宋" w:cs="仿宋"/>
          <w:b/>
          <w:color w:val="000000" w:themeColor="text1"/>
          <w:sz w:val="28"/>
          <w:szCs w:val="28"/>
          <w:highlight w:val="none"/>
          <w14:textFill>
            <w14:solidFill>
              <w14:schemeClr w14:val="tx1"/>
            </w14:solidFill>
          </w14:textFill>
        </w:rPr>
        <w:t>、交易一览表</w:t>
      </w:r>
    </w:p>
    <w:tbl>
      <w:tblPr>
        <w:tblStyle w:val="62"/>
        <w:tblW w:w="92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3249"/>
        <w:gridCol w:w="902"/>
        <w:gridCol w:w="2071"/>
        <w:gridCol w:w="2145"/>
      </w:tblGrid>
      <w:tr w14:paraId="22B05E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2" w:hRule="atLeast"/>
          <w:jc w:val="center"/>
        </w:trPr>
        <w:tc>
          <w:tcPr>
            <w:tcW w:w="930" w:type="dxa"/>
            <w:noWrap w:val="0"/>
            <w:vAlign w:val="center"/>
          </w:tcPr>
          <w:p w14:paraId="38CE48CF">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9" w:type="dxa"/>
            <w:noWrap w:val="0"/>
            <w:vAlign w:val="center"/>
          </w:tcPr>
          <w:p w14:paraId="13A25C46">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2" w:type="dxa"/>
            <w:noWrap w:val="0"/>
            <w:vAlign w:val="center"/>
          </w:tcPr>
          <w:p w14:paraId="699F156C">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71" w:type="dxa"/>
            <w:noWrap w:val="0"/>
            <w:vAlign w:val="center"/>
          </w:tcPr>
          <w:p w14:paraId="2077C1B1">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5" w:type="dxa"/>
            <w:noWrap w:val="0"/>
            <w:vAlign w:val="center"/>
          </w:tcPr>
          <w:p w14:paraId="463D4035">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7AAB0B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745E51F1">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9" w:type="dxa"/>
            <w:noWrap w:val="0"/>
            <w:vAlign w:val="center"/>
          </w:tcPr>
          <w:p w14:paraId="68CC7D94">
            <w:pP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医用器械快速风干柜</w:t>
            </w:r>
          </w:p>
        </w:tc>
        <w:tc>
          <w:tcPr>
            <w:tcW w:w="902" w:type="dxa"/>
            <w:vMerge w:val="restart"/>
            <w:noWrap w:val="0"/>
            <w:vAlign w:val="center"/>
          </w:tcPr>
          <w:p w14:paraId="6C77C5C5">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1台</w:t>
            </w:r>
          </w:p>
        </w:tc>
        <w:tc>
          <w:tcPr>
            <w:tcW w:w="2071" w:type="dxa"/>
            <w:vMerge w:val="restart"/>
            <w:noWrap w:val="0"/>
            <w:vAlign w:val="center"/>
          </w:tcPr>
          <w:p w14:paraId="37A45921">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合同签订后，接采购人发货通知后60 天内交货完毕</w:t>
            </w:r>
          </w:p>
        </w:tc>
        <w:tc>
          <w:tcPr>
            <w:tcW w:w="2145" w:type="dxa"/>
            <w:vMerge w:val="restart"/>
            <w:noWrap w:val="0"/>
            <w:vAlign w:val="center"/>
          </w:tcPr>
          <w:p w14:paraId="0F78A937">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681052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7B48425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9" w:type="dxa"/>
            <w:noWrap w:val="0"/>
            <w:vAlign w:val="center"/>
          </w:tcPr>
          <w:p w14:paraId="2BE378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2" w:type="dxa"/>
            <w:noWrap w:val="0"/>
            <w:vAlign w:val="center"/>
          </w:tcPr>
          <w:p w14:paraId="0F3E30F8">
            <w:pP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71" w:type="dxa"/>
            <w:vMerge w:val="continue"/>
            <w:noWrap w:val="0"/>
            <w:vAlign w:val="center"/>
          </w:tcPr>
          <w:p w14:paraId="1D957F6F">
            <w:pPr>
              <w:spacing w:line="360" w:lineRule="auto"/>
              <w:jc w:val="center"/>
              <w:rPr>
                <w:rFonts w:hint="eastAsia" w:ascii="仿宋" w:hAnsi="仿宋" w:eastAsia="仿宋" w:cs="仿宋"/>
                <w:color w:val="auto"/>
                <w:szCs w:val="21"/>
                <w:highlight w:val="none"/>
              </w:rPr>
            </w:pPr>
          </w:p>
        </w:tc>
        <w:tc>
          <w:tcPr>
            <w:tcW w:w="2145" w:type="dxa"/>
            <w:vMerge w:val="continue"/>
            <w:noWrap w:val="0"/>
            <w:vAlign w:val="center"/>
          </w:tcPr>
          <w:p w14:paraId="05E8B8A3">
            <w:pPr>
              <w:spacing w:line="360" w:lineRule="auto"/>
              <w:jc w:val="center"/>
              <w:rPr>
                <w:rFonts w:hint="eastAsia" w:ascii="仿宋" w:hAnsi="仿宋" w:eastAsia="仿宋" w:cs="仿宋"/>
                <w:color w:val="auto"/>
                <w:highlight w:val="none"/>
              </w:rPr>
            </w:pPr>
          </w:p>
        </w:tc>
      </w:tr>
      <w:tr w14:paraId="4F84DF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30AC90C8">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151" w:type="dxa"/>
            <w:gridSpan w:val="2"/>
            <w:noWrap w:val="0"/>
            <w:vAlign w:val="center"/>
          </w:tcPr>
          <w:p w14:paraId="23613E65">
            <w:pP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须提供的其他资料</w:t>
            </w:r>
          </w:p>
        </w:tc>
        <w:tc>
          <w:tcPr>
            <w:tcW w:w="2071" w:type="dxa"/>
            <w:vMerge w:val="continue"/>
            <w:noWrap w:val="0"/>
            <w:vAlign w:val="center"/>
          </w:tcPr>
          <w:p w14:paraId="2752AA00">
            <w:pPr>
              <w:spacing w:line="360" w:lineRule="auto"/>
              <w:jc w:val="center"/>
              <w:rPr>
                <w:rFonts w:hint="eastAsia" w:ascii="仿宋" w:hAnsi="仿宋" w:eastAsia="仿宋" w:cs="仿宋"/>
                <w:color w:val="auto"/>
                <w:highlight w:val="none"/>
              </w:rPr>
            </w:pPr>
          </w:p>
        </w:tc>
        <w:tc>
          <w:tcPr>
            <w:tcW w:w="2145" w:type="dxa"/>
            <w:vMerge w:val="continue"/>
            <w:noWrap w:val="0"/>
            <w:vAlign w:val="center"/>
          </w:tcPr>
          <w:p w14:paraId="245E148B">
            <w:pPr>
              <w:spacing w:line="360" w:lineRule="auto"/>
              <w:jc w:val="center"/>
              <w:rPr>
                <w:rFonts w:hint="eastAsia" w:ascii="仿宋" w:hAnsi="仿宋" w:eastAsia="仿宋" w:cs="仿宋"/>
                <w:color w:val="auto"/>
                <w:highlight w:val="none"/>
              </w:rPr>
            </w:pPr>
          </w:p>
        </w:tc>
      </w:tr>
    </w:tbl>
    <w:p w14:paraId="6DE8034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3214AD1">
      <w:pPr>
        <w:numPr>
          <w:ilvl w:val="0"/>
          <w:numId w:val="0"/>
        </w:numPr>
        <w:spacing w:line="360" w:lineRule="auto"/>
        <w:jc w:val="center"/>
        <w:rPr>
          <w:rFonts w:hint="eastAsia" w:ascii="仿宋" w:hAnsi="仿宋" w:eastAsia="仿宋" w:cs="仿宋"/>
          <w:highlight w:val="none"/>
        </w:rPr>
      </w:pPr>
      <w:r>
        <w:rPr>
          <w:rFonts w:hint="eastAsia" w:ascii="仿宋" w:hAnsi="仿宋" w:eastAsia="仿宋" w:cs="仿宋"/>
          <w:b/>
          <w:color w:val="000000" w:themeColor="text1"/>
          <w:sz w:val="28"/>
          <w:szCs w:val="28"/>
          <w:highlight w:val="none"/>
          <w:lang w:eastAsia="zh-CN"/>
          <w14:textFill>
            <w14:solidFill>
              <w14:schemeClr w14:val="tx1"/>
            </w14:solidFill>
          </w14:textFill>
        </w:rPr>
        <w:t>（二）、</w:t>
      </w:r>
      <w:r>
        <w:rPr>
          <w:rFonts w:hint="eastAsia" w:ascii="仿宋" w:hAnsi="仿宋" w:eastAsia="仿宋" w:cs="仿宋"/>
          <w:b/>
          <w:color w:val="000000" w:themeColor="text1"/>
          <w:sz w:val="28"/>
          <w:szCs w:val="28"/>
          <w:highlight w:val="none"/>
          <w14:textFill>
            <w14:solidFill>
              <w14:schemeClr w14:val="tx1"/>
            </w14:solidFill>
          </w14:textFill>
        </w:rPr>
        <w:t>交易需求</w:t>
      </w:r>
    </w:p>
    <w:tbl>
      <w:tblPr>
        <w:tblStyle w:val="62"/>
        <w:tblW w:w="48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912"/>
      </w:tblGrid>
      <w:tr w14:paraId="46F9A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51" w:type="pct"/>
            <w:tcBorders>
              <w:tl2br w:val="nil"/>
              <w:tr2bl w:val="nil"/>
            </w:tcBorders>
            <w:noWrap w:val="0"/>
            <w:vAlign w:val="center"/>
          </w:tcPr>
          <w:p w14:paraId="638B2B8B">
            <w:pPr>
              <w:spacing w:line="360" w:lineRule="auto"/>
              <w:jc w:val="center"/>
              <w:rPr>
                <w:rFonts w:hint="eastAsia" w:ascii="仿宋" w:hAnsi="仿宋" w:eastAsia="仿宋" w:cs="仿宋"/>
                <w:b/>
                <w:bCs/>
                <w:color w:val="auto"/>
                <w:sz w:val="24"/>
                <w:highlight w:val="none"/>
                <w:lang w:val="en-US" w:eastAsia="zh-CN"/>
              </w:rPr>
            </w:pPr>
            <w:bookmarkStart w:id="40" w:name="_二期网络工程项目改造需求"/>
            <w:bookmarkEnd w:id="40"/>
            <w:r>
              <w:rPr>
                <w:rFonts w:hint="eastAsia" w:ascii="仿宋" w:hAnsi="仿宋" w:eastAsia="仿宋" w:cs="仿宋"/>
                <w:b/>
                <w:bCs/>
                <w:color w:val="auto"/>
                <w:sz w:val="24"/>
                <w:highlight w:val="none"/>
                <w:lang w:val="en-US" w:eastAsia="zh-CN"/>
              </w:rPr>
              <w:t>序号</w:t>
            </w:r>
          </w:p>
        </w:tc>
        <w:tc>
          <w:tcPr>
            <w:tcW w:w="4348" w:type="pct"/>
            <w:tcBorders>
              <w:tl2br w:val="nil"/>
              <w:tr2bl w:val="nil"/>
            </w:tcBorders>
            <w:noWrap w:val="0"/>
            <w:vAlign w:val="center"/>
          </w:tcPr>
          <w:p w14:paraId="3AEA4553">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技术要求</w:t>
            </w:r>
          </w:p>
        </w:tc>
      </w:tr>
      <w:tr w14:paraId="1740E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pct"/>
            <w:tcBorders>
              <w:tl2br w:val="nil"/>
              <w:tr2bl w:val="nil"/>
            </w:tcBorders>
            <w:shd w:val="clear" w:color="auto" w:fill="auto"/>
            <w:noWrap w:val="0"/>
            <w:vAlign w:val="center"/>
          </w:tcPr>
          <w:p w14:paraId="17889887">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w:t>
            </w:r>
          </w:p>
        </w:tc>
        <w:tc>
          <w:tcPr>
            <w:tcW w:w="4348" w:type="pct"/>
            <w:tcBorders>
              <w:tl2br w:val="nil"/>
              <w:tr2bl w:val="nil"/>
            </w:tcBorders>
            <w:shd w:val="clear" w:color="auto" w:fill="auto"/>
            <w:noWrap w:val="0"/>
            <w:vAlign w:val="center"/>
          </w:tcPr>
          <w:p w14:paraId="144AAE33">
            <w:pPr>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总体要求</w:t>
            </w:r>
          </w:p>
        </w:tc>
      </w:tr>
      <w:tr w14:paraId="718BC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651" w:type="pct"/>
            <w:tcBorders>
              <w:tl2br w:val="nil"/>
              <w:tr2bl w:val="nil"/>
            </w:tcBorders>
            <w:shd w:val="clear" w:color="auto" w:fill="auto"/>
            <w:noWrap w:val="0"/>
            <w:vAlign w:val="center"/>
          </w:tcPr>
          <w:p w14:paraId="2919599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w:t>
            </w:r>
          </w:p>
        </w:tc>
        <w:tc>
          <w:tcPr>
            <w:tcW w:w="4348" w:type="pct"/>
            <w:tcBorders>
              <w:tl2br w:val="nil"/>
              <w:tr2bl w:val="nil"/>
            </w:tcBorders>
            <w:shd w:val="clear" w:color="auto" w:fill="auto"/>
            <w:noWrap w:val="0"/>
            <w:vAlign w:val="center"/>
          </w:tcPr>
          <w:p w14:paraId="3D15A734">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适用范围：</w:t>
            </w:r>
            <w:r>
              <w:rPr>
                <w:rFonts w:hint="eastAsia" w:ascii="仿宋" w:hAnsi="仿宋" w:eastAsia="仿宋" w:cs="仿宋"/>
                <w:color w:val="auto"/>
                <w:sz w:val="24"/>
                <w:highlight w:val="none"/>
                <w:lang w:val="en-US" w:eastAsia="zh-CN"/>
              </w:rPr>
              <w:t>用于对手术器械、玻璃器皿、麻醉和呼吸管路、湿化瓶、各类常规器械等的干燥。能快速满足器械和物品灭菌前的彻底干燥，</w:t>
            </w:r>
            <w:r>
              <w:rPr>
                <w:rFonts w:hint="eastAsia" w:ascii="仿宋" w:hAnsi="仿宋" w:eastAsia="仿宋" w:cs="仿宋"/>
                <w:color w:val="auto"/>
                <w:sz w:val="24"/>
                <w:highlight w:val="none"/>
              </w:rPr>
              <w:t>温度范围常温至90℃</w:t>
            </w:r>
            <w:r>
              <w:rPr>
                <w:rFonts w:hint="eastAsia" w:ascii="仿宋" w:hAnsi="仿宋" w:eastAsia="仿宋" w:cs="仿宋"/>
                <w:color w:val="auto"/>
                <w:sz w:val="24"/>
                <w:highlight w:val="none"/>
                <w:lang w:eastAsia="zh-CN"/>
              </w:rPr>
              <w:t>。</w:t>
            </w:r>
          </w:p>
        </w:tc>
      </w:tr>
      <w:tr w14:paraId="3CD3E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E8C615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1.2</w:t>
            </w:r>
          </w:p>
        </w:tc>
        <w:tc>
          <w:tcPr>
            <w:tcW w:w="4348" w:type="pct"/>
            <w:tcBorders>
              <w:tl2br w:val="nil"/>
              <w:tr2bl w:val="nil"/>
            </w:tcBorders>
            <w:shd w:val="clear" w:color="auto" w:fill="auto"/>
            <w:noWrap w:val="0"/>
            <w:vAlign w:val="center"/>
          </w:tcPr>
          <w:p w14:paraId="679B5FCA">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设备出厂日期为</w:t>
            </w:r>
            <w:r>
              <w:rPr>
                <w:rFonts w:hint="eastAsia" w:ascii="仿宋" w:hAnsi="仿宋" w:eastAsia="仿宋" w:cs="仿宋"/>
                <w:color w:val="auto"/>
                <w:sz w:val="24"/>
                <w:highlight w:val="none"/>
              </w:rPr>
              <w:t>3个月内，以验收时间为准。</w:t>
            </w:r>
          </w:p>
        </w:tc>
      </w:tr>
      <w:tr w14:paraId="7C87A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03268D36">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2</w:t>
            </w:r>
          </w:p>
        </w:tc>
        <w:tc>
          <w:tcPr>
            <w:tcW w:w="4348" w:type="pct"/>
            <w:tcBorders>
              <w:tl2br w:val="nil"/>
              <w:tr2bl w:val="nil"/>
            </w:tcBorders>
            <w:shd w:val="clear" w:color="auto" w:fill="auto"/>
            <w:noWrap w:val="0"/>
            <w:vAlign w:val="center"/>
          </w:tcPr>
          <w:p w14:paraId="4730088F">
            <w:pPr>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技术参数、功能及配置</w:t>
            </w:r>
          </w:p>
        </w:tc>
      </w:tr>
      <w:tr w14:paraId="698337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651" w:type="pct"/>
            <w:tcBorders>
              <w:tl2br w:val="nil"/>
              <w:tr2bl w:val="nil"/>
            </w:tcBorders>
            <w:shd w:val="clear" w:color="auto" w:fill="auto"/>
            <w:noWrap w:val="0"/>
            <w:vAlign w:val="center"/>
          </w:tcPr>
          <w:p w14:paraId="5C6770A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p>
        </w:tc>
        <w:tc>
          <w:tcPr>
            <w:tcW w:w="4348" w:type="pct"/>
            <w:tcBorders>
              <w:tl2br w:val="nil"/>
              <w:tr2bl w:val="nil"/>
            </w:tcBorders>
            <w:shd w:val="clear" w:color="auto" w:fill="auto"/>
            <w:noWrap w:val="0"/>
            <w:vAlign w:val="center"/>
          </w:tcPr>
          <w:p w14:paraId="4CD83DD8">
            <w:pPr>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技术参数：</w:t>
            </w:r>
          </w:p>
        </w:tc>
      </w:tr>
      <w:tr w14:paraId="156AF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98487BB">
            <w:pPr>
              <w:spacing w:line="360" w:lineRule="auto"/>
              <w:jc w:val="center"/>
              <w:rPr>
                <w:rFonts w:hint="eastAsia" w:ascii="仿宋" w:hAnsi="仿宋" w:eastAsia="仿宋" w:cs="仿宋"/>
                <w:color w:val="auto"/>
                <w:sz w:val="24"/>
                <w:highlight w:val="none"/>
                <w:lang w:val="en-US" w:eastAsia="zh-CN"/>
              </w:rPr>
            </w:pPr>
            <w:r>
              <w:rPr>
                <w:rFonts w:hint="eastAsia" w:cs="宋体" w:asciiTheme="minorEastAsia" w:hAnsiTheme="minorEastAsia" w:eastAsiaTheme="minorEastAsia"/>
                <w:sz w:val="22"/>
                <w:szCs w:val="22"/>
                <w:highlight w:val="none"/>
              </w:rPr>
              <w:t>▲</w:t>
            </w:r>
            <w:r>
              <w:rPr>
                <w:rFonts w:hint="eastAsia" w:ascii="仿宋" w:hAnsi="仿宋" w:eastAsia="仿宋" w:cs="仿宋"/>
                <w:color w:val="auto"/>
                <w:sz w:val="24"/>
                <w:highlight w:val="none"/>
              </w:rPr>
              <w:t>2.1.1</w:t>
            </w:r>
          </w:p>
        </w:tc>
        <w:tc>
          <w:tcPr>
            <w:tcW w:w="4348" w:type="pct"/>
            <w:tcBorders>
              <w:tl2br w:val="nil"/>
              <w:tr2bl w:val="nil"/>
            </w:tcBorders>
            <w:shd w:val="clear" w:color="auto" w:fill="auto"/>
            <w:noWrap w:val="0"/>
            <w:vAlign w:val="center"/>
          </w:tcPr>
          <w:p w14:paraId="23F27220">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容积：≥480L，处理量≥12个标准篮筐。</w:t>
            </w:r>
          </w:p>
        </w:tc>
      </w:tr>
      <w:tr w14:paraId="4DA48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E468303">
            <w:pPr>
              <w:spacing w:line="360" w:lineRule="auto"/>
              <w:jc w:val="center"/>
              <w:rPr>
                <w:rFonts w:hint="eastAsia" w:ascii="仿宋" w:hAnsi="仿宋" w:eastAsia="仿宋" w:cs="仿宋"/>
                <w:color w:val="auto"/>
                <w:sz w:val="24"/>
                <w:highlight w:val="none"/>
                <w:lang w:val="en-US" w:eastAsia="zh-CN"/>
              </w:rPr>
            </w:pPr>
            <w:r>
              <w:rPr>
                <w:rFonts w:hint="eastAsia" w:cs="宋体" w:asciiTheme="minorEastAsia" w:hAnsiTheme="minorEastAsia" w:eastAsiaTheme="minorEastAsia"/>
                <w:sz w:val="22"/>
                <w:szCs w:val="22"/>
                <w:highlight w:val="none"/>
              </w:rPr>
              <w:t>▲</w:t>
            </w:r>
            <w:r>
              <w:rPr>
                <w:rFonts w:hint="eastAsia" w:ascii="仿宋" w:hAnsi="仿宋" w:eastAsia="仿宋" w:cs="仿宋"/>
                <w:color w:val="auto"/>
                <w:sz w:val="24"/>
                <w:highlight w:val="none"/>
              </w:rPr>
              <w:t>2.1.2</w:t>
            </w:r>
          </w:p>
        </w:tc>
        <w:tc>
          <w:tcPr>
            <w:tcW w:w="4348" w:type="pct"/>
            <w:tcBorders>
              <w:tl2br w:val="nil"/>
              <w:tr2bl w:val="nil"/>
            </w:tcBorders>
            <w:shd w:val="clear" w:color="auto" w:fill="auto"/>
            <w:noWrap w:val="0"/>
            <w:vAlign w:val="center"/>
          </w:tcPr>
          <w:p w14:paraId="75132C2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因场地限制，设备尺寸要求（外形）：宽度≤720mm，高度≤2000mm， </w:t>
            </w:r>
          </w:p>
          <w:p w14:paraId="3E3F66E2">
            <w:pPr>
              <w:spacing w:line="360" w:lineRule="auto"/>
              <w:jc w:val="left"/>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深度 7</w:t>
            </w:r>
            <w:r>
              <w:rPr>
                <w:rFonts w:hint="eastAsia" w:ascii="仿宋" w:hAnsi="仿宋" w:eastAsia="仿宋" w:cs="仿宋"/>
                <w:color w:val="auto"/>
                <w:sz w:val="24"/>
                <w:highlight w:val="none"/>
                <w:lang w:val="en-US" w:eastAsia="zh-CN"/>
              </w:rPr>
              <w:t>8</w:t>
            </w:r>
            <w:r>
              <w:rPr>
                <w:rFonts w:hint="default" w:ascii="仿宋" w:hAnsi="仿宋" w:eastAsia="仿宋" w:cs="仿宋"/>
                <w:color w:val="auto"/>
                <w:sz w:val="24"/>
                <w:highlight w:val="none"/>
                <w:lang w:val="en-US" w:eastAsia="zh-CN"/>
              </w:rPr>
              <w:t xml:space="preserve">0mm±10mm </w:t>
            </w:r>
          </w:p>
        </w:tc>
      </w:tr>
      <w:tr w14:paraId="115E4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51" w:type="pct"/>
            <w:tcBorders>
              <w:tl2br w:val="nil"/>
              <w:tr2bl w:val="nil"/>
            </w:tcBorders>
            <w:shd w:val="clear" w:color="auto" w:fill="auto"/>
            <w:noWrap w:val="0"/>
            <w:vAlign w:val="center"/>
          </w:tcPr>
          <w:p w14:paraId="1634D0B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2.1.3</w:t>
            </w:r>
          </w:p>
        </w:tc>
        <w:tc>
          <w:tcPr>
            <w:tcW w:w="4348" w:type="pct"/>
            <w:tcBorders>
              <w:tl2br w:val="nil"/>
              <w:tr2bl w:val="nil"/>
            </w:tcBorders>
            <w:shd w:val="clear" w:color="auto" w:fill="auto"/>
            <w:noWrap w:val="0"/>
            <w:vAlign w:val="center"/>
          </w:tcPr>
          <w:p w14:paraId="78A625B6">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升温速率：从常温至90℃，所用时间≤7min。（</w:t>
            </w:r>
            <w:r>
              <w:rPr>
                <w:rFonts w:hint="eastAsia" w:ascii="仿宋" w:hAnsi="仿宋" w:eastAsia="仿宋" w:cs="仿宋"/>
                <w:color w:val="auto"/>
                <w:sz w:val="24"/>
                <w:highlight w:val="none"/>
              </w:rPr>
              <w:t>需提供技术证明文件</w:t>
            </w:r>
            <w:r>
              <w:rPr>
                <w:rFonts w:hint="eastAsia" w:ascii="仿宋" w:hAnsi="仿宋" w:eastAsia="仿宋" w:cs="仿宋"/>
                <w:color w:val="auto"/>
                <w:sz w:val="24"/>
                <w:highlight w:val="none"/>
                <w:lang w:val="en-US" w:eastAsia="zh-CN"/>
              </w:rPr>
              <w:t>）。</w:t>
            </w:r>
          </w:p>
        </w:tc>
      </w:tr>
      <w:tr w14:paraId="39414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1846676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2.1.4</w:t>
            </w:r>
          </w:p>
        </w:tc>
        <w:tc>
          <w:tcPr>
            <w:tcW w:w="4348" w:type="pct"/>
            <w:tcBorders>
              <w:tl2br w:val="nil"/>
              <w:tr2bl w:val="nil"/>
            </w:tcBorders>
            <w:shd w:val="clear" w:color="auto" w:fill="auto"/>
            <w:noWrap w:val="0"/>
            <w:vAlign w:val="center"/>
          </w:tcPr>
          <w:p w14:paraId="76F0832F">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加热方式：电加热，采用PTC自限温加热器（≥6套PTC加热器），在任何情况下，加热器表面温度不超过200℃，不会发红引发燃烧事故。（</w:t>
            </w:r>
            <w:r>
              <w:rPr>
                <w:rFonts w:hint="default" w:ascii="仿宋" w:hAnsi="仿宋" w:eastAsia="仿宋" w:cs="仿宋"/>
                <w:color w:val="auto"/>
                <w:sz w:val="24"/>
                <w:highlight w:val="none"/>
                <w:lang w:val="en-US" w:eastAsia="zh-CN"/>
              </w:rPr>
              <w:t>需提供技术证明文件及实物照片证明)</w:t>
            </w:r>
            <w:r>
              <w:rPr>
                <w:rFonts w:hint="eastAsia" w:ascii="仿宋" w:hAnsi="仿宋" w:eastAsia="仿宋" w:cs="仿宋"/>
                <w:color w:val="auto"/>
                <w:sz w:val="24"/>
                <w:highlight w:val="none"/>
                <w:lang w:val="en-US" w:eastAsia="zh-CN"/>
              </w:rPr>
              <w:t>。</w:t>
            </w:r>
          </w:p>
        </w:tc>
      </w:tr>
      <w:tr w14:paraId="0B56B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51" w:type="pct"/>
            <w:tcBorders>
              <w:tl2br w:val="nil"/>
              <w:tr2bl w:val="nil"/>
            </w:tcBorders>
            <w:shd w:val="clear" w:color="auto" w:fill="auto"/>
            <w:noWrap w:val="0"/>
            <w:vAlign w:val="center"/>
          </w:tcPr>
          <w:p w14:paraId="5F86565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2.1.5</w:t>
            </w:r>
          </w:p>
        </w:tc>
        <w:tc>
          <w:tcPr>
            <w:tcW w:w="4348" w:type="pct"/>
            <w:tcBorders>
              <w:tl2br w:val="nil"/>
              <w:tr2bl w:val="nil"/>
            </w:tcBorders>
            <w:shd w:val="clear" w:color="auto" w:fill="auto"/>
            <w:noWrap w:val="0"/>
            <w:vAlign w:val="center"/>
          </w:tcPr>
          <w:p w14:paraId="67C4969A">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控制系统：</w:t>
            </w:r>
            <w:r>
              <w:rPr>
                <w:rFonts w:hint="eastAsia" w:ascii="仿宋" w:hAnsi="仿宋" w:eastAsia="仿宋" w:cs="仿宋"/>
                <w:color w:val="auto"/>
                <w:sz w:val="24"/>
                <w:highlight w:val="none"/>
              </w:rPr>
              <w:t>采用人机交互，选用可编程PLC中央处理单元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7寸彩色触摸屏，中文界面，操作方式为触控。（需提供技术证明文件及实物照片</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证明）</w:t>
            </w:r>
            <w:r>
              <w:rPr>
                <w:rFonts w:hint="eastAsia" w:ascii="仿宋" w:hAnsi="仿宋" w:eastAsia="仿宋" w:cs="仿宋"/>
                <w:color w:val="auto"/>
                <w:sz w:val="24"/>
                <w:highlight w:val="none"/>
                <w:lang w:eastAsia="zh-CN"/>
              </w:rPr>
              <w:t>。</w:t>
            </w:r>
          </w:p>
        </w:tc>
      </w:tr>
      <w:tr w14:paraId="329B2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B0C4C8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2.1.6</w:t>
            </w:r>
          </w:p>
        </w:tc>
        <w:tc>
          <w:tcPr>
            <w:tcW w:w="4348" w:type="pct"/>
            <w:tcBorders>
              <w:tl2br w:val="nil"/>
              <w:tr2bl w:val="nil"/>
            </w:tcBorders>
            <w:shd w:val="clear" w:color="auto" w:fill="auto"/>
            <w:noWrap w:val="0"/>
            <w:vAlign w:val="center"/>
          </w:tcPr>
          <w:p w14:paraId="318CA50F">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送风循环方式：风道系统为顶部吸风，侧面出风方式，采用大直径离心风机，实现大风量、高风速，提升干燥效率，且顶部吸风有利于细长管腔器械（如呼吸管）的悬挂干燥。（需提供结构原理图及实物照片</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lang w:val="en-US" w:eastAsia="zh-CN"/>
              </w:rPr>
              <w:t>证明）。</w:t>
            </w:r>
          </w:p>
        </w:tc>
      </w:tr>
      <w:tr w14:paraId="067EA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51" w:type="pct"/>
            <w:tcBorders>
              <w:tl2br w:val="nil"/>
              <w:tr2bl w:val="nil"/>
            </w:tcBorders>
            <w:shd w:val="clear" w:color="auto" w:fill="auto"/>
            <w:noWrap w:val="0"/>
            <w:vAlign w:val="center"/>
          </w:tcPr>
          <w:p w14:paraId="4A0FFDB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2.1.7</w:t>
            </w:r>
          </w:p>
        </w:tc>
        <w:tc>
          <w:tcPr>
            <w:tcW w:w="4348" w:type="pct"/>
            <w:tcBorders>
              <w:tl2br w:val="nil"/>
              <w:tr2bl w:val="nil"/>
            </w:tcBorders>
            <w:shd w:val="clear" w:color="auto" w:fill="auto"/>
            <w:noWrap w:val="0"/>
            <w:vAlign w:val="center"/>
          </w:tcPr>
          <w:p w14:paraId="5BDFD830">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工作室材质：</w:t>
            </w:r>
            <w:r>
              <w:rPr>
                <w:rFonts w:hint="eastAsia" w:ascii="仿宋" w:hAnsi="仿宋" w:eastAsia="仿宋" w:cs="仿宋"/>
                <w:color w:val="auto"/>
                <w:sz w:val="24"/>
                <w:highlight w:val="none"/>
              </w:rPr>
              <w:t>内胆材质为不锈钢板,外装冷轧钢喷塑。</w:t>
            </w:r>
          </w:p>
        </w:tc>
      </w:tr>
      <w:tr w14:paraId="515E9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1339FE3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2.1.8</w:t>
            </w:r>
          </w:p>
        </w:tc>
        <w:tc>
          <w:tcPr>
            <w:tcW w:w="4348" w:type="pct"/>
            <w:tcBorders>
              <w:tl2br w:val="nil"/>
              <w:tr2bl w:val="nil"/>
            </w:tcBorders>
            <w:shd w:val="clear" w:color="auto" w:fill="auto"/>
            <w:noWrap w:val="0"/>
            <w:vAlign w:val="center"/>
          </w:tcPr>
          <w:p w14:paraId="19AD05BA">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干燥时间：干燥时间0～9999min连续可调，加热器输出工作室自动恒温，能满足科室需干燥器械量大时，设备能持续运转的需求，达到快速干燥的目的。</w:t>
            </w:r>
          </w:p>
        </w:tc>
      </w:tr>
      <w:tr w14:paraId="381DE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3D04072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2.1.9</w:t>
            </w:r>
          </w:p>
        </w:tc>
        <w:tc>
          <w:tcPr>
            <w:tcW w:w="4348" w:type="pct"/>
            <w:tcBorders>
              <w:tl2br w:val="nil"/>
              <w:tr2bl w:val="nil"/>
            </w:tcBorders>
            <w:shd w:val="clear" w:color="auto" w:fill="auto"/>
            <w:noWrap w:val="0"/>
            <w:vAlign w:val="center"/>
          </w:tcPr>
          <w:p w14:paraId="75AB0277">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提醒功能：设备干燥结束后，触摸屏显示干燥完成，并有蜂鸣音提示，洁区门上指示灯提示。</w:t>
            </w:r>
          </w:p>
        </w:tc>
      </w:tr>
      <w:tr w14:paraId="5AC50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0F77BD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10</w:t>
            </w:r>
          </w:p>
        </w:tc>
        <w:tc>
          <w:tcPr>
            <w:tcW w:w="4348" w:type="pct"/>
            <w:tcBorders>
              <w:tl2br w:val="nil"/>
              <w:tr2bl w:val="nil"/>
            </w:tcBorders>
            <w:shd w:val="clear" w:color="auto" w:fill="auto"/>
            <w:noWrap w:val="0"/>
            <w:vAlign w:val="center"/>
          </w:tcPr>
          <w:p w14:paraId="4D875FF4">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温度稳定性要求:达到最高温度设定值后，3分钟内回到设定值≤士1避免温差造成器械老化，90℃恒温 24h,温度稳定度2℃内。</w:t>
            </w:r>
          </w:p>
        </w:tc>
      </w:tr>
      <w:tr w14:paraId="4D9EA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5CC5F6E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11</w:t>
            </w:r>
          </w:p>
        </w:tc>
        <w:tc>
          <w:tcPr>
            <w:tcW w:w="4348" w:type="pct"/>
            <w:tcBorders>
              <w:tl2br w:val="nil"/>
              <w:tr2bl w:val="nil"/>
            </w:tcBorders>
            <w:shd w:val="clear" w:color="auto" w:fill="auto"/>
            <w:noWrap w:val="0"/>
            <w:vAlign w:val="center"/>
          </w:tcPr>
          <w:p w14:paraId="4C6F27D3">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开门方式;对开门，方便洁污分区。设备洁区面也具备设备开关操作键，且干燥完成后，洁区有报警或指示灯提示。（提供实物照片证明）。</w:t>
            </w:r>
          </w:p>
        </w:tc>
      </w:tr>
      <w:tr w14:paraId="10979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center"/>
          </w:tcPr>
          <w:p w14:paraId="32ED862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12</w:t>
            </w:r>
          </w:p>
        </w:tc>
        <w:tc>
          <w:tcPr>
            <w:tcW w:w="4348" w:type="pct"/>
            <w:tcBorders>
              <w:tl2br w:val="nil"/>
              <w:tr2bl w:val="nil"/>
            </w:tcBorders>
            <w:shd w:val="clear" w:color="auto" w:fill="auto"/>
            <w:noWrap w:val="0"/>
            <w:vAlign w:val="center"/>
          </w:tcPr>
          <w:p w14:paraId="24C9CFFF">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具有换新风功能，进新风的同时设有空气过滤器，避免器械器具被二次污染，并且空气过滤器便于更换。</w:t>
            </w:r>
          </w:p>
        </w:tc>
      </w:tr>
      <w:tr w14:paraId="01684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513C680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13</w:t>
            </w:r>
          </w:p>
        </w:tc>
        <w:tc>
          <w:tcPr>
            <w:tcW w:w="4348" w:type="pct"/>
            <w:tcBorders>
              <w:tl2br w:val="nil"/>
              <w:tr2bl w:val="nil"/>
            </w:tcBorders>
            <w:shd w:val="clear" w:color="auto" w:fill="auto"/>
            <w:noWrap w:val="0"/>
            <w:vAlign w:val="center"/>
          </w:tcPr>
          <w:p w14:paraId="31880B75">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安全装置：具有温度过升报警、漏电保护器等安全装置、具备门把手安全互锁功能。</w:t>
            </w:r>
          </w:p>
        </w:tc>
      </w:tr>
      <w:tr w14:paraId="06907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33B0398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14</w:t>
            </w:r>
          </w:p>
        </w:tc>
        <w:tc>
          <w:tcPr>
            <w:tcW w:w="4348" w:type="pct"/>
            <w:tcBorders>
              <w:tl2br w:val="nil"/>
              <w:tr2bl w:val="nil"/>
            </w:tcBorders>
            <w:shd w:val="clear" w:color="auto" w:fill="auto"/>
            <w:noWrap w:val="0"/>
            <w:vAlign w:val="center"/>
          </w:tcPr>
          <w:p w14:paraId="52312DAC">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整机功率：≤6KW，吹风速率≥12M/s（</w:t>
            </w:r>
            <w:r>
              <w:rPr>
                <w:rFonts w:hint="eastAsia" w:ascii="仿宋" w:hAnsi="仿宋" w:eastAsia="仿宋" w:cs="仿宋"/>
                <w:color w:val="auto"/>
                <w:sz w:val="24"/>
                <w:highlight w:val="none"/>
              </w:rPr>
              <w:t>需提供技术证明文件</w:t>
            </w:r>
            <w:r>
              <w:rPr>
                <w:rFonts w:hint="eastAsia" w:ascii="仿宋" w:hAnsi="仿宋" w:eastAsia="仿宋" w:cs="仿宋"/>
                <w:color w:val="auto"/>
                <w:sz w:val="24"/>
                <w:highlight w:val="none"/>
                <w:lang w:val="en-US" w:eastAsia="zh-CN"/>
              </w:rPr>
              <w:t>）。</w:t>
            </w:r>
          </w:p>
        </w:tc>
      </w:tr>
      <w:tr w14:paraId="66DBB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center"/>
          </w:tcPr>
          <w:p w14:paraId="7EC0EF2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348" w:type="pct"/>
            <w:tcBorders>
              <w:tl2br w:val="nil"/>
              <w:tr2bl w:val="nil"/>
            </w:tcBorders>
            <w:shd w:val="clear" w:color="auto" w:fill="auto"/>
            <w:noWrap w:val="0"/>
            <w:vAlign w:val="center"/>
          </w:tcPr>
          <w:p w14:paraId="283888E1">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配置清单</w:t>
            </w:r>
          </w:p>
        </w:tc>
      </w:tr>
      <w:tr w14:paraId="0F539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top"/>
          </w:tcPr>
          <w:p w14:paraId="5EDE605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4348" w:type="pct"/>
            <w:tcBorders>
              <w:tl2br w:val="nil"/>
              <w:tr2bl w:val="nil"/>
            </w:tcBorders>
            <w:shd w:val="clear" w:color="auto" w:fill="auto"/>
            <w:noWrap w:val="0"/>
            <w:vAlign w:val="center"/>
          </w:tcPr>
          <w:p w14:paraId="095F2ADD">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风干柜</w:t>
            </w:r>
          </w:p>
        </w:tc>
      </w:tr>
      <w:tr w14:paraId="085F6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top"/>
          </w:tcPr>
          <w:p w14:paraId="346400B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3.1.1</w:t>
            </w:r>
          </w:p>
        </w:tc>
        <w:tc>
          <w:tcPr>
            <w:tcW w:w="4348" w:type="pct"/>
            <w:tcBorders>
              <w:tl2br w:val="nil"/>
              <w:tr2bl w:val="nil"/>
            </w:tcBorders>
            <w:shd w:val="clear" w:color="auto" w:fill="auto"/>
            <w:noWrap w:val="0"/>
            <w:vAlign w:val="center"/>
          </w:tcPr>
          <w:p w14:paraId="11C82A20">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主机1台（样品架≥6层）</w:t>
            </w:r>
          </w:p>
        </w:tc>
      </w:tr>
      <w:tr w14:paraId="0C71E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shd w:val="clear" w:color="auto" w:fill="auto"/>
            <w:noWrap w:val="0"/>
            <w:vAlign w:val="top"/>
          </w:tcPr>
          <w:p w14:paraId="01D59C6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p>
        </w:tc>
        <w:tc>
          <w:tcPr>
            <w:tcW w:w="4348" w:type="pct"/>
            <w:tcBorders>
              <w:tl2br w:val="nil"/>
              <w:tr2bl w:val="nil"/>
            </w:tcBorders>
            <w:shd w:val="clear" w:color="auto" w:fill="auto"/>
            <w:noWrap w:val="0"/>
            <w:vAlign w:val="center"/>
          </w:tcPr>
          <w:p w14:paraId="2C115826">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w:t>
            </w:r>
          </w:p>
        </w:tc>
      </w:tr>
      <w:tr w14:paraId="07A1F6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shd w:val="clear" w:color="auto" w:fill="auto"/>
            <w:noWrap w:val="0"/>
            <w:vAlign w:val="top"/>
          </w:tcPr>
          <w:p w14:paraId="0C5952A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3.2.1</w:t>
            </w:r>
          </w:p>
        </w:tc>
        <w:tc>
          <w:tcPr>
            <w:tcW w:w="4348" w:type="pct"/>
            <w:tcBorders>
              <w:tl2br w:val="nil"/>
              <w:tr2bl w:val="nil"/>
            </w:tcBorders>
            <w:shd w:val="clear" w:color="auto" w:fill="auto"/>
            <w:noWrap w:val="0"/>
            <w:vAlign w:val="center"/>
          </w:tcPr>
          <w:p w14:paraId="5885B487">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接水盘1个</w:t>
            </w:r>
          </w:p>
        </w:tc>
      </w:tr>
      <w:tr w14:paraId="27BCC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51" w:type="pct"/>
            <w:tcBorders>
              <w:tl2br w:val="nil"/>
              <w:tr2bl w:val="nil"/>
            </w:tcBorders>
            <w:shd w:val="clear" w:color="auto" w:fill="auto"/>
            <w:noWrap w:val="0"/>
            <w:vAlign w:val="top"/>
          </w:tcPr>
          <w:p w14:paraId="03FDA68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3.2.2</w:t>
            </w:r>
          </w:p>
        </w:tc>
        <w:tc>
          <w:tcPr>
            <w:tcW w:w="4348" w:type="pct"/>
            <w:tcBorders>
              <w:tl2br w:val="nil"/>
              <w:tr2bl w:val="nil"/>
            </w:tcBorders>
            <w:shd w:val="clear" w:color="auto" w:fill="auto"/>
            <w:noWrap w:val="0"/>
            <w:vAlign w:val="center"/>
          </w:tcPr>
          <w:p w14:paraId="7C6B9243">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麻醉和呼吸导管挂钩架3对</w:t>
            </w:r>
          </w:p>
        </w:tc>
      </w:tr>
    </w:tbl>
    <w:p w14:paraId="303BD3A0">
      <w:pPr>
        <w:pStyle w:val="3"/>
        <w:numPr>
          <w:ilvl w:val="0"/>
          <w:numId w:val="0"/>
        </w:numPr>
        <w:ind w:leftChars="0"/>
        <w:rPr>
          <w:rFonts w:hint="eastAsia" w:ascii="仿宋" w:hAnsi="仿宋" w:eastAsia="仿宋" w:cs="仿宋"/>
          <w:b/>
          <w:bCs/>
          <w:color w:val="auto"/>
          <w:highlight w:val="none"/>
          <w:lang w:val="en-US" w:eastAsia="zh-CN"/>
        </w:rPr>
      </w:pPr>
    </w:p>
    <w:p w14:paraId="36300734">
      <w:pPr>
        <w:pStyle w:val="3"/>
        <w:numPr>
          <w:ilvl w:val="0"/>
          <w:numId w:val="0"/>
        </w:numPr>
        <w:shd w:val="clear"/>
        <w:spacing w:line="360" w:lineRule="auto"/>
        <w:ind w:left="854" w:firstLine="2570" w:firstLineChars="800"/>
        <w:jc w:val="both"/>
        <w:rPr>
          <w:rFonts w:hint="eastAsia" w:ascii="仿宋" w:hAnsi="仿宋" w:eastAsia="仿宋" w:cs="仿宋"/>
          <w:b/>
          <w:bCs/>
          <w:color w:val="auto"/>
          <w:sz w:val="32"/>
          <w:szCs w:val="32"/>
          <w:highlight w:val="none"/>
          <w:lang w:val="en-US"/>
        </w:rPr>
      </w:pPr>
      <w:r>
        <w:rPr>
          <w:rFonts w:hint="eastAsia" w:asci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三</w:t>
      </w:r>
      <w:r>
        <w:rPr>
          <w:rFonts w:hint="eastAsia" w:asci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rPr>
        <w:t>商务要求</w:t>
      </w:r>
    </w:p>
    <w:p w14:paraId="6DF3177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13677EC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p>
    <w:p w14:paraId="6A5E59B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2CD259B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2C921CC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3FBDB09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466B532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2627199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0EA58A7F">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1823E5B4">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2D4C3B0B">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443D3C7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47E4FD0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141A590A">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6A092ADF">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1B54B94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6B20763B">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38CC3468">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4.2</w:t>
      </w:r>
      <w:r>
        <w:rPr>
          <w:rFonts w:hint="eastAsia" w:ascii="仿宋" w:hAnsi="仿宋" w:eastAsia="仿宋" w:cs="仿宋"/>
          <w:bCs/>
          <w:color w:val="auto"/>
          <w:sz w:val="24"/>
          <w:highlight w:val="none"/>
        </w:rPr>
        <w:t>代理证明（或制造商出具的授权书）。（适用于进口设备）</w:t>
      </w:r>
    </w:p>
    <w:p w14:paraId="63C1F815">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7FE470F5">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0465842B">
      <w:pPr>
        <w:pStyle w:val="31"/>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018E586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466F972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6E0D792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66738DE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40471AD3">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5614AE76">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6D821FBC">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4497706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25037385">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7278759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0B23A66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4A28716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5032F5E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7047473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74FFE04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0CDFE8D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517728C7">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389BC4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290AED8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68853EE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发货通知后60天内交货完毕</w:t>
      </w:r>
      <w:r>
        <w:rPr>
          <w:rFonts w:hint="eastAsia" w:ascii="仿宋" w:hAnsi="仿宋" w:eastAsia="仿宋" w:cs="仿宋"/>
          <w:bCs/>
          <w:color w:val="auto"/>
          <w:sz w:val="24"/>
          <w:highlight w:val="none"/>
          <w:lang w:eastAsia="zh-CN"/>
        </w:rPr>
        <w:t>。</w:t>
      </w:r>
    </w:p>
    <w:p w14:paraId="43DAE73E">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2BD95FE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7503907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00C41E5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55FF59BF">
      <w:pPr>
        <w:numPr>
          <w:ilvl w:val="0"/>
          <w:numId w:val="10"/>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6A87A631">
      <w:pPr>
        <w:numPr>
          <w:ilvl w:val="0"/>
          <w:numId w:val="10"/>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1185758">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6CD36EB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23CA9C49">
      <w:pPr>
        <w:pStyle w:val="60"/>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2C9002EF">
      <w:pPr>
        <w:snapToGrid w:val="0"/>
        <w:spacing w:line="360" w:lineRule="auto"/>
        <w:rPr>
          <w:rFonts w:hint="eastAsia" w:ascii="仿宋" w:hAnsi="仿宋" w:eastAsia="仿宋" w:cs="仿宋"/>
          <w:b/>
          <w:sz w:val="32"/>
          <w:highlight w:val="none"/>
        </w:rPr>
      </w:pPr>
      <w:r>
        <w:rPr>
          <w:rFonts w:hint="eastAsia" w:ascii="仿宋" w:hAnsi="仿宋" w:eastAsia="仿宋" w:cs="仿宋"/>
          <w:highlight w:val="none"/>
        </w:rPr>
        <w:br w:type="page"/>
      </w:r>
    </w:p>
    <w:p w14:paraId="5A71C52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08054"/>
      <w:bookmarkEnd w:id="41"/>
      <w:bookmarkStart w:id="42" w:name="_Toc184314431"/>
      <w:bookmarkEnd w:id="42"/>
      <w:bookmarkStart w:id="43" w:name="_Toc184312102"/>
      <w:bookmarkEnd w:id="43"/>
      <w:bookmarkStart w:id="44" w:name="_Toc184312076"/>
      <w:bookmarkEnd w:id="44"/>
      <w:bookmarkStart w:id="45" w:name="_Toc184313300"/>
      <w:bookmarkEnd w:id="45"/>
      <w:bookmarkStart w:id="46" w:name="_Toc184314414"/>
      <w:bookmarkEnd w:id="46"/>
      <w:bookmarkStart w:id="47" w:name="_Toc184310321"/>
      <w:bookmarkEnd w:id="47"/>
      <w:bookmarkStart w:id="48" w:name="_Toc184308078"/>
      <w:bookmarkEnd w:id="48"/>
      <w:bookmarkStart w:id="49" w:name="_Toc184310286"/>
      <w:bookmarkEnd w:id="49"/>
      <w:bookmarkStart w:id="50" w:name="_Toc184313276"/>
      <w:bookmarkEnd w:id="50"/>
      <w:bookmarkStart w:id="51" w:name="_Toc184312069"/>
      <w:bookmarkEnd w:id="51"/>
      <w:bookmarkStart w:id="52" w:name="_Toc184310308"/>
      <w:bookmarkEnd w:id="52"/>
      <w:bookmarkStart w:id="53" w:name="_Toc184313306"/>
      <w:bookmarkEnd w:id="53"/>
      <w:bookmarkStart w:id="54" w:name="_Toc184308097"/>
      <w:bookmarkEnd w:id="54"/>
      <w:bookmarkStart w:id="55" w:name="_Toc184308060"/>
      <w:bookmarkEnd w:id="55"/>
      <w:bookmarkStart w:id="56" w:name="_Toc184313275"/>
      <w:bookmarkEnd w:id="56"/>
      <w:bookmarkStart w:id="57" w:name="_Toc184310284"/>
      <w:bookmarkEnd w:id="57"/>
      <w:bookmarkStart w:id="58" w:name="_Toc184310335"/>
      <w:bookmarkEnd w:id="58"/>
      <w:bookmarkStart w:id="59" w:name="_Toc184314452"/>
      <w:bookmarkEnd w:id="59"/>
      <w:bookmarkStart w:id="60" w:name="_Toc184313286"/>
      <w:bookmarkEnd w:id="60"/>
      <w:bookmarkStart w:id="61" w:name="_Toc184308087"/>
      <w:bookmarkEnd w:id="61"/>
      <w:bookmarkStart w:id="62" w:name="_Toc184314458"/>
      <w:bookmarkEnd w:id="62"/>
      <w:bookmarkStart w:id="63" w:name="_Toc184310297"/>
      <w:bookmarkEnd w:id="63"/>
      <w:bookmarkStart w:id="64" w:name="_Toc184313246"/>
      <w:bookmarkEnd w:id="64"/>
      <w:bookmarkStart w:id="65" w:name="_Toc184308066"/>
      <w:bookmarkEnd w:id="65"/>
      <w:bookmarkStart w:id="66" w:name="_Toc184308070"/>
      <w:bookmarkEnd w:id="66"/>
      <w:bookmarkStart w:id="67" w:name="_Toc184310272"/>
      <w:bookmarkEnd w:id="67"/>
      <w:bookmarkStart w:id="68" w:name="_Toc184314465"/>
      <w:bookmarkEnd w:id="68"/>
      <w:bookmarkStart w:id="69" w:name="_Toc184312114"/>
      <w:bookmarkEnd w:id="69"/>
      <w:bookmarkStart w:id="70" w:name="_Toc184313308"/>
      <w:bookmarkEnd w:id="70"/>
      <w:bookmarkStart w:id="71" w:name="_Toc184313274"/>
      <w:bookmarkEnd w:id="71"/>
      <w:bookmarkStart w:id="72" w:name="_Toc184312083"/>
      <w:bookmarkEnd w:id="72"/>
      <w:bookmarkStart w:id="73" w:name="_Toc184314482"/>
      <w:bookmarkEnd w:id="73"/>
      <w:bookmarkStart w:id="74" w:name="_Toc184312130"/>
      <w:bookmarkEnd w:id="74"/>
      <w:bookmarkStart w:id="75" w:name="_Toc184308046"/>
      <w:bookmarkEnd w:id="75"/>
      <w:bookmarkStart w:id="76" w:name="_Toc184312108"/>
      <w:bookmarkEnd w:id="76"/>
      <w:bookmarkStart w:id="77" w:name="_Toc184312092"/>
      <w:bookmarkEnd w:id="77"/>
      <w:bookmarkStart w:id="78" w:name="_Toc184310339"/>
      <w:bookmarkEnd w:id="78"/>
      <w:bookmarkStart w:id="79" w:name="_Toc184310342"/>
      <w:bookmarkEnd w:id="79"/>
      <w:bookmarkStart w:id="80" w:name="_Toc184313297"/>
      <w:bookmarkEnd w:id="80"/>
      <w:bookmarkStart w:id="81" w:name="_Toc184312091"/>
      <w:bookmarkEnd w:id="81"/>
      <w:bookmarkStart w:id="82" w:name="_Toc184314445"/>
      <w:bookmarkEnd w:id="82"/>
      <w:bookmarkStart w:id="83" w:name="_Toc184308076"/>
      <w:bookmarkEnd w:id="83"/>
      <w:bookmarkStart w:id="84" w:name="_Toc184314477"/>
      <w:bookmarkEnd w:id="84"/>
      <w:bookmarkStart w:id="85" w:name="_Toc184314421"/>
      <w:bookmarkEnd w:id="85"/>
      <w:bookmarkStart w:id="86" w:name="_Toc184310333"/>
      <w:bookmarkEnd w:id="86"/>
      <w:bookmarkStart w:id="87" w:name="_Toc184313302"/>
      <w:bookmarkEnd w:id="87"/>
      <w:bookmarkStart w:id="88" w:name="_Toc184310306"/>
      <w:bookmarkEnd w:id="88"/>
      <w:bookmarkStart w:id="89" w:name="_Toc184310273"/>
      <w:bookmarkEnd w:id="89"/>
      <w:bookmarkStart w:id="90" w:name="_Toc184308048"/>
      <w:bookmarkEnd w:id="90"/>
      <w:bookmarkStart w:id="91" w:name="_Toc184313277"/>
      <w:bookmarkEnd w:id="91"/>
      <w:bookmarkStart w:id="92" w:name="_Toc184308082"/>
      <w:bookmarkEnd w:id="92"/>
      <w:bookmarkStart w:id="93" w:name="_Toc184314411"/>
      <w:bookmarkEnd w:id="93"/>
      <w:bookmarkStart w:id="94" w:name="_Toc184312095"/>
      <w:bookmarkEnd w:id="94"/>
      <w:bookmarkStart w:id="95" w:name="_Toc184312121"/>
      <w:bookmarkEnd w:id="95"/>
      <w:bookmarkStart w:id="96" w:name="_Toc184310325"/>
      <w:bookmarkEnd w:id="96"/>
      <w:bookmarkStart w:id="97" w:name="_Toc184313299"/>
      <w:bookmarkEnd w:id="97"/>
      <w:bookmarkStart w:id="98" w:name="_Toc184314475"/>
      <w:bookmarkEnd w:id="98"/>
      <w:bookmarkStart w:id="99" w:name="_Toc184313252"/>
      <w:bookmarkEnd w:id="99"/>
      <w:bookmarkStart w:id="100" w:name="_Toc184308105"/>
      <w:bookmarkEnd w:id="100"/>
      <w:bookmarkStart w:id="101" w:name="_Toc184308092"/>
      <w:bookmarkEnd w:id="101"/>
      <w:bookmarkStart w:id="102" w:name="_Toc184308041"/>
      <w:bookmarkEnd w:id="102"/>
      <w:bookmarkStart w:id="103" w:name="_Toc184313255"/>
      <w:bookmarkEnd w:id="103"/>
      <w:bookmarkStart w:id="104" w:name="_Toc184312132"/>
      <w:bookmarkEnd w:id="104"/>
      <w:bookmarkStart w:id="105" w:name="_Toc184314467"/>
      <w:bookmarkEnd w:id="105"/>
      <w:bookmarkStart w:id="106" w:name="_Toc184313292"/>
      <w:bookmarkEnd w:id="106"/>
      <w:bookmarkStart w:id="107" w:name="_Toc184313301"/>
      <w:bookmarkEnd w:id="107"/>
      <w:bookmarkStart w:id="108" w:name="_Toc184312134"/>
      <w:bookmarkEnd w:id="108"/>
      <w:bookmarkStart w:id="109" w:name="_Toc184308104"/>
      <w:bookmarkEnd w:id="109"/>
      <w:bookmarkStart w:id="110" w:name="_Toc184310323"/>
      <w:bookmarkEnd w:id="110"/>
      <w:bookmarkStart w:id="111" w:name="_Toc184310312"/>
      <w:bookmarkEnd w:id="111"/>
      <w:bookmarkStart w:id="112" w:name="_Toc184313282"/>
      <w:bookmarkEnd w:id="112"/>
      <w:bookmarkStart w:id="113" w:name="_Toc184313244"/>
      <w:bookmarkEnd w:id="113"/>
      <w:bookmarkStart w:id="114" w:name="_Toc184312104"/>
      <w:bookmarkEnd w:id="114"/>
      <w:bookmarkStart w:id="115" w:name="_Toc184308074"/>
      <w:bookmarkEnd w:id="115"/>
      <w:bookmarkStart w:id="116" w:name="_Toc184313271"/>
      <w:bookmarkEnd w:id="116"/>
      <w:bookmarkStart w:id="117" w:name="_Toc184308088"/>
      <w:bookmarkEnd w:id="117"/>
      <w:bookmarkStart w:id="118" w:name="_Toc184308065"/>
      <w:bookmarkEnd w:id="118"/>
      <w:bookmarkStart w:id="119" w:name="_Toc184314424"/>
      <w:bookmarkEnd w:id="119"/>
      <w:bookmarkStart w:id="120" w:name="_Toc184313290"/>
      <w:bookmarkEnd w:id="120"/>
      <w:bookmarkStart w:id="121" w:name="_Toc184313240"/>
      <w:bookmarkEnd w:id="121"/>
      <w:bookmarkStart w:id="122" w:name="_Toc184314448"/>
      <w:bookmarkEnd w:id="122"/>
      <w:bookmarkStart w:id="123" w:name="_Toc184314433"/>
      <w:bookmarkEnd w:id="123"/>
      <w:bookmarkStart w:id="124" w:name="_Toc184313268"/>
      <w:bookmarkEnd w:id="124"/>
      <w:bookmarkStart w:id="125" w:name="_Toc184312090"/>
      <w:bookmarkEnd w:id="125"/>
      <w:bookmarkStart w:id="126" w:name="_Toc184312088"/>
      <w:bookmarkEnd w:id="126"/>
      <w:bookmarkStart w:id="127" w:name="_Toc184308036"/>
      <w:bookmarkEnd w:id="127"/>
      <w:bookmarkStart w:id="128" w:name="_Toc184310338"/>
      <w:bookmarkEnd w:id="128"/>
      <w:bookmarkStart w:id="129" w:name="_Toc184313245"/>
      <w:bookmarkEnd w:id="129"/>
      <w:bookmarkStart w:id="130" w:name="_Toc184312074"/>
      <w:bookmarkEnd w:id="130"/>
      <w:bookmarkStart w:id="131" w:name="_Toc184310316"/>
      <w:bookmarkEnd w:id="131"/>
      <w:bookmarkStart w:id="132" w:name="_Toc184308103"/>
      <w:bookmarkEnd w:id="132"/>
      <w:bookmarkStart w:id="133" w:name="_Toc184308075"/>
      <w:bookmarkEnd w:id="133"/>
      <w:bookmarkStart w:id="134" w:name="_Toc184312117"/>
      <w:bookmarkEnd w:id="134"/>
      <w:bookmarkStart w:id="135" w:name="_Toc184313278"/>
      <w:bookmarkEnd w:id="135"/>
      <w:bookmarkStart w:id="136" w:name="_Toc184310326"/>
      <w:bookmarkEnd w:id="136"/>
      <w:bookmarkStart w:id="137" w:name="_Toc184312116"/>
      <w:bookmarkEnd w:id="137"/>
      <w:bookmarkStart w:id="138" w:name="_Toc184314449"/>
      <w:bookmarkEnd w:id="138"/>
      <w:bookmarkStart w:id="139" w:name="_Toc184314430"/>
      <w:bookmarkEnd w:id="139"/>
      <w:bookmarkStart w:id="140" w:name="_Toc184312089"/>
      <w:bookmarkEnd w:id="140"/>
      <w:bookmarkStart w:id="141" w:name="_Toc184310330"/>
      <w:bookmarkEnd w:id="141"/>
      <w:bookmarkStart w:id="142" w:name="_Toc184314435"/>
      <w:bookmarkEnd w:id="142"/>
      <w:bookmarkStart w:id="143" w:name="_Toc184313249"/>
      <w:bookmarkEnd w:id="143"/>
      <w:bookmarkStart w:id="144" w:name="_Toc184314455"/>
      <w:bookmarkEnd w:id="144"/>
      <w:bookmarkStart w:id="145" w:name="_Toc184310299"/>
      <w:bookmarkEnd w:id="145"/>
      <w:bookmarkStart w:id="146" w:name="_Toc184313253"/>
      <w:bookmarkEnd w:id="146"/>
      <w:bookmarkStart w:id="147" w:name="_Toc184308083"/>
      <w:bookmarkEnd w:id="147"/>
      <w:bookmarkStart w:id="148" w:name="_Toc184312071"/>
      <w:bookmarkEnd w:id="148"/>
      <w:bookmarkStart w:id="149" w:name="_Toc184313251"/>
      <w:bookmarkEnd w:id="149"/>
      <w:bookmarkStart w:id="150" w:name="_Toc184310278"/>
      <w:bookmarkEnd w:id="150"/>
      <w:bookmarkStart w:id="151" w:name="_Toc184310274"/>
      <w:bookmarkEnd w:id="151"/>
      <w:bookmarkStart w:id="152" w:name="_Toc184312110"/>
      <w:bookmarkEnd w:id="152"/>
      <w:bookmarkStart w:id="153" w:name="_Toc184310336"/>
      <w:bookmarkEnd w:id="153"/>
      <w:bookmarkStart w:id="154" w:name="_Toc184308039"/>
      <w:bookmarkEnd w:id="154"/>
      <w:bookmarkStart w:id="155" w:name="_Toc184308040"/>
      <w:bookmarkEnd w:id="155"/>
      <w:bookmarkStart w:id="156" w:name="_Toc184314446"/>
      <w:bookmarkEnd w:id="156"/>
      <w:bookmarkStart w:id="157" w:name="_Toc184310304"/>
      <w:bookmarkEnd w:id="157"/>
      <w:bookmarkStart w:id="158" w:name="_Toc184313261"/>
      <w:bookmarkEnd w:id="158"/>
      <w:bookmarkStart w:id="159" w:name="_Toc184308099"/>
      <w:bookmarkEnd w:id="159"/>
      <w:bookmarkStart w:id="160" w:name="_Toc184313303"/>
      <w:bookmarkEnd w:id="160"/>
      <w:bookmarkStart w:id="161" w:name="_Toc184308047"/>
      <w:bookmarkEnd w:id="161"/>
      <w:bookmarkStart w:id="162" w:name="_Toc184314432"/>
      <w:bookmarkEnd w:id="162"/>
      <w:bookmarkStart w:id="163" w:name="_Toc184310324"/>
      <w:bookmarkEnd w:id="163"/>
      <w:bookmarkStart w:id="164" w:name="_Toc184313264"/>
      <w:bookmarkEnd w:id="164"/>
      <w:bookmarkStart w:id="165" w:name="_Toc184314426"/>
      <w:bookmarkEnd w:id="165"/>
      <w:bookmarkStart w:id="166" w:name="_Toc184310283"/>
      <w:bookmarkEnd w:id="166"/>
      <w:bookmarkStart w:id="167" w:name="_Toc184314427"/>
      <w:bookmarkEnd w:id="167"/>
      <w:bookmarkStart w:id="168" w:name="_Toc184313247"/>
      <w:bookmarkEnd w:id="168"/>
      <w:bookmarkStart w:id="169" w:name="_Toc184310295"/>
      <w:bookmarkEnd w:id="169"/>
      <w:bookmarkStart w:id="170" w:name="_Toc184312128"/>
      <w:bookmarkEnd w:id="170"/>
      <w:bookmarkStart w:id="171" w:name="_Toc184310320"/>
      <w:bookmarkEnd w:id="171"/>
      <w:bookmarkStart w:id="172" w:name="_Toc184313269"/>
      <w:bookmarkEnd w:id="172"/>
      <w:bookmarkStart w:id="173" w:name="_Toc184313258"/>
      <w:bookmarkEnd w:id="173"/>
      <w:bookmarkStart w:id="174" w:name="_Toc184313298"/>
      <w:bookmarkEnd w:id="174"/>
      <w:bookmarkStart w:id="175" w:name="_Toc184308093"/>
      <w:bookmarkEnd w:id="175"/>
      <w:bookmarkStart w:id="176" w:name="_Toc184308073"/>
      <w:bookmarkEnd w:id="176"/>
      <w:bookmarkStart w:id="177" w:name="_Toc184313263"/>
      <w:bookmarkEnd w:id="177"/>
      <w:bookmarkStart w:id="178" w:name="_Toc184313281"/>
      <w:bookmarkEnd w:id="178"/>
      <w:bookmarkStart w:id="179" w:name="_Toc184308069"/>
      <w:bookmarkEnd w:id="179"/>
      <w:bookmarkStart w:id="180" w:name="_Toc184313294"/>
      <w:bookmarkEnd w:id="180"/>
      <w:bookmarkStart w:id="181" w:name="_Toc184312111"/>
      <w:bookmarkEnd w:id="181"/>
      <w:bookmarkStart w:id="182" w:name="_Toc184310301"/>
      <w:bookmarkEnd w:id="182"/>
      <w:bookmarkStart w:id="183" w:name="_Toc184313309"/>
      <w:bookmarkEnd w:id="183"/>
      <w:bookmarkStart w:id="184" w:name="_Toc184308090"/>
      <w:bookmarkEnd w:id="184"/>
      <w:bookmarkStart w:id="185" w:name="_Toc184314415"/>
      <w:bookmarkEnd w:id="185"/>
      <w:bookmarkStart w:id="186" w:name="_Toc184313242"/>
      <w:bookmarkEnd w:id="186"/>
      <w:bookmarkStart w:id="187" w:name="_Toc184308063"/>
      <w:bookmarkEnd w:id="187"/>
      <w:bookmarkStart w:id="188" w:name="_Toc184308100"/>
      <w:bookmarkEnd w:id="188"/>
      <w:bookmarkStart w:id="189" w:name="_Toc184312106"/>
      <w:bookmarkEnd w:id="189"/>
      <w:bookmarkStart w:id="190" w:name="_Toc184312073"/>
      <w:bookmarkEnd w:id="190"/>
      <w:bookmarkStart w:id="191" w:name="_Toc184313305"/>
      <w:bookmarkEnd w:id="191"/>
      <w:bookmarkStart w:id="192" w:name="_Toc184314456"/>
      <w:bookmarkEnd w:id="192"/>
      <w:bookmarkStart w:id="193" w:name="_Toc184313265"/>
      <w:bookmarkEnd w:id="193"/>
      <w:bookmarkStart w:id="194" w:name="_Toc184308052"/>
      <w:bookmarkEnd w:id="194"/>
      <w:bookmarkStart w:id="195" w:name="_Toc184314413"/>
      <w:bookmarkEnd w:id="195"/>
      <w:bookmarkStart w:id="196" w:name="_Toc184313257"/>
      <w:bookmarkEnd w:id="196"/>
      <w:bookmarkStart w:id="197" w:name="_Toc184314412"/>
      <w:bookmarkEnd w:id="197"/>
      <w:bookmarkStart w:id="198" w:name="_Toc184308077"/>
      <w:bookmarkEnd w:id="198"/>
      <w:bookmarkStart w:id="199" w:name="_Toc184310314"/>
      <w:bookmarkEnd w:id="199"/>
      <w:bookmarkStart w:id="200" w:name="_Toc184314461"/>
      <w:bookmarkEnd w:id="200"/>
      <w:bookmarkStart w:id="201" w:name="_Toc184312094"/>
      <w:bookmarkEnd w:id="201"/>
      <w:bookmarkStart w:id="202" w:name="_Toc184313283"/>
      <w:bookmarkEnd w:id="202"/>
      <w:bookmarkStart w:id="203" w:name="_Toc184313260"/>
      <w:bookmarkEnd w:id="203"/>
      <w:bookmarkStart w:id="204" w:name="_Toc184310328"/>
      <w:bookmarkEnd w:id="204"/>
      <w:bookmarkStart w:id="205" w:name="_Toc184314438"/>
      <w:bookmarkEnd w:id="205"/>
      <w:bookmarkStart w:id="206" w:name="_Toc184312131"/>
      <w:bookmarkEnd w:id="206"/>
      <w:bookmarkStart w:id="207" w:name="_Toc184310344"/>
      <w:bookmarkEnd w:id="207"/>
      <w:bookmarkStart w:id="208" w:name="_Toc184313293"/>
      <w:bookmarkEnd w:id="208"/>
      <w:bookmarkStart w:id="209" w:name="_Toc184310288"/>
      <w:bookmarkEnd w:id="209"/>
      <w:bookmarkStart w:id="210" w:name="_Toc184314481"/>
      <w:bookmarkEnd w:id="210"/>
      <w:bookmarkStart w:id="211" w:name="_Toc184310293"/>
      <w:bookmarkEnd w:id="211"/>
      <w:bookmarkStart w:id="212" w:name="_Toc184312122"/>
      <w:bookmarkEnd w:id="212"/>
      <w:bookmarkStart w:id="213" w:name="_Toc184314451"/>
      <w:bookmarkEnd w:id="213"/>
      <w:bookmarkStart w:id="214" w:name="_Toc184312081"/>
      <w:bookmarkEnd w:id="214"/>
      <w:bookmarkStart w:id="215" w:name="_Toc184313259"/>
      <w:bookmarkEnd w:id="215"/>
      <w:bookmarkStart w:id="216" w:name="_Toc184310280"/>
      <w:bookmarkEnd w:id="216"/>
      <w:bookmarkStart w:id="217" w:name="_Toc184313296"/>
      <w:bookmarkEnd w:id="217"/>
      <w:bookmarkStart w:id="218" w:name="_Toc184308102"/>
      <w:bookmarkEnd w:id="218"/>
      <w:bookmarkStart w:id="219" w:name="_Toc184314464"/>
      <w:bookmarkEnd w:id="219"/>
      <w:bookmarkStart w:id="220" w:name="_Toc184314460"/>
      <w:bookmarkEnd w:id="220"/>
      <w:bookmarkStart w:id="221" w:name="_Toc184313238"/>
      <w:bookmarkEnd w:id="221"/>
      <w:bookmarkStart w:id="222" w:name="_Toc184314476"/>
      <w:bookmarkEnd w:id="222"/>
      <w:bookmarkStart w:id="223" w:name="_Toc184310343"/>
      <w:bookmarkEnd w:id="223"/>
      <w:bookmarkStart w:id="224" w:name="_Toc184313285"/>
      <w:bookmarkEnd w:id="224"/>
      <w:bookmarkStart w:id="225" w:name="_Toc184314453"/>
      <w:bookmarkEnd w:id="225"/>
      <w:bookmarkStart w:id="226" w:name="_Toc184313279"/>
      <w:bookmarkEnd w:id="226"/>
      <w:bookmarkStart w:id="227" w:name="_Toc184312070"/>
      <w:bookmarkEnd w:id="227"/>
      <w:bookmarkStart w:id="228" w:name="_Toc184312135"/>
      <w:bookmarkEnd w:id="228"/>
      <w:bookmarkStart w:id="229" w:name="_Toc184312067"/>
      <w:bookmarkEnd w:id="229"/>
      <w:bookmarkStart w:id="230" w:name="_Toc184310294"/>
      <w:bookmarkEnd w:id="230"/>
      <w:bookmarkStart w:id="231" w:name="_Toc184312077"/>
      <w:bookmarkEnd w:id="231"/>
      <w:bookmarkStart w:id="232" w:name="_Toc184314450"/>
      <w:bookmarkEnd w:id="232"/>
      <w:bookmarkStart w:id="233" w:name="_Toc184310319"/>
      <w:bookmarkEnd w:id="233"/>
      <w:bookmarkStart w:id="234" w:name="_Toc184308053"/>
      <w:bookmarkEnd w:id="234"/>
      <w:bookmarkStart w:id="235" w:name="_Toc184312123"/>
      <w:bookmarkEnd w:id="235"/>
      <w:bookmarkStart w:id="236" w:name="_Toc184308094"/>
      <w:bookmarkEnd w:id="236"/>
      <w:bookmarkStart w:id="237" w:name="_Toc184313310"/>
      <w:bookmarkEnd w:id="237"/>
      <w:bookmarkStart w:id="238" w:name="_Toc184310318"/>
      <w:bookmarkEnd w:id="238"/>
      <w:bookmarkStart w:id="239" w:name="_Toc184312136"/>
      <w:bookmarkEnd w:id="239"/>
      <w:bookmarkStart w:id="240" w:name="_Toc184312125"/>
      <w:bookmarkEnd w:id="240"/>
      <w:bookmarkStart w:id="241" w:name="_Toc184308086"/>
      <w:bookmarkEnd w:id="241"/>
      <w:bookmarkStart w:id="242" w:name="_Toc184310287"/>
      <w:bookmarkEnd w:id="242"/>
      <w:bookmarkStart w:id="243" w:name="_Toc184313307"/>
      <w:bookmarkEnd w:id="243"/>
      <w:bookmarkStart w:id="244" w:name="_Toc184314428"/>
      <w:bookmarkEnd w:id="244"/>
      <w:bookmarkStart w:id="245" w:name="_Toc184313289"/>
      <w:bookmarkEnd w:id="245"/>
      <w:bookmarkStart w:id="246" w:name="_Toc184310315"/>
      <w:bookmarkEnd w:id="246"/>
      <w:bookmarkStart w:id="247" w:name="_Toc184314417"/>
      <w:bookmarkEnd w:id="247"/>
      <w:bookmarkStart w:id="248" w:name="_Toc184308068"/>
      <w:bookmarkEnd w:id="248"/>
      <w:bookmarkStart w:id="249" w:name="_Toc184308061"/>
      <w:bookmarkEnd w:id="249"/>
      <w:bookmarkStart w:id="250" w:name="_Toc184310277"/>
      <w:bookmarkEnd w:id="250"/>
      <w:bookmarkStart w:id="251" w:name="_Toc184314447"/>
      <w:bookmarkEnd w:id="251"/>
      <w:bookmarkStart w:id="252" w:name="_Toc184314422"/>
      <w:bookmarkEnd w:id="252"/>
      <w:bookmarkStart w:id="253" w:name="_Toc184310332"/>
      <w:bookmarkEnd w:id="253"/>
      <w:bookmarkStart w:id="254" w:name="_Toc184308049"/>
      <w:bookmarkEnd w:id="254"/>
      <w:bookmarkStart w:id="255" w:name="_Toc184310334"/>
      <w:bookmarkEnd w:id="255"/>
      <w:bookmarkStart w:id="256" w:name="_Toc184312118"/>
      <w:bookmarkEnd w:id="256"/>
      <w:bookmarkStart w:id="257" w:name="_Toc184310317"/>
      <w:bookmarkEnd w:id="257"/>
      <w:bookmarkStart w:id="258" w:name="_Toc184314459"/>
      <w:bookmarkEnd w:id="258"/>
      <w:bookmarkStart w:id="259" w:name="_Toc184310309"/>
      <w:bookmarkEnd w:id="259"/>
      <w:bookmarkStart w:id="260" w:name="_Toc184314441"/>
      <w:bookmarkEnd w:id="260"/>
      <w:bookmarkStart w:id="261" w:name="_Toc184310281"/>
      <w:bookmarkEnd w:id="261"/>
      <w:bookmarkStart w:id="262" w:name="_Toc184314478"/>
      <w:bookmarkEnd w:id="262"/>
      <w:bookmarkStart w:id="263" w:name="_Toc184310340"/>
      <w:bookmarkEnd w:id="263"/>
      <w:bookmarkStart w:id="264" w:name="_Toc184308058"/>
      <w:bookmarkEnd w:id="264"/>
      <w:bookmarkStart w:id="265" w:name="_Toc184314410"/>
      <w:bookmarkEnd w:id="265"/>
      <w:bookmarkStart w:id="266" w:name="_Toc184312096"/>
      <w:bookmarkEnd w:id="266"/>
      <w:bookmarkStart w:id="267" w:name="_Toc184312119"/>
      <w:bookmarkEnd w:id="267"/>
      <w:bookmarkStart w:id="268" w:name="_Toc184310311"/>
      <w:bookmarkEnd w:id="268"/>
      <w:bookmarkStart w:id="269" w:name="_Toc184312137"/>
      <w:bookmarkEnd w:id="269"/>
      <w:bookmarkStart w:id="270" w:name="_Toc184308079"/>
      <w:bookmarkEnd w:id="270"/>
      <w:bookmarkStart w:id="271" w:name="_Toc184314457"/>
      <w:bookmarkEnd w:id="271"/>
      <w:bookmarkStart w:id="272" w:name="_Toc184310275"/>
      <w:bookmarkEnd w:id="272"/>
      <w:bookmarkStart w:id="273" w:name="_Toc184308101"/>
      <w:bookmarkEnd w:id="273"/>
      <w:bookmarkStart w:id="274" w:name="_Toc184308098"/>
      <w:bookmarkEnd w:id="274"/>
      <w:bookmarkStart w:id="275" w:name="_Toc184312127"/>
      <w:bookmarkEnd w:id="275"/>
      <w:bookmarkStart w:id="276" w:name="_Toc184312101"/>
      <w:bookmarkEnd w:id="276"/>
      <w:bookmarkStart w:id="277" w:name="_Toc184313270"/>
      <w:bookmarkEnd w:id="277"/>
      <w:bookmarkStart w:id="278" w:name="_Toc184312138"/>
      <w:bookmarkEnd w:id="278"/>
      <w:bookmarkStart w:id="279" w:name="_Toc184314470"/>
      <w:bookmarkEnd w:id="279"/>
      <w:bookmarkStart w:id="280" w:name="_Toc184313250"/>
      <w:bookmarkEnd w:id="280"/>
      <w:bookmarkStart w:id="281" w:name="_Toc184308037"/>
      <w:bookmarkEnd w:id="281"/>
      <w:bookmarkStart w:id="282" w:name="_Toc184314443"/>
      <w:bookmarkEnd w:id="282"/>
      <w:bookmarkStart w:id="283" w:name="_Toc184313272"/>
      <w:bookmarkEnd w:id="283"/>
      <w:bookmarkStart w:id="284" w:name="_Toc184310341"/>
      <w:bookmarkEnd w:id="284"/>
      <w:bookmarkStart w:id="285" w:name="_Toc184313288"/>
      <w:bookmarkEnd w:id="285"/>
      <w:bookmarkStart w:id="286" w:name="_Toc184314454"/>
      <w:bookmarkEnd w:id="286"/>
      <w:bookmarkStart w:id="287" w:name="_Toc184314434"/>
      <w:bookmarkEnd w:id="287"/>
      <w:bookmarkStart w:id="288" w:name="_Toc184310322"/>
      <w:bookmarkEnd w:id="288"/>
      <w:bookmarkStart w:id="289" w:name="_Toc184314418"/>
      <w:bookmarkEnd w:id="289"/>
      <w:bookmarkStart w:id="290" w:name="_Toc184312133"/>
      <w:bookmarkEnd w:id="290"/>
      <w:bookmarkStart w:id="291" w:name="_Toc184312097"/>
      <w:bookmarkEnd w:id="291"/>
      <w:bookmarkStart w:id="292" w:name="_Toc184314468"/>
      <w:bookmarkEnd w:id="292"/>
      <w:bookmarkStart w:id="293" w:name="_Toc184314420"/>
      <w:bookmarkEnd w:id="293"/>
      <w:bookmarkStart w:id="294" w:name="_Toc184308042"/>
      <w:bookmarkEnd w:id="294"/>
      <w:bookmarkStart w:id="295" w:name="_Toc184308084"/>
      <w:bookmarkEnd w:id="295"/>
      <w:bookmarkStart w:id="296" w:name="_Toc184312079"/>
      <w:bookmarkEnd w:id="296"/>
      <w:bookmarkStart w:id="297" w:name="_Toc184312068"/>
      <w:bookmarkEnd w:id="297"/>
      <w:bookmarkStart w:id="298" w:name="_Toc184312085"/>
      <w:bookmarkEnd w:id="298"/>
      <w:bookmarkStart w:id="299" w:name="_Toc184314419"/>
      <w:bookmarkEnd w:id="299"/>
      <w:bookmarkStart w:id="300" w:name="_Toc184310291"/>
      <w:bookmarkEnd w:id="300"/>
      <w:bookmarkStart w:id="301" w:name="_Toc184310313"/>
      <w:bookmarkEnd w:id="301"/>
      <w:bookmarkStart w:id="302" w:name="_Toc184308106"/>
      <w:bookmarkEnd w:id="302"/>
      <w:bookmarkStart w:id="303" w:name="_Toc184310292"/>
      <w:bookmarkEnd w:id="303"/>
      <w:bookmarkStart w:id="304" w:name="_Toc184314473"/>
      <w:bookmarkEnd w:id="304"/>
      <w:bookmarkStart w:id="305" w:name="_Toc184312084"/>
      <w:bookmarkEnd w:id="305"/>
      <w:bookmarkStart w:id="306" w:name="_Toc184308108"/>
      <w:bookmarkEnd w:id="306"/>
      <w:bookmarkStart w:id="307" w:name="_Toc184312139"/>
      <w:bookmarkEnd w:id="307"/>
      <w:bookmarkStart w:id="308" w:name="_Toc184314437"/>
      <w:bookmarkEnd w:id="308"/>
      <w:bookmarkStart w:id="309" w:name="_Toc184312098"/>
      <w:bookmarkEnd w:id="309"/>
      <w:bookmarkStart w:id="310" w:name="_Toc184308051"/>
      <w:bookmarkEnd w:id="310"/>
      <w:bookmarkStart w:id="311" w:name="_Toc184313254"/>
      <w:bookmarkEnd w:id="311"/>
      <w:bookmarkStart w:id="312" w:name="_Toc184310298"/>
      <w:bookmarkEnd w:id="312"/>
      <w:bookmarkStart w:id="313" w:name="_Toc184312126"/>
      <w:bookmarkEnd w:id="313"/>
      <w:bookmarkStart w:id="314" w:name="_Toc184312078"/>
      <w:bookmarkEnd w:id="314"/>
      <w:bookmarkStart w:id="315" w:name="_Toc184310282"/>
      <w:bookmarkEnd w:id="315"/>
      <w:bookmarkStart w:id="316" w:name="_Toc184308096"/>
      <w:bookmarkEnd w:id="316"/>
      <w:bookmarkStart w:id="317" w:name="_Toc184313267"/>
      <w:bookmarkEnd w:id="317"/>
      <w:bookmarkStart w:id="318" w:name="_Toc184313280"/>
      <w:bookmarkEnd w:id="318"/>
      <w:bookmarkStart w:id="319" w:name="_Toc184312107"/>
      <w:bookmarkEnd w:id="319"/>
      <w:bookmarkStart w:id="320" w:name="_Toc184312124"/>
      <w:bookmarkEnd w:id="320"/>
      <w:bookmarkStart w:id="321" w:name="_Toc184314469"/>
      <w:bookmarkEnd w:id="321"/>
      <w:bookmarkStart w:id="322" w:name="_Toc184310276"/>
      <w:bookmarkEnd w:id="322"/>
      <w:bookmarkStart w:id="323" w:name="_Toc184308055"/>
      <w:bookmarkEnd w:id="323"/>
      <w:bookmarkStart w:id="324" w:name="_Toc184310307"/>
      <w:bookmarkEnd w:id="324"/>
      <w:bookmarkStart w:id="325" w:name="_Toc184310302"/>
      <w:bookmarkEnd w:id="325"/>
      <w:bookmarkStart w:id="326" w:name="_Toc184310279"/>
      <w:bookmarkEnd w:id="326"/>
      <w:bookmarkStart w:id="327" w:name="_Toc184308059"/>
      <w:bookmarkEnd w:id="327"/>
      <w:bookmarkStart w:id="328" w:name="_Toc184314423"/>
      <w:bookmarkEnd w:id="328"/>
      <w:bookmarkStart w:id="329" w:name="_Toc184314480"/>
      <w:bookmarkEnd w:id="329"/>
      <w:bookmarkStart w:id="330" w:name="_Toc184314439"/>
      <w:bookmarkEnd w:id="330"/>
      <w:bookmarkStart w:id="331" w:name="_Toc184312115"/>
      <w:bookmarkEnd w:id="331"/>
      <w:bookmarkStart w:id="332" w:name="_Toc184314463"/>
      <w:bookmarkEnd w:id="332"/>
      <w:bookmarkStart w:id="333" w:name="_Toc184310327"/>
      <w:bookmarkEnd w:id="333"/>
      <w:bookmarkStart w:id="334" w:name="_Toc184312112"/>
      <w:bookmarkEnd w:id="334"/>
      <w:bookmarkStart w:id="335" w:name="_Toc184308044"/>
      <w:bookmarkEnd w:id="335"/>
      <w:bookmarkStart w:id="336" w:name="_Toc184310285"/>
      <w:bookmarkEnd w:id="336"/>
      <w:bookmarkStart w:id="337" w:name="_Toc184314471"/>
      <w:bookmarkEnd w:id="337"/>
      <w:bookmarkStart w:id="338" w:name="_Toc184313239"/>
      <w:bookmarkEnd w:id="338"/>
      <w:bookmarkStart w:id="339" w:name="_Toc184312093"/>
      <w:bookmarkEnd w:id="339"/>
      <w:bookmarkStart w:id="340" w:name="_Toc184312100"/>
      <w:bookmarkEnd w:id="340"/>
      <w:bookmarkStart w:id="341" w:name="_Toc184314466"/>
      <w:bookmarkEnd w:id="341"/>
      <w:bookmarkStart w:id="342" w:name="_Toc184312086"/>
      <w:bookmarkEnd w:id="342"/>
      <w:bookmarkStart w:id="343" w:name="_Toc184308038"/>
      <w:bookmarkEnd w:id="343"/>
      <w:bookmarkStart w:id="344" w:name="_Toc184313291"/>
      <w:bookmarkEnd w:id="344"/>
      <w:bookmarkStart w:id="345" w:name="_Toc184314479"/>
      <w:bookmarkEnd w:id="345"/>
      <w:bookmarkStart w:id="346" w:name="_Toc184312103"/>
      <w:bookmarkEnd w:id="346"/>
      <w:bookmarkStart w:id="347" w:name="_Toc184308107"/>
      <w:bookmarkEnd w:id="347"/>
      <w:bookmarkStart w:id="348" w:name="_Toc184308071"/>
      <w:bookmarkEnd w:id="348"/>
      <w:bookmarkStart w:id="349" w:name="_Toc184312082"/>
      <w:bookmarkEnd w:id="349"/>
      <w:bookmarkStart w:id="350" w:name="_Toc184308085"/>
      <w:bookmarkEnd w:id="350"/>
      <w:bookmarkStart w:id="351" w:name="_Toc184308081"/>
      <w:bookmarkEnd w:id="351"/>
      <w:bookmarkStart w:id="352" w:name="_Toc184310300"/>
      <w:bookmarkEnd w:id="352"/>
      <w:bookmarkStart w:id="353" w:name="_Toc184313266"/>
      <w:bookmarkEnd w:id="353"/>
      <w:bookmarkStart w:id="354" w:name="_Toc184308045"/>
      <w:bookmarkEnd w:id="354"/>
      <w:bookmarkStart w:id="355" w:name="_Toc184312109"/>
      <w:bookmarkEnd w:id="355"/>
      <w:bookmarkStart w:id="356" w:name="_Toc184308043"/>
      <w:bookmarkEnd w:id="356"/>
      <w:bookmarkStart w:id="357" w:name="_Toc184310289"/>
      <w:bookmarkEnd w:id="357"/>
      <w:bookmarkStart w:id="358" w:name="_Toc184310303"/>
      <w:bookmarkEnd w:id="358"/>
      <w:bookmarkStart w:id="359" w:name="_Toc184312099"/>
      <w:bookmarkEnd w:id="359"/>
      <w:bookmarkStart w:id="360" w:name="_Toc184314429"/>
      <w:bookmarkEnd w:id="360"/>
      <w:bookmarkStart w:id="361" w:name="_Toc184308064"/>
      <w:bookmarkEnd w:id="361"/>
      <w:bookmarkStart w:id="362" w:name="_Toc184312129"/>
      <w:bookmarkEnd w:id="362"/>
      <w:bookmarkStart w:id="363" w:name="_Toc184313248"/>
      <w:bookmarkEnd w:id="363"/>
      <w:bookmarkStart w:id="364" w:name="_Toc184312087"/>
      <w:bookmarkEnd w:id="364"/>
      <w:bookmarkStart w:id="365" w:name="_Toc184314474"/>
      <w:bookmarkEnd w:id="365"/>
      <w:bookmarkStart w:id="366" w:name="_Toc184314444"/>
      <w:bookmarkEnd w:id="366"/>
      <w:bookmarkStart w:id="367" w:name="_Toc184314416"/>
      <w:bookmarkEnd w:id="367"/>
      <w:bookmarkStart w:id="368" w:name="_Toc184312120"/>
      <w:bookmarkEnd w:id="368"/>
      <w:bookmarkStart w:id="369" w:name="_Toc184314462"/>
      <w:bookmarkEnd w:id="369"/>
      <w:bookmarkStart w:id="370" w:name="_Toc184308057"/>
      <w:bookmarkEnd w:id="370"/>
      <w:bookmarkStart w:id="371" w:name="_Toc184313256"/>
      <w:bookmarkEnd w:id="371"/>
      <w:bookmarkStart w:id="372" w:name="_Toc184310337"/>
      <w:bookmarkEnd w:id="372"/>
      <w:bookmarkStart w:id="373" w:name="_Toc184308072"/>
      <w:bookmarkEnd w:id="373"/>
      <w:bookmarkStart w:id="374" w:name="_Toc184314425"/>
      <w:bookmarkEnd w:id="374"/>
      <w:bookmarkStart w:id="375" w:name="_Toc184312113"/>
      <w:bookmarkEnd w:id="375"/>
      <w:bookmarkStart w:id="376" w:name="_Toc184313243"/>
      <w:bookmarkEnd w:id="376"/>
      <w:bookmarkStart w:id="377" w:name="_Toc184310305"/>
      <w:bookmarkEnd w:id="377"/>
      <w:bookmarkStart w:id="378" w:name="_Toc184314436"/>
      <w:bookmarkEnd w:id="378"/>
      <w:bookmarkStart w:id="379" w:name="_Toc184313295"/>
      <w:bookmarkEnd w:id="379"/>
      <w:bookmarkStart w:id="380" w:name="_Toc184314442"/>
      <w:bookmarkEnd w:id="380"/>
      <w:bookmarkStart w:id="381" w:name="_Toc184310296"/>
      <w:bookmarkEnd w:id="381"/>
      <w:bookmarkStart w:id="382" w:name="_Toc184313284"/>
      <w:bookmarkEnd w:id="382"/>
      <w:bookmarkStart w:id="383" w:name="_Toc184313273"/>
      <w:bookmarkEnd w:id="383"/>
      <w:bookmarkStart w:id="384" w:name="_Toc184310290"/>
      <w:bookmarkEnd w:id="384"/>
      <w:bookmarkStart w:id="385" w:name="_Toc184312105"/>
      <w:bookmarkEnd w:id="385"/>
      <w:bookmarkStart w:id="386" w:name="_Toc184308080"/>
      <w:bookmarkEnd w:id="386"/>
      <w:bookmarkStart w:id="387" w:name="_Toc184314472"/>
      <w:bookmarkEnd w:id="387"/>
      <w:bookmarkStart w:id="388" w:name="_Toc184312072"/>
      <w:bookmarkEnd w:id="388"/>
      <w:bookmarkStart w:id="389" w:name="_Toc184308091"/>
      <w:bookmarkEnd w:id="389"/>
      <w:bookmarkStart w:id="390" w:name="_Toc184308067"/>
      <w:bookmarkEnd w:id="390"/>
      <w:bookmarkStart w:id="391" w:name="_Toc184313287"/>
      <w:bookmarkEnd w:id="391"/>
      <w:bookmarkStart w:id="392" w:name="_Toc184313262"/>
      <w:bookmarkEnd w:id="392"/>
      <w:bookmarkStart w:id="393" w:name="_Toc184314440"/>
      <w:bookmarkEnd w:id="393"/>
      <w:bookmarkStart w:id="394" w:name="_Toc184310329"/>
      <w:bookmarkEnd w:id="394"/>
      <w:bookmarkStart w:id="395" w:name="_Toc184313304"/>
      <w:bookmarkEnd w:id="395"/>
      <w:bookmarkStart w:id="396" w:name="_Toc184312080"/>
      <w:bookmarkEnd w:id="396"/>
      <w:bookmarkStart w:id="397" w:name="_Toc184308050"/>
      <w:bookmarkEnd w:id="397"/>
      <w:bookmarkStart w:id="398" w:name="_Toc184310310"/>
      <w:bookmarkEnd w:id="398"/>
      <w:bookmarkStart w:id="399" w:name="_Toc184308095"/>
      <w:bookmarkEnd w:id="399"/>
      <w:bookmarkStart w:id="400" w:name="_Toc184310331"/>
      <w:bookmarkEnd w:id="400"/>
      <w:bookmarkStart w:id="401" w:name="_Toc184308056"/>
      <w:bookmarkEnd w:id="401"/>
      <w:bookmarkStart w:id="402" w:name="_Toc184312075"/>
      <w:bookmarkEnd w:id="402"/>
      <w:bookmarkStart w:id="403" w:name="_Toc184313241"/>
      <w:bookmarkEnd w:id="403"/>
      <w:bookmarkStart w:id="404" w:name="_Toc184308089"/>
      <w:bookmarkEnd w:id="404"/>
      <w:bookmarkStart w:id="405" w:name="_Toc184308062"/>
      <w:bookmarkEnd w:id="405"/>
      <w:r>
        <w:rPr>
          <w:rFonts w:hint="eastAsia" w:ascii="仿宋" w:hAnsi="仿宋" w:eastAsia="仿宋" w:cs="仿宋"/>
          <w:b/>
          <w:color w:val="000000" w:themeColor="text1"/>
          <w:sz w:val="36"/>
          <w:szCs w:val="36"/>
          <w:highlight w:val="none"/>
          <w14:textFill>
            <w14:solidFill>
              <w14:schemeClr w14:val="tx1"/>
            </w14:solidFill>
          </w14:textFill>
        </w:rPr>
        <w:t>交易办法</w:t>
      </w:r>
    </w:p>
    <w:p w14:paraId="742F0A3B">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交易办法前附表</w:t>
      </w:r>
    </w:p>
    <w:p w14:paraId="01EA1DA0">
      <w:pPr>
        <w:adjustRightInd/>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1、商务技术评分表（70分）</w:t>
      </w:r>
    </w:p>
    <w:tbl>
      <w:tblPr>
        <w:tblStyle w:val="62"/>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778"/>
        <w:gridCol w:w="1265"/>
        <w:gridCol w:w="1265"/>
      </w:tblGrid>
      <w:tr w14:paraId="6427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0" w:type="dxa"/>
            <w:vAlign w:val="center"/>
          </w:tcPr>
          <w:p w14:paraId="67EB4B22">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5778" w:type="dxa"/>
            <w:vAlign w:val="center"/>
          </w:tcPr>
          <w:p w14:paraId="77C16FD8">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评分内容和标准</w:t>
            </w:r>
          </w:p>
        </w:tc>
        <w:tc>
          <w:tcPr>
            <w:tcW w:w="1265" w:type="dxa"/>
            <w:vAlign w:val="center"/>
          </w:tcPr>
          <w:p w14:paraId="326C849F">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权重</w:t>
            </w:r>
          </w:p>
        </w:tc>
        <w:tc>
          <w:tcPr>
            <w:tcW w:w="1265" w:type="dxa"/>
            <w:vAlign w:val="center"/>
          </w:tcPr>
          <w:p w14:paraId="4CDDEDBC">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color w:val="000000"/>
                <w:kern w:val="0"/>
                <w:sz w:val="20"/>
                <w:szCs w:val="21"/>
                <w:highlight w:val="none"/>
              </w:rPr>
              <w:t>主观客观分</w:t>
            </w:r>
          </w:p>
        </w:tc>
      </w:tr>
      <w:tr w14:paraId="6C7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1130" w:type="dxa"/>
            <w:vAlign w:val="center"/>
          </w:tcPr>
          <w:p w14:paraId="72E524A1">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商务资信（3分）</w:t>
            </w:r>
          </w:p>
        </w:tc>
        <w:tc>
          <w:tcPr>
            <w:tcW w:w="5778" w:type="dxa"/>
            <w:vAlign w:val="center"/>
          </w:tcPr>
          <w:p w14:paraId="003FE1C8">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331D2A12">
            <w:pPr>
              <w:widowControl/>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4A4EC977">
            <w:pPr>
              <w:pStyle w:val="23"/>
              <w:widowControl/>
              <w:spacing w:line="400" w:lineRule="exact"/>
              <w:ind w:firstLine="0" w:firstLineChars="0"/>
              <w:rPr>
                <w:rFonts w:hint="eastAsia" w:ascii="仿宋" w:hAnsi="仿宋" w:eastAsia="仿宋" w:cs="仿宋"/>
                <w:color w:val="000000"/>
                <w:sz w:val="21"/>
                <w:szCs w:val="21"/>
                <w:highlight w:val="none"/>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1265" w:type="dxa"/>
            <w:vAlign w:val="center"/>
          </w:tcPr>
          <w:p w14:paraId="3D770E82">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1265" w:type="dxa"/>
            <w:vAlign w:val="center"/>
          </w:tcPr>
          <w:p w14:paraId="1B169AFA">
            <w:pPr>
              <w:widowControl/>
              <w:adjustRightInd/>
              <w:spacing w:line="280" w:lineRule="exact"/>
              <w:jc w:val="center"/>
              <w:rPr>
                <w:rFonts w:hint="eastAsia" w:ascii="仿宋" w:hAnsi="仿宋" w:eastAsia="仿宋" w:cs="仿宋"/>
                <w:color w:val="000000"/>
                <w:kern w:val="0"/>
                <w:sz w:val="20"/>
                <w:szCs w:val="21"/>
                <w:highlight w:val="none"/>
              </w:rPr>
            </w:pPr>
            <w:r>
              <w:rPr>
                <w:rFonts w:hint="eastAsia" w:ascii="仿宋" w:hAnsi="仿宋" w:eastAsia="仿宋" w:cs="仿宋"/>
                <w:color w:val="000000"/>
                <w:kern w:val="0"/>
                <w:sz w:val="20"/>
                <w:szCs w:val="21"/>
                <w:highlight w:val="none"/>
              </w:rPr>
              <w:t>客观分</w:t>
            </w:r>
          </w:p>
        </w:tc>
      </w:tr>
    </w:tbl>
    <w:p w14:paraId="305D5CA9">
      <w:pPr>
        <w:widowControl/>
        <w:jc w:val="left"/>
        <w:rPr>
          <w:rFonts w:hint="eastAsia" w:ascii="仿宋" w:hAnsi="仿宋" w:eastAsia="仿宋" w:cs="仿宋"/>
          <w:b/>
          <w:bCs/>
          <w:sz w:val="24"/>
          <w:highlight w:val="none"/>
        </w:rPr>
      </w:pPr>
      <w:r>
        <w:rPr>
          <w:rFonts w:hint="eastAsia" w:ascii="仿宋" w:hAnsi="仿宋" w:eastAsia="仿宋" w:cs="仿宋"/>
          <w:b/>
          <w:bCs/>
          <w:sz w:val="24"/>
          <w:highlight w:val="none"/>
        </w:rPr>
        <w:t>2.技术部分（67分）：</w:t>
      </w:r>
    </w:p>
    <w:tbl>
      <w:tblPr>
        <w:tblStyle w:val="62"/>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13C1D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13AAB23F">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w:t>
            </w:r>
          </w:p>
          <w:p w14:paraId="63A42442">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术</w:t>
            </w:r>
          </w:p>
          <w:p w14:paraId="22CB1057">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和</w:t>
            </w:r>
          </w:p>
          <w:p w14:paraId="3317D375">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w:t>
            </w:r>
          </w:p>
          <w:p w14:paraId="59D139F4">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务</w:t>
            </w:r>
          </w:p>
          <w:p w14:paraId="7BDD943D">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w:t>
            </w:r>
          </w:p>
          <w:p w14:paraId="66A965F3">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案</w:t>
            </w:r>
          </w:p>
        </w:tc>
        <w:tc>
          <w:tcPr>
            <w:tcW w:w="745" w:type="dxa"/>
            <w:tcBorders>
              <w:tl2br w:val="nil"/>
              <w:tr2bl w:val="nil"/>
            </w:tcBorders>
            <w:shd w:val="clear" w:color="auto" w:fill="auto"/>
            <w:vAlign w:val="center"/>
          </w:tcPr>
          <w:p w14:paraId="5D21A70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25" w:type="dxa"/>
            <w:gridSpan w:val="2"/>
            <w:tcBorders>
              <w:tl2br w:val="nil"/>
              <w:tr2bl w:val="nil"/>
            </w:tcBorders>
            <w:shd w:val="clear" w:color="auto" w:fill="auto"/>
            <w:vAlign w:val="center"/>
          </w:tcPr>
          <w:p w14:paraId="3D32DD7B">
            <w:pPr>
              <w:widowControl/>
              <w:shd w:val="clear"/>
              <w:spacing w:line="360" w:lineRule="auto"/>
              <w:ind w:right="134" w:rightChars="64"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987" w:type="dxa"/>
            <w:tcBorders>
              <w:tl2br w:val="nil"/>
              <w:tr2bl w:val="nil"/>
            </w:tcBorders>
            <w:shd w:val="clear" w:color="auto" w:fill="auto"/>
            <w:vAlign w:val="center"/>
          </w:tcPr>
          <w:p w14:paraId="33BA7F8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200" w:type="dxa"/>
            <w:tcBorders>
              <w:tl2br w:val="nil"/>
              <w:tr2bl w:val="nil"/>
            </w:tcBorders>
            <w:shd w:val="clear" w:color="auto" w:fill="auto"/>
            <w:vAlign w:val="center"/>
          </w:tcPr>
          <w:p w14:paraId="4448E8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0A08D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17C9C9AE">
            <w:pPr>
              <w:widowControl/>
              <w:shd w:val="clear"/>
              <w:spacing w:line="360" w:lineRule="auto"/>
              <w:jc w:val="center"/>
              <w:rPr>
                <w:rFonts w:hint="eastAsia" w:ascii="仿宋" w:hAnsi="仿宋" w:eastAsia="仿宋" w:cs="仿宋"/>
                <w:b/>
                <w:bCs/>
                <w:color w:val="auto"/>
                <w:sz w:val="24"/>
                <w:highlight w:val="none"/>
                <w:lang w:val="en-US" w:eastAsia="zh-CN"/>
              </w:rPr>
            </w:pPr>
          </w:p>
        </w:tc>
        <w:tc>
          <w:tcPr>
            <w:tcW w:w="745" w:type="dxa"/>
            <w:tcBorders>
              <w:tl2br w:val="nil"/>
              <w:tr2bl w:val="nil"/>
            </w:tcBorders>
            <w:shd w:val="clear" w:color="auto" w:fill="auto"/>
            <w:vAlign w:val="center"/>
          </w:tcPr>
          <w:p w14:paraId="16E871B9">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14:paraId="371A1459">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对应于采购文件第二章“采购需求”中“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72D9D24D">
            <w:pPr>
              <w:widowControl/>
              <w:shd w:val="clea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40</w:t>
            </w:r>
          </w:p>
        </w:tc>
        <w:tc>
          <w:tcPr>
            <w:tcW w:w="1200" w:type="dxa"/>
            <w:tcBorders>
              <w:tl2br w:val="nil"/>
              <w:tr2bl w:val="nil"/>
            </w:tcBorders>
            <w:shd w:val="clear" w:color="auto" w:fill="auto"/>
            <w:vAlign w:val="center"/>
          </w:tcPr>
          <w:p w14:paraId="75FD463A">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客观分</w:t>
            </w:r>
          </w:p>
        </w:tc>
      </w:tr>
      <w:tr w14:paraId="6A1D7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1002764D">
            <w:pPr>
              <w:widowControl/>
              <w:shd w:val="clear"/>
              <w:spacing w:line="360" w:lineRule="auto"/>
              <w:jc w:val="center"/>
              <w:rPr>
                <w:rFonts w:hint="eastAsia" w:ascii="仿宋" w:hAnsi="仿宋" w:eastAsia="仿宋" w:cs="仿宋"/>
                <w:b/>
                <w:bCs/>
                <w:color w:val="auto"/>
                <w:sz w:val="24"/>
                <w:highlight w:val="none"/>
                <w:lang w:val="en-US" w:eastAsia="zh-CN"/>
              </w:rPr>
            </w:pPr>
          </w:p>
        </w:tc>
        <w:tc>
          <w:tcPr>
            <w:tcW w:w="745" w:type="dxa"/>
            <w:tcBorders>
              <w:tl2br w:val="nil"/>
              <w:tr2bl w:val="nil"/>
            </w:tcBorders>
            <w:shd w:val="clear" w:color="auto" w:fill="auto"/>
            <w:vAlign w:val="center"/>
          </w:tcPr>
          <w:p w14:paraId="1C750B98">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14:paraId="1E4C13D2">
            <w:pPr>
              <w:shd w:val="clea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投标货物的技术性能：根据所投货物技术性能先进程度、在临床使用效果评分。</w:t>
            </w:r>
            <w:r>
              <w:rPr>
                <w:rFonts w:hint="eastAsia" w:ascii="仿宋" w:hAnsi="仿宋" w:eastAsia="仿宋" w:cs="仿宋"/>
                <w:i w:val="0"/>
                <w:iCs w:val="0"/>
                <w:color w:val="auto"/>
                <w:kern w:val="0"/>
                <w:sz w:val="24"/>
                <w:szCs w:val="24"/>
                <w:highlight w:val="none"/>
                <w:u w:val="none"/>
                <w:lang w:val="en-US" w:eastAsia="zh-CN" w:bidi="ar"/>
              </w:rPr>
              <w:t>分值（5.0、4.0、3.0、2.0、1.0、0）</w:t>
            </w:r>
            <w:r>
              <w:rPr>
                <w:rFonts w:hint="eastAsia" w:ascii="仿宋" w:hAnsi="仿宋" w:eastAsia="仿宋" w:cs="仿宋"/>
                <w:color w:val="auto"/>
                <w:sz w:val="24"/>
                <w:highlight w:val="none"/>
              </w:rPr>
              <w:t>。</w:t>
            </w:r>
          </w:p>
        </w:tc>
        <w:tc>
          <w:tcPr>
            <w:tcW w:w="987" w:type="dxa"/>
            <w:tcBorders>
              <w:tl2br w:val="nil"/>
              <w:tr2bl w:val="nil"/>
            </w:tcBorders>
            <w:shd w:val="clear" w:color="auto" w:fill="auto"/>
            <w:vAlign w:val="center"/>
          </w:tcPr>
          <w:p w14:paraId="01941C29">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1200" w:type="dxa"/>
            <w:tcBorders>
              <w:tl2br w:val="nil"/>
              <w:tr2bl w:val="nil"/>
            </w:tcBorders>
            <w:shd w:val="clear" w:color="auto" w:fill="auto"/>
            <w:vAlign w:val="center"/>
          </w:tcPr>
          <w:p w14:paraId="01B21404">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rPr>
              <w:t>主观分</w:t>
            </w:r>
          </w:p>
        </w:tc>
      </w:tr>
      <w:tr w14:paraId="5E239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1202F381">
            <w:pPr>
              <w:widowControl/>
              <w:shd w:val="clear"/>
              <w:spacing w:line="360" w:lineRule="auto"/>
              <w:jc w:val="center"/>
              <w:rPr>
                <w:rFonts w:hint="eastAsia" w:ascii="仿宋" w:hAnsi="仿宋" w:eastAsia="仿宋" w:cs="仿宋"/>
                <w:color w:val="auto"/>
                <w:sz w:val="24"/>
                <w:highlight w:val="none"/>
                <w:lang w:val="en-US" w:eastAsia="zh-CN"/>
              </w:rPr>
            </w:pPr>
          </w:p>
        </w:tc>
        <w:tc>
          <w:tcPr>
            <w:tcW w:w="745" w:type="dxa"/>
            <w:tcBorders>
              <w:tl2br w:val="nil"/>
              <w:tr2bl w:val="nil"/>
            </w:tcBorders>
            <w:shd w:val="clear" w:color="auto" w:fill="auto"/>
            <w:vAlign w:val="center"/>
          </w:tcPr>
          <w:p w14:paraId="739A6DCC">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5825" w:type="dxa"/>
            <w:gridSpan w:val="2"/>
            <w:tcBorders>
              <w:tl2br w:val="nil"/>
              <w:tr2bl w:val="nil"/>
            </w:tcBorders>
            <w:shd w:val="clear" w:color="auto" w:fill="auto"/>
            <w:vAlign w:val="center"/>
          </w:tcPr>
          <w:p w14:paraId="6B644363">
            <w:pPr>
              <w:shd w:val="clea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维修成本：包括保修价格、设备配件价格，维修服务费等维修价格。</w:t>
            </w:r>
            <w:r>
              <w:rPr>
                <w:rFonts w:hint="eastAsia" w:ascii="仿宋" w:hAnsi="仿宋" w:eastAsia="仿宋" w:cs="仿宋"/>
                <w:i w:val="0"/>
                <w:iCs w:val="0"/>
                <w:color w:val="auto"/>
                <w:kern w:val="0"/>
                <w:sz w:val="24"/>
                <w:szCs w:val="24"/>
                <w:highlight w:val="none"/>
                <w:u w:val="none"/>
                <w:lang w:val="en-US" w:eastAsia="zh-CN" w:bidi="ar"/>
              </w:rPr>
              <w:t>分值（5.0、4.0、3.0、2.0、1.0、0）</w:t>
            </w:r>
          </w:p>
        </w:tc>
        <w:tc>
          <w:tcPr>
            <w:tcW w:w="987" w:type="dxa"/>
            <w:tcBorders>
              <w:tl2br w:val="nil"/>
              <w:tr2bl w:val="nil"/>
            </w:tcBorders>
            <w:shd w:val="clear" w:color="auto" w:fill="auto"/>
            <w:vAlign w:val="center"/>
          </w:tcPr>
          <w:p w14:paraId="79888DE9">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5</w:t>
            </w:r>
          </w:p>
        </w:tc>
        <w:tc>
          <w:tcPr>
            <w:tcW w:w="1200" w:type="dxa"/>
            <w:tcBorders>
              <w:tl2br w:val="nil"/>
              <w:tr2bl w:val="nil"/>
            </w:tcBorders>
            <w:shd w:val="clear" w:color="auto" w:fill="auto"/>
            <w:vAlign w:val="center"/>
          </w:tcPr>
          <w:p w14:paraId="4F30EB05">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eastAsia="zh-CN"/>
              </w:rPr>
              <w:t>主观分</w:t>
            </w:r>
          </w:p>
        </w:tc>
      </w:tr>
      <w:tr w14:paraId="5ACE6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4" w:hRule="atLeast"/>
        </w:trPr>
        <w:tc>
          <w:tcPr>
            <w:tcW w:w="745" w:type="dxa"/>
            <w:vMerge w:val="continue"/>
            <w:tcBorders>
              <w:tl2br w:val="nil"/>
              <w:tr2bl w:val="nil"/>
            </w:tcBorders>
            <w:shd w:val="clear" w:color="auto" w:fill="auto"/>
            <w:vAlign w:val="center"/>
          </w:tcPr>
          <w:p w14:paraId="17AD6C20">
            <w:pPr>
              <w:widowControl/>
              <w:shd w:val="clear"/>
              <w:spacing w:line="360" w:lineRule="auto"/>
              <w:jc w:val="center"/>
              <w:rPr>
                <w:rFonts w:hint="eastAsia" w:ascii="仿宋" w:hAnsi="仿宋" w:eastAsia="仿宋" w:cs="仿宋"/>
                <w:color w:val="auto"/>
                <w:sz w:val="24"/>
                <w:highlight w:val="none"/>
                <w:lang w:val="en-US" w:eastAsia="zh-CN"/>
              </w:rPr>
            </w:pPr>
          </w:p>
        </w:tc>
        <w:tc>
          <w:tcPr>
            <w:tcW w:w="745" w:type="dxa"/>
            <w:tcBorders>
              <w:tl2br w:val="nil"/>
              <w:tr2bl w:val="nil"/>
            </w:tcBorders>
            <w:shd w:val="clear" w:color="auto" w:fill="auto"/>
            <w:vAlign w:val="center"/>
          </w:tcPr>
          <w:p w14:paraId="68C8A216">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08" w:type="dxa"/>
            <w:vMerge w:val="restart"/>
            <w:tcBorders>
              <w:tl2br w:val="nil"/>
              <w:tr2bl w:val="nil"/>
            </w:tcBorders>
            <w:shd w:val="clear" w:color="auto" w:fill="auto"/>
            <w:vAlign w:val="center"/>
          </w:tcPr>
          <w:p w14:paraId="3E71371A">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4FCB9CC4">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552A7E2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i w:val="0"/>
                <w:iCs w:val="0"/>
                <w:color w:val="auto"/>
                <w:kern w:val="0"/>
                <w:sz w:val="24"/>
                <w:szCs w:val="24"/>
                <w:highlight w:val="none"/>
                <w:u w:val="none"/>
                <w:lang w:val="en-US" w:eastAsia="zh-CN" w:bidi="ar"/>
              </w:rPr>
              <w:t>分值（5.0、4.0、3.0、2.0、1.0、0）</w:t>
            </w:r>
            <w:bookmarkStart w:id="406" w:name="_GoBack"/>
            <w:bookmarkEnd w:id="406"/>
          </w:p>
        </w:tc>
        <w:tc>
          <w:tcPr>
            <w:tcW w:w="987" w:type="dxa"/>
            <w:tcBorders>
              <w:tl2br w:val="nil"/>
              <w:tr2bl w:val="nil"/>
            </w:tcBorders>
            <w:shd w:val="clear" w:color="auto" w:fill="auto"/>
            <w:vAlign w:val="center"/>
          </w:tcPr>
          <w:p w14:paraId="5B2E0696">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200" w:type="dxa"/>
            <w:tcBorders>
              <w:tl2br w:val="nil"/>
              <w:tr2bl w:val="nil"/>
            </w:tcBorders>
            <w:shd w:val="clear" w:color="auto" w:fill="auto"/>
            <w:vAlign w:val="center"/>
          </w:tcPr>
          <w:p w14:paraId="73744882">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主观分</w:t>
            </w:r>
          </w:p>
        </w:tc>
      </w:tr>
      <w:tr w14:paraId="47493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ECD8E2F">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p>
        </w:tc>
        <w:tc>
          <w:tcPr>
            <w:tcW w:w="745" w:type="dxa"/>
            <w:tcBorders>
              <w:tl2br w:val="nil"/>
              <w:tr2bl w:val="nil"/>
            </w:tcBorders>
            <w:vAlign w:val="center"/>
          </w:tcPr>
          <w:p w14:paraId="6E19E876">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08" w:type="dxa"/>
            <w:vMerge w:val="continue"/>
            <w:tcBorders>
              <w:tl2br w:val="nil"/>
              <w:tr2bl w:val="nil"/>
            </w:tcBorders>
            <w:shd w:val="clear" w:color="auto" w:fill="auto"/>
            <w:vAlign w:val="center"/>
          </w:tcPr>
          <w:p w14:paraId="23B70FE1">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1B730B9C">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73DFC32C">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3</w:t>
            </w:r>
          </w:p>
        </w:tc>
        <w:tc>
          <w:tcPr>
            <w:tcW w:w="1200" w:type="dxa"/>
            <w:tcBorders>
              <w:tl2br w:val="nil"/>
              <w:tr2bl w:val="nil"/>
            </w:tcBorders>
            <w:shd w:val="clear" w:color="auto" w:fill="auto"/>
            <w:vAlign w:val="center"/>
          </w:tcPr>
          <w:p w14:paraId="38D58F3F">
            <w:pPr>
              <w:widowControl/>
              <w:shd w:val="clea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主</w:t>
            </w:r>
            <w:r>
              <w:rPr>
                <w:rFonts w:hint="eastAsia" w:ascii="仿宋" w:hAnsi="仿宋" w:eastAsia="仿宋" w:cs="仿宋"/>
                <w:b w:val="0"/>
                <w:bCs w:val="0"/>
                <w:color w:val="auto"/>
                <w:sz w:val="24"/>
                <w:highlight w:val="none"/>
              </w:rPr>
              <w:t>观分</w:t>
            </w:r>
          </w:p>
        </w:tc>
      </w:tr>
      <w:tr w14:paraId="5B970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3314000A">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p>
        </w:tc>
        <w:tc>
          <w:tcPr>
            <w:tcW w:w="745" w:type="dxa"/>
            <w:tcBorders>
              <w:tl2br w:val="nil"/>
              <w:tr2bl w:val="nil"/>
            </w:tcBorders>
            <w:vAlign w:val="center"/>
          </w:tcPr>
          <w:p w14:paraId="53BBBF0F">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08" w:type="dxa"/>
            <w:vMerge w:val="continue"/>
            <w:tcBorders>
              <w:tl2br w:val="nil"/>
              <w:tr2bl w:val="nil"/>
            </w:tcBorders>
            <w:shd w:val="clear" w:color="auto" w:fill="auto"/>
            <w:vAlign w:val="center"/>
          </w:tcPr>
          <w:p w14:paraId="6417E0B7">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2FCE9F22">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14:paraId="6DC6EB92">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3</w:t>
            </w:r>
          </w:p>
        </w:tc>
        <w:tc>
          <w:tcPr>
            <w:tcW w:w="1200" w:type="dxa"/>
            <w:tcBorders>
              <w:tl2br w:val="nil"/>
              <w:tr2bl w:val="nil"/>
            </w:tcBorders>
            <w:shd w:val="clear" w:color="auto" w:fill="auto"/>
            <w:vAlign w:val="center"/>
          </w:tcPr>
          <w:p w14:paraId="3E34D8CA">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主观分</w:t>
            </w:r>
          </w:p>
        </w:tc>
      </w:tr>
      <w:tr w14:paraId="4C7C1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BEAA807">
            <w:pPr>
              <w:widowControl/>
              <w:shd w:val="clear"/>
              <w:spacing w:line="360" w:lineRule="auto"/>
              <w:ind w:firstLine="480" w:firstLineChars="200"/>
              <w:jc w:val="center"/>
              <w:rPr>
                <w:rFonts w:hint="eastAsia" w:ascii="仿宋" w:hAnsi="仿宋" w:eastAsia="仿宋" w:cs="仿宋"/>
                <w:color w:val="auto"/>
                <w:sz w:val="24"/>
                <w:highlight w:val="none"/>
              </w:rPr>
            </w:pPr>
          </w:p>
        </w:tc>
        <w:tc>
          <w:tcPr>
            <w:tcW w:w="745" w:type="dxa"/>
            <w:tcBorders>
              <w:tl2br w:val="nil"/>
              <w:tr2bl w:val="nil"/>
            </w:tcBorders>
            <w:vAlign w:val="center"/>
          </w:tcPr>
          <w:p w14:paraId="2D858B37">
            <w:pPr>
              <w:widowControl/>
              <w:shd w:val="clear"/>
              <w:spacing w:line="36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5825" w:type="dxa"/>
            <w:gridSpan w:val="2"/>
            <w:tcBorders>
              <w:tl2br w:val="nil"/>
              <w:tr2bl w:val="nil"/>
            </w:tcBorders>
            <w:shd w:val="clear" w:color="auto" w:fill="auto"/>
            <w:vAlign w:val="center"/>
          </w:tcPr>
          <w:p w14:paraId="7D1E4D7E">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w:t>
            </w:r>
            <w:r>
              <w:rPr>
                <w:rFonts w:hint="eastAsia" w:ascii="仿宋" w:hAnsi="仿宋" w:eastAsia="仿宋" w:cs="仿宋"/>
                <w:color w:val="auto"/>
                <w:sz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分值（3.0、2.0、1.0、0）</w:t>
            </w:r>
          </w:p>
        </w:tc>
        <w:tc>
          <w:tcPr>
            <w:tcW w:w="987" w:type="dxa"/>
            <w:tcBorders>
              <w:tl2br w:val="nil"/>
              <w:tr2bl w:val="nil"/>
            </w:tcBorders>
            <w:shd w:val="clear" w:color="auto" w:fill="auto"/>
            <w:vAlign w:val="center"/>
          </w:tcPr>
          <w:p w14:paraId="200095A7">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14:paraId="39744EB5">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eastAsia="zh-CN"/>
              </w:rPr>
              <w:t>主观分</w:t>
            </w:r>
          </w:p>
        </w:tc>
      </w:tr>
      <w:tr w14:paraId="19D39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trPr>
        <w:tc>
          <w:tcPr>
            <w:tcW w:w="745" w:type="dxa"/>
            <w:vMerge w:val="continue"/>
            <w:tcBorders>
              <w:tl2br w:val="nil"/>
              <w:tr2bl w:val="nil"/>
            </w:tcBorders>
            <w:vAlign w:val="center"/>
          </w:tcPr>
          <w:p w14:paraId="13E4FA09">
            <w:pPr>
              <w:widowControl/>
              <w:shd w:val="clear"/>
              <w:spacing w:line="360" w:lineRule="auto"/>
              <w:ind w:firstLine="480" w:firstLineChars="200"/>
              <w:jc w:val="center"/>
              <w:rPr>
                <w:rFonts w:hint="eastAsia" w:ascii="仿宋" w:hAnsi="仿宋" w:eastAsia="仿宋" w:cs="仿宋"/>
                <w:color w:val="auto"/>
                <w:sz w:val="24"/>
                <w:highlight w:val="none"/>
              </w:rPr>
            </w:pPr>
          </w:p>
        </w:tc>
        <w:tc>
          <w:tcPr>
            <w:tcW w:w="745" w:type="dxa"/>
            <w:tcBorders>
              <w:tl2br w:val="nil"/>
              <w:tr2bl w:val="nil"/>
            </w:tcBorders>
            <w:vAlign w:val="center"/>
          </w:tcPr>
          <w:p w14:paraId="34420B03">
            <w:pPr>
              <w:widowControl/>
              <w:shd w:val="clear"/>
              <w:spacing w:line="36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5825" w:type="dxa"/>
            <w:gridSpan w:val="2"/>
            <w:tcBorders>
              <w:tl2br w:val="nil"/>
              <w:tr2bl w:val="nil"/>
            </w:tcBorders>
            <w:shd w:val="clear" w:color="auto" w:fill="auto"/>
            <w:vAlign w:val="center"/>
          </w:tcPr>
          <w:p w14:paraId="5DE836D1">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w:t>
            </w:r>
            <w:r>
              <w:rPr>
                <w:rFonts w:hint="eastAsia" w:ascii="仿宋" w:hAnsi="仿宋" w:eastAsia="仿宋" w:cs="仿宋"/>
                <w:color w:val="auto"/>
                <w:sz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分值（3.0、2.0、1.0、0）</w:t>
            </w:r>
          </w:p>
        </w:tc>
        <w:tc>
          <w:tcPr>
            <w:tcW w:w="987" w:type="dxa"/>
            <w:tcBorders>
              <w:tl2br w:val="nil"/>
              <w:tr2bl w:val="nil"/>
            </w:tcBorders>
            <w:shd w:val="clear" w:color="auto" w:fill="auto"/>
            <w:vAlign w:val="center"/>
          </w:tcPr>
          <w:p w14:paraId="2D9DF30B">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14:paraId="3296695B">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277DE49A">
      <w:pPr>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注：1）若交易发起人对</w:t>
      </w:r>
      <w:r>
        <w:rPr>
          <w:rFonts w:hint="eastAsia" w:ascii="仿宋" w:hAnsi="仿宋" w:eastAsia="仿宋" w:cs="仿宋"/>
          <w:b/>
          <w:color w:val="000000" w:themeColor="text1"/>
          <w:sz w:val="24"/>
          <w:highlight w:val="none"/>
          <w:lang w:eastAsia="zh-CN"/>
          <w14:textFill>
            <w14:solidFill>
              <w14:schemeClr w14:val="tx1"/>
            </w14:solidFill>
          </w14:textFill>
        </w:rPr>
        <w:t>投标人</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14:paraId="022B96B8">
      <w:pPr>
        <w:spacing w:line="440" w:lineRule="exact"/>
        <w:ind w:firstLine="482" w:firstLineChars="200"/>
        <w:rPr>
          <w:rFonts w:hint="eastAsia" w:ascii="仿宋" w:hAnsi="仿宋" w:eastAsia="仿宋" w:cs="仿宋"/>
          <w:highlight w:val="none"/>
        </w:rPr>
      </w:pPr>
      <w:r>
        <w:rPr>
          <w:rFonts w:hint="eastAsia" w:ascii="仿宋" w:hAnsi="仿宋" w:eastAsia="仿宋" w:cs="仿宋"/>
          <w:b/>
          <w:color w:val="000000" w:themeColor="text1"/>
          <w:sz w:val="24"/>
          <w:highlight w:val="none"/>
          <w14:textFill>
            <w14:solidFill>
              <w14:schemeClr w14:val="tx1"/>
            </w14:solidFill>
          </w14:textFill>
        </w:rPr>
        <w:t>2)响应文件中如附有外文资料，必须逐一对应翻译成中文并加盖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投标人</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14:paraId="1DBFF5BC">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2、价格部分评分方法（30分）：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0800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4986A72F">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606" w:type="dxa"/>
            <w:vAlign w:val="center"/>
          </w:tcPr>
          <w:p w14:paraId="14FC6D55">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14:paraId="4ABE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6CAB7750">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报价得分计算规则</w:t>
            </w:r>
          </w:p>
        </w:tc>
        <w:tc>
          <w:tcPr>
            <w:tcW w:w="6606" w:type="dxa"/>
            <w:vAlign w:val="center"/>
          </w:tcPr>
          <w:p w14:paraId="189CF3C9">
            <w:pPr>
              <w:widowControl/>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最低有效投标价格为评标基准价</w:t>
            </w:r>
          </w:p>
          <w:p w14:paraId="3ED7A22D">
            <w:pPr>
              <w:widowControl/>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投标报价得分=(评标基准价／投标报价)×价格权值×100</w:t>
            </w:r>
          </w:p>
          <w:p w14:paraId="16A305F5">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（计算得分保留小数点后2位）</w:t>
            </w:r>
          </w:p>
        </w:tc>
      </w:tr>
    </w:tbl>
    <w:p w14:paraId="50AD9939">
      <w:pPr>
        <w:snapToGrid w:val="0"/>
        <w:spacing w:line="57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一、交易方法</w:t>
      </w:r>
    </w:p>
    <w:p w14:paraId="4238D1FC">
      <w:pPr>
        <w:adjustRightInd/>
        <w:spacing w:line="570" w:lineRule="exact"/>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1.本项目采用综合评估法。</w:t>
      </w:r>
      <w:r>
        <w:rPr>
          <w:rFonts w:hint="eastAsia" w:ascii="仿宋" w:hAnsi="仿宋" w:eastAsia="仿宋" w:cs="仿宋"/>
          <w:color w:val="000000" w:themeColor="text1"/>
          <w:kern w:val="0"/>
          <w:sz w:val="24"/>
          <w:highlight w:val="none"/>
          <w14:textFill>
            <w14:solidFill>
              <w14:schemeClr w14:val="tx1"/>
            </w14:solidFill>
          </w14:textFill>
        </w:rPr>
        <w:t>综合评估法，是指响应文件满足交易文件全部实质性要求，且按照评审因素的量化指标评审得分最高的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为成交候选人的评审方法。</w:t>
      </w:r>
    </w:p>
    <w:p w14:paraId="681DBC29">
      <w:pPr>
        <w:adjustRightInd/>
        <w:spacing w:line="57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二、交易标准</w:t>
      </w:r>
    </w:p>
    <w:p w14:paraId="055642F5">
      <w:pPr>
        <w:spacing w:line="570" w:lineRule="exact"/>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评审标准：</w:t>
      </w:r>
      <w:r>
        <w:rPr>
          <w:rFonts w:hint="eastAsia" w:ascii="仿宋" w:hAnsi="仿宋" w:eastAsia="仿宋" w:cs="仿宋"/>
          <w:color w:val="000000" w:themeColor="text1"/>
          <w:kern w:val="0"/>
          <w:sz w:val="24"/>
          <w:highlight w:val="none"/>
          <w14:textFill>
            <w14:solidFill>
              <w14:schemeClr w14:val="tx1"/>
            </w14:solidFill>
          </w14:textFill>
        </w:rPr>
        <w:t>见交易办法前附表。</w:t>
      </w:r>
    </w:p>
    <w:p w14:paraId="7EA83B76">
      <w:pPr>
        <w:spacing w:line="570" w:lineRule="exact"/>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14:textFill>
            <w14:solidFill>
              <w14:schemeClr w14:val="tx1"/>
            </w14:solidFill>
          </w14:textFill>
        </w:rPr>
        <w:t>交易程序</w:t>
      </w:r>
    </w:p>
    <w:p w14:paraId="5372B408">
      <w:pPr>
        <w:spacing w:line="570" w:lineRule="exact"/>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的响应文件进行符合性审查，以确定其是否满足交易文件的实质性要求。不满足交易文件的实质性要求的，交易无效。</w:t>
      </w:r>
    </w:p>
    <w:p w14:paraId="4DD350A2">
      <w:pPr>
        <w:spacing w:line="570" w:lineRule="exact"/>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评标委员会应当按照交易文件中规定的评标方法和标准，对符合性审查合格的响应文件进行商务和技术评估，综合比较与评价。</w:t>
      </w:r>
    </w:p>
    <w:p w14:paraId="5610D49D">
      <w:pPr>
        <w:spacing w:line="570" w:lineRule="exact"/>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2ACA0D46">
      <w:pPr>
        <w:spacing w:line="570" w:lineRule="exact"/>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DCD2DAD">
      <w:pPr>
        <w:pStyle w:val="221"/>
        <w:spacing w:before="0" w:line="570" w:lineRule="exact"/>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3.4.1响应文件报价出现前后不一致的，按照下列规定修正：</w:t>
      </w:r>
    </w:p>
    <w:p w14:paraId="3477C229">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3.4.1.1响应文件中交易一览表(报价表)内容与响应文件中相应内容不一致的，以交易一览表(报价表)为准；</w:t>
      </w:r>
    </w:p>
    <w:p w14:paraId="18CB9179">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7C8F0F15">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3.4.1.3单价金额小数点或者百分比有明显错位的，以交易一览表的总价为准，并修改单价;</w:t>
      </w:r>
    </w:p>
    <w:p w14:paraId="55B000AA">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059064A0">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4B068187">
      <w:pPr>
        <w:snapToGrid w:val="0"/>
        <w:spacing w:line="57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3.4.2响应文件出现不是唯一的、有选择性交易报价的，交易无效。</w:t>
      </w:r>
    </w:p>
    <w:p w14:paraId="0E3A0922">
      <w:pPr>
        <w:snapToGrid w:val="0"/>
        <w:spacing w:line="57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3.4.3交易报价超过交易文件中规定的预算金额或者最高限价的，交易无效。</w:t>
      </w:r>
    </w:p>
    <w:p w14:paraId="2CAADD48">
      <w:pPr>
        <w:pStyle w:val="221"/>
        <w:spacing w:before="0" w:line="570" w:lineRule="exact"/>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3.4.4评审委员会认为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不能证明其报价合理性的，评标委员会应当将其作为无效投响应处理。</w:t>
      </w:r>
    </w:p>
    <w:p w14:paraId="69699A0C">
      <w:pPr>
        <w:spacing w:line="570" w:lineRule="exact"/>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为排名第一的成交候选人。</w:t>
      </w:r>
    </w:p>
    <w:p w14:paraId="67C21F97">
      <w:pPr>
        <w:spacing w:line="570" w:lineRule="exac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获得成交人推荐资格；评审得分相同的，采取随机抽取方式确定，其他同品牌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不作为成交候选人。</w:t>
      </w:r>
    </w:p>
    <w:p w14:paraId="28F47741">
      <w:pPr>
        <w:spacing w:line="570" w:lineRule="exact"/>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8034A7">
      <w:pPr>
        <w:widowControl/>
        <w:shd w:val="clear" w:color="auto" w:fill="FFFFFF"/>
        <w:adjustRightInd/>
        <w:spacing w:after="225" w:line="570" w:lineRule="exac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49193A27">
      <w:pPr>
        <w:pStyle w:val="221"/>
        <w:spacing w:before="0" w:line="570" w:lineRule="exact"/>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投标人</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对于响应文件中含义不明确、同类问题表述不一致或者有明显文字和计算错误的内容需要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的澄清、说明或者补正不得超出响应文件的范围或者改变响应文件的实质性内容。</w:t>
      </w:r>
    </w:p>
    <w:p w14:paraId="0DD52EF6">
      <w:pPr>
        <w:pStyle w:val="23"/>
        <w:spacing w:line="570" w:lineRule="exact"/>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4.2交易无效。</w:t>
      </w:r>
      <w:r>
        <w:rPr>
          <w:rFonts w:hint="eastAsia" w:ascii="仿宋" w:hAnsi="仿宋" w:eastAsia="仿宋" w:cs="仿宋"/>
          <w:color w:val="000000" w:themeColor="text1"/>
          <w:szCs w:val="21"/>
          <w:highlight w:val="none"/>
          <w14:textFill>
            <w14:solidFill>
              <w14:schemeClr w14:val="tx1"/>
            </w14:solidFill>
          </w14:textFill>
        </w:rPr>
        <w:t>有下列情形之一的，交易无效：</w:t>
      </w:r>
    </w:p>
    <w:p w14:paraId="1D1EDA6C">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不具备交易文件中规定的资格要求的（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不具备交易文件中规定的资格要求）；</w:t>
      </w:r>
    </w:p>
    <w:p w14:paraId="1289DA49">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4.2.2响应文件未按照交易文件要求签署、盖章的；</w:t>
      </w:r>
    </w:p>
    <w:p w14:paraId="76A5B376">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4.2.3交易发起人拟采购的产品属于政府强制采购的节能产品品目清单范围的，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未按交易文件要求提供国家确定的认证机构出具的、处于有效期之内的节能产品认证证书的；</w:t>
      </w:r>
    </w:p>
    <w:p w14:paraId="08E7259F">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4.2.4响应文件含有交易发起人不能接受的附加条件的；</w:t>
      </w:r>
    </w:p>
    <w:p w14:paraId="14E9528C">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4.2.5响应文件中承诺的交易有效期少于交易文件中载明的交易有效期的；</w:t>
      </w:r>
    </w:p>
    <w:p w14:paraId="589F9D7C">
      <w:pPr>
        <w:snapToGrid w:val="0"/>
        <w:spacing w:line="570" w:lineRule="exact"/>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4.2.6响应文件出现不是唯一的、有选择性交易报价的;</w:t>
      </w:r>
    </w:p>
    <w:p w14:paraId="7EF321D9">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4.2.7交易报价超过交易文件中规定的预算金额或者最高限价的;</w:t>
      </w:r>
    </w:p>
    <w:p w14:paraId="569A58B9">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3E2FD648">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34A97191">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12FD2292">
      <w:pPr>
        <w:spacing w:line="57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的竞争行为、损害交易发起人或者其他</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6752296F">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仅提交备份响应文件，未在电子交易平台传输递交响应文件的，交易无效；</w:t>
      </w:r>
    </w:p>
    <w:p w14:paraId="3EB6CBDA">
      <w:pPr>
        <w:pStyle w:val="3"/>
        <w:spacing w:line="570" w:lineRule="exact"/>
        <w:ind w:left="430"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响应文件不满足交易文件的其它实质性要求的；</w:t>
      </w:r>
    </w:p>
    <w:p w14:paraId="662CD5F5">
      <w:pPr>
        <w:spacing w:line="57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46DEF2FD">
      <w:pPr>
        <w:pStyle w:val="23"/>
        <w:snapToGrid w:val="0"/>
        <w:spacing w:line="570" w:lineRule="exact"/>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04E28507">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或者对交易文件作实质响应的</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不足3家的；</w:t>
      </w:r>
    </w:p>
    <w:p w14:paraId="5BBAA9D4">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6232DC03">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的报价均超过了采购预算，交易发起人不能支付的；</w:t>
      </w:r>
    </w:p>
    <w:p w14:paraId="58691A65">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3E03C8D1">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w:t>
      </w:r>
    </w:p>
    <w:p w14:paraId="71EA7D55">
      <w:pPr>
        <w:pStyle w:val="23"/>
        <w:snapToGrid w:val="0"/>
        <w:spacing w:line="570" w:lineRule="exact"/>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6.修改交易文件，重新组织采购活动。</w:t>
      </w:r>
      <w:r>
        <w:rPr>
          <w:rFonts w:hint="eastAsia" w:ascii="仿宋" w:hAnsi="仿宋" w:eastAsia="仿宋" w:cs="仿宋"/>
          <w:color w:val="000000" w:themeColor="text1"/>
          <w:highlight w:val="none"/>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871E717">
      <w:pPr>
        <w:pStyle w:val="23"/>
        <w:snapToGrid w:val="0"/>
        <w:spacing w:line="570" w:lineRule="exact"/>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有政府采购法第七十一条、第七十二条规定的违法行为之一，影响或者可能影响成交、成交结果的，依照下列规定处理：</w:t>
      </w:r>
    </w:p>
    <w:p w14:paraId="37553409">
      <w:pPr>
        <w:pStyle w:val="23"/>
        <w:snapToGrid w:val="0"/>
        <w:spacing w:line="570" w:lineRule="exact"/>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7.1未确定成交或者成交人的，终止本次政府采购活动，重新开展政府采购活动。</w:t>
      </w:r>
    </w:p>
    <w:p w14:paraId="5DDEE4BD">
      <w:pPr>
        <w:pStyle w:val="23"/>
        <w:snapToGrid w:val="0"/>
        <w:spacing w:line="570" w:lineRule="exact"/>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7110E1FB">
      <w:pPr>
        <w:pStyle w:val="23"/>
        <w:snapToGrid w:val="0"/>
        <w:spacing w:line="570" w:lineRule="exact"/>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069A461C">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7.4采购合同已经履行，给交易发起人、</w:t>
      </w:r>
      <w:r>
        <w:rPr>
          <w:rFonts w:hint="eastAsia" w:ascii="仿宋" w:hAnsi="仿宋" w:eastAsia="仿宋" w:cs="仿宋"/>
          <w:color w:val="000000" w:themeColor="text1"/>
          <w:highlight w:val="none"/>
          <w:lang w:eastAsia="zh-CN"/>
          <w14:textFill>
            <w14:solidFill>
              <w14:schemeClr w14:val="tx1"/>
            </w14:solidFill>
          </w14:textFill>
        </w:rPr>
        <w:t>投标人</w:t>
      </w:r>
      <w:r>
        <w:rPr>
          <w:rFonts w:hint="eastAsia" w:ascii="仿宋" w:hAnsi="仿宋" w:eastAsia="仿宋" w:cs="仿宋"/>
          <w:color w:val="000000" w:themeColor="text1"/>
          <w:highlight w:val="none"/>
          <w14:textFill>
            <w14:solidFill>
              <w14:schemeClr w14:val="tx1"/>
            </w14:solidFill>
          </w14:textFill>
        </w:rPr>
        <w:t>造成损失的，由责任人承担赔偿责任。</w:t>
      </w:r>
    </w:p>
    <w:p w14:paraId="20D43FCA">
      <w:pPr>
        <w:pStyle w:val="23"/>
        <w:snapToGrid w:val="0"/>
        <w:spacing w:line="57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的行为，经改正后仍然影响或者可能影响成交、成交结果或者依法被认定为成交、成交无效的，依照7.1-7.4规定处理。</w:t>
      </w:r>
    </w:p>
    <w:p w14:paraId="29724583">
      <w:pPr>
        <w:widowControl/>
        <w:spacing w:line="360" w:lineRule="auto"/>
        <w:rPr>
          <w:rFonts w:hint="eastAsia" w:ascii="仿宋" w:hAnsi="仿宋" w:eastAsia="仿宋" w:cs="仿宋"/>
          <w:color w:val="1F4E79"/>
          <w:sz w:val="24"/>
          <w:highlight w:val="none"/>
        </w:rPr>
      </w:pPr>
    </w:p>
    <w:p w14:paraId="003A4382">
      <w:pPr>
        <w:widowControl/>
        <w:spacing w:line="360" w:lineRule="auto"/>
        <w:rPr>
          <w:rFonts w:hint="eastAsia" w:ascii="仿宋" w:hAnsi="仿宋" w:eastAsia="仿宋" w:cs="仿宋"/>
          <w:color w:val="1F4E79"/>
          <w:sz w:val="24"/>
          <w:highlight w:val="none"/>
        </w:rPr>
      </w:pPr>
    </w:p>
    <w:p w14:paraId="650488B1">
      <w:pPr>
        <w:pStyle w:val="2"/>
        <w:rPr>
          <w:rFonts w:hint="eastAsia" w:ascii="仿宋" w:hAnsi="仿宋" w:eastAsia="仿宋" w:cs="仿宋"/>
          <w:color w:val="1F4E79"/>
          <w:sz w:val="24"/>
          <w:highlight w:val="none"/>
        </w:rPr>
      </w:pPr>
    </w:p>
    <w:p w14:paraId="42C8BB33">
      <w:pPr>
        <w:rPr>
          <w:rFonts w:hint="eastAsia" w:ascii="仿宋" w:hAnsi="仿宋" w:eastAsia="仿宋" w:cs="仿宋"/>
          <w:color w:val="1F4E79"/>
          <w:sz w:val="24"/>
          <w:highlight w:val="none"/>
        </w:rPr>
      </w:pPr>
    </w:p>
    <w:p w14:paraId="0ED62239">
      <w:pPr>
        <w:pStyle w:val="2"/>
        <w:rPr>
          <w:rFonts w:hint="eastAsia" w:ascii="仿宋" w:hAnsi="仿宋" w:eastAsia="仿宋" w:cs="仿宋"/>
          <w:color w:val="1F4E79"/>
          <w:sz w:val="24"/>
          <w:highlight w:val="none"/>
        </w:rPr>
      </w:pPr>
    </w:p>
    <w:p w14:paraId="4F5C3079">
      <w:pPr>
        <w:pStyle w:val="2"/>
        <w:jc w:val="both"/>
        <w:rPr>
          <w:rFonts w:hint="eastAsia" w:ascii="仿宋" w:hAnsi="仿宋" w:eastAsia="仿宋" w:cs="仿宋"/>
          <w:highlight w:val="none"/>
        </w:rPr>
      </w:pPr>
    </w:p>
    <w:p w14:paraId="4436974A">
      <w:pPr>
        <w:rPr>
          <w:rFonts w:hint="eastAsia" w:ascii="仿宋" w:hAnsi="仿宋" w:eastAsia="仿宋" w:cs="仿宋"/>
          <w:highlight w:val="none"/>
        </w:rPr>
      </w:pPr>
    </w:p>
    <w:p w14:paraId="7220F612">
      <w:pPr>
        <w:widowControl/>
        <w:adjustRightInd/>
        <w:jc w:val="left"/>
        <w:rPr>
          <w:rFonts w:hint="eastAsia" w:ascii="仿宋" w:hAnsi="仿宋" w:eastAsia="仿宋" w:cs="仿宋"/>
          <w:b/>
          <w:sz w:val="32"/>
          <w:highlight w:val="none"/>
        </w:rPr>
      </w:pPr>
    </w:p>
    <w:bookmarkEnd w:id="39"/>
    <w:p w14:paraId="543DBD63">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2D02A5D1">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5F0AB1F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（货物类样本）</w:t>
      </w:r>
    </w:p>
    <w:p w14:paraId="28EAEEDE">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eastAsia="zh-CN"/>
        </w:rPr>
        <w:t>人</w:t>
      </w:r>
      <w:r>
        <w:rPr>
          <w:rFonts w:hint="eastAsia" w:ascii="仿宋" w:hAnsi="仿宋" w:eastAsia="仿宋" w:cs="仿宋"/>
          <w:color w:val="auto"/>
          <w:szCs w:val="21"/>
          <w:highlight w:val="none"/>
        </w:rPr>
        <w:t>（以下简称乙方）结合本项目具体情况协商后签订。以下为</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提出涉及乙方的主要条款，</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在招标文件中应对其进行确认或拒绝。如</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在其招标文件中未做拒绝或提出修改要求的，采购人将视作认同。</w:t>
      </w:r>
    </w:p>
    <w:p w14:paraId="252B9604">
      <w:pPr>
        <w:rPr>
          <w:rFonts w:hint="eastAsia" w:ascii="仿宋" w:hAnsi="仿宋" w:eastAsia="仿宋" w:cs="仿宋"/>
          <w:color w:val="auto"/>
          <w:szCs w:val="21"/>
          <w:highlight w:val="none"/>
        </w:rPr>
      </w:pPr>
    </w:p>
    <w:p w14:paraId="684366A2">
      <w:pPr>
        <w:pStyle w:val="3"/>
        <w:numPr>
          <w:ilvl w:val="0"/>
          <w:numId w:val="0"/>
        </w:numPr>
        <w:ind w:leftChars="0"/>
        <w:rPr>
          <w:highlight w:val="none"/>
        </w:rPr>
      </w:pPr>
    </w:p>
    <w:p w14:paraId="42DDB115">
      <w:pPr>
        <w:shd w:val="clear"/>
        <w:tabs>
          <w:tab w:val="left" w:pos="2143"/>
          <w:tab w:val="center" w:pos="4664"/>
        </w:tabs>
        <w:spacing w:line="360" w:lineRule="auto"/>
        <w:jc w:val="center"/>
        <w:rPr>
          <w:rFonts w:hint="eastAsia" w:ascii="仿宋" w:hAnsi="仿宋" w:eastAsia="仿宋" w:cs="仿宋"/>
          <w:b/>
          <w:color w:val="auto"/>
          <w:sz w:val="36"/>
          <w:szCs w:val="36"/>
          <w:highlight w:val="none"/>
          <w:lang w:val="en-US" w:eastAsia="zh-CN"/>
        </w:rPr>
      </w:pPr>
    </w:p>
    <w:p w14:paraId="71FD3D89">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杭州市萧山区第一人民医院XXX </w:t>
      </w:r>
      <w:r>
        <w:rPr>
          <w:rFonts w:hint="eastAsia" w:ascii="仿宋" w:hAnsi="仿宋" w:eastAsia="仿宋" w:cs="仿宋"/>
          <w:b/>
          <w:color w:val="auto"/>
          <w:sz w:val="36"/>
          <w:szCs w:val="36"/>
          <w:highlight w:val="none"/>
        </w:rPr>
        <w:t>采购合同</w:t>
      </w:r>
    </w:p>
    <w:p w14:paraId="3075EDCC">
      <w:pPr>
        <w:pStyle w:val="3"/>
        <w:numPr>
          <w:ilvl w:val="0"/>
          <w:numId w:val="0"/>
        </w:numPr>
        <w:ind w:leftChars="0"/>
        <w:rPr>
          <w:rFonts w:hint="eastAsia"/>
          <w:highlight w:val="none"/>
        </w:rPr>
      </w:pPr>
    </w:p>
    <w:p w14:paraId="0DE1C606">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7B076516">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418B3AE7">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XSYY2024-GJ-</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公开竞争</w:t>
      </w:r>
      <w:r>
        <w:rPr>
          <w:rFonts w:hint="eastAsia" w:ascii="仿宋" w:hAnsi="仿宋" w:eastAsia="仿宋" w:cs="仿宋"/>
          <w:color w:val="auto"/>
          <w:kern w:val="0"/>
          <w:sz w:val="24"/>
          <w:highlight w:val="none"/>
        </w:rPr>
        <w:t>结果及《中华人民共和国民法典》等有关规定，经双方友好协商，订立本合同。</w:t>
      </w:r>
    </w:p>
    <w:tbl>
      <w:tblPr>
        <w:tblStyle w:val="647"/>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447CD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06736F06">
            <w:pPr>
              <w:pStyle w:val="502"/>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79C00E6B">
            <w:pPr>
              <w:pStyle w:val="50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6C173544">
            <w:pPr>
              <w:pStyle w:val="502"/>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6A7A44DE">
            <w:pPr>
              <w:pStyle w:val="50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5C45DC8C">
            <w:pPr>
              <w:pStyle w:val="50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4883D222">
            <w:pPr>
              <w:pStyle w:val="50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27B9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44398417">
            <w:pPr>
              <w:pStyle w:val="502"/>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3E720C32">
            <w:pPr>
              <w:pStyle w:val="502"/>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5564BF74">
            <w:pPr>
              <w:pStyle w:val="502"/>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0A37FF78">
            <w:pPr>
              <w:pStyle w:val="502"/>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1D4929A0">
            <w:pPr>
              <w:pStyle w:val="502"/>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79799FCA">
            <w:pPr>
              <w:pStyle w:val="502"/>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3A5BA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7F7BDFF9">
            <w:pPr>
              <w:pStyle w:val="502"/>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02E130C7">
            <w:pPr>
              <w:pStyle w:val="502"/>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4C3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1F0C44B1">
            <w:pPr>
              <w:pStyle w:val="502"/>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4E884F70">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69402A2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5CBD95B6">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7C355C79">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none"/>
          <w:lang w:eastAsia="zh-CN"/>
        </w:rPr>
        <w:t>质保期为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，从双方签署安装验收合格单之日开始计算。保修期内工时费和更换零配件免费。设备终身维修，零配件供应在该设备停产后应不少于</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nl-NL"/>
        </w:rPr>
        <w:t>保修期内设备</w:t>
      </w:r>
      <w:r>
        <w:rPr>
          <w:rFonts w:hint="eastAsia" w:ascii="仿宋" w:hAnsi="仿宋" w:eastAsia="仿宋" w:cs="仿宋"/>
          <w:color w:val="auto"/>
          <w:kern w:val="0"/>
          <w:sz w:val="24"/>
          <w:highlight w:val="none"/>
          <w:lang w:val="nl-NL" w:eastAsia="zh-CN"/>
        </w:rPr>
        <w:t>正常</w:t>
      </w:r>
      <w:r>
        <w:rPr>
          <w:rFonts w:hint="eastAsia" w:ascii="仿宋" w:hAnsi="仿宋" w:eastAsia="仿宋" w:cs="仿宋"/>
          <w:color w:val="auto"/>
          <w:kern w:val="0"/>
          <w:sz w:val="24"/>
          <w:highlight w:val="none"/>
          <w:lang w:val="nl-NL"/>
        </w:rPr>
        <w:t>开机率须达到9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%以上，若达不到9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%开机率，按年自然日计算，开机不足</w:t>
      </w:r>
      <w:r>
        <w:rPr>
          <w:rFonts w:hint="eastAsia" w:ascii="仿宋" w:hAnsi="仿宋" w:eastAsia="仿宋" w:cs="仿宋"/>
          <w:color w:val="auto"/>
          <w:kern w:val="0"/>
          <w:sz w:val="24"/>
          <w:highlight w:val="none"/>
        </w:rPr>
        <w:t>1天</w:t>
      </w:r>
      <w:r>
        <w:rPr>
          <w:rFonts w:hint="eastAsia" w:ascii="仿宋" w:hAnsi="仿宋" w:eastAsia="仿宋" w:cs="仿宋"/>
          <w:color w:val="auto"/>
          <w:kern w:val="0"/>
          <w:sz w:val="24"/>
          <w:highlight w:val="none"/>
          <w:lang w:val="nl-NL"/>
        </w:rPr>
        <w:t>（</w:t>
      </w:r>
      <w:r>
        <w:rPr>
          <w:rFonts w:hint="eastAsia" w:ascii="仿宋" w:hAnsi="仿宋" w:eastAsia="仿宋" w:cs="仿宋"/>
          <w:color w:val="auto"/>
          <w:kern w:val="0"/>
          <w:sz w:val="24"/>
          <w:highlight w:val="none"/>
        </w:rPr>
        <w:t>24小时</w:t>
      </w:r>
      <w:r>
        <w:rPr>
          <w:rFonts w:hint="eastAsia" w:ascii="仿宋" w:hAnsi="仿宋" w:eastAsia="仿宋" w:cs="仿宋"/>
          <w:color w:val="auto"/>
          <w:kern w:val="0"/>
          <w:sz w:val="24"/>
          <w:highlight w:val="none"/>
          <w:lang w:val="nl-NL"/>
        </w:rPr>
        <w:t>）保修期顺延10天。</w:t>
      </w:r>
    </w:p>
    <w:p w14:paraId="791DE850">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乙方应</w:t>
      </w:r>
      <w:r>
        <w:rPr>
          <w:rFonts w:hint="eastAsia" w:ascii="仿宋" w:hAnsi="仿宋" w:eastAsia="仿宋" w:cs="仿宋"/>
          <w:bCs/>
          <w:color w:val="auto"/>
          <w:sz w:val="24"/>
          <w:highlight w:val="none"/>
        </w:rPr>
        <w:t>提供24小时技术电话支持(24小时x365天)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并提供报修电话，以及维修服务网点、人员联系方式。接到报修电话后15分钟内提供专业工程师电话支持。如需派工上门，1小时内确认派工信息和工程师到达医院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(特殊设备因未及时修复给采购方带来损失，采购方有权要求中标方赔偿所有损失)。</w:t>
      </w:r>
      <w:r>
        <w:rPr>
          <w:rFonts w:hint="eastAsia" w:ascii="仿宋" w:hAnsi="仿宋" w:eastAsia="仿宋" w:cs="仿宋"/>
          <w:color w:val="auto"/>
          <w:kern w:val="0"/>
          <w:sz w:val="24"/>
          <w:highlight w:val="none"/>
        </w:rPr>
        <w:t>若因乙方响应不及时、技术服务质量问题导致甲方设备不能及时修复或数据丢失等情况造成甲方损失的，乙方应承担相应经济责任和法律责任。</w:t>
      </w:r>
    </w:p>
    <w:p w14:paraId="21E6198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w:t>
      </w:r>
      <w:r>
        <w:rPr>
          <w:rFonts w:hint="eastAsia" w:ascii="仿宋" w:hAnsi="仿宋" w:eastAsia="仿宋" w:cs="仿宋"/>
          <w:color w:val="auto"/>
          <w:kern w:val="0"/>
          <w:sz w:val="24"/>
          <w:highlight w:val="none"/>
          <w:lang w:eastAsia="zh-CN" w:bidi="ar"/>
        </w:rPr>
        <w:t>负责</w:t>
      </w:r>
      <w:r>
        <w:rPr>
          <w:rFonts w:hint="eastAsia" w:ascii="仿宋" w:hAnsi="仿宋" w:eastAsia="仿宋" w:cs="仿宋"/>
          <w:color w:val="auto"/>
          <w:kern w:val="0"/>
          <w:sz w:val="24"/>
          <w:highlight w:val="none"/>
          <w:lang w:bidi="ar"/>
        </w:rPr>
        <w:t>维修，由此产生的一切费用均由乙方承担。在质保期内，乙方派员须每3个月对所提供的设备进行检查和保养，并提供书面报告。</w:t>
      </w:r>
    </w:p>
    <w:p w14:paraId="36A40DB5">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67906DD9">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highlight w:val="none"/>
        </w:rPr>
        <w:t>合同签订后，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接</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60</w:t>
      </w:r>
      <w:r>
        <w:rPr>
          <w:rFonts w:hint="eastAsia" w:ascii="仿宋" w:hAnsi="仿宋" w:eastAsia="仿宋" w:cs="仿宋"/>
          <w:bCs/>
          <w:color w:val="auto"/>
          <w:sz w:val="24"/>
          <w:highlight w:val="none"/>
        </w:rPr>
        <w:t>天内</w:t>
      </w:r>
      <w:r>
        <w:rPr>
          <w:rFonts w:hint="eastAsia" w:ascii="仿宋" w:hAnsi="仿宋" w:eastAsia="仿宋" w:cs="仿宋"/>
          <w:color w:val="auto"/>
          <w:kern w:val="0"/>
          <w:sz w:val="24"/>
          <w:highlight w:val="none"/>
        </w:rPr>
        <w:t>将所供设备运至甲方事先指定的地点</w:t>
      </w:r>
      <w:r>
        <w:rPr>
          <w:rFonts w:hint="eastAsia" w:ascii="仿宋" w:hAnsi="仿宋" w:eastAsia="仿宋" w:cs="仿宋"/>
          <w:color w:val="auto"/>
          <w:kern w:val="0"/>
          <w:sz w:val="24"/>
          <w:highlight w:val="none"/>
          <w:lang w:eastAsia="zh-CN"/>
        </w:rPr>
        <w:t>。</w:t>
      </w:r>
    </w:p>
    <w:p w14:paraId="64FDEA7F">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通知后安装和调试</w:t>
      </w:r>
      <w:r>
        <w:rPr>
          <w:rFonts w:hint="eastAsia" w:ascii="仿宋" w:hAnsi="仿宋" w:eastAsia="仿宋" w:cs="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应承担由此给</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设备科签章后进行设备安装</w:t>
      </w:r>
      <w:r>
        <w:rPr>
          <w:rFonts w:hint="eastAsia" w:ascii="仿宋" w:hAnsi="仿宋" w:eastAsia="仿宋" w:cs="仿宋"/>
          <w:color w:val="auto"/>
          <w:kern w:val="0"/>
          <w:sz w:val="24"/>
          <w:szCs w:val="24"/>
          <w:highlight w:val="none"/>
          <w:lang w:eastAsia="zh-CN"/>
        </w:rPr>
        <w:t>。</w:t>
      </w:r>
    </w:p>
    <w:p w14:paraId="4665B14B">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并验收合格期间产生的包装费、安装费、运输费、保险费、装卸费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14:paraId="09CBAA9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603910F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7EDE7D6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5A84793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7F8102D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7EE4C20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，延迟交货每1天，按合同金额0.5%支付，不足1天按1天计算，最高违约金为合同总价的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6BB4B54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69EEAF2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40E766F9">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422010B">
      <w:pPr>
        <w:pStyle w:val="23"/>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3E220A21">
      <w:pPr>
        <w:pStyle w:val="23"/>
        <w:shd w:val="clear"/>
        <w:snapToGrid/>
        <w:spacing w:line="360" w:lineRule="auto"/>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229EDF98">
      <w:pPr>
        <w:pStyle w:val="23"/>
        <w:shd w:val="clear"/>
        <w:snapToGrid/>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45AB8488">
      <w:pPr>
        <w:pStyle w:val="23"/>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2FBCEEEF">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7B6ED08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41217E9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2C1C0FAA">
      <w:pPr>
        <w:pStyle w:val="50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廉洁协议书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，杜绝商业贿赂。</w:t>
      </w:r>
    </w:p>
    <w:p w14:paraId="00294B4D">
      <w:pPr>
        <w:pStyle w:val="50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7280CD3C">
      <w:pPr>
        <w:pStyle w:val="505"/>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6A46311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1145E51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1088CFF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1FB7729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542EDF63">
      <w:pPr>
        <w:pStyle w:val="23"/>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2"/>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1B52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0A93B2F9">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30E80F59">
            <w:pPr>
              <w:pStyle w:val="61"/>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064887D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51BE4D6D">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3BF8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C286BBA">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37309381">
            <w:pPr>
              <w:pStyle w:val="61"/>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3617778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004087EF">
            <w:pPr>
              <w:pStyle w:val="61"/>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664E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48502D36">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679DAAF9">
            <w:pPr>
              <w:pStyle w:val="61"/>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65029365">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1FF1F3AF">
            <w:pPr>
              <w:pStyle w:val="61"/>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30A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06A8B82F">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6A586EEA">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2BCA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551A4892">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695AF99E">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14D89C62">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225DCF30">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AAE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3299A0A1">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68C27EA2">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4DA09A76">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5534E0FD">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7DD8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43206ABF">
            <w:pPr>
              <w:pStyle w:val="61"/>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21E95185">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6F1B16D1">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7671F8A5">
            <w:pPr>
              <w:pStyle w:val="61"/>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F46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61BFA4D0">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B61F2E4">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61FF7F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0CE159B3">
            <w:pPr>
              <w:pStyle w:val="61"/>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5735FB1">
      <w:pPr>
        <w:pStyle w:val="39"/>
        <w:shd w:val="clear"/>
        <w:spacing w:line="360" w:lineRule="auto"/>
        <w:rPr>
          <w:rFonts w:hint="eastAsia" w:ascii="仿宋" w:hAnsi="仿宋" w:eastAsia="仿宋" w:cs="仿宋"/>
          <w:color w:val="auto"/>
          <w:kern w:val="0"/>
          <w:sz w:val="24"/>
          <w:highlight w:val="none"/>
          <w:lang w:val="en-US" w:eastAsia="zh-CN"/>
        </w:rPr>
      </w:pPr>
    </w:p>
    <w:p w14:paraId="7382FCC4">
      <w:pPr>
        <w:pStyle w:val="39"/>
        <w:shd w:val="clear"/>
        <w:spacing w:line="360" w:lineRule="auto"/>
        <w:rPr>
          <w:rFonts w:hint="eastAsia" w:ascii="仿宋" w:hAnsi="仿宋" w:eastAsia="仿宋" w:cs="仿宋"/>
          <w:color w:val="auto"/>
          <w:kern w:val="0"/>
          <w:sz w:val="24"/>
          <w:highlight w:val="none"/>
          <w:lang w:val="en-US" w:eastAsia="zh-CN"/>
        </w:rPr>
      </w:pPr>
    </w:p>
    <w:p w14:paraId="6A7B1A02">
      <w:pPr>
        <w:pStyle w:val="39"/>
        <w:shd w:val="clear"/>
        <w:spacing w:line="360" w:lineRule="auto"/>
        <w:rPr>
          <w:rFonts w:hint="eastAsia" w:ascii="仿宋" w:hAnsi="仿宋" w:eastAsia="仿宋" w:cs="仿宋"/>
          <w:color w:val="auto"/>
          <w:kern w:val="0"/>
          <w:sz w:val="24"/>
          <w:highlight w:val="none"/>
          <w:lang w:val="en-US" w:eastAsia="zh-CN"/>
        </w:rPr>
      </w:pPr>
    </w:p>
    <w:p w14:paraId="0C0CF589">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77032DF3">
      <w:pPr>
        <w:pStyle w:val="39"/>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2"/>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3BAB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5163B9E8">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46DAEC02">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6740D4B9">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14974CE7">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500313A2">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595B2AD9">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536303FE">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7A34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57BE55BB">
            <w:pPr>
              <w:pStyle w:val="50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31AB3039">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277616B">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CA0B629">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8399822">
            <w:pPr>
              <w:pStyle w:val="502"/>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CF2C578">
            <w:pPr>
              <w:pStyle w:val="50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2AC815B">
            <w:pPr>
              <w:pStyle w:val="502"/>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CFBE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37FD402E">
            <w:pPr>
              <w:pStyle w:val="502"/>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20F6F713">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3FEA33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4C1056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B5701A9">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08D80B6">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7C8EF0F">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11D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6EE204B">
            <w:pPr>
              <w:pStyle w:val="50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2A0D75FF">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D2C8D9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1532FF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A9CDED1">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BC30A29">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C141A95">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4BEC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E452479">
            <w:pPr>
              <w:pStyle w:val="50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4D0A538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4455C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14B88B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E45C70F">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13F2BBF">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FB800D2">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8C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E14B002">
            <w:pPr>
              <w:pStyle w:val="50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0604DA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516DBA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CFA57D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861CA37">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6AFE7F9">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816527D">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F64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37EF58C">
            <w:pPr>
              <w:pStyle w:val="502"/>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39C2110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7FC9DC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9C3578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37623D74">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96422BA">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ED8373D">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B267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108CA8D">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57ECD95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6A9170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54E40E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6A248A3">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972ABC7">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2A4F48">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5BE3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3D1E2376">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0106817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6ECF9B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B9F3E2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F2550C8">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D4BF1EA">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BC5D95E">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7EE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34A486E1">
            <w:pPr>
              <w:pStyle w:val="50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4C6A998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6B312B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A85FFB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173D925">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2678775">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CE34C5B">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4F7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5BC7A339">
            <w:pPr>
              <w:pStyle w:val="50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D048CCC">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7DA2A9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B4D7EA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8F347C8">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06751A1">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7BA50DF">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AE5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4965F45C">
            <w:pPr>
              <w:pStyle w:val="50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4AAF873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EED6A7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68E678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65671E2">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FADD656">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771B1BA">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37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3CD6C93F">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0319634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69775EC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5EBDA6A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2C2A158D">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495FABA2">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42E0C7F5">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039972DC">
      <w:pPr>
        <w:shd w:val="clear"/>
        <w:spacing w:line="360" w:lineRule="auto"/>
        <w:rPr>
          <w:rFonts w:hint="eastAsia" w:ascii="仿宋" w:hAnsi="仿宋" w:eastAsia="仿宋" w:cs="仿宋"/>
          <w:color w:val="auto"/>
          <w:sz w:val="24"/>
          <w:highlight w:val="none"/>
        </w:rPr>
      </w:pPr>
    </w:p>
    <w:p w14:paraId="10FD990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EC84D1">
      <w:pPr>
        <w:pStyle w:val="580"/>
        <w:shd w:val="clear"/>
        <w:ind w:left="0" w:leftChars="0" w:firstLine="0" w:firstLineChars="0"/>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附件2：</w:t>
      </w:r>
    </w:p>
    <w:p w14:paraId="7017C02F">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30"/>
          <w:szCs w:val="30"/>
        </w:rPr>
        <w:t>廉</w:t>
      </w:r>
      <w:r>
        <w:rPr>
          <w:rFonts w:hint="eastAsia" w:ascii="仿宋_GB2312" w:hAnsi="仿宋_GB2312" w:eastAsia="仿宋_GB2312" w:cs="仿宋_GB2312"/>
          <w:sz w:val="30"/>
          <w:szCs w:val="30"/>
          <w:lang w:eastAsia="zh-CN"/>
        </w:rPr>
        <w:t>洁</w:t>
      </w:r>
      <w:r>
        <w:rPr>
          <w:rFonts w:hint="eastAsia" w:ascii="仿宋_GB2312" w:hAnsi="仿宋_GB2312" w:eastAsia="仿宋_GB2312" w:cs="仿宋_GB2312"/>
          <w:sz w:val="30"/>
          <w:szCs w:val="30"/>
        </w:rPr>
        <w:t>协议书</w:t>
      </w:r>
    </w:p>
    <w:p w14:paraId="394B1F34">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甲方：杭州市萧山区第一人民医院</w:t>
      </w:r>
    </w:p>
    <w:p w14:paraId="55A10F80">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w:t>
      </w:r>
    </w:p>
    <w:p w14:paraId="324EF16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为加强党风廉政建设，推进清廉建设，进一步构建“亲清”守纪医商关系，认真贯彻公平、公正、公开的原则，建立有效的反商业贿赂机制，防止经营活动中不正之风和腐败现象的发生，共同营造诚实守信、风清气正、和谐规范的医药购销环境。经双方协商同意，签订本协议并共同遵守。</w:t>
      </w:r>
    </w:p>
    <w:p w14:paraId="55E6901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第一条  协议双方须严格遵守国家法律、廉政建设各项规定和《医疗机构工作人员廉洁从业九项准则》及采购合同，双方有相互监督、遵纪守法、履行合同的义务和权利。</w:t>
      </w:r>
    </w:p>
    <w:p w14:paraId="3C63DEE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第二条  甲方及有关工作人员不得将接受捐赠资助与采购挂钩；不得利用职务便利以任何理由向乙方索要任何名义、形式给予的回扣；不得去乙方报销应由甲方及个人支付的费用；不得参加由乙方安排、组织或者支付费用的可能对公正执行公务有影响的宴请或者旅游、健身、娱乐等活动；不得对乙方无理刁难或设卡；不得利用任何途径和方式，为乙方统计医师个人及临床科室有关医药产品用量信息，或为乙方统计提供便利。</w:t>
      </w:r>
    </w:p>
    <w:p w14:paraId="2A80F60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第三条  乙方在经营活动中必须加强规范经营，遵守法律法规和“阳光接待”要求、合同规定，积极配合医院做好工作，不得为获取自身利益而向甲方及有关工作人员赠送礼品、礼金、消费卡和有价证券、股权、其他金融产品等财物；不得与甲方及有关工作人员就合同的有关事宜进行任何不正当的私下交易；不得以洽谈业务、签订合同等为借口邀请甲方及有关工作人员参加宴请或者旅游、健身、娱乐等活动。 </w:t>
      </w:r>
    </w:p>
    <w:p w14:paraId="4D65ACE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第四条  乙方对甲方及有关工作人员的违法违纪行为和不正当要求，可及时据实向甲方纪检监察部门反映和举报，并配合调查处理。</w:t>
      </w:r>
    </w:p>
    <w:p w14:paraId="3881582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第五条  对违反本协议者，根据其后果和违纪程度，可以做出以下处理：批评、诫勉；党纪政纪处分；追究法律责任；追究违约方经济责任；中止合同。</w:t>
      </w:r>
    </w:p>
    <w:p w14:paraId="34A3422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第六条  本协议贯穿于整个经营过程，在货物验收时应一并考核本协议的履行结果。</w:t>
      </w:r>
    </w:p>
    <w:p w14:paraId="22C5318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第七条  杭州市萧山区第一人民医院纪委、监察部门负责本合同的廉政监督，投诉、举报受理和违法违纪行为的查处。</w:t>
      </w:r>
    </w:p>
    <w:p w14:paraId="10095E1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第八条  本协议作为双方合同的附件和重要组成部分，与购销合同一并签署并执行，具有同等的法律效力。</w:t>
      </w:r>
    </w:p>
    <w:p w14:paraId="5C07D81B">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采购项目名称： </w:t>
      </w:r>
    </w:p>
    <w:p w14:paraId="68F48CD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项目编号：</w:t>
      </w:r>
    </w:p>
    <w:p w14:paraId="53FCF982">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甲方(盖章):                          乙方(盖章):</w:t>
      </w:r>
    </w:p>
    <w:p w14:paraId="39414725">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                           法定代表人</w:t>
      </w:r>
    </w:p>
    <w:p w14:paraId="3B3E364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或授权代表(签名):                    或授权代表(签名):</w:t>
      </w:r>
    </w:p>
    <w:p w14:paraId="2528AC31">
      <w:pPr>
        <w:keepNext w:val="0"/>
        <w:keepLines w:val="0"/>
        <w:pageBreakBefore w:val="0"/>
        <w:widowControl w:val="0"/>
        <w:kinsoku/>
        <w:wordWrap/>
        <w:overflowPunct/>
        <w:topLinePunct w:val="0"/>
        <w:autoSpaceDE/>
        <w:autoSpaceDN/>
        <w:bidi w:val="0"/>
        <w:spacing w:line="320" w:lineRule="exact"/>
        <w:ind w:firstLine="240" w:firstLineChars="100"/>
        <w:textAlignment w:val="auto"/>
        <w:rPr>
          <w:rFonts w:hint="eastAsia" w:ascii="仿宋" w:hAnsi="仿宋" w:eastAsia="仿宋" w:cs="仿宋"/>
          <w:color w:val="auto"/>
          <w:kern w:val="0"/>
          <w:sz w:val="24"/>
          <w:szCs w:val="24"/>
          <w:highlight w:val="none"/>
          <w:lang w:val="en-US" w:eastAsia="zh-CN" w:bidi="ar-SA"/>
        </w:rPr>
      </w:pPr>
    </w:p>
    <w:p w14:paraId="58E66AA1">
      <w:pPr>
        <w:keepNext w:val="0"/>
        <w:keepLines w:val="0"/>
        <w:pageBreakBefore w:val="0"/>
        <w:widowControl w:val="0"/>
        <w:kinsoku/>
        <w:wordWrap/>
        <w:overflowPunct/>
        <w:topLinePunct w:val="0"/>
        <w:autoSpaceDE/>
        <w:autoSpaceDN/>
        <w:bidi w:val="0"/>
        <w:spacing w:line="320" w:lineRule="exact"/>
        <w:ind w:firstLine="1680" w:firstLineChars="7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年   月   日                        年    月    日</w:t>
      </w:r>
    </w:p>
    <w:p w14:paraId="1CFE1144">
      <w:pPr>
        <w:rPr>
          <w:rFonts w:hint="eastAsia" w:ascii="仿宋" w:hAnsi="仿宋" w:eastAsia="仿宋" w:cs="仿宋"/>
          <w:highlight w:val="none"/>
        </w:rPr>
      </w:pPr>
    </w:p>
    <w:p w14:paraId="1BDC6500">
      <w:pPr>
        <w:rPr>
          <w:rFonts w:hint="eastAsia" w:ascii="仿宋" w:hAnsi="仿宋" w:eastAsia="仿宋" w:cs="仿宋"/>
          <w:highlight w:val="none"/>
        </w:rPr>
      </w:pPr>
    </w:p>
    <w:p w14:paraId="704AEC8A">
      <w:pPr>
        <w:rPr>
          <w:rFonts w:hint="eastAsia" w:ascii="仿宋" w:hAnsi="仿宋" w:eastAsia="仿宋" w:cs="仿宋"/>
          <w:highlight w:val="none"/>
        </w:rPr>
      </w:pPr>
    </w:p>
    <w:p w14:paraId="7CF02820">
      <w:pPr>
        <w:rPr>
          <w:rFonts w:hint="eastAsia" w:ascii="仿宋" w:hAnsi="仿宋" w:eastAsia="仿宋" w:cs="仿宋"/>
          <w:highlight w:val="none"/>
        </w:rPr>
      </w:pPr>
    </w:p>
    <w:p w14:paraId="226A0839">
      <w:pPr>
        <w:rPr>
          <w:rFonts w:hint="eastAsia" w:ascii="仿宋" w:hAnsi="仿宋" w:eastAsia="仿宋" w:cs="仿宋"/>
          <w:highlight w:val="none"/>
        </w:rPr>
      </w:pPr>
    </w:p>
    <w:p w14:paraId="7161E10C">
      <w:pPr>
        <w:rPr>
          <w:rFonts w:hint="eastAsia" w:ascii="仿宋" w:hAnsi="仿宋" w:eastAsia="仿宋" w:cs="仿宋"/>
          <w:highlight w:val="none"/>
        </w:rPr>
      </w:pPr>
    </w:p>
    <w:p w14:paraId="7301360B">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02B455A8">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4EFC9B1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B07C75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3331E45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9A2DCF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F1F078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06AA97A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1629AC8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6DE68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8C7DFF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5467C91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52527C58">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（交易发起人）、（采购代理机构）：</w:t>
      </w:r>
    </w:p>
    <w:p w14:paraId="0BFFFF7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（项目名称）【交易编号：】</w:t>
      </w:r>
      <w:r>
        <w:rPr>
          <w:rFonts w:hint="eastAsia" w:ascii="仿宋" w:hAnsi="仿宋" w:eastAsia="仿宋" w:cs="仿宋"/>
          <w:color w:val="000000" w:themeColor="text1"/>
          <w:sz w:val="24"/>
          <w:highlight w:val="none"/>
          <w14:textFill>
            <w14:solidFill>
              <w14:schemeClr w14:val="tx1"/>
            </w14:solidFill>
          </w14:textFill>
        </w:rPr>
        <w:t>采购活动，郑重承诺：</w:t>
      </w:r>
    </w:p>
    <w:p w14:paraId="2641873C">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（一）具备以下条件：</w:t>
      </w:r>
    </w:p>
    <w:p w14:paraId="7287B37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7C371C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5A3F324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03DB720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9A4ED3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5F3E5A7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13B8D64">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20EF8214">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635C2F6F">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56295E4">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7EA29C3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EE52F9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3AC91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42B57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44DB0C">
      <w:pPr>
        <w:rPr>
          <w:rFonts w:hint="eastAsia" w:ascii="仿宋" w:hAnsi="仿宋" w:eastAsia="仿宋" w:cs="仿宋"/>
          <w:color w:val="000000" w:themeColor="text1"/>
          <w:highlight w:val="none"/>
          <w14:textFill>
            <w14:solidFill>
              <w14:schemeClr w14:val="tx1"/>
            </w14:solidFill>
          </w14:textFill>
        </w:rPr>
      </w:pPr>
    </w:p>
    <w:p w14:paraId="5FF92E8C">
      <w:pPr>
        <w:rPr>
          <w:rFonts w:hint="eastAsia" w:ascii="仿宋" w:hAnsi="仿宋" w:eastAsia="仿宋" w:cs="仿宋"/>
          <w:b/>
          <w:color w:val="000000" w:themeColor="text1"/>
          <w:kern w:val="0"/>
          <w:sz w:val="32"/>
          <w:szCs w:val="32"/>
          <w:highlight w:val="none"/>
          <w14:textFill>
            <w14:solidFill>
              <w14:schemeClr w14:val="tx1"/>
            </w14:solidFill>
          </w14:textFill>
        </w:rPr>
      </w:pPr>
    </w:p>
    <w:p w14:paraId="24D3917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7FBA2D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F871B2">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6F75C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C719F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6612301">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CD97FA">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484BF0C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（根据交易公告本项目的特定资格要求提供相应的材料；未要求的，无需提供）</w:t>
      </w:r>
    </w:p>
    <w:p w14:paraId="1F7F4F8C">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1CCA289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E854C7">
      <w:pPr>
        <w:rPr>
          <w:rFonts w:hint="eastAsia" w:ascii="仿宋" w:hAnsi="仿宋" w:eastAsia="仿宋" w:cs="仿宋"/>
          <w:color w:val="000000" w:themeColor="text1"/>
          <w:highlight w:val="none"/>
          <w14:textFill>
            <w14:solidFill>
              <w14:schemeClr w14:val="tx1"/>
            </w14:solidFill>
          </w14:textFill>
        </w:rPr>
      </w:pPr>
    </w:p>
    <w:p w14:paraId="78DB00D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A93A7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CB8B3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A0A9A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B0C75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68F5F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23306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214371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F0CCD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6B6663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359A7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7683453">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76C0A1CB">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60AB72B2">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E79563C">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0FE925EF">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45F265C2">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2E1158A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6CD5B27">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70E72E98">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791F4191">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采购投标人廉洁自律承诺书</w:t>
      </w:r>
      <w:r>
        <w:rPr>
          <w:rFonts w:hint="eastAsia" w:ascii="仿宋" w:hAnsi="仿宋" w:eastAsia="仿宋" w:cs="仿宋"/>
          <w:color w:val="000000" w:themeColor="text1"/>
          <w:highlight w:val="none"/>
          <w14:textFill>
            <w14:solidFill>
              <w14:schemeClr w14:val="tx1"/>
            </w14:solidFill>
          </w14:textFill>
        </w:rPr>
        <w:t>…………………………………………………（页码）</w:t>
      </w:r>
    </w:p>
    <w:p w14:paraId="71C129A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5D163E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CF8919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BC0064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E81F91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ACDEC7">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6DCBC0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74ADB0F">
      <w:pPr>
        <w:rPr>
          <w:rFonts w:hint="eastAsia" w:ascii="仿宋" w:hAnsi="仿宋" w:eastAsia="仿宋" w:cs="仿宋"/>
          <w:color w:val="000000" w:themeColor="text1"/>
          <w:highlight w:val="none"/>
          <w14:textFill>
            <w14:solidFill>
              <w14:schemeClr w14:val="tx1"/>
            </w14:solidFill>
          </w14:textFill>
        </w:rPr>
      </w:pPr>
    </w:p>
    <w:p w14:paraId="55642057">
      <w:pPr>
        <w:snapToGrid w:val="0"/>
        <w:spacing w:line="360" w:lineRule="auto"/>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BF64699">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70BA39CC">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一、交易函</w:t>
      </w:r>
    </w:p>
    <w:p w14:paraId="193D4CE6">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（交易发起人）、（采购代理机构）：</w:t>
      </w:r>
    </w:p>
    <w:p w14:paraId="18F902D0">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（项目名称）【交易编号：】</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7E0382CB">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本响应文件在交易有效期满之前均具有约束力。</w:t>
      </w:r>
    </w:p>
    <w:p w14:paraId="79A05EB8">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2、我方的响应文件包括以下内容：</w:t>
      </w:r>
    </w:p>
    <w:p w14:paraId="53B4FF20">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22496AEE">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2C352F69">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37045DE1">
      <w:pPr>
        <w:snapToGrid w:val="0"/>
        <w:spacing w:line="440" w:lineRule="exact"/>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2791390A">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2.2.1交易函；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0328B9D">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6D8040FB">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2DE70A5C">
      <w:pPr>
        <w:snapToGrid w:val="0"/>
        <w:spacing w:line="440" w:lineRule="exact"/>
        <w:ind w:left="420" w:lef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26F7ECE1">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2.2.5响应标的清单；</w:t>
      </w:r>
    </w:p>
    <w:p w14:paraId="3148C972">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28268E8F">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采购投标人廉洁自律承诺书</w:t>
      </w:r>
    </w:p>
    <w:p w14:paraId="48060940">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B36BD4B">
      <w:pPr>
        <w:snapToGrid w:val="0"/>
        <w:spacing w:line="44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2.3.1交易一览表（报价表）；</w:t>
      </w:r>
    </w:p>
    <w:p w14:paraId="59A96DD5">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3、我方承诺除商务技术偏离表列出的偏离外，我方响应交易文件的全部要求。</w:t>
      </w:r>
    </w:p>
    <w:p w14:paraId="1437B7F4">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4、如我方成交，我方承诺：</w:t>
      </w:r>
    </w:p>
    <w:p w14:paraId="38EFC0C6">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4.1在收到成交通知书后，在成交通知书规定的期限内与你方签订合同； </w:t>
      </w:r>
    </w:p>
    <w:p w14:paraId="66AEF94F">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2D5333EF">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4.3按照交易文件要求提交履约保证金； </w:t>
      </w:r>
    </w:p>
    <w:p w14:paraId="6C2189D1">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1D9EC4F5">
      <w:pPr>
        <w:snapToGrid w:val="0"/>
        <w:spacing w:line="440" w:lineRule="exact"/>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833929E">
      <w:pPr>
        <w:spacing w:line="440" w:lineRule="exact"/>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4035708A">
      <w:pPr>
        <w:spacing w:line="440" w:lineRule="exact"/>
        <w:jc w:val="center"/>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B01AA7E">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469DA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49B47F">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78C1C6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56BFC03">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346C515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（交易发起人）、（采购代理机构）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5FEA69C">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（项目名称）【交易编号：（采购编号）】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6AA0FB3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14571E8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26D9D8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DAD18D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766E93A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E099DF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70F2B10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C1DBA5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55FD2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ADE822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1841A7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252680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FAB8AC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A127E2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2BEA74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F2B3E3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26EE01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EFAD0A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A97911F">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投标人</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7A3F77DC">
      <w:pPr>
        <w:pStyle w:val="62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64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F350062">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1FE2306C">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4370398E">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1138841">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599E3974">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F2C88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8B15F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C8E50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C89D3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9C9E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5C00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438A6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D2D57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0F66C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187977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FA533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FA535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2A96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6A948A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F224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86039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F75AB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2B342D">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三、符合性审查资料</w:t>
      </w:r>
    </w:p>
    <w:p w14:paraId="68A5DE6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A9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B8B6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681A2A8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21B00036">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29797DEF">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w:t>
            </w:r>
          </w:p>
          <w:p w14:paraId="5DCDB1E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6EF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7429E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6E06E83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响应文件按照交易文件要求签署、盖章。</w:t>
            </w:r>
          </w:p>
        </w:tc>
        <w:tc>
          <w:tcPr>
            <w:tcW w:w="3566" w:type="dxa"/>
            <w:vAlign w:val="center"/>
          </w:tcPr>
          <w:p w14:paraId="1FE27A8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74A5C107">
            <w:pPr>
              <w:jc w:val="center"/>
              <w:rPr>
                <w:rFonts w:hint="eastAsia" w:ascii="仿宋" w:hAnsi="仿宋" w:eastAsia="仿宋" w:cs="仿宋"/>
                <w:color w:val="000000" w:themeColor="text1"/>
                <w:sz w:val="24"/>
                <w:highlight w:val="none"/>
                <w14:textFill>
                  <w14:solidFill>
                    <w14:schemeClr w14:val="tx1"/>
                  </w14:solidFill>
                </w14:textFill>
              </w:rPr>
            </w:pPr>
          </w:p>
          <w:p w14:paraId="798C95B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210F40D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874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25B6F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11FC3FE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响应文件中承诺的交易有效期不少于交易文件中载明的交易有效期。</w:t>
            </w:r>
          </w:p>
        </w:tc>
        <w:tc>
          <w:tcPr>
            <w:tcW w:w="3566" w:type="dxa"/>
            <w:vAlign w:val="center"/>
          </w:tcPr>
          <w:p w14:paraId="239DC6F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交易函</w:t>
            </w:r>
          </w:p>
        </w:tc>
        <w:tc>
          <w:tcPr>
            <w:tcW w:w="1418" w:type="dxa"/>
            <w:vAlign w:val="center"/>
          </w:tcPr>
          <w:p w14:paraId="283BBD0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E5D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9E54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0D5E54D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响应文件满足交易文件的其它实质性要求。</w:t>
            </w:r>
          </w:p>
        </w:tc>
        <w:tc>
          <w:tcPr>
            <w:tcW w:w="3566" w:type="dxa"/>
            <w:vAlign w:val="center"/>
          </w:tcPr>
          <w:p w14:paraId="52709A2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3DB7FE68">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4923EAE6">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8EBA82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CC50F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BB586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B443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1B962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8C201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37F73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A6EC0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93926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6741F32">
      <w:pPr>
        <w:rPr>
          <w:rFonts w:hint="eastAsia" w:ascii="仿宋" w:hAnsi="仿宋" w:eastAsia="仿宋" w:cs="仿宋"/>
          <w:b/>
          <w:color w:val="000000" w:themeColor="text1"/>
          <w:kern w:val="0"/>
          <w:sz w:val="32"/>
          <w:szCs w:val="32"/>
          <w:highlight w:val="none"/>
          <w14:textFill>
            <w14:solidFill>
              <w14:schemeClr w14:val="tx1"/>
            </w14:solidFill>
          </w14:textFill>
        </w:rPr>
      </w:pPr>
    </w:p>
    <w:p w14:paraId="79BFD2B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751FB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四、评标标准相应的商务技术资料</w:t>
      </w:r>
    </w:p>
    <w:p w14:paraId="540DFD5B">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（按交易文件第四部分交易办法前附表中“响应文件中评标标准相应的商务技术资料目录”提供资料。）</w:t>
      </w:r>
    </w:p>
    <w:p w14:paraId="3D03293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769C9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FD0DA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3E419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CD73E4">
      <w:pPr>
        <w:rPr>
          <w:rFonts w:hint="eastAsia" w:ascii="仿宋" w:hAnsi="仿宋" w:eastAsia="仿宋" w:cs="仿宋"/>
          <w:b/>
          <w:color w:val="000000" w:themeColor="text1"/>
          <w:kern w:val="0"/>
          <w:sz w:val="32"/>
          <w:szCs w:val="32"/>
          <w:highlight w:val="none"/>
          <w14:textFill>
            <w14:solidFill>
              <w14:schemeClr w14:val="tx1"/>
            </w14:solidFill>
          </w14:textFill>
        </w:rPr>
      </w:pPr>
    </w:p>
    <w:p w14:paraId="466AC748">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A4EF15F">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9599A7F">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173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E3C8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94C07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A5CA08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0ABEF48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6B922B4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6533D8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6B9702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42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EF0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B00D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1B69D2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CD08C7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6EAE234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D6A828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4C472D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D7B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4414C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D69E2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87483A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FF923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4671F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0AA4B3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958FA0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1E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19F2B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E1D13C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CDCC0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1D8428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2CF7243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440F5F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B10262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F4DC33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53FFBA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2AFAC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8958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FC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EE44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02A51C8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交易文件章节及具体内容</w:t>
            </w:r>
          </w:p>
        </w:tc>
        <w:tc>
          <w:tcPr>
            <w:tcW w:w="3546" w:type="dxa"/>
          </w:tcPr>
          <w:p w14:paraId="6B44277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tcPr>
          <w:p w14:paraId="4CB8D1C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97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33D3B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50C1E12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D76F46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D8F1E2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2C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CD1DF2">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07E95B0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B886B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F2484F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56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8F7F4">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51A9F1D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ECCEC2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985B21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99DFAA5">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响应交易文件的全部要求</w:t>
      </w:r>
    </w:p>
    <w:p w14:paraId="209612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156B5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3F1F5B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8B4E92">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6767F9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采购投标人廉洁自律承诺书</w:t>
      </w:r>
    </w:p>
    <w:p w14:paraId="079B80F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EAD74A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（交易发起人）、（采购代理机构）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7EF9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54F6DF2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52EB96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5B9D2E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18B867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79257E0A">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CC97626">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8E75E4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20FAD37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0F37ABD">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BDD9F24">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2E92EA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21AF950">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101FE89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59D37D0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EFFD3C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footerReference r:id="rId8" w:type="first"/>
          <w:footerReference r:id="rId7" w:type="default"/>
          <w:pgSz w:w="11906" w:h="16838"/>
          <w:pgMar w:top="1276" w:right="1418" w:bottom="1247" w:left="1418" w:header="851" w:footer="992" w:gutter="0"/>
          <w:pgNumType w:fmt="decimal" w:start="1"/>
          <w:cols w:space="720" w:num="1"/>
          <w:titlePg/>
          <w:docGrid w:linePitch="312" w:charSpace="0"/>
        </w:sectPr>
      </w:pPr>
    </w:p>
    <w:p w14:paraId="540AD9E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0977EA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DD97EB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3D09E6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（1）交易一览表（报价表）………………………………………………………（页码）</w:t>
      </w:r>
    </w:p>
    <w:p w14:paraId="674A3DC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8EC3EA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50EA8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99B87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61A0A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03786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21AAE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5A588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953AE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CB85E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15721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E6F291">
      <w:pPr>
        <w:pStyle w:val="59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47" w:right="1418" w:bottom="1276" w:left="1418" w:header="851" w:footer="992" w:gutter="0"/>
          <w:pgNumType w:fmt="decimal"/>
          <w:cols w:space="720" w:num="1"/>
          <w:titlePg/>
          <w:docGrid w:linePitch="312" w:charSpace="0"/>
        </w:sectPr>
      </w:pPr>
    </w:p>
    <w:p w14:paraId="2386AAEA">
      <w:pPr>
        <w:pStyle w:val="599"/>
        <w:keepNext w:val="0"/>
        <w:pageBreakBefore w:val="0"/>
        <w:tabs>
          <w:tab w:val="clear" w:pos="720"/>
        </w:tabs>
        <w:snapToGrid w:val="0"/>
        <w:spacing w:before="120" w:after="12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一、交易一览表（报价表）</w:t>
      </w:r>
    </w:p>
    <w:p w14:paraId="3FE6F25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（交易发起人）、（代理机构）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F9459C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007866">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9E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195F41C">
            <w:pPr>
              <w:jc w:val="center"/>
              <w:rPr>
                <w:rFonts w:hint="eastAsia" w:ascii="仿宋" w:hAnsi="仿宋" w:eastAsia="仿宋" w:cs="仿宋"/>
                <w:b/>
                <w:highlight w:val="none"/>
              </w:rPr>
            </w:pPr>
            <w:r>
              <w:rPr>
                <w:rFonts w:hint="eastAsia" w:ascii="仿宋" w:hAnsi="仿宋" w:eastAsia="仿宋" w:cs="仿宋"/>
                <w:b/>
                <w:highlight w:val="none"/>
              </w:rPr>
              <w:t>序号</w:t>
            </w:r>
          </w:p>
        </w:tc>
        <w:tc>
          <w:tcPr>
            <w:tcW w:w="1417" w:type="dxa"/>
            <w:vAlign w:val="center"/>
          </w:tcPr>
          <w:p w14:paraId="3539E8B6">
            <w:pPr>
              <w:jc w:val="center"/>
              <w:rPr>
                <w:rFonts w:hint="eastAsia" w:ascii="仿宋" w:hAnsi="仿宋" w:eastAsia="仿宋" w:cs="仿宋"/>
                <w:b/>
                <w:highlight w:val="none"/>
              </w:rPr>
            </w:pPr>
            <w:r>
              <w:rPr>
                <w:rFonts w:hint="eastAsia" w:ascii="仿宋" w:hAnsi="仿宋" w:eastAsia="仿宋" w:cs="仿宋"/>
                <w:b/>
                <w:highlight w:val="none"/>
              </w:rPr>
              <w:t>名称</w:t>
            </w:r>
          </w:p>
        </w:tc>
        <w:tc>
          <w:tcPr>
            <w:tcW w:w="1843" w:type="dxa"/>
          </w:tcPr>
          <w:p w14:paraId="0547AA14">
            <w:pPr>
              <w:jc w:val="center"/>
              <w:rPr>
                <w:rFonts w:hint="eastAsia" w:ascii="仿宋" w:hAnsi="仿宋" w:eastAsia="仿宋" w:cs="仿宋"/>
                <w:b/>
                <w:highlight w:val="none"/>
              </w:rPr>
            </w:pPr>
          </w:p>
          <w:p w14:paraId="48A54E9A">
            <w:pPr>
              <w:jc w:val="center"/>
              <w:rPr>
                <w:rFonts w:hint="eastAsia" w:ascii="仿宋" w:hAnsi="仿宋" w:eastAsia="仿宋" w:cs="仿宋"/>
                <w:b/>
                <w:highlight w:val="none"/>
              </w:rPr>
            </w:pPr>
          </w:p>
          <w:p w14:paraId="61FE981F">
            <w:pPr>
              <w:jc w:val="center"/>
              <w:rPr>
                <w:rFonts w:hint="eastAsia" w:ascii="仿宋" w:hAnsi="仿宋" w:eastAsia="仿宋" w:cs="仿宋"/>
                <w:b/>
                <w:highlight w:val="none"/>
              </w:rPr>
            </w:pPr>
            <w:r>
              <w:rPr>
                <w:rFonts w:hint="eastAsia" w:ascii="仿宋" w:hAnsi="仿宋" w:eastAsia="仿宋" w:cs="仿宋"/>
                <w:b/>
                <w:highlight w:val="none"/>
              </w:rPr>
              <w:t>品牌（如果有）</w:t>
            </w:r>
          </w:p>
        </w:tc>
        <w:tc>
          <w:tcPr>
            <w:tcW w:w="3118" w:type="dxa"/>
            <w:vAlign w:val="center"/>
          </w:tcPr>
          <w:p w14:paraId="7589F646">
            <w:pPr>
              <w:jc w:val="center"/>
              <w:rPr>
                <w:rFonts w:hint="eastAsia" w:ascii="仿宋" w:hAnsi="仿宋" w:eastAsia="仿宋" w:cs="仿宋"/>
                <w:b/>
                <w:highlight w:val="none"/>
              </w:rPr>
            </w:pPr>
            <w:r>
              <w:rPr>
                <w:rFonts w:hint="eastAsia" w:ascii="仿宋" w:hAnsi="仿宋" w:eastAsia="仿宋" w:cs="仿宋"/>
                <w:b/>
                <w:highlight w:val="none"/>
              </w:rPr>
              <w:t>规格型号（或具体服务）</w:t>
            </w:r>
          </w:p>
        </w:tc>
        <w:tc>
          <w:tcPr>
            <w:tcW w:w="993" w:type="dxa"/>
            <w:vAlign w:val="center"/>
          </w:tcPr>
          <w:p w14:paraId="6B24055A">
            <w:pPr>
              <w:jc w:val="center"/>
              <w:rPr>
                <w:rFonts w:hint="eastAsia" w:ascii="仿宋" w:hAnsi="仿宋" w:eastAsia="仿宋" w:cs="仿宋"/>
                <w:b/>
                <w:highlight w:val="none"/>
              </w:rPr>
            </w:pPr>
            <w:r>
              <w:rPr>
                <w:rFonts w:hint="eastAsia" w:ascii="仿宋" w:hAnsi="仿宋" w:eastAsia="仿宋" w:cs="仿宋"/>
                <w:b/>
                <w:highlight w:val="none"/>
              </w:rPr>
              <w:t>数量</w:t>
            </w:r>
          </w:p>
        </w:tc>
        <w:tc>
          <w:tcPr>
            <w:tcW w:w="1559" w:type="dxa"/>
            <w:vAlign w:val="center"/>
          </w:tcPr>
          <w:p w14:paraId="735C5937">
            <w:pPr>
              <w:jc w:val="center"/>
              <w:rPr>
                <w:rFonts w:hint="eastAsia" w:ascii="仿宋" w:hAnsi="仿宋" w:eastAsia="仿宋" w:cs="仿宋"/>
                <w:b/>
                <w:highlight w:val="none"/>
              </w:rPr>
            </w:pPr>
            <w:r>
              <w:rPr>
                <w:rFonts w:hint="eastAsia" w:ascii="仿宋" w:hAnsi="仿宋" w:eastAsia="仿宋" w:cs="仿宋"/>
                <w:b/>
                <w:highlight w:val="none"/>
              </w:rPr>
              <w:t>单价</w:t>
            </w:r>
          </w:p>
        </w:tc>
        <w:tc>
          <w:tcPr>
            <w:tcW w:w="1984" w:type="dxa"/>
            <w:vAlign w:val="center"/>
          </w:tcPr>
          <w:p w14:paraId="3D47499D">
            <w:pPr>
              <w:jc w:val="center"/>
              <w:rPr>
                <w:rFonts w:hint="eastAsia" w:ascii="仿宋" w:hAnsi="仿宋" w:eastAsia="仿宋" w:cs="仿宋"/>
                <w:b/>
                <w:highlight w:val="none"/>
              </w:rPr>
            </w:pPr>
            <w:r>
              <w:rPr>
                <w:rFonts w:hint="eastAsia" w:ascii="仿宋" w:hAnsi="仿宋" w:eastAsia="仿宋" w:cs="仿宋"/>
                <w:b/>
                <w:highlight w:val="none"/>
              </w:rPr>
              <w:t>总价</w:t>
            </w:r>
          </w:p>
        </w:tc>
        <w:tc>
          <w:tcPr>
            <w:tcW w:w="3119" w:type="dxa"/>
            <w:vAlign w:val="center"/>
          </w:tcPr>
          <w:p w14:paraId="38C73875">
            <w:pPr>
              <w:jc w:val="center"/>
              <w:rPr>
                <w:rFonts w:hint="eastAsia" w:ascii="仿宋" w:hAnsi="仿宋" w:eastAsia="仿宋" w:cs="仿宋"/>
                <w:b/>
                <w:highlight w:val="none"/>
              </w:rPr>
            </w:pPr>
          </w:p>
          <w:p w14:paraId="6B4308E0">
            <w:pPr>
              <w:jc w:val="center"/>
              <w:rPr>
                <w:rFonts w:hint="eastAsia" w:ascii="仿宋" w:hAnsi="仿宋" w:eastAsia="仿宋" w:cs="仿宋"/>
                <w:b/>
                <w:highlight w:val="none"/>
              </w:rPr>
            </w:pPr>
            <w:r>
              <w:rPr>
                <w:rFonts w:hint="eastAsia" w:ascii="仿宋" w:hAnsi="仿宋" w:eastAsia="仿宋" w:cs="仿宋"/>
                <w:b/>
                <w:highlight w:val="none"/>
              </w:rPr>
              <w:t>质保或服务年限</w:t>
            </w:r>
          </w:p>
          <w:p w14:paraId="168D29BA">
            <w:pPr>
              <w:jc w:val="center"/>
              <w:rPr>
                <w:rFonts w:hint="eastAsia" w:ascii="仿宋" w:hAnsi="仿宋" w:eastAsia="仿宋" w:cs="仿宋"/>
                <w:b/>
                <w:highlight w:val="none"/>
              </w:rPr>
            </w:pPr>
          </w:p>
        </w:tc>
      </w:tr>
      <w:tr w14:paraId="02F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173602">
            <w:pPr>
              <w:rPr>
                <w:rFonts w:hint="eastAsia" w:ascii="仿宋" w:hAnsi="仿宋" w:eastAsia="仿宋" w:cs="仿宋"/>
                <w:highlight w:val="none"/>
              </w:rPr>
            </w:pPr>
            <w:r>
              <w:rPr>
                <w:rFonts w:hint="eastAsia" w:ascii="仿宋" w:hAnsi="仿宋" w:eastAsia="仿宋" w:cs="仿宋"/>
                <w:highlight w:val="none"/>
              </w:rPr>
              <w:t>1</w:t>
            </w:r>
          </w:p>
        </w:tc>
        <w:tc>
          <w:tcPr>
            <w:tcW w:w="1417" w:type="dxa"/>
            <w:vAlign w:val="center"/>
          </w:tcPr>
          <w:p w14:paraId="28E54B46">
            <w:pPr>
              <w:rPr>
                <w:rFonts w:hint="eastAsia" w:ascii="仿宋" w:hAnsi="仿宋" w:eastAsia="仿宋" w:cs="仿宋"/>
                <w:highlight w:val="none"/>
              </w:rPr>
            </w:pPr>
          </w:p>
        </w:tc>
        <w:tc>
          <w:tcPr>
            <w:tcW w:w="1843" w:type="dxa"/>
            <w:vAlign w:val="center"/>
          </w:tcPr>
          <w:p w14:paraId="7DFD7195">
            <w:pPr>
              <w:rPr>
                <w:rFonts w:hint="eastAsia" w:ascii="仿宋" w:hAnsi="仿宋" w:eastAsia="仿宋" w:cs="仿宋"/>
                <w:highlight w:val="none"/>
              </w:rPr>
            </w:pPr>
          </w:p>
        </w:tc>
        <w:tc>
          <w:tcPr>
            <w:tcW w:w="3118" w:type="dxa"/>
            <w:vAlign w:val="center"/>
          </w:tcPr>
          <w:p w14:paraId="713FD06E">
            <w:pPr>
              <w:rPr>
                <w:rFonts w:hint="eastAsia" w:ascii="仿宋" w:hAnsi="仿宋" w:eastAsia="仿宋" w:cs="仿宋"/>
                <w:highlight w:val="none"/>
              </w:rPr>
            </w:pPr>
          </w:p>
        </w:tc>
        <w:tc>
          <w:tcPr>
            <w:tcW w:w="993" w:type="dxa"/>
            <w:vAlign w:val="center"/>
          </w:tcPr>
          <w:p w14:paraId="06CCA9F0">
            <w:pPr>
              <w:rPr>
                <w:rFonts w:hint="eastAsia" w:ascii="仿宋" w:hAnsi="仿宋" w:eastAsia="仿宋" w:cs="仿宋"/>
                <w:highlight w:val="none"/>
              </w:rPr>
            </w:pPr>
          </w:p>
        </w:tc>
        <w:tc>
          <w:tcPr>
            <w:tcW w:w="1559" w:type="dxa"/>
            <w:vAlign w:val="center"/>
          </w:tcPr>
          <w:p w14:paraId="45915D9F">
            <w:pPr>
              <w:rPr>
                <w:rFonts w:hint="eastAsia" w:ascii="仿宋" w:hAnsi="仿宋" w:eastAsia="仿宋" w:cs="仿宋"/>
                <w:highlight w:val="none"/>
              </w:rPr>
            </w:pPr>
          </w:p>
        </w:tc>
        <w:tc>
          <w:tcPr>
            <w:tcW w:w="1984" w:type="dxa"/>
            <w:vAlign w:val="center"/>
          </w:tcPr>
          <w:p w14:paraId="22544B30">
            <w:pPr>
              <w:rPr>
                <w:rFonts w:hint="eastAsia" w:ascii="仿宋" w:hAnsi="仿宋" w:eastAsia="仿宋" w:cs="仿宋"/>
                <w:highlight w:val="none"/>
              </w:rPr>
            </w:pPr>
          </w:p>
        </w:tc>
        <w:tc>
          <w:tcPr>
            <w:tcW w:w="3119" w:type="dxa"/>
            <w:vAlign w:val="center"/>
          </w:tcPr>
          <w:p w14:paraId="5F088437">
            <w:pPr>
              <w:rPr>
                <w:rFonts w:hint="eastAsia" w:ascii="仿宋" w:hAnsi="仿宋" w:eastAsia="仿宋" w:cs="仿宋"/>
                <w:highlight w:val="none"/>
              </w:rPr>
            </w:pPr>
          </w:p>
        </w:tc>
      </w:tr>
      <w:tr w14:paraId="163B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100870">
            <w:pPr>
              <w:rPr>
                <w:rFonts w:hint="eastAsia" w:ascii="仿宋" w:hAnsi="仿宋" w:eastAsia="仿宋" w:cs="仿宋"/>
                <w:highlight w:val="none"/>
              </w:rPr>
            </w:pPr>
            <w:r>
              <w:rPr>
                <w:rFonts w:hint="eastAsia" w:ascii="仿宋" w:hAnsi="仿宋" w:eastAsia="仿宋" w:cs="仿宋"/>
                <w:highlight w:val="none"/>
              </w:rPr>
              <w:t>2</w:t>
            </w:r>
          </w:p>
        </w:tc>
        <w:tc>
          <w:tcPr>
            <w:tcW w:w="1417" w:type="dxa"/>
            <w:vAlign w:val="center"/>
          </w:tcPr>
          <w:p w14:paraId="1A3A4186">
            <w:pPr>
              <w:rPr>
                <w:rFonts w:hint="eastAsia" w:ascii="仿宋" w:hAnsi="仿宋" w:eastAsia="仿宋" w:cs="仿宋"/>
                <w:highlight w:val="none"/>
              </w:rPr>
            </w:pPr>
          </w:p>
        </w:tc>
        <w:tc>
          <w:tcPr>
            <w:tcW w:w="1843" w:type="dxa"/>
            <w:vAlign w:val="center"/>
          </w:tcPr>
          <w:p w14:paraId="11DEB501">
            <w:pPr>
              <w:rPr>
                <w:rFonts w:hint="eastAsia" w:ascii="仿宋" w:hAnsi="仿宋" w:eastAsia="仿宋" w:cs="仿宋"/>
                <w:highlight w:val="none"/>
              </w:rPr>
            </w:pPr>
          </w:p>
        </w:tc>
        <w:tc>
          <w:tcPr>
            <w:tcW w:w="3118" w:type="dxa"/>
            <w:vAlign w:val="center"/>
          </w:tcPr>
          <w:p w14:paraId="08B72506">
            <w:pPr>
              <w:rPr>
                <w:rFonts w:hint="eastAsia" w:ascii="仿宋" w:hAnsi="仿宋" w:eastAsia="仿宋" w:cs="仿宋"/>
                <w:highlight w:val="none"/>
              </w:rPr>
            </w:pPr>
          </w:p>
        </w:tc>
        <w:tc>
          <w:tcPr>
            <w:tcW w:w="993" w:type="dxa"/>
            <w:vAlign w:val="center"/>
          </w:tcPr>
          <w:p w14:paraId="01FD0E5E">
            <w:pPr>
              <w:rPr>
                <w:rFonts w:hint="eastAsia" w:ascii="仿宋" w:hAnsi="仿宋" w:eastAsia="仿宋" w:cs="仿宋"/>
                <w:highlight w:val="none"/>
              </w:rPr>
            </w:pPr>
          </w:p>
        </w:tc>
        <w:tc>
          <w:tcPr>
            <w:tcW w:w="1559" w:type="dxa"/>
            <w:vAlign w:val="center"/>
          </w:tcPr>
          <w:p w14:paraId="1EC8CA23">
            <w:pPr>
              <w:rPr>
                <w:rFonts w:hint="eastAsia" w:ascii="仿宋" w:hAnsi="仿宋" w:eastAsia="仿宋" w:cs="仿宋"/>
                <w:highlight w:val="none"/>
              </w:rPr>
            </w:pPr>
          </w:p>
        </w:tc>
        <w:tc>
          <w:tcPr>
            <w:tcW w:w="1984" w:type="dxa"/>
            <w:vAlign w:val="center"/>
          </w:tcPr>
          <w:p w14:paraId="13B20E6D">
            <w:pPr>
              <w:rPr>
                <w:rFonts w:hint="eastAsia" w:ascii="仿宋" w:hAnsi="仿宋" w:eastAsia="仿宋" w:cs="仿宋"/>
                <w:highlight w:val="none"/>
              </w:rPr>
            </w:pPr>
          </w:p>
        </w:tc>
        <w:tc>
          <w:tcPr>
            <w:tcW w:w="3119" w:type="dxa"/>
            <w:vAlign w:val="center"/>
          </w:tcPr>
          <w:p w14:paraId="68E872B8">
            <w:pPr>
              <w:rPr>
                <w:rFonts w:hint="eastAsia" w:ascii="仿宋" w:hAnsi="仿宋" w:eastAsia="仿宋" w:cs="仿宋"/>
                <w:highlight w:val="none"/>
              </w:rPr>
            </w:pPr>
          </w:p>
        </w:tc>
      </w:tr>
      <w:tr w14:paraId="6B56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F38265">
            <w:pPr>
              <w:rPr>
                <w:rFonts w:hint="eastAsia" w:ascii="仿宋" w:hAnsi="仿宋" w:eastAsia="仿宋" w:cs="仿宋"/>
                <w:highlight w:val="none"/>
              </w:rPr>
            </w:pPr>
            <w:r>
              <w:rPr>
                <w:rFonts w:hint="eastAsia" w:ascii="仿宋" w:hAnsi="仿宋" w:eastAsia="仿宋" w:cs="仿宋"/>
                <w:highlight w:val="none"/>
              </w:rPr>
              <w:t>…</w:t>
            </w:r>
          </w:p>
        </w:tc>
        <w:tc>
          <w:tcPr>
            <w:tcW w:w="1417" w:type="dxa"/>
            <w:vAlign w:val="center"/>
          </w:tcPr>
          <w:p w14:paraId="21BBEFBD">
            <w:pPr>
              <w:rPr>
                <w:rFonts w:hint="eastAsia" w:ascii="仿宋" w:hAnsi="仿宋" w:eastAsia="仿宋" w:cs="仿宋"/>
                <w:highlight w:val="none"/>
              </w:rPr>
            </w:pPr>
          </w:p>
        </w:tc>
        <w:tc>
          <w:tcPr>
            <w:tcW w:w="1843" w:type="dxa"/>
            <w:vAlign w:val="center"/>
          </w:tcPr>
          <w:p w14:paraId="084069F1">
            <w:pPr>
              <w:rPr>
                <w:rFonts w:hint="eastAsia" w:ascii="仿宋" w:hAnsi="仿宋" w:eastAsia="仿宋" w:cs="仿宋"/>
                <w:highlight w:val="none"/>
              </w:rPr>
            </w:pPr>
          </w:p>
        </w:tc>
        <w:tc>
          <w:tcPr>
            <w:tcW w:w="3118" w:type="dxa"/>
            <w:vAlign w:val="center"/>
          </w:tcPr>
          <w:p w14:paraId="32F9BC81">
            <w:pPr>
              <w:rPr>
                <w:rFonts w:hint="eastAsia" w:ascii="仿宋" w:hAnsi="仿宋" w:eastAsia="仿宋" w:cs="仿宋"/>
                <w:highlight w:val="none"/>
              </w:rPr>
            </w:pPr>
          </w:p>
        </w:tc>
        <w:tc>
          <w:tcPr>
            <w:tcW w:w="993" w:type="dxa"/>
            <w:vAlign w:val="center"/>
          </w:tcPr>
          <w:p w14:paraId="506CAC49">
            <w:pPr>
              <w:rPr>
                <w:rFonts w:hint="eastAsia" w:ascii="仿宋" w:hAnsi="仿宋" w:eastAsia="仿宋" w:cs="仿宋"/>
                <w:highlight w:val="none"/>
              </w:rPr>
            </w:pPr>
          </w:p>
        </w:tc>
        <w:tc>
          <w:tcPr>
            <w:tcW w:w="1559" w:type="dxa"/>
            <w:vAlign w:val="center"/>
          </w:tcPr>
          <w:p w14:paraId="2390D2D3">
            <w:pPr>
              <w:rPr>
                <w:rFonts w:hint="eastAsia" w:ascii="仿宋" w:hAnsi="仿宋" w:eastAsia="仿宋" w:cs="仿宋"/>
                <w:highlight w:val="none"/>
              </w:rPr>
            </w:pPr>
          </w:p>
        </w:tc>
        <w:tc>
          <w:tcPr>
            <w:tcW w:w="1984" w:type="dxa"/>
            <w:vAlign w:val="center"/>
          </w:tcPr>
          <w:p w14:paraId="6DA79AE9">
            <w:pPr>
              <w:rPr>
                <w:rFonts w:hint="eastAsia" w:ascii="仿宋" w:hAnsi="仿宋" w:eastAsia="仿宋" w:cs="仿宋"/>
                <w:highlight w:val="none"/>
              </w:rPr>
            </w:pPr>
          </w:p>
        </w:tc>
        <w:tc>
          <w:tcPr>
            <w:tcW w:w="3119" w:type="dxa"/>
            <w:vAlign w:val="center"/>
          </w:tcPr>
          <w:p w14:paraId="4E92A9E9">
            <w:pPr>
              <w:rPr>
                <w:rFonts w:hint="eastAsia" w:ascii="仿宋" w:hAnsi="仿宋" w:eastAsia="仿宋" w:cs="仿宋"/>
                <w:highlight w:val="none"/>
              </w:rPr>
            </w:pPr>
          </w:p>
        </w:tc>
      </w:tr>
      <w:tr w14:paraId="1B5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F61CA5">
            <w:pPr>
              <w:rPr>
                <w:rFonts w:hint="eastAsia" w:ascii="仿宋" w:hAnsi="仿宋" w:eastAsia="仿宋" w:cs="仿宋"/>
                <w:b/>
                <w:highlight w:val="none"/>
              </w:rPr>
            </w:pPr>
            <w:r>
              <w:rPr>
                <w:rFonts w:hint="eastAsia" w:ascii="仿宋" w:hAnsi="仿宋" w:eastAsia="仿宋" w:cs="仿宋"/>
                <w:b/>
                <w:highlight w:val="none"/>
              </w:rPr>
              <w:t>响应报价（小写）</w:t>
            </w:r>
          </w:p>
        </w:tc>
        <w:tc>
          <w:tcPr>
            <w:tcW w:w="7655" w:type="dxa"/>
            <w:gridSpan w:val="4"/>
            <w:vAlign w:val="center"/>
          </w:tcPr>
          <w:p w14:paraId="7507607F">
            <w:pPr>
              <w:rPr>
                <w:rFonts w:hint="eastAsia" w:ascii="仿宋" w:hAnsi="仿宋" w:eastAsia="仿宋" w:cs="仿宋"/>
                <w:highlight w:val="none"/>
              </w:rPr>
            </w:pPr>
          </w:p>
        </w:tc>
      </w:tr>
      <w:tr w14:paraId="5DD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5CA59E">
            <w:pPr>
              <w:rPr>
                <w:rFonts w:hint="eastAsia" w:ascii="仿宋" w:hAnsi="仿宋" w:eastAsia="仿宋" w:cs="仿宋"/>
                <w:b/>
                <w:highlight w:val="none"/>
              </w:rPr>
            </w:pPr>
            <w:r>
              <w:rPr>
                <w:rFonts w:hint="eastAsia" w:ascii="仿宋" w:hAnsi="仿宋" w:eastAsia="仿宋" w:cs="仿宋"/>
                <w:b/>
                <w:highlight w:val="none"/>
              </w:rPr>
              <w:t>响应报价（大写）</w:t>
            </w:r>
          </w:p>
        </w:tc>
        <w:tc>
          <w:tcPr>
            <w:tcW w:w="7655" w:type="dxa"/>
            <w:gridSpan w:val="4"/>
            <w:vAlign w:val="center"/>
          </w:tcPr>
          <w:p w14:paraId="70FA8D12">
            <w:pPr>
              <w:rPr>
                <w:rFonts w:hint="eastAsia" w:ascii="仿宋" w:hAnsi="仿宋" w:eastAsia="仿宋" w:cs="仿宋"/>
                <w:highlight w:val="none"/>
              </w:rPr>
            </w:pPr>
          </w:p>
        </w:tc>
      </w:tr>
    </w:tbl>
    <w:p w14:paraId="60D8557E">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554E48F7">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1、响应人需按本表格式填写，不得自行更改。</w:t>
      </w:r>
    </w:p>
    <w:p w14:paraId="57356237">
      <w:pPr>
        <w:snapToGrid w:val="0"/>
        <w:spacing w:line="360" w:lineRule="auto"/>
        <w:ind w:left="480"/>
        <w:rPr>
          <w:rFonts w:hint="eastAsia" w:ascii="仿宋" w:hAnsi="仿宋" w:eastAsia="仿宋" w:cs="仿宋"/>
          <w:b/>
          <w:kern w:val="0"/>
          <w:sz w:val="24"/>
          <w:highlight w:val="none"/>
        </w:rPr>
      </w:pPr>
      <w:r>
        <w:rPr>
          <w:rFonts w:hint="eastAsia" w:ascii="仿宋" w:hAnsi="仿宋" w:eastAsia="仿宋" w:cs="仿宋"/>
          <w:kern w:val="0"/>
          <w:sz w:val="24"/>
          <w:highlight w:val="none"/>
          <w:lang w:val="zh-CN"/>
        </w:rPr>
        <w:t>2、有关本项目实施所涉及的一切费用均计入报价。</w:t>
      </w:r>
    </w:p>
    <w:p w14:paraId="17A4FD6D">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sz w:val="24"/>
          <w:highlight w:val="none"/>
        </w:rPr>
        <w:t xml:space="preserve">                                                                               </w:t>
      </w:r>
    </w:p>
    <w:p w14:paraId="5A067E95">
      <w:pPr>
        <w:spacing w:line="360" w:lineRule="auto"/>
        <w:ind w:firstLine="480" w:firstLineChars="200"/>
        <w:jc w:val="center"/>
        <w:rPr>
          <w:rFonts w:hint="eastAsia" w:ascii="仿宋" w:hAnsi="仿宋" w:eastAsia="仿宋" w:cs="仿宋"/>
          <w:highlight w:val="none"/>
        </w:rPr>
      </w:pPr>
      <w:r>
        <w:rPr>
          <w:rFonts w:hint="eastAsia" w:ascii="仿宋" w:hAnsi="仿宋" w:eastAsia="仿宋" w:cs="仿宋"/>
          <w:sz w:val="24"/>
          <w:highlight w:val="none"/>
        </w:rPr>
        <w:t xml:space="preserve">                                                              日期：  年   月   日</w:t>
      </w:r>
    </w:p>
    <w:sectPr>
      <w:pgSz w:w="16838" w:h="11906" w:orient="landscape"/>
      <w:pgMar w:top="1417" w:right="1247" w:bottom="1417" w:left="1276"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69E3">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B06E4">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6B06E4">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249A87D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DC42">
    <w:pPr>
      <w:pStyle w:val="38"/>
      <w:jc w:val="center"/>
      <w:rPr>
        <w:rFonts w:ascii="仿宋_GB2312" w:eastAsia="仿宋_GB2312"/>
      </w:rPr>
    </w:pPr>
  </w:p>
  <w:p w14:paraId="381255C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375">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AD3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F0AD3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516C2D3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E5AC">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B33E">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3CB33E">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379D11F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FEC5">
    <w:pPr>
      <w:pStyle w:val="38"/>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E78F">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19E78F">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014A">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2372">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272372">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F364">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F9B">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8782">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1C5">
    <w:pPr>
      <w:pStyle w:val="40"/>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89E45E7"/>
    <w:multiLevelType w:val="singleLevel"/>
    <w:tmpl w:val="789E45E7"/>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NjdmZGE0ZTgwNDA2MzA4YzRlN2UyOGJhOGViODY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41C5"/>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5A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0D13"/>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554"/>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5E0"/>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4E27"/>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64CB6"/>
    <w:rsid w:val="018E2C4B"/>
    <w:rsid w:val="01E97726"/>
    <w:rsid w:val="03DD35E4"/>
    <w:rsid w:val="043D4E77"/>
    <w:rsid w:val="04F96FF0"/>
    <w:rsid w:val="05720B50"/>
    <w:rsid w:val="06294F11"/>
    <w:rsid w:val="065A6178"/>
    <w:rsid w:val="069F7FB7"/>
    <w:rsid w:val="06EE4D29"/>
    <w:rsid w:val="081050AA"/>
    <w:rsid w:val="082029DB"/>
    <w:rsid w:val="08B642FA"/>
    <w:rsid w:val="090021E3"/>
    <w:rsid w:val="090135A2"/>
    <w:rsid w:val="093C6733"/>
    <w:rsid w:val="0A5B7E63"/>
    <w:rsid w:val="0A94666D"/>
    <w:rsid w:val="0B660640"/>
    <w:rsid w:val="0B76395D"/>
    <w:rsid w:val="0C87121B"/>
    <w:rsid w:val="0D2B6006"/>
    <w:rsid w:val="0D86163D"/>
    <w:rsid w:val="0DF702FE"/>
    <w:rsid w:val="0E990EFC"/>
    <w:rsid w:val="0EED1247"/>
    <w:rsid w:val="0F11020C"/>
    <w:rsid w:val="0F816ACD"/>
    <w:rsid w:val="0FF705D0"/>
    <w:rsid w:val="1034202F"/>
    <w:rsid w:val="104233D7"/>
    <w:rsid w:val="10F90651"/>
    <w:rsid w:val="10FC16EA"/>
    <w:rsid w:val="113F5F4C"/>
    <w:rsid w:val="118963A1"/>
    <w:rsid w:val="127723A9"/>
    <w:rsid w:val="12EA3624"/>
    <w:rsid w:val="13072A44"/>
    <w:rsid w:val="139E23E7"/>
    <w:rsid w:val="13B435E0"/>
    <w:rsid w:val="13BD491D"/>
    <w:rsid w:val="142A23DE"/>
    <w:rsid w:val="152D2A4D"/>
    <w:rsid w:val="16261020"/>
    <w:rsid w:val="16AE5ED9"/>
    <w:rsid w:val="183176AC"/>
    <w:rsid w:val="18912E67"/>
    <w:rsid w:val="18ED0158"/>
    <w:rsid w:val="1A564531"/>
    <w:rsid w:val="1A886703"/>
    <w:rsid w:val="1A9C090B"/>
    <w:rsid w:val="1AF20BEF"/>
    <w:rsid w:val="1B2A271F"/>
    <w:rsid w:val="1B872F9C"/>
    <w:rsid w:val="1B900ADB"/>
    <w:rsid w:val="1C631F5D"/>
    <w:rsid w:val="1D266CE1"/>
    <w:rsid w:val="1D3963AF"/>
    <w:rsid w:val="1D3C0749"/>
    <w:rsid w:val="1DDA0D29"/>
    <w:rsid w:val="1E5B7150"/>
    <w:rsid w:val="1E714A66"/>
    <w:rsid w:val="1E85324A"/>
    <w:rsid w:val="1EA27958"/>
    <w:rsid w:val="1F6317DE"/>
    <w:rsid w:val="1F927D5B"/>
    <w:rsid w:val="1F9D27DB"/>
    <w:rsid w:val="1FE868A9"/>
    <w:rsid w:val="201C59EE"/>
    <w:rsid w:val="213276BA"/>
    <w:rsid w:val="216C24A0"/>
    <w:rsid w:val="21F961C3"/>
    <w:rsid w:val="221E0B7A"/>
    <w:rsid w:val="2403533D"/>
    <w:rsid w:val="250008E8"/>
    <w:rsid w:val="25111243"/>
    <w:rsid w:val="25707998"/>
    <w:rsid w:val="25932478"/>
    <w:rsid w:val="25CB3688"/>
    <w:rsid w:val="262852E2"/>
    <w:rsid w:val="265E5200"/>
    <w:rsid w:val="27096DE3"/>
    <w:rsid w:val="27907285"/>
    <w:rsid w:val="283C5338"/>
    <w:rsid w:val="289350CF"/>
    <w:rsid w:val="2896735B"/>
    <w:rsid w:val="28EA3250"/>
    <w:rsid w:val="294B77A1"/>
    <w:rsid w:val="298C7E17"/>
    <w:rsid w:val="29F008B0"/>
    <w:rsid w:val="2A7367E9"/>
    <w:rsid w:val="2B6D5106"/>
    <w:rsid w:val="2B9B3C8A"/>
    <w:rsid w:val="2BCE728D"/>
    <w:rsid w:val="2C0E2AD1"/>
    <w:rsid w:val="2C4A7CF2"/>
    <w:rsid w:val="2C974041"/>
    <w:rsid w:val="2CEB3A12"/>
    <w:rsid w:val="2D457B2F"/>
    <w:rsid w:val="2D8D54E0"/>
    <w:rsid w:val="2DCE4FFC"/>
    <w:rsid w:val="2DD15014"/>
    <w:rsid w:val="2E404358"/>
    <w:rsid w:val="2E8F473D"/>
    <w:rsid w:val="2F147428"/>
    <w:rsid w:val="2F9061DA"/>
    <w:rsid w:val="2F983071"/>
    <w:rsid w:val="2FA14099"/>
    <w:rsid w:val="2FB7205E"/>
    <w:rsid w:val="2FCB3A03"/>
    <w:rsid w:val="2FD25781"/>
    <w:rsid w:val="302A3B86"/>
    <w:rsid w:val="307A40E7"/>
    <w:rsid w:val="31302DE8"/>
    <w:rsid w:val="319C6071"/>
    <w:rsid w:val="31B41A25"/>
    <w:rsid w:val="32FF13C6"/>
    <w:rsid w:val="334B0167"/>
    <w:rsid w:val="33C02F0E"/>
    <w:rsid w:val="342E63AB"/>
    <w:rsid w:val="345C3B38"/>
    <w:rsid w:val="363B0967"/>
    <w:rsid w:val="364F3BB1"/>
    <w:rsid w:val="364F4412"/>
    <w:rsid w:val="365302AE"/>
    <w:rsid w:val="373F0574"/>
    <w:rsid w:val="37AD3154"/>
    <w:rsid w:val="38074E65"/>
    <w:rsid w:val="38C00A50"/>
    <w:rsid w:val="38CB6F1C"/>
    <w:rsid w:val="391060DB"/>
    <w:rsid w:val="3A5231D0"/>
    <w:rsid w:val="3A561EB2"/>
    <w:rsid w:val="3BF22272"/>
    <w:rsid w:val="3C220F0A"/>
    <w:rsid w:val="3C5E1BBB"/>
    <w:rsid w:val="3C5F759A"/>
    <w:rsid w:val="3DBC05DF"/>
    <w:rsid w:val="3DBD7EB3"/>
    <w:rsid w:val="3E0F28DF"/>
    <w:rsid w:val="3E524A9F"/>
    <w:rsid w:val="3EA23A0F"/>
    <w:rsid w:val="3F4D5267"/>
    <w:rsid w:val="3FDE1C36"/>
    <w:rsid w:val="3FE80680"/>
    <w:rsid w:val="41691CE6"/>
    <w:rsid w:val="41771E1A"/>
    <w:rsid w:val="417A41A4"/>
    <w:rsid w:val="41C757A4"/>
    <w:rsid w:val="421840E7"/>
    <w:rsid w:val="42397027"/>
    <w:rsid w:val="4282199D"/>
    <w:rsid w:val="429C7661"/>
    <w:rsid w:val="42CD1204"/>
    <w:rsid w:val="42E1381E"/>
    <w:rsid w:val="43665590"/>
    <w:rsid w:val="436F0FA5"/>
    <w:rsid w:val="44027F8E"/>
    <w:rsid w:val="44E67CEF"/>
    <w:rsid w:val="45671813"/>
    <w:rsid w:val="459E0E54"/>
    <w:rsid w:val="45A33AF3"/>
    <w:rsid w:val="45EE3F05"/>
    <w:rsid w:val="465428A2"/>
    <w:rsid w:val="46C728EC"/>
    <w:rsid w:val="47973F6B"/>
    <w:rsid w:val="47DC3815"/>
    <w:rsid w:val="48895BD3"/>
    <w:rsid w:val="48F744FA"/>
    <w:rsid w:val="4A392FB7"/>
    <w:rsid w:val="4AC40AD3"/>
    <w:rsid w:val="4AE10572"/>
    <w:rsid w:val="4C7B78B7"/>
    <w:rsid w:val="4CF82CB6"/>
    <w:rsid w:val="4D0F3D33"/>
    <w:rsid w:val="4E3813D1"/>
    <w:rsid w:val="4E4C2555"/>
    <w:rsid w:val="4E6C4202"/>
    <w:rsid w:val="4ED7081A"/>
    <w:rsid w:val="4FD531A2"/>
    <w:rsid w:val="4FE83D59"/>
    <w:rsid w:val="50586B5C"/>
    <w:rsid w:val="51A0432A"/>
    <w:rsid w:val="52A96B6F"/>
    <w:rsid w:val="54A232E9"/>
    <w:rsid w:val="54C3004D"/>
    <w:rsid w:val="54DC48BA"/>
    <w:rsid w:val="550764A4"/>
    <w:rsid w:val="559F53DA"/>
    <w:rsid w:val="55AD2460"/>
    <w:rsid w:val="56A71A30"/>
    <w:rsid w:val="579D76DE"/>
    <w:rsid w:val="57CC6A61"/>
    <w:rsid w:val="57D367F9"/>
    <w:rsid w:val="58017E10"/>
    <w:rsid w:val="58271F27"/>
    <w:rsid w:val="586D7B01"/>
    <w:rsid w:val="58AE4F0C"/>
    <w:rsid w:val="595A2534"/>
    <w:rsid w:val="597F0373"/>
    <w:rsid w:val="59D16D68"/>
    <w:rsid w:val="59E35C6F"/>
    <w:rsid w:val="5A0F3C8E"/>
    <w:rsid w:val="5A2A7C7B"/>
    <w:rsid w:val="5A4968FF"/>
    <w:rsid w:val="5A71643C"/>
    <w:rsid w:val="5AC00150"/>
    <w:rsid w:val="5B1647AE"/>
    <w:rsid w:val="5B231846"/>
    <w:rsid w:val="5B41386F"/>
    <w:rsid w:val="5B57547B"/>
    <w:rsid w:val="5B7523D5"/>
    <w:rsid w:val="5BB931FB"/>
    <w:rsid w:val="5BE208D3"/>
    <w:rsid w:val="5BF55428"/>
    <w:rsid w:val="5C80234E"/>
    <w:rsid w:val="5E261785"/>
    <w:rsid w:val="5E4A639D"/>
    <w:rsid w:val="5E506100"/>
    <w:rsid w:val="5EDF01CA"/>
    <w:rsid w:val="5EEA486F"/>
    <w:rsid w:val="5F011E9E"/>
    <w:rsid w:val="5F1529A6"/>
    <w:rsid w:val="5F4B0077"/>
    <w:rsid w:val="5FCC5339"/>
    <w:rsid w:val="61054A27"/>
    <w:rsid w:val="611D2366"/>
    <w:rsid w:val="616D55C9"/>
    <w:rsid w:val="627F6465"/>
    <w:rsid w:val="62885958"/>
    <w:rsid w:val="62E36E51"/>
    <w:rsid w:val="63E61662"/>
    <w:rsid w:val="640876F3"/>
    <w:rsid w:val="64393534"/>
    <w:rsid w:val="647C292B"/>
    <w:rsid w:val="64CE2EAA"/>
    <w:rsid w:val="64ED05DD"/>
    <w:rsid w:val="651D2E62"/>
    <w:rsid w:val="654267EC"/>
    <w:rsid w:val="658A253F"/>
    <w:rsid w:val="662E75B1"/>
    <w:rsid w:val="66342C2E"/>
    <w:rsid w:val="663E784C"/>
    <w:rsid w:val="6642317E"/>
    <w:rsid w:val="66977CD4"/>
    <w:rsid w:val="669902F5"/>
    <w:rsid w:val="67022B21"/>
    <w:rsid w:val="677A596A"/>
    <w:rsid w:val="686D4100"/>
    <w:rsid w:val="69456BF2"/>
    <w:rsid w:val="6958521B"/>
    <w:rsid w:val="69652C93"/>
    <w:rsid w:val="69684F4F"/>
    <w:rsid w:val="69BC35D6"/>
    <w:rsid w:val="6AF76722"/>
    <w:rsid w:val="6B517D09"/>
    <w:rsid w:val="6BED1D9C"/>
    <w:rsid w:val="6C0C75B9"/>
    <w:rsid w:val="6C3463E2"/>
    <w:rsid w:val="6D75048C"/>
    <w:rsid w:val="6D8A7447"/>
    <w:rsid w:val="6DF818E5"/>
    <w:rsid w:val="6E5F273D"/>
    <w:rsid w:val="6E6E55BC"/>
    <w:rsid w:val="6E8E12EF"/>
    <w:rsid w:val="6FB1310C"/>
    <w:rsid w:val="6FD76303"/>
    <w:rsid w:val="704E619F"/>
    <w:rsid w:val="7079096D"/>
    <w:rsid w:val="7120378C"/>
    <w:rsid w:val="71A07FB8"/>
    <w:rsid w:val="71AF5672"/>
    <w:rsid w:val="71B21F4E"/>
    <w:rsid w:val="71D43752"/>
    <w:rsid w:val="71E116BB"/>
    <w:rsid w:val="72097D64"/>
    <w:rsid w:val="722748CE"/>
    <w:rsid w:val="72F24B59"/>
    <w:rsid w:val="730A7DA2"/>
    <w:rsid w:val="732F7275"/>
    <w:rsid w:val="73A11331"/>
    <w:rsid w:val="746815A4"/>
    <w:rsid w:val="746E713D"/>
    <w:rsid w:val="749C4185"/>
    <w:rsid w:val="750F66CA"/>
    <w:rsid w:val="7567043F"/>
    <w:rsid w:val="757E71D5"/>
    <w:rsid w:val="75DA2C18"/>
    <w:rsid w:val="770E3CAE"/>
    <w:rsid w:val="77705F3A"/>
    <w:rsid w:val="790A16CF"/>
    <w:rsid w:val="798828FC"/>
    <w:rsid w:val="7A0B340F"/>
    <w:rsid w:val="7A3A374C"/>
    <w:rsid w:val="7A3F3423"/>
    <w:rsid w:val="7A4D5B40"/>
    <w:rsid w:val="7A67303B"/>
    <w:rsid w:val="7A8F31CB"/>
    <w:rsid w:val="7AAB1D04"/>
    <w:rsid w:val="7ABA4368"/>
    <w:rsid w:val="7B257FFD"/>
    <w:rsid w:val="7B5A6D55"/>
    <w:rsid w:val="7CBE7304"/>
    <w:rsid w:val="7CEC7892"/>
    <w:rsid w:val="7D1D248E"/>
    <w:rsid w:val="7D8621F2"/>
    <w:rsid w:val="7DFC2BC5"/>
    <w:rsid w:val="7EB7283E"/>
    <w:rsid w:val="7F65675B"/>
    <w:rsid w:val="DEFDE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50"/>
    <w:qFormat/>
    <w:uiPriority w:val="99"/>
    <w:pPr>
      <w:jc w:val="left"/>
    </w:pPr>
  </w:style>
  <w:style w:type="paragraph" w:styleId="20">
    <w:name w:val="Salutation"/>
    <w:basedOn w:val="1"/>
    <w:next w:val="1"/>
    <w:link w:val="215"/>
    <w:qFormat/>
    <w:uiPriority w:val="0"/>
    <w:rPr>
      <w:rFonts w:ascii="仿宋_GB2312" w:eastAsia="仿宋_GB2312"/>
      <w:sz w:val="28"/>
      <w:szCs w:val="20"/>
    </w:rPr>
  </w:style>
  <w:style w:type="paragraph" w:styleId="21">
    <w:name w:val="Body Text 3"/>
    <w:basedOn w:val="1"/>
    <w:link w:val="188"/>
    <w:qFormat/>
    <w:uiPriority w:val="0"/>
    <w:pPr>
      <w:jc w:val="center"/>
    </w:pPr>
    <w:rPr>
      <w:szCs w:val="20"/>
    </w:rPr>
  </w:style>
  <w:style w:type="paragraph" w:styleId="22">
    <w:name w:val="Body Text"/>
    <w:basedOn w:val="1"/>
    <w:link w:val="124"/>
    <w:qFormat/>
    <w:uiPriority w:val="0"/>
    <w:pPr>
      <w:autoSpaceDE w:val="0"/>
      <w:autoSpaceDN w:val="0"/>
      <w:spacing w:line="360" w:lineRule="auto"/>
    </w:pPr>
    <w:rPr>
      <w:rFonts w:ascii="宋体"/>
      <w:sz w:val="24"/>
      <w:szCs w:val="21"/>
      <w:lang w:val="zh-CN"/>
    </w:rPr>
  </w:style>
  <w:style w:type="paragraph" w:styleId="23">
    <w:name w:val="Body Text Indent"/>
    <w:basedOn w:val="1"/>
    <w:link w:val="10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6"/>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13"/>
    <w:qFormat/>
    <w:uiPriority w:val="0"/>
    <w:pPr>
      <w:ind w:left="100" w:leftChars="2500"/>
    </w:pPr>
    <w:rPr>
      <w:rFonts w:ascii="宋体"/>
      <w:sz w:val="24"/>
      <w:szCs w:val="21"/>
      <w:lang w:val="zh-CN"/>
    </w:rPr>
  </w:style>
  <w:style w:type="paragraph" w:styleId="35">
    <w:name w:val="Body Text Indent 2"/>
    <w:basedOn w:val="1"/>
    <w:link w:val="85"/>
    <w:qFormat/>
    <w:uiPriority w:val="0"/>
    <w:pPr>
      <w:spacing w:line="360" w:lineRule="auto"/>
      <w:ind w:firstLine="601"/>
      <w:textAlignment w:val="baseline"/>
    </w:pPr>
    <w:rPr>
      <w:rFonts w:ascii="宋体"/>
      <w:kern w:val="0"/>
      <w:sz w:val="28"/>
      <w:szCs w:val="20"/>
    </w:rPr>
  </w:style>
  <w:style w:type="paragraph" w:styleId="36">
    <w:name w:val="endnote text"/>
    <w:basedOn w:val="1"/>
    <w:unhideWhenUsed/>
    <w:qFormat/>
    <w:uiPriority w:val="99"/>
    <w:pPr>
      <w:snapToGrid w:val="0"/>
      <w:jc w:val="left"/>
    </w:pPr>
  </w:style>
  <w:style w:type="paragraph" w:styleId="37">
    <w:name w:val="Balloon Text"/>
    <w:basedOn w:val="1"/>
    <w:link w:val="251"/>
    <w:semiHidden/>
    <w:qFormat/>
    <w:uiPriority w:val="0"/>
    <w:rPr>
      <w:sz w:val="18"/>
      <w:szCs w:val="18"/>
    </w:rPr>
  </w:style>
  <w:style w:type="paragraph" w:styleId="38">
    <w:name w:val="footer"/>
    <w:basedOn w:val="1"/>
    <w:link w:val="632"/>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link w:val="137"/>
    <w:qFormat/>
    <w:uiPriority w:val="0"/>
    <w:pPr>
      <w:ind w:firstLine="420"/>
    </w:pPr>
    <w:rPr>
      <w:szCs w:val="20"/>
    </w:rPr>
  </w:style>
  <w:style w:type="paragraph" w:styleId="61">
    <w:name w:val="Body Text First Indent 2"/>
    <w:basedOn w:val="23"/>
    <w:link w:val="24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5"/>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正文文本缩进 字符1"/>
    <w:link w:val="23"/>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6"/>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0"/>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60"/>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2"/>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5"/>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8"/>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6"/>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1"/>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2"/>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8"/>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4"/>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0"/>
    <w:qFormat/>
    <w:uiPriority w:val="0"/>
    <w:rPr>
      <w:rFonts w:ascii="仿宋_GB2312" w:eastAsia="仿宋_GB2312"/>
      <w:kern w:val="2"/>
      <w:sz w:val="28"/>
    </w:rPr>
  </w:style>
  <w:style w:type="character" w:customStyle="1" w:styleId="216">
    <w:name w:val="标题 4 字符"/>
    <w:link w:val="5"/>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9"/>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7"/>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5"/>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19"/>
    <w:qFormat/>
    <w:uiPriority w:val="0"/>
    <w:rPr>
      <w:kern w:val="2"/>
      <w:sz w:val="21"/>
      <w:szCs w:val="24"/>
    </w:rPr>
  </w:style>
  <w:style w:type="character" w:customStyle="1" w:styleId="251">
    <w:name w:val="批注框文本 字符"/>
    <w:link w:val="37"/>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1"/>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5"/>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5"/>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3"/>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6"/>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4"/>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qFormat/>
    <w:uiPriority w:val="0"/>
    <w:pPr>
      <w:numPr>
        <w:ilvl w:val="1"/>
        <w:numId w:val="5"/>
      </w:numPr>
    </w:pPr>
    <w:rPr>
      <w:rFonts w:ascii="Times New Roman" w:eastAsia="宋体"/>
      <w:i/>
      <w:sz w:val="36"/>
      <w:szCs w:val="36"/>
      <w:lang w:val="en-US"/>
    </w:rPr>
  </w:style>
  <w:style w:type="paragraph" w:customStyle="1" w:styleId="45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5"/>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8"/>
    <w:qFormat/>
    <w:locked/>
    <w:uiPriority w:val="99"/>
    <w:rPr>
      <w:kern w:val="2"/>
      <w:sz w:val="18"/>
      <w:szCs w:val="18"/>
    </w:rPr>
  </w:style>
  <w:style w:type="character" w:customStyle="1" w:styleId="633">
    <w:name w:val="页眉 字符"/>
    <w:link w:val="40"/>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 w:type="character" w:customStyle="1" w:styleId="645">
    <w:name w:val="font51"/>
    <w:basedOn w:val="64"/>
    <w:qFormat/>
    <w:uiPriority w:val="0"/>
    <w:rPr>
      <w:rFonts w:hint="eastAsia" w:ascii="仿宋" w:hAnsi="仿宋" w:eastAsia="仿宋" w:cs="仿宋"/>
      <w:color w:val="000000"/>
      <w:sz w:val="20"/>
      <w:szCs w:val="20"/>
      <w:u w:val="none"/>
    </w:rPr>
  </w:style>
  <w:style w:type="character" w:customStyle="1" w:styleId="646">
    <w:name w:val="font91"/>
    <w:basedOn w:val="64"/>
    <w:qFormat/>
    <w:uiPriority w:val="0"/>
    <w:rPr>
      <w:rFonts w:hint="eastAsia" w:ascii="仿宋" w:hAnsi="仿宋" w:eastAsia="仿宋" w:cs="仿宋"/>
      <w:color w:val="000000"/>
      <w:sz w:val="22"/>
      <w:szCs w:val="22"/>
      <w:u w:val="none"/>
    </w:rPr>
  </w:style>
  <w:style w:type="table" w:customStyle="1" w:styleId="64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12154</Words>
  <Characters>13123</Characters>
  <Lines>156</Lines>
  <Paragraphs>44</Paragraphs>
  <TotalTime>10</TotalTime>
  <ScaleCrop>false</ScaleCrop>
  <LinksUpToDate>false</LinksUpToDate>
  <CharactersWithSpaces>13306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Administrator</cp:lastModifiedBy>
  <cp:lastPrinted>2023-02-22T08:59:00Z</cp:lastPrinted>
  <dcterms:modified xsi:type="dcterms:W3CDTF">2024-12-26T08:15:13Z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1C497E20C3224B9ABCACEB74ED9E5F8A_13</vt:lpwstr>
  </property>
</Properties>
</file>