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9BCA">
      <w:pPr>
        <w:spacing w:line="360" w:lineRule="auto"/>
        <w:jc w:val="center"/>
        <w:rPr>
          <w:rFonts w:hint="eastAsia" w:ascii="仿宋" w:hAnsi="仿宋" w:eastAsia="仿宋" w:cs="仿宋"/>
          <w:b/>
          <w:color w:val="000000"/>
          <w:sz w:val="24"/>
        </w:rPr>
      </w:pPr>
    </w:p>
    <w:p w14:paraId="144E4833">
      <w:pPr>
        <w:adjustRightInd/>
        <w:spacing w:line="360" w:lineRule="auto"/>
        <w:jc w:val="center"/>
        <w:rPr>
          <w:rFonts w:hint="eastAsia" w:ascii="仿宋" w:hAnsi="仿宋" w:eastAsia="仿宋" w:cs="仿宋"/>
          <w:b/>
          <w:bCs/>
          <w:sz w:val="48"/>
          <w:szCs w:val="48"/>
          <w:lang w:eastAsia="zh-CN"/>
        </w:rPr>
      </w:pPr>
    </w:p>
    <w:p w14:paraId="17D3840C">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杭州市萧山区第一人民医院</w:t>
      </w:r>
    </w:p>
    <w:p w14:paraId="47D40ED2">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val="en-US" w:eastAsia="zh-CN"/>
        </w:rPr>
        <w:t xml:space="preserve"> 尿动力检测系统</w:t>
      </w:r>
      <w:r>
        <w:rPr>
          <w:rFonts w:hint="eastAsia" w:ascii="仿宋" w:hAnsi="仿宋" w:eastAsia="仿宋" w:cs="仿宋"/>
          <w:b/>
          <w:bCs/>
          <w:sz w:val="48"/>
          <w:szCs w:val="48"/>
          <w:lang w:eastAsia="zh-CN"/>
        </w:rPr>
        <w:t>采购项目</w:t>
      </w:r>
    </w:p>
    <w:p w14:paraId="016DA8C3">
      <w:pPr>
        <w:adjustRightInd/>
        <w:spacing w:line="360" w:lineRule="auto"/>
        <w:jc w:val="center"/>
        <w:rPr>
          <w:rFonts w:hint="eastAsia" w:ascii="仿宋" w:hAnsi="仿宋" w:eastAsia="仿宋" w:cs="仿宋"/>
          <w:b/>
          <w:bCs/>
          <w:sz w:val="48"/>
          <w:szCs w:val="48"/>
        </w:rPr>
      </w:pPr>
    </w:p>
    <w:p w14:paraId="094A66DB">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交易文件</w:t>
      </w:r>
    </w:p>
    <w:p w14:paraId="5928B1D9">
      <w:pPr>
        <w:pStyle w:val="2"/>
        <w:rPr>
          <w:rFonts w:hint="eastAsia" w:ascii="仿宋" w:hAnsi="仿宋" w:eastAsia="仿宋" w:cs="仿宋"/>
        </w:rPr>
      </w:pPr>
    </w:p>
    <w:p w14:paraId="0C3BC76D">
      <w:pPr>
        <w:spacing w:line="480" w:lineRule="exact"/>
        <w:jc w:val="center"/>
        <w:rPr>
          <w:rFonts w:hint="eastAsia" w:ascii="仿宋" w:hAnsi="仿宋" w:eastAsia="仿宋" w:cs="仿宋"/>
          <w:bCs/>
          <w:color w:val="000000"/>
          <w:sz w:val="24"/>
          <w:lang w:val="en-US" w:eastAsia="zh-CN"/>
        </w:rPr>
      </w:pPr>
      <w:r>
        <w:rPr>
          <w:rFonts w:hint="eastAsia" w:ascii="仿宋" w:hAnsi="仿宋" w:eastAsia="仿宋" w:cs="仿宋"/>
          <w:sz w:val="30"/>
          <w:szCs w:val="30"/>
        </w:rPr>
        <w:t>交易编号:</w:t>
      </w:r>
      <w:r>
        <w:rPr>
          <w:rFonts w:hint="eastAsia" w:ascii="仿宋" w:hAnsi="仿宋" w:eastAsia="仿宋" w:cs="仿宋"/>
          <w:sz w:val="30"/>
          <w:szCs w:val="30"/>
          <w:lang w:val="en-US" w:eastAsia="zh-CN"/>
        </w:rPr>
        <w:t>XSYY2024-GJ-09 二次</w:t>
      </w:r>
    </w:p>
    <w:p w14:paraId="735E1EEA">
      <w:pPr>
        <w:snapToGrid w:val="0"/>
        <w:spacing w:line="360" w:lineRule="auto"/>
        <w:jc w:val="center"/>
        <w:rPr>
          <w:rFonts w:hint="eastAsia" w:ascii="仿宋" w:hAnsi="仿宋" w:eastAsia="仿宋" w:cs="仿宋"/>
          <w:sz w:val="32"/>
          <w:szCs w:val="32"/>
        </w:rPr>
      </w:pPr>
    </w:p>
    <w:p w14:paraId="0E4BF2EC">
      <w:pPr>
        <w:pStyle w:val="2"/>
        <w:jc w:val="both"/>
        <w:rPr>
          <w:rFonts w:hint="eastAsia" w:ascii="仿宋" w:hAnsi="仿宋" w:eastAsia="仿宋" w:cs="仿宋"/>
          <w:color w:val="auto"/>
          <w:sz w:val="32"/>
          <w:szCs w:val="32"/>
        </w:rPr>
      </w:pPr>
    </w:p>
    <w:p w14:paraId="339C1DB0">
      <w:pPr>
        <w:rPr>
          <w:rFonts w:hint="eastAsia" w:ascii="仿宋" w:hAnsi="仿宋" w:eastAsia="仿宋" w:cs="仿宋"/>
        </w:rPr>
      </w:pPr>
    </w:p>
    <w:p w14:paraId="66DCC045">
      <w:pPr>
        <w:pStyle w:val="61"/>
        <w:ind w:firstLine="640"/>
        <w:rPr>
          <w:rFonts w:hint="eastAsia" w:ascii="仿宋" w:hAnsi="仿宋" w:eastAsia="仿宋" w:cs="仿宋"/>
          <w:sz w:val="32"/>
          <w:szCs w:val="32"/>
        </w:rPr>
      </w:pPr>
    </w:p>
    <w:p w14:paraId="62B3AA52">
      <w:pPr>
        <w:spacing w:line="600" w:lineRule="auto"/>
        <w:rPr>
          <w:rFonts w:hint="eastAsia" w:ascii="仿宋" w:hAnsi="仿宋" w:eastAsia="仿宋" w:cs="仿宋"/>
          <w:bCs/>
          <w:sz w:val="28"/>
          <w:szCs w:val="28"/>
        </w:rPr>
      </w:pPr>
    </w:p>
    <w:p w14:paraId="3620B6DC">
      <w:pPr>
        <w:spacing w:line="600" w:lineRule="auto"/>
        <w:rPr>
          <w:rFonts w:hint="eastAsia" w:ascii="仿宋" w:hAnsi="仿宋" w:eastAsia="仿宋" w:cs="仿宋"/>
          <w:bCs/>
          <w:sz w:val="28"/>
          <w:szCs w:val="28"/>
        </w:rPr>
      </w:pPr>
    </w:p>
    <w:p w14:paraId="7BDEC4D0">
      <w:pPr>
        <w:spacing w:line="600" w:lineRule="auto"/>
        <w:rPr>
          <w:rFonts w:hint="eastAsia" w:ascii="仿宋" w:hAnsi="仿宋" w:eastAsia="仿宋" w:cs="仿宋"/>
          <w:bCs/>
          <w:sz w:val="28"/>
          <w:szCs w:val="28"/>
        </w:rPr>
      </w:pPr>
    </w:p>
    <w:p w14:paraId="576B5766">
      <w:pPr>
        <w:spacing w:line="360" w:lineRule="auto"/>
        <w:ind w:firstLine="720" w:firstLineChars="200"/>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杭州市萧山区第一人民医院</w:t>
      </w:r>
    </w:p>
    <w:p w14:paraId="66F9C50D">
      <w:pPr>
        <w:spacing w:line="360" w:lineRule="auto"/>
        <w:ind w:firstLine="720" w:firstLineChars="200"/>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浙江国际招投标有限公司</w:t>
      </w:r>
    </w:p>
    <w:p w14:paraId="6B8E4D9C">
      <w:pPr>
        <w:snapToGrid w:val="0"/>
        <w:spacing w:line="360" w:lineRule="auto"/>
        <w:jc w:val="center"/>
        <w:rPr>
          <w:rFonts w:hint="eastAsia" w:ascii="仿宋" w:hAnsi="仿宋" w:eastAsia="仿宋" w:cs="仿宋"/>
          <w:bCs/>
          <w:color w:val="000000"/>
          <w:sz w:val="32"/>
          <w:szCs w:val="32"/>
        </w:rPr>
      </w:pPr>
      <w:r>
        <w:rPr>
          <w:rFonts w:hint="eastAsia" w:ascii="仿宋" w:hAnsi="仿宋" w:eastAsia="仿宋" w:cs="仿宋"/>
          <w:bCs/>
          <w:sz w:val="36"/>
          <w:szCs w:val="36"/>
        </w:rPr>
        <w:t xml:space="preserve">  202</w:t>
      </w:r>
      <w:r>
        <w:rPr>
          <w:rFonts w:hint="eastAsia" w:ascii="仿宋" w:hAnsi="仿宋" w:eastAsia="仿宋" w:cs="仿宋"/>
          <w:bCs/>
          <w:sz w:val="36"/>
          <w:szCs w:val="36"/>
          <w:lang w:val="en-US" w:eastAsia="zh-CN"/>
        </w:rPr>
        <w:t>4</w:t>
      </w:r>
      <w:r>
        <w:rPr>
          <w:rFonts w:hint="eastAsia" w:ascii="仿宋" w:hAnsi="仿宋" w:eastAsia="仿宋" w:cs="仿宋"/>
          <w:bCs/>
          <w:sz w:val="36"/>
          <w:szCs w:val="36"/>
        </w:rPr>
        <w:t xml:space="preserve"> 年</w:t>
      </w:r>
      <w:r>
        <w:rPr>
          <w:rFonts w:hint="eastAsia" w:ascii="仿宋" w:hAnsi="仿宋" w:eastAsia="仿宋" w:cs="仿宋"/>
          <w:bCs/>
          <w:sz w:val="36"/>
          <w:szCs w:val="36"/>
          <w:lang w:val="en-US" w:eastAsia="zh-CN"/>
        </w:rPr>
        <w:t>11</w:t>
      </w:r>
      <w:r>
        <w:rPr>
          <w:rFonts w:hint="eastAsia" w:ascii="仿宋" w:hAnsi="仿宋" w:eastAsia="仿宋" w:cs="仿宋"/>
          <w:bCs/>
          <w:sz w:val="36"/>
          <w:szCs w:val="36"/>
        </w:rPr>
        <w:t>月</w:t>
      </w:r>
    </w:p>
    <w:p w14:paraId="5E55F998">
      <w:pPr>
        <w:pStyle w:val="75"/>
        <w:spacing w:before="120"/>
        <w:ind w:firstLine="640"/>
        <w:rPr>
          <w:rFonts w:hint="eastAsia" w:ascii="仿宋" w:hAnsi="仿宋" w:eastAsia="仿宋" w:cs="仿宋"/>
          <w:bCs/>
          <w:color w:val="000000"/>
          <w:sz w:val="32"/>
          <w:szCs w:val="32"/>
        </w:rPr>
      </w:pPr>
    </w:p>
    <w:p w14:paraId="66770A5E">
      <w:pPr>
        <w:spacing w:line="360" w:lineRule="auto"/>
        <w:jc w:val="center"/>
        <w:rPr>
          <w:rFonts w:hint="eastAsia" w:ascii="仿宋" w:hAnsi="仿宋" w:eastAsia="仿宋" w:cs="仿宋"/>
          <w:b/>
          <w:color w:val="000000"/>
          <w:sz w:val="48"/>
          <w:szCs w:val="48"/>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bookmarkStart w:id="0" w:name="_Hlt67893495"/>
      <w:bookmarkEnd w:id="0"/>
    </w:p>
    <w:p w14:paraId="5B30F8DB">
      <w:pPr>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目  录</w:t>
      </w:r>
    </w:p>
    <w:p w14:paraId="5CECCCA8">
      <w:pPr>
        <w:spacing w:line="360" w:lineRule="auto"/>
        <w:jc w:val="center"/>
        <w:rPr>
          <w:rFonts w:hint="eastAsia" w:ascii="仿宋" w:hAnsi="仿宋" w:eastAsia="仿宋" w:cs="仿宋"/>
          <w:color w:val="000000"/>
          <w:sz w:val="32"/>
          <w:szCs w:val="32"/>
        </w:rPr>
      </w:pPr>
    </w:p>
    <w:p w14:paraId="0776EEBA">
      <w:pPr>
        <w:spacing w:line="360" w:lineRule="auto"/>
        <w:rPr>
          <w:rFonts w:hint="eastAsia" w:ascii="仿宋" w:hAnsi="仿宋" w:eastAsia="仿宋" w:cs="仿宋"/>
          <w:color w:val="000000"/>
          <w:sz w:val="32"/>
          <w:szCs w:val="32"/>
        </w:rPr>
      </w:pPr>
    </w:p>
    <w:p w14:paraId="73F0A6DA">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40886D9E">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5B81BCD7">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007DE270">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08BCE2FC">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3536AE80">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6246C929">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6177B943">
      <w:pPr>
        <w:spacing w:line="360" w:lineRule="auto"/>
        <w:ind w:firstLine="549" w:firstLineChars="229"/>
        <w:rPr>
          <w:rFonts w:hint="eastAsia" w:ascii="仿宋" w:hAnsi="仿宋" w:eastAsia="仿宋" w:cs="仿宋"/>
          <w:color w:val="000000"/>
          <w:sz w:val="24"/>
        </w:rPr>
      </w:pPr>
    </w:p>
    <w:p w14:paraId="7D0BBD8C">
      <w:pPr>
        <w:spacing w:line="360" w:lineRule="auto"/>
        <w:ind w:firstLine="549" w:firstLineChars="229"/>
        <w:rPr>
          <w:rFonts w:hint="eastAsia" w:ascii="仿宋" w:hAnsi="仿宋" w:eastAsia="仿宋" w:cs="仿宋"/>
          <w:color w:val="000000"/>
          <w:sz w:val="24"/>
        </w:rPr>
      </w:pPr>
    </w:p>
    <w:p w14:paraId="46E5F9FB">
      <w:pPr>
        <w:spacing w:line="360" w:lineRule="auto"/>
        <w:ind w:firstLine="549" w:firstLineChars="229"/>
        <w:rPr>
          <w:rFonts w:hint="eastAsia" w:ascii="仿宋" w:hAnsi="仿宋" w:eastAsia="仿宋" w:cs="仿宋"/>
          <w:color w:val="000000"/>
          <w:sz w:val="24"/>
        </w:rPr>
      </w:pPr>
    </w:p>
    <w:p w14:paraId="05DFE05E">
      <w:pPr>
        <w:spacing w:line="360" w:lineRule="auto"/>
        <w:ind w:firstLine="549" w:firstLineChars="229"/>
        <w:rPr>
          <w:rFonts w:hint="eastAsia" w:ascii="仿宋" w:hAnsi="仿宋" w:eastAsia="仿宋" w:cs="仿宋"/>
          <w:color w:val="000000"/>
          <w:sz w:val="24"/>
        </w:rPr>
      </w:pPr>
    </w:p>
    <w:p w14:paraId="20F1CFF8">
      <w:pPr>
        <w:spacing w:line="360" w:lineRule="auto"/>
        <w:ind w:firstLine="549" w:firstLineChars="229"/>
        <w:rPr>
          <w:rFonts w:hint="eastAsia" w:ascii="仿宋" w:hAnsi="仿宋" w:eastAsia="仿宋" w:cs="仿宋"/>
          <w:color w:val="000000"/>
          <w:sz w:val="24"/>
        </w:rPr>
      </w:pPr>
    </w:p>
    <w:p w14:paraId="2A99749B">
      <w:pPr>
        <w:spacing w:line="360" w:lineRule="auto"/>
        <w:ind w:firstLine="549" w:firstLineChars="229"/>
        <w:rPr>
          <w:rFonts w:hint="eastAsia" w:ascii="仿宋" w:hAnsi="仿宋" w:eastAsia="仿宋" w:cs="仿宋"/>
          <w:color w:val="000000"/>
          <w:sz w:val="24"/>
        </w:rPr>
      </w:pPr>
    </w:p>
    <w:p w14:paraId="7DF9D47B">
      <w:pPr>
        <w:spacing w:line="360" w:lineRule="auto"/>
        <w:ind w:firstLine="549" w:firstLineChars="229"/>
        <w:rPr>
          <w:rFonts w:hint="eastAsia" w:ascii="仿宋" w:hAnsi="仿宋" w:eastAsia="仿宋" w:cs="仿宋"/>
          <w:color w:val="000000"/>
          <w:sz w:val="24"/>
        </w:rPr>
      </w:pPr>
    </w:p>
    <w:p w14:paraId="33C61DC1">
      <w:pPr>
        <w:spacing w:line="360" w:lineRule="auto"/>
        <w:ind w:firstLine="549" w:firstLineChars="229"/>
        <w:rPr>
          <w:rFonts w:hint="eastAsia" w:ascii="仿宋" w:hAnsi="仿宋" w:eastAsia="仿宋" w:cs="仿宋"/>
          <w:color w:val="000000"/>
          <w:sz w:val="24"/>
        </w:rPr>
      </w:pPr>
    </w:p>
    <w:p w14:paraId="12FB4001">
      <w:pPr>
        <w:pStyle w:val="2"/>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rPr>
        <w:t>第一部分 交易公告</w:t>
      </w:r>
    </w:p>
    <w:p w14:paraId="17C5A573">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14:paraId="1C998808">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rPr>
      </w:pPr>
      <w:r>
        <w:rPr>
          <w:rFonts w:hint="eastAsia" w:ascii="仿宋" w:hAnsi="仿宋" w:eastAsia="仿宋" w:cs="仿宋"/>
          <w:sz w:val="24"/>
          <w:u w:val="single"/>
          <w:lang w:eastAsia="zh-CN"/>
        </w:rPr>
        <w:t>杭州市萧山区第一人民医院尿动力检测系统采购项目</w:t>
      </w:r>
      <w:r>
        <w:rPr>
          <w:rFonts w:hint="eastAsia" w:ascii="仿宋" w:hAnsi="仿宋" w:eastAsia="仿宋" w:cs="仿宋"/>
          <w:sz w:val="24"/>
        </w:rPr>
        <w:t>的潜在</w:t>
      </w:r>
      <w:r>
        <w:rPr>
          <w:rFonts w:hint="eastAsia" w:ascii="仿宋" w:hAnsi="仿宋" w:eastAsia="仿宋" w:cs="仿宋"/>
          <w:sz w:val="24"/>
          <w:lang w:eastAsia="zh-CN"/>
        </w:rPr>
        <w:t>投标人</w:t>
      </w:r>
      <w:r>
        <w:rPr>
          <w:rFonts w:hint="eastAsia" w:ascii="仿宋" w:hAnsi="仿宋" w:eastAsia="仿宋" w:cs="仿宋"/>
          <w:sz w:val="24"/>
        </w:rPr>
        <w:t>应在乐采云(萧采云)平台（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Fonts w:hint="eastAsia" w:ascii="仿宋" w:hAnsi="仿宋" w:eastAsia="仿宋" w:cs="仿宋"/>
          <w:sz w:val="24"/>
        </w:rPr>
        <w:t>https://www.zcygov.cn/）获取（下载）交易文件，并于202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rPr>
        <w:fldChar w:fldCharType="end"/>
      </w:r>
      <w:r>
        <w:rPr>
          <w:rFonts w:hint="eastAsia" w:ascii="仿宋" w:hAnsi="仿宋" w:eastAsia="仿宋" w:cs="仿宋"/>
          <w:sz w:val="24"/>
          <w:u w:val="single"/>
          <w:lang w:val="en-US" w:eastAsia="zh-CN"/>
        </w:rPr>
        <w:t xml:space="preserve"> 11</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 xml:space="preserve">日 </w:t>
      </w:r>
      <w:r>
        <w:rPr>
          <w:rFonts w:hint="eastAsia" w:ascii="仿宋" w:hAnsi="仿宋" w:eastAsia="仿宋" w:cs="仿宋"/>
          <w:sz w:val="24"/>
          <w:u w:val="single"/>
          <w:lang w:val="en-US" w:eastAsia="zh-CN"/>
        </w:rPr>
        <w:t>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 xml:space="preserve"> 30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19B1546B">
      <w:pPr>
        <w:pStyle w:val="3"/>
        <w:numPr>
          <w:ilvl w:val="0"/>
          <w:numId w:val="0"/>
        </w:numPr>
        <w:rPr>
          <w:rFonts w:hint="eastAsia" w:ascii="仿宋" w:hAnsi="仿宋" w:eastAsia="仿宋" w:cs="仿宋"/>
          <w:sz w:val="24"/>
          <w:szCs w:val="28"/>
        </w:rPr>
      </w:pPr>
      <w:bookmarkStart w:id="11" w:name="_Toc35393790"/>
      <w:bookmarkStart w:id="12" w:name="_Toc28359002"/>
      <w:bookmarkStart w:id="13" w:name="_Toc28359079"/>
      <w:bookmarkStart w:id="14" w:name="_Toc35393621"/>
      <w:bookmarkStart w:id="15" w:name="_Hlk24379207"/>
      <w:r>
        <w:rPr>
          <w:rFonts w:hint="eastAsia" w:ascii="仿宋" w:hAnsi="仿宋" w:eastAsia="仿宋" w:cs="仿宋"/>
          <w:sz w:val="24"/>
          <w:szCs w:val="28"/>
        </w:rPr>
        <w:t>一、项目基本情况</w:t>
      </w:r>
      <w:bookmarkEnd w:id="11"/>
      <w:bookmarkEnd w:id="12"/>
      <w:bookmarkEnd w:id="13"/>
      <w:bookmarkEnd w:id="14"/>
    </w:p>
    <w:p w14:paraId="56BF7E4C">
      <w:pPr>
        <w:spacing w:line="360" w:lineRule="auto"/>
        <w:ind w:left="420" w:leftChars="200"/>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项目编号：</w:t>
      </w:r>
      <w:r>
        <w:rPr>
          <w:rFonts w:hint="eastAsia" w:ascii="仿宋" w:hAnsi="仿宋" w:eastAsia="仿宋" w:cs="仿宋"/>
          <w:sz w:val="24"/>
          <w:szCs w:val="28"/>
          <w:highlight w:val="none"/>
          <w:lang w:eastAsia="zh-CN"/>
        </w:rPr>
        <w:t>XSYY2024-GJ-09 二次</w:t>
      </w:r>
      <w:r>
        <w:rPr>
          <w:rFonts w:hint="eastAsia" w:ascii="仿宋" w:hAnsi="仿宋" w:eastAsia="仿宋" w:cs="仿宋"/>
          <w:sz w:val="24"/>
          <w:szCs w:val="28"/>
          <w:highlight w:val="none"/>
          <w:lang w:val="en-US" w:eastAsia="zh-CN"/>
        </w:rPr>
        <w:t xml:space="preserve"> </w:t>
      </w:r>
    </w:p>
    <w:p w14:paraId="1D89235E">
      <w:pPr>
        <w:spacing w:line="360" w:lineRule="auto"/>
        <w:ind w:left="420" w:leftChars="2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szCs w:val="28"/>
          <w:highlight w:val="none"/>
          <w:lang w:eastAsia="zh-CN"/>
        </w:rPr>
        <w:t>杭州市萧山区第一人民医院</w:t>
      </w:r>
      <w:r>
        <w:rPr>
          <w:rFonts w:hint="eastAsia" w:ascii="仿宋" w:hAnsi="仿宋" w:eastAsia="仿宋" w:cs="仿宋"/>
          <w:sz w:val="24"/>
          <w:szCs w:val="28"/>
          <w:highlight w:val="none"/>
          <w:lang w:val="en-US" w:eastAsia="zh-CN"/>
        </w:rPr>
        <w:t>尿动力检测系统</w:t>
      </w:r>
      <w:r>
        <w:rPr>
          <w:rFonts w:hint="eastAsia" w:ascii="仿宋" w:hAnsi="仿宋" w:eastAsia="仿宋" w:cs="仿宋"/>
          <w:sz w:val="24"/>
          <w:szCs w:val="28"/>
          <w:highlight w:val="none"/>
          <w:lang w:eastAsia="zh-CN"/>
        </w:rPr>
        <w:t>采购项目</w:t>
      </w:r>
    </w:p>
    <w:p w14:paraId="723C9B7C">
      <w:pPr>
        <w:spacing w:line="360" w:lineRule="auto"/>
        <w:ind w:left="420" w:left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350000</w:t>
      </w:r>
      <w:r>
        <w:rPr>
          <w:rFonts w:hint="eastAsia" w:ascii="仿宋" w:hAnsi="仿宋" w:eastAsia="仿宋" w:cs="仿宋"/>
          <w:sz w:val="24"/>
          <w:szCs w:val="28"/>
          <w:highlight w:val="none"/>
        </w:rPr>
        <w:t>元</w:t>
      </w:r>
    </w:p>
    <w:p w14:paraId="4914D129">
      <w:pPr>
        <w:spacing w:line="360" w:lineRule="auto"/>
        <w:ind w:left="420" w:left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最高限价：</w:t>
      </w:r>
      <w:r>
        <w:rPr>
          <w:rFonts w:hint="eastAsia" w:ascii="仿宋" w:hAnsi="仿宋" w:eastAsia="仿宋" w:cs="仿宋"/>
          <w:sz w:val="24"/>
          <w:szCs w:val="28"/>
          <w:highlight w:val="none"/>
          <w:lang w:val="en-US" w:eastAsia="zh-CN"/>
        </w:rPr>
        <w:t>350000</w:t>
      </w:r>
      <w:r>
        <w:rPr>
          <w:rFonts w:hint="eastAsia" w:ascii="仿宋" w:hAnsi="仿宋" w:eastAsia="仿宋" w:cs="仿宋"/>
          <w:sz w:val="24"/>
          <w:szCs w:val="28"/>
          <w:highlight w:val="none"/>
        </w:rPr>
        <w:t>元</w:t>
      </w:r>
    </w:p>
    <w:p w14:paraId="59897334">
      <w:pPr>
        <w:spacing w:line="360" w:lineRule="auto"/>
        <w:ind w:left="420" w:leftChars="200"/>
        <w:jc w:val="left"/>
        <w:rPr>
          <w:rFonts w:hint="eastAsia" w:ascii="仿宋" w:hAnsi="仿宋" w:eastAsia="仿宋" w:cs="仿宋"/>
          <w:sz w:val="24"/>
          <w:szCs w:val="28"/>
          <w:u w:val="single"/>
        </w:rPr>
      </w:pPr>
      <w:r>
        <w:rPr>
          <w:rFonts w:hint="eastAsia" w:ascii="仿宋" w:hAnsi="仿宋" w:eastAsia="仿宋" w:cs="仿宋"/>
          <w:sz w:val="24"/>
          <w:szCs w:val="28"/>
        </w:rPr>
        <w:t>交易需求：详见交易文件</w:t>
      </w:r>
    </w:p>
    <w:p w14:paraId="00DFDC67">
      <w:pPr>
        <w:spacing w:line="360" w:lineRule="auto"/>
        <w:ind w:firstLine="480"/>
        <w:rPr>
          <w:rFonts w:hint="eastAsia"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7C471531">
      <w:pPr>
        <w:spacing w:line="360" w:lineRule="auto"/>
        <w:ind w:firstLine="480"/>
        <w:rPr>
          <w:rFonts w:hint="eastAsia" w:ascii="仿宋" w:hAnsi="仿宋" w:eastAsia="仿宋" w:cs="仿宋"/>
          <w:b/>
          <w:sz w:val="24"/>
        </w:rPr>
      </w:pPr>
      <w:r>
        <w:rPr>
          <w:rFonts w:hint="eastAsia" w:ascii="仿宋" w:hAnsi="仿宋" w:eastAsia="仿宋" w:cs="仿宋"/>
          <w:b/>
          <w:sz w:val="24"/>
        </w:rPr>
        <w:t>本项目是否接受联合体交易：</w:t>
      </w:r>
      <w:sdt>
        <w:sdtPr>
          <w:rPr>
            <w:rFonts w:hint="eastAsia" w:ascii="仿宋" w:hAnsi="仿宋" w:eastAsia="仿宋" w:cs="仿宋"/>
            <w:kern w:val="0"/>
            <w:sz w:val="24"/>
          </w:rPr>
          <w:id w:val="203545383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是，</w:t>
      </w:r>
      <w:sdt>
        <w:sdtPr>
          <w:rPr>
            <w:rFonts w:hint="eastAsia" w:ascii="仿宋" w:hAnsi="仿宋" w:eastAsia="仿宋" w:cs="仿宋"/>
            <w:kern w:val="0"/>
            <w:sz w:val="24"/>
          </w:rPr>
          <w:id w:val="-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否</w:t>
      </w:r>
      <w:r>
        <w:rPr>
          <w:rFonts w:hint="eastAsia" w:ascii="仿宋" w:hAnsi="仿宋" w:eastAsia="仿宋" w:cs="仿宋"/>
          <w:kern w:val="0"/>
          <w:sz w:val="24"/>
        </w:rPr>
        <w:t>。</w:t>
      </w:r>
    </w:p>
    <w:p w14:paraId="69308F52">
      <w:pPr>
        <w:pStyle w:val="2"/>
        <w:ind w:firstLine="482" w:firstLineChars="200"/>
        <w:jc w:val="both"/>
        <w:rPr>
          <w:rFonts w:hint="eastAsia" w:ascii="仿宋" w:hAnsi="仿宋" w:eastAsia="仿宋" w:cs="仿宋"/>
        </w:rPr>
      </w:pPr>
      <w:r>
        <w:rPr>
          <w:rFonts w:hint="eastAsia" w:ascii="仿宋" w:hAnsi="仿宋" w:eastAsia="仿宋" w:cs="仿宋"/>
          <w:color w:val="auto"/>
          <w:sz w:val="24"/>
          <w:szCs w:val="28"/>
        </w:rPr>
        <w:t>交易方式：公开竞争</w:t>
      </w:r>
    </w:p>
    <w:p w14:paraId="1AE8418E">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791"/>
      <w:bookmarkStart w:id="17" w:name="_Toc35393622"/>
      <w:bookmarkStart w:id="18" w:name="_Toc28359080"/>
      <w:bookmarkStart w:id="19" w:name="_Toc28359003"/>
      <w:r>
        <w:rPr>
          <w:rFonts w:hint="eastAsia" w:ascii="仿宋" w:hAnsi="仿宋" w:eastAsia="仿宋" w:cs="仿宋"/>
          <w:sz w:val="24"/>
          <w:szCs w:val="28"/>
        </w:rPr>
        <w:t>申请人的资格要求：</w:t>
      </w:r>
      <w:bookmarkEnd w:id="16"/>
      <w:bookmarkEnd w:id="17"/>
      <w:bookmarkEnd w:id="18"/>
      <w:bookmarkEnd w:id="19"/>
    </w:p>
    <w:p w14:paraId="55977FCB">
      <w:pPr>
        <w:adjustRightInd/>
        <w:spacing w:after="120" w:line="400" w:lineRule="exact"/>
        <w:ind w:firstLine="480" w:firstLineChars="200"/>
        <w:rPr>
          <w:rFonts w:hint="eastAsia" w:ascii="仿宋" w:hAnsi="仿宋" w:eastAsia="仿宋" w:cs="仿宋"/>
          <w:snapToGrid w:val="0"/>
          <w:color w:val="000000"/>
          <w:kern w:val="28"/>
          <w:sz w:val="24"/>
          <w:szCs w:val="20"/>
        </w:rPr>
      </w:pPr>
      <w:bookmarkStart w:id="20" w:name="_Toc28359081"/>
      <w:bookmarkStart w:id="21" w:name="_Toc28359004"/>
      <w:bookmarkStart w:id="22" w:name="_Toc35393792"/>
      <w:bookmarkStart w:id="23" w:name="_Toc35393623"/>
      <w:r>
        <w:rPr>
          <w:rFonts w:hint="eastAsia" w:ascii="仿宋" w:hAnsi="仿宋" w:eastAsia="仿宋" w:cs="仿宋"/>
          <w:snapToGrid w:val="0"/>
          <w:color w:val="000000"/>
          <w:kern w:val="28"/>
          <w:sz w:val="24"/>
          <w:szCs w:val="20"/>
        </w:rPr>
        <w:t>1.具有独立承担民事责任能力的独立法人企业。</w:t>
      </w:r>
    </w:p>
    <w:p w14:paraId="67A7816A">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2.具有良好的商业信誉和健全的财务会计制度；</w:t>
      </w:r>
    </w:p>
    <w:p w14:paraId="43167B36">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3.具有履行合同所必需的设备和专业技术能力；</w:t>
      </w:r>
    </w:p>
    <w:p w14:paraId="5B86809E">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4.具有依法缴纳税收和社会保障资金的良好记录；</w:t>
      </w:r>
    </w:p>
    <w:p w14:paraId="1589375C">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5.参加交易活动前三年内，在经营活动中没有重大违法记录；</w:t>
      </w:r>
    </w:p>
    <w:p w14:paraId="214A493E">
      <w:pPr>
        <w:spacing w:after="120" w:line="400" w:lineRule="exact"/>
        <w:ind w:firstLine="480" w:firstLineChars="200"/>
        <w:jc w:val="left"/>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6.法律、行政法规规定的其他条件；</w:t>
      </w:r>
    </w:p>
    <w:p w14:paraId="3C923565">
      <w:pPr>
        <w:pStyle w:val="635"/>
        <w:rPr>
          <w:rFonts w:hint="eastAsia" w:ascii="仿宋" w:hAnsi="仿宋" w:eastAsia="仿宋" w:cs="仿宋"/>
          <w:snapToGrid w:val="0"/>
          <w:color w:val="auto"/>
          <w:kern w:val="28"/>
          <w:szCs w:val="20"/>
        </w:rPr>
      </w:pPr>
      <w:r>
        <w:rPr>
          <w:rFonts w:hint="eastAsia" w:ascii="仿宋" w:hAnsi="仿宋" w:eastAsia="仿宋" w:cs="仿宋"/>
          <w:snapToGrid w:val="0"/>
          <w:color w:val="auto"/>
          <w:kern w:val="28"/>
          <w:szCs w:val="20"/>
        </w:rPr>
        <w:t>7、其他特定条件：</w:t>
      </w:r>
    </w:p>
    <w:p w14:paraId="3713D9FD">
      <w:pPr>
        <w:pStyle w:val="635"/>
        <w:rPr>
          <w:rFonts w:hint="eastAsia" w:ascii="仿宋" w:hAnsi="仿宋" w:eastAsia="仿宋" w:cs="仿宋"/>
          <w:snapToGrid w:val="0"/>
          <w:color w:val="auto"/>
          <w:kern w:val="28"/>
          <w:szCs w:val="20"/>
          <w:lang w:eastAsia="zh-CN"/>
        </w:rPr>
      </w:pPr>
      <w:r>
        <w:rPr>
          <w:rFonts w:hint="eastAsia" w:ascii="仿宋" w:hAnsi="仿宋" w:eastAsia="仿宋" w:cs="仿宋"/>
          <w:snapToGrid w:val="0"/>
          <w:color w:val="auto"/>
          <w:kern w:val="28"/>
          <w:szCs w:val="20"/>
          <w:lang w:eastAsia="zh-CN"/>
        </w:rPr>
        <w:t>投标产品属于第二、第三类医疗器械的，应当提供厂家关于产品的有效的医疗器械注册证和厂家的医疗器械生产许可证；投标产品属于第一类医疗器械的，应当提供生产厂家关于产品的医疗器械产品备案凭证和厂家的生产备案凭证；投标产品为非医疗器械的无需提供。</w:t>
      </w:r>
    </w:p>
    <w:p w14:paraId="748E50CC">
      <w:pPr>
        <w:pStyle w:val="635"/>
        <w:rPr>
          <w:rFonts w:hint="eastAsia" w:ascii="仿宋" w:hAnsi="仿宋" w:eastAsia="仿宋" w:cs="仿宋"/>
          <w:snapToGrid w:val="0"/>
          <w:color w:val="auto"/>
          <w:kern w:val="28"/>
          <w:szCs w:val="20"/>
        </w:rPr>
      </w:pPr>
      <w:r>
        <w:rPr>
          <w:rFonts w:hint="eastAsia" w:ascii="仿宋" w:hAnsi="仿宋" w:eastAsia="仿宋" w:cs="仿宋"/>
          <w:snapToGrid w:val="0"/>
          <w:color w:val="auto"/>
          <w:kern w:val="28"/>
          <w:szCs w:val="20"/>
        </w:rPr>
        <w:t>投标产品属第三类医疗器械的，</w:t>
      </w:r>
      <w:r>
        <w:rPr>
          <w:rFonts w:hint="eastAsia" w:ascii="仿宋" w:hAnsi="仿宋" w:eastAsia="仿宋" w:cs="仿宋"/>
          <w:snapToGrid w:val="0"/>
          <w:color w:val="auto"/>
          <w:kern w:val="28"/>
          <w:szCs w:val="20"/>
          <w:lang w:eastAsia="zh-CN"/>
        </w:rPr>
        <w:t>投标人为经营企业的，除提供营业执照外，还应当</w:t>
      </w:r>
      <w:r>
        <w:rPr>
          <w:rFonts w:hint="eastAsia" w:ascii="仿宋" w:hAnsi="仿宋" w:eastAsia="仿宋" w:cs="仿宋"/>
          <w:snapToGrid w:val="0"/>
          <w:color w:val="auto"/>
          <w:kern w:val="28"/>
          <w:szCs w:val="20"/>
        </w:rPr>
        <w:t>提供有效的医疗器械经营许可证</w:t>
      </w:r>
      <w:r>
        <w:rPr>
          <w:rFonts w:hint="eastAsia" w:ascii="仿宋" w:hAnsi="仿宋" w:eastAsia="仿宋" w:cs="仿宋"/>
          <w:snapToGrid w:val="0"/>
          <w:color w:val="auto"/>
          <w:kern w:val="28"/>
          <w:szCs w:val="20"/>
          <w:lang w:eastAsia="zh-CN"/>
        </w:rPr>
        <w:t>；投标人是生产厂家的，除提供营业执照外，只需要提供医疗器械生产许可证。</w:t>
      </w:r>
      <w:r>
        <w:rPr>
          <w:rFonts w:hint="eastAsia" w:ascii="仿宋" w:hAnsi="仿宋" w:eastAsia="仿宋" w:cs="仿宋"/>
          <w:snapToGrid w:val="0"/>
          <w:color w:val="auto"/>
          <w:kern w:val="28"/>
          <w:szCs w:val="20"/>
        </w:rPr>
        <w:t>投标产品属第</w:t>
      </w:r>
      <w:r>
        <w:rPr>
          <w:rFonts w:hint="eastAsia" w:ascii="仿宋" w:hAnsi="仿宋" w:eastAsia="仿宋" w:cs="仿宋"/>
          <w:snapToGrid w:val="0"/>
          <w:color w:val="auto"/>
          <w:kern w:val="28"/>
          <w:szCs w:val="20"/>
          <w:lang w:eastAsia="zh-CN"/>
        </w:rPr>
        <w:t>二</w:t>
      </w:r>
      <w:r>
        <w:rPr>
          <w:rFonts w:hint="eastAsia" w:ascii="仿宋" w:hAnsi="仿宋" w:eastAsia="仿宋" w:cs="仿宋"/>
          <w:snapToGrid w:val="0"/>
          <w:color w:val="auto"/>
          <w:kern w:val="28"/>
          <w:szCs w:val="20"/>
        </w:rPr>
        <w:t>类医疗器械的，</w:t>
      </w:r>
      <w:r>
        <w:rPr>
          <w:rFonts w:hint="eastAsia" w:ascii="仿宋" w:hAnsi="仿宋" w:eastAsia="仿宋" w:cs="仿宋"/>
          <w:snapToGrid w:val="0"/>
          <w:color w:val="auto"/>
          <w:kern w:val="28"/>
          <w:szCs w:val="20"/>
          <w:lang w:eastAsia="zh-CN"/>
        </w:rPr>
        <w:t>投标人为经营企业的，除提供营业执照外，还应当</w:t>
      </w:r>
      <w:r>
        <w:rPr>
          <w:rFonts w:hint="eastAsia" w:ascii="仿宋" w:hAnsi="仿宋" w:eastAsia="仿宋" w:cs="仿宋"/>
          <w:snapToGrid w:val="0"/>
          <w:color w:val="auto"/>
          <w:kern w:val="28"/>
          <w:szCs w:val="20"/>
        </w:rPr>
        <w:t>提供有效的</w:t>
      </w:r>
      <w:r>
        <w:rPr>
          <w:rFonts w:hint="eastAsia" w:ascii="仿宋" w:hAnsi="仿宋" w:eastAsia="仿宋" w:cs="仿宋"/>
          <w:snapToGrid w:val="0"/>
          <w:color w:val="auto"/>
          <w:kern w:val="28"/>
          <w:szCs w:val="20"/>
          <w:lang w:eastAsia="zh-CN"/>
        </w:rPr>
        <w:t>第二类</w:t>
      </w:r>
      <w:r>
        <w:rPr>
          <w:rFonts w:hint="eastAsia" w:ascii="仿宋" w:hAnsi="仿宋" w:eastAsia="仿宋" w:cs="仿宋"/>
          <w:snapToGrid w:val="0"/>
          <w:color w:val="auto"/>
          <w:kern w:val="28"/>
          <w:szCs w:val="20"/>
        </w:rPr>
        <w:t>医疗器械经营</w:t>
      </w:r>
      <w:r>
        <w:rPr>
          <w:rFonts w:hint="eastAsia" w:ascii="仿宋" w:hAnsi="仿宋" w:eastAsia="仿宋" w:cs="仿宋"/>
          <w:snapToGrid w:val="0"/>
          <w:color w:val="auto"/>
          <w:kern w:val="28"/>
          <w:szCs w:val="20"/>
          <w:lang w:eastAsia="zh-CN"/>
        </w:rPr>
        <w:t>备案凭证；投标人为生产厂家的，除提供营业执照外，只需要提供医疗器械生产许可证。</w:t>
      </w:r>
      <w:r>
        <w:rPr>
          <w:rFonts w:hint="eastAsia" w:ascii="仿宋" w:hAnsi="仿宋" w:eastAsia="仿宋" w:cs="仿宋"/>
          <w:snapToGrid w:val="0"/>
          <w:color w:val="auto"/>
          <w:kern w:val="28"/>
          <w:szCs w:val="20"/>
        </w:rPr>
        <w:t>投标产品属第</w:t>
      </w:r>
      <w:r>
        <w:rPr>
          <w:rFonts w:hint="eastAsia" w:ascii="仿宋" w:hAnsi="仿宋" w:eastAsia="仿宋" w:cs="仿宋"/>
          <w:snapToGrid w:val="0"/>
          <w:color w:val="auto"/>
          <w:kern w:val="28"/>
          <w:szCs w:val="20"/>
          <w:lang w:eastAsia="zh-CN"/>
        </w:rPr>
        <w:t>一</w:t>
      </w:r>
      <w:r>
        <w:rPr>
          <w:rFonts w:hint="eastAsia" w:ascii="仿宋" w:hAnsi="仿宋" w:eastAsia="仿宋" w:cs="仿宋"/>
          <w:snapToGrid w:val="0"/>
          <w:color w:val="auto"/>
          <w:kern w:val="28"/>
          <w:szCs w:val="20"/>
        </w:rPr>
        <w:t>类医疗器械的，</w:t>
      </w:r>
      <w:r>
        <w:rPr>
          <w:rFonts w:hint="eastAsia" w:ascii="仿宋" w:hAnsi="仿宋" w:eastAsia="仿宋" w:cs="仿宋"/>
          <w:snapToGrid w:val="0"/>
          <w:color w:val="auto"/>
          <w:kern w:val="28"/>
          <w:szCs w:val="20"/>
          <w:lang w:eastAsia="zh-CN"/>
        </w:rPr>
        <w:t>投标人为经营企业的，只需要提供营业执照；投标人为生产厂家的，出提供营业执照外，还应当</w:t>
      </w:r>
      <w:r>
        <w:rPr>
          <w:rFonts w:hint="eastAsia" w:ascii="仿宋" w:hAnsi="仿宋" w:eastAsia="仿宋" w:cs="仿宋"/>
          <w:snapToGrid w:val="0"/>
          <w:color w:val="auto"/>
          <w:kern w:val="28"/>
          <w:szCs w:val="20"/>
        </w:rPr>
        <w:t>提供有效的</w:t>
      </w:r>
      <w:r>
        <w:rPr>
          <w:rFonts w:hint="eastAsia" w:ascii="仿宋" w:hAnsi="仿宋" w:eastAsia="仿宋" w:cs="仿宋"/>
          <w:snapToGrid w:val="0"/>
          <w:color w:val="auto"/>
          <w:kern w:val="28"/>
          <w:szCs w:val="20"/>
          <w:lang w:eastAsia="zh-CN"/>
        </w:rPr>
        <w:t>第</w:t>
      </w:r>
      <w:r>
        <w:rPr>
          <w:rFonts w:hint="eastAsia" w:ascii="仿宋" w:hAnsi="仿宋" w:eastAsia="仿宋" w:cs="仿宋"/>
          <w:snapToGrid w:val="0"/>
          <w:color w:val="auto"/>
          <w:kern w:val="28"/>
          <w:szCs w:val="20"/>
        </w:rPr>
        <w:t>医疗器械</w:t>
      </w:r>
      <w:r>
        <w:rPr>
          <w:rFonts w:hint="eastAsia" w:ascii="仿宋" w:hAnsi="仿宋" w:eastAsia="仿宋" w:cs="仿宋"/>
          <w:snapToGrid w:val="0"/>
          <w:color w:val="auto"/>
          <w:kern w:val="28"/>
          <w:szCs w:val="20"/>
          <w:lang w:eastAsia="zh-CN"/>
        </w:rPr>
        <w:t>生产备案凭证。投标产品为非医疗器械的，只需要提供营业执照。</w:t>
      </w:r>
    </w:p>
    <w:p w14:paraId="5E12BB98">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rPr>
        <w:t>交易文件</w:t>
      </w:r>
    </w:p>
    <w:p w14:paraId="26BEB020">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val="en-US" w:eastAsia="zh-CN"/>
        </w:rPr>
        <w:t>2024年11月29日</w:t>
      </w:r>
      <w:r>
        <w:rPr>
          <w:rFonts w:hint="eastAsia" w:ascii="仿宋" w:hAnsi="仿宋" w:eastAsia="仿宋" w:cs="仿宋"/>
          <w:sz w:val="24"/>
          <w:u w:val="single"/>
        </w:rPr>
        <w:t xml:space="preserve"> </w:t>
      </w:r>
      <w:r>
        <w:rPr>
          <w:rFonts w:hint="eastAsia" w:ascii="仿宋" w:hAnsi="仿宋" w:eastAsia="仿宋" w:cs="仿宋"/>
          <w:sz w:val="24"/>
        </w:rPr>
        <w:t>，每天上午00:00至12:00 ，下午12:00至23:59（北京时间，线上获取法定节假日均可，线下获取文件法定节假日除外）</w:t>
      </w:r>
    </w:p>
    <w:p w14:paraId="31CCD78A">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地点（网址）：</w:t>
      </w:r>
      <w:r>
        <w:rPr>
          <w:rFonts w:hint="eastAsia" w:ascii="仿宋" w:hAnsi="仿宋" w:eastAsia="仿宋" w:cs="仿宋"/>
          <w:bCs/>
          <w:sz w:val="24"/>
          <w:lang w:eastAsia="zh-CN"/>
        </w:rPr>
        <w:t xml:space="preserve">乐采云平台（https://www.zcygov.cn/） </w:t>
      </w:r>
    </w:p>
    <w:p w14:paraId="1812840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bCs/>
          <w:sz w:val="24"/>
          <w:lang w:eastAsia="zh-CN"/>
        </w:rPr>
        <w:t>投标人</w:t>
      </w:r>
      <w:r>
        <w:rPr>
          <w:rFonts w:hint="eastAsia" w:ascii="仿宋" w:hAnsi="仿宋" w:eastAsia="仿宋" w:cs="仿宋"/>
          <w:bCs/>
          <w:sz w:val="24"/>
        </w:rPr>
        <w:t>登录乐采云(萧采云)平台https://www.zcygov.cn/在线申请获取交易文件</w:t>
      </w:r>
      <w:r>
        <w:rPr>
          <w:rFonts w:hint="eastAsia" w:ascii="仿宋" w:hAnsi="仿宋" w:eastAsia="仿宋" w:cs="仿宋"/>
          <w:sz w:val="24"/>
        </w:rPr>
        <w:t xml:space="preserve">（进入“项目交易”应用，在获取交易文件菜单中选择项目，申请获取交易文件）。 </w:t>
      </w:r>
    </w:p>
    <w:p w14:paraId="48A5F9F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09A70AD">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rPr>
        <w:t>响应文件截止时间、交易时间和地点</w:t>
      </w:r>
      <w:bookmarkEnd w:id="26"/>
      <w:bookmarkEnd w:id="27"/>
    </w:p>
    <w:p w14:paraId="7F348B3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lang w:val="en-US" w:eastAsia="zh-CN"/>
        </w:rPr>
        <w:t>2024年11月29日</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 xml:space="preserve"> 30</w:t>
      </w:r>
      <w:r>
        <w:rPr>
          <w:rFonts w:hint="eastAsia" w:ascii="仿宋" w:hAnsi="仿宋" w:eastAsia="仿宋" w:cs="仿宋"/>
          <w:bCs/>
          <w:sz w:val="24"/>
          <w:u w:val="single"/>
        </w:rPr>
        <w:t>分00秒</w:t>
      </w:r>
      <w:r>
        <w:rPr>
          <w:rFonts w:hint="eastAsia" w:ascii="仿宋" w:hAnsi="仿宋" w:eastAsia="仿宋" w:cs="仿宋"/>
          <w:sz w:val="24"/>
        </w:rPr>
        <w:t>（北京时间）</w:t>
      </w:r>
    </w:p>
    <w:p w14:paraId="4B87CF2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交易时间：</w:t>
      </w:r>
      <w:r>
        <w:rPr>
          <w:rFonts w:hint="eastAsia" w:ascii="仿宋" w:hAnsi="仿宋" w:eastAsia="仿宋" w:cs="仿宋"/>
          <w:sz w:val="24"/>
          <w:u w:val="single"/>
          <w:lang w:val="en-US" w:eastAsia="zh-CN"/>
        </w:rPr>
        <w:t>2024年11月29日13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 xml:space="preserve"> 30</w:t>
      </w:r>
      <w:r>
        <w:rPr>
          <w:rFonts w:hint="eastAsia" w:ascii="仿宋" w:hAnsi="仿宋" w:eastAsia="仿宋" w:cs="仿宋"/>
          <w:bCs/>
          <w:sz w:val="24"/>
          <w:u w:val="single"/>
        </w:rPr>
        <w:t>分00秒</w:t>
      </w:r>
      <w:r>
        <w:rPr>
          <w:rFonts w:hint="eastAsia" w:ascii="仿宋" w:hAnsi="仿宋" w:eastAsia="仿宋" w:cs="仿宋"/>
          <w:sz w:val="24"/>
        </w:rPr>
        <w:t>（北京时间）</w:t>
      </w:r>
    </w:p>
    <w:p w14:paraId="57D9467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交易地点：</w:t>
      </w:r>
      <w:r>
        <w:rPr>
          <w:rFonts w:hint="eastAsia" w:ascii="仿宋" w:hAnsi="仿宋" w:eastAsia="仿宋" w:cs="仿宋"/>
          <w:bCs/>
          <w:sz w:val="24"/>
          <w:lang w:eastAsia="zh-CN"/>
        </w:rPr>
        <w:t xml:space="preserve">乐采云平台（https://www.zcygov.cn/） </w:t>
      </w:r>
      <w:r>
        <w:rPr>
          <w:rFonts w:hint="eastAsia" w:ascii="仿宋" w:hAnsi="仿宋" w:eastAsia="仿宋" w:cs="仿宋"/>
          <w:sz w:val="24"/>
        </w:rPr>
        <w:t xml:space="preserve">  </w:t>
      </w:r>
    </w:p>
    <w:p w14:paraId="00D67FAC">
      <w:pPr>
        <w:pStyle w:val="3"/>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rPr>
        <w:t>五、其他补充事宜</w:t>
      </w:r>
      <w:bookmarkEnd w:id="28"/>
      <w:bookmarkEnd w:id="29"/>
      <w:bookmarkStart w:id="30" w:name="_Toc28359085"/>
      <w:bookmarkStart w:id="31" w:name="_Toc35393796"/>
      <w:bookmarkStart w:id="32" w:name="_Toc35393627"/>
      <w:bookmarkStart w:id="33" w:name="_Toc28359008"/>
    </w:p>
    <w:p w14:paraId="04C9E7CD">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投标人</w:t>
      </w:r>
      <w:r>
        <w:rPr>
          <w:rFonts w:hint="eastAsia" w:ascii="仿宋" w:hAnsi="仿宋" w:eastAsia="仿宋" w:cs="仿宋"/>
          <w:sz w:val="24"/>
        </w:rPr>
        <w:t>认为交易文件使自己的权益受到损害的，可以自获取交易文件之日起3个工作日内，以书面形式向采购人和采购代理机构提出质疑。</w:t>
      </w:r>
    </w:p>
    <w:p w14:paraId="60F7F00E">
      <w:pPr>
        <w:spacing w:line="360" w:lineRule="auto"/>
        <w:ind w:firstLine="480" w:firstLineChars="200"/>
        <w:rPr>
          <w:rFonts w:hint="eastAsia" w:ascii="仿宋" w:hAnsi="仿宋" w:eastAsia="仿宋" w:cs="仿宋"/>
          <w:sz w:val="24"/>
        </w:rPr>
      </w:pPr>
      <w:r>
        <w:rPr>
          <w:rFonts w:hint="eastAsia" w:ascii="仿宋" w:hAnsi="仿宋" w:eastAsia="仿宋" w:cs="仿宋"/>
          <w:sz w:val="24"/>
        </w:rPr>
        <w:t>2.电子招投标的说明： 1）电子招投标：本项目以数据电文形式，依托“乐采云(萧采云)平台（https://www.zcygov.cn/）”进行交易活动，不接受纸质响应文件。2）投标准备：注册账号--点击“商家入驻”，进行政府采购</w:t>
      </w:r>
      <w:r>
        <w:rPr>
          <w:rFonts w:hint="eastAsia" w:ascii="仿宋" w:hAnsi="仿宋" w:eastAsia="仿宋" w:cs="仿宋"/>
          <w:sz w:val="24"/>
          <w:lang w:eastAsia="zh-CN"/>
        </w:rPr>
        <w:t>投标人</w:t>
      </w:r>
      <w:r>
        <w:rPr>
          <w:rFonts w:hint="eastAsia" w:ascii="仿宋" w:hAnsi="仿宋" w:eastAsia="仿宋" w:cs="仿宋"/>
          <w:sz w:val="24"/>
        </w:rPr>
        <w:t>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交易文件菜单中选择项目，获取交易文件。4）响应文件的制作：在“政采云电子交易客户端”中完成“填写基本信息”、“导入响应文件”、“标书关联”、“标书检查”、“公章”、“生成电子标书”等操作。5）采购人、采购机构将依托政采云平台完成本项目的电子交易活动，平台不接受未按上述方式获取交易文件的</w:t>
      </w:r>
      <w:r>
        <w:rPr>
          <w:rFonts w:hint="eastAsia" w:ascii="仿宋" w:hAnsi="仿宋" w:eastAsia="仿宋" w:cs="仿宋"/>
          <w:sz w:val="24"/>
          <w:lang w:eastAsia="zh-CN"/>
        </w:rPr>
        <w:t>投标人</w:t>
      </w:r>
      <w:r>
        <w:rPr>
          <w:rFonts w:hint="eastAsia" w:ascii="仿宋" w:hAnsi="仿宋" w:eastAsia="仿宋" w:cs="仿宋"/>
          <w:sz w:val="24"/>
        </w:rPr>
        <w:t>进行交易活动； 6）对未按上述方式获取交易文件的</w:t>
      </w:r>
      <w:r>
        <w:rPr>
          <w:rFonts w:hint="eastAsia" w:ascii="仿宋" w:hAnsi="仿宋" w:eastAsia="仿宋" w:cs="仿宋"/>
          <w:sz w:val="24"/>
          <w:lang w:eastAsia="zh-CN"/>
        </w:rPr>
        <w:t>投标人</w:t>
      </w:r>
      <w:r>
        <w:rPr>
          <w:rFonts w:hint="eastAsia" w:ascii="仿宋" w:hAnsi="仿宋" w:eastAsia="仿宋" w:cs="仿宋"/>
          <w:sz w:val="24"/>
        </w:rPr>
        <w:t>对该文件提出的质疑，采购人或采购代理机构将不予处理；7）不提供交易文件纸质版。8）响应文件的传输递交：</w:t>
      </w:r>
      <w:r>
        <w:rPr>
          <w:rFonts w:hint="eastAsia" w:ascii="仿宋" w:hAnsi="仿宋" w:eastAsia="仿宋" w:cs="仿宋"/>
          <w:sz w:val="24"/>
          <w:lang w:eastAsia="zh-CN"/>
        </w:rPr>
        <w:t>投标人</w:t>
      </w:r>
      <w:r>
        <w:rPr>
          <w:rFonts w:hint="eastAsia" w:ascii="仿宋" w:hAnsi="仿宋" w:eastAsia="仿宋" w:cs="仿宋"/>
          <w:sz w:val="24"/>
        </w:rPr>
        <w:t>在交易截止时间前将加密的响应文件上传至政府采购云平台，还可以在交易截止时间前直接提交或者以邮政快递方式递交备份响应文件1份。备份响应文件的制作、存储、密封详见交易文件第二部分第15点—“备份响应文件”。9）响应文件的解密：</w:t>
      </w:r>
      <w:r>
        <w:rPr>
          <w:rFonts w:hint="eastAsia" w:ascii="仿宋" w:hAnsi="仿宋" w:eastAsia="仿宋" w:cs="仿宋"/>
          <w:sz w:val="24"/>
          <w:lang w:eastAsia="zh-CN"/>
        </w:rPr>
        <w:t>投标人</w:t>
      </w:r>
      <w:r>
        <w:rPr>
          <w:rFonts w:hint="eastAsia" w:ascii="仿宋" w:hAnsi="仿宋" w:eastAsia="仿宋" w:cs="仿宋"/>
          <w:sz w:val="24"/>
        </w:rPr>
        <w:t>按照平台提示和交易文件的规定在半小时内完成在线解密。通过“政府采购云平台”上传递交的响应文件无法按时解密，</w:t>
      </w:r>
      <w:r>
        <w:rPr>
          <w:rFonts w:hint="eastAsia" w:ascii="仿宋" w:hAnsi="仿宋" w:eastAsia="仿宋" w:cs="仿宋"/>
          <w:sz w:val="24"/>
          <w:lang w:eastAsia="zh-CN"/>
        </w:rPr>
        <w:t>投标人</w:t>
      </w:r>
      <w:r>
        <w:rPr>
          <w:rFonts w:hint="eastAsia" w:ascii="仿宋" w:hAnsi="仿宋" w:eastAsia="仿宋" w:cs="仿宋"/>
          <w:sz w:val="24"/>
        </w:rPr>
        <w:t>递交了备份响应文件的，以备份响应文件为依据，否则视为响应文件撤回。通过“政府采购云平台”上传递交的响应文件已按时解密的，备份响应文件自动失效。</w:t>
      </w:r>
      <w:r>
        <w:rPr>
          <w:rFonts w:hint="eastAsia" w:ascii="仿宋" w:hAnsi="仿宋" w:eastAsia="仿宋" w:cs="仿宋"/>
          <w:sz w:val="24"/>
          <w:lang w:eastAsia="zh-CN"/>
        </w:rPr>
        <w:t>投标人</w:t>
      </w:r>
      <w:r>
        <w:rPr>
          <w:rFonts w:hint="eastAsia" w:ascii="仿宋" w:hAnsi="仿宋" w:eastAsia="仿宋" w:cs="仿宋"/>
          <w:sz w:val="24"/>
        </w:rPr>
        <w:t>仅提交备份响应文件，没有在电子交易平台传输递交响应文件的，交易无效。10）具体操作指南：详见政采云平台“服务中心-帮助文档-项目采购-操作流程-电子招投标-政府采购项目电子交易管理操作指南-</w:t>
      </w:r>
      <w:r>
        <w:rPr>
          <w:rFonts w:hint="eastAsia" w:ascii="仿宋" w:hAnsi="仿宋" w:eastAsia="仿宋" w:cs="仿宋"/>
          <w:sz w:val="24"/>
          <w:lang w:eastAsia="zh-CN"/>
        </w:rPr>
        <w:t>投标人</w:t>
      </w:r>
      <w:r>
        <w:rPr>
          <w:rFonts w:hint="eastAsia" w:ascii="仿宋" w:hAnsi="仿宋" w:eastAsia="仿宋" w:cs="仿宋"/>
          <w:sz w:val="24"/>
        </w:rPr>
        <w:t>”。</w:t>
      </w:r>
    </w:p>
    <w:p w14:paraId="6A2D6C26">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六、对本次招标提出询问，请按以下方式联系。</w:t>
      </w:r>
      <w:bookmarkEnd w:id="30"/>
      <w:bookmarkEnd w:id="31"/>
      <w:bookmarkEnd w:id="32"/>
      <w:bookmarkEnd w:id="33"/>
    </w:p>
    <w:p w14:paraId="6D7C830F">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1.交易发起人信息</w:t>
      </w:r>
    </w:p>
    <w:p w14:paraId="396F4CE8">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rPr>
        <w:t>名 称：</w:t>
      </w:r>
      <w:r>
        <w:rPr>
          <w:rFonts w:hint="eastAsia" w:ascii="仿宋" w:hAnsi="仿宋" w:eastAsia="仿宋" w:cs="仿宋"/>
          <w:sz w:val="24"/>
          <w:szCs w:val="28"/>
          <w:lang w:eastAsia="zh-CN"/>
        </w:rPr>
        <w:t>杭州市萧山区第一人民医院</w:t>
      </w:r>
    </w:p>
    <w:p w14:paraId="6F118A04">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地址：杭州市萧山区城厢街道市心南路199号</w:t>
      </w:r>
    </w:p>
    <w:p w14:paraId="6CC0BE35">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传真：0571-83807019</w:t>
      </w:r>
    </w:p>
    <w:p w14:paraId="56A86F37">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项目联系人（询问）：周建设</w:t>
      </w:r>
    </w:p>
    <w:p w14:paraId="4FABE8E4">
      <w:pPr>
        <w:widowControl/>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项目联系方式（询问）：0571-8380710</w:t>
      </w:r>
      <w:r>
        <w:rPr>
          <w:rFonts w:hint="eastAsia" w:ascii="仿宋" w:hAnsi="仿宋" w:eastAsia="仿宋" w:cs="仿宋"/>
          <w:sz w:val="24"/>
          <w:szCs w:val="28"/>
          <w:lang w:val="en-US" w:eastAsia="zh-CN"/>
        </w:rPr>
        <w:t>2</w:t>
      </w:r>
    </w:p>
    <w:p w14:paraId="7949BFD8">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2.交易代理机构信息</w:t>
      </w:r>
      <w:bookmarkEnd w:id="34"/>
      <w:bookmarkEnd w:id="35"/>
    </w:p>
    <w:p w14:paraId="000CAD1D">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浙江国际招投标有限公司</w:t>
      </w:r>
    </w:p>
    <w:p w14:paraId="6C7B9053">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地址：杭州市文三路90号东部软件园1号楼3楼</w:t>
      </w:r>
    </w:p>
    <w:p w14:paraId="54286911">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传真：0571-88473430</w:t>
      </w:r>
    </w:p>
    <w:p w14:paraId="3F64FDC3">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项目联系人（询问）：周卉、盛磊敏</w:t>
      </w:r>
    </w:p>
    <w:p w14:paraId="58DF5EC1">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项目联系方式（询问）：0571-81061843,810618424</w:t>
      </w:r>
    </w:p>
    <w:p w14:paraId="38B41A5A">
      <w:pPr>
        <w:wordWrap w:val="0"/>
        <w:spacing w:line="360" w:lineRule="auto"/>
        <w:jc w:val="left"/>
        <w:rPr>
          <w:rFonts w:hint="eastAsia" w:ascii="仿宋" w:hAnsi="仿宋" w:eastAsia="仿宋" w:cs="仿宋"/>
          <w:sz w:val="24"/>
        </w:rPr>
      </w:pPr>
      <w:r>
        <w:rPr>
          <w:rFonts w:hint="eastAsia" w:ascii="仿宋" w:hAnsi="仿宋" w:eastAsia="仿宋" w:cs="仿宋"/>
          <w:sz w:val="24"/>
        </w:rPr>
        <w:t xml:space="preserve">若对项目交易电子交易系统操作有疑问，可登录政采云（https://www.zcygov.cn/），点击右侧咨询小采，获取采小蜜智能服务管家帮助，或拨打政采云服务热线400-881-7190获取热线服务帮助。       </w:t>
      </w:r>
    </w:p>
    <w:p w14:paraId="685602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38C61983">
      <w:pPr>
        <w:pStyle w:val="58"/>
        <w:jc w:val="both"/>
        <w:rPr>
          <w:rFonts w:hint="eastAsia" w:ascii="仿宋" w:hAnsi="仿宋" w:eastAsia="仿宋" w:cs="仿宋"/>
          <w:lang w:val="en-US"/>
        </w:rPr>
      </w:pPr>
    </w:p>
    <w:p w14:paraId="1C952888">
      <w:pPr>
        <w:rPr>
          <w:rFonts w:hint="eastAsia" w:ascii="仿宋" w:hAnsi="仿宋" w:eastAsia="仿宋" w:cs="仿宋"/>
        </w:rPr>
      </w:pPr>
      <w:r>
        <w:rPr>
          <w:rFonts w:hint="eastAsia" w:ascii="仿宋" w:hAnsi="仿宋" w:eastAsia="仿宋" w:cs="仿宋"/>
        </w:rPr>
        <w:br w:type="page"/>
      </w:r>
    </w:p>
    <w:p w14:paraId="6DAB5ADD">
      <w:pPr>
        <w:pStyle w:val="2"/>
        <w:rPr>
          <w:rFonts w:hint="eastAsia" w:ascii="仿宋" w:hAnsi="仿宋" w:eastAsia="仿宋" w:cs="仿宋"/>
        </w:rPr>
      </w:pPr>
      <w:r>
        <w:rPr>
          <w:rFonts w:hint="eastAsia" w:ascii="仿宋" w:hAnsi="仿宋" w:eastAsia="仿宋" w:cs="仿宋"/>
        </w:rPr>
        <w:t>第二部分</w:t>
      </w:r>
      <w:bookmarkEnd w:id="8"/>
      <w:r>
        <w:rPr>
          <w:rFonts w:hint="eastAsia" w:ascii="仿宋" w:hAnsi="仿宋" w:eastAsia="仿宋" w:cs="仿宋"/>
        </w:rPr>
        <w:t xml:space="preserve"> 响应人须知</w:t>
      </w:r>
      <w:bookmarkEnd w:id="9"/>
    </w:p>
    <w:p w14:paraId="43B540A3">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7036F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4F84A2">
            <w:pPr>
              <w:snapToGrid w:val="0"/>
              <w:spacing w:line="360" w:lineRule="auto"/>
              <w:jc w:val="center"/>
              <w:rPr>
                <w:rFonts w:hint="eastAsia" w:ascii="仿宋" w:hAnsi="仿宋" w:eastAsia="仿宋" w:cs="仿宋"/>
                <w:b/>
                <w:color w:val="000000"/>
                <w:sz w:val="24"/>
              </w:rPr>
            </w:pPr>
            <w:bookmarkStart w:id="36" w:name="_Toc164416483"/>
            <w:bookmarkStart w:id="37" w:name="第三部分"/>
            <w:r>
              <w:rPr>
                <w:rFonts w:hint="eastAsia" w:ascii="仿宋" w:hAnsi="仿宋" w:eastAsia="仿宋" w:cs="仿宋"/>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1DE5DB8">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283EEF98">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本项目的特别规定</w:t>
            </w:r>
          </w:p>
        </w:tc>
      </w:tr>
      <w:tr w14:paraId="216D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AA130A">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717D3A2">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0052A2C">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有关本项目开展所需的</w:t>
            </w:r>
            <w:r>
              <w:rPr>
                <w:rFonts w:hint="eastAsia" w:ascii="仿宋" w:hAnsi="仿宋" w:eastAsia="仿宋" w:cs="仿宋"/>
                <w:sz w:val="24"/>
                <w:highlight w:val="none"/>
              </w:rPr>
              <w:t>所有</w:t>
            </w:r>
            <w:r>
              <w:rPr>
                <w:rFonts w:hint="eastAsia" w:ascii="仿宋" w:hAnsi="仿宋" w:eastAsia="仿宋" w:cs="仿宋"/>
                <w:color w:val="000000"/>
                <w:kern w:val="0"/>
                <w:sz w:val="24"/>
                <w:highlight w:val="none"/>
                <w:lang w:val="zh-CN"/>
              </w:rPr>
              <w:t>费用均计入报价。</w:t>
            </w:r>
            <w:r>
              <w:rPr>
                <w:rFonts w:hint="eastAsia" w:ascii="仿宋" w:hAnsi="仿宋" w:eastAsia="仿宋" w:cs="仿宋"/>
                <w:color w:val="000000"/>
                <w:sz w:val="24"/>
                <w:highlight w:val="none"/>
              </w:rPr>
              <w:t>《响应（交易）一览表》是报价的唯一载体</w:t>
            </w:r>
            <w:r>
              <w:rPr>
                <w:rFonts w:hint="eastAsia" w:ascii="仿宋" w:hAnsi="仿宋" w:eastAsia="仿宋" w:cs="仿宋"/>
                <w:color w:val="000000"/>
                <w:kern w:val="0"/>
                <w:sz w:val="24"/>
                <w:highlight w:val="none"/>
                <w:lang w:val="zh-CN"/>
              </w:rPr>
              <w:t>。响应文件中价格全部采用人民币报价。交易文件未列明，而响应人认为必需的费用也需列入报价。</w:t>
            </w:r>
          </w:p>
          <w:p w14:paraId="2B0DEB6B">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kern w:val="0"/>
                <w:sz w:val="24"/>
                <w:highlight w:val="none"/>
                <w:lang w:val="zh-CN"/>
              </w:rPr>
              <w:t>响应报价出现下列情形的，投标无效：</w:t>
            </w:r>
          </w:p>
          <w:p w14:paraId="71A809A6">
            <w:pPr>
              <w:snapToGrid w:val="0"/>
              <w:spacing w:line="360" w:lineRule="auto"/>
              <w:jc w:val="left"/>
              <w:rPr>
                <w:rFonts w:hint="eastAsia" w:ascii="仿宋" w:hAnsi="仿宋" w:eastAsia="仿宋" w:cs="仿宋"/>
                <w:b/>
                <w:color w:val="000000"/>
                <w:kern w:val="0"/>
                <w:sz w:val="24"/>
                <w:highlight w:val="none"/>
                <w:lang w:val="zh-CN"/>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lang w:val="zh-CN"/>
              </w:rPr>
              <w:t>响应文件出现不是唯一的、有选择性响应报价的；</w:t>
            </w:r>
          </w:p>
          <w:p w14:paraId="5C915395">
            <w:pPr>
              <w:snapToGrid w:val="0"/>
              <w:spacing w:line="360" w:lineRule="auto"/>
              <w:jc w:val="left"/>
              <w:rPr>
                <w:rFonts w:hint="eastAsia" w:ascii="仿宋" w:hAnsi="仿宋" w:eastAsia="仿宋" w:cs="仿宋"/>
                <w:color w:val="000000"/>
                <w:kern w:val="0"/>
                <w:sz w:val="24"/>
                <w:highlight w:val="none"/>
                <w:lang w:val="zh-CN"/>
              </w:rPr>
            </w:pPr>
            <w:r>
              <w:rPr>
                <w:rFonts w:hint="eastAsia" w:ascii="仿宋" w:hAnsi="仿宋" w:eastAsia="仿宋" w:cs="仿宋"/>
                <w:b/>
                <w:color w:val="000000"/>
                <w:sz w:val="24"/>
                <w:highlight w:val="none"/>
              </w:rPr>
              <w:t>▲响应报价高于本项目采购预算或者最高限价的;</w:t>
            </w:r>
          </w:p>
          <w:p w14:paraId="28D20834">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w:t>
            </w:r>
            <w:r>
              <w:rPr>
                <w:rFonts w:hint="eastAsia" w:ascii="仿宋" w:hAnsi="仿宋" w:eastAsia="仿宋" w:cs="仿宋"/>
                <w:b/>
                <w:color w:val="000000"/>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000000"/>
                <w:sz w:val="24"/>
                <w:szCs w:val="21"/>
                <w:highlight w:val="none"/>
              </w:rPr>
              <w:t>;</w:t>
            </w:r>
          </w:p>
          <w:p w14:paraId="0B0D29B0">
            <w:pPr>
              <w:spacing w:line="360" w:lineRule="auto"/>
              <w:rPr>
                <w:rFonts w:hint="eastAsia" w:ascii="仿宋" w:hAnsi="仿宋" w:eastAsia="仿宋" w:cs="仿宋"/>
                <w:color w:val="000000"/>
                <w:sz w:val="24"/>
                <w:szCs w:val="21"/>
                <w:highlight w:val="none"/>
              </w:rPr>
            </w:pPr>
            <w:r>
              <w:rPr>
                <w:rFonts w:hint="eastAsia" w:ascii="仿宋" w:hAnsi="仿宋" w:eastAsia="仿宋" w:cs="仿宋"/>
                <w:b/>
                <w:color w:val="000000"/>
                <w:sz w:val="24"/>
                <w:highlight w:val="none"/>
              </w:rPr>
              <w:t>▲《响应（交易）一览表》填写不完整或字迹不能辨认或有漏项的；</w:t>
            </w:r>
          </w:p>
          <w:p w14:paraId="5E1A49B1">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▲响应人对根据修正原则修正后的报价不确认的</w:t>
            </w:r>
            <w:r>
              <w:rPr>
                <w:rFonts w:hint="eastAsia" w:ascii="仿宋" w:hAnsi="仿宋" w:eastAsia="仿宋" w:cs="仿宋"/>
                <w:b/>
                <w:color w:val="000000"/>
                <w:sz w:val="24"/>
                <w:highlight w:val="none"/>
              </w:rPr>
              <w:t>。</w:t>
            </w:r>
          </w:p>
          <w:p w14:paraId="187F26E2">
            <w:pPr>
              <w:spacing w:line="360" w:lineRule="auto"/>
              <w:rPr>
                <w:rFonts w:hint="eastAsia" w:ascii="仿宋" w:hAnsi="仿宋" w:eastAsia="仿宋" w:cs="仿宋"/>
                <w:color w:val="000000"/>
                <w:sz w:val="24"/>
                <w:highlight w:val="none"/>
              </w:rPr>
            </w:pPr>
            <w:r>
              <w:rPr>
                <w:rFonts w:hint="eastAsia" w:ascii="仿宋" w:hAnsi="仿宋" w:eastAsia="仿宋" w:cs="仿宋"/>
                <w:b/>
                <w:color w:val="000000"/>
                <w:kern w:val="0"/>
                <w:sz w:val="24"/>
                <w:highlight w:val="none"/>
              </w:rPr>
              <w:t>▲资格文件、商务技术文件与报价文件未分开制作</w:t>
            </w:r>
            <w:r>
              <w:rPr>
                <w:rFonts w:hint="eastAsia" w:ascii="仿宋" w:hAnsi="仿宋" w:eastAsia="仿宋" w:cs="仿宋"/>
                <w:b/>
                <w:color w:val="000000"/>
                <w:sz w:val="24"/>
                <w:highlight w:val="none"/>
              </w:rPr>
              <w:t>。</w:t>
            </w:r>
          </w:p>
        </w:tc>
      </w:tr>
      <w:tr w14:paraId="6E6F1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610525">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F05B163">
            <w:pPr>
              <w:spacing w:line="360" w:lineRule="auto"/>
              <w:rPr>
                <w:rFonts w:hint="eastAsia" w:ascii="仿宋" w:hAnsi="仿宋" w:eastAsia="仿宋" w:cs="仿宋"/>
                <w:b/>
                <w:color w:val="000000"/>
                <w:sz w:val="24"/>
              </w:rPr>
            </w:pPr>
            <w:r>
              <w:rPr>
                <w:rFonts w:hint="eastAsia" w:ascii="仿宋" w:hAnsi="仿宋" w:eastAsia="仿宋" w:cs="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3BE350E8">
            <w:pPr>
              <w:snapToGrid w:val="0"/>
              <w:spacing w:line="360" w:lineRule="auto"/>
              <w:rPr>
                <w:rFonts w:hint="eastAsia" w:ascii="仿宋" w:hAnsi="仿宋" w:eastAsia="仿宋" w:cs="仿宋"/>
                <w:color w:val="000000"/>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14:paraId="51D74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296E3F0">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A98C870">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3B2B1468">
            <w:pPr>
              <w:numPr>
                <w:ilvl w:val="0"/>
                <w:numId w:val="7"/>
              </w:num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资格证明文件：</w:t>
            </w:r>
            <w:r>
              <w:rPr>
                <w:rFonts w:hint="eastAsia" w:ascii="仿宋" w:hAnsi="仿宋" w:eastAsia="仿宋" w:cs="仿宋"/>
                <w:kern w:val="0"/>
                <w:sz w:val="24"/>
              </w:rPr>
              <w:t>见交易文件第二部分11.1。</w:t>
            </w:r>
          </w:p>
          <w:p w14:paraId="431CCFF1">
            <w:pPr>
              <w:numPr>
                <w:ilvl w:val="0"/>
                <w:numId w:val="7"/>
              </w:numPr>
              <w:spacing w:line="360" w:lineRule="auto"/>
              <w:rPr>
                <w:rFonts w:hint="eastAsia" w:ascii="仿宋" w:hAnsi="仿宋" w:eastAsia="仿宋" w:cs="仿宋"/>
                <w:color w:val="0000FF"/>
                <w:sz w:val="24"/>
              </w:rPr>
            </w:pPr>
            <w:r>
              <w:rPr>
                <w:rFonts w:hint="eastAsia" w:ascii="仿宋" w:hAnsi="仿宋" w:eastAsia="仿宋" w:cs="仿宋"/>
                <w:color w:val="000000"/>
                <w:sz w:val="24"/>
              </w:rPr>
              <w:t>资信证明文件：</w:t>
            </w:r>
            <w:r>
              <w:rPr>
                <w:rFonts w:hint="eastAsia" w:ascii="仿宋" w:hAnsi="仿宋" w:eastAsia="仿宋" w:cs="仿宋"/>
                <w:sz w:val="24"/>
              </w:rPr>
              <w:t>根据交易文件第四部分评标标准提供。</w:t>
            </w:r>
          </w:p>
          <w:p w14:paraId="70173C0E">
            <w:pPr>
              <w:spacing w:line="360" w:lineRule="auto"/>
              <w:rPr>
                <w:rFonts w:hint="eastAsia"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b/>
                <w:color w:val="000000"/>
                <w:sz w:val="24"/>
              </w:rPr>
              <w:t>响应人未提供（1）的有效的资格证明文件的，视为响应人不具备交易文件中规定的资格要求，响应无效。</w:t>
            </w:r>
          </w:p>
        </w:tc>
      </w:tr>
      <w:tr w14:paraId="697F5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FE88AE">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E047CC1">
            <w:pPr>
              <w:spacing w:line="360" w:lineRule="auto"/>
              <w:rPr>
                <w:rFonts w:hint="eastAsia" w:ascii="仿宋" w:hAnsi="仿宋" w:eastAsia="仿宋" w:cs="仿宋"/>
                <w:b/>
                <w:color w:val="000000"/>
                <w:sz w:val="24"/>
              </w:rPr>
            </w:pPr>
            <w:r>
              <w:rPr>
                <w:rFonts w:hint="eastAsia" w:ascii="仿宋" w:hAnsi="仿宋" w:eastAsia="仿宋" w:cs="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F5E6E27">
            <w:pPr>
              <w:spacing w:line="360" w:lineRule="auto"/>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14:paraId="2E8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D389EA">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2656DB5">
            <w:pPr>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13AD132">
            <w:pPr>
              <w:spacing w:line="360" w:lineRule="auto"/>
              <w:rPr>
                <w:rFonts w:hint="eastAsia" w:ascii="仿宋" w:hAnsi="仿宋" w:eastAsia="仿宋" w:cs="仿宋"/>
                <w:sz w:val="24"/>
              </w:rPr>
            </w:pPr>
            <w:r>
              <w:rPr>
                <w:rFonts w:hint="eastAsia" w:ascii="仿宋" w:hAnsi="仿宋" w:eastAsia="仿宋" w:cs="仿宋"/>
                <w:snapToGrid w:val="0"/>
                <w:kern w:val="28"/>
                <w:sz w:val="24"/>
              </w:rPr>
              <w:t>无</w:t>
            </w:r>
          </w:p>
        </w:tc>
      </w:tr>
      <w:tr w14:paraId="162AA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31F7B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396285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w:t>
            </w:r>
          </w:p>
          <w:p w14:paraId="58183496">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7775F2C">
            <w:pPr>
              <w:pStyle w:val="31"/>
              <w:snapToGrid w:val="0"/>
              <w:spacing w:before="120" w:after="120"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本项目实行电子投标。</w:t>
            </w:r>
          </w:p>
          <w:p w14:paraId="38F65ABA">
            <w:pPr>
              <w:pStyle w:val="31"/>
              <w:snapToGrid w:val="0"/>
              <w:spacing w:before="120" w:after="120"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应准备电子响应文件参与交易：</w:t>
            </w:r>
          </w:p>
          <w:p w14:paraId="496EB2DF">
            <w:pPr>
              <w:pStyle w:val="31"/>
              <w:numPr>
                <w:ilvl w:val="0"/>
                <w:numId w:val="8"/>
              </w:numPr>
              <w:snapToGrid w:val="0"/>
              <w:spacing w:before="120" w:after="120"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电子响应文件，按政采云平台项目采购-电子招投标操作指南及本交易文件要求递交。</w:t>
            </w:r>
          </w:p>
          <w:p w14:paraId="5DDA45EE">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▲未传输递交电子响应文件的，投标无效。</w:t>
            </w:r>
          </w:p>
          <w:p w14:paraId="34407EC2">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▲未在系统解密时间内完成解密的，视为响应人自行放弃交易响应无效。</w:t>
            </w:r>
          </w:p>
          <w:p w14:paraId="6618F8E8">
            <w:pPr>
              <w:pStyle w:val="31"/>
              <w:spacing w:line="360" w:lineRule="auto"/>
              <w:rPr>
                <w:rFonts w:hint="eastAsia" w:ascii="仿宋" w:hAnsi="仿宋" w:eastAsia="仿宋" w:cs="仿宋"/>
                <w:kern w:val="28"/>
                <w:sz w:val="24"/>
                <w:szCs w:val="24"/>
              </w:rPr>
            </w:pPr>
            <w:r>
              <w:rPr>
                <w:rFonts w:hint="eastAsia" w:ascii="仿宋" w:hAnsi="仿宋" w:eastAsia="仿宋" w:cs="仿宋"/>
                <w:b/>
                <w:color w:val="000000" w:themeColor="text1"/>
                <w:sz w:val="24"/>
                <w14:textFill>
                  <w14:solidFill>
                    <w14:schemeClr w14:val="tx1"/>
                  </w14:solidFill>
                </w14:textFill>
              </w:rPr>
              <w:t>本项目备份投标文件：</w:t>
            </w:r>
            <w:r>
              <w:rPr>
                <w:rFonts w:hint="eastAsia" w:ascii="仿宋" w:hAnsi="仿宋" w:eastAsia="仿宋" w:cs="仿宋"/>
                <w:kern w:val="28"/>
                <w:sz w:val="24"/>
                <w:szCs w:val="24"/>
                <w:lang w:eastAsia="zh-CN"/>
              </w:rPr>
              <w:t>不需要</w:t>
            </w:r>
            <w:r>
              <w:rPr>
                <w:rFonts w:hint="eastAsia" w:ascii="仿宋" w:hAnsi="仿宋" w:eastAsia="仿宋" w:cs="仿宋"/>
                <w:kern w:val="28"/>
                <w:sz w:val="24"/>
                <w:szCs w:val="24"/>
              </w:rPr>
              <w:t>备份</w:t>
            </w:r>
          </w:p>
          <w:p w14:paraId="726DDCE9">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sz w:val="24"/>
                <w:szCs w:val="24"/>
              </w:rPr>
              <w:t>本项目</w:t>
            </w:r>
            <w:r>
              <w:rPr>
                <w:rFonts w:hint="eastAsia" w:ascii="仿宋" w:hAnsi="仿宋" w:eastAsia="仿宋" w:cs="仿宋"/>
                <w:b/>
                <w:sz w:val="24"/>
                <w:szCs w:val="24"/>
                <w:lang w:eastAsia="zh-CN"/>
              </w:rPr>
              <w:t>响应</w:t>
            </w:r>
            <w:r>
              <w:rPr>
                <w:rFonts w:hint="eastAsia" w:ascii="仿宋" w:hAnsi="仿宋" w:eastAsia="仿宋" w:cs="仿宋"/>
                <w:b/>
                <w:sz w:val="24"/>
                <w:szCs w:val="24"/>
              </w:rPr>
              <w:t>单位在领取</w:t>
            </w:r>
            <w:r>
              <w:rPr>
                <w:rFonts w:hint="eastAsia" w:ascii="仿宋" w:hAnsi="仿宋" w:eastAsia="仿宋" w:cs="仿宋"/>
                <w:b/>
                <w:sz w:val="24"/>
                <w:szCs w:val="24"/>
                <w:lang w:eastAsia="zh-CN"/>
              </w:rPr>
              <w:t>成交</w:t>
            </w:r>
            <w:r>
              <w:rPr>
                <w:rFonts w:hint="eastAsia" w:ascii="仿宋" w:hAnsi="仿宋" w:eastAsia="仿宋" w:cs="仿宋"/>
                <w:b/>
                <w:sz w:val="24"/>
                <w:szCs w:val="24"/>
              </w:rPr>
              <w:t>通知书的同时提供纸质的</w:t>
            </w:r>
            <w:r>
              <w:rPr>
                <w:rFonts w:hint="eastAsia" w:ascii="仿宋" w:hAnsi="仿宋" w:eastAsia="仿宋" w:cs="仿宋"/>
                <w:b/>
                <w:sz w:val="24"/>
                <w:szCs w:val="24"/>
                <w:lang w:eastAsia="zh-CN"/>
              </w:rPr>
              <w:t>成交</w:t>
            </w:r>
            <w:r>
              <w:rPr>
                <w:rFonts w:hint="eastAsia" w:ascii="仿宋" w:hAnsi="仿宋" w:eastAsia="仿宋" w:cs="仿宋"/>
                <w:b/>
                <w:sz w:val="24"/>
                <w:szCs w:val="24"/>
              </w:rPr>
              <w:t>文件一正</w:t>
            </w:r>
            <w:r>
              <w:rPr>
                <w:rFonts w:hint="eastAsia" w:ascii="仿宋" w:hAnsi="仿宋" w:eastAsia="仿宋" w:cs="仿宋"/>
                <w:b/>
                <w:sz w:val="24"/>
                <w:szCs w:val="24"/>
                <w:lang w:val="en-US" w:eastAsia="zh-CN"/>
              </w:rPr>
              <w:t>一</w:t>
            </w:r>
            <w:r>
              <w:rPr>
                <w:rFonts w:hint="eastAsia" w:ascii="仿宋" w:hAnsi="仿宋" w:eastAsia="仿宋" w:cs="仿宋"/>
                <w:b/>
                <w:sz w:val="24"/>
                <w:szCs w:val="24"/>
              </w:rPr>
              <w:t>副。</w:t>
            </w:r>
          </w:p>
        </w:tc>
      </w:tr>
      <w:tr w14:paraId="51FB3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2D348">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61B38EB">
            <w:pPr>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17611D9F">
            <w:pPr>
              <w:spacing w:line="360" w:lineRule="auto"/>
              <w:rPr>
                <w:rFonts w:hint="eastAsia" w:ascii="仿宋" w:hAnsi="仿宋" w:eastAsia="仿宋" w:cs="仿宋"/>
                <w:sz w:val="24"/>
              </w:rPr>
            </w:pPr>
            <w:r>
              <w:rPr>
                <w:rFonts w:hint="eastAsia" w:ascii="仿宋" w:hAnsi="仿宋" w:eastAsia="仿宋" w:cs="仿宋"/>
                <w:sz w:val="24"/>
              </w:rPr>
              <w:t>（√）A不组织。</w:t>
            </w:r>
          </w:p>
        </w:tc>
      </w:tr>
      <w:tr w14:paraId="6C420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84FF80">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F77A0E8">
            <w:pPr>
              <w:spacing w:line="360" w:lineRule="auto"/>
              <w:jc w:val="center"/>
              <w:rPr>
                <w:rFonts w:hint="eastAsia" w:ascii="仿宋" w:hAnsi="仿宋" w:eastAsia="仿宋" w:cs="仿宋"/>
                <w:b/>
                <w:sz w:val="24"/>
              </w:rPr>
            </w:pPr>
            <w:r>
              <w:rPr>
                <w:rFonts w:hint="eastAsia" w:ascii="仿宋" w:hAnsi="仿宋" w:eastAsia="仿宋" w:cs="仿宋"/>
                <w:b/>
                <w:sz w:val="24"/>
              </w:rPr>
              <w:t>采购机构</w:t>
            </w:r>
          </w:p>
          <w:p w14:paraId="6004E316">
            <w:pPr>
              <w:spacing w:line="360" w:lineRule="auto"/>
              <w:jc w:val="center"/>
              <w:rPr>
                <w:rFonts w:hint="eastAsia" w:ascii="仿宋" w:hAnsi="仿宋" w:eastAsia="仿宋" w:cs="仿宋"/>
                <w:b/>
                <w:sz w:val="24"/>
              </w:rPr>
            </w:pPr>
            <w:r>
              <w:rPr>
                <w:rFonts w:hint="eastAsia" w:ascii="仿宋" w:hAnsi="仿宋" w:eastAsia="仿宋" w:cs="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60F72848">
            <w:pPr>
              <w:pStyle w:val="15"/>
              <w:spacing w:line="240" w:lineRule="auto"/>
              <w:ind w:firstLine="0"/>
              <w:rPr>
                <w:rFonts w:hint="eastAsia" w:ascii="仿宋" w:hAnsi="仿宋" w:eastAsia="仿宋" w:cs="仿宋"/>
                <w:b/>
                <w:bCs/>
                <w:sz w:val="24"/>
              </w:rPr>
            </w:pPr>
            <w:r>
              <w:rPr>
                <w:rFonts w:hint="eastAsia" w:ascii="仿宋" w:hAnsi="仿宋" w:eastAsia="仿宋" w:cs="仿宋"/>
                <w:sz w:val="24"/>
                <w:lang w:val="zh-CN"/>
              </w:rPr>
              <w:t>本项目的招标代理服务费由成交人支付。招标代理服务费计费标准：以成交金额为计费基准，按计价格[2002]1980号文货物类收费标准下浮</w:t>
            </w:r>
            <w:r>
              <w:rPr>
                <w:rFonts w:hint="eastAsia" w:ascii="仿宋" w:hAnsi="仿宋" w:eastAsia="仿宋" w:cs="仿宋"/>
                <w:sz w:val="24"/>
                <w:lang w:val="en-US" w:eastAsia="zh-CN"/>
              </w:rPr>
              <w:t>25</w:t>
            </w:r>
            <w:r>
              <w:rPr>
                <w:rFonts w:hint="eastAsia" w:ascii="仿宋" w:hAnsi="仿宋" w:eastAsia="仿宋" w:cs="仿宋"/>
                <w:sz w:val="24"/>
              </w:rPr>
              <w:t>%</w:t>
            </w:r>
            <w:r>
              <w:rPr>
                <w:rFonts w:hint="eastAsia" w:ascii="仿宋" w:hAnsi="仿宋" w:eastAsia="仿宋" w:cs="仿宋"/>
                <w:sz w:val="24"/>
                <w:lang w:val="zh-CN"/>
              </w:rPr>
              <w:t>计取</w:t>
            </w:r>
            <w:r>
              <w:rPr>
                <w:rFonts w:hint="eastAsia" w:ascii="仿宋" w:hAnsi="仿宋" w:eastAsia="仿宋" w:cs="仿宋"/>
                <w:sz w:val="24"/>
              </w:rPr>
              <w:t>。结算方式及时间为：成交人在领取成交通知书前向采购代理机构支付代理服务费。</w:t>
            </w:r>
          </w:p>
        </w:tc>
      </w:tr>
      <w:tr w14:paraId="4DC2E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69473A">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FD33B30">
            <w:pPr>
              <w:spacing w:line="360" w:lineRule="auto"/>
              <w:jc w:val="center"/>
              <w:rPr>
                <w:rFonts w:hint="eastAsia" w:ascii="仿宋" w:hAnsi="仿宋" w:eastAsia="仿宋" w:cs="仿宋"/>
                <w:b/>
                <w:sz w:val="24"/>
              </w:rPr>
            </w:pPr>
            <w:r>
              <w:rPr>
                <w:rFonts w:hint="eastAsia" w:ascii="仿宋" w:hAnsi="仿宋" w:eastAsia="仿宋" w:cs="仿宋"/>
                <w:b/>
                <w:sz w:val="24"/>
              </w:rPr>
              <w:t>响应保证金</w:t>
            </w:r>
          </w:p>
          <w:p w14:paraId="6085ABD7">
            <w:pPr>
              <w:spacing w:line="360" w:lineRule="auto"/>
              <w:jc w:val="center"/>
              <w:rPr>
                <w:rFonts w:hint="eastAsia" w:ascii="仿宋" w:hAnsi="仿宋" w:eastAsia="仿宋" w:cs="仿宋"/>
                <w:b/>
                <w:sz w:val="24"/>
              </w:rPr>
            </w:pPr>
            <w:r>
              <w:rPr>
                <w:rFonts w:hint="eastAsia" w:ascii="仿宋" w:hAnsi="仿宋" w:eastAsia="仿宋" w:cs="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4F9FE0D5">
            <w:pPr>
              <w:pStyle w:val="15"/>
              <w:spacing w:line="360" w:lineRule="auto"/>
              <w:ind w:firstLine="434" w:firstLineChars="181"/>
              <w:rPr>
                <w:rFonts w:hint="eastAsia" w:ascii="仿宋" w:hAnsi="仿宋" w:eastAsia="仿宋" w:cs="仿宋"/>
                <w:color w:val="auto"/>
                <w:sz w:val="24"/>
              </w:rPr>
            </w:pPr>
            <w:r>
              <w:rPr>
                <w:rFonts w:hint="eastAsia" w:ascii="仿宋" w:hAnsi="仿宋" w:eastAsia="仿宋" w:cs="仿宋"/>
                <w:color w:val="auto"/>
                <w:sz w:val="24"/>
              </w:rPr>
              <w:t>响应保证金：不收取。</w:t>
            </w:r>
          </w:p>
          <w:p w14:paraId="1BF9B4FD">
            <w:pPr>
              <w:pStyle w:val="15"/>
              <w:spacing w:line="360" w:lineRule="auto"/>
              <w:ind w:firstLine="434" w:firstLineChars="181"/>
              <w:rPr>
                <w:rFonts w:hint="eastAsia" w:ascii="仿宋" w:hAnsi="仿宋" w:eastAsia="仿宋" w:cs="仿宋"/>
                <w:color w:val="auto"/>
                <w:sz w:val="24"/>
              </w:rPr>
            </w:pPr>
            <w:r>
              <w:rPr>
                <w:rFonts w:hint="eastAsia" w:ascii="仿宋" w:hAnsi="仿宋" w:eastAsia="仿宋" w:cs="仿宋"/>
                <w:color w:val="auto"/>
                <w:sz w:val="24"/>
              </w:rPr>
              <w:t>履约保证金：不收取。</w:t>
            </w:r>
          </w:p>
        </w:tc>
      </w:tr>
      <w:tr w14:paraId="14E43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A30016">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0C5106D">
            <w:pPr>
              <w:spacing w:line="360" w:lineRule="auto"/>
              <w:jc w:val="center"/>
              <w:rPr>
                <w:rFonts w:hint="eastAsia" w:ascii="仿宋" w:hAnsi="仿宋" w:eastAsia="仿宋" w:cs="仿宋"/>
                <w:b/>
                <w:sz w:val="24"/>
              </w:rPr>
            </w:pPr>
            <w:r>
              <w:rPr>
                <w:rFonts w:hint="eastAsia" w:ascii="仿宋" w:hAnsi="仿宋" w:eastAsia="仿宋" w:cs="仿宋"/>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7EF0EEC">
            <w:pPr>
              <w:pStyle w:val="15"/>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4DF57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052FE9">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BC2DC57">
            <w:pPr>
              <w:spacing w:line="360" w:lineRule="auto"/>
              <w:jc w:val="center"/>
              <w:rPr>
                <w:rFonts w:hint="eastAsia" w:ascii="仿宋" w:hAnsi="仿宋" w:eastAsia="仿宋" w:cs="仿宋"/>
                <w:b/>
                <w:sz w:val="24"/>
              </w:rPr>
            </w:pPr>
            <w:r>
              <w:rPr>
                <w:rFonts w:hint="eastAsia" w:ascii="仿宋" w:hAnsi="仿宋" w:eastAsia="仿宋" w:cs="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7780B233">
            <w:pPr>
              <w:snapToGrid w:val="0"/>
              <w:spacing w:line="360" w:lineRule="auto"/>
              <w:rPr>
                <w:rFonts w:hint="eastAsia"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货物类</w:t>
            </w:r>
            <w:r>
              <w:rPr>
                <w:rFonts w:hint="eastAsia" w:ascii="仿宋" w:hAnsi="仿宋" w:eastAsia="仿宋" w:cs="仿宋"/>
                <w:sz w:val="24"/>
              </w:rPr>
              <w:t>采购项目</w:t>
            </w:r>
          </w:p>
        </w:tc>
      </w:tr>
      <w:tr w14:paraId="077D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EAC72AF">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7306220">
            <w:pPr>
              <w:spacing w:line="360" w:lineRule="auto"/>
              <w:jc w:val="center"/>
              <w:rPr>
                <w:rFonts w:hint="eastAsia" w:ascii="仿宋" w:hAnsi="仿宋" w:eastAsia="仿宋" w:cs="仿宋"/>
                <w:b/>
                <w:sz w:val="24"/>
              </w:rPr>
            </w:pPr>
            <w:r>
              <w:rPr>
                <w:rFonts w:hint="eastAsia" w:ascii="仿宋" w:hAnsi="仿宋" w:eastAsia="仿宋" w:cs="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156B977E">
            <w:pPr>
              <w:snapToGrid w:val="0"/>
              <w:spacing w:line="360" w:lineRule="auto"/>
              <w:rPr>
                <w:rFonts w:hint="eastAsia"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综合评估法</w:t>
            </w:r>
            <w:r>
              <w:rPr>
                <w:rFonts w:hint="eastAsia" w:ascii="仿宋" w:hAnsi="仿宋" w:eastAsia="仿宋" w:cs="仿宋"/>
                <w:sz w:val="24"/>
              </w:rPr>
              <w:t>采购项目</w:t>
            </w:r>
          </w:p>
        </w:tc>
      </w:tr>
      <w:tr w14:paraId="722BA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73344D">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43BC06C0">
            <w:pPr>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7A2621A7">
            <w:pPr>
              <w:spacing w:line="360" w:lineRule="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w:t>
            </w:r>
            <w:r>
              <w:rPr>
                <w:rFonts w:hint="eastAsia" w:ascii="仿宋" w:hAnsi="仿宋" w:eastAsia="仿宋" w:cs="仿宋"/>
                <w:bCs/>
                <w:sz w:val="24"/>
              </w:rPr>
              <w:t>)本项目不允许采购进口产品。</w:t>
            </w:r>
          </w:p>
          <w:p w14:paraId="3AEE4008">
            <w:pPr>
              <w:spacing w:line="360" w:lineRule="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lang w:val="en-US" w:eastAsia="zh-CN"/>
              </w:rPr>
              <w:t xml:space="preserve"> </w:t>
            </w:r>
            <w:r>
              <w:rPr>
                <w:rFonts w:hint="eastAsia" w:ascii="仿宋" w:hAnsi="仿宋" w:eastAsia="仿宋" w:cs="仿宋"/>
                <w:bCs/>
                <w:sz w:val="24"/>
              </w:rPr>
              <w:t>)本项目允许采购进口产品</w:t>
            </w:r>
          </w:p>
          <w:p w14:paraId="3CEACA39">
            <w:pPr>
              <w:spacing w:line="360" w:lineRule="auto"/>
              <w:jc w:val="center"/>
              <w:rPr>
                <w:rFonts w:hint="eastAsia" w:ascii="仿宋" w:hAnsi="仿宋" w:eastAsia="仿宋" w:cs="仿宋"/>
                <w:b/>
                <w:sz w:val="24"/>
              </w:rPr>
            </w:pPr>
            <w:r>
              <w:rPr>
                <w:rFonts w:hint="eastAsia" w:ascii="仿宋" w:hAnsi="仿宋" w:eastAsia="仿宋" w:cs="仿宋"/>
                <w:bCs/>
                <w:sz w:val="24"/>
              </w:rPr>
              <w:t>进口产品是指通过中国海关报关验放进入中国境内且产自境关外的产品。</w:t>
            </w:r>
          </w:p>
        </w:tc>
      </w:tr>
    </w:tbl>
    <w:p w14:paraId="4ED5052C">
      <w:pPr>
        <w:rPr>
          <w:rFonts w:hint="eastAsia" w:ascii="仿宋" w:hAnsi="仿宋" w:eastAsia="仿宋" w:cs="仿宋"/>
        </w:rPr>
      </w:pPr>
      <w:r>
        <w:rPr>
          <w:rFonts w:hint="eastAsia" w:ascii="仿宋" w:hAnsi="仿宋" w:eastAsia="仿宋" w:cs="仿宋"/>
          <w:b/>
          <w:color w:val="000000"/>
          <w:sz w:val="24"/>
        </w:rPr>
        <w:t>注：本项目通用总则条款与前附表等专用特别规定有冲突之处，以专用条款（特别规定）为准</w:t>
      </w:r>
    </w:p>
    <w:p w14:paraId="7FF53DD2">
      <w:pP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p>
    <w:p w14:paraId="6811B1EB">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140424CA">
      <w:pPr>
        <w:snapToGrid w:val="0"/>
        <w:spacing w:line="360" w:lineRule="auto"/>
        <w:ind w:firstLine="361" w:firstLineChars="150"/>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7D856AE4">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78B84FBE">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157DBE9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“交易发起人”系指交易公告中载明的本项目的交易发起人。</w:t>
      </w:r>
    </w:p>
    <w:p w14:paraId="3E3C4B3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30F838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”系指是指响应交易、参加响应竞争的法人、其他组织或者自然人。</w:t>
      </w:r>
    </w:p>
    <w:p w14:paraId="0306A30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0785CF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电子签名指</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电子公章；“公章”系指单位法定名称章。因特殊原因需要使用冠以法定名称的业务专用章的，投标时须提供《业务专用章使用说明函》（附件4）。</w:t>
      </w:r>
    </w:p>
    <w:p w14:paraId="3AB4302B">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35BAF14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4623B88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1501EAD3">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.1投标人询问</w:t>
      </w:r>
    </w:p>
    <w:p w14:paraId="25858F8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对采购活动事项有疑问的，可以提出询问，交易发起人或者采购代理机构应当在3个工作日内对投标人依法提出的询问作出答复，但答复的内容不得涉及商业秘密。投标人提出的询问超出交易发起人对采购代理机构委托授权范围的，采购代理机构应当告知投标人向交易发起人提出。</w:t>
      </w:r>
    </w:p>
    <w:p w14:paraId="6612FE96">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.2投标人质疑</w:t>
      </w:r>
    </w:p>
    <w:p w14:paraId="35A5AAF1">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应当是参与所质疑项目采购活动的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。潜在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已依法获取其可质疑的交易文件的，可以对该文件提出质疑。</w:t>
      </w:r>
    </w:p>
    <w:p w14:paraId="629DF7B2">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08C8ABF9">
      <w:pPr>
        <w:pStyle w:val="15"/>
        <w:spacing w:line="360" w:lineRule="auto"/>
        <w:ind w:firstLine="480" w:firstLineChars="200"/>
        <w:rPr>
          <w:rFonts w:hint="eastAsia"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w:t>
      </w:r>
      <w:r>
        <w:rPr>
          <w:rFonts w:hint="eastAsia" w:ascii="仿宋" w:hAnsi="仿宋" w:eastAsia="仿宋" w:cs="仿宋"/>
          <w:snapToGrid/>
          <w:color w:val="000000" w:themeColor="text1"/>
          <w:kern w:val="2"/>
          <w:sz w:val="24"/>
          <w:lang w:eastAsia="zh-CN"/>
          <w14:textFill>
            <w14:solidFill>
              <w14:schemeClr w14:val="tx1"/>
            </w14:solidFill>
          </w14:textFill>
        </w:rPr>
        <w:t>投标人</w:t>
      </w:r>
      <w:r>
        <w:rPr>
          <w:rFonts w:hint="eastAsia" w:ascii="仿宋" w:hAnsi="仿宋" w:eastAsia="仿宋" w:cs="仿宋"/>
          <w:snapToGrid/>
          <w:color w:val="000000" w:themeColor="text1"/>
          <w:kern w:val="2"/>
          <w:sz w:val="24"/>
          <w14:textFill>
            <w14:solidFill>
              <w14:schemeClr w14:val="tx1"/>
            </w14:solidFill>
          </w14:textFill>
        </w:rPr>
        <w:t>获得交易文件之日或者交易文件公告期限届满之日起计算。</w:t>
      </w:r>
    </w:p>
    <w:p w14:paraId="08CFC8DB">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须一次性提出。</w:t>
      </w:r>
    </w:p>
    <w:p w14:paraId="07B8C51C">
      <w:pPr>
        <w:pStyle w:val="31"/>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116A1C5B">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提出质疑应当提交质疑函和必要的证明材料。质疑函应当包括下列内容：</w:t>
      </w:r>
    </w:p>
    <w:p w14:paraId="554D9519">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.2.3.1投标人的姓名或者名称、地址、邮编、联系人及联系电话；</w:t>
      </w:r>
    </w:p>
    <w:p w14:paraId="13431FD9">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25C45696">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5690D920">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35BEB4F6">
      <w:pPr>
        <w:pStyle w:val="31"/>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2204843F">
      <w:pPr>
        <w:pStyle w:val="31"/>
        <w:spacing w:line="360" w:lineRule="auto"/>
        <w:ind w:firstLine="960" w:firstLineChars="4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6F7ADBA4">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提交的质疑函需一式三份。</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为自然人的，应当由本人签字；</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为法人或者其他组织的，应当由法定代表人、主要负责人，或者其授权代表签字或者盖章，并加盖公章。</w:t>
      </w:r>
    </w:p>
    <w:p w14:paraId="4FE9D84A">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340E6798">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.4交易发起人或者采购机构应当在收到</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的书面质疑后七个工作日内作出答复，并以书面形式通知质疑</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和其他与质疑处理结果有利害关系的采购当事人，但答复的内容不得涉及商业秘密。</w:t>
      </w:r>
    </w:p>
    <w:p w14:paraId="11A7437D">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.5询问或者质疑事项可能影响采购结果的，交易发起人应当暂停签订合同，已经签订合同的，应当中止履行合同。</w:t>
      </w:r>
    </w:p>
    <w:p w14:paraId="134E7C4D">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.3投标人投诉</w:t>
      </w:r>
    </w:p>
    <w:p w14:paraId="7FC8F6D5">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对交易发起人、采购机构的答复不满意或者交易发起人、采购机构未在规定的时间内作出答复的，可以在答复期满后十五个工作日内向同级采购监督管理部门提出投诉。</w:t>
      </w:r>
    </w:p>
    <w:p w14:paraId="1B7502FC">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投诉的事项不得超出已质疑事项的范围，基于质疑答复内容提出的投诉事项除外。</w:t>
      </w:r>
    </w:p>
    <w:p w14:paraId="76C214C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投诉应当有明确的请求和必要的证明材料。</w:t>
      </w:r>
    </w:p>
    <w:p w14:paraId="06EFF494">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共同提出。</w:t>
      </w:r>
    </w:p>
    <w:p w14:paraId="0E0C844E">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4CB3ECE1">
      <w:pPr>
        <w:pStyle w:val="221"/>
        <w:snapToGrid w:val="0"/>
        <w:spacing w:before="0"/>
        <w:ind w:firstLine="360"/>
        <w:rPr>
          <w:rFonts w:hint="eastAsia" w:ascii="仿宋" w:hAnsi="仿宋" w:eastAsia="仿宋" w:cs="仿宋"/>
          <w:color w:val="000000" w:themeColor="text1"/>
          <w:sz w:val="18"/>
          <w:szCs w:val="18"/>
          <w14:textFill>
            <w14:solidFill>
              <w14:schemeClr w14:val="tx1"/>
            </w14:solidFill>
          </w14:textFill>
        </w:rPr>
      </w:pPr>
    </w:p>
    <w:p w14:paraId="1F948672">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71FE1FB1">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00569D53">
      <w:pPr>
        <w:pStyle w:val="31"/>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55A283BE">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516BBD09">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须知；</w:t>
      </w:r>
    </w:p>
    <w:p w14:paraId="1B233B30">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1015251A">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3DC721D0">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52833BF2">
      <w:pPr>
        <w:pStyle w:val="31"/>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3202F86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517373A1">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609D1E2C">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，若有问题需要澄清，应于投标截止时间前，以书面形式向采购机构提出。</w:t>
      </w:r>
    </w:p>
    <w:p w14:paraId="6BB780E9">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。依法应当公告的，将按规定公告，同时视情况延长投标截止时间和交易时间。该澄清或者修改的内容为交易文件的组成部分。</w:t>
      </w:r>
    </w:p>
    <w:p w14:paraId="4AE208C9">
      <w:pPr>
        <w:pStyle w:val="22"/>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30A2BF39">
      <w:pPr>
        <w:adjustRightInd/>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2A2B242B">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29EEEC6F">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1ECD1E71">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1940A6B7">
      <w:pPr>
        <w:pStyle w:val="31"/>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交易发起人组织潜在</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现场考察或者召开交易前答疑会的，潜在</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按第二部分</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须知前附表的规定参加现场考察或者交易前答疑会。</w:t>
      </w:r>
    </w:p>
    <w:p w14:paraId="42CA481C">
      <w:pPr>
        <w:pStyle w:val="31"/>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6EAB2E91">
      <w:pPr>
        <w:pStyle w:val="1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7D4D442F">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0D3D6310">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与采购有关的来往通知、函件和文件均应使用中文。</w:t>
      </w:r>
    </w:p>
    <w:p w14:paraId="15499122">
      <w:pPr>
        <w:pStyle w:val="31"/>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05C404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5B103EEA">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0ADC2D81">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45511EEE">
      <w:pPr>
        <w:snapToGrid w:val="0"/>
        <w:spacing w:line="360" w:lineRule="auto"/>
        <w:ind w:firstLine="482" w:firstLineChars="200"/>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657A364D">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111C660D">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41643D65">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3BD9F44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5B34E50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3B61C27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21D3589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采购投标人廉洁自律承诺书；</w:t>
      </w:r>
    </w:p>
    <w:p w14:paraId="298EDBE4">
      <w:pPr>
        <w:snapToGrid w:val="0"/>
        <w:spacing w:line="360" w:lineRule="auto"/>
        <w:ind w:firstLine="480" w:firstLineChars="200"/>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75C1EADA">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0FF23361">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24D6F7C4">
      <w:pPr>
        <w:spacing w:line="360" w:lineRule="auto"/>
        <w:ind w:firstLine="723" w:firstLineChars="3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投标人</w:t>
      </w:r>
      <w:r>
        <w:rPr>
          <w:rFonts w:hint="eastAsia" w:ascii="仿宋" w:hAnsi="仿宋" w:eastAsia="仿宋" w:cs="仿宋"/>
          <w:b/>
          <w:color w:val="000000" w:themeColor="text1"/>
          <w:sz w:val="24"/>
          <w14:textFill>
            <w14:solidFill>
              <w14:schemeClr w14:val="tx1"/>
            </w14:solidFill>
          </w14:textFill>
        </w:rPr>
        <w:t>提供虚假材料投标的，交易无效。</w:t>
      </w:r>
    </w:p>
    <w:p w14:paraId="05847D3D">
      <w:pPr>
        <w:pStyle w:val="221"/>
        <w:snapToGrid w:val="0"/>
        <w:spacing w:before="0"/>
        <w:ind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0532B7BD">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投标人在编制响应文件时请按照交易文件第六部分规定的格式进行，混乱的编排导致响应文件被误读或评标委员会查找不到有效文件是投标人的风险。</w:t>
      </w:r>
    </w:p>
    <w:p w14:paraId="20DC0844">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.2投标人进行电子投标应安装客户端软件—“政采云电子交易客户端”，并按照交易文件和电子交易平台的要求编制并加密响应文件。投标人未按规定加密的响应文件，电子交易平台将拒收并提示。</w:t>
      </w:r>
    </w:p>
    <w:p w14:paraId="66B403CA">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7B6D3AF">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479F32FB">
      <w:pPr>
        <w:pStyle w:val="221"/>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
          <w:color w:val="000000" w:themeColor="text1"/>
          <w:lang w:eastAsia="zh-CN"/>
          <w14:textFill>
            <w14:solidFill>
              <w14:schemeClr w14:val="tx1"/>
            </w14:solidFill>
          </w14:textFill>
        </w:rPr>
        <w:t>投标人</w:t>
      </w:r>
      <w:r>
        <w:rPr>
          <w:rFonts w:hint="eastAsia" w:ascii="仿宋" w:hAnsi="仿宋" w:eastAsia="仿宋" w:cs="仿宋"/>
          <w:b/>
          <w:color w:val="000000" w:themeColor="text1"/>
          <w14:textFill>
            <w14:solidFill>
              <w14:schemeClr w14:val="tx1"/>
            </w14:solidFill>
          </w14:textFill>
        </w:rPr>
        <w:t>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7D4252AF">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应当在投标截止时间前完成在“政府采购云平台”的身份认证，确保在电子投标过程中能够对相关数据电文进行加密和使用电子签名。</w:t>
      </w:r>
    </w:p>
    <w:p w14:paraId="03EAB1CD">
      <w:pPr>
        <w:pStyle w:val="221"/>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54ECD696">
      <w:pPr>
        <w:pStyle w:val="221"/>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41BA8FB1">
      <w:pPr>
        <w:pStyle w:val="221"/>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CF94818">
      <w:pPr>
        <w:pStyle w:val="221"/>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发出确认回执通知。在投标截止时间前，除</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补充、修改或者撤回响应文件外，任何单位和个人不得解密或提取响应文件。</w:t>
      </w:r>
    </w:p>
    <w:p w14:paraId="4EE53511">
      <w:pPr>
        <w:pStyle w:val="221"/>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13.3交易发起人、采购机构可以视情况延长响应文件提交的截止时间。在上述情况下，采购机构与</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以前在投标截止期方面的全部权利、责任和义务，将适用于延长至新的投标截止期。</w:t>
      </w:r>
    </w:p>
    <w:p w14:paraId="0D1D3059">
      <w:pPr>
        <w:pStyle w:val="31"/>
        <w:numPr>
          <w:ilvl w:val="0"/>
          <w:numId w:val="9"/>
        </w:num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4F9C8837">
      <w:pPr>
        <w:pStyle w:val="31"/>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45BB6776">
      <w:pPr>
        <w:pStyle w:val="221"/>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39DB1EFC">
      <w:pPr>
        <w:pStyle w:val="23"/>
        <w:spacing w:line="360" w:lineRule="auto"/>
        <w:ind w:firstLine="360"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6A987771">
      <w:pPr>
        <w:pStyle w:val="221"/>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205E97A5">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lang w:eastAsia="zh-CN"/>
          <w14:textFill>
            <w14:solidFill>
              <w14:schemeClr w14:val="tx1"/>
            </w14:solidFill>
          </w14:textFill>
        </w:rPr>
        <w:t>投标人</w:t>
      </w:r>
      <w:r>
        <w:rPr>
          <w:rFonts w:hint="eastAsia" w:ascii="仿宋" w:hAnsi="仿宋" w:eastAsia="仿宋" w:cs="仿宋"/>
          <w:b/>
          <w:color w:val="000000" w:themeColor="text1"/>
          <w:sz w:val="24"/>
          <w:szCs w:val="20"/>
          <w14:textFill>
            <w14:solidFill>
              <w14:schemeClr w14:val="tx1"/>
            </w14:solidFill>
          </w14:textFill>
        </w:rPr>
        <w:t>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2CFCAF4B">
      <w:pPr>
        <w:pStyle w:val="221"/>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24CB4CD5">
      <w:pPr>
        <w:pStyle w:val="221"/>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延长交易有效期。</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同意延长的，不得要求或被允许修改其响应文件，</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拒绝延长的，其交易无效。</w:t>
      </w:r>
    </w:p>
    <w:p w14:paraId="5DA2431B">
      <w:pPr>
        <w:pStyle w:val="221"/>
        <w:spacing w:before="0"/>
        <w:ind w:firstLine="643"/>
        <w:rPr>
          <w:rFonts w:hint="eastAsia" w:ascii="仿宋" w:hAnsi="仿宋" w:eastAsia="仿宋" w:cs="仿宋"/>
          <w:b/>
          <w:color w:val="000000" w:themeColor="text1"/>
          <w:sz w:val="32"/>
          <w14:textFill>
            <w14:solidFill>
              <w14:schemeClr w14:val="tx1"/>
            </w14:solidFill>
          </w14:textFill>
        </w:rPr>
      </w:pPr>
    </w:p>
    <w:p w14:paraId="37971968">
      <w:pPr>
        <w:pStyle w:val="221"/>
        <w:spacing w:before="0"/>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196F7D9B">
      <w:pPr>
        <w:pStyle w:val="500"/>
        <w:spacing w:before="0" w:line="360" w:lineRule="auto"/>
        <w:ind w:left="0" w:firstLine="241" w:firstLineChars="100"/>
        <w:contextualSpacing/>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53BEE218">
      <w:pPr>
        <w:pStyle w:val="500"/>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均应当准时在线参加。</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不足3家的，不得交易。</w:t>
      </w:r>
    </w:p>
    <w:p w14:paraId="53F3DD5A">
      <w:pPr>
        <w:pStyle w:val="500"/>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按照平台提示和交易文件的规定在半小时内完成在线解密。</w:t>
      </w:r>
    </w:p>
    <w:p w14:paraId="2F52F4EE">
      <w:pPr>
        <w:pStyle w:val="500"/>
        <w:spacing w:before="0" w:line="360" w:lineRule="auto"/>
        <w:ind w:left="0" w:firstLine="240" w:firstLineChars="1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w:t>
      </w:r>
      <w:r>
        <w:rPr>
          <w:rFonts w:hint="eastAsia" w:ascii="仿宋" w:hAnsi="仿宋" w:eastAsia="仿宋" w:cs="仿宋"/>
          <w:b/>
          <w:color w:val="000000" w:themeColor="text1"/>
          <w:sz w:val="24"/>
          <w:lang w:eastAsia="zh-CN"/>
          <w14:textFill>
            <w14:solidFill>
              <w14:schemeClr w14:val="tx1"/>
            </w14:solidFill>
          </w14:textFill>
        </w:rPr>
        <w:t>投标人</w:t>
      </w:r>
      <w:r>
        <w:rPr>
          <w:rFonts w:hint="eastAsia" w:ascii="仿宋" w:hAnsi="仿宋" w:eastAsia="仿宋" w:cs="仿宋"/>
          <w:b/>
          <w:color w:val="000000" w:themeColor="text1"/>
          <w:sz w:val="24"/>
          <w14:textFill>
            <w14:solidFill>
              <w14:schemeClr w14:val="tx1"/>
            </w14:solidFill>
          </w14:textFill>
        </w:rPr>
        <w:t>提供了备份响应文件的，以备份响应文件作为依据，否则视为响应文件撤回。响应文件已按时解密的，备份响应文件自动失效。</w:t>
      </w:r>
    </w:p>
    <w:p w14:paraId="271F543A">
      <w:pPr>
        <w:widowControl/>
        <w:spacing w:before="100" w:beforeAutospacing="1" w:after="240" w:line="360" w:lineRule="auto"/>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6D5AB706">
      <w:pPr>
        <w:pStyle w:val="221"/>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18.1交易后，交易发起人或采购机构将依法对</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的资格进行审查。</w:t>
      </w:r>
    </w:p>
    <w:p w14:paraId="6983F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交易发起人或采购机构依据法律法规和交易文件的规定，对</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的基本资格条件、特定资格条件进行审查。</w:t>
      </w:r>
    </w:p>
    <w:p w14:paraId="38E560A2">
      <w:pPr>
        <w:pStyle w:val="221"/>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不具备交易文件中规定的资格要求，其交易无效。</w:t>
      </w:r>
    </w:p>
    <w:p w14:paraId="3C2A187A">
      <w:pPr>
        <w:pStyle w:val="221"/>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，交易发起人或采购机构告知其未通过的原因。</w:t>
      </w:r>
    </w:p>
    <w:p w14:paraId="7B74F166">
      <w:pPr>
        <w:pStyle w:val="221"/>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不足3家的，不再评标。</w:t>
      </w:r>
    </w:p>
    <w:p w14:paraId="029DFEB6">
      <w:pPr>
        <w:pStyle w:val="221"/>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68C2DB93">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158BFA93">
      <w:pPr>
        <w:spacing w:line="360" w:lineRule="auto"/>
        <w:rPr>
          <w:rFonts w:hint="eastAsia" w:ascii="仿宋" w:hAnsi="仿宋" w:eastAsia="仿宋" w:cs="仿宋"/>
          <w:b/>
          <w:color w:val="000000" w:themeColor="text1"/>
          <w:sz w:val="24"/>
          <w14:textFill>
            <w14:solidFill>
              <w14:schemeClr w14:val="tx1"/>
            </w14:solidFill>
          </w14:textFill>
        </w:rPr>
      </w:pPr>
      <w:bookmarkStart w:id="38"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对交易文件的响应情况。对实质上响应交易文件的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，按照评审因素的量化指标排出推荐成交的</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2BE4F4B3">
      <w:pPr>
        <w:spacing w:line="360" w:lineRule="auto"/>
        <w:rPr>
          <w:rFonts w:hint="eastAsia" w:ascii="仿宋" w:hAnsi="仿宋" w:eastAsia="仿宋" w:cs="仿宋"/>
          <w:b/>
          <w:color w:val="000000" w:themeColor="text1"/>
          <w:sz w:val="24"/>
          <w14:textFill>
            <w14:solidFill>
              <w14:schemeClr w14:val="tx1"/>
            </w14:solidFill>
          </w14:textFill>
        </w:rPr>
      </w:pPr>
    </w:p>
    <w:p w14:paraId="37C4E02F">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544381AD">
      <w:pPr>
        <w:pStyle w:val="23"/>
        <w:spacing w:line="360" w:lineRule="auto"/>
        <w:ind w:left="479" w:hanging="479" w:hangingChars="199"/>
        <w:rPr>
          <w:rFonts w:hint="eastAsia"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w:t>
      </w:r>
      <w:r>
        <w:rPr>
          <w:rFonts w:hint="eastAsia" w:ascii="仿宋" w:hAnsi="仿宋" w:eastAsia="仿宋" w:cs="仿宋"/>
          <w:b/>
          <w:color w:val="000000" w:themeColor="text1"/>
          <w:lang w:eastAsia="zh-CN"/>
          <w14:textFill>
            <w14:solidFill>
              <w14:schemeClr w14:val="tx1"/>
            </w14:solidFill>
          </w14:textFill>
        </w:rPr>
        <w:t>投标人</w:t>
      </w:r>
    </w:p>
    <w:p w14:paraId="7AF7F0F4">
      <w:pPr>
        <w:pStyle w:val="221"/>
        <w:snapToGrid w:val="0"/>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w:t>
      </w:r>
      <w:r>
        <w:rPr>
          <w:rFonts w:hint="eastAsia" w:ascii="仿宋" w:hAnsi="仿宋" w:eastAsia="仿宋" w:cs="仿宋"/>
          <w:color w:val="000000" w:themeColor="text1"/>
          <w:szCs w:val="24"/>
          <w:lang w:eastAsia="zh-CN"/>
          <w14:textFill>
            <w14:solidFill>
              <w14:schemeClr w14:val="tx1"/>
            </w14:solidFill>
          </w14:textFill>
        </w:rPr>
        <w:t>投标人</w:t>
      </w:r>
      <w:r>
        <w:rPr>
          <w:rFonts w:hint="eastAsia" w:ascii="仿宋" w:hAnsi="仿宋" w:eastAsia="仿宋" w:cs="仿宋"/>
          <w:color w:val="000000" w:themeColor="text1"/>
          <w:szCs w:val="24"/>
          <w14:textFill>
            <w14:solidFill>
              <w14:schemeClr w14:val="tx1"/>
            </w14:solidFill>
          </w14:textFill>
        </w:rPr>
        <w:t>。</w:t>
      </w:r>
    </w:p>
    <w:p w14:paraId="2321AFE8">
      <w:pPr>
        <w:pStyle w:val="221"/>
        <w:snapToGrid w:val="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1EA33F3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7C187CCD">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2880959A">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2B00CBB8">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39968B8">
      <w:pPr>
        <w:pStyle w:val="23"/>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563C1D00">
      <w:pPr>
        <w:pStyle w:val="23"/>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354F0AB6">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32F1FCD8">
      <w:pPr>
        <w:pStyle w:val="221"/>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37FE96E6">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无故拒绝或延期，除按照合同条款处理外，列入不良行为记录一次，并给予通报。</w:t>
      </w:r>
    </w:p>
    <w:p w14:paraId="4BFB2773">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拒绝与交易发起人签订合同的，交易发起人可以按照评审报告推荐的成交或者成交候选人名单排序，确定下一候选人为成交</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，也可以重新开展采购活动。</w:t>
      </w:r>
    </w:p>
    <w:p w14:paraId="703970DB">
      <w:pPr>
        <w:pStyle w:val="221"/>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23.5采购合同由交易发起人与成交</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根据交易文件、响应文件等内容通过政府采购电子交易平台在线签订，自动备案。</w:t>
      </w:r>
    </w:p>
    <w:p w14:paraId="752222EC">
      <w:pPr>
        <w:pStyle w:val="23"/>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06ED27BC">
      <w:pPr>
        <w:tabs>
          <w:tab w:val="left" w:pos="0"/>
        </w:tabs>
        <w:spacing w:line="360" w:lineRule="auto"/>
        <w:ind w:firstLine="482"/>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提交履约保证金的，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。履约保证金的数额不得超过采购合同金额的2%。鼓励和支持</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以银行、保险公司出具的保函形式提供履约保证金。</w:t>
      </w:r>
    </w:p>
    <w:p w14:paraId="6DBAE4FB">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613075C9">
      <w:pPr>
        <w:pStyle w:val="221"/>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37D00CFF">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7025CD58">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18D66470">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188FC7B8">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0F6FEF3E">
      <w:pPr>
        <w:pStyle w:val="221"/>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75AF8062">
      <w:pPr>
        <w:pStyle w:val="221"/>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3451ED1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446E5107">
      <w:pPr>
        <w:pStyle w:val="23"/>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1DB7C7E2">
      <w:pPr>
        <w:tabs>
          <w:tab w:val="left" w:pos="0"/>
        </w:tabs>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应在货物到货并将实施安装前，申请进行初验收。</w:t>
      </w:r>
    </w:p>
    <w:p w14:paraId="2ADB1306">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27.2交易发起人组织对</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履约的验收。除27.1情形外，大型或者复杂的政府采购项目，应当邀请国家认可的质量检测机构参加验收工作。验收方成员应当在验收书上签字，并承担相应的法律责任。如果发现与合同中要求不符，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须承担由此发生的一切损失和费用，并接受相应的处理。</w:t>
      </w:r>
      <w:bookmarkEnd w:id="38"/>
    </w:p>
    <w:bookmarkEnd w:id="36"/>
    <w:bookmarkEnd w:id="37"/>
    <w:p w14:paraId="2542A2D9">
      <w:pPr>
        <w:pStyle w:val="2"/>
        <w:jc w:val="both"/>
        <w:rPr>
          <w:rFonts w:hint="eastAsia" w:ascii="仿宋" w:hAnsi="仿宋" w:eastAsia="仿宋" w:cs="仿宋"/>
        </w:rPr>
      </w:pPr>
      <w:bookmarkStart w:id="39" w:name="第四部分"/>
    </w:p>
    <w:p w14:paraId="7AF15B6A">
      <w:pPr>
        <w:pStyle w:val="2"/>
        <w:rPr>
          <w:rFonts w:hint="eastAsia" w:ascii="仿宋" w:hAnsi="仿宋" w:eastAsia="仿宋" w:cs="仿宋"/>
        </w:rPr>
      </w:pPr>
    </w:p>
    <w:p w14:paraId="7EBF9A21">
      <w:pPr>
        <w:pStyle w:val="2"/>
        <w:rPr>
          <w:rFonts w:hint="eastAsia" w:ascii="仿宋" w:hAnsi="仿宋" w:eastAsia="仿宋" w:cs="仿宋"/>
        </w:rPr>
      </w:pPr>
    </w:p>
    <w:p w14:paraId="25EC2812">
      <w:pPr>
        <w:pStyle w:val="61"/>
        <w:ind w:left="0" w:leftChars="0" w:firstLine="0" w:firstLineChars="0"/>
        <w:rPr>
          <w:rFonts w:hint="eastAsia" w:ascii="仿宋" w:hAnsi="仿宋" w:eastAsia="仿宋" w:cs="仿宋"/>
        </w:rPr>
      </w:pPr>
    </w:p>
    <w:p w14:paraId="58E67EA6">
      <w:pPr>
        <w:pStyle w:val="2"/>
        <w:rPr>
          <w:rFonts w:hint="eastAsia" w:ascii="仿宋" w:hAnsi="仿宋" w:eastAsia="仿宋" w:cs="仿宋"/>
        </w:rPr>
      </w:pPr>
    </w:p>
    <w:p w14:paraId="7D2F147F">
      <w:pPr>
        <w:pStyle w:val="2"/>
        <w:rPr>
          <w:rFonts w:hint="eastAsia" w:ascii="仿宋" w:hAnsi="仿宋" w:eastAsia="仿宋" w:cs="仿宋"/>
        </w:rPr>
      </w:pPr>
      <w:r>
        <w:rPr>
          <w:rFonts w:hint="eastAsia" w:ascii="仿宋" w:hAnsi="仿宋" w:eastAsia="仿宋" w:cs="仿宋"/>
        </w:rPr>
        <w:t>第三部分   交易需求</w:t>
      </w:r>
    </w:p>
    <w:p w14:paraId="2B61DDB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105ECF4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中单一产品或核心产品。</w:t>
      </w:r>
    </w:p>
    <w:p w14:paraId="76913E36">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28"/>
          <w14:textFill>
            <w14:solidFill>
              <w14:schemeClr w14:val="tx1"/>
            </w14:solidFill>
          </w14:textFill>
        </w:rPr>
        <w:t>、交易一览表</w:t>
      </w:r>
    </w:p>
    <w:tbl>
      <w:tblPr>
        <w:tblStyle w:val="62"/>
        <w:tblW w:w="929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3249"/>
        <w:gridCol w:w="902"/>
        <w:gridCol w:w="2071"/>
        <w:gridCol w:w="2145"/>
      </w:tblGrid>
      <w:tr w14:paraId="22B05E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2" w:hRule="atLeast"/>
          <w:jc w:val="center"/>
        </w:trPr>
        <w:tc>
          <w:tcPr>
            <w:tcW w:w="930" w:type="dxa"/>
            <w:noWrap w:val="0"/>
            <w:vAlign w:val="center"/>
          </w:tcPr>
          <w:p w14:paraId="38CE48CF">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9" w:type="dxa"/>
            <w:noWrap w:val="0"/>
            <w:vAlign w:val="center"/>
          </w:tcPr>
          <w:p w14:paraId="13A25C46">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2" w:type="dxa"/>
            <w:noWrap w:val="0"/>
            <w:vAlign w:val="center"/>
          </w:tcPr>
          <w:p w14:paraId="699F156C">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71" w:type="dxa"/>
            <w:noWrap w:val="0"/>
            <w:vAlign w:val="center"/>
          </w:tcPr>
          <w:p w14:paraId="2077C1B1">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5" w:type="dxa"/>
            <w:noWrap w:val="0"/>
            <w:vAlign w:val="center"/>
          </w:tcPr>
          <w:p w14:paraId="463D4035">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7AAB0B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745E51F1">
            <w:pP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9" w:type="dxa"/>
            <w:noWrap w:val="0"/>
            <w:vAlign w:val="center"/>
          </w:tcPr>
          <w:p w14:paraId="68CC7D94">
            <w:pP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 尿动力检测系统</w:t>
            </w:r>
          </w:p>
        </w:tc>
        <w:tc>
          <w:tcPr>
            <w:tcW w:w="902" w:type="dxa"/>
            <w:vMerge w:val="restart"/>
            <w:noWrap w:val="0"/>
            <w:vAlign w:val="center"/>
          </w:tcPr>
          <w:p w14:paraId="6C77C5C5">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1台</w:t>
            </w:r>
          </w:p>
        </w:tc>
        <w:tc>
          <w:tcPr>
            <w:tcW w:w="2071" w:type="dxa"/>
            <w:vMerge w:val="restart"/>
            <w:noWrap w:val="0"/>
            <w:vAlign w:val="center"/>
          </w:tcPr>
          <w:p w14:paraId="37A45921">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合同签订后，接采购人发货通知后60 天内交货完毕</w:t>
            </w:r>
          </w:p>
        </w:tc>
        <w:tc>
          <w:tcPr>
            <w:tcW w:w="2145" w:type="dxa"/>
            <w:vMerge w:val="restart"/>
            <w:noWrap w:val="0"/>
            <w:vAlign w:val="center"/>
          </w:tcPr>
          <w:p w14:paraId="0F78A937">
            <w:pP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681052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7B48425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9" w:type="dxa"/>
            <w:noWrap w:val="0"/>
            <w:vAlign w:val="center"/>
          </w:tcPr>
          <w:p w14:paraId="2BE378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2" w:type="dxa"/>
            <w:noWrap w:val="0"/>
            <w:vAlign w:val="center"/>
          </w:tcPr>
          <w:p w14:paraId="0F3E30F8">
            <w:pP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71" w:type="dxa"/>
            <w:vMerge w:val="continue"/>
            <w:noWrap w:val="0"/>
            <w:vAlign w:val="center"/>
          </w:tcPr>
          <w:p w14:paraId="1D957F6F">
            <w:pPr>
              <w:spacing w:line="360" w:lineRule="auto"/>
              <w:jc w:val="center"/>
              <w:rPr>
                <w:rFonts w:hint="eastAsia" w:ascii="仿宋" w:hAnsi="仿宋" w:eastAsia="仿宋" w:cs="仿宋"/>
                <w:color w:val="auto"/>
                <w:szCs w:val="21"/>
                <w:highlight w:val="none"/>
              </w:rPr>
            </w:pPr>
          </w:p>
        </w:tc>
        <w:tc>
          <w:tcPr>
            <w:tcW w:w="2145" w:type="dxa"/>
            <w:vMerge w:val="continue"/>
            <w:noWrap w:val="0"/>
            <w:vAlign w:val="center"/>
          </w:tcPr>
          <w:p w14:paraId="05E8B8A3">
            <w:pPr>
              <w:spacing w:line="360" w:lineRule="auto"/>
              <w:jc w:val="center"/>
              <w:rPr>
                <w:rFonts w:hint="eastAsia" w:ascii="仿宋" w:hAnsi="仿宋" w:eastAsia="仿宋" w:cs="仿宋"/>
                <w:color w:val="auto"/>
                <w:highlight w:val="none"/>
              </w:rPr>
            </w:pPr>
          </w:p>
        </w:tc>
      </w:tr>
      <w:tr w14:paraId="4F84DF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930" w:type="dxa"/>
            <w:noWrap w:val="0"/>
            <w:vAlign w:val="center"/>
          </w:tcPr>
          <w:p w14:paraId="30AC90C8">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151" w:type="dxa"/>
            <w:gridSpan w:val="2"/>
            <w:noWrap w:val="0"/>
            <w:vAlign w:val="center"/>
          </w:tcPr>
          <w:p w14:paraId="23613E65">
            <w:pP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须提供的其他资料</w:t>
            </w:r>
          </w:p>
        </w:tc>
        <w:tc>
          <w:tcPr>
            <w:tcW w:w="2071" w:type="dxa"/>
            <w:vMerge w:val="continue"/>
            <w:noWrap w:val="0"/>
            <w:vAlign w:val="center"/>
          </w:tcPr>
          <w:p w14:paraId="2752AA00">
            <w:pPr>
              <w:spacing w:line="360" w:lineRule="auto"/>
              <w:jc w:val="center"/>
              <w:rPr>
                <w:rFonts w:hint="eastAsia" w:ascii="仿宋" w:hAnsi="仿宋" w:eastAsia="仿宋" w:cs="仿宋"/>
                <w:color w:val="auto"/>
                <w:highlight w:val="none"/>
              </w:rPr>
            </w:pPr>
          </w:p>
        </w:tc>
        <w:tc>
          <w:tcPr>
            <w:tcW w:w="2145" w:type="dxa"/>
            <w:vMerge w:val="continue"/>
            <w:noWrap w:val="0"/>
            <w:vAlign w:val="center"/>
          </w:tcPr>
          <w:p w14:paraId="245E148B">
            <w:pPr>
              <w:spacing w:line="360" w:lineRule="auto"/>
              <w:jc w:val="center"/>
              <w:rPr>
                <w:rFonts w:hint="eastAsia" w:ascii="仿宋" w:hAnsi="仿宋" w:eastAsia="仿宋" w:cs="仿宋"/>
                <w:color w:val="auto"/>
                <w:highlight w:val="none"/>
              </w:rPr>
            </w:pPr>
          </w:p>
        </w:tc>
      </w:tr>
    </w:tbl>
    <w:p w14:paraId="6DE80347">
      <w:pPr>
        <w:spacing w:line="360" w:lineRule="auto"/>
        <w:rPr>
          <w:rFonts w:hint="eastAsia" w:ascii="仿宋" w:hAnsi="仿宋" w:eastAsia="仿宋" w:cs="仿宋"/>
          <w:b/>
          <w:color w:val="000000" w:themeColor="text1"/>
          <w:sz w:val="24"/>
          <w14:textFill>
            <w14:solidFill>
              <w14:schemeClr w14:val="tx1"/>
            </w14:solidFill>
          </w14:textFill>
        </w:rPr>
      </w:pPr>
    </w:p>
    <w:p w14:paraId="43214AD1">
      <w:pPr>
        <w:numPr>
          <w:ilvl w:val="0"/>
          <w:numId w:val="0"/>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交易需求</w:t>
      </w:r>
    </w:p>
    <w:tbl>
      <w:tblPr>
        <w:tblStyle w:val="62"/>
        <w:tblW w:w="48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912"/>
      </w:tblGrid>
      <w:tr w14:paraId="46F9A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51" w:type="pct"/>
            <w:tcBorders>
              <w:tl2br w:val="nil"/>
              <w:tr2bl w:val="nil"/>
            </w:tcBorders>
            <w:noWrap w:val="0"/>
            <w:vAlign w:val="center"/>
          </w:tcPr>
          <w:p w14:paraId="638B2B8B">
            <w:pPr>
              <w:spacing w:line="360" w:lineRule="auto"/>
              <w:jc w:val="center"/>
              <w:rPr>
                <w:rFonts w:hint="eastAsia" w:ascii="仿宋" w:hAnsi="仿宋" w:eastAsia="仿宋" w:cs="仿宋"/>
                <w:b/>
                <w:bCs/>
                <w:color w:val="auto"/>
                <w:sz w:val="24"/>
                <w:highlight w:val="none"/>
                <w:lang w:val="en-US" w:eastAsia="zh-CN"/>
              </w:rPr>
            </w:pPr>
            <w:bookmarkStart w:id="40" w:name="_二期网络工程项目改造需求"/>
            <w:bookmarkEnd w:id="40"/>
            <w:r>
              <w:rPr>
                <w:rFonts w:hint="eastAsia" w:ascii="仿宋" w:hAnsi="仿宋" w:eastAsia="仿宋" w:cs="仿宋"/>
                <w:b/>
                <w:bCs/>
                <w:color w:val="auto"/>
                <w:sz w:val="24"/>
                <w:highlight w:val="none"/>
                <w:lang w:val="en-US" w:eastAsia="zh-CN"/>
              </w:rPr>
              <w:t>序号</w:t>
            </w:r>
          </w:p>
        </w:tc>
        <w:tc>
          <w:tcPr>
            <w:tcW w:w="4348" w:type="pct"/>
            <w:tcBorders>
              <w:tl2br w:val="nil"/>
              <w:tr2bl w:val="nil"/>
            </w:tcBorders>
            <w:noWrap w:val="0"/>
            <w:vAlign w:val="center"/>
          </w:tcPr>
          <w:p w14:paraId="3AEA4553">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技术要求</w:t>
            </w:r>
          </w:p>
        </w:tc>
      </w:tr>
      <w:tr w14:paraId="1740E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pct"/>
            <w:tcBorders>
              <w:tl2br w:val="nil"/>
              <w:tr2bl w:val="nil"/>
            </w:tcBorders>
            <w:noWrap w:val="0"/>
            <w:vAlign w:val="center"/>
          </w:tcPr>
          <w:p w14:paraId="17889887">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1</w:t>
            </w:r>
          </w:p>
        </w:tc>
        <w:tc>
          <w:tcPr>
            <w:tcW w:w="4348" w:type="pct"/>
            <w:tcBorders>
              <w:tl2br w:val="nil"/>
              <w:tr2bl w:val="nil"/>
            </w:tcBorders>
            <w:noWrap w:val="0"/>
            <w:vAlign w:val="center"/>
          </w:tcPr>
          <w:p w14:paraId="144AAE33">
            <w:pPr>
              <w:spacing w:line="360" w:lineRule="auto"/>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szCs w:val="24"/>
                <w:highlight w:val="none"/>
              </w:rPr>
              <w:t>GB 9706.1-2020医用电气设备 第1部分：基本安全和基本性能的通用要</w:t>
            </w:r>
            <w:r>
              <w:rPr>
                <w:rFonts w:hint="eastAsia" w:ascii="仿宋" w:hAnsi="仿宋" w:eastAsia="仿宋" w:cs="仿宋"/>
                <w:color w:val="auto"/>
                <w:sz w:val="24"/>
                <w:szCs w:val="24"/>
                <w:highlight w:val="none"/>
                <w:lang w:val="en-US" w:eastAsia="zh-CN"/>
              </w:rPr>
              <w:t>求。（提供检测报告)</w:t>
            </w:r>
          </w:p>
        </w:tc>
      </w:tr>
      <w:tr w14:paraId="718BC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651" w:type="pct"/>
            <w:tcBorders>
              <w:tl2br w:val="nil"/>
              <w:tr2bl w:val="nil"/>
            </w:tcBorders>
            <w:noWrap w:val="0"/>
            <w:vAlign w:val="center"/>
          </w:tcPr>
          <w:p w14:paraId="2919599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4348" w:type="pct"/>
            <w:tcBorders>
              <w:tl2br w:val="nil"/>
              <w:tr2bl w:val="nil"/>
            </w:tcBorders>
            <w:noWrap w:val="0"/>
            <w:vAlign w:val="center"/>
          </w:tcPr>
          <w:p w14:paraId="3D15A734">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全中文操作界面，测量参数符合ICS标准。</w:t>
            </w:r>
          </w:p>
        </w:tc>
      </w:tr>
      <w:tr w14:paraId="3CD3E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E8C615C">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348" w:type="pct"/>
            <w:tcBorders>
              <w:tl2br w:val="nil"/>
              <w:tr2bl w:val="nil"/>
            </w:tcBorders>
            <w:noWrap w:val="0"/>
            <w:vAlign w:val="center"/>
          </w:tcPr>
          <w:p w14:paraId="679B5FCA">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both"/>
              <w:textAlignment w:val="baseline"/>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灌注模式分推注与旋转蠕压两种模式。</w:t>
            </w:r>
          </w:p>
        </w:tc>
      </w:tr>
      <w:tr w14:paraId="7C87A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03268D3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w:t>
            </w:r>
          </w:p>
        </w:tc>
        <w:tc>
          <w:tcPr>
            <w:tcW w:w="4348" w:type="pct"/>
            <w:tcBorders>
              <w:tl2br w:val="nil"/>
              <w:tr2bl w:val="nil"/>
            </w:tcBorders>
            <w:noWrap w:val="0"/>
            <w:vAlign w:val="center"/>
          </w:tcPr>
          <w:p w14:paraId="4730088F">
            <w:pPr>
              <w:numPr>
                <w:ilvl w:val="-1"/>
                <w:numId w:val="0"/>
              </w:numPr>
              <w:adjustRightInd/>
              <w:spacing w:beforeLines="-2147483648" w:afterLines="-2147483648" w:line="360" w:lineRule="auto"/>
              <w:ind w:leftChars="0" w:firstLineChars="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无极变速推注技术，能实现恒流灌注，彻底解决尿道压测量中的灌注泵干扰问题，提高检测精度。</w:t>
            </w:r>
          </w:p>
        </w:tc>
      </w:tr>
      <w:tr w14:paraId="698337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651" w:type="pct"/>
            <w:tcBorders>
              <w:tl2br w:val="nil"/>
              <w:tr2bl w:val="nil"/>
            </w:tcBorders>
            <w:noWrap w:val="0"/>
            <w:vAlign w:val="center"/>
          </w:tcPr>
          <w:p w14:paraId="5C6770A2">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p>
        </w:tc>
        <w:tc>
          <w:tcPr>
            <w:tcW w:w="4348" w:type="pct"/>
            <w:tcBorders>
              <w:tl2br w:val="nil"/>
              <w:tr2bl w:val="nil"/>
            </w:tcBorders>
            <w:noWrap w:val="0"/>
            <w:vAlign w:val="center"/>
          </w:tcPr>
          <w:p w14:paraId="4CD83DD8">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beforeLines="0" w:beforeAutospacing="0" w:after="0" w:afterLines="0" w:afterAutospacing="0" w:line="360" w:lineRule="auto"/>
              <w:ind w:leftChars="-6" w:right="0" w:rightChars="0" w:firstLineChars="4"/>
              <w:jc w:val="both"/>
              <w:textAlignment w:val="baseline"/>
              <w:outlineLvl w:val="9"/>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双模式软件（A和B模式），可自由切换。</w:t>
            </w:r>
            <w:r>
              <w:rPr>
                <w:rFonts w:hint="eastAsia" w:ascii="仿宋" w:hAnsi="仿宋" w:eastAsia="仿宋" w:cs="仿宋"/>
                <w:color w:val="auto"/>
                <w:sz w:val="24"/>
                <w:highlight w:val="none"/>
                <w:lang w:eastAsia="zh-CN"/>
              </w:rPr>
              <w:t>（提供注册证）</w:t>
            </w:r>
          </w:p>
        </w:tc>
      </w:tr>
      <w:tr w14:paraId="156AF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98487B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6</w:t>
            </w:r>
          </w:p>
        </w:tc>
        <w:tc>
          <w:tcPr>
            <w:tcW w:w="4348" w:type="pct"/>
            <w:tcBorders>
              <w:tl2br w:val="nil"/>
              <w:tr2bl w:val="nil"/>
            </w:tcBorders>
            <w:noWrap w:val="0"/>
            <w:vAlign w:val="center"/>
          </w:tcPr>
          <w:p w14:paraId="23F2722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压力测定范围: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eastAsia="zh-CN"/>
              </w:rPr>
              <w:t>kPa～+19.6</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kPa</w:t>
            </w:r>
            <w:r>
              <w:rPr>
                <w:rFonts w:hint="eastAsia" w:ascii="仿宋" w:hAnsi="仿宋" w:eastAsia="仿宋" w:cs="仿宋"/>
                <w:color w:val="auto"/>
                <w:sz w:val="24"/>
                <w:highlight w:val="none"/>
                <w:lang w:val="en-US" w:eastAsia="zh-CN"/>
              </w:rPr>
              <w:t>(-25cmH</w:t>
            </w:r>
            <w:r>
              <w:rPr>
                <w:rFonts w:hint="eastAsia" w:ascii="仿宋" w:hAnsi="仿宋" w:eastAsia="仿宋" w:cs="仿宋"/>
                <w:color w:val="auto"/>
                <w:sz w:val="24"/>
                <w:highlight w:val="none"/>
                <w:vertAlign w:val="baseline"/>
                <w:lang w:val="en-US" w:eastAsia="zh-CN"/>
              </w:rPr>
              <w:t>2O</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+200cmH</w:t>
            </w:r>
            <w:r>
              <w:rPr>
                <w:rFonts w:hint="eastAsia" w:ascii="仿宋" w:hAnsi="仿宋" w:eastAsia="仿宋" w:cs="仿宋"/>
                <w:color w:val="auto"/>
                <w:sz w:val="24"/>
                <w:highlight w:val="none"/>
                <w:vertAlign w:val="baseline"/>
                <w:lang w:val="en-US" w:eastAsia="zh-CN"/>
              </w:rPr>
              <w:t>2</w:t>
            </w:r>
            <w:r>
              <w:rPr>
                <w:rFonts w:hint="eastAsia" w:ascii="仿宋" w:hAnsi="仿宋" w:eastAsia="仿宋" w:cs="仿宋"/>
                <w:color w:val="auto"/>
                <w:sz w:val="24"/>
                <w:highlight w:val="none"/>
                <w:lang w:val="en-US" w:eastAsia="zh-CN"/>
              </w:rPr>
              <w:t>O),</w:t>
            </w:r>
            <w:r>
              <w:rPr>
                <w:rFonts w:hint="eastAsia" w:ascii="仿宋" w:hAnsi="仿宋" w:eastAsia="仿宋" w:cs="仿宋"/>
                <w:color w:val="auto"/>
                <w:sz w:val="24"/>
                <w:highlight w:val="none"/>
                <w:lang w:eastAsia="zh-CN"/>
              </w:rPr>
              <w:t>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p>
        </w:tc>
      </w:tr>
      <w:tr w14:paraId="4DA48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E46830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7</w:t>
            </w:r>
          </w:p>
        </w:tc>
        <w:tc>
          <w:tcPr>
            <w:tcW w:w="4348" w:type="pct"/>
            <w:tcBorders>
              <w:tl2br w:val="nil"/>
              <w:tr2bl w:val="nil"/>
            </w:tcBorders>
            <w:noWrap w:val="0"/>
            <w:vAlign w:val="center"/>
          </w:tcPr>
          <w:p w14:paraId="65C8716C">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尿流率</w:t>
            </w:r>
          </w:p>
        </w:tc>
      </w:tr>
      <w:tr w14:paraId="115E4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51" w:type="pct"/>
            <w:tcBorders>
              <w:tl2br w:val="nil"/>
              <w:tr2bl w:val="nil"/>
            </w:tcBorders>
            <w:noWrap w:val="0"/>
            <w:vAlign w:val="center"/>
          </w:tcPr>
          <w:p w14:paraId="1634D0B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7.1</w:t>
            </w:r>
          </w:p>
        </w:tc>
        <w:tc>
          <w:tcPr>
            <w:tcW w:w="4348" w:type="pct"/>
            <w:tcBorders>
              <w:tl2br w:val="nil"/>
              <w:tr2bl w:val="nil"/>
            </w:tcBorders>
            <w:noWrap w:val="0"/>
            <w:vAlign w:val="center"/>
          </w:tcPr>
          <w:p w14:paraId="78A625B6">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排</w:t>
            </w:r>
            <w:r>
              <w:rPr>
                <w:rFonts w:hint="eastAsia" w:ascii="仿宋" w:hAnsi="仿宋" w:eastAsia="仿宋" w:cs="仿宋"/>
                <w:color w:val="auto"/>
                <w:sz w:val="24"/>
                <w:highlight w:val="none"/>
                <w:lang w:eastAsia="zh-CN"/>
              </w:rPr>
              <w:t>尿量测定范围: 0mL～1000mL，误差≤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p>
        </w:tc>
      </w:tr>
      <w:tr w14:paraId="39414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1846676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7.2</w:t>
            </w:r>
          </w:p>
        </w:tc>
        <w:tc>
          <w:tcPr>
            <w:tcW w:w="4348" w:type="pct"/>
            <w:tcBorders>
              <w:tl2br w:val="nil"/>
              <w:tr2bl w:val="nil"/>
            </w:tcBorders>
            <w:noWrap w:val="0"/>
            <w:vAlign w:val="center"/>
          </w:tcPr>
          <w:p w14:paraId="76F0832F">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排尿时间测定范围: 0s～240s，误差≤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p>
        </w:tc>
      </w:tr>
      <w:tr w14:paraId="0B56B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51" w:type="pct"/>
            <w:tcBorders>
              <w:tl2br w:val="nil"/>
              <w:tr2bl w:val="nil"/>
            </w:tcBorders>
            <w:noWrap w:val="0"/>
            <w:vAlign w:val="center"/>
          </w:tcPr>
          <w:p w14:paraId="5F865654">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7.3</w:t>
            </w:r>
          </w:p>
        </w:tc>
        <w:tc>
          <w:tcPr>
            <w:tcW w:w="4348" w:type="pct"/>
            <w:tcBorders>
              <w:tl2br w:val="nil"/>
              <w:tr2bl w:val="nil"/>
            </w:tcBorders>
            <w:noWrap w:val="0"/>
            <w:vAlign w:val="center"/>
          </w:tcPr>
          <w:p w14:paraId="67C4969A">
            <w:pPr>
              <w:spacing w:line="360" w:lineRule="auto"/>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尿流率测定范围: 0～50mL/s，误差≤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p>
        </w:tc>
      </w:tr>
      <w:tr w14:paraId="329B2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B0C4C85">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8</w:t>
            </w:r>
          </w:p>
        </w:tc>
        <w:tc>
          <w:tcPr>
            <w:tcW w:w="4348" w:type="pct"/>
            <w:tcBorders>
              <w:tl2br w:val="nil"/>
              <w:tr2bl w:val="nil"/>
            </w:tcBorders>
            <w:noWrap w:val="0"/>
            <w:vAlign w:val="center"/>
          </w:tcPr>
          <w:p w14:paraId="318CA50F">
            <w:pPr>
              <w:spacing w:line="360" w:lineRule="auto"/>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牵引机</w:t>
            </w:r>
          </w:p>
        </w:tc>
      </w:tr>
      <w:tr w14:paraId="067EA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51" w:type="pct"/>
            <w:tcBorders>
              <w:tl2br w:val="nil"/>
              <w:tr2bl w:val="nil"/>
            </w:tcBorders>
            <w:noWrap w:val="0"/>
            <w:vAlign w:val="center"/>
          </w:tcPr>
          <w:p w14:paraId="4A0FFDB6">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8.1</w:t>
            </w:r>
          </w:p>
        </w:tc>
        <w:tc>
          <w:tcPr>
            <w:tcW w:w="4348" w:type="pct"/>
            <w:tcBorders>
              <w:tl2br w:val="nil"/>
              <w:tr2bl w:val="nil"/>
            </w:tcBorders>
            <w:noWrap w:val="0"/>
            <w:vAlign w:val="center"/>
          </w:tcPr>
          <w:p w14:paraId="5BDFD830">
            <w:pPr>
              <w:spacing w:line="360" w:lineRule="auto"/>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eastAsia="zh-CN"/>
              </w:rPr>
              <w:t>牵引速度：分为 0.5mm/s、1.0mm/s、2.0mm/s、4.0mm/s四档，误差≤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p>
        </w:tc>
      </w:tr>
      <w:tr w14:paraId="515E9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1339FE3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8.2</w:t>
            </w:r>
          </w:p>
        </w:tc>
        <w:tc>
          <w:tcPr>
            <w:tcW w:w="4348" w:type="pct"/>
            <w:tcBorders>
              <w:tl2br w:val="nil"/>
              <w:tr2bl w:val="nil"/>
            </w:tcBorders>
            <w:noWrap w:val="0"/>
            <w:vAlign w:val="center"/>
          </w:tcPr>
          <w:p w14:paraId="19AD05BA">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牵引长度：≥280mm。</w:t>
            </w:r>
          </w:p>
        </w:tc>
      </w:tr>
      <w:tr w14:paraId="381DE1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3D04072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348" w:type="pct"/>
            <w:tcBorders>
              <w:tl2br w:val="nil"/>
              <w:tr2bl w:val="nil"/>
            </w:tcBorders>
            <w:noWrap w:val="0"/>
            <w:vAlign w:val="center"/>
          </w:tcPr>
          <w:p w14:paraId="75AB0277">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灌注泵</w:t>
            </w:r>
          </w:p>
        </w:tc>
      </w:tr>
      <w:tr w14:paraId="5AC50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0F77BD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9.1</w:t>
            </w:r>
          </w:p>
        </w:tc>
        <w:tc>
          <w:tcPr>
            <w:tcW w:w="4348" w:type="pct"/>
            <w:tcBorders>
              <w:tl2br w:val="nil"/>
              <w:tr2bl w:val="nil"/>
            </w:tcBorders>
            <w:noWrap w:val="0"/>
            <w:vAlign w:val="center"/>
          </w:tcPr>
          <w:p w14:paraId="2170343E">
            <w:pPr>
              <w:keepNext w:val="0"/>
              <w:keepLines w:val="0"/>
              <w:pageBreakBefore w:val="0"/>
              <w:widowControl/>
              <w:numPr>
                <w:ilvl w:val="-1"/>
                <w:numId w:val="0"/>
              </w:numPr>
              <w:suppressAutoHyphens/>
              <w:kinsoku/>
              <w:wordWrap/>
              <w:overflowPunct/>
              <w:topLinePunct w:val="0"/>
              <w:autoSpaceDE/>
              <w:autoSpaceDN/>
              <w:bidi w:val="0"/>
              <w:adjustRightInd/>
              <w:snapToGrid/>
              <w:spacing w:before="0" w:beforeLines="-2147483648" w:beforeAutospacing="0" w:after="0" w:afterLines="-2147483648" w:afterAutospacing="0" w:line="360" w:lineRule="auto"/>
              <w:ind w:leftChars="0" w:right="0" w:rightChars="0" w:firstLineChars="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灌注率设定范围，分为两档：</w:t>
            </w:r>
          </w:p>
          <w:p w14:paraId="55E18024">
            <w:pPr>
              <w:keepNext w:val="0"/>
              <w:keepLines w:val="0"/>
              <w:pageBreakBefore w:val="0"/>
              <w:widowControl/>
              <w:numPr>
                <w:ilvl w:val="-1"/>
                <w:numId w:val="0"/>
              </w:numPr>
              <w:suppressAutoHyphens/>
              <w:kinsoku/>
              <w:wordWrap/>
              <w:overflowPunct/>
              <w:topLinePunct w:val="0"/>
              <w:autoSpaceDE/>
              <w:autoSpaceDN/>
              <w:bidi w:val="0"/>
              <w:adjustRightInd/>
              <w:snapToGrid/>
              <w:spacing w:before="0" w:beforeLines="-2147483648" w:beforeAutospacing="0" w:after="0" w:afterLines="-2147483648" w:afterAutospacing="0" w:line="360" w:lineRule="auto"/>
              <w:ind w:leftChars="0" w:right="0" w:rightChars="0" w:firstLineChars="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2mL/min～10mL/min；</w:t>
            </w:r>
          </w:p>
          <w:p w14:paraId="4DAF97D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10mL/min～80mL/min。</w:t>
            </w:r>
          </w:p>
        </w:tc>
      </w:tr>
      <w:tr w14:paraId="4D9EA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5CC5F6E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9.2</w:t>
            </w:r>
          </w:p>
        </w:tc>
        <w:tc>
          <w:tcPr>
            <w:tcW w:w="4348" w:type="pct"/>
            <w:tcBorders>
              <w:tl2br w:val="nil"/>
              <w:tr2bl w:val="nil"/>
            </w:tcBorders>
            <w:noWrap w:val="0"/>
            <w:vAlign w:val="center"/>
          </w:tcPr>
          <w:p w14:paraId="4C6F27D3">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灌注率误差：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mL/min～</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lang w:eastAsia="zh-CN"/>
              </w:rPr>
              <w:t>mL/min时：误差≤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p>
        </w:tc>
      </w:tr>
      <w:tr w14:paraId="10979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32ED862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9.3</w:t>
            </w:r>
          </w:p>
        </w:tc>
        <w:tc>
          <w:tcPr>
            <w:tcW w:w="4348" w:type="pct"/>
            <w:tcBorders>
              <w:tl2br w:val="nil"/>
              <w:tr2bl w:val="nil"/>
            </w:tcBorders>
            <w:noWrap w:val="0"/>
            <w:vAlign w:val="center"/>
          </w:tcPr>
          <w:p w14:paraId="24C9CFFF">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尿动力分析仪使用长寿命灌注泵(泵体316L不锈钢，泵轮PEEK材质)。</w:t>
            </w:r>
          </w:p>
        </w:tc>
      </w:tr>
      <w:tr w14:paraId="01684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513C6807">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9.4</w:t>
            </w:r>
          </w:p>
        </w:tc>
        <w:tc>
          <w:tcPr>
            <w:tcW w:w="4348" w:type="pct"/>
            <w:tcBorders>
              <w:tl2br w:val="nil"/>
              <w:tr2bl w:val="nil"/>
            </w:tcBorders>
            <w:noWrap w:val="0"/>
            <w:vAlign w:val="center"/>
          </w:tcPr>
          <w:p w14:paraId="31880B75">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beforeLines="0" w:beforeAutospacing="0" w:after="0" w:afterLines="0" w:afterAutospacing="0" w:line="360" w:lineRule="auto"/>
              <w:ind w:right="0" w:rightChars="0"/>
              <w:jc w:val="both"/>
              <w:textAlignment w:val="baseline"/>
              <w:outlineLvl w:val="9"/>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波动检测：差值低于7cmH</w:t>
            </w:r>
            <w:r>
              <w:rPr>
                <w:rFonts w:hint="eastAsia" w:ascii="仿宋" w:hAnsi="仿宋" w:eastAsia="仿宋" w:cs="仿宋"/>
                <w:color w:val="auto"/>
                <w:sz w:val="24"/>
                <w:highlight w:val="none"/>
                <w:vertAlign w:val="baseline"/>
                <w:lang w:val="en-US" w:eastAsia="zh-CN"/>
              </w:rPr>
              <w:t>2O。</w:t>
            </w:r>
            <w:r>
              <w:rPr>
                <w:rFonts w:hint="eastAsia" w:ascii="仿宋" w:hAnsi="仿宋" w:eastAsia="仿宋" w:cs="仿宋"/>
                <w:color w:val="auto"/>
                <w:sz w:val="24"/>
                <w:highlight w:val="none"/>
                <w:lang w:val="en-US" w:eastAsia="zh-CN"/>
              </w:rPr>
              <w:t>（提供第三方校准证书）</w:t>
            </w:r>
          </w:p>
        </w:tc>
      </w:tr>
      <w:tr w14:paraId="06907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3B0398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10</w:t>
            </w:r>
          </w:p>
        </w:tc>
        <w:tc>
          <w:tcPr>
            <w:tcW w:w="4348" w:type="pct"/>
            <w:tcBorders>
              <w:tl2br w:val="nil"/>
              <w:tr2bl w:val="nil"/>
            </w:tcBorders>
            <w:noWrap w:val="0"/>
            <w:vAlign w:val="center"/>
          </w:tcPr>
          <w:p w14:paraId="52312DAC">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推注泵：推注率设定范围：2mL/min～5mL/min 误差≤</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p>
        </w:tc>
      </w:tr>
      <w:tr w14:paraId="66DBB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7EC0EF2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val="0"/>
                <w:color w:val="auto"/>
                <w:sz w:val="24"/>
                <w:szCs w:val="24"/>
                <w:highlight w:val="none"/>
                <w:lang w:val="en-US" w:eastAsia="zh-CN"/>
              </w:rPr>
              <w:t>11</w:t>
            </w:r>
          </w:p>
        </w:tc>
        <w:tc>
          <w:tcPr>
            <w:tcW w:w="4348" w:type="pct"/>
            <w:tcBorders>
              <w:tl2br w:val="nil"/>
              <w:tr2bl w:val="nil"/>
            </w:tcBorders>
            <w:noWrap w:val="0"/>
            <w:vAlign w:val="center"/>
          </w:tcPr>
          <w:p w14:paraId="283888E1">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EMG单元</w:t>
            </w:r>
          </w:p>
        </w:tc>
      </w:tr>
      <w:tr w14:paraId="0F539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5EDE605F">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11.1</w:t>
            </w:r>
          </w:p>
        </w:tc>
        <w:tc>
          <w:tcPr>
            <w:tcW w:w="4348" w:type="pct"/>
            <w:tcBorders>
              <w:tl2br w:val="nil"/>
              <w:tr2bl w:val="nil"/>
            </w:tcBorders>
            <w:noWrap w:val="0"/>
            <w:vAlign w:val="center"/>
          </w:tcPr>
          <w:p w14:paraId="095F2ADD">
            <w:pPr>
              <w:numPr>
                <w:ilvl w:val="-1"/>
                <w:numId w:val="0"/>
              </w:numPr>
              <w:adjustRightInd/>
              <w:spacing w:beforeLines="-2147483648" w:afterLines="-2147483648" w:line="360" w:lineRule="auto"/>
              <w:ind w:leftChars="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测量信号</w:t>
            </w:r>
            <w:r>
              <w:rPr>
                <w:rFonts w:hint="eastAsia" w:ascii="仿宋" w:hAnsi="仿宋" w:eastAsia="仿宋" w:cs="仿宋"/>
                <w:color w:val="auto"/>
                <w:sz w:val="24"/>
                <w:highlight w:val="none"/>
                <w:lang w:eastAsia="zh-CN"/>
              </w:rPr>
              <w:t>幅度范围: 20µV～1</w:t>
            </w:r>
            <w:r>
              <w:rPr>
                <w:rFonts w:hint="eastAsia" w:ascii="仿宋" w:hAnsi="仿宋" w:eastAsia="仿宋" w:cs="仿宋"/>
                <w:color w:val="auto"/>
                <w:sz w:val="24"/>
                <w:highlight w:val="none"/>
                <w:lang w:val="en-US" w:eastAsia="zh-CN"/>
              </w:rPr>
              <w:t>000</w:t>
            </w:r>
            <w:r>
              <w:rPr>
                <w:rFonts w:hint="eastAsia" w:ascii="仿宋" w:hAnsi="仿宋" w:eastAsia="仿宋" w:cs="仿宋"/>
                <w:color w:val="auto"/>
                <w:sz w:val="24"/>
                <w:highlight w:val="none"/>
                <w:lang w:eastAsia="zh-CN"/>
              </w:rPr>
              <w:t>µV。</w:t>
            </w:r>
          </w:p>
        </w:tc>
      </w:tr>
      <w:tr w14:paraId="085F6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346400B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11.2</w:t>
            </w:r>
          </w:p>
        </w:tc>
        <w:tc>
          <w:tcPr>
            <w:tcW w:w="4348" w:type="pct"/>
            <w:tcBorders>
              <w:tl2br w:val="nil"/>
              <w:tr2bl w:val="nil"/>
            </w:tcBorders>
            <w:noWrap w:val="0"/>
            <w:vAlign w:val="center"/>
          </w:tcPr>
          <w:p w14:paraId="11C82A2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频率范围：</w:t>
            </w:r>
            <w:r>
              <w:rPr>
                <w:rFonts w:hint="eastAsia" w:ascii="仿宋" w:hAnsi="仿宋" w:eastAsia="仿宋" w:cs="仿宋"/>
                <w:color w:val="auto"/>
                <w:sz w:val="24"/>
                <w:highlight w:val="none"/>
                <w:lang w:val="en-US" w:eastAsia="zh-CN"/>
              </w:rPr>
              <w:t>通频带不窄于</w:t>
            </w:r>
            <w:r>
              <w:rPr>
                <w:rFonts w:hint="eastAsia" w:ascii="仿宋" w:hAnsi="仿宋" w:eastAsia="仿宋" w:cs="仿宋"/>
                <w:color w:val="auto"/>
                <w:sz w:val="24"/>
                <w:highlight w:val="none"/>
                <w:lang w:eastAsia="zh-CN"/>
              </w:rPr>
              <w:t>20Hz～</w:t>
            </w:r>
            <w:r>
              <w:rPr>
                <w:rFonts w:hint="eastAsia" w:ascii="仿宋" w:hAnsi="仿宋" w:eastAsia="仿宋" w:cs="仿宋"/>
                <w:color w:val="auto"/>
                <w:sz w:val="24"/>
                <w:highlight w:val="none"/>
                <w:lang w:val="en-US" w:eastAsia="zh-CN"/>
              </w:rPr>
              <w:t>500</w:t>
            </w:r>
            <w:r>
              <w:rPr>
                <w:rFonts w:hint="eastAsia" w:ascii="仿宋" w:hAnsi="仿宋" w:eastAsia="仿宋" w:cs="仿宋"/>
                <w:color w:val="auto"/>
                <w:sz w:val="24"/>
                <w:highlight w:val="none"/>
                <w:lang w:eastAsia="zh-CN"/>
              </w:rPr>
              <w:t>Hz</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dB</w:t>
            </w:r>
            <w:r>
              <w:rPr>
                <w:rFonts w:hint="eastAsia" w:ascii="仿宋" w:hAnsi="仿宋" w:eastAsia="仿宋" w:cs="仿宋"/>
                <w:color w:val="auto"/>
                <w:sz w:val="24"/>
                <w:highlight w:val="none"/>
                <w:lang w:val="en-US" w:eastAsia="zh-CN"/>
              </w:rPr>
              <w:t>),不包括限波波段。</w:t>
            </w:r>
          </w:p>
        </w:tc>
      </w:tr>
      <w:tr w14:paraId="0C71E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01D59C6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11.3</w:t>
            </w:r>
          </w:p>
        </w:tc>
        <w:tc>
          <w:tcPr>
            <w:tcW w:w="4348" w:type="pct"/>
            <w:tcBorders>
              <w:tl2br w:val="nil"/>
              <w:tr2bl w:val="nil"/>
            </w:tcBorders>
            <w:noWrap w:val="0"/>
            <w:vAlign w:val="center"/>
          </w:tcPr>
          <w:p w14:paraId="2C115826">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共模抑</w:t>
            </w:r>
            <w:r>
              <w:rPr>
                <w:rFonts w:hint="eastAsia" w:ascii="仿宋" w:hAnsi="仿宋" w:eastAsia="仿宋" w:cs="仿宋"/>
                <w:color w:val="auto"/>
                <w:sz w:val="24"/>
                <w:highlight w:val="none"/>
                <w:lang w:eastAsia="zh-CN"/>
              </w:rPr>
              <w:t>制</w:t>
            </w:r>
            <w:r>
              <w:rPr>
                <w:rFonts w:hint="eastAsia" w:ascii="仿宋" w:hAnsi="仿宋" w:eastAsia="仿宋" w:cs="仿宋"/>
                <w:color w:val="auto"/>
                <w:sz w:val="24"/>
                <w:highlight w:val="none"/>
              </w:rPr>
              <w:t>比（CMRR）：≥</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0dB</w:t>
            </w:r>
            <w:r>
              <w:rPr>
                <w:rFonts w:hint="eastAsia" w:ascii="仿宋" w:hAnsi="仿宋" w:eastAsia="仿宋" w:cs="仿宋"/>
                <w:color w:val="auto"/>
                <w:sz w:val="24"/>
                <w:highlight w:val="none"/>
                <w:lang w:eastAsia="zh-CN"/>
              </w:rPr>
              <w:t>。</w:t>
            </w:r>
          </w:p>
        </w:tc>
      </w:tr>
      <w:tr w14:paraId="07A1F6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0C5952A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11.4</w:t>
            </w:r>
          </w:p>
        </w:tc>
        <w:tc>
          <w:tcPr>
            <w:tcW w:w="4348" w:type="pct"/>
            <w:tcBorders>
              <w:tl2br w:val="nil"/>
              <w:tr2bl w:val="nil"/>
            </w:tcBorders>
            <w:noWrap w:val="0"/>
            <w:vAlign w:val="center"/>
          </w:tcPr>
          <w:p w14:paraId="5885B487">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差模</w:t>
            </w:r>
            <w:r>
              <w:rPr>
                <w:rFonts w:hint="eastAsia" w:ascii="仿宋" w:hAnsi="仿宋" w:eastAsia="仿宋" w:cs="仿宋"/>
                <w:color w:val="auto"/>
                <w:sz w:val="24"/>
                <w:highlight w:val="none"/>
              </w:rPr>
              <w:t>输入阻抗:  ≥</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MΩ</w:t>
            </w:r>
            <w:r>
              <w:rPr>
                <w:rFonts w:hint="eastAsia" w:ascii="仿宋" w:hAnsi="仿宋" w:eastAsia="仿宋" w:cs="仿宋"/>
                <w:color w:val="auto"/>
                <w:sz w:val="24"/>
                <w:highlight w:val="none"/>
                <w:lang w:eastAsia="zh-CN"/>
              </w:rPr>
              <w:t>。</w:t>
            </w:r>
          </w:p>
        </w:tc>
      </w:tr>
      <w:tr w14:paraId="27BCC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51" w:type="pct"/>
            <w:tcBorders>
              <w:tl2br w:val="nil"/>
              <w:tr2bl w:val="nil"/>
            </w:tcBorders>
            <w:noWrap w:val="0"/>
            <w:vAlign w:val="center"/>
          </w:tcPr>
          <w:p w14:paraId="03FDA68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w:t>
            </w:r>
          </w:p>
        </w:tc>
        <w:tc>
          <w:tcPr>
            <w:tcW w:w="4348" w:type="pct"/>
            <w:tcBorders>
              <w:tl2br w:val="nil"/>
              <w:tr2bl w:val="nil"/>
            </w:tcBorders>
            <w:noWrap w:val="0"/>
            <w:vAlign w:val="center"/>
          </w:tcPr>
          <w:p w14:paraId="7C6B9243">
            <w:pPr>
              <w:adjustRightInd/>
              <w:spacing w:line="360" w:lineRule="auto"/>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软件和功能显示</w:t>
            </w:r>
          </w:p>
        </w:tc>
      </w:tr>
      <w:tr w14:paraId="37514E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06B3664F">
            <w:pP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szCs w:val="24"/>
                <w:highlight w:val="none"/>
                <w:lang w:val="en-US" w:eastAsia="zh-CN"/>
              </w:rPr>
              <w:t>12.1</w:t>
            </w:r>
          </w:p>
        </w:tc>
        <w:tc>
          <w:tcPr>
            <w:tcW w:w="4348" w:type="pct"/>
            <w:tcBorders>
              <w:tl2br w:val="nil"/>
              <w:tr2bl w:val="nil"/>
            </w:tcBorders>
            <w:noWrap w:val="0"/>
            <w:vAlign w:val="center"/>
          </w:tcPr>
          <w:p w14:paraId="1E414DBA">
            <w:pPr>
              <w:spacing w:line="360" w:lineRule="auto"/>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检测项目：尿流率测定；充盈期膀胱功能测定；同步尿动力测定；尿道功能测定；压力/流率分析。</w:t>
            </w:r>
          </w:p>
        </w:tc>
      </w:tr>
      <w:tr w14:paraId="63E32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08D1730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12.2</w:t>
            </w:r>
          </w:p>
        </w:tc>
        <w:tc>
          <w:tcPr>
            <w:tcW w:w="4348" w:type="pct"/>
            <w:tcBorders>
              <w:tl2br w:val="nil"/>
              <w:tr2bl w:val="nil"/>
            </w:tcBorders>
            <w:noWrap w:val="0"/>
            <w:vAlign w:val="center"/>
          </w:tcPr>
          <w:p w14:paraId="0FD04A36">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展示曲线：腹压曲线；尿流率曲线；排尿量曲线；膀胱压力曲线；膀胱逼尿肌压力曲线；尿道压力曲线；尿道闭合压力曲线；肌电图。</w:t>
            </w:r>
          </w:p>
        </w:tc>
      </w:tr>
      <w:tr w14:paraId="3F9F1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1FDAB32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12.3</w:t>
            </w:r>
          </w:p>
        </w:tc>
        <w:tc>
          <w:tcPr>
            <w:tcW w:w="4348" w:type="pct"/>
            <w:tcBorders>
              <w:tl2br w:val="nil"/>
              <w:tr2bl w:val="nil"/>
            </w:tcBorders>
            <w:noWrap w:val="0"/>
            <w:vAlign w:val="center"/>
          </w:tcPr>
          <w:p w14:paraId="59D2C24C">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具有常用诊断语提示与编辑功能，在编写报告时可快速插入。</w:t>
            </w:r>
          </w:p>
        </w:tc>
      </w:tr>
      <w:tr w14:paraId="0E7FB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2A68285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12.4</w:t>
            </w:r>
          </w:p>
        </w:tc>
        <w:tc>
          <w:tcPr>
            <w:tcW w:w="4348" w:type="pct"/>
            <w:tcBorders>
              <w:tl2br w:val="nil"/>
              <w:tr2bl w:val="nil"/>
            </w:tcBorders>
            <w:noWrap w:val="0"/>
            <w:vAlign w:val="center"/>
          </w:tcPr>
          <w:p w14:paraId="5FC15E18">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具有膀胱压超限保护功能。</w:t>
            </w:r>
          </w:p>
        </w:tc>
      </w:tr>
      <w:tr w14:paraId="0B7E5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12C9D7C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12.5</w:t>
            </w:r>
          </w:p>
        </w:tc>
        <w:tc>
          <w:tcPr>
            <w:tcW w:w="4348" w:type="pct"/>
            <w:tcBorders>
              <w:tl2br w:val="nil"/>
              <w:tr2bl w:val="nil"/>
            </w:tcBorders>
            <w:noWrap w:val="0"/>
            <w:vAlign w:val="center"/>
          </w:tcPr>
          <w:p w14:paraId="634C159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同步测定中可绘制显示ICS列线图、A-G列线图、Shaefer列线图、Griffiths列线图，方便进行分析判断。</w:t>
            </w:r>
          </w:p>
        </w:tc>
      </w:tr>
      <w:tr w14:paraId="0CD8BE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52D7447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12.6</w:t>
            </w:r>
          </w:p>
        </w:tc>
        <w:tc>
          <w:tcPr>
            <w:tcW w:w="4348" w:type="pct"/>
            <w:tcBorders>
              <w:tl2br w:val="nil"/>
              <w:tr2bl w:val="nil"/>
            </w:tcBorders>
            <w:noWrap w:val="0"/>
            <w:vAlign w:val="center"/>
          </w:tcPr>
          <w:p w14:paraId="0C065E19">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可设置各检查曲线默认的显示范围，且在检查及分析中可随时调节。</w:t>
            </w:r>
          </w:p>
        </w:tc>
      </w:tr>
      <w:tr w14:paraId="3ED78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71CD147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12.7</w:t>
            </w:r>
          </w:p>
        </w:tc>
        <w:tc>
          <w:tcPr>
            <w:tcW w:w="4348" w:type="pct"/>
            <w:tcBorders>
              <w:tl2br w:val="nil"/>
              <w:tr2bl w:val="nil"/>
            </w:tcBorders>
            <w:noWrap w:val="0"/>
            <w:vAlign w:val="center"/>
          </w:tcPr>
          <w:p w14:paraId="3CC00569">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多文档多窗口式操作，具有窗口列表，可在正在进行检查时对其他的检查数据和报告进行分析处理。</w:t>
            </w:r>
          </w:p>
        </w:tc>
      </w:tr>
      <w:tr w14:paraId="0AED2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51" w:type="pct"/>
            <w:tcBorders>
              <w:tl2br w:val="nil"/>
              <w:tr2bl w:val="nil"/>
            </w:tcBorders>
            <w:noWrap w:val="0"/>
            <w:vAlign w:val="center"/>
          </w:tcPr>
          <w:p w14:paraId="437D824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12.8</w:t>
            </w:r>
          </w:p>
        </w:tc>
        <w:tc>
          <w:tcPr>
            <w:tcW w:w="4348" w:type="pct"/>
            <w:tcBorders>
              <w:tl2br w:val="nil"/>
              <w:tr2bl w:val="nil"/>
            </w:tcBorders>
            <w:noWrap w:val="0"/>
            <w:vAlign w:val="center"/>
          </w:tcPr>
          <w:p w14:paraId="726387FB">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检查数据信息可导出为符合ICS尿动力学研究数据数字交换标准的文件，满足标准的文件也可导入本软件，方便交流研究。</w:t>
            </w:r>
          </w:p>
        </w:tc>
      </w:tr>
      <w:tr w14:paraId="49A746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651" w:type="pct"/>
            <w:tcBorders>
              <w:tl2br w:val="nil"/>
              <w:tr2bl w:val="nil"/>
            </w:tcBorders>
            <w:noWrap w:val="0"/>
            <w:vAlign w:val="center"/>
          </w:tcPr>
          <w:p w14:paraId="7D23893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12.9</w:t>
            </w:r>
          </w:p>
        </w:tc>
        <w:tc>
          <w:tcPr>
            <w:tcW w:w="4348" w:type="pct"/>
            <w:tcBorders>
              <w:tl2br w:val="nil"/>
              <w:tr2bl w:val="nil"/>
            </w:tcBorders>
            <w:noWrap w:val="0"/>
            <w:vAlign w:val="center"/>
          </w:tcPr>
          <w:p w14:paraId="6A66324F">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具有高级查询功能，可根据单一或不同条件组合查询筛选满足条件的检查数据，显示在新窗口中，并可同时查询多批数据，方便研究使用。</w:t>
            </w:r>
          </w:p>
        </w:tc>
      </w:tr>
      <w:tr w14:paraId="61779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tcBorders>
              <w:tl2br w:val="nil"/>
              <w:tr2bl w:val="nil"/>
            </w:tcBorders>
            <w:noWrap w:val="0"/>
            <w:vAlign w:val="center"/>
          </w:tcPr>
          <w:p w14:paraId="2F74BD7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12.10</w:t>
            </w:r>
          </w:p>
        </w:tc>
        <w:tc>
          <w:tcPr>
            <w:tcW w:w="4348" w:type="pct"/>
            <w:tcBorders>
              <w:tl2br w:val="nil"/>
              <w:tr2bl w:val="nil"/>
            </w:tcBorders>
            <w:noWrap w:val="0"/>
            <w:vAlign w:val="center"/>
          </w:tcPr>
          <w:p w14:paraId="1EEE1D4C">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独立的灌注电机、牵引电机、推注电机状态窗口，可快速查看电机状态并控制各电机功能，并具有一键急停所有电机的功能。</w:t>
            </w:r>
          </w:p>
        </w:tc>
      </w:tr>
      <w:tr w14:paraId="74CA8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51" w:type="pct"/>
            <w:noWrap w:val="0"/>
            <w:vAlign w:val="center"/>
          </w:tcPr>
          <w:p w14:paraId="612AEA1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12.11</w:t>
            </w:r>
          </w:p>
        </w:tc>
        <w:tc>
          <w:tcPr>
            <w:tcW w:w="4348" w:type="pct"/>
            <w:noWrap w:val="0"/>
            <w:vAlign w:val="center"/>
          </w:tcPr>
          <w:p w14:paraId="4916B486">
            <w:pPr>
              <w:widowControl/>
              <w:numPr>
                <w:ilvl w:val="-1"/>
                <w:numId w:val="0"/>
              </w:numPr>
              <w:adjustRightInd/>
              <w:spacing w:beforeLines="-2147483648" w:afterLines="-2147483648" w:line="360" w:lineRule="auto"/>
              <w:ind w:left="0" w:leftChars="0" w:firstLine="0" w:firstLineChars="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对每条病历记录项，有病史信息记录功能，对每条检查记录项，有检查备注信息记录功能。</w:t>
            </w:r>
          </w:p>
        </w:tc>
      </w:tr>
      <w:tr w14:paraId="43DC9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51" w:type="pct"/>
            <w:noWrap w:val="0"/>
            <w:vAlign w:val="center"/>
          </w:tcPr>
          <w:p w14:paraId="794C80F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13</w:t>
            </w:r>
          </w:p>
        </w:tc>
        <w:tc>
          <w:tcPr>
            <w:tcW w:w="4348" w:type="pct"/>
            <w:noWrap w:val="0"/>
            <w:vAlign w:val="center"/>
          </w:tcPr>
          <w:p w14:paraId="44C95A3F">
            <w:pPr>
              <w:adjustRightInd/>
              <w:spacing w:beforeLines="-2147483648" w:afterLines="-2147483648" w:line="360" w:lineRule="auto"/>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尿道测压导管、直肠测压导管与主</w:t>
            </w:r>
            <w:r>
              <w:rPr>
                <w:rFonts w:hint="eastAsia" w:ascii="仿宋" w:hAnsi="仿宋" w:eastAsia="仿宋" w:cs="仿宋"/>
                <w:color w:val="auto"/>
                <w:sz w:val="24"/>
                <w:highlight w:val="none"/>
                <w:lang w:val="en-US" w:eastAsia="zh-CN"/>
              </w:rPr>
              <w:t>机同一品牌(成人型、儿童型)，</w:t>
            </w:r>
            <w:r>
              <w:rPr>
                <w:rFonts w:hint="eastAsia" w:ascii="仿宋" w:hAnsi="仿宋" w:eastAsia="仿宋" w:cs="仿宋"/>
                <w:color w:val="auto"/>
                <w:sz w:val="24"/>
                <w:highlight w:val="none"/>
                <w:lang w:eastAsia="zh-CN"/>
              </w:rPr>
              <w:t>提供单独的注册证。</w:t>
            </w:r>
          </w:p>
        </w:tc>
      </w:tr>
      <w:tr w14:paraId="5A90BA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3887794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348" w:type="pct"/>
            <w:noWrap w:val="0"/>
            <w:vAlign w:val="center"/>
          </w:tcPr>
          <w:p w14:paraId="4FAED6FC">
            <w:pPr>
              <w:adjustRightInd/>
              <w:spacing w:beforeLines="-2147483648" w:afterLines="-2147483648" w:line="360" w:lineRule="auto"/>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在检查病人时，可同时出病历报告。</w:t>
            </w:r>
          </w:p>
        </w:tc>
      </w:tr>
      <w:tr w14:paraId="32D1E3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7F97313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348" w:type="pct"/>
            <w:noWrap w:val="0"/>
            <w:vAlign w:val="center"/>
          </w:tcPr>
          <w:p w14:paraId="1E5F5091">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无线蓝牙控制。</w:t>
            </w:r>
          </w:p>
        </w:tc>
      </w:tr>
      <w:tr w14:paraId="571FB2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1EAAA85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348" w:type="pct"/>
            <w:noWrap w:val="0"/>
            <w:vAlign w:val="center"/>
          </w:tcPr>
          <w:p w14:paraId="71979114">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配置及要求</w:t>
            </w:r>
          </w:p>
        </w:tc>
      </w:tr>
      <w:tr w14:paraId="48D0F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258E54AB">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w:t>
            </w:r>
          </w:p>
        </w:tc>
        <w:tc>
          <w:tcPr>
            <w:tcW w:w="4348" w:type="pct"/>
            <w:noWrap w:val="0"/>
            <w:vAlign w:val="center"/>
          </w:tcPr>
          <w:p w14:paraId="5878FF25">
            <w:pPr>
              <w:adjustRightInd/>
              <w:spacing w:beforeLines="-2147483648" w:afterLines="-2147483648" w:line="360" w:lineRule="auto"/>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尿动力检测系统</w:t>
            </w:r>
          </w:p>
        </w:tc>
      </w:tr>
      <w:tr w14:paraId="0CE72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11B0EA6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16.1.1</w:t>
            </w:r>
          </w:p>
        </w:tc>
        <w:tc>
          <w:tcPr>
            <w:tcW w:w="4348" w:type="pct"/>
            <w:noWrap w:val="0"/>
            <w:vAlign w:val="center"/>
          </w:tcPr>
          <w:p w14:paraId="1D363212">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主机 1套</w:t>
            </w:r>
          </w:p>
        </w:tc>
      </w:tr>
      <w:tr w14:paraId="1E573C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5F3C358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16.1.2</w:t>
            </w:r>
          </w:p>
        </w:tc>
        <w:tc>
          <w:tcPr>
            <w:tcW w:w="4348" w:type="pct"/>
            <w:noWrap w:val="0"/>
            <w:vAlign w:val="center"/>
          </w:tcPr>
          <w:p w14:paraId="00767BC5">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液晶显示器 1套</w:t>
            </w:r>
          </w:p>
        </w:tc>
      </w:tr>
      <w:tr w14:paraId="5185D9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189C6D5E">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16.1.3</w:t>
            </w:r>
          </w:p>
        </w:tc>
        <w:tc>
          <w:tcPr>
            <w:tcW w:w="4348" w:type="pct"/>
            <w:noWrap w:val="0"/>
            <w:vAlign w:val="center"/>
          </w:tcPr>
          <w:p w14:paraId="4145C56E">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尿流率测定单元 1套</w:t>
            </w:r>
          </w:p>
        </w:tc>
      </w:tr>
      <w:tr w14:paraId="2A5D8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2425AC9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16.2</w:t>
            </w:r>
          </w:p>
        </w:tc>
        <w:tc>
          <w:tcPr>
            <w:tcW w:w="4348" w:type="pct"/>
            <w:noWrap w:val="0"/>
            <w:vAlign w:val="center"/>
          </w:tcPr>
          <w:p w14:paraId="6F55E54C">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其他</w:t>
            </w:r>
          </w:p>
        </w:tc>
      </w:tr>
      <w:tr w14:paraId="491B9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651" w:type="pct"/>
            <w:noWrap w:val="0"/>
            <w:vAlign w:val="center"/>
          </w:tcPr>
          <w:p w14:paraId="0BA40797">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16.2.1</w:t>
            </w:r>
          </w:p>
        </w:tc>
        <w:tc>
          <w:tcPr>
            <w:tcW w:w="4348" w:type="pct"/>
            <w:noWrap w:val="0"/>
            <w:vAlign w:val="center"/>
          </w:tcPr>
          <w:p w14:paraId="00D03275">
            <w:pPr>
              <w:adjustRightInd/>
              <w:spacing w:beforeLines="-2147483648" w:afterLines="-2147483648" w:line="360" w:lineRule="auto"/>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打印机 1台</w:t>
            </w:r>
          </w:p>
        </w:tc>
      </w:tr>
    </w:tbl>
    <w:p w14:paraId="293E12EC">
      <w:pPr>
        <w:pStyle w:val="3"/>
        <w:numPr>
          <w:ilvl w:val="0"/>
          <w:numId w:val="0"/>
        </w:numPr>
        <w:ind w:leftChars="0"/>
        <w:rPr>
          <w:rFonts w:hint="eastAsia" w:ascii="仿宋" w:hAnsi="仿宋" w:eastAsia="仿宋" w:cs="仿宋"/>
          <w:b/>
          <w:bCs/>
          <w:color w:val="auto"/>
          <w:highlight w:val="none"/>
          <w:lang w:val="en-US" w:eastAsia="zh-CN"/>
        </w:rPr>
      </w:pPr>
    </w:p>
    <w:p w14:paraId="36300734">
      <w:pPr>
        <w:pStyle w:val="3"/>
        <w:numPr>
          <w:ilvl w:val="0"/>
          <w:numId w:val="0"/>
        </w:numPr>
        <w:shd w:val="clear"/>
        <w:spacing w:line="360" w:lineRule="auto"/>
        <w:ind w:left="854" w:firstLine="2570" w:firstLineChars="800"/>
        <w:jc w:val="both"/>
        <w:rPr>
          <w:rFonts w:hint="eastAsia" w:ascii="仿宋" w:hAnsi="仿宋" w:eastAsia="仿宋" w:cs="仿宋"/>
          <w:b/>
          <w:bCs/>
          <w:color w:val="auto"/>
          <w:sz w:val="32"/>
          <w:szCs w:val="32"/>
          <w:highlight w:val="none"/>
          <w:lang w:val="en-US"/>
        </w:rPr>
      </w:pPr>
      <w:r>
        <w:rPr>
          <w:rFonts w:hint="eastAsia" w:asci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三</w:t>
      </w:r>
      <w:r>
        <w:rPr>
          <w:rFonts w:hint="eastAsia" w:asci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lang w:val="en-US"/>
        </w:rPr>
        <w:t>商务要求</w:t>
      </w:r>
    </w:p>
    <w:p w14:paraId="6DF3177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13677EC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p>
    <w:p w14:paraId="6A5E59B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2CD259B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2C921CC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3FBDB09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466B532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2627199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0EA58A7F">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1823E5B4">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2D4C3B0B">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443D3C7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47E4FD0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141A590A">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6A092ADF">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1B54B94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6B20763B">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38CC3468">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4.2</w:t>
      </w:r>
      <w:r>
        <w:rPr>
          <w:rFonts w:hint="eastAsia" w:ascii="仿宋" w:hAnsi="仿宋" w:eastAsia="仿宋" w:cs="仿宋"/>
          <w:bCs/>
          <w:color w:val="auto"/>
          <w:sz w:val="24"/>
          <w:highlight w:val="none"/>
        </w:rPr>
        <w:t>代理证明（或制造商出具的授权书）。（适用于进口设备）</w:t>
      </w:r>
    </w:p>
    <w:p w14:paraId="63C1F815">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7FE470F5">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0465842B">
      <w:pPr>
        <w:pStyle w:val="31"/>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018E586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466F972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6E0D792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66738DE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40471AD3">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5614AE76">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6D821FBC">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4497706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25037385">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7278759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0B23A66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4A28716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5032F5E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7047473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74FFE04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0CDFE8D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517728C7">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389BC4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290AED8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68853EE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发货通知后60天内交货完毕</w:t>
      </w:r>
      <w:r>
        <w:rPr>
          <w:rFonts w:hint="eastAsia" w:ascii="仿宋" w:hAnsi="仿宋" w:eastAsia="仿宋" w:cs="仿宋"/>
          <w:bCs/>
          <w:color w:val="auto"/>
          <w:sz w:val="24"/>
          <w:highlight w:val="none"/>
          <w:lang w:eastAsia="zh-CN"/>
        </w:rPr>
        <w:t>。</w:t>
      </w:r>
    </w:p>
    <w:p w14:paraId="43DAE73E">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2BD95FE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7503907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3A28FC10">
      <w:pPr>
        <w:pStyle w:val="22"/>
        <w:ind w:firstLine="480" w:firstLineChars="200"/>
        <w:rPr>
          <w:rFonts w:hint="eastAsia"/>
        </w:rPr>
      </w:pPr>
      <w:r>
        <w:rPr>
          <w:rFonts w:hint="eastAsia" w:ascii="仿宋" w:hAnsi="仿宋" w:eastAsia="仿宋" w:cs="仿宋"/>
          <w:bCs/>
          <w:color w:val="auto"/>
          <w:sz w:val="24"/>
          <w:highlight w:val="none"/>
          <w:lang w:val="en-US" w:eastAsia="zh-CN"/>
        </w:rPr>
        <w:t>10.2投标人承担联网接口费用（含软、硬件）。</w:t>
      </w:r>
    </w:p>
    <w:p w14:paraId="00C41E5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55FF59BF">
      <w:pPr>
        <w:numPr>
          <w:ilvl w:val="0"/>
          <w:numId w:val="10"/>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6A87A631">
      <w:pPr>
        <w:numPr>
          <w:ilvl w:val="0"/>
          <w:numId w:val="10"/>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1185758">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6CD36EB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23CA9C49">
      <w:pPr>
        <w:pStyle w:val="60"/>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2C9002EF">
      <w:pPr>
        <w:snapToGrid w:val="0"/>
        <w:spacing w:line="360" w:lineRule="auto"/>
        <w:rPr>
          <w:rFonts w:hint="eastAsia" w:ascii="仿宋" w:hAnsi="仿宋" w:eastAsia="仿宋" w:cs="仿宋"/>
          <w:b/>
          <w:sz w:val="32"/>
          <w:highlight w:val="none"/>
        </w:rPr>
      </w:pPr>
      <w:r>
        <w:rPr>
          <w:rFonts w:hint="eastAsia" w:ascii="仿宋" w:hAnsi="仿宋" w:eastAsia="仿宋" w:cs="仿宋"/>
          <w:highlight w:val="none"/>
        </w:rPr>
        <w:br w:type="page"/>
      </w:r>
    </w:p>
    <w:p w14:paraId="5A71C52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13264"/>
      <w:bookmarkEnd w:id="41"/>
      <w:bookmarkStart w:id="42" w:name="_Toc184313245"/>
      <w:bookmarkEnd w:id="42"/>
      <w:bookmarkStart w:id="43" w:name="_Toc184310302"/>
      <w:bookmarkEnd w:id="43"/>
      <w:bookmarkStart w:id="44" w:name="_Toc184310283"/>
      <w:bookmarkEnd w:id="44"/>
      <w:bookmarkStart w:id="45" w:name="_Toc184310299"/>
      <w:bookmarkEnd w:id="45"/>
      <w:bookmarkStart w:id="46" w:name="_Toc184312128"/>
      <w:bookmarkEnd w:id="46"/>
      <w:bookmarkStart w:id="47" w:name="_Toc184310304"/>
      <w:bookmarkEnd w:id="47"/>
      <w:bookmarkStart w:id="48" w:name="_Toc184312074"/>
      <w:bookmarkEnd w:id="48"/>
      <w:bookmarkStart w:id="49" w:name="_Toc184310339"/>
      <w:bookmarkEnd w:id="49"/>
      <w:bookmarkStart w:id="50" w:name="_Toc184310336"/>
      <w:bookmarkEnd w:id="50"/>
      <w:bookmarkStart w:id="51" w:name="_Toc184310278"/>
      <w:bookmarkEnd w:id="51"/>
      <w:bookmarkStart w:id="52" w:name="_Toc184314466"/>
      <w:bookmarkEnd w:id="52"/>
      <w:bookmarkStart w:id="53" w:name="_Toc184314426"/>
      <w:bookmarkEnd w:id="53"/>
      <w:bookmarkStart w:id="54" w:name="_Toc184308103"/>
      <w:bookmarkEnd w:id="54"/>
      <w:bookmarkStart w:id="55" w:name="_Toc184310316"/>
      <w:bookmarkEnd w:id="55"/>
      <w:bookmarkStart w:id="56" w:name="_Toc184312129"/>
      <w:bookmarkEnd w:id="56"/>
      <w:bookmarkStart w:id="57" w:name="_Toc184308064"/>
      <w:bookmarkEnd w:id="57"/>
      <w:bookmarkStart w:id="58" w:name="_Toc184308051"/>
      <w:bookmarkEnd w:id="58"/>
      <w:bookmarkStart w:id="59" w:name="_Toc184310300"/>
      <w:bookmarkEnd w:id="59"/>
      <w:bookmarkStart w:id="60" w:name="_Toc184312082"/>
      <w:bookmarkEnd w:id="60"/>
      <w:bookmarkStart w:id="61" w:name="_Toc184312093"/>
      <w:bookmarkEnd w:id="61"/>
      <w:bookmarkStart w:id="62" w:name="_Toc184310324"/>
      <w:bookmarkEnd w:id="62"/>
      <w:bookmarkStart w:id="63" w:name="_Toc184312107"/>
      <w:bookmarkEnd w:id="63"/>
      <w:bookmarkStart w:id="64" w:name="_Toc184313303"/>
      <w:bookmarkEnd w:id="64"/>
      <w:bookmarkStart w:id="65" w:name="_Toc184312135"/>
      <w:bookmarkEnd w:id="65"/>
      <w:bookmarkStart w:id="66" w:name="_Toc184308107"/>
      <w:bookmarkEnd w:id="66"/>
      <w:bookmarkStart w:id="67" w:name="_Toc184313269"/>
      <w:bookmarkEnd w:id="67"/>
      <w:bookmarkStart w:id="68" w:name="_Toc184312086"/>
      <w:bookmarkEnd w:id="68"/>
      <w:bookmarkStart w:id="69" w:name="_Toc184313297"/>
      <w:bookmarkEnd w:id="69"/>
      <w:bookmarkStart w:id="70" w:name="_Toc184310330"/>
      <w:bookmarkEnd w:id="70"/>
      <w:bookmarkStart w:id="71" w:name="_Toc184308040"/>
      <w:bookmarkEnd w:id="71"/>
      <w:bookmarkStart w:id="72" w:name="_Toc184313248"/>
      <w:bookmarkEnd w:id="72"/>
      <w:bookmarkStart w:id="73" w:name="_Toc184308085"/>
      <w:bookmarkEnd w:id="73"/>
      <w:bookmarkStart w:id="74" w:name="_Toc184312115"/>
      <w:bookmarkEnd w:id="74"/>
      <w:bookmarkStart w:id="75" w:name="_Toc184313289"/>
      <w:bookmarkEnd w:id="75"/>
      <w:bookmarkStart w:id="76" w:name="_Toc184314429"/>
      <w:bookmarkEnd w:id="76"/>
      <w:bookmarkStart w:id="77" w:name="_Toc184314473"/>
      <w:bookmarkEnd w:id="77"/>
      <w:bookmarkStart w:id="78" w:name="_Toc184310307"/>
      <w:bookmarkEnd w:id="78"/>
      <w:bookmarkStart w:id="79" w:name="_Toc184308046"/>
      <w:bookmarkEnd w:id="79"/>
      <w:bookmarkStart w:id="80" w:name="_Toc184312099"/>
      <w:bookmarkEnd w:id="80"/>
      <w:bookmarkStart w:id="81" w:name="_Toc184314423"/>
      <w:bookmarkEnd w:id="81"/>
      <w:bookmarkStart w:id="82" w:name="_Toc184308108"/>
      <w:bookmarkEnd w:id="82"/>
      <w:bookmarkStart w:id="83" w:name="_Toc184314463"/>
      <w:bookmarkEnd w:id="83"/>
      <w:bookmarkStart w:id="84" w:name="_Toc184310289"/>
      <w:bookmarkEnd w:id="84"/>
      <w:bookmarkStart w:id="85" w:name="_Toc184308038"/>
      <w:bookmarkEnd w:id="85"/>
      <w:bookmarkStart w:id="86" w:name="_Toc184308044"/>
      <w:bookmarkEnd w:id="86"/>
      <w:bookmarkStart w:id="87" w:name="_Toc184313291"/>
      <w:bookmarkEnd w:id="87"/>
      <w:bookmarkStart w:id="88" w:name="_Toc184314479"/>
      <w:bookmarkEnd w:id="88"/>
      <w:bookmarkStart w:id="89" w:name="_Toc184312096"/>
      <w:bookmarkEnd w:id="89"/>
      <w:bookmarkStart w:id="90" w:name="_Toc184313286"/>
      <w:bookmarkEnd w:id="90"/>
      <w:bookmarkStart w:id="91" w:name="_Toc184314414"/>
      <w:bookmarkEnd w:id="91"/>
      <w:bookmarkStart w:id="92" w:name="_Toc184312108"/>
      <w:bookmarkEnd w:id="92"/>
      <w:bookmarkStart w:id="93" w:name="_Toc184314438"/>
      <w:bookmarkEnd w:id="93"/>
      <w:bookmarkStart w:id="94" w:name="_Toc184310303"/>
      <w:bookmarkEnd w:id="94"/>
      <w:bookmarkStart w:id="95" w:name="_Toc184314476"/>
      <w:bookmarkEnd w:id="95"/>
      <w:bookmarkStart w:id="96" w:name="_Toc184308078"/>
      <w:bookmarkEnd w:id="96"/>
      <w:bookmarkStart w:id="97" w:name="_Toc184310318"/>
      <w:bookmarkEnd w:id="97"/>
      <w:bookmarkStart w:id="98" w:name="_Toc184308068"/>
      <w:bookmarkEnd w:id="98"/>
      <w:bookmarkStart w:id="99" w:name="_Toc184312098"/>
      <w:bookmarkEnd w:id="99"/>
      <w:bookmarkStart w:id="100" w:name="_Toc184312084"/>
      <w:bookmarkEnd w:id="100"/>
      <w:bookmarkStart w:id="101" w:name="_Toc184314441"/>
      <w:bookmarkEnd w:id="101"/>
      <w:bookmarkStart w:id="102" w:name="_Toc184310317"/>
      <w:bookmarkEnd w:id="102"/>
      <w:bookmarkStart w:id="103" w:name="_Toc184314437"/>
      <w:bookmarkEnd w:id="103"/>
      <w:bookmarkStart w:id="104" w:name="_Toc184312076"/>
      <w:bookmarkEnd w:id="104"/>
      <w:bookmarkStart w:id="105" w:name="_Toc184310343"/>
      <w:bookmarkEnd w:id="105"/>
      <w:bookmarkStart w:id="106" w:name="_Toc184310286"/>
      <w:bookmarkEnd w:id="106"/>
      <w:bookmarkStart w:id="107" w:name="_Toc184310340"/>
      <w:bookmarkEnd w:id="107"/>
      <w:bookmarkStart w:id="108" w:name="_Toc184312122"/>
      <w:bookmarkEnd w:id="108"/>
      <w:bookmarkStart w:id="109" w:name="_Toc184312125"/>
      <w:bookmarkEnd w:id="109"/>
      <w:bookmarkStart w:id="110" w:name="_Toc184314459"/>
      <w:bookmarkEnd w:id="110"/>
      <w:bookmarkStart w:id="111" w:name="_Toc184308066"/>
      <w:bookmarkEnd w:id="111"/>
      <w:bookmarkStart w:id="112" w:name="_Toc184308071"/>
      <w:bookmarkEnd w:id="112"/>
      <w:bookmarkStart w:id="113" w:name="_Toc184310334"/>
      <w:bookmarkEnd w:id="113"/>
      <w:bookmarkStart w:id="114" w:name="_Toc184310321"/>
      <w:bookmarkEnd w:id="114"/>
      <w:bookmarkStart w:id="115" w:name="_Toc184310272"/>
      <w:bookmarkEnd w:id="115"/>
      <w:bookmarkStart w:id="116" w:name="_Toc184308060"/>
      <w:bookmarkEnd w:id="116"/>
      <w:bookmarkStart w:id="117" w:name="_Toc184314428"/>
      <w:bookmarkEnd w:id="117"/>
      <w:bookmarkStart w:id="118" w:name="_Toc184312130"/>
      <w:bookmarkEnd w:id="118"/>
      <w:bookmarkStart w:id="119" w:name="_Toc184314458"/>
      <w:bookmarkEnd w:id="119"/>
      <w:bookmarkStart w:id="120" w:name="_Toc184313300"/>
      <w:bookmarkEnd w:id="120"/>
      <w:bookmarkStart w:id="121" w:name="_Toc184314422"/>
      <w:bookmarkEnd w:id="121"/>
      <w:bookmarkStart w:id="122" w:name="_Toc184312118"/>
      <w:bookmarkEnd w:id="122"/>
      <w:bookmarkStart w:id="123" w:name="_Toc184313306"/>
      <w:bookmarkEnd w:id="123"/>
      <w:bookmarkStart w:id="124" w:name="_Toc184312091"/>
      <w:bookmarkEnd w:id="124"/>
      <w:bookmarkStart w:id="125" w:name="_Toc184313302"/>
      <w:bookmarkEnd w:id="125"/>
      <w:bookmarkStart w:id="126" w:name="_Toc184312092"/>
      <w:bookmarkEnd w:id="126"/>
      <w:bookmarkStart w:id="127" w:name="_Toc184308041"/>
      <w:bookmarkEnd w:id="127"/>
      <w:bookmarkStart w:id="128" w:name="_Toc184314482"/>
      <w:bookmarkEnd w:id="128"/>
      <w:bookmarkStart w:id="129" w:name="_Toc184313276"/>
      <w:bookmarkEnd w:id="129"/>
      <w:bookmarkStart w:id="130" w:name="_Toc184310281"/>
      <w:bookmarkEnd w:id="130"/>
      <w:bookmarkStart w:id="131" w:name="_Toc184310296"/>
      <w:bookmarkEnd w:id="131"/>
      <w:bookmarkStart w:id="132" w:name="_Toc184313274"/>
      <w:bookmarkEnd w:id="132"/>
      <w:bookmarkStart w:id="133" w:name="_Toc184310333"/>
      <w:bookmarkEnd w:id="133"/>
      <w:bookmarkStart w:id="134" w:name="_Toc184308091"/>
      <w:bookmarkEnd w:id="134"/>
      <w:bookmarkStart w:id="135" w:name="_Toc184310308"/>
      <w:bookmarkEnd w:id="135"/>
      <w:bookmarkStart w:id="136" w:name="_Toc184312132"/>
      <w:bookmarkEnd w:id="136"/>
      <w:bookmarkStart w:id="137" w:name="_Toc184314442"/>
      <w:bookmarkEnd w:id="137"/>
      <w:bookmarkStart w:id="138" w:name="_Toc184312095"/>
      <w:bookmarkEnd w:id="138"/>
      <w:bookmarkStart w:id="139" w:name="_Toc184313255"/>
      <w:bookmarkEnd w:id="139"/>
      <w:bookmarkStart w:id="140" w:name="_Toc184314477"/>
      <w:bookmarkEnd w:id="140"/>
      <w:bookmarkStart w:id="141" w:name="_Toc184313277"/>
      <w:bookmarkEnd w:id="141"/>
      <w:bookmarkStart w:id="142" w:name="_Toc184314469"/>
      <w:bookmarkEnd w:id="142"/>
      <w:bookmarkStart w:id="143" w:name="_Toc184313246"/>
      <w:bookmarkEnd w:id="143"/>
      <w:bookmarkStart w:id="144" w:name="_Toc184314480"/>
      <w:bookmarkEnd w:id="144"/>
      <w:bookmarkStart w:id="145" w:name="_Toc184308076"/>
      <w:bookmarkEnd w:id="145"/>
      <w:bookmarkStart w:id="146" w:name="_Toc184313280"/>
      <w:bookmarkEnd w:id="146"/>
      <w:bookmarkStart w:id="147" w:name="_Toc184314421"/>
      <w:bookmarkEnd w:id="147"/>
      <w:bookmarkStart w:id="148" w:name="_Toc184308096"/>
      <w:bookmarkEnd w:id="148"/>
      <w:bookmarkStart w:id="149" w:name="_Toc184314467"/>
      <w:bookmarkEnd w:id="149"/>
      <w:bookmarkStart w:id="150" w:name="_Toc184313299"/>
      <w:bookmarkEnd w:id="150"/>
      <w:bookmarkStart w:id="151" w:name="_Toc184310279"/>
      <w:bookmarkEnd w:id="151"/>
      <w:bookmarkStart w:id="152" w:name="_Toc184312126"/>
      <w:bookmarkEnd w:id="152"/>
      <w:bookmarkStart w:id="153" w:name="_Toc184312112"/>
      <w:bookmarkEnd w:id="153"/>
      <w:bookmarkStart w:id="154" w:name="_Toc184314446"/>
      <w:bookmarkEnd w:id="154"/>
      <w:bookmarkStart w:id="155" w:name="_Toc184312134"/>
      <w:bookmarkEnd w:id="155"/>
      <w:bookmarkStart w:id="156" w:name="_Toc184308073"/>
      <w:bookmarkEnd w:id="156"/>
      <w:bookmarkStart w:id="157" w:name="_Toc184312124"/>
      <w:bookmarkEnd w:id="157"/>
      <w:bookmarkStart w:id="158" w:name="_Toc184314427"/>
      <w:bookmarkEnd w:id="158"/>
      <w:bookmarkStart w:id="159" w:name="_Toc184312110"/>
      <w:bookmarkEnd w:id="159"/>
      <w:bookmarkStart w:id="160" w:name="_Toc184310274"/>
      <w:bookmarkEnd w:id="160"/>
      <w:bookmarkStart w:id="161" w:name="_Toc184310292"/>
      <w:bookmarkEnd w:id="161"/>
      <w:bookmarkStart w:id="162" w:name="_Toc184313292"/>
      <w:bookmarkEnd w:id="162"/>
      <w:bookmarkStart w:id="163" w:name="_Toc184308055"/>
      <w:bookmarkEnd w:id="163"/>
      <w:bookmarkStart w:id="164" w:name="_Toc184308082"/>
      <w:bookmarkEnd w:id="164"/>
      <w:bookmarkStart w:id="165" w:name="_Toc184312078"/>
      <w:bookmarkEnd w:id="165"/>
      <w:bookmarkStart w:id="166" w:name="_Toc184312116"/>
      <w:bookmarkEnd w:id="166"/>
      <w:bookmarkStart w:id="167" w:name="_Toc184310341"/>
      <w:bookmarkEnd w:id="167"/>
      <w:bookmarkStart w:id="168" w:name="_Toc184313298"/>
      <w:bookmarkEnd w:id="168"/>
      <w:bookmarkStart w:id="169" w:name="_Toc184314432"/>
      <w:bookmarkEnd w:id="169"/>
      <w:bookmarkStart w:id="170" w:name="_Toc184312089"/>
      <w:bookmarkEnd w:id="170"/>
      <w:bookmarkStart w:id="171" w:name="_Toc184310320"/>
      <w:bookmarkEnd w:id="171"/>
      <w:bookmarkStart w:id="172" w:name="_Toc184312071"/>
      <w:bookmarkEnd w:id="172"/>
      <w:bookmarkStart w:id="173" w:name="_Toc184308099"/>
      <w:bookmarkEnd w:id="173"/>
      <w:bookmarkStart w:id="174" w:name="_Toc184310328"/>
      <w:bookmarkEnd w:id="174"/>
      <w:bookmarkStart w:id="175" w:name="_Toc184313249"/>
      <w:bookmarkEnd w:id="175"/>
      <w:bookmarkStart w:id="176" w:name="_Toc184314455"/>
      <w:bookmarkEnd w:id="176"/>
      <w:bookmarkStart w:id="177" w:name="_Toc184312094"/>
      <w:bookmarkEnd w:id="177"/>
      <w:bookmarkStart w:id="178" w:name="_Toc184313261"/>
      <w:bookmarkEnd w:id="178"/>
      <w:bookmarkStart w:id="179" w:name="_Toc184313265"/>
      <w:bookmarkEnd w:id="179"/>
      <w:bookmarkStart w:id="180" w:name="_Toc184308077"/>
      <w:bookmarkEnd w:id="180"/>
      <w:bookmarkStart w:id="181" w:name="_Toc184308039"/>
      <w:bookmarkEnd w:id="181"/>
      <w:bookmarkStart w:id="182" w:name="_Toc184308047"/>
      <w:bookmarkEnd w:id="182"/>
      <w:bookmarkStart w:id="183" w:name="_Toc184313253"/>
      <w:bookmarkEnd w:id="183"/>
      <w:bookmarkStart w:id="184" w:name="_Toc184308093"/>
      <w:bookmarkEnd w:id="184"/>
      <w:bookmarkStart w:id="185" w:name="_Toc184308063"/>
      <w:bookmarkEnd w:id="185"/>
      <w:bookmarkStart w:id="186" w:name="_Toc184310295"/>
      <w:bookmarkEnd w:id="186"/>
      <w:bookmarkStart w:id="187" w:name="_Toc184313283"/>
      <w:bookmarkEnd w:id="187"/>
      <w:bookmarkStart w:id="188" w:name="_Toc184313263"/>
      <w:bookmarkEnd w:id="188"/>
      <w:bookmarkStart w:id="189" w:name="_Toc184313281"/>
      <w:bookmarkEnd w:id="189"/>
      <w:bookmarkStart w:id="190" w:name="_Toc184314415"/>
      <w:bookmarkEnd w:id="190"/>
      <w:bookmarkStart w:id="191" w:name="_Toc184308094"/>
      <w:bookmarkEnd w:id="191"/>
      <w:bookmarkStart w:id="192" w:name="_Toc184313258"/>
      <w:bookmarkEnd w:id="192"/>
      <w:bookmarkStart w:id="193" w:name="_Toc184308102"/>
      <w:bookmarkEnd w:id="193"/>
      <w:bookmarkStart w:id="194" w:name="_Toc184313242"/>
      <w:bookmarkEnd w:id="194"/>
      <w:bookmarkStart w:id="195" w:name="_Toc184313309"/>
      <w:bookmarkEnd w:id="195"/>
      <w:bookmarkStart w:id="196" w:name="_Toc184313247"/>
      <w:bookmarkEnd w:id="196"/>
      <w:bookmarkStart w:id="197" w:name="_Toc184313259"/>
      <w:bookmarkEnd w:id="197"/>
      <w:bookmarkStart w:id="198" w:name="_Toc184314456"/>
      <w:bookmarkEnd w:id="198"/>
      <w:bookmarkStart w:id="199" w:name="_Toc184310288"/>
      <w:bookmarkEnd w:id="199"/>
      <w:bookmarkStart w:id="200" w:name="_Toc184310301"/>
      <w:bookmarkEnd w:id="200"/>
      <w:bookmarkStart w:id="201" w:name="_Toc184313305"/>
      <w:bookmarkEnd w:id="201"/>
      <w:bookmarkStart w:id="202" w:name="_Toc184308100"/>
      <w:bookmarkEnd w:id="202"/>
      <w:bookmarkStart w:id="203" w:name="_Toc184310314"/>
      <w:bookmarkEnd w:id="203"/>
      <w:bookmarkStart w:id="204" w:name="_Toc184314413"/>
      <w:bookmarkEnd w:id="204"/>
      <w:bookmarkStart w:id="205" w:name="_Toc184314461"/>
      <w:bookmarkEnd w:id="205"/>
      <w:bookmarkStart w:id="206" w:name="_Toc184312106"/>
      <w:bookmarkEnd w:id="206"/>
      <w:bookmarkStart w:id="207" w:name="_Toc184308056"/>
      <w:bookmarkEnd w:id="207"/>
      <w:bookmarkStart w:id="208" w:name="_Toc184314444"/>
      <w:bookmarkEnd w:id="208"/>
      <w:bookmarkStart w:id="209" w:name="_Toc184312067"/>
      <w:bookmarkEnd w:id="209"/>
      <w:bookmarkStart w:id="210" w:name="_Toc184312111"/>
      <w:bookmarkEnd w:id="210"/>
      <w:bookmarkStart w:id="211" w:name="_Toc184308050"/>
      <w:bookmarkEnd w:id="211"/>
      <w:bookmarkStart w:id="212" w:name="_Toc184313260"/>
      <w:bookmarkEnd w:id="212"/>
      <w:bookmarkStart w:id="213" w:name="_Toc184312081"/>
      <w:bookmarkEnd w:id="213"/>
      <w:bookmarkStart w:id="214" w:name="_Toc184312073"/>
      <w:bookmarkEnd w:id="214"/>
      <w:bookmarkStart w:id="215" w:name="_Toc184313294"/>
      <w:bookmarkEnd w:id="215"/>
      <w:bookmarkStart w:id="216" w:name="_Toc184308090"/>
      <w:bookmarkEnd w:id="216"/>
      <w:bookmarkStart w:id="217" w:name="_Toc184313262"/>
      <w:bookmarkEnd w:id="217"/>
      <w:bookmarkStart w:id="218" w:name="_Toc184314412"/>
      <w:bookmarkEnd w:id="218"/>
      <w:bookmarkStart w:id="219" w:name="_Toc184310331"/>
      <w:bookmarkEnd w:id="219"/>
      <w:bookmarkStart w:id="220" w:name="_Toc184310305"/>
      <w:bookmarkEnd w:id="220"/>
      <w:bookmarkStart w:id="221" w:name="_Toc184308043"/>
      <w:bookmarkEnd w:id="221"/>
      <w:bookmarkStart w:id="222" w:name="_Toc184313241"/>
      <w:bookmarkEnd w:id="222"/>
      <w:bookmarkStart w:id="223" w:name="_Toc184308089"/>
      <w:bookmarkEnd w:id="223"/>
      <w:bookmarkStart w:id="224" w:name="_Toc184314436"/>
      <w:bookmarkEnd w:id="224"/>
      <w:bookmarkStart w:id="225" w:name="_Toc184308081"/>
      <w:bookmarkEnd w:id="225"/>
      <w:bookmarkStart w:id="226" w:name="_Toc184310285"/>
      <w:bookmarkEnd w:id="226"/>
      <w:bookmarkStart w:id="227" w:name="_Toc184308095"/>
      <w:bookmarkEnd w:id="227"/>
      <w:bookmarkStart w:id="228" w:name="_Toc184308062"/>
      <w:bookmarkEnd w:id="228"/>
      <w:bookmarkStart w:id="229" w:name="_Toc184312120"/>
      <w:bookmarkEnd w:id="229"/>
      <w:bookmarkStart w:id="230" w:name="_Toc184312079"/>
      <w:bookmarkEnd w:id="230"/>
      <w:bookmarkStart w:id="231" w:name="_Toc184308069"/>
      <w:bookmarkEnd w:id="231"/>
      <w:bookmarkStart w:id="232" w:name="_Toc184310291"/>
      <w:bookmarkEnd w:id="232"/>
      <w:bookmarkStart w:id="233" w:name="_Toc184314474"/>
      <w:bookmarkEnd w:id="233"/>
      <w:bookmarkStart w:id="234" w:name="_Toc184312103"/>
      <w:bookmarkEnd w:id="234"/>
      <w:bookmarkStart w:id="235" w:name="_Toc184308058"/>
      <w:bookmarkEnd w:id="235"/>
      <w:bookmarkStart w:id="236" w:name="_Toc184310290"/>
      <w:bookmarkEnd w:id="236"/>
      <w:bookmarkStart w:id="237" w:name="_Toc184310310"/>
      <w:bookmarkEnd w:id="237"/>
      <w:bookmarkStart w:id="238" w:name="_Toc184312075"/>
      <w:bookmarkEnd w:id="238"/>
      <w:bookmarkStart w:id="239" w:name="_Toc184313295"/>
      <w:bookmarkEnd w:id="239"/>
      <w:bookmarkStart w:id="240" w:name="_Toc184313296"/>
      <w:bookmarkEnd w:id="240"/>
      <w:bookmarkStart w:id="241" w:name="_Toc184314471"/>
      <w:bookmarkEnd w:id="241"/>
      <w:bookmarkStart w:id="242" w:name="_Toc184308045"/>
      <w:bookmarkEnd w:id="242"/>
      <w:bookmarkStart w:id="243" w:name="_Toc184314418"/>
      <w:bookmarkEnd w:id="243"/>
      <w:bookmarkStart w:id="244" w:name="_Toc184312138"/>
      <w:bookmarkEnd w:id="244"/>
      <w:bookmarkStart w:id="245" w:name="_Toc184310315"/>
      <w:bookmarkEnd w:id="245"/>
      <w:bookmarkStart w:id="246" w:name="_Toc184308079"/>
      <w:bookmarkEnd w:id="246"/>
      <w:bookmarkStart w:id="247" w:name="_Toc184308042"/>
      <w:bookmarkEnd w:id="247"/>
      <w:bookmarkStart w:id="248" w:name="_Toc184308037"/>
      <w:bookmarkEnd w:id="248"/>
      <w:bookmarkStart w:id="249" w:name="_Toc184310332"/>
      <w:bookmarkEnd w:id="249"/>
      <w:bookmarkStart w:id="250" w:name="_Toc184313275"/>
      <w:bookmarkEnd w:id="250"/>
      <w:bookmarkStart w:id="251" w:name="_Toc184312068"/>
      <w:bookmarkEnd w:id="251"/>
      <w:bookmarkStart w:id="252" w:name="_Toc184310298"/>
      <w:bookmarkEnd w:id="252"/>
      <w:bookmarkStart w:id="253" w:name="_Toc184310276"/>
      <w:bookmarkEnd w:id="253"/>
      <w:bookmarkStart w:id="254" w:name="_Toc184312127"/>
      <w:bookmarkEnd w:id="254"/>
      <w:bookmarkStart w:id="255" w:name="_Toc184314443"/>
      <w:bookmarkEnd w:id="255"/>
      <w:bookmarkStart w:id="256" w:name="_Toc184314419"/>
      <w:bookmarkEnd w:id="256"/>
      <w:bookmarkStart w:id="257" w:name="_Toc184312136"/>
      <w:bookmarkEnd w:id="257"/>
      <w:bookmarkStart w:id="258" w:name="_Toc184314434"/>
      <w:bookmarkEnd w:id="258"/>
      <w:bookmarkStart w:id="259" w:name="_Toc184310287"/>
      <w:bookmarkEnd w:id="259"/>
      <w:bookmarkStart w:id="260" w:name="_Toc184313272"/>
      <w:bookmarkEnd w:id="260"/>
      <w:bookmarkStart w:id="261" w:name="_Toc184312139"/>
      <w:bookmarkEnd w:id="261"/>
      <w:bookmarkStart w:id="262" w:name="_Toc184314433"/>
      <w:bookmarkEnd w:id="262"/>
      <w:bookmarkStart w:id="263" w:name="_Toc184310282"/>
      <w:bookmarkEnd w:id="263"/>
      <w:bookmarkStart w:id="264" w:name="_Toc184314457"/>
      <w:bookmarkEnd w:id="264"/>
      <w:bookmarkStart w:id="265" w:name="_Toc184312133"/>
      <w:bookmarkEnd w:id="265"/>
      <w:bookmarkStart w:id="266" w:name="_Toc184313288"/>
      <w:bookmarkEnd w:id="266"/>
      <w:bookmarkStart w:id="267" w:name="_Toc184308059"/>
      <w:bookmarkEnd w:id="267"/>
      <w:bookmarkStart w:id="268" w:name="_Toc184312085"/>
      <w:bookmarkEnd w:id="268"/>
      <w:bookmarkStart w:id="269" w:name="_Toc184313267"/>
      <w:bookmarkEnd w:id="269"/>
      <w:bookmarkStart w:id="270" w:name="_Toc184312101"/>
      <w:bookmarkEnd w:id="270"/>
      <w:bookmarkStart w:id="271" w:name="_Toc184308106"/>
      <w:bookmarkEnd w:id="271"/>
      <w:bookmarkStart w:id="272" w:name="_Toc184313240"/>
      <w:bookmarkEnd w:id="272"/>
      <w:bookmarkStart w:id="273" w:name="_Toc184314424"/>
      <w:bookmarkEnd w:id="273"/>
      <w:bookmarkStart w:id="274" w:name="_Toc184310323"/>
      <w:bookmarkEnd w:id="274"/>
      <w:bookmarkStart w:id="275" w:name="_Toc184310273"/>
      <w:bookmarkEnd w:id="275"/>
      <w:bookmarkStart w:id="276" w:name="_Toc184313254"/>
      <w:bookmarkEnd w:id="276"/>
      <w:bookmarkStart w:id="277" w:name="_Toc184314454"/>
      <w:bookmarkEnd w:id="277"/>
      <w:bookmarkStart w:id="278" w:name="_Toc184308065"/>
      <w:bookmarkEnd w:id="278"/>
      <w:bookmarkStart w:id="279" w:name="_Toc184312090"/>
      <w:bookmarkEnd w:id="279"/>
      <w:bookmarkStart w:id="280" w:name="_Toc184308097"/>
      <w:bookmarkEnd w:id="280"/>
      <w:bookmarkStart w:id="281" w:name="_Toc184310338"/>
      <w:bookmarkEnd w:id="281"/>
      <w:bookmarkStart w:id="282" w:name="_Toc184310325"/>
      <w:bookmarkEnd w:id="282"/>
      <w:bookmarkStart w:id="283" w:name="_Toc184313268"/>
      <w:bookmarkEnd w:id="283"/>
      <w:bookmarkStart w:id="284" w:name="_Toc184314449"/>
      <w:bookmarkEnd w:id="284"/>
      <w:bookmarkStart w:id="285" w:name="_Toc184313278"/>
      <w:bookmarkEnd w:id="285"/>
      <w:bookmarkStart w:id="286" w:name="_Toc184310342"/>
      <w:bookmarkEnd w:id="286"/>
      <w:bookmarkStart w:id="287" w:name="_Toc184313301"/>
      <w:bookmarkEnd w:id="287"/>
      <w:bookmarkStart w:id="288" w:name="_Toc184314448"/>
      <w:bookmarkEnd w:id="288"/>
      <w:bookmarkStart w:id="289" w:name="_Toc184308088"/>
      <w:bookmarkEnd w:id="289"/>
      <w:bookmarkStart w:id="290" w:name="_Toc184314430"/>
      <w:bookmarkEnd w:id="290"/>
      <w:bookmarkStart w:id="291" w:name="_Toc184312121"/>
      <w:bookmarkEnd w:id="291"/>
      <w:bookmarkStart w:id="292" w:name="_Toc184308075"/>
      <w:bookmarkEnd w:id="292"/>
      <w:bookmarkStart w:id="293" w:name="_Toc184310326"/>
      <w:bookmarkEnd w:id="293"/>
      <w:bookmarkStart w:id="294" w:name="_Toc184313244"/>
      <w:bookmarkEnd w:id="294"/>
      <w:bookmarkStart w:id="295" w:name="_Toc184314435"/>
      <w:bookmarkEnd w:id="295"/>
      <w:bookmarkStart w:id="296" w:name="_Toc184313290"/>
      <w:bookmarkEnd w:id="296"/>
      <w:bookmarkStart w:id="297" w:name="_Toc184312104"/>
      <w:bookmarkEnd w:id="297"/>
      <w:bookmarkStart w:id="298" w:name="_Toc184313251"/>
      <w:bookmarkEnd w:id="298"/>
      <w:bookmarkStart w:id="299" w:name="_Toc184313282"/>
      <w:bookmarkEnd w:id="299"/>
      <w:bookmarkStart w:id="300" w:name="_Toc184313252"/>
      <w:bookmarkEnd w:id="300"/>
      <w:bookmarkStart w:id="301" w:name="_Toc184312117"/>
      <w:bookmarkEnd w:id="301"/>
      <w:bookmarkStart w:id="302" w:name="_Toc184312088"/>
      <w:bookmarkEnd w:id="302"/>
      <w:bookmarkStart w:id="303" w:name="_Toc184310312"/>
      <w:bookmarkEnd w:id="303"/>
      <w:bookmarkStart w:id="304" w:name="_Toc184308083"/>
      <w:bookmarkEnd w:id="304"/>
      <w:bookmarkStart w:id="305" w:name="_Toc184308074"/>
      <w:bookmarkEnd w:id="305"/>
      <w:bookmarkStart w:id="306" w:name="_Toc184308036"/>
      <w:bookmarkEnd w:id="306"/>
      <w:bookmarkStart w:id="307" w:name="_Toc184313271"/>
      <w:bookmarkEnd w:id="307"/>
      <w:bookmarkStart w:id="308" w:name="_Toc184308104"/>
      <w:bookmarkEnd w:id="308"/>
      <w:bookmarkStart w:id="309" w:name="_Toc184308101"/>
      <w:bookmarkEnd w:id="309"/>
      <w:bookmarkStart w:id="310" w:name="_Toc184314452"/>
      <w:bookmarkEnd w:id="310"/>
      <w:bookmarkStart w:id="311" w:name="_Toc184314447"/>
      <w:bookmarkEnd w:id="311"/>
      <w:bookmarkStart w:id="312" w:name="_Toc184310313"/>
      <w:bookmarkEnd w:id="312"/>
      <w:bookmarkStart w:id="313" w:name="_Toc184312137"/>
      <w:bookmarkEnd w:id="313"/>
      <w:bookmarkStart w:id="314" w:name="_Toc184314439"/>
      <w:bookmarkEnd w:id="314"/>
      <w:bookmarkStart w:id="315" w:name="_Toc184310275"/>
      <w:bookmarkEnd w:id="315"/>
      <w:bookmarkStart w:id="316" w:name="_Toc184314417"/>
      <w:bookmarkEnd w:id="316"/>
      <w:bookmarkStart w:id="317" w:name="_Toc184310322"/>
      <w:bookmarkEnd w:id="317"/>
      <w:bookmarkStart w:id="318" w:name="_Toc184314468"/>
      <w:bookmarkEnd w:id="318"/>
      <w:bookmarkStart w:id="319" w:name="_Toc184314470"/>
      <w:bookmarkEnd w:id="319"/>
      <w:bookmarkStart w:id="320" w:name="_Toc184314420"/>
      <w:bookmarkEnd w:id="320"/>
      <w:bookmarkStart w:id="321" w:name="_Toc184313270"/>
      <w:bookmarkEnd w:id="321"/>
      <w:bookmarkStart w:id="322" w:name="_Toc184314465"/>
      <w:bookmarkEnd w:id="322"/>
      <w:bookmarkStart w:id="323" w:name="_Toc184310284"/>
      <w:bookmarkEnd w:id="323"/>
      <w:bookmarkStart w:id="324" w:name="_Toc184312083"/>
      <w:bookmarkEnd w:id="324"/>
      <w:bookmarkStart w:id="325" w:name="_Toc184313287"/>
      <w:bookmarkEnd w:id="325"/>
      <w:bookmarkStart w:id="326" w:name="_Toc184308070"/>
      <w:bookmarkEnd w:id="326"/>
      <w:bookmarkStart w:id="327" w:name="_Toc184312114"/>
      <w:bookmarkEnd w:id="327"/>
      <w:bookmarkStart w:id="328" w:name="_Toc184310329"/>
      <w:bookmarkEnd w:id="328"/>
      <w:bookmarkStart w:id="329" w:name="_Toc184312109"/>
      <w:bookmarkEnd w:id="329"/>
      <w:bookmarkStart w:id="330" w:name="_Toc184308054"/>
      <w:bookmarkEnd w:id="330"/>
      <w:bookmarkStart w:id="331" w:name="_Toc184308048"/>
      <w:bookmarkEnd w:id="331"/>
      <w:bookmarkStart w:id="332" w:name="_Toc184312087"/>
      <w:bookmarkEnd w:id="332"/>
      <w:bookmarkStart w:id="333" w:name="_Toc184313266"/>
      <w:bookmarkEnd w:id="333"/>
      <w:bookmarkStart w:id="334" w:name="_Toc184314416"/>
      <w:bookmarkEnd w:id="334"/>
      <w:bookmarkStart w:id="335" w:name="_Toc184314472"/>
      <w:bookmarkEnd w:id="335"/>
      <w:bookmarkStart w:id="336" w:name="_Toc184313307"/>
      <w:bookmarkEnd w:id="336"/>
      <w:bookmarkStart w:id="337" w:name="_Toc184313310"/>
      <w:bookmarkEnd w:id="337"/>
      <w:bookmarkStart w:id="338" w:name="_Toc184310344"/>
      <w:bookmarkEnd w:id="338"/>
      <w:bookmarkStart w:id="339" w:name="_Toc184308087"/>
      <w:bookmarkEnd w:id="339"/>
      <w:bookmarkStart w:id="340" w:name="_Toc184313284"/>
      <w:bookmarkEnd w:id="340"/>
      <w:bookmarkStart w:id="341" w:name="_Toc184308105"/>
      <w:bookmarkEnd w:id="341"/>
      <w:bookmarkStart w:id="342" w:name="_Toc184314475"/>
      <w:bookmarkEnd w:id="342"/>
      <w:bookmarkStart w:id="343" w:name="_Toc184313256"/>
      <w:bookmarkEnd w:id="343"/>
      <w:bookmarkStart w:id="344" w:name="_Toc184312080"/>
      <w:bookmarkEnd w:id="344"/>
      <w:bookmarkStart w:id="345" w:name="_Toc184314445"/>
      <w:bookmarkEnd w:id="345"/>
      <w:bookmarkStart w:id="346" w:name="_Toc184313308"/>
      <w:bookmarkEnd w:id="346"/>
      <w:bookmarkStart w:id="347" w:name="_Toc184314411"/>
      <w:bookmarkEnd w:id="347"/>
      <w:bookmarkStart w:id="348" w:name="_Toc184310327"/>
      <w:bookmarkEnd w:id="348"/>
      <w:bookmarkStart w:id="349" w:name="_Toc184313243"/>
      <w:bookmarkEnd w:id="349"/>
      <w:bookmarkStart w:id="350" w:name="_Toc184308067"/>
      <w:bookmarkEnd w:id="350"/>
      <w:bookmarkStart w:id="351" w:name="_Toc184314462"/>
      <w:bookmarkEnd w:id="351"/>
      <w:bookmarkStart w:id="352" w:name="_Toc184314440"/>
      <w:bookmarkEnd w:id="352"/>
      <w:bookmarkStart w:id="353" w:name="_Toc184312100"/>
      <w:bookmarkEnd w:id="353"/>
      <w:bookmarkStart w:id="354" w:name="_Toc184308080"/>
      <w:bookmarkEnd w:id="354"/>
      <w:bookmarkStart w:id="355" w:name="_Toc184308072"/>
      <w:bookmarkEnd w:id="355"/>
      <w:bookmarkStart w:id="356" w:name="_Toc184313304"/>
      <w:bookmarkEnd w:id="356"/>
      <w:bookmarkStart w:id="357" w:name="_Toc184314431"/>
      <w:bookmarkEnd w:id="357"/>
      <w:bookmarkStart w:id="358" w:name="_Toc184313250"/>
      <w:bookmarkEnd w:id="358"/>
      <w:bookmarkStart w:id="359" w:name="_Toc184312097"/>
      <w:bookmarkEnd w:id="359"/>
      <w:bookmarkStart w:id="360" w:name="_Toc184310335"/>
      <w:bookmarkEnd w:id="360"/>
      <w:bookmarkStart w:id="361" w:name="_Toc184310311"/>
      <w:bookmarkEnd w:id="361"/>
      <w:bookmarkStart w:id="362" w:name="_Toc184310297"/>
      <w:bookmarkEnd w:id="362"/>
      <w:bookmarkStart w:id="363" w:name="_Toc184312119"/>
      <w:bookmarkEnd w:id="363"/>
      <w:bookmarkStart w:id="364" w:name="_Toc184312105"/>
      <w:bookmarkEnd w:id="364"/>
      <w:bookmarkStart w:id="365" w:name="_Toc184308086"/>
      <w:bookmarkEnd w:id="365"/>
      <w:bookmarkStart w:id="366" w:name="_Toc184308057"/>
      <w:bookmarkEnd w:id="366"/>
      <w:bookmarkStart w:id="367" w:name="_Toc184314451"/>
      <w:bookmarkEnd w:id="367"/>
      <w:bookmarkStart w:id="368" w:name="_Toc184308084"/>
      <w:bookmarkEnd w:id="368"/>
      <w:bookmarkStart w:id="369" w:name="_Toc184310319"/>
      <w:bookmarkEnd w:id="369"/>
      <w:bookmarkStart w:id="370" w:name="_Toc184312102"/>
      <w:bookmarkEnd w:id="370"/>
      <w:bookmarkStart w:id="371" w:name="_Toc184308092"/>
      <w:bookmarkEnd w:id="371"/>
      <w:bookmarkStart w:id="372" w:name="_Toc184310306"/>
      <w:bookmarkEnd w:id="372"/>
      <w:bookmarkStart w:id="373" w:name="_Toc184313257"/>
      <w:bookmarkEnd w:id="373"/>
      <w:bookmarkStart w:id="374" w:name="_Toc184310337"/>
      <w:bookmarkEnd w:id="374"/>
      <w:bookmarkStart w:id="375" w:name="_Toc184312069"/>
      <w:bookmarkEnd w:id="375"/>
      <w:bookmarkStart w:id="376" w:name="_Toc184313293"/>
      <w:bookmarkEnd w:id="376"/>
      <w:bookmarkStart w:id="377" w:name="_Toc184314450"/>
      <w:bookmarkEnd w:id="377"/>
      <w:bookmarkStart w:id="378" w:name="_Toc184308098"/>
      <w:bookmarkEnd w:id="378"/>
      <w:bookmarkStart w:id="379" w:name="_Toc184310294"/>
      <w:bookmarkEnd w:id="379"/>
      <w:bookmarkStart w:id="380" w:name="_Toc184312070"/>
      <w:bookmarkEnd w:id="380"/>
      <w:bookmarkStart w:id="381" w:name="_Toc184310293"/>
      <w:bookmarkEnd w:id="381"/>
      <w:bookmarkStart w:id="382" w:name="_Toc184308049"/>
      <w:bookmarkEnd w:id="382"/>
      <w:bookmarkStart w:id="383" w:name="_Toc184314464"/>
      <w:bookmarkEnd w:id="383"/>
      <w:bookmarkStart w:id="384" w:name="_Toc184308053"/>
      <w:bookmarkEnd w:id="384"/>
      <w:bookmarkStart w:id="385" w:name="_Toc184310277"/>
      <w:bookmarkEnd w:id="385"/>
      <w:bookmarkStart w:id="386" w:name="_Toc184312072"/>
      <w:bookmarkEnd w:id="386"/>
      <w:bookmarkStart w:id="387" w:name="_Toc184313285"/>
      <w:bookmarkEnd w:id="387"/>
      <w:bookmarkStart w:id="388" w:name="_Toc184312077"/>
      <w:bookmarkEnd w:id="388"/>
      <w:bookmarkStart w:id="389" w:name="_Toc184310280"/>
      <w:bookmarkEnd w:id="389"/>
      <w:bookmarkStart w:id="390" w:name="_Toc184314425"/>
      <w:bookmarkEnd w:id="390"/>
      <w:bookmarkStart w:id="391" w:name="_Toc184314478"/>
      <w:bookmarkEnd w:id="391"/>
      <w:bookmarkStart w:id="392" w:name="_Toc184313238"/>
      <w:bookmarkEnd w:id="392"/>
      <w:bookmarkStart w:id="393" w:name="_Toc184312113"/>
      <w:bookmarkEnd w:id="393"/>
      <w:bookmarkStart w:id="394" w:name="_Toc184314481"/>
      <w:bookmarkEnd w:id="394"/>
      <w:bookmarkStart w:id="395" w:name="_Toc184310309"/>
      <w:bookmarkEnd w:id="395"/>
      <w:bookmarkStart w:id="396" w:name="_Toc184313239"/>
      <w:bookmarkEnd w:id="396"/>
      <w:bookmarkStart w:id="397" w:name="_Toc184313279"/>
      <w:bookmarkEnd w:id="397"/>
      <w:bookmarkStart w:id="398" w:name="_Toc184314460"/>
      <w:bookmarkEnd w:id="398"/>
      <w:bookmarkStart w:id="399" w:name="_Toc184313273"/>
      <w:bookmarkEnd w:id="399"/>
      <w:bookmarkStart w:id="400" w:name="_Toc184308052"/>
      <w:bookmarkEnd w:id="400"/>
      <w:bookmarkStart w:id="401" w:name="_Toc184308061"/>
      <w:bookmarkEnd w:id="401"/>
      <w:bookmarkStart w:id="402" w:name="_Toc184312123"/>
      <w:bookmarkEnd w:id="402"/>
      <w:bookmarkStart w:id="403" w:name="_Toc184312131"/>
      <w:bookmarkEnd w:id="403"/>
      <w:bookmarkStart w:id="404" w:name="_Toc184314410"/>
      <w:bookmarkEnd w:id="404"/>
      <w:bookmarkStart w:id="405" w:name="_Toc184314453"/>
      <w:bookmarkEnd w:id="405"/>
      <w:r>
        <w:rPr>
          <w:rFonts w:hint="eastAsia" w:ascii="仿宋" w:hAnsi="仿宋" w:eastAsia="仿宋" w:cs="仿宋"/>
          <w:b/>
          <w:color w:val="000000" w:themeColor="text1"/>
          <w:sz w:val="36"/>
          <w:szCs w:val="36"/>
          <w:highlight w:val="none"/>
          <w14:textFill>
            <w14:solidFill>
              <w14:schemeClr w14:val="tx1"/>
            </w14:solidFill>
          </w14:textFill>
        </w:rPr>
        <w:t>交易办法</w:t>
      </w:r>
    </w:p>
    <w:p w14:paraId="742F0A3B">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交易办法前附表</w:t>
      </w:r>
    </w:p>
    <w:p w14:paraId="01EA1DA0">
      <w:pPr>
        <w:adjustRightInd/>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1、商务技术评分表（70分）</w:t>
      </w:r>
    </w:p>
    <w:tbl>
      <w:tblPr>
        <w:tblStyle w:val="62"/>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778"/>
        <w:gridCol w:w="1265"/>
        <w:gridCol w:w="1265"/>
      </w:tblGrid>
      <w:tr w14:paraId="6427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0" w:type="dxa"/>
            <w:vAlign w:val="center"/>
          </w:tcPr>
          <w:p w14:paraId="67EB4B22">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5778" w:type="dxa"/>
            <w:vAlign w:val="center"/>
          </w:tcPr>
          <w:p w14:paraId="77C16FD8">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评分内容和标准</w:t>
            </w:r>
          </w:p>
        </w:tc>
        <w:tc>
          <w:tcPr>
            <w:tcW w:w="1265" w:type="dxa"/>
            <w:vAlign w:val="center"/>
          </w:tcPr>
          <w:p w14:paraId="326C849F">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权重</w:t>
            </w:r>
          </w:p>
        </w:tc>
        <w:tc>
          <w:tcPr>
            <w:tcW w:w="1265" w:type="dxa"/>
            <w:vAlign w:val="center"/>
          </w:tcPr>
          <w:p w14:paraId="4CDDEDBC">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color w:val="000000"/>
                <w:kern w:val="0"/>
                <w:sz w:val="20"/>
                <w:szCs w:val="21"/>
                <w:highlight w:val="none"/>
              </w:rPr>
              <w:t>主观客观分</w:t>
            </w:r>
          </w:p>
        </w:tc>
      </w:tr>
      <w:tr w14:paraId="6C7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1130" w:type="dxa"/>
            <w:vAlign w:val="center"/>
          </w:tcPr>
          <w:p w14:paraId="72E524A1">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商务资信（3分）</w:t>
            </w:r>
          </w:p>
        </w:tc>
        <w:tc>
          <w:tcPr>
            <w:tcW w:w="5778" w:type="dxa"/>
            <w:vAlign w:val="center"/>
          </w:tcPr>
          <w:p w14:paraId="003FE1C8">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331D2A12">
            <w:pPr>
              <w:widowControl/>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4A4EC977">
            <w:pPr>
              <w:pStyle w:val="23"/>
              <w:widowControl/>
              <w:spacing w:line="400" w:lineRule="exact"/>
              <w:ind w:firstLine="0" w:firstLineChars="0"/>
              <w:rPr>
                <w:rFonts w:hint="eastAsia" w:ascii="仿宋" w:hAnsi="仿宋" w:eastAsia="仿宋" w:cs="仿宋"/>
                <w:color w:val="000000"/>
                <w:sz w:val="21"/>
                <w:szCs w:val="21"/>
                <w:highlight w:val="none"/>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1265" w:type="dxa"/>
            <w:vAlign w:val="center"/>
          </w:tcPr>
          <w:p w14:paraId="3D770E82">
            <w:pPr>
              <w:widowControl/>
              <w:adjustRightInd/>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w:t>
            </w:r>
          </w:p>
        </w:tc>
        <w:tc>
          <w:tcPr>
            <w:tcW w:w="1265" w:type="dxa"/>
            <w:vAlign w:val="center"/>
          </w:tcPr>
          <w:p w14:paraId="1B169AFA">
            <w:pPr>
              <w:widowControl/>
              <w:adjustRightInd/>
              <w:spacing w:line="280" w:lineRule="exact"/>
              <w:jc w:val="center"/>
              <w:rPr>
                <w:rFonts w:hint="eastAsia" w:ascii="仿宋" w:hAnsi="仿宋" w:eastAsia="仿宋" w:cs="仿宋"/>
                <w:color w:val="000000"/>
                <w:kern w:val="0"/>
                <w:sz w:val="20"/>
                <w:szCs w:val="21"/>
                <w:highlight w:val="none"/>
              </w:rPr>
            </w:pPr>
            <w:r>
              <w:rPr>
                <w:rFonts w:hint="eastAsia" w:ascii="仿宋" w:hAnsi="仿宋" w:eastAsia="仿宋" w:cs="仿宋"/>
                <w:color w:val="000000"/>
                <w:kern w:val="0"/>
                <w:sz w:val="20"/>
                <w:szCs w:val="21"/>
                <w:highlight w:val="none"/>
              </w:rPr>
              <w:t>客观分</w:t>
            </w:r>
          </w:p>
        </w:tc>
      </w:tr>
    </w:tbl>
    <w:p w14:paraId="305D5CA9">
      <w:pPr>
        <w:widowControl/>
        <w:jc w:val="left"/>
        <w:rPr>
          <w:rFonts w:hint="eastAsia" w:ascii="仿宋" w:hAnsi="仿宋" w:eastAsia="仿宋" w:cs="仿宋"/>
          <w:b/>
          <w:bCs/>
          <w:sz w:val="24"/>
          <w:highlight w:val="none"/>
        </w:rPr>
      </w:pPr>
      <w:r>
        <w:rPr>
          <w:rFonts w:hint="eastAsia" w:ascii="仿宋" w:hAnsi="仿宋" w:eastAsia="仿宋" w:cs="仿宋"/>
          <w:b/>
          <w:bCs/>
          <w:sz w:val="24"/>
          <w:highlight w:val="none"/>
        </w:rPr>
        <w:t>2.技术部分（67分）：</w:t>
      </w:r>
    </w:p>
    <w:tbl>
      <w:tblPr>
        <w:tblStyle w:val="62"/>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13C1D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13AAB23F">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w:t>
            </w:r>
          </w:p>
          <w:p w14:paraId="63A42442">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术</w:t>
            </w:r>
          </w:p>
          <w:p w14:paraId="22CB1057">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和</w:t>
            </w:r>
          </w:p>
          <w:p w14:paraId="3317D375">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w:t>
            </w:r>
          </w:p>
          <w:p w14:paraId="59D139F4">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务</w:t>
            </w:r>
          </w:p>
          <w:p w14:paraId="7BDD943D">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w:t>
            </w:r>
          </w:p>
          <w:p w14:paraId="66A965F3">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案</w:t>
            </w:r>
          </w:p>
        </w:tc>
        <w:tc>
          <w:tcPr>
            <w:tcW w:w="745" w:type="dxa"/>
            <w:tcBorders>
              <w:tl2br w:val="nil"/>
              <w:tr2bl w:val="nil"/>
            </w:tcBorders>
            <w:shd w:val="clear" w:color="auto" w:fill="auto"/>
            <w:vAlign w:val="center"/>
          </w:tcPr>
          <w:p w14:paraId="5D21A70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825" w:type="dxa"/>
            <w:gridSpan w:val="2"/>
            <w:tcBorders>
              <w:tl2br w:val="nil"/>
              <w:tr2bl w:val="nil"/>
            </w:tcBorders>
            <w:shd w:val="clear" w:color="auto" w:fill="auto"/>
            <w:vAlign w:val="center"/>
          </w:tcPr>
          <w:p w14:paraId="3D32DD7B">
            <w:pPr>
              <w:widowControl/>
              <w:shd w:val="clear"/>
              <w:spacing w:line="360" w:lineRule="auto"/>
              <w:ind w:right="134" w:rightChars="64"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987" w:type="dxa"/>
            <w:tcBorders>
              <w:tl2br w:val="nil"/>
              <w:tr2bl w:val="nil"/>
            </w:tcBorders>
            <w:shd w:val="clear" w:color="auto" w:fill="auto"/>
            <w:vAlign w:val="center"/>
          </w:tcPr>
          <w:p w14:paraId="33BA7F8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200" w:type="dxa"/>
            <w:tcBorders>
              <w:tl2br w:val="nil"/>
              <w:tr2bl w:val="nil"/>
            </w:tcBorders>
            <w:shd w:val="clear" w:color="auto" w:fill="auto"/>
            <w:vAlign w:val="center"/>
          </w:tcPr>
          <w:p w14:paraId="4448E8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0A08D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17C9C9AE">
            <w:pPr>
              <w:widowControl/>
              <w:shd w:val="clear"/>
              <w:spacing w:line="360" w:lineRule="auto"/>
              <w:jc w:val="center"/>
              <w:rPr>
                <w:rFonts w:hint="eastAsia" w:ascii="仿宋" w:hAnsi="仿宋" w:eastAsia="仿宋" w:cs="仿宋"/>
                <w:b/>
                <w:bCs/>
                <w:color w:val="auto"/>
                <w:sz w:val="24"/>
                <w:highlight w:val="none"/>
                <w:lang w:val="en-US" w:eastAsia="zh-CN"/>
              </w:rPr>
            </w:pPr>
          </w:p>
        </w:tc>
        <w:tc>
          <w:tcPr>
            <w:tcW w:w="745" w:type="dxa"/>
            <w:tcBorders>
              <w:tl2br w:val="nil"/>
              <w:tr2bl w:val="nil"/>
            </w:tcBorders>
            <w:shd w:val="clear" w:color="auto" w:fill="auto"/>
            <w:vAlign w:val="center"/>
          </w:tcPr>
          <w:p w14:paraId="16E871B9">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3</w:t>
            </w:r>
          </w:p>
        </w:tc>
        <w:tc>
          <w:tcPr>
            <w:tcW w:w="5825" w:type="dxa"/>
            <w:gridSpan w:val="2"/>
            <w:tcBorders>
              <w:tl2br w:val="nil"/>
              <w:tr2bl w:val="nil"/>
            </w:tcBorders>
            <w:shd w:val="clear" w:color="auto" w:fill="auto"/>
            <w:vAlign w:val="center"/>
          </w:tcPr>
          <w:p w14:paraId="371A1459">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对应于采购文件第二章“采购需求”中“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带“△”重要指标负偏离的，扣3分，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72D9D24D">
            <w:pPr>
              <w:widowControl/>
              <w:shd w:val="clear"/>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44</w:t>
            </w:r>
          </w:p>
        </w:tc>
        <w:tc>
          <w:tcPr>
            <w:tcW w:w="1200" w:type="dxa"/>
            <w:tcBorders>
              <w:tl2br w:val="nil"/>
              <w:tr2bl w:val="nil"/>
            </w:tcBorders>
            <w:shd w:val="clear" w:color="auto" w:fill="auto"/>
            <w:vAlign w:val="center"/>
          </w:tcPr>
          <w:p w14:paraId="75FD463A">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客观分</w:t>
            </w:r>
          </w:p>
        </w:tc>
      </w:tr>
      <w:tr w14:paraId="6A1D7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1002764D">
            <w:pPr>
              <w:widowControl/>
              <w:shd w:val="clear"/>
              <w:spacing w:line="360" w:lineRule="auto"/>
              <w:jc w:val="center"/>
              <w:rPr>
                <w:rFonts w:hint="eastAsia" w:ascii="仿宋" w:hAnsi="仿宋" w:eastAsia="仿宋" w:cs="仿宋"/>
                <w:b/>
                <w:bCs/>
                <w:color w:val="auto"/>
                <w:sz w:val="24"/>
                <w:highlight w:val="none"/>
                <w:lang w:val="en-US" w:eastAsia="zh-CN"/>
              </w:rPr>
            </w:pPr>
          </w:p>
        </w:tc>
        <w:tc>
          <w:tcPr>
            <w:tcW w:w="745" w:type="dxa"/>
            <w:tcBorders>
              <w:tl2br w:val="nil"/>
              <w:tr2bl w:val="nil"/>
            </w:tcBorders>
            <w:shd w:val="clear" w:color="auto" w:fill="auto"/>
            <w:vAlign w:val="center"/>
          </w:tcPr>
          <w:p w14:paraId="1C750B98">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5825" w:type="dxa"/>
            <w:gridSpan w:val="2"/>
            <w:tcBorders>
              <w:tl2br w:val="nil"/>
              <w:tr2bl w:val="nil"/>
            </w:tcBorders>
            <w:shd w:val="clear" w:color="auto" w:fill="auto"/>
            <w:vAlign w:val="center"/>
          </w:tcPr>
          <w:p w14:paraId="1E4C13D2">
            <w:pPr>
              <w:shd w:val="clea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投标货物的技术性能：根据所投货物技术性能先进程度、在临床使用效果评分。技术性能先进充分满足临床要求且优化的得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分，技术性能较先进满足临床要求得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分；技术性能基本满足临床要求的得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01941C29">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01B21404">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rPr>
              <w:t>主观分</w:t>
            </w:r>
          </w:p>
        </w:tc>
      </w:tr>
      <w:tr w14:paraId="5E239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1202F381">
            <w:pPr>
              <w:widowControl/>
              <w:shd w:val="clear"/>
              <w:spacing w:line="360" w:lineRule="auto"/>
              <w:jc w:val="center"/>
              <w:rPr>
                <w:rFonts w:hint="eastAsia" w:ascii="仿宋" w:hAnsi="仿宋" w:eastAsia="仿宋" w:cs="仿宋"/>
                <w:color w:val="auto"/>
                <w:sz w:val="24"/>
                <w:highlight w:val="none"/>
                <w:lang w:val="en-US" w:eastAsia="zh-CN"/>
              </w:rPr>
            </w:pPr>
          </w:p>
        </w:tc>
        <w:tc>
          <w:tcPr>
            <w:tcW w:w="745" w:type="dxa"/>
            <w:tcBorders>
              <w:tl2br w:val="nil"/>
              <w:tr2bl w:val="nil"/>
            </w:tcBorders>
            <w:shd w:val="clear" w:color="auto" w:fill="auto"/>
            <w:vAlign w:val="center"/>
          </w:tcPr>
          <w:p w14:paraId="739A6DCC">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5825" w:type="dxa"/>
            <w:gridSpan w:val="2"/>
            <w:tcBorders>
              <w:tl2br w:val="nil"/>
              <w:tr2bl w:val="nil"/>
            </w:tcBorders>
            <w:shd w:val="clear" w:color="auto" w:fill="auto"/>
            <w:vAlign w:val="center"/>
          </w:tcPr>
          <w:p w14:paraId="4135487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6B644363">
            <w:pPr>
              <w:shd w:val="clear"/>
              <w:spacing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分；报价和维修成本较合理得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分，报价和维修成本一般得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分，维修成本报价不合理得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分，无维修报价得0分</w:t>
            </w:r>
          </w:p>
        </w:tc>
        <w:tc>
          <w:tcPr>
            <w:tcW w:w="987" w:type="dxa"/>
            <w:tcBorders>
              <w:tl2br w:val="nil"/>
              <w:tr2bl w:val="nil"/>
            </w:tcBorders>
            <w:shd w:val="clear" w:color="auto" w:fill="auto"/>
            <w:vAlign w:val="center"/>
          </w:tcPr>
          <w:p w14:paraId="79888DE9">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1200" w:type="dxa"/>
            <w:tcBorders>
              <w:tl2br w:val="nil"/>
              <w:tr2bl w:val="nil"/>
            </w:tcBorders>
            <w:shd w:val="clear" w:color="auto" w:fill="auto"/>
            <w:vAlign w:val="center"/>
          </w:tcPr>
          <w:p w14:paraId="4F30EB05">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eastAsia="zh-CN"/>
              </w:rPr>
              <w:t>主观分</w:t>
            </w:r>
          </w:p>
        </w:tc>
      </w:tr>
      <w:tr w14:paraId="5ACE6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17AD6C20">
            <w:pPr>
              <w:widowControl/>
              <w:shd w:val="clear"/>
              <w:spacing w:line="360" w:lineRule="auto"/>
              <w:jc w:val="center"/>
              <w:rPr>
                <w:rFonts w:hint="eastAsia" w:ascii="仿宋" w:hAnsi="仿宋" w:eastAsia="仿宋" w:cs="仿宋"/>
                <w:color w:val="auto"/>
                <w:sz w:val="24"/>
                <w:highlight w:val="none"/>
                <w:lang w:val="en-US" w:eastAsia="zh-CN"/>
              </w:rPr>
            </w:pPr>
          </w:p>
        </w:tc>
        <w:tc>
          <w:tcPr>
            <w:tcW w:w="745" w:type="dxa"/>
            <w:tcBorders>
              <w:tl2br w:val="nil"/>
              <w:tr2bl w:val="nil"/>
            </w:tcBorders>
            <w:shd w:val="clear" w:color="auto" w:fill="auto"/>
            <w:vAlign w:val="center"/>
          </w:tcPr>
          <w:p w14:paraId="68C8A216">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08" w:type="dxa"/>
            <w:vMerge w:val="restart"/>
            <w:tcBorders>
              <w:tl2br w:val="nil"/>
              <w:tr2bl w:val="nil"/>
            </w:tcBorders>
            <w:shd w:val="clear" w:color="auto" w:fill="auto"/>
            <w:vAlign w:val="center"/>
          </w:tcPr>
          <w:p w14:paraId="3E71371A">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4FCB9CC4">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552A7E2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B2E0696">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200" w:type="dxa"/>
            <w:tcBorders>
              <w:tl2br w:val="nil"/>
              <w:tr2bl w:val="nil"/>
            </w:tcBorders>
            <w:shd w:val="clear" w:color="auto" w:fill="auto"/>
            <w:vAlign w:val="center"/>
          </w:tcPr>
          <w:p w14:paraId="73744882">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主观分</w:t>
            </w:r>
          </w:p>
        </w:tc>
      </w:tr>
      <w:tr w14:paraId="47493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ECD8E2F">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p>
        </w:tc>
        <w:tc>
          <w:tcPr>
            <w:tcW w:w="745" w:type="dxa"/>
            <w:tcBorders>
              <w:tl2br w:val="nil"/>
              <w:tr2bl w:val="nil"/>
            </w:tcBorders>
            <w:vAlign w:val="center"/>
          </w:tcPr>
          <w:p w14:paraId="6E19E876">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08" w:type="dxa"/>
            <w:vMerge w:val="continue"/>
            <w:tcBorders>
              <w:tl2br w:val="nil"/>
              <w:tr2bl w:val="nil"/>
            </w:tcBorders>
            <w:shd w:val="clear" w:color="auto" w:fill="auto"/>
            <w:vAlign w:val="center"/>
          </w:tcPr>
          <w:p w14:paraId="23B70FE1">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1B730B9C">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73DFC32C">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3</w:t>
            </w:r>
            <w:bookmarkStart w:id="406" w:name="_GoBack"/>
            <w:bookmarkEnd w:id="406"/>
          </w:p>
        </w:tc>
        <w:tc>
          <w:tcPr>
            <w:tcW w:w="1200" w:type="dxa"/>
            <w:tcBorders>
              <w:tl2br w:val="nil"/>
              <w:tr2bl w:val="nil"/>
            </w:tcBorders>
            <w:shd w:val="clear" w:color="auto" w:fill="auto"/>
            <w:vAlign w:val="center"/>
          </w:tcPr>
          <w:p w14:paraId="38D58F3F">
            <w:pPr>
              <w:widowControl/>
              <w:shd w:val="clea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主</w:t>
            </w:r>
            <w:r>
              <w:rPr>
                <w:rFonts w:hint="eastAsia" w:ascii="仿宋" w:hAnsi="仿宋" w:eastAsia="仿宋" w:cs="仿宋"/>
                <w:b w:val="0"/>
                <w:bCs w:val="0"/>
                <w:color w:val="auto"/>
                <w:sz w:val="24"/>
                <w:highlight w:val="none"/>
              </w:rPr>
              <w:t>观分</w:t>
            </w:r>
          </w:p>
        </w:tc>
      </w:tr>
      <w:tr w14:paraId="5B970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3314000A">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p>
        </w:tc>
        <w:tc>
          <w:tcPr>
            <w:tcW w:w="745" w:type="dxa"/>
            <w:tcBorders>
              <w:tl2br w:val="nil"/>
              <w:tr2bl w:val="nil"/>
            </w:tcBorders>
            <w:vAlign w:val="center"/>
          </w:tcPr>
          <w:p w14:paraId="53BBBF0F">
            <w:pPr>
              <w:widowControl/>
              <w:shd w:val="clear"/>
              <w:spacing w:line="36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08" w:type="dxa"/>
            <w:vMerge w:val="continue"/>
            <w:tcBorders>
              <w:tl2br w:val="nil"/>
              <w:tr2bl w:val="nil"/>
            </w:tcBorders>
            <w:shd w:val="clear" w:color="auto" w:fill="auto"/>
            <w:vAlign w:val="center"/>
          </w:tcPr>
          <w:p w14:paraId="6417E0B7">
            <w:pPr>
              <w:widowControl/>
              <w:shd w:val="clear"/>
              <w:spacing w:line="360" w:lineRule="auto"/>
              <w:jc w:val="center"/>
              <w:rPr>
                <w:rFonts w:hint="eastAsia" w:ascii="仿宋" w:hAnsi="仿宋" w:eastAsia="仿宋" w:cs="仿宋"/>
                <w:color w:val="auto"/>
                <w:sz w:val="24"/>
                <w:highlight w:val="none"/>
                <w:lang w:eastAsia="zh-CN"/>
              </w:rPr>
            </w:pPr>
          </w:p>
        </w:tc>
        <w:tc>
          <w:tcPr>
            <w:tcW w:w="5017" w:type="dxa"/>
            <w:tcBorders>
              <w:tl2br w:val="nil"/>
              <w:tr2bl w:val="nil"/>
            </w:tcBorders>
            <w:shd w:val="clear" w:color="auto" w:fill="auto"/>
            <w:vAlign w:val="center"/>
          </w:tcPr>
          <w:p w14:paraId="2FCE9F22">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14:paraId="6DC6EB92">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3</w:t>
            </w:r>
          </w:p>
        </w:tc>
        <w:tc>
          <w:tcPr>
            <w:tcW w:w="1200" w:type="dxa"/>
            <w:tcBorders>
              <w:tl2br w:val="nil"/>
              <w:tr2bl w:val="nil"/>
            </w:tcBorders>
            <w:shd w:val="clear" w:color="auto" w:fill="auto"/>
            <w:vAlign w:val="center"/>
          </w:tcPr>
          <w:p w14:paraId="3E34D8CA">
            <w:pPr>
              <w:widowControl/>
              <w:shd w:val="clear"/>
              <w:spacing w:line="360" w:lineRule="auto"/>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主观分</w:t>
            </w:r>
          </w:p>
        </w:tc>
      </w:tr>
      <w:tr w14:paraId="4C7C1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BEAA807">
            <w:pPr>
              <w:widowControl/>
              <w:shd w:val="clear"/>
              <w:spacing w:line="360" w:lineRule="auto"/>
              <w:ind w:firstLine="480" w:firstLineChars="200"/>
              <w:jc w:val="center"/>
              <w:rPr>
                <w:rFonts w:hint="eastAsia" w:ascii="仿宋" w:hAnsi="仿宋" w:eastAsia="仿宋" w:cs="仿宋"/>
                <w:color w:val="auto"/>
                <w:sz w:val="24"/>
                <w:highlight w:val="none"/>
              </w:rPr>
            </w:pPr>
          </w:p>
        </w:tc>
        <w:tc>
          <w:tcPr>
            <w:tcW w:w="745" w:type="dxa"/>
            <w:tcBorders>
              <w:tl2br w:val="nil"/>
              <w:tr2bl w:val="nil"/>
            </w:tcBorders>
            <w:vAlign w:val="center"/>
          </w:tcPr>
          <w:p w14:paraId="2D858B37">
            <w:pPr>
              <w:widowControl/>
              <w:shd w:val="clear"/>
              <w:spacing w:line="36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5825" w:type="dxa"/>
            <w:gridSpan w:val="2"/>
            <w:tcBorders>
              <w:tl2br w:val="nil"/>
              <w:tr2bl w:val="nil"/>
            </w:tcBorders>
            <w:shd w:val="clear" w:color="auto" w:fill="auto"/>
            <w:vAlign w:val="center"/>
          </w:tcPr>
          <w:p w14:paraId="7D1E4D7E">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培训方案，包括但不限于培训对象、课时安排、师资力量安排等，方案考虑充分安排有效得2分，方案合理安排一般得1分，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无方案得0分</w:t>
            </w:r>
          </w:p>
        </w:tc>
        <w:tc>
          <w:tcPr>
            <w:tcW w:w="987" w:type="dxa"/>
            <w:tcBorders>
              <w:tl2br w:val="nil"/>
              <w:tr2bl w:val="nil"/>
            </w:tcBorders>
            <w:shd w:val="clear" w:color="auto" w:fill="auto"/>
            <w:vAlign w:val="center"/>
          </w:tcPr>
          <w:p w14:paraId="200095A7">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39744EB5">
            <w:pPr>
              <w:widowControl/>
              <w:shd w:val="clea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eastAsia="zh-CN"/>
              </w:rPr>
              <w:t>主观分</w:t>
            </w:r>
          </w:p>
        </w:tc>
      </w:tr>
      <w:tr w14:paraId="19D39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trPr>
        <w:tc>
          <w:tcPr>
            <w:tcW w:w="745" w:type="dxa"/>
            <w:vMerge w:val="continue"/>
            <w:tcBorders>
              <w:tl2br w:val="nil"/>
              <w:tr2bl w:val="nil"/>
            </w:tcBorders>
            <w:vAlign w:val="center"/>
          </w:tcPr>
          <w:p w14:paraId="13E4FA09">
            <w:pPr>
              <w:widowControl/>
              <w:shd w:val="clear"/>
              <w:spacing w:line="360" w:lineRule="auto"/>
              <w:ind w:firstLine="480" w:firstLineChars="200"/>
              <w:jc w:val="center"/>
              <w:rPr>
                <w:rFonts w:hint="eastAsia" w:ascii="仿宋" w:hAnsi="仿宋" w:eastAsia="仿宋" w:cs="仿宋"/>
                <w:color w:val="auto"/>
                <w:sz w:val="24"/>
                <w:highlight w:val="none"/>
              </w:rPr>
            </w:pPr>
          </w:p>
        </w:tc>
        <w:tc>
          <w:tcPr>
            <w:tcW w:w="745" w:type="dxa"/>
            <w:tcBorders>
              <w:tl2br w:val="nil"/>
              <w:tr2bl w:val="nil"/>
            </w:tcBorders>
            <w:vAlign w:val="center"/>
          </w:tcPr>
          <w:p w14:paraId="34420B03">
            <w:pPr>
              <w:widowControl/>
              <w:shd w:val="clear"/>
              <w:spacing w:line="36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5825" w:type="dxa"/>
            <w:gridSpan w:val="2"/>
            <w:tcBorders>
              <w:tl2br w:val="nil"/>
              <w:tr2bl w:val="nil"/>
            </w:tcBorders>
            <w:shd w:val="clear" w:color="auto" w:fill="auto"/>
            <w:vAlign w:val="center"/>
          </w:tcPr>
          <w:p w14:paraId="5DE836D1">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方案合理措施一般得1分，方案有缺陷的得0.5分，无方案得0分</w:t>
            </w:r>
          </w:p>
        </w:tc>
        <w:tc>
          <w:tcPr>
            <w:tcW w:w="987" w:type="dxa"/>
            <w:tcBorders>
              <w:tl2br w:val="nil"/>
              <w:tr2bl w:val="nil"/>
            </w:tcBorders>
            <w:shd w:val="clear" w:color="auto" w:fill="auto"/>
            <w:vAlign w:val="center"/>
          </w:tcPr>
          <w:p w14:paraId="2D9DF30B">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3296695B">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277DE49A">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w:t>
      </w:r>
      <w:r>
        <w:rPr>
          <w:rFonts w:hint="eastAsia" w:ascii="仿宋" w:hAnsi="仿宋" w:eastAsia="仿宋" w:cs="仿宋"/>
          <w:b/>
          <w:color w:val="000000" w:themeColor="text1"/>
          <w:sz w:val="24"/>
          <w:lang w:eastAsia="zh-CN"/>
          <w14:textFill>
            <w14:solidFill>
              <w14:schemeClr w14:val="tx1"/>
            </w14:solidFill>
          </w14:textFill>
        </w:rPr>
        <w:t>投标人</w:t>
      </w:r>
      <w:r>
        <w:rPr>
          <w:rFonts w:hint="eastAsia" w:ascii="仿宋" w:hAnsi="仿宋" w:eastAsia="仿宋" w:cs="仿宋"/>
          <w:b/>
          <w:color w:val="000000" w:themeColor="text1"/>
          <w:sz w:val="24"/>
          <w14:textFill>
            <w14:solidFill>
              <w14:schemeClr w14:val="tx1"/>
            </w14:solidFill>
          </w14:textFill>
        </w:rPr>
        <w:t>提供的证明资料要求为原件的，另行提出。</w:t>
      </w:r>
    </w:p>
    <w:p w14:paraId="022B96B8">
      <w:pPr>
        <w:spacing w:line="440" w:lineRule="exact"/>
        <w:ind w:firstLine="482" w:firstLineChars="200"/>
        <w:rPr>
          <w:rFonts w:hint="eastAsia" w:ascii="仿宋" w:hAnsi="仿宋" w:eastAsia="仿宋" w:cs="仿宋"/>
        </w:rPr>
      </w:pPr>
      <w:r>
        <w:rPr>
          <w:rFonts w:hint="eastAsia" w:ascii="仿宋" w:hAnsi="仿宋" w:eastAsia="仿宋" w:cs="仿宋"/>
          <w:b/>
          <w:color w:val="000000" w:themeColor="text1"/>
          <w:sz w:val="24"/>
          <w14:textFill>
            <w14:solidFill>
              <w14:schemeClr w14:val="tx1"/>
            </w14:solidFill>
          </w14:textFill>
        </w:rPr>
        <w:t>2)响应文件中如附有外文资料，必须逐一对应翻译成中文并加盖</w:t>
      </w:r>
      <w:r>
        <w:rPr>
          <w:rFonts w:hint="eastAsia" w:ascii="仿宋" w:hAnsi="仿宋" w:eastAsia="仿宋" w:cs="仿宋"/>
          <w:b/>
          <w:color w:val="000000" w:themeColor="text1"/>
          <w:sz w:val="24"/>
          <w:lang w:eastAsia="zh-CN"/>
          <w14:textFill>
            <w14:solidFill>
              <w14:schemeClr w14:val="tx1"/>
            </w14:solidFill>
          </w14:textFill>
        </w:rPr>
        <w:t>投标人</w:t>
      </w:r>
      <w:r>
        <w:rPr>
          <w:rFonts w:hint="eastAsia" w:ascii="仿宋" w:hAnsi="仿宋" w:eastAsia="仿宋" w:cs="仿宋"/>
          <w:b/>
          <w:color w:val="000000" w:themeColor="text1"/>
          <w:sz w:val="24"/>
          <w14:textFill>
            <w14:solidFill>
              <w14:schemeClr w14:val="tx1"/>
            </w14:solidFill>
          </w14:textFill>
        </w:rPr>
        <w:t>公章后附在相关外文资料后面，否则外文资料不予认可。翻译的中文资料与外文资料不符的，均不予认可。翻译严重错误的，将视同提供虚假资料。</w:t>
      </w:r>
    </w:p>
    <w:p w14:paraId="1DBFF5BC">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2、价格部分评分方法（30分）：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0800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4986A72F">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14FC6D55">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4ABE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6CAB7750">
            <w:pPr>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报价得分计算规则</w:t>
            </w:r>
          </w:p>
        </w:tc>
        <w:tc>
          <w:tcPr>
            <w:tcW w:w="6606" w:type="dxa"/>
            <w:vAlign w:val="center"/>
          </w:tcPr>
          <w:p w14:paraId="189CF3C9">
            <w:pPr>
              <w:widowControl/>
              <w:snapToGrid w:val="0"/>
              <w:spacing w:line="360" w:lineRule="auto"/>
              <w:rPr>
                <w:rFonts w:hint="eastAsia" w:ascii="仿宋" w:hAnsi="仿宋" w:eastAsia="仿宋" w:cs="仿宋"/>
                <w:sz w:val="24"/>
              </w:rPr>
            </w:pPr>
            <w:r>
              <w:rPr>
                <w:rFonts w:hint="eastAsia" w:ascii="仿宋" w:hAnsi="仿宋" w:eastAsia="仿宋" w:cs="仿宋"/>
                <w:sz w:val="24"/>
              </w:rPr>
              <w:t>最低有效投标价格为评标基准价</w:t>
            </w:r>
          </w:p>
          <w:p w14:paraId="3ED7A22D">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投标报价得分=(评标基准价／投标报价)×价格权值×100</w:t>
            </w:r>
          </w:p>
          <w:p w14:paraId="16A305F5">
            <w:pPr>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50AD9939">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4238D1FC">
      <w:pPr>
        <w:adjustRightInd/>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综合评估法，是指响应文件满足交易文件全部实质性要求，且按照评审因素的量化指标评审得分最高的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为成交候选人的评审方法。</w:t>
      </w:r>
    </w:p>
    <w:p w14:paraId="681DBC29">
      <w:pPr>
        <w:adjustRightInd/>
        <w:spacing w:line="57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055642F5">
      <w:pPr>
        <w:spacing w:line="570" w:lineRule="exact"/>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见交易办法前附表。</w:t>
      </w:r>
    </w:p>
    <w:p w14:paraId="7EA83B76">
      <w:pPr>
        <w:spacing w:line="570" w:lineRule="exact"/>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5372B408">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的响应文件进行符合性审查，以确定其是否满足交易文件的实质性要求。不满足交易文件的实质性要求的，交易无效。</w:t>
      </w:r>
    </w:p>
    <w:p w14:paraId="4DD350A2">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5610D49D">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的商务和技术文件进行评价，并汇总商务技术得分情况。</w:t>
      </w:r>
    </w:p>
    <w:p w14:paraId="2ACA0D46">
      <w:pPr>
        <w:spacing w:line="570" w:lineRule="exact"/>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4DCD2DAD">
      <w:pPr>
        <w:pStyle w:val="221"/>
        <w:spacing w:before="0" w:line="570" w:lineRule="exact"/>
        <w:ind w:firstLine="508" w:firstLineChars="212"/>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3477C229">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18CB9179">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7C8F0F15">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55B000AA">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059064A0">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确认后产生约束力。</w:t>
      </w:r>
    </w:p>
    <w:p w14:paraId="4B068187">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0E3A0922">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2CAADD48">
      <w:pPr>
        <w:pStyle w:val="221"/>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3.4.4评审委员会认为</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的报价明显低于其他通过符合性审查</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不能证明其报价合理性的，评标委员会应当将其作为无效投响应处理。</w:t>
      </w:r>
    </w:p>
    <w:p w14:paraId="69699A0C">
      <w:pPr>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为排名第一的成交候选人。</w:t>
      </w:r>
    </w:p>
    <w:p w14:paraId="67C21F97">
      <w:pPr>
        <w:spacing w:line="570" w:lineRule="exac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参加同一合同项下投标的，按一家</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计算，评审后得分最高的同品牌</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获得成交人推荐资格；评审得分相同的，采取随机抽取方式确定，其他同品牌</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不作为成交候选人。</w:t>
      </w:r>
    </w:p>
    <w:p w14:paraId="28F47741">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8034A7">
      <w:pPr>
        <w:widowControl/>
        <w:shd w:val="clear" w:color="auto" w:fill="FFFFFF"/>
        <w:adjustRightInd/>
        <w:spacing w:after="225" w:line="570" w:lineRule="exact"/>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49193A27">
      <w:pPr>
        <w:pStyle w:val="221"/>
        <w:spacing w:before="0" w:line="570" w:lineRule="exact"/>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w:t>
      </w:r>
      <w:r>
        <w:rPr>
          <w:rFonts w:hint="eastAsia" w:ascii="仿宋" w:hAnsi="仿宋" w:eastAsia="仿宋" w:cs="仿宋"/>
          <w:b/>
          <w:color w:val="000000" w:themeColor="text1"/>
          <w:kern w:val="0"/>
          <w:szCs w:val="24"/>
          <w:lang w:eastAsia="zh-CN"/>
          <w14:textFill>
            <w14:solidFill>
              <w14:schemeClr w14:val="tx1"/>
            </w14:solidFill>
          </w14:textFill>
        </w:rPr>
        <w:t>投标人</w:t>
      </w:r>
      <w:r>
        <w:rPr>
          <w:rFonts w:hint="eastAsia" w:ascii="仿宋" w:hAnsi="仿宋" w:eastAsia="仿宋" w:cs="仿宋"/>
          <w:b/>
          <w:color w:val="000000" w:themeColor="text1"/>
          <w:kern w:val="0"/>
          <w:szCs w:val="24"/>
          <w14:textFill>
            <w14:solidFill>
              <w14:schemeClr w14:val="tx1"/>
            </w14:solidFill>
          </w14:textFill>
        </w:rPr>
        <w:t>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通过电子交易平台交换数据电文，</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lang w:eastAsia="zh-CN"/>
          <w14:textFill>
            <w14:solidFill>
              <w14:schemeClr w14:val="tx1"/>
            </w14:solidFill>
          </w14:textFill>
        </w:rPr>
        <w:t>投标人</w:t>
      </w:r>
      <w:r>
        <w:rPr>
          <w:rFonts w:hint="eastAsia" w:ascii="仿宋" w:hAnsi="仿宋" w:eastAsia="仿宋" w:cs="仿宋"/>
          <w:color w:val="000000" w:themeColor="text1"/>
          <w:kern w:val="0"/>
          <w:szCs w:val="24"/>
          <w14:textFill>
            <w14:solidFill>
              <w14:schemeClr w14:val="tx1"/>
            </w14:solidFill>
          </w14:textFill>
        </w:rPr>
        <w:t>的澄清、说明或者补正不得超出响应文件的范围或者改变响应文件的实质性内容。</w:t>
      </w:r>
    </w:p>
    <w:p w14:paraId="0DD52EF6">
      <w:pPr>
        <w:pStyle w:val="23"/>
        <w:spacing w:line="570" w:lineRule="exact"/>
        <w:ind w:left="954" w:leftChars="226" w:hanging="479"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1D1EDA6C">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不具备交易文件中规定的资格要求的（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未提供有效的资格文件的，视为</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不具备交易文件中规定的资格要求）；</w:t>
      </w:r>
    </w:p>
    <w:p w14:paraId="1289DA49">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76A5B376">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4.2.3交易发起人拟采购的产品属于政府强制采购的节能产品品目清单范围的，</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未按交易文件要求提供国家确定的认证机构出具的、处于有效期之内的节能产品认证证书的；</w:t>
      </w:r>
    </w:p>
    <w:p w14:paraId="08E7259F">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4.2.4响应文件含有交易发起人不能接受的附加条件的；</w:t>
      </w:r>
    </w:p>
    <w:p w14:paraId="14E9528C">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589F9D7C">
      <w:pPr>
        <w:snapToGrid w:val="0"/>
        <w:spacing w:line="570" w:lineRule="exact"/>
        <w:ind w:firstLine="120" w:firstLineChars="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7EF321D9">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569A58B9">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的报价，有可能影响产品质量或者不能诚信履约的，未能按要求提供书面说明或者提交相关证明材料，不能证明其报价合理性的;</w:t>
      </w:r>
    </w:p>
    <w:p w14:paraId="3E2FD648">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对根据修正原则修正后的报价不确认的；</w:t>
      </w:r>
    </w:p>
    <w:p w14:paraId="34A97191">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提供虚假材料投标的；</w:t>
      </w:r>
    </w:p>
    <w:p w14:paraId="12FD2292">
      <w:pPr>
        <w:spacing w:line="57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有恶意串通、妨碍其他</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的竞争行为、损害交易发起人或者其他</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的合法权益情形的；</w:t>
      </w:r>
    </w:p>
    <w:p w14:paraId="6752296F">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仅提交备份响应文件，未在电子交易平台传输递交响应文件的，交易无效；</w:t>
      </w:r>
    </w:p>
    <w:p w14:paraId="3EB6CBDA">
      <w:pPr>
        <w:pStyle w:val="3"/>
        <w:spacing w:line="570" w:lineRule="exact"/>
        <w:ind w:left="430" w:leftChars="205"/>
        <w:rPr>
          <w:rFonts w:hint="eastAsia" w:ascii="仿宋" w:hAnsi="仿宋" w:eastAsia="仿宋" w:cs="仿宋"/>
          <w:b w:val="0"/>
          <w:bCs w:val="0"/>
          <w:color w:val="000000" w:themeColor="text1"/>
          <w:kern w:val="0"/>
          <w:sz w:val="24"/>
          <w:szCs w:val="24"/>
          <w:lang w:val="en-US"/>
          <w14:textFill>
            <w14:solidFill>
              <w14:schemeClr w14:val="tx1"/>
            </w14:solidFill>
          </w14:textFill>
        </w:rPr>
      </w:pPr>
      <w:r>
        <w:rPr>
          <w:rFonts w:hint="eastAsia" w:ascii="仿宋" w:hAns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662CD5F5">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46DEF2FD">
      <w:pPr>
        <w:pStyle w:val="23"/>
        <w:snapToGrid w:val="0"/>
        <w:spacing w:line="570" w:lineRule="exact"/>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4E28507">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或者对交易文件作实质响应的</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不足3家的；</w:t>
      </w:r>
    </w:p>
    <w:p w14:paraId="5BBAA9D4">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6232DC03">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的报价均超过了采购预算，交易发起人不能支付的；</w:t>
      </w:r>
    </w:p>
    <w:p w14:paraId="58691A65">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3E03C8D1">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w:t>
      </w:r>
    </w:p>
    <w:p w14:paraId="71EA7D55">
      <w:pPr>
        <w:pStyle w:val="23"/>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871E717">
      <w:pPr>
        <w:pStyle w:val="23"/>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37553409">
      <w:pPr>
        <w:pStyle w:val="23"/>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5DDEE4BD">
      <w:pPr>
        <w:pStyle w:val="23"/>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7110E1FB">
      <w:pPr>
        <w:pStyle w:val="23"/>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069A461C">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7.4采购合同已经履行，给交易发起人、</w:t>
      </w: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14:textFill>
            <w14:solidFill>
              <w14:schemeClr w14:val="tx1"/>
            </w14:solidFill>
          </w14:textFill>
        </w:rPr>
        <w:t>造成损失的，由责任人承担赔偿责任。</w:t>
      </w:r>
    </w:p>
    <w:p w14:paraId="20D43FCA">
      <w:pPr>
        <w:pStyle w:val="23"/>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29724583">
      <w:pPr>
        <w:widowControl/>
        <w:spacing w:line="360" w:lineRule="auto"/>
        <w:rPr>
          <w:rFonts w:hint="eastAsia" w:ascii="仿宋" w:hAnsi="仿宋" w:eastAsia="仿宋" w:cs="仿宋"/>
          <w:color w:val="1F4E79"/>
          <w:sz w:val="24"/>
        </w:rPr>
      </w:pPr>
    </w:p>
    <w:p w14:paraId="003A4382">
      <w:pPr>
        <w:widowControl/>
        <w:spacing w:line="360" w:lineRule="auto"/>
        <w:rPr>
          <w:rFonts w:hint="eastAsia" w:ascii="仿宋" w:hAnsi="仿宋" w:eastAsia="仿宋" w:cs="仿宋"/>
          <w:color w:val="1F4E79"/>
          <w:sz w:val="24"/>
        </w:rPr>
      </w:pPr>
    </w:p>
    <w:p w14:paraId="650488B1">
      <w:pPr>
        <w:pStyle w:val="2"/>
        <w:rPr>
          <w:rFonts w:hint="eastAsia" w:ascii="仿宋" w:hAnsi="仿宋" w:eastAsia="仿宋" w:cs="仿宋"/>
          <w:color w:val="1F4E79"/>
          <w:sz w:val="24"/>
        </w:rPr>
      </w:pPr>
    </w:p>
    <w:p w14:paraId="42C8BB33">
      <w:pPr>
        <w:rPr>
          <w:rFonts w:hint="eastAsia" w:ascii="仿宋" w:hAnsi="仿宋" w:eastAsia="仿宋" w:cs="仿宋"/>
          <w:color w:val="1F4E79"/>
          <w:sz w:val="24"/>
        </w:rPr>
      </w:pPr>
    </w:p>
    <w:p w14:paraId="0ED62239">
      <w:pPr>
        <w:pStyle w:val="2"/>
        <w:rPr>
          <w:rFonts w:hint="eastAsia" w:ascii="仿宋" w:hAnsi="仿宋" w:eastAsia="仿宋" w:cs="仿宋"/>
          <w:color w:val="1F4E79"/>
          <w:sz w:val="24"/>
        </w:rPr>
      </w:pPr>
    </w:p>
    <w:p w14:paraId="4F5C3079">
      <w:pPr>
        <w:pStyle w:val="2"/>
        <w:jc w:val="both"/>
        <w:rPr>
          <w:rFonts w:hint="eastAsia" w:ascii="仿宋" w:hAnsi="仿宋" w:eastAsia="仿宋" w:cs="仿宋"/>
        </w:rPr>
      </w:pPr>
    </w:p>
    <w:p w14:paraId="4436974A">
      <w:pPr>
        <w:rPr>
          <w:rFonts w:hint="eastAsia" w:ascii="仿宋" w:hAnsi="仿宋" w:eastAsia="仿宋" w:cs="仿宋"/>
        </w:rPr>
      </w:pPr>
    </w:p>
    <w:p w14:paraId="7220F612">
      <w:pPr>
        <w:widowControl/>
        <w:adjustRightInd/>
        <w:jc w:val="left"/>
        <w:rPr>
          <w:rFonts w:hint="eastAsia" w:ascii="仿宋" w:hAnsi="仿宋" w:eastAsia="仿宋" w:cs="仿宋"/>
          <w:b/>
          <w:sz w:val="32"/>
        </w:rPr>
      </w:pPr>
    </w:p>
    <w:bookmarkEnd w:id="39"/>
    <w:p w14:paraId="543DBD63">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2D02A5D1">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5F0AB1F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（货物类样本）</w:t>
      </w:r>
    </w:p>
    <w:p w14:paraId="28EAEEDE">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eastAsia="zh-CN"/>
        </w:rPr>
        <w:t>人</w:t>
      </w:r>
      <w:r>
        <w:rPr>
          <w:rFonts w:hint="eastAsia" w:ascii="仿宋" w:hAnsi="仿宋" w:eastAsia="仿宋" w:cs="仿宋"/>
          <w:color w:val="auto"/>
          <w:szCs w:val="21"/>
          <w:highlight w:val="none"/>
        </w:rPr>
        <w:t>（以下简称乙方）结合本项目具体情况协商后签订。以下为</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提出涉及乙方的主要条款，</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在招标文件中应对其进行确认或拒绝。如</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在其招标文件中未做拒绝或提出修改要求的，采购人将视作认同。</w:t>
      </w:r>
    </w:p>
    <w:p w14:paraId="252B9604">
      <w:pPr>
        <w:rPr>
          <w:rFonts w:hint="eastAsia" w:ascii="仿宋" w:hAnsi="仿宋" w:eastAsia="仿宋" w:cs="仿宋"/>
          <w:color w:val="auto"/>
          <w:szCs w:val="21"/>
          <w:highlight w:val="none"/>
        </w:rPr>
      </w:pPr>
    </w:p>
    <w:p w14:paraId="684366A2">
      <w:pPr>
        <w:pStyle w:val="3"/>
        <w:numPr>
          <w:ilvl w:val="0"/>
          <w:numId w:val="0"/>
        </w:numPr>
        <w:ind w:leftChars="0"/>
      </w:pPr>
    </w:p>
    <w:p w14:paraId="42DDB115">
      <w:pPr>
        <w:shd w:val="clear"/>
        <w:tabs>
          <w:tab w:val="left" w:pos="2143"/>
          <w:tab w:val="center" w:pos="4664"/>
        </w:tabs>
        <w:spacing w:line="360" w:lineRule="auto"/>
        <w:jc w:val="center"/>
        <w:rPr>
          <w:rFonts w:hint="eastAsia" w:ascii="仿宋" w:hAnsi="仿宋" w:eastAsia="仿宋" w:cs="仿宋"/>
          <w:b/>
          <w:color w:val="auto"/>
          <w:sz w:val="36"/>
          <w:szCs w:val="36"/>
          <w:highlight w:val="none"/>
          <w:lang w:val="en-US" w:eastAsia="zh-CN"/>
        </w:rPr>
      </w:pPr>
    </w:p>
    <w:p w14:paraId="71FD3D89">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杭州市萧山区第一人民医院XXX </w:t>
      </w:r>
      <w:r>
        <w:rPr>
          <w:rFonts w:hint="eastAsia" w:ascii="仿宋" w:hAnsi="仿宋" w:eastAsia="仿宋" w:cs="仿宋"/>
          <w:b/>
          <w:color w:val="auto"/>
          <w:sz w:val="36"/>
          <w:szCs w:val="36"/>
          <w:highlight w:val="none"/>
        </w:rPr>
        <w:t>采购合同</w:t>
      </w:r>
    </w:p>
    <w:p w14:paraId="3075EDCC">
      <w:pPr>
        <w:pStyle w:val="3"/>
        <w:numPr>
          <w:ilvl w:val="0"/>
          <w:numId w:val="0"/>
        </w:numPr>
        <w:ind w:leftChars="0"/>
        <w:rPr>
          <w:rFonts w:hint="eastAsia"/>
        </w:rPr>
      </w:pPr>
    </w:p>
    <w:p w14:paraId="0DE1C606">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7B076516">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418B3AE7">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XSYY2024-GJ-09 二次</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647"/>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447CD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06736F06">
            <w:pPr>
              <w:pStyle w:val="502"/>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79C00E6B">
            <w:pPr>
              <w:pStyle w:val="50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6C173544">
            <w:pPr>
              <w:pStyle w:val="502"/>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6A7A44DE">
            <w:pPr>
              <w:pStyle w:val="502"/>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5C45DC8C">
            <w:pPr>
              <w:pStyle w:val="50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4883D222">
            <w:pPr>
              <w:pStyle w:val="502"/>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27B9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44398417">
            <w:pPr>
              <w:pStyle w:val="502"/>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3E720C32">
            <w:pPr>
              <w:pStyle w:val="502"/>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5564BF74">
            <w:pPr>
              <w:pStyle w:val="502"/>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0A37FF78">
            <w:pPr>
              <w:pStyle w:val="502"/>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1D4929A0">
            <w:pPr>
              <w:pStyle w:val="502"/>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79799FCA">
            <w:pPr>
              <w:pStyle w:val="502"/>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3A5BA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7F7BDFF9">
            <w:pPr>
              <w:pStyle w:val="502"/>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02E130C7">
            <w:pPr>
              <w:pStyle w:val="502"/>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4C3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1F0C44B1">
            <w:pPr>
              <w:pStyle w:val="502"/>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4E884F70">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69402A2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5CBD95B6">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7C355C79">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single"/>
        </w:rPr>
        <w:t>保修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，从双方签署安装验收合格单之日开始计算。保修期内工时费和更换零配件免费。设备终身维修，零配件供应在该设备停产后应不少于</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nl-NL"/>
        </w:rPr>
        <w:t>保修期内设备</w:t>
      </w:r>
      <w:r>
        <w:rPr>
          <w:rFonts w:hint="eastAsia" w:ascii="仿宋" w:hAnsi="仿宋" w:eastAsia="仿宋" w:cs="仿宋"/>
          <w:color w:val="auto"/>
          <w:kern w:val="0"/>
          <w:sz w:val="24"/>
          <w:highlight w:val="none"/>
          <w:lang w:val="nl-NL" w:eastAsia="zh-CN"/>
        </w:rPr>
        <w:t>正常</w:t>
      </w:r>
      <w:r>
        <w:rPr>
          <w:rFonts w:hint="eastAsia" w:ascii="仿宋" w:hAnsi="仿宋" w:eastAsia="仿宋" w:cs="仿宋"/>
          <w:color w:val="auto"/>
          <w:kern w:val="0"/>
          <w:sz w:val="24"/>
          <w:highlight w:val="none"/>
          <w:lang w:val="nl-NL"/>
        </w:rPr>
        <w:t>开机率须达到9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%以上，若达不到9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%开机率，按年自然日计算，开机不足</w:t>
      </w:r>
      <w:r>
        <w:rPr>
          <w:rFonts w:hint="eastAsia" w:ascii="仿宋" w:hAnsi="仿宋" w:eastAsia="仿宋" w:cs="仿宋"/>
          <w:color w:val="auto"/>
          <w:kern w:val="0"/>
          <w:sz w:val="24"/>
          <w:highlight w:val="none"/>
        </w:rPr>
        <w:t>1天</w:t>
      </w:r>
      <w:r>
        <w:rPr>
          <w:rFonts w:hint="eastAsia" w:ascii="仿宋" w:hAnsi="仿宋" w:eastAsia="仿宋" w:cs="仿宋"/>
          <w:color w:val="auto"/>
          <w:kern w:val="0"/>
          <w:sz w:val="24"/>
          <w:highlight w:val="none"/>
          <w:lang w:val="nl-NL"/>
        </w:rPr>
        <w:t>（</w:t>
      </w:r>
      <w:r>
        <w:rPr>
          <w:rFonts w:hint="eastAsia" w:ascii="仿宋" w:hAnsi="仿宋" w:eastAsia="仿宋" w:cs="仿宋"/>
          <w:color w:val="auto"/>
          <w:kern w:val="0"/>
          <w:sz w:val="24"/>
          <w:highlight w:val="none"/>
        </w:rPr>
        <w:t>24小时</w:t>
      </w:r>
      <w:r>
        <w:rPr>
          <w:rFonts w:hint="eastAsia" w:ascii="仿宋" w:hAnsi="仿宋" w:eastAsia="仿宋" w:cs="仿宋"/>
          <w:color w:val="auto"/>
          <w:kern w:val="0"/>
          <w:sz w:val="24"/>
          <w:highlight w:val="none"/>
          <w:lang w:val="nl-NL"/>
        </w:rPr>
        <w:t>）保修期顺延10天。</w:t>
      </w:r>
    </w:p>
    <w:p w14:paraId="791DE850">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乙方应</w:t>
      </w:r>
      <w:r>
        <w:rPr>
          <w:rFonts w:hint="eastAsia" w:ascii="仿宋" w:hAnsi="仿宋" w:eastAsia="仿宋" w:cs="仿宋"/>
          <w:bCs/>
          <w:color w:val="auto"/>
          <w:sz w:val="24"/>
          <w:highlight w:val="none"/>
        </w:rPr>
        <w:t>提供24小时技术电话支持(24小时x365天)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并提供报修电话，以及维修服务网点、人员联系方式。接到报修电话后15分钟内提供专业工程师电话支持。如需派工上门，1小时内确认派工信息和工程师到达医院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(特殊设备因未及时修复给采购方带来损失，采购方有权要求中标方赔偿所有损失)。</w:t>
      </w:r>
      <w:r>
        <w:rPr>
          <w:rFonts w:hint="eastAsia" w:ascii="仿宋" w:hAnsi="仿宋" w:eastAsia="仿宋" w:cs="仿宋"/>
          <w:color w:val="auto"/>
          <w:kern w:val="0"/>
          <w:sz w:val="24"/>
          <w:highlight w:val="none"/>
        </w:rPr>
        <w:t>若因乙方响应不及时、技术服务质量问题导致甲方设备不能及时修复或数据丢失等情况造成甲方损失的，乙方应承担相应经济责任和法律责任。</w:t>
      </w:r>
    </w:p>
    <w:p w14:paraId="21E61985">
      <w:pPr>
        <w:shd w:val="clear"/>
        <w:snapToGrid/>
        <w:spacing w:line="360" w:lineRule="auto"/>
        <w:ind w:firstLine="480" w:firstLineChars="200"/>
        <w:rPr>
          <w:rFonts w:hint="eastAsia" w:ascii="仿宋" w:hAnsi="仿宋" w:eastAsia="仿宋" w:cs="仿宋"/>
          <w:color w:val="auto"/>
          <w:kern w:val="0"/>
          <w:sz w:val="24"/>
          <w:highlight w:val="yellow"/>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w:t>
      </w:r>
      <w:r>
        <w:rPr>
          <w:rFonts w:hint="eastAsia" w:ascii="仿宋" w:hAnsi="仿宋" w:eastAsia="仿宋" w:cs="仿宋"/>
          <w:color w:val="auto"/>
          <w:kern w:val="0"/>
          <w:sz w:val="24"/>
          <w:highlight w:val="none"/>
          <w:lang w:eastAsia="zh-CN" w:bidi="ar"/>
        </w:rPr>
        <w:t>负责</w:t>
      </w:r>
      <w:r>
        <w:rPr>
          <w:rFonts w:hint="eastAsia" w:ascii="仿宋" w:hAnsi="仿宋" w:eastAsia="仿宋" w:cs="仿宋"/>
          <w:color w:val="auto"/>
          <w:kern w:val="0"/>
          <w:sz w:val="24"/>
          <w:highlight w:val="none"/>
          <w:lang w:bidi="ar"/>
        </w:rPr>
        <w:t>维修，由此产生的一切费用均由乙方承担。在质保期内，乙方派员须每3个月对所提供的设备进行检查和保养，并提供书面报告。</w:t>
      </w:r>
    </w:p>
    <w:p w14:paraId="36A40DB5">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67906DD9">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bCs/>
          <w:color w:val="auto"/>
          <w:sz w:val="24"/>
          <w:highlight w:val="none"/>
        </w:rPr>
        <w:t>合同签订后，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接</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60</w:t>
      </w:r>
      <w:r>
        <w:rPr>
          <w:rFonts w:hint="eastAsia" w:ascii="仿宋" w:hAnsi="仿宋" w:eastAsia="仿宋" w:cs="仿宋"/>
          <w:bCs/>
          <w:color w:val="auto"/>
          <w:sz w:val="24"/>
          <w:highlight w:val="none"/>
        </w:rPr>
        <w:t>天内</w:t>
      </w:r>
      <w:r>
        <w:rPr>
          <w:rFonts w:hint="eastAsia" w:ascii="仿宋" w:hAnsi="仿宋" w:eastAsia="仿宋" w:cs="仿宋"/>
          <w:color w:val="auto"/>
          <w:kern w:val="0"/>
          <w:sz w:val="24"/>
          <w:highlight w:val="none"/>
        </w:rPr>
        <w:t>将所供设备运至甲方事先指定的地点</w:t>
      </w:r>
      <w:r>
        <w:rPr>
          <w:rFonts w:hint="eastAsia" w:ascii="仿宋" w:hAnsi="仿宋" w:eastAsia="仿宋" w:cs="仿宋"/>
          <w:color w:val="auto"/>
          <w:kern w:val="0"/>
          <w:sz w:val="24"/>
          <w:highlight w:val="none"/>
          <w:lang w:eastAsia="zh-CN"/>
        </w:rPr>
        <w:t>。</w:t>
      </w:r>
    </w:p>
    <w:p w14:paraId="64FDEA7F">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通知后安装和调试</w:t>
      </w:r>
      <w:r>
        <w:rPr>
          <w:rFonts w:hint="eastAsia" w:ascii="仿宋" w:hAnsi="仿宋" w:eastAsia="仿宋" w:cs="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应承担由此给</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设备科签章后进行设备安装</w:t>
      </w:r>
      <w:r>
        <w:rPr>
          <w:rFonts w:hint="eastAsia" w:ascii="仿宋" w:hAnsi="仿宋" w:eastAsia="仿宋" w:cs="仿宋"/>
          <w:color w:val="auto"/>
          <w:kern w:val="0"/>
          <w:sz w:val="24"/>
          <w:szCs w:val="24"/>
          <w:highlight w:val="none"/>
          <w:lang w:eastAsia="zh-CN"/>
        </w:rPr>
        <w:t>。</w:t>
      </w:r>
    </w:p>
    <w:p w14:paraId="4665B14B">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并验收合格期间产生的包装费、安装费、运输费、保险费、装卸费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14:paraId="09CBAA9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603910F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7EDE7D6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5A84793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7F8102D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7EE4C20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，延迟交货每1天，按合同金额0.5%支付，不足1天按1天计算，最高违约金为合同总价的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6BB4B54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69EEAF28">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40E766F9">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422010B">
      <w:pPr>
        <w:pStyle w:val="23"/>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3E220A21">
      <w:pPr>
        <w:pStyle w:val="23"/>
        <w:shd w:val="clear"/>
        <w:snapToGrid/>
        <w:spacing w:line="360" w:lineRule="auto"/>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229EDF98">
      <w:pPr>
        <w:pStyle w:val="23"/>
        <w:shd w:val="clear"/>
        <w:snapToGrid/>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45AB8488">
      <w:pPr>
        <w:pStyle w:val="23"/>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2FBCEEEF">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7B6ED08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41217E9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2C1C0FAA">
      <w:pPr>
        <w:pStyle w:val="50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14:paraId="00294B4D">
      <w:pPr>
        <w:pStyle w:val="50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7280CD3C">
      <w:pPr>
        <w:pStyle w:val="505"/>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6A46311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1145E519">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1088CFF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1FB7729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542EDF63">
      <w:pPr>
        <w:pStyle w:val="23"/>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2"/>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1B52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0A93B2F9">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30E80F59">
            <w:pPr>
              <w:pStyle w:val="61"/>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064887D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51BE4D6D">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3BF8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C286BBA">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37309381">
            <w:pPr>
              <w:pStyle w:val="61"/>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3617778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004087EF">
            <w:pPr>
              <w:pStyle w:val="61"/>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664E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48502D36">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679DAAF9">
            <w:pPr>
              <w:pStyle w:val="61"/>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65029365">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1FF1F3AF">
            <w:pPr>
              <w:pStyle w:val="61"/>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30A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06A8B82F">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6A586EEA">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2BCA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551A4892">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695AF99E">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14D89C62">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225DCF30">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AAE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3299A0A1">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68C27EA2">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4DA09A76">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5534E0FD">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7DD8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43206ABF">
            <w:pPr>
              <w:pStyle w:val="61"/>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21E95185">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6F1B16D1">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7671F8A5">
            <w:pPr>
              <w:pStyle w:val="61"/>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F46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61BFA4D0">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B61F2E4">
            <w:pPr>
              <w:pStyle w:val="61"/>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61FF7F3">
            <w:pPr>
              <w:pStyle w:val="61"/>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0CE159B3">
            <w:pPr>
              <w:pStyle w:val="61"/>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5735FB1">
      <w:pPr>
        <w:pStyle w:val="39"/>
        <w:shd w:val="clear"/>
        <w:spacing w:line="360" w:lineRule="auto"/>
        <w:rPr>
          <w:rFonts w:hint="eastAsia" w:ascii="仿宋" w:hAnsi="仿宋" w:eastAsia="仿宋" w:cs="仿宋"/>
          <w:color w:val="auto"/>
          <w:kern w:val="0"/>
          <w:sz w:val="24"/>
          <w:highlight w:val="none"/>
          <w:lang w:val="en-US" w:eastAsia="zh-CN"/>
        </w:rPr>
      </w:pPr>
    </w:p>
    <w:p w14:paraId="7382FCC4">
      <w:pPr>
        <w:pStyle w:val="39"/>
        <w:shd w:val="clear"/>
        <w:spacing w:line="360" w:lineRule="auto"/>
        <w:rPr>
          <w:rFonts w:hint="eastAsia" w:ascii="仿宋" w:hAnsi="仿宋" w:eastAsia="仿宋" w:cs="仿宋"/>
          <w:color w:val="auto"/>
          <w:kern w:val="0"/>
          <w:sz w:val="24"/>
          <w:highlight w:val="none"/>
          <w:lang w:val="en-US" w:eastAsia="zh-CN"/>
        </w:rPr>
      </w:pPr>
    </w:p>
    <w:p w14:paraId="6A7B1A02">
      <w:pPr>
        <w:pStyle w:val="39"/>
        <w:shd w:val="clear"/>
        <w:spacing w:line="360" w:lineRule="auto"/>
        <w:rPr>
          <w:rFonts w:hint="eastAsia" w:ascii="仿宋" w:hAnsi="仿宋" w:eastAsia="仿宋" w:cs="仿宋"/>
          <w:color w:val="auto"/>
          <w:kern w:val="0"/>
          <w:sz w:val="24"/>
          <w:highlight w:val="none"/>
          <w:lang w:val="en-US" w:eastAsia="zh-CN"/>
        </w:rPr>
      </w:pPr>
    </w:p>
    <w:p w14:paraId="0C0CF589">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77032DF3">
      <w:pPr>
        <w:pStyle w:val="39"/>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2"/>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3BAB7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5163B9E8">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46DAEC02">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6740D4B9">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14974CE7">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500313A2">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595B2AD9">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536303FE">
            <w:pPr>
              <w:pStyle w:val="502"/>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7A34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57BE55BB">
            <w:pPr>
              <w:pStyle w:val="50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31AB3039">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277616B">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CA0B629">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8399822">
            <w:pPr>
              <w:pStyle w:val="502"/>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CF2C578">
            <w:pPr>
              <w:pStyle w:val="502"/>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2AC815B">
            <w:pPr>
              <w:pStyle w:val="502"/>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CFBE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37FD402E">
            <w:pPr>
              <w:pStyle w:val="502"/>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20F6F713">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3FEA33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4C1056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B5701A9">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08D80B6">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7C8EF0F">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11DA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6EE204B">
            <w:pPr>
              <w:pStyle w:val="50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2A0D75FF">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D2C8D9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1532FF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A9CDED1">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BC30A29">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C141A95">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4BEC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E452479">
            <w:pPr>
              <w:pStyle w:val="502"/>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4D0A538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4455C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14B88B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E45C70F">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13F2BBF">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FB800D2">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8C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E14B002">
            <w:pPr>
              <w:pStyle w:val="50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0604DA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516DBA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CFA57D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861CA37">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6AFE7F9">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3816527D">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F64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37EF58C">
            <w:pPr>
              <w:pStyle w:val="502"/>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39C2110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7FC9DC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9C3578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37623D74">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96422BA">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ED8373D">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B267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108CA8D">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57ECD95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6A9170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54E40E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6A248A3">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972ABC7">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2A4F48">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5BE3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3D1E2376">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0106817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6ECF9B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B9F3E2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F2550C8">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D4BF1EA">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BC5D95E">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7EE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34A486E1">
            <w:pPr>
              <w:pStyle w:val="50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4C6A998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6B312B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A85FFB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173D925">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2678775">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CE34C5B">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24F7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5BC7A339">
            <w:pPr>
              <w:pStyle w:val="502"/>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D048CCC">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7DA2A9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B4D7EA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8F347C8">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06751A1">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7BA50DF">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AE5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4965F45C">
            <w:pPr>
              <w:pStyle w:val="502"/>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4AAF873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EED6A7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68E678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65671E2">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FADD656">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771B1BA">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37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3CD6C93F">
            <w:pPr>
              <w:pStyle w:val="502"/>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0319634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69775EC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5EBDA6A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2C2A158D">
            <w:pPr>
              <w:pStyle w:val="502"/>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495FABA2">
            <w:pPr>
              <w:pStyle w:val="502"/>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42E0C7F5">
            <w:pPr>
              <w:pStyle w:val="502"/>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039972DC">
      <w:pPr>
        <w:shd w:val="clear"/>
        <w:spacing w:line="360" w:lineRule="auto"/>
        <w:rPr>
          <w:rFonts w:hint="eastAsia" w:ascii="仿宋" w:hAnsi="仿宋" w:eastAsia="仿宋" w:cs="仿宋"/>
          <w:color w:val="auto"/>
          <w:sz w:val="24"/>
          <w:highlight w:val="none"/>
        </w:rPr>
      </w:pPr>
    </w:p>
    <w:p w14:paraId="10FD990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EC84D1">
      <w:pPr>
        <w:pStyle w:val="580"/>
        <w:shd w:val="clear"/>
        <w:ind w:left="0" w:leftChars="0" w:firstLine="0" w:firstLineChars="0"/>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附件2：</w:t>
      </w:r>
    </w:p>
    <w:p w14:paraId="424096DD">
      <w:pPr>
        <w:pStyle w:val="580"/>
        <w:shd w:val="clear"/>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廉洁合规相关承诺书</w:t>
      </w:r>
    </w:p>
    <w:p w14:paraId="46D61F9B">
      <w:pPr>
        <w:pStyle w:val="580"/>
        <w:numPr>
          <w:ilvl w:val="0"/>
          <w:numId w:val="11"/>
        </w:numPr>
        <w:shd w:val="clear"/>
        <w:tabs>
          <w:tab w:val="left" w:pos="0"/>
          <w:tab w:val="clear" w:pos="2790"/>
          <w:tab w:val="clear" w:pos="4230"/>
        </w:tabs>
        <w:spacing w:line="360" w:lineRule="auto"/>
        <w:ind w:left="0" w:leftChars="0" w:hanging="1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合规条款</w:t>
      </w:r>
    </w:p>
    <w:p w14:paraId="2790FAB8">
      <w:pPr>
        <w:pStyle w:val="580"/>
        <w:numPr>
          <w:ilvl w:val="0"/>
          <w:numId w:val="12"/>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w:t>
      </w:r>
      <w:r>
        <w:rPr>
          <w:rFonts w:hint="eastAsia" w:ascii="仿宋" w:hAnsi="仿宋" w:eastAsia="仿宋" w:cs="仿宋"/>
          <w:b w:val="0"/>
          <w:bCs w:val="0"/>
          <w:color w:val="auto"/>
          <w:kern w:val="2"/>
          <w:sz w:val="24"/>
          <w:szCs w:val="24"/>
          <w:highlight w:val="none"/>
          <w:lang w:eastAsia="zh-CN"/>
        </w:rPr>
        <w:t>甲方</w:t>
      </w:r>
      <w:r>
        <w:rPr>
          <w:rFonts w:hint="eastAsia" w:ascii="仿宋" w:hAnsi="仿宋" w:eastAsia="仿宋" w:cs="仿宋"/>
          <w:b w:val="0"/>
          <w:bCs w:val="0"/>
          <w:color w:val="auto"/>
          <w:kern w:val="2"/>
          <w:sz w:val="24"/>
          <w:szCs w:val="24"/>
          <w:highlight w:val="none"/>
        </w:rPr>
        <w:t>运营符合法律法规要求，遵守乙方及其分支机构所在国家和地区需适用的法律法规，包括但不限于当地的、国家的、地区的和国际的法律法规；保证</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每一个员工接受到足够的有关法律法规的信息和培训。</w:t>
      </w:r>
    </w:p>
    <w:p w14:paraId="0742AE7A">
      <w:pPr>
        <w:pStyle w:val="580"/>
        <w:numPr>
          <w:ilvl w:val="0"/>
          <w:numId w:val="12"/>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在和甲方的商业合作中遵循公平竞争的原则，遵守国家及地方有关反商业贿赂、反不正当竞争及反垄断行为的各项规定，在其商业活动中，有义务遵守良好的商业道德，不得提供虚假资料或使用其他违背诚实信用原则的方式开展商业活动。</w:t>
      </w:r>
    </w:p>
    <w:p w14:paraId="4096A634">
      <w:pPr>
        <w:pStyle w:val="580"/>
        <w:numPr>
          <w:ilvl w:val="0"/>
          <w:numId w:val="12"/>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乙方保证加强对自身人员的管理，要求其员工、代理人、管理人员严格遵守所在地法律法规，自觉抵制业务活动中不符合职业道德的不廉洁商业行为。</w:t>
      </w:r>
    </w:p>
    <w:p w14:paraId="425738CC">
      <w:pPr>
        <w:pStyle w:val="580"/>
        <w:numPr>
          <w:ilvl w:val="0"/>
          <w:numId w:val="11"/>
        </w:numPr>
        <w:shd w:val="clear"/>
        <w:tabs>
          <w:tab w:val="left" w:pos="0"/>
          <w:tab w:val="clear" w:pos="2790"/>
          <w:tab w:val="clear" w:pos="4230"/>
        </w:tabs>
        <w:spacing w:line="360" w:lineRule="auto"/>
        <w:ind w:left="0" w:leftChars="0" w:hanging="1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反商业贿赂和反舞弊</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廉洁条款</w:t>
      </w:r>
      <w:r>
        <w:rPr>
          <w:rFonts w:hint="eastAsia" w:ascii="仿宋" w:hAnsi="仿宋" w:eastAsia="仿宋" w:cs="仿宋"/>
          <w:color w:val="auto"/>
          <w:kern w:val="2"/>
          <w:sz w:val="24"/>
          <w:szCs w:val="24"/>
          <w:highlight w:val="none"/>
          <w:lang w:eastAsia="zh-CN"/>
        </w:rPr>
        <w:t>）</w:t>
      </w:r>
    </w:p>
    <w:p w14:paraId="06CB2C9B">
      <w:pPr>
        <w:pStyle w:val="580"/>
        <w:numPr>
          <w:ilvl w:val="0"/>
          <w:numId w:val="13"/>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乙方保证自觉遵守国家、地方法律法规以及本</w:t>
      </w:r>
      <w:r>
        <w:rPr>
          <w:rFonts w:hint="eastAsia" w:ascii="仿宋" w:hAnsi="仿宋" w:eastAsia="仿宋" w:cs="仿宋"/>
          <w:b w:val="0"/>
          <w:bCs w:val="0"/>
          <w:color w:val="auto"/>
          <w:kern w:val="2"/>
          <w:sz w:val="24"/>
          <w:szCs w:val="24"/>
          <w:highlight w:val="none"/>
          <w:lang w:val="en-US" w:eastAsia="zh-CN"/>
        </w:rPr>
        <w:t>合同</w:t>
      </w:r>
      <w:r>
        <w:rPr>
          <w:rFonts w:hint="eastAsia" w:ascii="仿宋" w:hAnsi="仿宋" w:eastAsia="仿宋" w:cs="仿宋"/>
          <w:b w:val="0"/>
          <w:bCs w:val="0"/>
          <w:color w:val="auto"/>
          <w:kern w:val="2"/>
          <w:sz w:val="24"/>
          <w:szCs w:val="24"/>
          <w:highlight w:val="none"/>
        </w:rPr>
        <w:t>的约定，在合同的订立、履行过程中廉洁自律。</w:t>
      </w:r>
    </w:p>
    <w:p w14:paraId="42AEDB82">
      <w:pPr>
        <w:pStyle w:val="580"/>
        <w:numPr>
          <w:ilvl w:val="0"/>
          <w:numId w:val="13"/>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w:t>
      </w:r>
      <w:r>
        <w:rPr>
          <w:rFonts w:hint="eastAsia" w:ascii="仿宋" w:hAnsi="仿宋" w:eastAsia="仿宋" w:cs="仿宋"/>
          <w:b w:val="0"/>
          <w:bCs w:val="0"/>
          <w:color w:val="auto"/>
          <w:kern w:val="2"/>
          <w:sz w:val="24"/>
          <w:szCs w:val="24"/>
          <w:highlight w:val="none"/>
          <w:lang w:val="en-US" w:eastAsia="zh-CN"/>
        </w:rPr>
        <w:t>决</w:t>
      </w:r>
      <w:r>
        <w:rPr>
          <w:rFonts w:hint="eastAsia" w:ascii="仿宋" w:hAnsi="仿宋" w:eastAsia="仿宋" w:cs="仿宋"/>
          <w:b w:val="0"/>
          <w:bCs w:val="0"/>
          <w:color w:val="auto"/>
          <w:kern w:val="2"/>
          <w:sz w:val="24"/>
          <w:szCs w:val="24"/>
          <w:highlight w:val="none"/>
          <w:lang w:eastAsia="zh-CN"/>
        </w:rPr>
        <w:t>不</w:t>
      </w:r>
      <w:r>
        <w:rPr>
          <w:rFonts w:hint="eastAsia" w:ascii="仿宋" w:hAnsi="仿宋" w:eastAsia="仿宋" w:cs="仿宋"/>
          <w:b w:val="0"/>
          <w:bCs w:val="0"/>
          <w:color w:val="auto"/>
          <w:kern w:val="2"/>
          <w:sz w:val="24"/>
          <w:szCs w:val="24"/>
          <w:highlight w:val="none"/>
        </w:rPr>
        <w:t>为获得交易机会或为达到交易目的而向甲方的任何人员及其关系人或第三方提供、给付各种不正当利益或达成不正当利益的分成。</w:t>
      </w:r>
    </w:p>
    <w:p w14:paraId="6AAD8DD6">
      <w:pPr>
        <w:pStyle w:val="580"/>
        <w:numPr>
          <w:ilvl w:val="0"/>
          <w:numId w:val="13"/>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w:t>
      </w:r>
      <w:r>
        <w:rPr>
          <w:rFonts w:hint="eastAsia" w:ascii="仿宋" w:hAnsi="仿宋" w:eastAsia="仿宋" w:cs="仿宋"/>
          <w:b w:val="0"/>
          <w:bCs w:val="0"/>
          <w:color w:val="auto"/>
          <w:kern w:val="2"/>
          <w:sz w:val="24"/>
          <w:szCs w:val="24"/>
          <w:highlight w:val="none"/>
          <w:lang w:val="en-US" w:eastAsia="zh-CN"/>
        </w:rPr>
        <w:t>决</w:t>
      </w:r>
      <w:r>
        <w:rPr>
          <w:rFonts w:hint="eastAsia" w:ascii="仿宋" w:hAnsi="仿宋" w:eastAsia="仿宋" w:cs="仿宋"/>
          <w:b w:val="0"/>
          <w:bCs w:val="0"/>
          <w:color w:val="auto"/>
          <w:kern w:val="2"/>
          <w:sz w:val="24"/>
          <w:szCs w:val="24"/>
          <w:highlight w:val="none"/>
          <w:lang w:eastAsia="zh-CN"/>
        </w:rPr>
        <w:t>不</w:t>
      </w:r>
      <w:r>
        <w:rPr>
          <w:rFonts w:hint="eastAsia" w:ascii="仿宋" w:hAnsi="仿宋" w:eastAsia="仿宋" w:cs="仿宋"/>
          <w:b w:val="0"/>
          <w:bCs w:val="0"/>
          <w:color w:val="auto"/>
          <w:kern w:val="2"/>
          <w:sz w:val="24"/>
          <w:szCs w:val="24"/>
          <w:highlight w:val="none"/>
        </w:rPr>
        <w:t>向甲方的任何人员或其关系人及/或其指定人要求进行任何贿赂或给付其他不正当利益，包括但不限于给予现金或商品形式的回扣、礼金、有价票券、借款、免费旅游或度假、招待、娱乐、置业、房屋装修、餐饮宴席、节日礼物、通讯工具、解决子女或亲属入学以及就业等一切精神上或物质上的利益。</w:t>
      </w:r>
    </w:p>
    <w:p w14:paraId="3BCF755C">
      <w:pPr>
        <w:pStyle w:val="580"/>
        <w:numPr>
          <w:ilvl w:val="0"/>
          <w:numId w:val="13"/>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决不为谋取不正当利益引诱或使甲方的任何人员违背职务接受或共同编造虚假议价资料、影响交易价格或交易的达成，或使其擅自同意或暗中默认将交易机会给予乙方或第三方，以及其他损害甲方利益的行为。</w:t>
      </w:r>
    </w:p>
    <w:p w14:paraId="312F6BDE">
      <w:pPr>
        <w:pStyle w:val="580"/>
        <w:shd w:val="clear"/>
        <w:tabs>
          <w:tab w:val="left" w:pos="0"/>
          <w:tab w:val="clear" w:pos="2790"/>
          <w:tab w:val="clear" w:pos="4230"/>
        </w:tabs>
        <w:spacing w:line="360" w:lineRule="auto"/>
        <w:ind w:left="0" w:leftChars="0" w:hanging="10" w:firstLineChars="0"/>
        <w:rPr>
          <w:rFonts w:hint="eastAsia" w:ascii="仿宋" w:hAnsi="仿宋" w:eastAsia="仿宋" w:cs="仿宋"/>
          <w:color w:val="auto"/>
          <w:kern w:val="2"/>
          <w:sz w:val="24"/>
          <w:szCs w:val="24"/>
          <w:highlight w:val="none"/>
        </w:rPr>
      </w:pPr>
    </w:p>
    <w:p w14:paraId="3832C0D7">
      <w:pPr>
        <w:pStyle w:val="580"/>
        <w:numPr>
          <w:ilvl w:val="0"/>
          <w:numId w:val="11"/>
        </w:numPr>
        <w:shd w:val="clear"/>
        <w:tabs>
          <w:tab w:val="left" w:pos="0"/>
          <w:tab w:val="clear" w:pos="2790"/>
          <w:tab w:val="clear" w:pos="4230"/>
        </w:tabs>
        <w:spacing w:line="360" w:lineRule="auto"/>
        <w:ind w:left="0" w:leftChars="0" w:hanging="1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利益冲突条款</w:t>
      </w:r>
    </w:p>
    <w:p w14:paraId="4AC79433">
      <w:pPr>
        <w:pStyle w:val="580"/>
        <w:numPr>
          <w:ilvl w:val="0"/>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决不以任何形式雇佣甲方员工及其关系人到乙方或乙方的关联公司工作。如乙方在签署本合同前已雇佣甲方员工或其亲属在乙方或乙方的关联公司工作，则应当在签署本合同之时将该事实披露给甲方知悉。</w:t>
      </w:r>
    </w:p>
    <w:p w14:paraId="7D33A728">
      <w:pPr>
        <w:pStyle w:val="580"/>
        <w:numPr>
          <w:ilvl w:val="0"/>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乙方保证决不以任何形式雇佣从甲方离职十年内的员工及其亲属担任重要职位或担任与甲方业务接口工作，或合作过程中不得接受甲方在职人员或离职人员及其亲属或投资伙伴投资、持股。</w:t>
      </w:r>
    </w:p>
    <w:p w14:paraId="25ADBB49">
      <w:pPr>
        <w:pStyle w:val="580"/>
        <w:numPr>
          <w:ilvl w:val="0"/>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乙方与甲方存在下列几种情况时，乙方应将该事实于双方合作业务发生前及本</w:t>
      </w:r>
      <w:r>
        <w:rPr>
          <w:rFonts w:hint="eastAsia" w:ascii="仿宋" w:hAnsi="仿宋" w:eastAsia="仿宋" w:cs="仿宋"/>
          <w:b w:val="0"/>
          <w:bCs w:val="0"/>
          <w:color w:val="auto"/>
          <w:kern w:val="2"/>
          <w:sz w:val="24"/>
          <w:szCs w:val="24"/>
          <w:highlight w:val="none"/>
          <w:lang w:eastAsia="zh-CN"/>
        </w:rPr>
        <w:t>合同</w:t>
      </w:r>
      <w:r>
        <w:rPr>
          <w:rFonts w:hint="eastAsia" w:ascii="仿宋" w:hAnsi="仿宋" w:eastAsia="仿宋" w:cs="仿宋"/>
          <w:b w:val="0"/>
          <w:bCs w:val="0"/>
          <w:color w:val="auto"/>
          <w:kern w:val="2"/>
          <w:sz w:val="24"/>
          <w:szCs w:val="24"/>
          <w:highlight w:val="none"/>
        </w:rPr>
        <w:t>签订时披露给甲方知悉，否则甲方有权单方解除本</w:t>
      </w:r>
      <w:r>
        <w:rPr>
          <w:rFonts w:hint="eastAsia" w:ascii="仿宋" w:hAnsi="仿宋" w:eastAsia="仿宋" w:cs="仿宋"/>
          <w:b w:val="0"/>
          <w:bCs w:val="0"/>
          <w:color w:val="auto"/>
          <w:kern w:val="2"/>
          <w:sz w:val="24"/>
          <w:szCs w:val="24"/>
          <w:highlight w:val="none"/>
          <w:lang w:eastAsia="zh-CN"/>
        </w:rPr>
        <w:t>合同</w:t>
      </w:r>
      <w:r>
        <w:rPr>
          <w:rFonts w:hint="eastAsia" w:ascii="仿宋" w:hAnsi="仿宋" w:eastAsia="仿宋" w:cs="仿宋"/>
          <w:b w:val="0"/>
          <w:bCs w:val="0"/>
          <w:color w:val="auto"/>
          <w:kern w:val="2"/>
          <w:sz w:val="24"/>
          <w:szCs w:val="24"/>
          <w:highlight w:val="none"/>
        </w:rPr>
        <w:t>及双方签订的所有合同，并依据双方相关业务合同及本</w:t>
      </w:r>
      <w:r>
        <w:rPr>
          <w:rFonts w:hint="eastAsia" w:ascii="仿宋" w:hAnsi="仿宋" w:eastAsia="仿宋" w:cs="仿宋"/>
          <w:b w:val="0"/>
          <w:bCs w:val="0"/>
          <w:color w:val="auto"/>
          <w:kern w:val="2"/>
          <w:sz w:val="24"/>
          <w:szCs w:val="24"/>
          <w:highlight w:val="none"/>
          <w:lang w:eastAsia="zh-CN"/>
        </w:rPr>
        <w:t>合同</w:t>
      </w:r>
      <w:r>
        <w:rPr>
          <w:rFonts w:hint="eastAsia" w:ascii="仿宋" w:hAnsi="仿宋" w:eastAsia="仿宋" w:cs="仿宋"/>
          <w:b w:val="0"/>
          <w:bCs w:val="0"/>
          <w:color w:val="auto"/>
          <w:kern w:val="2"/>
          <w:sz w:val="24"/>
          <w:szCs w:val="24"/>
          <w:highlight w:val="none"/>
        </w:rPr>
        <w:t>约定追究乙方违约责任。</w:t>
      </w:r>
    </w:p>
    <w:p w14:paraId="14F82B26">
      <w:pPr>
        <w:pStyle w:val="580"/>
        <w:numPr>
          <w:ilvl w:val="1"/>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乙方与甲方的任何人员之间有合作关系；</w:t>
      </w:r>
    </w:p>
    <w:p w14:paraId="41F9D595">
      <w:pPr>
        <w:pStyle w:val="580"/>
        <w:numPr>
          <w:ilvl w:val="1"/>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乙方员工或亲属持有甲方股份；</w:t>
      </w:r>
    </w:p>
    <w:p w14:paraId="0A4D0952">
      <w:pPr>
        <w:pStyle w:val="580"/>
        <w:numPr>
          <w:ilvl w:val="1"/>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乙方员工属于关系人的范围；</w:t>
      </w:r>
    </w:p>
    <w:p w14:paraId="59DFBF03">
      <w:pPr>
        <w:pStyle w:val="580"/>
        <w:numPr>
          <w:ilvl w:val="1"/>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甲方离职员工</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离职10年内</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及其亲属或投资伙伴在乙方投资、入股、担任重要职位或担任与甲方业务接口工作的。</w:t>
      </w:r>
    </w:p>
    <w:p w14:paraId="4109962B">
      <w:pPr>
        <w:pStyle w:val="580"/>
        <w:numPr>
          <w:ilvl w:val="0"/>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乙方与甲方在职管理人员存在关联关系、合作服务关系或属于关系人的，应当在合作业务发生前及本</w:t>
      </w:r>
      <w:r>
        <w:rPr>
          <w:rFonts w:hint="eastAsia" w:ascii="仿宋" w:hAnsi="仿宋" w:eastAsia="仿宋" w:cs="仿宋"/>
          <w:b w:val="0"/>
          <w:bCs w:val="0"/>
          <w:color w:val="auto"/>
          <w:kern w:val="2"/>
          <w:sz w:val="24"/>
          <w:szCs w:val="24"/>
          <w:highlight w:val="none"/>
          <w:lang w:eastAsia="zh-CN"/>
        </w:rPr>
        <w:t>合同</w:t>
      </w:r>
      <w:r>
        <w:rPr>
          <w:rFonts w:hint="eastAsia" w:ascii="仿宋" w:hAnsi="仿宋" w:eastAsia="仿宋" w:cs="仿宋"/>
          <w:b w:val="0"/>
          <w:bCs w:val="0"/>
          <w:color w:val="auto"/>
          <w:kern w:val="2"/>
          <w:sz w:val="24"/>
          <w:szCs w:val="24"/>
          <w:highlight w:val="none"/>
        </w:rPr>
        <w:t>签订前主动按照甲方要求进行申报，并获甲方批准后方可合作。</w:t>
      </w:r>
    </w:p>
    <w:p w14:paraId="4BEDF21D">
      <w:pPr>
        <w:pStyle w:val="580"/>
        <w:numPr>
          <w:ilvl w:val="0"/>
          <w:numId w:val="14"/>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乙方如发现甲方工作人员有违反上述</w:t>
      </w:r>
      <w:r>
        <w:rPr>
          <w:rFonts w:hint="eastAsia" w:ascii="仿宋" w:hAnsi="仿宋" w:eastAsia="仿宋" w:cs="仿宋"/>
          <w:b w:val="0"/>
          <w:bCs w:val="0"/>
          <w:color w:val="auto"/>
          <w:kern w:val="2"/>
          <w:sz w:val="24"/>
          <w:szCs w:val="24"/>
          <w:highlight w:val="none"/>
          <w:lang w:eastAsia="zh-CN"/>
        </w:rPr>
        <w:t>合同</w:t>
      </w:r>
      <w:r>
        <w:rPr>
          <w:rFonts w:hint="eastAsia" w:ascii="仿宋" w:hAnsi="仿宋" w:eastAsia="仿宋" w:cs="仿宋"/>
          <w:b w:val="0"/>
          <w:bCs w:val="0"/>
          <w:color w:val="auto"/>
          <w:kern w:val="2"/>
          <w:sz w:val="24"/>
          <w:szCs w:val="24"/>
          <w:highlight w:val="none"/>
        </w:rPr>
        <w:t>者，应向甲方举报。</w:t>
      </w:r>
    </w:p>
    <w:p w14:paraId="08DD5972">
      <w:pPr>
        <w:pStyle w:val="580"/>
        <w:numPr>
          <w:ilvl w:val="0"/>
          <w:numId w:val="11"/>
        </w:numPr>
        <w:shd w:val="clear"/>
        <w:tabs>
          <w:tab w:val="left" w:pos="0"/>
          <w:tab w:val="clear" w:pos="2790"/>
          <w:tab w:val="clear" w:pos="4230"/>
        </w:tabs>
        <w:spacing w:line="360" w:lineRule="auto"/>
        <w:ind w:left="0" w:leftChars="0" w:hanging="1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反洗钱条款</w:t>
      </w:r>
    </w:p>
    <w:p w14:paraId="086A732E">
      <w:pPr>
        <w:pStyle w:val="580"/>
        <w:numPr>
          <w:ilvl w:val="0"/>
          <w:numId w:val="15"/>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保证其所开展及已开展的运营活动在任何时候均符合所有适用管辖区域的反洗钱相关法律法规，以及由任何政府或政府机构签发、管理或执行的任何相关或类似的规则、法规或指引（统称为“反洗钱法”）。并且，不存在任何法院、政府、监管机构、主管单位、机构或仲裁员正在进行或可能进行的任何涉及甲乙双方公司或其任何子公司有关反洗钱法的法律行动、行动或司法/行政程序。</w:t>
      </w:r>
    </w:p>
    <w:p w14:paraId="5276597E">
      <w:pPr>
        <w:pStyle w:val="580"/>
        <w:numPr>
          <w:ilvl w:val="0"/>
          <w:numId w:val="15"/>
        </w:numPr>
        <w:shd w:val="clear"/>
        <w:tabs>
          <w:tab w:val="left" w:pos="0"/>
          <w:tab w:val="clear" w:pos="2790"/>
          <w:tab w:val="clear" w:pos="4230"/>
        </w:tabs>
        <w:spacing w:line="360" w:lineRule="auto"/>
        <w:ind w:left="0" w:leftChars="0" w:firstLine="420" w:firstLineChars="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乙方应当根据适用法律和税务机关的要求进行税费申报并缴付税费，并应遵守所有适用的反洗钱法律。</w:t>
      </w:r>
    </w:p>
    <w:p w14:paraId="1BCEF11C">
      <w:pPr>
        <w:pStyle w:val="580"/>
        <w:shd w:val="clear"/>
        <w:tabs>
          <w:tab w:val="left" w:pos="0"/>
          <w:tab w:val="clear" w:pos="2790"/>
          <w:tab w:val="clear" w:pos="4230"/>
        </w:tabs>
        <w:spacing w:line="360" w:lineRule="auto"/>
        <w:ind w:left="0" w:leftChars="0" w:hanging="1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乙方（盖章）：                                                      </w:t>
      </w:r>
    </w:p>
    <w:p w14:paraId="54B4D000">
      <w:pPr>
        <w:keepNext w:val="0"/>
        <w:keepLines w:val="0"/>
        <w:pageBreakBefore w:val="0"/>
        <w:widowControl/>
        <w:shd w:val="clear"/>
        <w:kinsoku/>
        <w:wordWrap/>
        <w:overflowPunct/>
        <w:topLinePunct w:val="0"/>
        <w:bidi w:val="0"/>
        <w:spacing w:line="360" w:lineRule="auto"/>
        <w:ind w:left="0" w:leftChars="0" w:hanging="1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日  期：    年   月   日</w:t>
      </w:r>
    </w:p>
    <w:p w14:paraId="59EC737E">
      <w:pPr>
        <w:rPr>
          <w:rFonts w:hint="eastAsia" w:ascii="仿宋" w:hAnsi="仿宋" w:eastAsia="仿宋" w:cs="仿宋"/>
        </w:rPr>
      </w:pPr>
    </w:p>
    <w:p w14:paraId="1BDC6500">
      <w:pPr>
        <w:rPr>
          <w:rFonts w:hint="eastAsia" w:ascii="仿宋" w:hAnsi="仿宋" w:eastAsia="仿宋" w:cs="仿宋"/>
        </w:rPr>
      </w:pPr>
    </w:p>
    <w:p w14:paraId="704AEC8A">
      <w:pPr>
        <w:rPr>
          <w:rFonts w:hint="eastAsia" w:ascii="仿宋" w:hAnsi="仿宋" w:eastAsia="仿宋" w:cs="仿宋"/>
        </w:rPr>
      </w:pPr>
    </w:p>
    <w:p w14:paraId="7CF02820">
      <w:pPr>
        <w:rPr>
          <w:rFonts w:hint="eastAsia" w:ascii="仿宋" w:hAnsi="仿宋" w:eastAsia="仿宋" w:cs="仿宋"/>
        </w:rPr>
      </w:pPr>
    </w:p>
    <w:p w14:paraId="226A0839">
      <w:pPr>
        <w:rPr>
          <w:rFonts w:hint="eastAsia" w:ascii="仿宋" w:hAnsi="仿宋" w:eastAsia="仿宋" w:cs="仿宋"/>
        </w:rPr>
      </w:pPr>
    </w:p>
    <w:p w14:paraId="7161E10C">
      <w:pPr>
        <w:rPr>
          <w:rFonts w:hint="eastAsia" w:ascii="仿宋" w:hAnsi="仿宋" w:eastAsia="仿宋" w:cs="仿宋"/>
        </w:rPr>
      </w:pPr>
    </w:p>
    <w:p w14:paraId="1EBDD9A4">
      <w:pPr>
        <w:rPr>
          <w:rFonts w:hint="eastAsia" w:ascii="仿宋" w:hAnsi="仿宋" w:eastAsia="仿宋" w:cs="仿宋"/>
        </w:rPr>
      </w:pPr>
    </w:p>
    <w:p w14:paraId="63AAAE36">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p>
    <w:p w14:paraId="7301360B">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02B455A8">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4EFC9B1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4B07C75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3331E45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9A2DCFE">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F1F078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06AA97A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1629AC8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6DE682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8C7DFF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5467C91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2527C58">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0BFFFF7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2641873C">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7287B37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57C371C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5A3F324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03DB720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29A4ED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5F3E5A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513B8D64">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20EF8214">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635C2F6F">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456295E4">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7EA29C33">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4EE52F9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F3AC91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542B57A">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E44DB0C">
      <w:pPr>
        <w:rPr>
          <w:rFonts w:hint="eastAsia" w:ascii="仿宋" w:hAnsi="仿宋" w:eastAsia="仿宋" w:cs="仿宋"/>
          <w:color w:val="000000" w:themeColor="text1"/>
          <w14:textFill>
            <w14:solidFill>
              <w14:schemeClr w14:val="tx1"/>
            </w14:solidFill>
          </w14:textFill>
        </w:rPr>
      </w:pPr>
    </w:p>
    <w:p w14:paraId="5FF92E8C">
      <w:pPr>
        <w:rPr>
          <w:rFonts w:hint="eastAsia" w:ascii="仿宋" w:hAnsi="仿宋" w:eastAsia="仿宋" w:cs="仿宋"/>
          <w:b/>
          <w:color w:val="000000" w:themeColor="text1"/>
          <w:kern w:val="0"/>
          <w:sz w:val="32"/>
          <w:szCs w:val="32"/>
          <w14:textFill>
            <w14:solidFill>
              <w14:schemeClr w14:val="tx1"/>
            </w14:solidFill>
          </w14:textFill>
        </w:rPr>
      </w:pPr>
    </w:p>
    <w:p w14:paraId="24D39179">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07FBA2D6">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1F871B2">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7B6F75C9">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DC719F0">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66612301">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DCD97FA">
      <w:pPr>
        <w:widowControl/>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484BF0C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1F7F4F8C">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p>
    <w:p w14:paraId="1CCA2899">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4E854C7">
      <w:pPr>
        <w:rPr>
          <w:rFonts w:hint="eastAsia" w:ascii="仿宋" w:hAnsi="仿宋" w:eastAsia="仿宋" w:cs="仿宋"/>
          <w:color w:val="000000" w:themeColor="text1"/>
          <w14:textFill>
            <w14:solidFill>
              <w14:schemeClr w14:val="tx1"/>
            </w14:solidFill>
          </w14:textFill>
        </w:rPr>
      </w:pPr>
    </w:p>
    <w:p w14:paraId="78DB00D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0A93A7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7CB8B31">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7A0A9A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0B0C75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C68F5F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923306C">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14371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2F0CCD2">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6B6663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A359A7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47683453">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6C0A1CB">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60AB72B2">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7E79563C">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0FE925E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45F265C2">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2E1158A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06CD5B27">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70E72E98">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791F4191">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采购投标人廉洁自律承诺书</w:t>
      </w:r>
      <w:r>
        <w:rPr>
          <w:rFonts w:hint="eastAsia" w:ascii="仿宋" w:hAnsi="仿宋" w:eastAsia="仿宋" w:cs="仿宋"/>
          <w:color w:val="000000" w:themeColor="text1"/>
          <w14:textFill>
            <w14:solidFill>
              <w14:schemeClr w14:val="tx1"/>
            </w14:solidFill>
          </w14:textFill>
        </w:rPr>
        <w:t>…………………………………………………（页码）</w:t>
      </w:r>
    </w:p>
    <w:p w14:paraId="71C129A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5D163E7">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CF89196">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BC00647">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E81F91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AACDEC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6DCBC0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4ADB0F">
      <w:pPr>
        <w:rPr>
          <w:rFonts w:hint="eastAsia" w:ascii="仿宋" w:hAnsi="仿宋" w:eastAsia="仿宋" w:cs="仿宋"/>
          <w:color w:val="000000" w:themeColor="text1"/>
          <w14:textFill>
            <w14:solidFill>
              <w14:schemeClr w14:val="tx1"/>
            </w14:solidFill>
          </w14:textFill>
        </w:rPr>
      </w:pPr>
    </w:p>
    <w:p w14:paraId="55642057">
      <w:pPr>
        <w:snapToGrid w:val="0"/>
        <w:spacing w:line="360" w:lineRule="auto"/>
        <w:outlineLvl w:val="0"/>
        <w:rPr>
          <w:rFonts w:hint="eastAsia" w:ascii="仿宋" w:hAnsi="仿宋" w:eastAsia="仿宋" w:cs="仿宋"/>
          <w:b/>
          <w:color w:val="000000" w:themeColor="text1"/>
          <w:kern w:val="0"/>
          <w:sz w:val="32"/>
          <w:szCs w:val="32"/>
          <w14:textFill>
            <w14:solidFill>
              <w14:schemeClr w14:val="tx1"/>
            </w14:solidFill>
          </w14:textFill>
        </w:rPr>
      </w:pPr>
    </w:p>
    <w:p w14:paraId="1BF64699">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0BA39CC">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193D4CE6">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18F902D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7E0382CB">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79A05EB8">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53B4FF20">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22496AEE">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2C352F69">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37045DE1">
      <w:pPr>
        <w:snapToGrid w:val="0"/>
        <w:spacing w:line="440" w:lineRule="exact"/>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2791390A">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10328B9D">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6D8040FB">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2DE70A5C">
      <w:pPr>
        <w:snapToGrid w:val="0"/>
        <w:spacing w:line="440" w:lineRule="exact"/>
        <w:ind w:left="420" w:leftChars="200"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26F7ECE1">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3148C972">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28268E8F">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采购投标人廉洁自律承诺书</w:t>
      </w:r>
    </w:p>
    <w:p w14:paraId="48060940">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2B36BD4B">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59A96DD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1437B7F4">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38EFC0C6">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66AEF94F">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2D5333EF">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6C2189D1">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1D9EC4F5">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7833929E">
      <w:pPr>
        <w:spacing w:line="440" w:lineRule="exact"/>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 xml:space="preserve">名称（电子签名）：                          </w:t>
      </w:r>
    </w:p>
    <w:p w14:paraId="4035708A">
      <w:pPr>
        <w:spacing w:line="440" w:lineRule="exact"/>
        <w:jc w:val="center"/>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0B01AA7E">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469DA36">
      <w:pPr>
        <w:jc w:val="center"/>
        <w:rPr>
          <w:rFonts w:hint="eastAsia" w:ascii="仿宋" w:hAnsi="仿宋" w:eastAsia="仿宋" w:cs="仿宋"/>
          <w:b/>
          <w:color w:val="000000" w:themeColor="text1"/>
          <w:kern w:val="0"/>
          <w:sz w:val="32"/>
          <w:szCs w:val="32"/>
          <w14:textFill>
            <w14:solidFill>
              <w14:schemeClr w14:val="tx1"/>
            </w14:solidFill>
          </w14:textFill>
        </w:rPr>
      </w:pPr>
    </w:p>
    <w:p w14:paraId="4A49B47F">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78C1C6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56BFC03">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346C515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5FEA69C">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6AA0FB3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14571E8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326D9D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2DAD18D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766E93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E099DF2">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70F2B103">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C1DBA5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355FD26">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ADE822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1841A7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2526801">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AB8AC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A127E23">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2BEA74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2B3E39">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26EE011">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EFAD0A7">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A97911F">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lang w:eastAsia="zh-CN"/>
          <w14:textFill>
            <w14:solidFill>
              <w14:schemeClr w14:val="tx1"/>
            </w14:solidFill>
          </w14:textFill>
        </w:rPr>
        <w:t>投标人</w:t>
      </w:r>
      <w:r>
        <w:rPr>
          <w:rFonts w:hint="eastAsia" w:ascii="仿宋" w:hAnsi="仿宋" w:eastAsia="仿宋" w:cs="仿宋"/>
          <w:b/>
          <w:color w:val="000000" w:themeColor="text1"/>
          <w:sz w:val="30"/>
          <w:szCs w:val="30"/>
          <w14:textFill>
            <w14:solidFill>
              <w14:schemeClr w14:val="tx1"/>
            </w14:solidFill>
          </w14:textFill>
        </w:rPr>
        <w:t>参加投标）</w:t>
      </w:r>
    </w:p>
    <w:p w14:paraId="7A3F77DC">
      <w:pPr>
        <w:pStyle w:val="62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64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F350062">
            <w:pPr>
              <w:pStyle w:val="620"/>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1FE2306C">
            <w:pPr>
              <w:pStyle w:val="620"/>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4370398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21138841">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599E3974">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F2C8850">
      <w:pPr>
        <w:jc w:val="center"/>
        <w:rPr>
          <w:rFonts w:hint="eastAsia" w:ascii="仿宋" w:hAnsi="仿宋" w:eastAsia="仿宋" w:cs="仿宋"/>
          <w:b/>
          <w:color w:val="000000" w:themeColor="text1"/>
          <w:kern w:val="0"/>
          <w:sz w:val="32"/>
          <w:szCs w:val="32"/>
          <w14:textFill>
            <w14:solidFill>
              <w14:schemeClr w14:val="tx1"/>
            </w14:solidFill>
          </w14:textFill>
        </w:rPr>
      </w:pPr>
    </w:p>
    <w:p w14:paraId="638B15F5">
      <w:pPr>
        <w:jc w:val="center"/>
        <w:rPr>
          <w:rFonts w:hint="eastAsia" w:ascii="仿宋" w:hAnsi="仿宋" w:eastAsia="仿宋" w:cs="仿宋"/>
          <w:b/>
          <w:color w:val="000000" w:themeColor="text1"/>
          <w:kern w:val="0"/>
          <w:sz w:val="32"/>
          <w:szCs w:val="32"/>
          <w14:textFill>
            <w14:solidFill>
              <w14:schemeClr w14:val="tx1"/>
            </w14:solidFill>
          </w14:textFill>
        </w:rPr>
      </w:pPr>
    </w:p>
    <w:p w14:paraId="20C8E504">
      <w:pPr>
        <w:jc w:val="center"/>
        <w:rPr>
          <w:rFonts w:hint="eastAsia" w:ascii="仿宋" w:hAnsi="仿宋" w:eastAsia="仿宋" w:cs="仿宋"/>
          <w:b/>
          <w:color w:val="000000" w:themeColor="text1"/>
          <w:kern w:val="0"/>
          <w:sz w:val="32"/>
          <w:szCs w:val="32"/>
          <w14:textFill>
            <w14:solidFill>
              <w14:schemeClr w14:val="tx1"/>
            </w14:solidFill>
          </w14:textFill>
        </w:rPr>
      </w:pPr>
    </w:p>
    <w:p w14:paraId="55C89D3F">
      <w:pPr>
        <w:jc w:val="center"/>
        <w:rPr>
          <w:rFonts w:hint="eastAsia" w:ascii="仿宋" w:hAnsi="仿宋" w:eastAsia="仿宋" w:cs="仿宋"/>
          <w:b/>
          <w:color w:val="000000" w:themeColor="text1"/>
          <w:kern w:val="0"/>
          <w:sz w:val="32"/>
          <w:szCs w:val="32"/>
          <w14:textFill>
            <w14:solidFill>
              <w14:schemeClr w14:val="tx1"/>
            </w14:solidFill>
          </w14:textFill>
        </w:rPr>
      </w:pPr>
    </w:p>
    <w:p w14:paraId="2A9C9EED">
      <w:pPr>
        <w:jc w:val="center"/>
        <w:rPr>
          <w:rFonts w:hint="eastAsia" w:ascii="仿宋" w:hAnsi="仿宋" w:eastAsia="仿宋" w:cs="仿宋"/>
          <w:b/>
          <w:color w:val="000000" w:themeColor="text1"/>
          <w:kern w:val="0"/>
          <w:sz w:val="32"/>
          <w:szCs w:val="32"/>
          <w14:textFill>
            <w14:solidFill>
              <w14:schemeClr w14:val="tx1"/>
            </w14:solidFill>
          </w14:textFill>
        </w:rPr>
      </w:pPr>
    </w:p>
    <w:p w14:paraId="275C00C8">
      <w:pPr>
        <w:jc w:val="center"/>
        <w:rPr>
          <w:rFonts w:hint="eastAsia" w:ascii="仿宋" w:hAnsi="仿宋" w:eastAsia="仿宋" w:cs="仿宋"/>
          <w:b/>
          <w:color w:val="000000" w:themeColor="text1"/>
          <w:kern w:val="0"/>
          <w:sz w:val="32"/>
          <w:szCs w:val="32"/>
          <w14:textFill>
            <w14:solidFill>
              <w14:schemeClr w14:val="tx1"/>
            </w14:solidFill>
          </w14:textFill>
        </w:rPr>
      </w:pPr>
    </w:p>
    <w:p w14:paraId="60438A69">
      <w:pPr>
        <w:jc w:val="center"/>
        <w:rPr>
          <w:rFonts w:hint="eastAsia" w:ascii="仿宋" w:hAnsi="仿宋" w:eastAsia="仿宋" w:cs="仿宋"/>
          <w:b/>
          <w:color w:val="000000" w:themeColor="text1"/>
          <w:kern w:val="0"/>
          <w:sz w:val="32"/>
          <w:szCs w:val="32"/>
          <w14:textFill>
            <w14:solidFill>
              <w14:schemeClr w14:val="tx1"/>
            </w14:solidFill>
          </w14:textFill>
        </w:rPr>
      </w:pPr>
    </w:p>
    <w:p w14:paraId="15D2D575">
      <w:pPr>
        <w:jc w:val="center"/>
        <w:rPr>
          <w:rFonts w:hint="eastAsia" w:ascii="仿宋" w:hAnsi="仿宋" w:eastAsia="仿宋" w:cs="仿宋"/>
          <w:b/>
          <w:color w:val="000000" w:themeColor="text1"/>
          <w:kern w:val="0"/>
          <w:sz w:val="32"/>
          <w:szCs w:val="32"/>
          <w14:textFill>
            <w14:solidFill>
              <w14:schemeClr w14:val="tx1"/>
            </w14:solidFill>
          </w14:textFill>
        </w:rPr>
      </w:pPr>
    </w:p>
    <w:p w14:paraId="060F66C2">
      <w:pPr>
        <w:jc w:val="center"/>
        <w:rPr>
          <w:rFonts w:hint="eastAsia" w:ascii="仿宋" w:hAnsi="仿宋" w:eastAsia="仿宋" w:cs="仿宋"/>
          <w:b/>
          <w:color w:val="000000" w:themeColor="text1"/>
          <w:kern w:val="0"/>
          <w:sz w:val="32"/>
          <w:szCs w:val="32"/>
          <w14:textFill>
            <w14:solidFill>
              <w14:schemeClr w14:val="tx1"/>
            </w14:solidFill>
          </w14:textFill>
        </w:rPr>
      </w:pPr>
    </w:p>
    <w:p w14:paraId="6187977B">
      <w:pPr>
        <w:jc w:val="center"/>
        <w:rPr>
          <w:rFonts w:hint="eastAsia" w:ascii="仿宋" w:hAnsi="仿宋" w:eastAsia="仿宋" w:cs="仿宋"/>
          <w:b/>
          <w:color w:val="000000" w:themeColor="text1"/>
          <w:kern w:val="0"/>
          <w:sz w:val="32"/>
          <w:szCs w:val="32"/>
          <w14:textFill>
            <w14:solidFill>
              <w14:schemeClr w14:val="tx1"/>
            </w14:solidFill>
          </w14:textFill>
        </w:rPr>
      </w:pPr>
    </w:p>
    <w:p w14:paraId="29FA5334">
      <w:pPr>
        <w:jc w:val="center"/>
        <w:rPr>
          <w:rFonts w:hint="eastAsia" w:ascii="仿宋" w:hAnsi="仿宋" w:eastAsia="仿宋" w:cs="仿宋"/>
          <w:b/>
          <w:color w:val="000000" w:themeColor="text1"/>
          <w:kern w:val="0"/>
          <w:sz w:val="32"/>
          <w:szCs w:val="32"/>
          <w14:textFill>
            <w14:solidFill>
              <w14:schemeClr w14:val="tx1"/>
            </w14:solidFill>
          </w14:textFill>
        </w:rPr>
      </w:pPr>
    </w:p>
    <w:p w14:paraId="21FA5353">
      <w:pPr>
        <w:jc w:val="center"/>
        <w:rPr>
          <w:rFonts w:hint="eastAsia" w:ascii="仿宋" w:hAnsi="仿宋" w:eastAsia="仿宋" w:cs="仿宋"/>
          <w:b/>
          <w:color w:val="000000" w:themeColor="text1"/>
          <w:kern w:val="0"/>
          <w:sz w:val="32"/>
          <w:szCs w:val="32"/>
          <w14:textFill>
            <w14:solidFill>
              <w14:schemeClr w14:val="tx1"/>
            </w14:solidFill>
          </w14:textFill>
        </w:rPr>
      </w:pPr>
    </w:p>
    <w:p w14:paraId="432A9636">
      <w:pPr>
        <w:jc w:val="center"/>
        <w:rPr>
          <w:rFonts w:hint="eastAsia" w:ascii="仿宋" w:hAnsi="仿宋" w:eastAsia="仿宋" w:cs="仿宋"/>
          <w:b/>
          <w:color w:val="000000" w:themeColor="text1"/>
          <w:kern w:val="0"/>
          <w:sz w:val="32"/>
          <w:szCs w:val="32"/>
          <w14:textFill>
            <w14:solidFill>
              <w14:schemeClr w14:val="tx1"/>
            </w14:solidFill>
          </w14:textFill>
        </w:rPr>
      </w:pPr>
    </w:p>
    <w:p w14:paraId="26A948AE">
      <w:pPr>
        <w:jc w:val="center"/>
        <w:rPr>
          <w:rFonts w:hint="eastAsia" w:ascii="仿宋" w:hAnsi="仿宋" w:eastAsia="仿宋" w:cs="仿宋"/>
          <w:b/>
          <w:color w:val="000000" w:themeColor="text1"/>
          <w:kern w:val="0"/>
          <w:sz w:val="32"/>
          <w:szCs w:val="32"/>
          <w14:textFill>
            <w14:solidFill>
              <w14:schemeClr w14:val="tx1"/>
            </w14:solidFill>
          </w14:textFill>
        </w:rPr>
      </w:pPr>
    </w:p>
    <w:p w14:paraId="6AF224C0">
      <w:pPr>
        <w:jc w:val="center"/>
        <w:rPr>
          <w:rFonts w:hint="eastAsia" w:ascii="仿宋" w:hAnsi="仿宋" w:eastAsia="仿宋" w:cs="仿宋"/>
          <w:b/>
          <w:color w:val="000000" w:themeColor="text1"/>
          <w:kern w:val="0"/>
          <w:sz w:val="32"/>
          <w:szCs w:val="32"/>
          <w14:textFill>
            <w14:solidFill>
              <w14:schemeClr w14:val="tx1"/>
            </w14:solidFill>
          </w14:textFill>
        </w:rPr>
      </w:pPr>
    </w:p>
    <w:p w14:paraId="5D86039B">
      <w:pPr>
        <w:jc w:val="center"/>
        <w:rPr>
          <w:rFonts w:hint="eastAsia" w:ascii="仿宋" w:hAnsi="仿宋" w:eastAsia="仿宋" w:cs="仿宋"/>
          <w:b/>
          <w:color w:val="000000" w:themeColor="text1"/>
          <w:kern w:val="0"/>
          <w:sz w:val="32"/>
          <w:szCs w:val="32"/>
          <w14:textFill>
            <w14:solidFill>
              <w14:schemeClr w14:val="tx1"/>
            </w14:solidFill>
          </w14:textFill>
        </w:rPr>
      </w:pPr>
    </w:p>
    <w:p w14:paraId="67F75AB8">
      <w:pPr>
        <w:jc w:val="center"/>
        <w:rPr>
          <w:rFonts w:hint="eastAsia" w:ascii="仿宋" w:hAnsi="仿宋" w:eastAsia="仿宋" w:cs="仿宋"/>
          <w:b/>
          <w:color w:val="000000" w:themeColor="text1"/>
          <w:kern w:val="0"/>
          <w:sz w:val="32"/>
          <w:szCs w:val="32"/>
          <w14:textFill>
            <w14:solidFill>
              <w14:schemeClr w14:val="tx1"/>
            </w14:solidFill>
          </w14:textFill>
        </w:rPr>
      </w:pPr>
    </w:p>
    <w:p w14:paraId="712B342D">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68A5DE68">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A9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B8B6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681A2A8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21B0003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29797DEF">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5DCDB1E8">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6EF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7429E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6E06E83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1FE27A8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74A5C107">
            <w:pPr>
              <w:jc w:val="center"/>
              <w:rPr>
                <w:rFonts w:hint="eastAsia" w:ascii="仿宋" w:hAnsi="仿宋" w:eastAsia="仿宋" w:cs="仿宋"/>
                <w:color w:val="000000" w:themeColor="text1"/>
                <w:sz w:val="24"/>
                <w14:textFill>
                  <w14:solidFill>
                    <w14:schemeClr w14:val="tx1"/>
                  </w14:solidFill>
                </w14:textFill>
              </w:rPr>
            </w:pPr>
          </w:p>
          <w:p w14:paraId="798C95B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210F40D2">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3874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25B6F7">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11FC3FE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239DC6F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283BBD05">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2E5D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9E54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0D5E54D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52709A2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3DB7FE68">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4923EAE6">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78EBA828">
      <w:pPr>
        <w:jc w:val="center"/>
        <w:rPr>
          <w:rFonts w:hint="eastAsia" w:ascii="仿宋" w:hAnsi="仿宋" w:eastAsia="仿宋" w:cs="仿宋"/>
          <w:b/>
          <w:color w:val="000000" w:themeColor="text1"/>
          <w:kern w:val="0"/>
          <w:sz w:val="32"/>
          <w:szCs w:val="32"/>
          <w14:textFill>
            <w14:solidFill>
              <w14:schemeClr w14:val="tx1"/>
            </w14:solidFill>
          </w14:textFill>
        </w:rPr>
      </w:pPr>
    </w:p>
    <w:p w14:paraId="6CCC50F2">
      <w:pPr>
        <w:jc w:val="center"/>
        <w:rPr>
          <w:rFonts w:hint="eastAsia" w:ascii="仿宋" w:hAnsi="仿宋" w:eastAsia="仿宋" w:cs="仿宋"/>
          <w:b/>
          <w:color w:val="000000" w:themeColor="text1"/>
          <w:kern w:val="0"/>
          <w:sz w:val="32"/>
          <w:szCs w:val="32"/>
          <w14:textFill>
            <w14:solidFill>
              <w14:schemeClr w14:val="tx1"/>
            </w14:solidFill>
          </w14:textFill>
        </w:rPr>
      </w:pPr>
    </w:p>
    <w:p w14:paraId="25BB5867">
      <w:pPr>
        <w:jc w:val="center"/>
        <w:rPr>
          <w:rFonts w:hint="eastAsia" w:ascii="仿宋" w:hAnsi="仿宋" w:eastAsia="仿宋" w:cs="仿宋"/>
          <w:b/>
          <w:color w:val="000000" w:themeColor="text1"/>
          <w:kern w:val="0"/>
          <w:sz w:val="32"/>
          <w:szCs w:val="32"/>
          <w14:textFill>
            <w14:solidFill>
              <w14:schemeClr w14:val="tx1"/>
            </w14:solidFill>
          </w14:textFill>
        </w:rPr>
      </w:pPr>
    </w:p>
    <w:p w14:paraId="41B4435F">
      <w:pPr>
        <w:jc w:val="center"/>
        <w:rPr>
          <w:rFonts w:hint="eastAsia" w:ascii="仿宋" w:hAnsi="仿宋" w:eastAsia="仿宋" w:cs="仿宋"/>
          <w:b/>
          <w:color w:val="000000" w:themeColor="text1"/>
          <w:kern w:val="0"/>
          <w:sz w:val="32"/>
          <w:szCs w:val="32"/>
          <w14:textFill>
            <w14:solidFill>
              <w14:schemeClr w14:val="tx1"/>
            </w14:solidFill>
          </w14:textFill>
        </w:rPr>
      </w:pPr>
    </w:p>
    <w:p w14:paraId="3A1B962E">
      <w:pPr>
        <w:jc w:val="center"/>
        <w:rPr>
          <w:rFonts w:hint="eastAsia" w:ascii="仿宋" w:hAnsi="仿宋" w:eastAsia="仿宋" w:cs="仿宋"/>
          <w:b/>
          <w:color w:val="000000" w:themeColor="text1"/>
          <w:kern w:val="0"/>
          <w:sz w:val="32"/>
          <w:szCs w:val="32"/>
          <w14:textFill>
            <w14:solidFill>
              <w14:schemeClr w14:val="tx1"/>
            </w14:solidFill>
          </w14:textFill>
        </w:rPr>
      </w:pPr>
    </w:p>
    <w:p w14:paraId="4F8C201C">
      <w:pPr>
        <w:jc w:val="center"/>
        <w:rPr>
          <w:rFonts w:hint="eastAsia" w:ascii="仿宋" w:hAnsi="仿宋" w:eastAsia="仿宋" w:cs="仿宋"/>
          <w:b/>
          <w:color w:val="000000" w:themeColor="text1"/>
          <w:kern w:val="0"/>
          <w:sz w:val="32"/>
          <w:szCs w:val="32"/>
          <w14:textFill>
            <w14:solidFill>
              <w14:schemeClr w14:val="tx1"/>
            </w14:solidFill>
          </w14:textFill>
        </w:rPr>
      </w:pPr>
    </w:p>
    <w:p w14:paraId="2237F733">
      <w:pPr>
        <w:jc w:val="center"/>
        <w:rPr>
          <w:rFonts w:hint="eastAsia" w:ascii="仿宋" w:hAnsi="仿宋" w:eastAsia="仿宋" w:cs="仿宋"/>
          <w:b/>
          <w:color w:val="000000" w:themeColor="text1"/>
          <w:kern w:val="0"/>
          <w:sz w:val="32"/>
          <w:szCs w:val="32"/>
          <w14:textFill>
            <w14:solidFill>
              <w14:schemeClr w14:val="tx1"/>
            </w14:solidFill>
          </w14:textFill>
        </w:rPr>
      </w:pPr>
    </w:p>
    <w:p w14:paraId="3CA6EC00">
      <w:pPr>
        <w:jc w:val="center"/>
        <w:rPr>
          <w:rFonts w:hint="eastAsia" w:ascii="仿宋" w:hAnsi="仿宋" w:eastAsia="仿宋" w:cs="仿宋"/>
          <w:b/>
          <w:color w:val="000000" w:themeColor="text1"/>
          <w:kern w:val="0"/>
          <w:sz w:val="32"/>
          <w:szCs w:val="32"/>
          <w14:textFill>
            <w14:solidFill>
              <w14:schemeClr w14:val="tx1"/>
            </w14:solidFill>
          </w14:textFill>
        </w:rPr>
      </w:pPr>
    </w:p>
    <w:p w14:paraId="6893926E">
      <w:pPr>
        <w:jc w:val="center"/>
        <w:rPr>
          <w:rFonts w:hint="eastAsia" w:ascii="仿宋" w:hAnsi="仿宋" w:eastAsia="仿宋" w:cs="仿宋"/>
          <w:b/>
          <w:color w:val="000000" w:themeColor="text1"/>
          <w:kern w:val="0"/>
          <w:sz w:val="32"/>
          <w:szCs w:val="32"/>
          <w14:textFill>
            <w14:solidFill>
              <w14:schemeClr w14:val="tx1"/>
            </w14:solidFill>
          </w14:textFill>
        </w:rPr>
      </w:pPr>
    </w:p>
    <w:p w14:paraId="66741F32">
      <w:pPr>
        <w:rPr>
          <w:rFonts w:hint="eastAsia" w:ascii="仿宋" w:hAnsi="仿宋" w:eastAsia="仿宋" w:cs="仿宋"/>
          <w:b/>
          <w:color w:val="000000" w:themeColor="text1"/>
          <w:kern w:val="0"/>
          <w:sz w:val="32"/>
          <w:szCs w:val="32"/>
          <w14:textFill>
            <w14:solidFill>
              <w14:schemeClr w14:val="tx1"/>
            </w14:solidFill>
          </w14:textFill>
        </w:rPr>
      </w:pPr>
    </w:p>
    <w:p w14:paraId="79BFD2BD">
      <w:pPr>
        <w:jc w:val="center"/>
        <w:rPr>
          <w:rFonts w:hint="eastAsia" w:ascii="仿宋" w:hAnsi="仿宋" w:eastAsia="仿宋" w:cs="仿宋"/>
          <w:b/>
          <w:color w:val="000000" w:themeColor="text1"/>
          <w:kern w:val="0"/>
          <w:sz w:val="32"/>
          <w:szCs w:val="32"/>
          <w14:textFill>
            <w14:solidFill>
              <w14:schemeClr w14:val="tx1"/>
            </w14:solidFill>
          </w14:textFill>
        </w:rPr>
      </w:pPr>
    </w:p>
    <w:p w14:paraId="59751FB2">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540DFD5B">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3D032938">
      <w:pPr>
        <w:jc w:val="center"/>
        <w:rPr>
          <w:rFonts w:hint="eastAsia" w:ascii="仿宋" w:hAnsi="仿宋" w:eastAsia="仿宋" w:cs="仿宋"/>
          <w:b/>
          <w:color w:val="000000" w:themeColor="text1"/>
          <w:kern w:val="0"/>
          <w:sz w:val="32"/>
          <w:szCs w:val="32"/>
          <w14:textFill>
            <w14:solidFill>
              <w14:schemeClr w14:val="tx1"/>
            </w14:solidFill>
          </w14:textFill>
        </w:rPr>
      </w:pPr>
    </w:p>
    <w:p w14:paraId="37769C92">
      <w:pPr>
        <w:jc w:val="center"/>
        <w:rPr>
          <w:rFonts w:hint="eastAsia" w:ascii="仿宋" w:hAnsi="仿宋" w:eastAsia="仿宋" w:cs="仿宋"/>
          <w:b/>
          <w:color w:val="000000" w:themeColor="text1"/>
          <w:kern w:val="0"/>
          <w:sz w:val="32"/>
          <w:szCs w:val="32"/>
          <w14:textFill>
            <w14:solidFill>
              <w14:schemeClr w14:val="tx1"/>
            </w14:solidFill>
          </w14:textFill>
        </w:rPr>
      </w:pPr>
    </w:p>
    <w:p w14:paraId="0FFD0DAA">
      <w:pPr>
        <w:jc w:val="center"/>
        <w:rPr>
          <w:rFonts w:hint="eastAsia" w:ascii="仿宋" w:hAnsi="仿宋" w:eastAsia="仿宋" w:cs="仿宋"/>
          <w:b/>
          <w:color w:val="000000" w:themeColor="text1"/>
          <w:kern w:val="0"/>
          <w:sz w:val="32"/>
          <w:szCs w:val="32"/>
          <w14:textFill>
            <w14:solidFill>
              <w14:schemeClr w14:val="tx1"/>
            </w14:solidFill>
          </w14:textFill>
        </w:rPr>
      </w:pPr>
    </w:p>
    <w:p w14:paraId="703E4191">
      <w:pPr>
        <w:jc w:val="center"/>
        <w:rPr>
          <w:rFonts w:hint="eastAsia" w:ascii="仿宋" w:hAnsi="仿宋" w:eastAsia="仿宋" w:cs="仿宋"/>
          <w:b/>
          <w:color w:val="000000" w:themeColor="text1"/>
          <w:kern w:val="0"/>
          <w:sz w:val="32"/>
          <w:szCs w:val="32"/>
          <w14:textFill>
            <w14:solidFill>
              <w14:schemeClr w14:val="tx1"/>
            </w14:solidFill>
          </w14:textFill>
        </w:rPr>
      </w:pPr>
    </w:p>
    <w:p w14:paraId="15CD73E4">
      <w:pPr>
        <w:rPr>
          <w:rFonts w:hint="eastAsia" w:ascii="仿宋" w:hAnsi="仿宋" w:eastAsia="仿宋" w:cs="仿宋"/>
          <w:b/>
          <w:color w:val="000000" w:themeColor="text1"/>
          <w:kern w:val="0"/>
          <w:sz w:val="32"/>
          <w:szCs w:val="32"/>
          <w14:textFill>
            <w14:solidFill>
              <w14:schemeClr w14:val="tx1"/>
            </w14:solidFill>
          </w14:textFill>
        </w:rPr>
      </w:pPr>
    </w:p>
    <w:p w14:paraId="466AC748">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p>
    <w:p w14:paraId="6A4EF15F">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p>
    <w:p w14:paraId="79599A7F">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173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E3C8D">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94C07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A5CA08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0ABEF48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6B922B4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6533D8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6B9702D">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442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EF0A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B00D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1B69D2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CD08C7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6EAE2340">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D6A828B">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4C472D5">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D7B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4414C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D69E2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87483A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FF923B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4671FB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0AA4B3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958FA07">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1E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19F2BD">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E1D13C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CDCC0A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1D842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2CF72436">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440F5FD">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B10262C">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F4DC332">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53FFBAB">
      <w:pPr>
        <w:jc w:val="center"/>
        <w:rPr>
          <w:rFonts w:hint="eastAsia" w:ascii="仿宋" w:hAnsi="仿宋" w:eastAsia="仿宋" w:cs="仿宋"/>
          <w:b/>
          <w:color w:val="000000" w:themeColor="text1"/>
          <w:kern w:val="0"/>
          <w:sz w:val="32"/>
          <w:szCs w:val="32"/>
          <w14:textFill>
            <w14:solidFill>
              <w14:schemeClr w14:val="tx1"/>
            </w14:solidFill>
          </w14:textFill>
        </w:rPr>
      </w:pPr>
    </w:p>
    <w:p w14:paraId="422AFACD">
      <w:pPr>
        <w:jc w:val="center"/>
        <w:rPr>
          <w:rFonts w:hint="eastAsia" w:ascii="仿宋" w:hAnsi="仿宋" w:eastAsia="仿宋" w:cs="仿宋"/>
          <w:b/>
          <w:color w:val="000000" w:themeColor="text1"/>
          <w:kern w:val="0"/>
          <w:sz w:val="32"/>
          <w:szCs w:val="32"/>
          <w14:textFill>
            <w14:solidFill>
              <w14:schemeClr w14:val="tx1"/>
            </w14:solidFill>
          </w14:textFill>
        </w:rPr>
      </w:pPr>
    </w:p>
    <w:p w14:paraId="1789585F">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FC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EE447">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02A51C8F">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6B44277B">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4CB8D1CE">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097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33D3BD">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50C1E125">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1D76F461">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D8F1E22">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2C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CD1DF2">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07E95B09">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1B886BA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F2484F2">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256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8F7F4">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51A9F1D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7ECCEC26">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985B216">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799DFAA5">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保证：除商务技术偏离表列出的偏离外，</w:t>
      </w:r>
      <w:r>
        <w:rPr>
          <w:rFonts w:hint="eastAsia" w:ascii="仿宋" w:hAnsi="仿宋" w:eastAsia="仿宋" w:cs="仿宋"/>
          <w:color w:val="000000" w:themeColor="text1"/>
          <w:kern w:val="0"/>
          <w:sz w:val="24"/>
          <w:lang w:eastAsia="zh-CN"/>
          <w14:textFill>
            <w14:solidFill>
              <w14:schemeClr w14:val="tx1"/>
            </w14:solidFill>
          </w14:textFill>
        </w:rPr>
        <w:t>投标人</w:t>
      </w:r>
      <w:r>
        <w:rPr>
          <w:rFonts w:hint="eastAsia" w:ascii="仿宋" w:hAnsi="仿宋" w:eastAsia="仿宋" w:cs="仿宋"/>
          <w:color w:val="000000" w:themeColor="text1"/>
          <w:kern w:val="0"/>
          <w:sz w:val="24"/>
          <w14:textFill>
            <w14:solidFill>
              <w14:schemeClr w14:val="tx1"/>
            </w14:solidFill>
          </w14:textFill>
        </w:rPr>
        <w:t>响应交易文件的全部要求</w:t>
      </w:r>
    </w:p>
    <w:p w14:paraId="2096122A">
      <w:pPr>
        <w:jc w:val="center"/>
        <w:rPr>
          <w:rFonts w:hint="eastAsia" w:ascii="仿宋" w:hAnsi="仿宋" w:eastAsia="仿宋" w:cs="仿宋"/>
          <w:b/>
          <w:color w:val="000000" w:themeColor="text1"/>
          <w:kern w:val="0"/>
          <w:sz w:val="32"/>
          <w:szCs w:val="32"/>
          <w14:textFill>
            <w14:solidFill>
              <w14:schemeClr w14:val="tx1"/>
            </w14:solidFill>
          </w14:textFill>
        </w:rPr>
      </w:pPr>
    </w:p>
    <w:p w14:paraId="2A156B59">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3F1F5B9">
      <w:pPr>
        <w:jc w:val="center"/>
        <w:rPr>
          <w:rFonts w:hint="eastAsia" w:ascii="仿宋" w:hAnsi="仿宋" w:eastAsia="仿宋" w:cs="仿宋"/>
          <w:b/>
          <w:color w:val="000000" w:themeColor="text1"/>
          <w:kern w:val="0"/>
          <w:sz w:val="32"/>
          <w:szCs w:val="32"/>
          <w14:textFill>
            <w14:solidFill>
              <w14:schemeClr w14:val="tx1"/>
            </w14:solidFill>
          </w14:textFill>
        </w:rPr>
      </w:pPr>
    </w:p>
    <w:p w14:paraId="4A8B4E92">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6767F950">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采购投标人廉洁自律承诺书</w:t>
      </w:r>
    </w:p>
    <w:p w14:paraId="079B80F6">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EAD74A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617EF9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54F6DF2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52EB96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05B9D2E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118B867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9257E0A">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4CC97626">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78E75E49">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20FAD373">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0F37ABD">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p>
    <w:p w14:paraId="6BDD9F24">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22E92EA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121AF95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101FE896">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59D37D02">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D20BAB3">
      <w:pPr>
        <w:spacing w:line="360" w:lineRule="auto"/>
        <w:jc w:val="center"/>
        <w:rPr>
          <w:rFonts w:hint="eastAsia" w:ascii="仿宋" w:hAnsi="仿宋" w:eastAsia="仿宋" w:cs="仿宋"/>
          <w:b/>
          <w:bCs/>
          <w:color w:val="000000" w:themeColor="text1"/>
          <w:sz w:val="24"/>
          <w14:textFill>
            <w14:solidFill>
              <w14:schemeClr w14:val="tx1"/>
            </w14:solidFill>
          </w14:textFill>
        </w:rPr>
        <w:sectPr>
          <w:footerReference r:id="rId8" w:type="first"/>
          <w:footerReference r:id="rId7" w:type="default"/>
          <w:pgSz w:w="11906" w:h="16838"/>
          <w:pgMar w:top="1276" w:right="1418" w:bottom="1247" w:left="1418" w:header="851" w:footer="992" w:gutter="0"/>
          <w:pgNumType w:fmt="decimal" w:start="1"/>
          <w:cols w:space="720" w:num="1"/>
          <w:titlePg/>
          <w:docGrid w:linePitch="312" w:charSpace="0"/>
        </w:sectPr>
      </w:pPr>
    </w:p>
    <w:p w14:paraId="540AD9EE">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30977EA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3DD97EB5">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3D09E6A">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674A3DC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8EC3EA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50EA8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599B87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D61A0A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1037861">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D21AAE9">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D5A588E">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6953AE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DCB85E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815721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BA0CCC7">
      <w:pPr>
        <w:pStyle w:val="59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247" w:right="1418" w:bottom="1276" w:left="1418" w:header="851" w:footer="992" w:gutter="0"/>
          <w:pgNumType w:fmt="decimal"/>
          <w:cols w:space="720" w:num="1"/>
          <w:titlePg/>
          <w:docGrid w:linePitch="312" w:charSpace="0"/>
        </w:sectPr>
      </w:pPr>
    </w:p>
    <w:p w14:paraId="2386AAEA">
      <w:pPr>
        <w:pStyle w:val="599"/>
        <w:keepNext w:val="0"/>
        <w:pageBreakBefore w:val="0"/>
        <w:tabs>
          <w:tab w:val="clear" w:pos="720"/>
        </w:tabs>
        <w:snapToGrid w:val="0"/>
        <w:spacing w:before="120" w:after="12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一、交易一览表（报价表）</w:t>
      </w:r>
    </w:p>
    <w:p w14:paraId="3FE6F25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（交易发起人）、（代理机构）</w:t>
      </w:r>
      <w:r>
        <w:rPr>
          <w:rFonts w:hint="eastAsia" w:ascii="仿宋" w:hAnsi="仿宋" w:eastAsia="仿宋" w:cs="仿宋"/>
          <w:color w:val="000000" w:themeColor="text1"/>
          <w:kern w:val="0"/>
          <w:sz w:val="24"/>
          <w:lang w:val="zh-CN"/>
          <w14:textFill>
            <w14:solidFill>
              <w14:schemeClr w14:val="tx1"/>
            </w14:solidFill>
          </w14:textFill>
        </w:rPr>
        <w:t>：</w:t>
      </w:r>
    </w:p>
    <w:p w14:paraId="7F9459CF">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4F00786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9E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195F41C">
            <w:pPr>
              <w:jc w:val="center"/>
              <w:rPr>
                <w:rFonts w:hint="eastAsia" w:ascii="仿宋" w:hAnsi="仿宋" w:eastAsia="仿宋" w:cs="仿宋"/>
                <w:b/>
              </w:rPr>
            </w:pPr>
            <w:r>
              <w:rPr>
                <w:rFonts w:hint="eastAsia" w:ascii="仿宋" w:hAnsi="仿宋" w:eastAsia="仿宋" w:cs="仿宋"/>
                <w:b/>
              </w:rPr>
              <w:t>序号</w:t>
            </w:r>
          </w:p>
        </w:tc>
        <w:tc>
          <w:tcPr>
            <w:tcW w:w="1417" w:type="dxa"/>
            <w:vAlign w:val="center"/>
          </w:tcPr>
          <w:p w14:paraId="3539E8B6">
            <w:pPr>
              <w:jc w:val="center"/>
              <w:rPr>
                <w:rFonts w:hint="eastAsia" w:ascii="仿宋" w:hAnsi="仿宋" w:eastAsia="仿宋" w:cs="仿宋"/>
                <w:b/>
              </w:rPr>
            </w:pPr>
            <w:r>
              <w:rPr>
                <w:rFonts w:hint="eastAsia" w:ascii="仿宋" w:hAnsi="仿宋" w:eastAsia="仿宋" w:cs="仿宋"/>
                <w:b/>
              </w:rPr>
              <w:t>名称</w:t>
            </w:r>
          </w:p>
        </w:tc>
        <w:tc>
          <w:tcPr>
            <w:tcW w:w="1843" w:type="dxa"/>
          </w:tcPr>
          <w:p w14:paraId="0547AA14">
            <w:pPr>
              <w:jc w:val="center"/>
              <w:rPr>
                <w:rFonts w:hint="eastAsia" w:ascii="仿宋" w:hAnsi="仿宋" w:eastAsia="仿宋" w:cs="仿宋"/>
                <w:b/>
              </w:rPr>
            </w:pPr>
          </w:p>
          <w:p w14:paraId="48A54E9A">
            <w:pPr>
              <w:jc w:val="center"/>
              <w:rPr>
                <w:rFonts w:hint="eastAsia" w:ascii="仿宋" w:hAnsi="仿宋" w:eastAsia="仿宋" w:cs="仿宋"/>
                <w:b/>
              </w:rPr>
            </w:pPr>
          </w:p>
          <w:p w14:paraId="61FE981F">
            <w:pPr>
              <w:jc w:val="center"/>
              <w:rPr>
                <w:rFonts w:hint="eastAsia" w:ascii="仿宋" w:hAnsi="仿宋" w:eastAsia="仿宋" w:cs="仿宋"/>
                <w:b/>
              </w:rPr>
            </w:pPr>
            <w:r>
              <w:rPr>
                <w:rFonts w:hint="eastAsia" w:ascii="仿宋" w:hAnsi="仿宋" w:eastAsia="仿宋" w:cs="仿宋"/>
                <w:b/>
              </w:rPr>
              <w:t>品牌（如果有）</w:t>
            </w:r>
          </w:p>
        </w:tc>
        <w:tc>
          <w:tcPr>
            <w:tcW w:w="3118" w:type="dxa"/>
            <w:vAlign w:val="center"/>
          </w:tcPr>
          <w:p w14:paraId="7589F646">
            <w:pPr>
              <w:jc w:val="center"/>
              <w:rPr>
                <w:rFonts w:hint="eastAsia" w:ascii="仿宋" w:hAnsi="仿宋" w:eastAsia="仿宋" w:cs="仿宋"/>
                <w:b/>
              </w:rPr>
            </w:pPr>
            <w:r>
              <w:rPr>
                <w:rFonts w:hint="eastAsia" w:ascii="仿宋" w:hAnsi="仿宋" w:eastAsia="仿宋" w:cs="仿宋"/>
                <w:b/>
              </w:rPr>
              <w:t>规格型号（或具体服务）</w:t>
            </w:r>
          </w:p>
        </w:tc>
        <w:tc>
          <w:tcPr>
            <w:tcW w:w="993" w:type="dxa"/>
            <w:vAlign w:val="center"/>
          </w:tcPr>
          <w:p w14:paraId="6B24055A">
            <w:pPr>
              <w:jc w:val="center"/>
              <w:rPr>
                <w:rFonts w:hint="eastAsia" w:ascii="仿宋" w:hAnsi="仿宋" w:eastAsia="仿宋" w:cs="仿宋"/>
                <w:b/>
              </w:rPr>
            </w:pPr>
            <w:r>
              <w:rPr>
                <w:rFonts w:hint="eastAsia" w:ascii="仿宋" w:hAnsi="仿宋" w:eastAsia="仿宋" w:cs="仿宋"/>
                <w:b/>
              </w:rPr>
              <w:t>数量</w:t>
            </w:r>
          </w:p>
        </w:tc>
        <w:tc>
          <w:tcPr>
            <w:tcW w:w="1559" w:type="dxa"/>
            <w:vAlign w:val="center"/>
          </w:tcPr>
          <w:p w14:paraId="735C5937">
            <w:pPr>
              <w:jc w:val="center"/>
              <w:rPr>
                <w:rFonts w:hint="eastAsia" w:ascii="仿宋" w:hAnsi="仿宋" w:eastAsia="仿宋" w:cs="仿宋"/>
                <w:b/>
              </w:rPr>
            </w:pPr>
            <w:r>
              <w:rPr>
                <w:rFonts w:hint="eastAsia" w:ascii="仿宋" w:hAnsi="仿宋" w:eastAsia="仿宋" w:cs="仿宋"/>
                <w:b/>
              </w:rPr>
              <w:t>单价</w:t>
            </w:r>
          </w:p>
        </w:tc>
        <w:tc>
          <w:tcPr>
            <w:tcW w:w="1984" w:type="dxa"/>
            <w:vAlign w:val="center"/>
          </w:tcPr>
          <w:p w14:paraId="3D47499D">
            <w:pPr>
              <w:jc w:val="center"/>
              <w:rPr>
                <w:rFonts w:hint="eastAsia" w:ascii="仿宋" w:hAnsi="仿宋" w:eastAsia="仿宋" w:cs="仿宋"/>
                <w:b/>
              </w:rPr>
            </w:pPr>
            <w:r>
              <w:rPr>
                <w:rFonts w:hint="eastAsia" w:ascii="仿宋" w:hAnsi="仿宋" w:eastAsia="仿宋" w:cs="仿宋"/>
                <w:b/>
              </w:rPr>
              <w:t>总价</w:t>
            </w:r>
          </w:p>
        </w:tc>
        <w:tc>
          <w:tcPr>
            <w:tcW w:w="3119" w:type="dxa"/>
            <w:vAlign w:val="center"/>
          </w:tcPr>
          <w:p w14:paraId="38C73875">
            <w:pPr>
              <w:jc w:val="center"/>
              <w:rPr>
                <w:rFonts w:hint="eastAsia" w:ascii="仿宋" w:hAnsi="仿宋" w:eastAsia="仿宋" w:cs="仿宋"/>
                <w:b/>
              </w:rPr>
            </w:pPr>
          </w:p>
          <w:p w14:paraId="6B4308E0">
            <w:pPr>
              <w:jc w:val="center"/>
              <w:rPr>
                <w:rFonts w:hint="eastAsia" w:ascii="仿宋" w:hAnsi="仿宋" w:eastAsia="仿宋" w:cs="仿宋"/>
                <w:b/>
              </w:rPr>
            </w:pPr>
            <w:r>
              <w:rPr>
                <w:rFonts w:hint="eastAsia" w:ascii="仿宋" w:hAnsi="仿宋" w:eastAsia="仿宋" w:cs="仿宋"/>
                <w:b/>
              </w:rPr>
              <w:t>质保或服务年限</w:t>
            </w:r>
          </w:p>
          <w:p w14:paraId="168D29BA">
            <w:pPr>
              <w:jc w:val="center"/>
              <w:rPr>
                <w:rFonts w:hint="eastAsia" w:ascii="仿宋" w:hAnsi="仿宋" w:eastAsia="仿宋" w:cs="仿宋"/>
                <w:b/>
              </w:rPr>
            </w:pPr>
          </w:p>
        </w:tc>
      </w:tr>
      <w:tr w14:paraId="02F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173602">
            <w:pPr>
              <w:rPr>
                <w:rFonts w:hint="eastAsia" w:ascii="仿宋" w:hAnsi="仿宋" w:eastAsia="仿宋" w:cs="仿宋"/>
              </w:rPr>
            </w:pPr>
            <w:r>
              <w:rPr>
                <w:rFonts w:hint="eastAsia" w:ascii="仿宋" w:hAnsi="仿宋" w:eastAsia="仿宋" w:cs="仿宋"/>
              </w:rPr>
              <w:t>1</w:t>
            </w:r>
          </w:p>
        </w:tc>
        <w:tc>
          <w:tcPr>
            <w:tcW w:w="1417" w:type="dxa"/>
            <w:vAlign w:val="center"/>
          </w:tcPr>
          <w:p w14:paraId="28E54B46">
            <w:pPr>
              <w:rPr>
                <w:rFonts w:hint="eastAsia" w:ascii="仿宋" w:hAnsi="仿宋" w:eastAsia="仿宋" w:cs="仿宋"/>
              </w:rPr>
            </w:pPr>
          </w:p>
        </w:tc>
        <w:tc>
          <w:tcPr>
            <w:tcW w:w="1843" w:type="dxa"/>
            <w:vAlign w:val="center"/>
          </w:tcPr>
          <w:p w14:paraId="7DFD7195">
            <w:pPr>
              <w:rPr>
                <w:rFonts w:hint="eastAsia" w:ascii="仿宋" w:hAnsi="仿宋" w:eastAsia="仿宋" w:cs="仿宋"/>
              </w:rPr>
            </w:pPr>
          </w:p>
        </w:tc>
        <w:tc>
          <w:tcPr>
            <w:tcW w:w="3118" w:type="dxa"/>
            <w:vAlign w:val="center"/>
          </w:tcPr>
          <w:p w14:paraId="713FD06E">
            <w:pPr>
              <w:rPr>
                <w:rFonts w:hint="eastAsia" w:ascii="仿宋" w:hAnsi="仿宋" w:eastAsia="仿宋" w:cs="仿宋"/>
              </w:rPr>
            </w:pPr>
          </w:p>
        </w:tc>
        <w:tc>
          <w:tcPr>
            <w:tcW w:w="993" w:type="dxa"/>
            <w:vAlign w:val="center"/>
          </w:tcPr>
          <w:p w14:paraId="06CCA9F0">
            <w:pPr>
              <w:rPr>
                <w:rFonts w:hint="eastAsia" w:ascii="仿宋" w:hAnsi="仿宋" w:eastAsia="仿宋" w:cs="仿宋"/>
              </w:rPr>
            </w:pPr>
          </w:p>
        </w:tc>
        <w:tc>
          <w:tcPr>
            <w:tcW w:w="1559" w:type="dxa"/>
            <w:vAlign w:val="center"/>
          </w:tcPr>
          <w:p w14:paraId="45915D9F">
            <w:pPr>
              <w:rPr>
                <w:rFonts w:hint="eastAsia" w:ascii="仿宋" w:hAnsi="仿宋" w:eastAsia="仿宋" w:cs="仿宋"/>
              </w:rPr>
            </w:pPr>
          </w:p>
        </w:tc>
        <w:tc>
          <w:tcPr>
            <w:tcW w:w="1984" w:type="dxa"/>
            <w:vAlign w:val="center"/>
          </w:tcPr>
          <w:p w14:paraId="22544B30">
            <w:pPr>
              <w:rPr>
                <w:rFonts w:hint="eastAsia" w:ascii="仿宋" w:hAnsi="仿宋" w:eastAsia="仿宋" w:cs="仿宋"/>
              </w:rPr>
            </w:pPr>
          </w:p>
        </w:tc>
        <w:tc>
          <w:tcPr>
            <w:tcW w:w="3119" w:type="dxa"/>
            <w:vAlign w:val="center"/>
          </w:tcPr>
          <w:p w14:paraId="5F088437">
            <w:pPr>
              <w:rPr>
                <w:rFonts w:hint="eastAsia" w:ascii="仿宋" w:hAnsi="仿宋" w:eastAsia="仿宋" w:cs="仿宋"/>
              </w:rPr>
            </w:pPr>
          </w:p>
        </w:tc>
      </w:tr>
      <w:tr w14:paraId="163B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100870">
            <w:pPr>
              <w:rPr>
                <w:rFonts w:hint="eastAsia" w:ascii="仿宋" w:hAnsi="仿宋" w:eastAsia="仿宋" w:cs="仿宋"/>
              </w:rPr>
            </w:pPr>
            <w:r>
              <w:rPr>
                <w:rFonts w:hint="eastAsia" w:ascii="仿宋" w:hAnsi="仿宋" w:eastAsia="仿宋" w:cs="仿宋"/>
              </w:rPr>
              <w:t>2</w:t>
            </w:r>
          </w:p>
        </w:tc>
        <w:tc>
          <w:tcPr>
            <w:tcW w:w="1417" w:type="dxa"/>
            <w:vAlign w:val="center"/>
          </w:tcPr>
          <w:p w14:paraId="1A3A4186">
            <w:pPr>
              <w:rPr>
                <w:rFonts w:hint="eastAsia" w:ascii="仿宋" w:hAnsi="仿宋" w:eastAsia="仿宋" w:cs="仿宋"/>
              </w:rPr>
            </w:pPr>
          </w:p>
        </w:tc>
        <w:tc>
          <w:tcPr>
            <w:tcW w:w="1843" w:type="dxa"/>
            <w:vAlign w:val="center"/>
          </w:tcPr>
          <w:p w14:paraId="11DEB501">
            <w:pPr>
              <w:rPr>
                <w:rFonts w:hint="eastAsia" w:ascii="仿宋" w:hAnsi="仿宋" w:eastAsia="仿宋" w:cs="仿宋"/>
              </w:rPr>
            </w:pPr>
          </w:p>
        </w:tc>
        <w:tc>
          <w:tcPr>
            <w:tcW w:w="3118" w:type="dxa"/>
            <w:vAlign w:val="center"/>
          </w:tcPr>
          <w:p w14:paraId="08B72506">
            <w:pPr>
              <w:rPr>
                <w:rFonts w:hint="eastAsia" w:ascii="仿宋" w:hAnsi="仿宋" w:eastAsia="仿宋" w:cs="仿宋"/>
              </w:rPr>
            </w:pPr>
          </w:p>
        </w:tc>
        <w:tc>
          <w:tcPr>
            <w:tcW w:w="993" w:type="dxa"/>
            <w:vAlign w:val="center"/>
          </w:tcPr>
          <w:p w14:paraId="01FD0E5E">
            <w:pPr>
              <w:rPr>
                <w:rFonts w:hint="eastAsia" w:ascii="仿宋" w:hAnsi="仿宋" w:eastAsia="仿宋" w:cs="仿宋"/>
              </w:rPr>
            </w:pPr>
          </w:p>
        </w:tc>
        <w:tc>
          <w:tcPr>
            <w:tcW w:w="1559" w:type="dxa"/>
            <w:vAlign w:val="center"/>
          </w:tcPr>
          <w:p w14:paraId="1EC8CA23">
            <w:pPr>
              <w:rPr>
                <w:rFonts w:hint="eastAsia" w:ascii="仿宋" w:hAnsi="仿宋" w:eastAsia="仿宋" w:cs="仿宋"/>
              </w:rPr>
            </w:pPr>
          </w:p>
        </w:tc>
        <w:tc>
          <w:tcPr>
            <w:tcW w:w="1984" w:type="dxa"/>
            <w:vAlign w:val="center"/>
          </w:tcPr>
          <w:p w14:paraId="13B20E6D">
            <w:pPr>
              <w:rPr>
                <w:rFonts w:hint="eastAsia" w:ascii="仿宋" w:hAnsi="仿宋" w:eastAsia="仿宋" w:cs="仿宋"/>
              </w:rPr>
            </w:pPr>
          </w:p>
        </w:tc>
        <w:tc>
          <w:tcPr>
            <w:tcW w:w="3119" w:type="dxa"/>
            <w:vAlign w:val="center"/>
          </w:tcPr>
          <w:p w14:paraId="68E872B8">
            <w:pPr>
              <w:rPr>
                <w:rFonts w:hint="eastAsia" w:ascii="仿宋" w:hAnsi="仿宋" w:eastAsia="仿宋" w:cs="仿宋"/>
              </w:rPr>
            </w:pPr>
          </w:p>
        </w:tc>
      </w:tr>
      <w:tr w14:paraId="6B56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F38265">
            <w:pPr>
              <w:rPr>
                <w:rFonts w:hint="eastAsia" w:ascii="仿宋" w:hAnsi="仿宋" w:eastAsia="仿宋" w:cs="仿宋"/>
              </w:rPr>
            </w:pPr>
            <w:r>
              <w:rPr>
                <w:rFonts w:hint="eastAsia" w:ascii="仿宋" w:hAnsi="仿宋" w:eastAsia="仿宋" w:cs="仿宋"/>
              </w:rPr>
              <w:t>…</w:t>
            </w:r>
          </w:p>
        </w:tc>
        <w:tc>
          <w:tcPr>
            <w:tcW w:w="1417" w:type="dxa"/>
            <w:vAlign w:val="center"/>
          </w:tcPr>
          <w:p w14:paraId="21BBEFBD">
            <w:pPr>
              <w:rPr>
                <w:rFonts w:hint="eastAsia" w:ascii="仿宋" w:hAnsi="仿宋" w:eastAsia="仿宋" w:cs="仿宋"/>
              </w:rPr>
            </w:pPr>
          </w:p>
        </w:tc>
        <w:tc>
          <w:tcPr>
            <w:tcW w:w="1843" w:type="dxa"/>
            <w:vAlign w:val="center"/>
          </w:tcPr>
          <w:p w14:paraId="084069F1">
            <w:pPr>
              <w:rPr>
                <w:rFonts w:hint="eastAsia" w:ascii="仿宋" w:hAnsi="仿宋" w:eastAsia="仿宋" w:cs="仿宋"/>
              </w:rPr>
            </w:pPr>
          </w:p>
        </w:tc>
        <w:tc>
          <w:tcPr>
            <w:tcW w:w="3118" w:type="dxa"/>
            <w:vAlign w:val="center"/>
          </w:tcPr>
          <w:p w14:paraId="32F9BC81">
            <w:pPr>
              <w:rPr>
                <w:rFonts w:hint="eastAsia" w:ascii="仿宋" w:hAnsi="仿宋" w:eastAsia="仿宋" w:cs="仿宋"/>
              </w:rPr>
            </w:pPr>
          </w:p>
        </w:tc>
        <w:tc>
          <w:tcPr>
            <w:tcW w:w="993" w:type="dxa"/>
            <w:vAlign w:val="center"/>
          </w:tcPr>
          <w:p w14:paraId="506CAC49">
            <w:pPr>
              <w:rPr>
                <w:rFonts w:hint="eastAsia" w:ascii="仿宋" w:hAnsi="仿宋" w:eastAsia="仿宋" w:cs="仿宋"/>
              </w:rPr>
            </w:pPr>
          </w:p>
        </w:tc>
        <w:tc>
          <w:tcPr>
            <w:tcW w:w="1559" w:type="dxa"/>
            <w:vAlign w:val="center"/>
          </w:tcPr>
          <w:p w14:paraId="2390D2D3">
            <w:pPr>
              <w:rPr>
                <w:rFonts w:hint="eastAsia" w:ascii="仿宋" w:hAnsi="仿宋" w:eastAsia="仿宋" w:cs="仿宋"/>
              </w:rPr>
            </w:pPr>
          </w:p>
        </w:tc>
        <w:tc>
          <w:tcPr>
            <w:tcW w:w="1984" w:type="dxa"/>
            <w:vAlign w:val="center"/>
          </w:tcPr>
          <w:p w14:paraId="6DA79AE9">
            <w:pPr>
              <w:rPr>
                <w:rFonts w:hint="eastAsia" w:ascii="仿宋" w:hAnsi="仿宋" w:eastAsia="仿宋" w:cs="仿宋"/>
              </w:rPr>
            </w:pPr>
          </w:p>
        </w:tc>
        <w:tc>
          <w:tcPr>
            <w:tcW w:w="3119" w:type="dxa"/>
            <w:vAlign w:val="center"/>
          </w:tcPr>
          <w:p w14:paraId="4E92A9E9">
            <w:pPr>
              <w:rPr>
                <w:rFonts w:hint="eastAsia" w:ascii="仿宋" w:hAnsi="仿宋" w:eastAsia="仿宋" w:cs="仿宋"/>
              </w:rPr>
            </w:pPr>
          </w:p>
        </w:tc>
      </w:tr>
      <w:tr w14:paraId="1B5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F61CA5">
            <w:pPr>
              <w:rPr>
                <w:rFonts w:hint="eastAsia" w:ascii="仿宋" w:hAnsi="仿宋" w:eastAsia="仿宋" w:cs="仿宋"/>
                <w:b/>
              </w:rPr>
            </w:pPr>
            <w:r>
              <w:rPr>
                <w:rFonts w:hint="eastAsia" w:ascii="仿宋" w:hAnsi="仿宋" w:eastAsia="仿宋" w:cs="仿宋"/>
                <w:b/>
              </w:rPr>
              <w:t>响应报价（小写）</w:t>
            </w:r>
          </w:p>
        </w:tc>
        <w:tc>
          <w:tcPr>
            <w:tcW w:w="7655" w:type="dxa"/>
            <w:gridSpan w:val="4"/>
            <w:vAlign w:val="center"/>
          </w:tcPr>
          <w:p w14:paraId="7507607F">
            <w:pPr>
              <w:rPr>
                <w:rFonts w:hint="eastAsia" w:ascii="仿宋" w:hAnsi="仿宋" w:eastAsia="仿宋" w:cs="仿宋"/>
              </w:rPr>
            </w:pPr>
          </w:p>
        </w:tc>
      </w:tr>
      <w:tr w14:paraId="5DD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5CA59E">
            <w:pPr>
              <w:rPr>
                <w:rFonts w:hint="eastAsia" w:ascii="仿宋" w:hAnsi="仿宋" w:eastAsia="仿宋" w:cs="仿宋"/>
                <w:b/>
              </w:rPr>
            </w:pPr>
            <w:r>
              <w:rPr>
                <w:rFonts w:hint="eastAsia" w:ascii="仿宋" w:hAnsi="仿宋" w:eastAsia="仿宋" w:cs="仿宋"/>
                <w:b/>
              </w:rPr>
              <w:t>响应报价（大写）</w:t>
            </w:r>
          </w:p>
        </w:tc>
        <w:tc>
          <w:tcPr>
            <w:tcW w:w="7655" w:type="dxa"/>
            <w:gridSpan w:val="4"/>
            <w:vAlign w:val="center"/>
          </w:tcPr>
          <w:p w14:paraId="70FA8D12">
            <w:pPr>
              <w:rPr>
                <w:rFonts w:hint="eastAsia" w:ascii="仿宋" w:hAnsi="仿宋" w:eastAsia="仿宋" w:cs="仿宋"/>
              </w:rPr>
            </w:pPr>
          </w:p>
        </w:tc>
      </w:tr>
    </w:tbl>
    <w:p w14:paraId="60D8557E">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54E48F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p>
    <w:p w14:paraId="57356237">
      <w:pPr>
        <w:snapToGrid w:val="0"/>
        <w:spacing w:line="360" w:lineRule="auto"/>
        <w:ind w:left="480"/>
        <w:rPr>
          <w:rFonts w:hint="eastAsia" w:ascii="仿宋" w:hAnsi="仿宋" w:eastAsia="仿宋" w:cs="仿宋"/>
          <w:b/>
          <w:kern w:val="0"/>
          <w:sz w:val="24"/>
        </w:rPr>
      </w:pPr>
      <w:r>
        <w:rPr>
          <w:rFonts w:hint="eastAsia" w:ascii="仿宋" w:hAnsi="仿宋" w:eastAsia="仿宋" w:cs="仿宋"/>
          <w:kern w:val="0"/>
          <w:sz w:val="24"/>
          <w:lang w:val="zh-CN"/>
        </w:rPr>
        <w:t>2、有关本项目实施所涉及的一切费用均计入报价。</w:t>
      </w:r>
    </w:p>
    <w:p w14:paraId="17A4FD6D">
      <w:pPr>
        <w:spacing w:line="360" w:lineRule="auto"/>
        <w:ind w:firstLine="480" w:firstLineChars="200"/>
        <w:jc w:val="center"/>
        <w:rPr>
          <w:rFonts w:hint="eastAsia" w:ascii="仿宋" w:hAnsi="仿宋" w:eastAsia="仿宋" w:cs="仿宋"/>
          <w:sz w:val="24"/>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sz w:val="24"/>
        </w:rPr>
        <w:t xml:space="preserve">                                                                               </w:t>
      </w:r>
    </w:p>
    <w:p w14:paraId="5A067E95">
      <w:pPr>
        <w:spacing w:line="360" w:lineRule="auto"/>
        <w:ind w:firstLine="480" w:firstLineChars="200"/>
        <w:jc w:val="center"/>
        <w:rPr>
          <w:rFonts w:hint="eastAsia" w:ascii="仿宋" w:hAnsi="仿宋" w:eastAsia="仿宋" w:cs="仿宋"/>
        </w:rPr>
      </w:pPr>
      <w:r>
        <w:rPr>
          <w:rFonts w:hint="eastAsia" w:ascii="仿宋" w:hAnsi="仿宋" w:eastAsia="仿宋" w:cs="仿宋"/>
          <w:sz w:val="24"/>
        </w:rPr>
        <w:t xml:space="preserve">                                                              日期：  年   月   日</w:t>
      </w:r>
    </w:p>
    <w:sectPr>
      <w:pgSz w:w="16838" w:h="11906" w:orient="landscape"/>
      <w:pgMar w:top="1417" w:right="1247" w:bottom="1417" w:left="1276"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69E3">
    <w:pPr>
      <w:pStyle w:val="3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B06E4">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6B06E4">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249A87D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DC42">
    <w:pPr>
      <w:pStyle w:val="38"/>
      <w:jc w:val="center"/>
      <w:rPr>
        <w:rFonts w:ascii="仿宋_GB2312" w:eastAsia="仿宋_GB2312"/>
      </w:rPr>
    </w:pPr>
  </w:p>
  <w:p w14:paraId="381255C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375">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AD3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F0AD3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516C2D3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E5AC">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B33E">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3CB33E">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379D11F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FEC5">
    <w:pPr>
      <w:pStyle w:val="38"/>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E78F">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19E78F">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014A">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2372">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272372">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F364">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F9B">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8782">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1C5">
    <w:pPr>
      <w:pStyle w:val="40"/>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pPr>
        <w:ind w:left="420" w:hanging="420"/>
      </w:pPr>
    </w:lvl>
  </w:abstractNum>
  <w:abstractNum w:abstractNumId="1">
    <w:nsid w:val="BF205925"/>
    <w:multiLevelType w:val="multilevel"/>
    <w:tmpl w:val="BF205925"/>
    <w:lvl w:ilvl="0" w:tentative="0">
      <w:start w:val="1"/>
      <w:numFmt w:val="decimal"/>
      <w:lvlText w:val="%1."/>
      <w:lvlJc w:val="left"/>
      <w:pPr>
        <w:ind w:left="420" w:hanging="420"/>
      </w:pPr>
    </w:lvl>
    <w:lvl w:ilvl="1" w:tentative="0">
      <w:start w:val="1"/>
      <w:numFmt w:val="decimal"/>
      <w:lvlText w:val="%1.%2."/>
      <w:lvlJc w:val="left"/>
      <w:pPr>
        <w:ind w:left="840" w:hanging="420"/>
      </w:p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F092B84"/>
    <w:multiLevelType w:val="singleLevel"/>
    <w:tmpl w:val="CF092B84"/>
    <w:lvl w:ilvl="0" w:tentative="0">
      <w:start w:val="1"/>
      <w:numFmt w:val="decimal"/>
      <w:lvlText w:val="%1."/>
      <w:lvlJc w:val="left"/>
      <w:pPr>
        <w:ind w:left="420" w:hanging="420"/>
      </w:p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53208E"/>
    <w:multiLevelType w:val="singleLevel"/>
    <w:tmpl w:val="0053208E"/>
    <w:lvl w:ilvl="0" w:tentative="0">
      <w:start w:val="1"/>
      <w:numFmt w:val="chineseCountingThousand"/>
      <w:lvlText w:val="第%1部分"/>
      <w:lvlJc w:val="left"/>
      <w:pPr>
        <w:ind w:left="420" w:hanging="420"/>
      </w:p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434CA0FB"/>
    <w:multiLevelType w:val="singleLevel"/>
    <w:tmpl w:val="434CA0FB"/>
    <w:lvl w:ilvl="0" w:tentative="0">
      <w:start w:val="14"/>
      <w:numFmt w:val="decimal"/>
      <w:lvlText w:val="%1."/>
      <w:lvlJc w:val="left"/>
      <w:pPr>
        <w:tabs>
          <w:tab w:val="left" w:pos="312"/>
        </w:tabs>
      </w:pPr>
    </w:lvl>
  </w:abstractNum>
  <w:abstractNum w:abstractNumId="9">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ADCABA"/>
    <w:multiLevelType w:val="singleLevel"/>
    <w:tmpl w:val="59ADCABA"/>
    <w:lvl w:ilvl="0" w:tentative="0">
      <w:start w:val="1"/>
      <w:numFmt w:val="decimal"/>
      <w:lvlText w:val="%1."/>
      <w:lvlJc w:val="left"/>
      <w:pPr>
        <w:ind w:left="420" w:hanging="420"/>
      </w:pPr>
    </w:lvl>
  </w:abstractNum>
  <w:abstractNum w:abstractNumId="12">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7"/>
  </w:num>
  <w:num w:numId="3">
    <w:abstractNumId w:val="3"/>
  </w:num>
  <w:num w:numId="4">
    <w:abstractNumId w:val="4"/>
  </w:num>
  <w:num w:numId="5">
    <w:abstractNumId w:val="10"/>
  </w:num>
  <w:num w:numId="6">
    <w:abstractNumId w:val="13"/>
  </w:num>
  <w:num w:numId="7">
    <w:abstractNumId w:val="12"/>
  </w:num>
  <w:num w:numId="8">
    <w:abstractNumId w:val="9"/>
  </w:num>
  <w:num w:numId="9">
    <w:abstractNumId w:val="8"/>
  </w:num>
  <w:num w:numId="10">
    <w:abstractNumId w:val="14"/>
  </w:num>
  <w:num w:numId="11">
    <w:abstractNumId w:val="6"/>
  </w:num>
  <w:num w:numId="12">
    <w:abstractNumId w:val="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jg0MTc2Y2QyZjZiZWRiYWMxN2QxMTE4YjU1ZG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41C5"/>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5A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0D13"/>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554"/>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5E0"/>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4E27"/>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64CB6"/>
    <w:rsid w:val="018E2C4B"/>
    <w:rsid w:val="01E97726"/>
    <w:rsid w:val="03DD35E4"/>
    <w:rsid w:val="043D4E77"/>
    <w:rsid w:val="04F96FF0"/>
    <w:rsid w:val="05720B50"/>
    <w:rsid w:val="065A6178"/>
    <w:rsid w:val="06EE4D29"/>
    <w:rsid w:val="081050AA"/>
    <w:rsid w:val="082029DB"/>
    <w:rsid w:val="08B642FA"/>
    <w:rsid w:val="090021E3"/>
    <w:rsid w:val="090135A2"/>
    <w:rsid w:val="093C6733"/>
    <w:rsid w:val="0A5B7E63"/>
    <w:rsid w:val="0A94666D"/>
    <w:rsid w:val="0B660640"/>
    <w:rsid w:val="0B76395D"/>
    <w:rsid w:val="0C87121B"/>
    <w:rsid w:val="0D2B6006"/>
    <w:rsid w:val="0D86163D"/>
    <w:rsid w:val="0DF702FE"/>
    <w:rsid w:val="0E990EFC"/>
    <w:rsid w:val="0EED1247"/>
    <w:rsid w:val="0F11020C"/>
    <w:rsid w:val="0F816ACD"/>
    <w:rsid w:val="0FF705D0"/>
    <w:rsid w:val="1034202F"/>
    <w:rsid w:val="104233D7"/>
    <w:rsid w:val="10F90651"/>
    <w:rsid w:val="10FC16EA"/>
    <w:rsid w:val="113F5F4C"/>
    <w:rsid w:val="118963A1"/>
    <w:rsid w:val="127723A9"/>
    <w:rsid w:val="12EA3624"/>
    <w:rsid w:val="13072A44"/>
    <w:rsid w:val="139E23E7"/>
    <w:rsid w:val="13B435E0"/>
    <w:rsid w:val="142A23DE"/>
    <w:rsid w:val="152D2A4D"/>
    <w:rsid w:val="16261020"/>
    <w:rsid w:val="16AE5ED9"/>
    <w:rsid w:val="183176AC"/>
    <w:rsid w:val="18912E67"/>
    <w:rsid w:val="18ED0158"/>
    <w:rsid w:val="1A564531"/>
    <w:rsid w:val="1A886703"/>
    <w:rsid w:val="1A9C090B"/>
    <w:rsid w:val="1AF20BEF"/>
    <w:rsid w:val="1B2A271F"/>
    <w:rsid w:val="1B872F9C"/>
    <w:rsid w:val="1B900ADB"/>
    <w:rsid w:val="1C631F5D"/>
    <w:rsid w:val="1D266CE1"/>
    <w:rsid w:val="1D3963AF"/>
    <w:rsid w:val="1D3C0749"/>
    <w:rsid w:val="1DDA0D29"/>
    <w:rsid w:val="1E5B7150"/>
    <w:rsid w:val="1E714A66"/>
    <w:rsid w:val="1E85324A"/>
    <w:rsid w:val="1EA27958"/>
    <w:rsid w:val="1F6317DE"/>
    <w:rsid w:val="1F927D5B"/>
    <w:rsid w:val="1F9D27DB"/>
    <w:rsid w:val="1FE868A9"/>
    <w:rsid w:val="201C59EE"/>
    <w:rsid w:val="213276BA"/>
    <w:rsid w:val="216C24A0"/>
    <w:rsid w:val="21F961C3"/>
    <w:rsid w:val="2403533D"/>
    <w:rsid w:val="250008E8"/>
    <w:rsid w:val="25111243"/>
    <w:rsid w:val="25707998"/>
    <w:rsid w:val="25932478"/>
    <w:rsid w:val="25CB3688"/>
    <w:rsid w:val="262852E2"/>
    <w:rsid w:val="265E5200"/>
    <w:rsid w:val="27096DE3"/>
    <w:rsid w:val="283C5338"/>
    <w:rsid w:val="289350CF"/>
    <w:rsid w:val="2896735B"/>
    <w:rsid w:val="28EA3250"/>
    <w:rsid w:val="294B77A1"/>
    <w:rsid w:val="298C7E17"/>
    <w:rsid w:val="29F008B0"/>
    <w:rsid w:val="2A7367E9"/>
    <w:rsid w:val="2B6D5106"/>
    <w:rsid w:val="2B9B3C8A"/>
    <w:rsid w:val="2BCE728D"/>
    <w:rsid w:val="2C0E2AD1"/>
    <w:rsid w:val="2C4A7CF2"/>
    <w:rsid w:val="2C974041"/>
    <w:rsid w:val="2CEB3A12"/>
    <w:rsid w:val="2D457B2F"/>
    <w:rsid w:val="2DCE4FFC"/>
    <w:rsid w:val="2DD15014"/>
    <w:rsid w:val="2E404358"/>
    <w:rsid w:val="2E8F473D"/>
    <w:rsid w:val="2F147428"/>
    <w:rsid w:val="2F9061DA"/>
    <w:rsid w:val="2F983071"/>
    <w:rsid w:val="2FA14099"/>
    <w:rsid w:val="2FD25781"/>
    <w:rsid w:val="302A3B86"/>
    <w:rsid w:val="307A40E7"/>
    <w:rsid w:val="31302DE8"/>
    <w:rsid w:val="319C6071"/>
    <w:rsid w:val="31B41A25"/>
    <w:rsid w:val="32FF13C6"/>
    <w:rsid w:val="334B0167"/>
    <w:rsid w:val="33C02F0E"/>
    <w:rsid w:val="342E63AB"/>
    <w:rsid w:val="345C3B38"/>
    <w:rsid w:val="363B0967"/>
    <w:rsid w:val="364F3BB1"/>
    <w:rsid w:val="364F4412"/>
    <w:rsid w:val="365302AE"/>
    <w:rsid w:val="37AD3154"/>
    <w:rsid w:val="38074E65"/>
    <w:rsid w:val="38C00A50"/>
    <w:rsid w:val="38CB6F1C"/>
    <w:rsid w:val="391060DB"/>
    <w:rsid w:val="3A5231D0"/>
    <w:rsid w:val="3A561EB2"/>
    <w:rsid w:val="3BF22272"/>
    <w:rsid w:val="3C220F0A"/>
    <w:rsid w:val="3C5E1BBB"/>
    <w:rsid w:val="3C5F759A"/>
    <w:rsid w:val="3DBC05DF"/>
    <w:rsid w:val="3DBD7EB3"/>
    <w:rsid w:val="3E0F28DF"/>
    <w:rsid w:val="3E524A9F"/>
    <w:rsid w:val="3EA23A0F"/>
    <w:rsid w:val="3F4D5267"/>
    <w:rsid w:val="3FDE1C36"/>
    <w:rsid w:val="3FE80680"/>
    <w:rsid w:val="41691CE6"/>
    <w:rsid w:val="41771E1A"/>
    <w:rsid w:val="417A41A4"/>
    <w:rsid w:val="41C757A4"/>
    <w:rsid w:val="421840E7"/>
    <w:rsid w:val="42397027"/>
    <w:rsid w:val="4282199D"/>
    <w:rsid w:val="429C7661"/>
    <w:rsid w:val="42CD1204"/>
    <w:rsid w:val="42E1381E"/>
    <w:rsid w:val="43665590"/>
    <w:rsid w:val="436F0FA5"/>
    <w:rsid w:val="44027F8E"/>
    <w:rsid w:val="44E67CEF"/>
    <w:rsid w:val="459E0E54"/>
    <w:rsid w:val="45A33AF3"/>
    <w:rsid w:val="465428A2"/>
    <w:rsid w:val="46C728EC"/>
    <w:rsid w:val="47973F6B"/>
    <w:rsid w:val="47DC3815"/>
    <w:rsid w:val="48895BD3"/>
    <w:rsid w:val="48F744FA"/>
    <w:rsid w:val="4A392FB7"/>
    <w:rsid w:val="4AC40AD3"/>
    <w:rsid w:val="4AE10572"/>
    <w:rsid w:val="4C7B78B7"/>
    <w:rsid w:val="4CF82CB6"/>
    <w:rsid w:val="4D0F3D33"/>
    <w:rsid w:val="4E3813D1"/>
    <w:rsid w:val="4E4C2555"/>
    <w:rsid w:val="4E6C4202"/>
    <w:rsid w:val="4ED7081A"/>
    <w:rsid w:val="4FD531A2"/>
    <w:rsid w:val="4FE83D59"/>
    <w:rsid w:val="50586B5C"/>
    <w:rsid w:val="51A0432A"/>
    <w:rsid w:val="52A96B6F"/>
    <w:rsid w:val="54A232E9"/>
    <w:rsid w:val="54C3004D"/>
    <w:rsid w:val="54DC48BA"/>
    <w:rsid w:val="550764A4"/>
    <w:rsid w:val="559F53DA"/>
    <w:rsid w:val="55AD2460"/>
    <w:rsid w:val="56A71A30"/>
    <w:rsid w:val="579D76DE"/>
    <w:rsid w:val="57CC6A61"/>
    <w:rsid w:val="57D367F9"/>
    <w:rsid w:val="58017E10"/>
    <w:rsid w:val="58271F27"/>
    <w:rsid w:val="586D7B01"/>
    <w:rsid w:val="58AE4F0C"/>
    <w:rsid w:val="595A2534"/>
    <w:rsid w:val="597F0373"/>
    <w:rsid w:val="59D16D68"/>
    <w:rsid w:val="59E35C6F"/>
    <w:rsid w:val="5A0F3C8E"/>
    <w:rsid w:val="5A2A7C7B"/>
    <w:rsid w:val="5A4968FF"/>
    <w:rsid w:val="5AC00150"/>
    <w:rsid w:val="5B1647AE"/>
    <w:rsid w:val="5B231846"/>
    <w:rsid w:val="5B41386F"/>
    <w:rsid w:val="5B57547B"/>
    <w:rsid w:val="5BB931FB"/>
    <w:rsid w:val="5BE208D3"/>
    <w:rsid w:val="5BF55428"/>
    <w:rsid w:val="5C80234E"/>
    <w:rsid w:val="5E261785"/>
    <w:rsid w:val="5E4A639D"/>
    <w:rsid w:val="5E506100"/>
    <w:rsid w:val="5EDF01CA"/>
    <w:rsid w:val="5EEA486F"/>
    <w:rsid w:val="5F011E9E"/>
    <w:rsid w:val="5F1529A6"/>
    <w:rsid w:val="5F4B0077"/>
    <w:rsid w:val="5FCC5339"/>
    <w:rsid w:val="61054A27"/>
    <w:rsid w:val="611D2366"/>
    <w:rsid w:val="616D55C9"/>
    <w:rsid w:val="627F6465"/>
    <w:rsid w:val="62885958"/>
    <w:rsid w:val="62E36E51"/>
    <w:rsid w:val="63E61662"/>
    <w:rsid w:val="640876F3"/>
    <w:rsid w:val="64393534"/>
    <w:rsid w:val="647C292B"/>
    <w:rsid w:val="64CE2EAA"/>
    <w:rsid w:val="64ED05DD"/>
    <w:rsid w:val="651D2E62"/>
    <w:rsid w:val="654267EC"/>
    <w:rsid w:val="658A253F"/>
    <w:rsid w:val="662E75B1"/>
    <w:rsid w:val="66342C2E"/>
    <w:rsid w:val="663E784C"/>
    <w:rsid w:val="6642317E"/>
    <w:rsid w:val="66977CD4"/>
    <w:rsid w:val="669902F5"/>
    <w:rsid w:val="67022B21"/>
    <w:rsid w:val="677A596A"/>
    <w:rsid w:val="686D4100"/>
    <w:rsid w:val="69456BF2"/>
    <w:rsid w:val="6958521B"/>
    <w:rsid w:val="69652C93"/>
    <w:rsid w:val="69684F4F"/>
    <w:rsid w:val="69BC35D6"/>
    <w:rsid w:val="6AF76722"/>
    <w:rsid w:val="6B517D09"/>
    <w:rsid w:val="6BED1D9C"/>
    <w:rsid w:val="6C0C75B9"/>
    <w:rsid w:val="6C3463E2"/>
    <w:rsid w:val="6D75048C"/>
    <w:rsid w:val="6D8A7447"/>
    <w:rsid w:val="6DF818E5"/>
    <w:rsid w:val="6E5F273D"/>
    <w:rsid w:val="6E6E55BC"/>
    <w:rsid w:val="6E8E12EF"/>
    <w:rsid w:val="6FB1310C"/>
    <w:rsid w:val="6FD76303"/>
    <w:rsid w:val="704E619F"/>
    <w:rsid w:val="7079096D"/>
    <w:rsid w:val="7120378C"/>
    <w:rsid w:val="71A07FB8"/>
    <w:rsid w:val="71B21F4E"/>
    <w:rsid w:val="71D43752"/>
    <w:rsid w:val="71E116BB"/>
    <w:rsid w:val="72097D64"/>
    <w:rsid w:val="72F24B59"/>
    <w:rsid w:val="732F7275"/>
    <w:rsid w:val="73A11331"/>
    <w:rsid w:val="746815A4"/>
    <w:rsid w:val="746E713D"/>
    <w:rsid w:val="749C4185"/>
    <w:rsid w:val="750F66CA"/>
    <w:rsid w:val="7567043F"/>
    <w:rsid w:val="757E71D5"/>
    <w:rsid w:val="75DA2C18"/>
    <w:rsid w:val="770E3CAE"/>
    <w:rsid w:val="77705F3A"/>
    <w:rsid w:val="798828FC"/>
    <w:rsid w:val="7A0B340F"/>
    <w:rsid w:val="7A3A374C"/>
    <w:rsid w:val="7A3F3423"/>
    <w:rsid w:val="7A4D5B40"/>
    <w:rsid w:val="7A67303B"/>
    <w:rsid w:val="7A8F31CB"/>
    <w:rsid w:val="7AAB1D04"/>
    <w:rsid w:val="7ABA4368"/>
    <w:rsid w:val="7B257FFD"/>
    <w:rsid w:val="7B5A6D55"/>
    <w:rsid w:val="7CBE7304"/>
    <w:rsid w:val="7CEC7892"/>
    <w:rsid w:val="7D1D248E"/>
    <w:rsid w:val="7D8621F2"/>
    <w:rsid w:val="7DFC2BC5"/>
    <w:rsid w:val="7EB7283E"/>
    <w:rsid w:val="7F65675B"/>
    <w:rsid w:val="DEFDE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50"/>
    <w:qFormat/>
    <w:uiPriority w:val="99"/>
    <w:pPr>
      <w:jc w:val="left"/>
    </w:pPr>
  </w:style>
  <w:style w:type="paragraph" w:styleId="20">
    <w:name w:val="Salutation"/>
    <w:basedOn w:val="1"/>
    <w:next w:val="1"/>
    <w:link w:val="215"/>
    <w:qFormat/>
    <w:uiPriority w:val="0"/>
    <w:rPr>
      <w:rFonts w:ascii="仿宋_GB2312" w:eastAsia="仿宋_GB2312"/>
      <w:sz w:val="28"/>
      <w:szCs w:val="20"/>
    </w:rPr>
  </w:style>
  <w:style w:type="paragraph" w:styleId="21">
    <w:name w:val="Body Text 3"/>
    <w:basedOn w:val="1"/>
    <w:link w:val="188"/>
    <w:qFormat/>
    <w:uiPriority w:val="0"/>
    <w:pPr>
      <w:jc w:val="center"/>
    </w:pPr>
    <w:rPr>
      <w:szCs w:val="20"/>
    </w:rPr>
  </w:style>
  <w:style w:type="paragraph" w:styleId="22">
    <w:name w:val="Body Text"/>
    <w:basedOn w:val="1"/>
    <w:link w:val="124"/>
    <w:qFormat/>
    <w:uiPriority w:val="0"/>
    <w:pPr>
      <w:autoSpaceDE w:val="0"/>
      <w:autoSpaceDN w:val="0"/>
      <w:spacing w:line="360" w:lineRule="auto"/>
    </w:pPr>
    <w:rPr>
      <w:rFonts w:ascii="宋体"/>
      <w:sz w:val="24"/>
      <w:szCs w:val="21"/>
      <w:lang w:val="zh-CN"/>
    </w:rPr>
  </w:style>
  <w:style w:type="paragraph" w:styleId="23">
    <w:name w:val="Body Text Indent"/>
    <w:basedOn w:val="1"/>
    <w:link w:val="10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6"/>
    <w:qFormat/>
    <w:uiPriority w:val="0"/>
    <w:rPr>
      <w:rFonts w:ascii="宋体" w:hAnsi="Courier New"/>
      <w:szCs w:val="20"/>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213"/>
    <w:qFormat/>
    <w:uiPriority w:val="0"/>
    <w:pPr>
      <w:ind w:left="100" w:leftChars="2500"/>
    </w:pPr>
    <w:rPr>
      <w:rFonts w:ascii="宋体"/>
      <w:sz w:val="24"/>
      <w:szCs w:val="21"/>
      <w:lang w:val="zh-CN"/>
    </w:rPr>
  </w:style>
  <w:style w:type="paragraph" w:styleId="35">
    <w:name w:val="Body Text Indent 2"/>
    <w:basedOn w:val="1"/>
    <w:link w:val="85"/>
    <w:qFormat/>
    <w:uiPriority w:val="0"/>
    <w:pPr>
      <w:spacing w:line="360" w:lineRule="auto"/>
      <w:ind w:firstLine="601"/>
      <w:textAlignment w:val="baseline"/>
    </w:pPr>
    <w:rPr>
      <w:rFonts w:ascii="宋体"/>
      <w:kern w:val="0"/>
      <w:sz w:val="28"/>
      <w:szCs w:val="20"/>
    </w:rPr>
  </w:style>
  <w:style w:type="paragraph" w:styleId="36">
    <w:name w:val="endnote text"/>
    <w:basedOn w:val="1"/>
    <w:unhideWhenUsed/>
    <w:qFormat/>
    <w:uiPriority w:val="99"/>
    <w:pPr>
      <w:snapToGrid w:val="0"/>
      <w:jc w:val="left"/>
    </w:pPr>
  </w:style>
  <w:style w:type="paragraph" w:styleId="37">
    <w:name w:val="Balloon Text"/>
    <w:basedOn w:val="1"/>
    <w:link w:val="251"/>
    <w:semiHidden/>
    <w:qFormat/>
    <w:uiPriority w:val="0"/>
    <w:rPr>
      <w:sz w:val="18"/>
      <w:szCs w:val="18"/>
    </w:rPr>
  </w:style>
  <w:style w:type="paragraph" w:styleId="38">
    <w:name w:val="footer"/>
    <w:basedOn w:val="1"/>
    <w:link w:val="632"/>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link w:val="137"/>
    <w:qFormat/>
    <w:uiPriority w:val="0"/>
    <w:pPr>
      <w:ind w:firstLine="420"/>
    </w:pPr>
    <w:rPr>
      <w:szCs w:val="20"/>
    </w:rPr>
  </w:style>
  <w:style w:type="paragraph" w:styleId="61">
    <w:name w:val="Body Text First Indent 2"/>
    <w:basedOn w:val="23"/>
    <w:link w:val="24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5"/>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正文文本缩进 字符1"/>
    <w:link w:val="23"/>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6"/>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0"/>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60"/>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2"/>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5"/>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8"/>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6"/>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1"/>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2"/>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8"/>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4"/>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0"/>
    <w:qFormat/>
    <w:uiPriority w:val="0"/>
    <w:rPr>
      <w:rFonts w:ascii="仿宋_GB2312" w:eastAsia="仿宋_GB2312"/>
      <w:kern w:val="2"/>
      <w:sz w:val="28"/>
    </w:rPr>
  </w:style>
  <w:style w:type="character" w:customStyle="1" w:styleId="216">
    <w:name w:val="标题 4 字符"/>
    <w:link w:val="5"/>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9"/>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7"/>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5"/>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19"/>
    <w:qFormat/>
    <w:uiPriority w:val="0"/>
    <w:rPr>
      <w:kern w:val="2"/>
      <w:sz w:val="21"/>
      <w:szCs w:val="24"/>
    </w:rPr>
  </w:style>
  <w:style w:type="character" w:customStyle="1" w:styleId="251">
    <w:name w:val="批注框文本 字符"/>
    <w:link w:val="37"/>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1"/>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5"/>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5"/>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3"/>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6"/>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4"/>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qFormat/>
    <w:uiPriority w:val="0"/>
    <w:pPr>
      <w:numPr>
        <w:ilvl w:val="1"/>
        <w:numId w:val="5"/>
      </w:numPr>
    </w:pPr>
    <w:rPr>
      <w:rFonts w:ascii="Times New Roman" w:eastAsia="宋体"/>
      <w:i/>
      <w:sz w:val="36"/>
      <w:szCs w:val="36"/>
      <w:lang w:val="en-US"/>
    </w:rPr>
  </w:style>
  <w:style w:type="paragraph" w:customStyle="1" w:styleId="45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5"/>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8"/>
    <w:qFormat/>
    <w:locked/>
    <w:uiPriority w:val="99"/>
    <w:rPr>
      <w:kern w:val="2"/>
      <w:sz w:val="18"/>
      <w:szCs w:val="18"/>
    </w:rPr>
  </w:style>
  <w:style w:type="character" w:customStyle="1" w:styleId="633">
    <w:name w:val="页眉 字符"/>
    <w:link w:val="40"/>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 w:type="character" w:customStyle="1" w:styleId="645">
    <w:name w:val="font51"/>
    <w:basedOn w:val="64"/>
    <w:qFormat/>
    <w:uiPriority w:val="0"/>
    <w:rPr>
      <w:rFonts w:hint="eastAsia" w:ascii="仿宋" w:hAnsi="仿宋" w:eastAsia="仿宋" w:cs="仿宋"/>
      <w:color w:val="000000"/>
      <w:sz w:val="20"/>
      <w:szCs w:val="20"/>
      <w:u w:val="none"/>
    </w:rPr>
  </w:style>
  <w:style w:type="character" w:customStyle="1" w:styleId="646">
    <w:name w:val="font91"/>
    <w:basedOn w:val="64"/>
    <w:qFormat/>
    <w:uiPriority w:val="0"/>
    <w:rPr>
      <w:rFonts w:hint="eastAsia" w:ascii="仿宋" w:hAnsi="仿宋" w:eastAsia="仿宋" w:cs="仿宋"/>
      <w:color w:val="000000"/>
      <w:sz w:val="22"/>
      <w:szCs w:val="22"/>
      <w:u w:val="none"/>
    </w:rPr>
  </w:style>
  <w:style w:type="table" w:customStyle="1" w:styleId="64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9500</Words>
  <Characters>10549</Characters>
  <Lines>156</Lines>
  <Paragraphs>44</Paragraphs>
  <TotalTime>11</TotalTime>
  <ScaleCrop>false</ScaleCrop>
  <LinksUpToDate>false</LinksUpToDate>
  <CharactersWithSpaces>10706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石头</cp:lastModifiedBy>
  <cp:lastPrinted>2023-02-22T08:59:00Z</cp:lastPrinted>
  <dcterms:modified xsi:type="dcterms:W3CDTF">2024-11-15T08:23:29Z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1C497E20C3224B9ABCACEB74ED9E5F8A_13</vt:lpwstr>
  </property>
</Properties>
</file>